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7A08F" w14:textId="1E1E340F" w:rsidR="0039002B" w:rsidRPr="007C5EBD" w:rsidRDefault="0039002B" w:rsidP="0039002B">
      <w:pPr>
        <w:autoSpaceDE w:val="0"/>
        <w:autoSpaceDN w:val="0"/>
        <w:adjustRightInd w:val="0"/>
        <w:ind w:firstLine="709"/>
        <w:jc w:val="center"/>
        <w:rPr>
          <w:b/>
          <w:color w:val="000000" w:themeColor="text1"/>
          <w:sz w:val="24"/>
          <w:szCs w:val="24"/>
        </w:rPr>
      </w:pPr>
      <w:r>
        <w:rPr>
          <w:b/>
          <w:color w:val="000000" w:themeColor="text1"/>
          <w:sz w:val="24"/>
          <w:szCs w:val="24"/>
        </w:rPr>
        <w:t>Estudo sobre a Legibilidade das Notas Explicativas das Empresas Brasileiras d</w:t>
      </w:r>
      <w:r w:rsidRPr="007C5EBD">
        <w:rPr>
          <w:b/>
          <w:color w:val="000000" w:themeColor="text1"/>
          <w:sz w:val="24"/>
          <w:szCs w:val="24"/>
        </w:rPr>
        <w:t>e Capital Aberto</w:t>
      </w:r>
    </w:p>
    <w:p w14:paraId="63F12BF3" w14:textId="77777777" w:rsidR="0044177A" w:rsidRDefault="0044177A" w:rsidP="0039002B">
      <w:pPr>
        <w:ind w:firstLine="709"/>
        <w:jc w:val="right"/>
        <w:rPr>
          <w:rFonts w:eastAsia="Calibri"/>
          <w:color w:val="000000" w:themeColor="text1"/>
          <w:sz w:val="24"/>
          <w:szCs w:val="24"/>
          <w:lang w:val="pt-PT"/>
        </w:rPr>
      </w:pPr>
    </w:p>
    <w:p w14:paraId="4407501C" w14:textId="77777777" w:rsidR="0039002B" w:rsidRPr="00D07B67" w:rsidRDefault="0039002B" w:rsidP="0039002B">
      <w:pPr>
        <w:ind w:firstLine="709"/>
        <w:jc w:val="right"/>
        <w:rPr>
          <w:rFonts w:eastAsia="Calibri"/>
          <w:color w:val="000000" w:themeColor="text1"/>
          <w:sz w:val="24"/>
          <w:szCs w:val="24"/>
          <w:lang w:val="pt-PT"/>
        </w:rPr>
      </w:pPr>
      <w:r w:rsidRPr="00D07B67">
        <w:rPr>
          <w:rFonts w:eastAsia="Calibri"/>
          <w:color w:val="000000" w:themeColor="text1"/>
          <w:sz w:val="24"/>
          <w:szCs w:val="24"/>
          <w:lang w:val="pt-PT"/>
        </w:rPr>
        <w:t>Luciana Holtz</w:t>
      </w:r>
    </w:p>
    <w:p w14:paraId="67992AEB" w14:textId="31524191" w:rsidR="0039002B" w:rsidRPr="00D07B67" w:rsidRDefault="0039002B" w:rsidP="0039002B">
      <w:pPr>
        <w:ind w:firstLine="709"/>
        <w:jc w:val="right"/>
        <w:rPr>
          <w:rFonts w:eastAsia="Calibri"/>
          <w:color w:val="000000" w:themeColor="text1"/>
          <w:sz w:val="24"/>
          <w:szCs w:val="24"/>
          <w:lang w:val="pt-PT"/>
        </w:rPr>
      </w:pPr>
      <w:r w:rsidRPr="00D07B67">
        <w:rPr>
          <w:rFonts w:eastAsia="Calibri"/>
          <w:color w:val="000000" w:themeColor="text1"/>
          <w:sz w:val="24"/>
          <w:szCs w:val="24"/>
          <w:lang w:val="pt-PT"/>
        </w:rPr>
        <w:t>Doutoranda – Universidade Federal do Rio de Janeiro</w:t>
      </w:r>
      <w:r w:rsidR="006402B7">
        <w:rPr>
          <w:rFonts w:eastAsia="Calibri"/>
          <w:color w:val="000000" w:themeColor="text1"/>
          <w:sz w:val="24"/>
          <w:szCs w:val="24"/>
          <w:lang w:val="pt-PT"/>
        </w:rPr>
        <w:t xml:space="preserve">/ Prof. Assistente – Universidade Federal de Juiz de Fora </w:t>
      </w:r>
    </w:p>
    <w:p w14:paraId="7A107706" w14:textId="77777777" w:rsidR="0039002B" w:rsidRPr="00D07B67" w:rsidRDefault="00A40C61" w:rsidP="0039002B">
      <w:pPr>
        <w:ind w:firstLine="709"/>
        <w:jc w:val="right"/>
        <w:rPr>
          <w:rFonts w:eastAsia="Calibri"/>
          <w:color w:val="000000" w:themeColor="text1"/>
          <w:sz w:val="24"/>
          <w:szCs w:val="24"/>
          <w:lang w:val="pt-PT"/>
        </w:rPr>
      </w:pPr>
      <w:hyperlink r:id="rId8" w:history="1">
        <w:r w:rsidR="0039002B" w:rsidRPr="00D07B67">
          <w:rPr>
            <w:rStyle w:val="Hyperlink"/>
            <w:rFonts w:eastAsia="Calibri"/>
            <w:sz w:val="24"/>
            <w:szCs w:val="24"/>
            <w:lang w:val="pt-PT"/>
          </w:rPr>
          <w:t>luciana.holtz@ufjf.edu.br</w:t>
        </w:r>
      </w:hyperlink>
    </w:p>
    <w:p w14:paraId="64B31278" w14:textId="77777777" w:rsidR="0039002B" w:rsidRPr="00D07B67" w:rsidRDefault="0039002B" w:rsidP="0039002B">
      <w:pPr>
        <w:ind w:firstLine="709"/>
        <w:jc w:val="right"/>
        <w:rPr>
          <w:rFonts w:eastAsia="Calibri"/>
          <w:color w:val="000000" w:themeColor="text1"/>
          <w:sz w:val="24"/>
          <w:szCs w:val="24"/>
          <w:lang w:val="pt-PT"/>
        </w:rPr>
      </w:pPr>
    </w:p>
    <w:p w14:paraId="1223FBCD" w14:textId="77777777" w:rsidR="00D07B67" w:rsidRPr="00D07B67" w:rsidRDefault="00D07B67" w:rsidP="00D07B67">
      <w:pPr>
        <w:autoSpaceDE w:val="0"/>
        <w:autoSpaceDN w:val="0"/>
        <w:adjustRightInd w:val="0"/>
        <w:jc w:val="right"/>
        <w:rPr>
          <w:color w:val="000000"/>
          <w:sz w:val="23"/>
          <w:szCs w:val="23"/>
        </w:rPr>
      </w:pPr>
      <w:r w:rsidRPr="00D07B67">
        <w:rPr>
          <w:color w:val="000000"/>
          <w:sz w:val="23"/>
          <w:szCs w:val="23"/>
        </w:rPr>
        <w:t>Odilanei Morais dos Santos</w:t>
      </w:r>
    </w:p>
    <w:p w14:paraId="7F654E13" w14:textId="6B37E8A7" w:rsidR="00D07B67" w:rsidRPr="00D07B67" w:rsidRDefault="00D07B67" w:rsidP="00D07B67">
      <w:pPr>
        <w:autoSpaceDE w:val="0"/>
        <w:autoSpaceDN w:val="0"/>
        <w:adjustRightInd w:val="0"/>
        <w:jc w:val="right"/>
        <w:rPr>
          <w:color w:val="000000"/>
          <w:sz w:val="23"/>
          <w:szCs w:val="23"/>
        </w:rPr>
      </w:pPr>
      <w:r w:rsidRPr="00D07B67">
        <w:rPr>
          <w:color w:val="000000"/>
          <w:sz w:val="23"/>
          <w:szCs w:val="23"/>
        </w:rPr>
        <w:t xml:space="preserve">Professor Adjunto </w:t>
      </w:r>
      <w:r>
        <w:rPr>
          <w:color w:val="000000"/>
          <w:sz w:val="23"/>
          <w:szCs w:val="23"/>
        </w:rPr>
        <w:t xml:space="preserve">- </w:t>
      </w:r>
      <w:r w:rsidRPr="00D07B67">
        <w:rPr>
          <w:color w:val="000000"/>
          <w:sz w:val="23"/>
          <w:szCs w:val="23"/>
        </w:rPr>
        <w:t xml:space="preserve">Universidade Federal do Rio de Janeiro </w:t>
      </w:r>
    </w:p>
    <w:p w14:paraId="6C7132C6" w14:textId="77777777" w:rsidR="00D07B67" w:rsidRPr="008F493B" w:rsidRDefault="00D07B67" w:rsidP="00D07B67">
      <w:pPr>
        <w:autoSpaceDE w:val="0"/>
        <w:autoSpaceDN w:val="0"/>
        <w:adjustRightInd w:val="0"/>
        <w:jc w:val="right"/>
        <w:rPr>
          <w:sz w:val="23"/>
          <w:szCs w:val="23"/>
          <w:lang w:val="fr-FR"/>
        </w:rPr>
      </w:pPr>
      <w:r w:rsidRPr="00D07B67">
        <w:rPr>
          <w:sz w:val="23"/>
          <w:szCs w:val="23"/>
          <w:lang w:val="fr-FR"/>
        </w:rPr>
        <w:t xml:space="preserve">e-mail: </w:t>
      </w:r>
      <w:hyperlink r:id="rId9" w:history="1">
        <w:r w:rsidRPr="00D07B67">
          <w:rPr>
            <w:rStyle w:val="Hyperlink"/>
            <w:sz w:val="23"/>
            <w:szCs w:val="23"/>
            <w:lang w:val="fr-FR"/>
          </w:rPr>
          <w:t>profodilanei@gmail.co</w:t>
        </w:r>
        <w:r w:rsidRPr="00D07B67">
          <w:rPr>
            <w:rStyle w:val="Hyperlink"/>
          </w:rPr>
          <w:t>m</w:t>
        </w:r>
      </w:hyperlink>
      <w:r w:rsidRPr="008F493B">
        <w:t xml:space="preserve">  </w:t>
      </w:r>
      <w:r w:rsidRPr="008F493B">
        <w:rPr>
          <w:sz w:val="23"/>
          <w:szCs w:val="23"/>
          <w:lang w:val="fr-FR"/>
        </w:rPr>
        <w:t xml:space="preserve"> </w:t>
      </w:r>
    </w:p>
    <w:p w14:paraId="4B351A2A" w14:textId="77777777" w:rsidR="0039002B" w:rsidRDefault="0039002B" w:rsidP="0039002B">
      <w:pPr>
        <w:ind w:firstLine="709"/>
        <w:jc w:val="center"/>
        <w:rPr>
          <w:rFonts w:eastAsia="Calibri"/>
          <w:color w:val="000000" w:themeColor="text1"/>
          <w:sz w:val="24"/>
          <w:szCs w:val="24"/>
          <w:lang w:val="pt-PT"/>
        </w:rPr>
      </w:pPr>
      <w:r w:rsidRPr="007C5EBD">
        <w:rPr>
          <w:rFonts w:eastAsia="Calibri"/>
          <w:color w:val="000000" w:themeColor="text1"/>
          <w:sz w:val="24"/>
          <w:szCs w:val="24"/>
          <w:lang w:val="pt-PT"/>
        </w:rPr>
        <w:t xml:space="preserve"> </w:t>
      </w:r>
    </w:p>
    <w:p w14:paraId="362FF194" w14:textId="77777777" w:rsidR="0044177A" w:rsidRPr="007C5EBD" w:rsidRDefault="0044177A" w:rsidP="0039002B">
      <w:pPr>
        <w:ind w:firstLine="709"/>
        <w:jc w:val="center"/>
        <w:rPr>
          <w:rFonts w:eastAsia="Calibri"/>
          <w:color w:val="000000" w:themeColor="text1"/>
          <w:sz w:val="24"/>
          <w:szCs w:val="24"/>
          <w:lang w:val="pt-PT"/>
        </w:rPr>
      </w:pPr>
    </w:p>
    <w:p w14:paraId="5A139B39" w14:textId="0B8E1C66" w:rsidR="008A18FE" w:rsidRDefault="0039002B" w:rsidP="005C1AD1">
      <w:pPr>
        <w:autoSpaceDE w:val="0"/>
        <w:autoSpaceDN w:val="0"/>
        <w:adjustRightInd w:val="0"/>
        <w:jc w:val="both"/>
        <w:rPr>
          <w:color w:val="000000" w:themeColor="text1"/>
          <w:sz w:val="24"/>
          <w:szCs w:val="24"/>
        </w:rPr>
      </w:pPr>
      <w:r w:rsidRPr="007C5EBD">
        <w:rPr>
          <w:b/>
          <w:color w:val="000000" w:themeColor="text1"/>
          <w:sz w:val="24"/>
          <w:szCs w:val="24"/>
        </w:rPr>
        <w:t>R</w:t>
      </w:r>
      <w:r>
        <w:rPr>
          <w:b/>
          <w:color w:val="000000" w:themeColor="text1"/>
          <w:sz w:val="24"/>
          <w:szCs w:val="24"/>
        </w:rPr>
        <w:t>esumo</w:t>
      </w:r>
      <w:r w:rsidRPr="007C5EBD">
        <w:rPr>
          <w:b/>
          <w:color w:val="000000" w:themeColor="text1"/>
          <w:sz w:val="24"/>
          <w:szCs w:val="24"/>
        </w:rPr>
        <w:t xml:space="preserve">: </w:t>
      </w:r>
      <w:r w:rsidR="00D227B8" w:rsidRPr="00D227B8">
        <w:rPr>
          <w:color w:val="000000" w:themeColor="text1"/>
          <w:sz w:val="24"/>
          <w:szCs w:val="24"/>
        </w:rPr>
        <w:t>Com o objetivo de determinar o nível de legibilidade das notas explicativas (NEs) das demonstrações contábeis das empresas brasileiras listadas na B3, considerando as métricas Índice de Facilidade de Leitura de Flesh (FLF), tamanho e comprimento dos arquivos e verificar se a adoção das normas internacionais de contabilidade no Brasil influenciou o nível de legibilidade das NEs, bem como os determinantes que possam impactar na legibilidade das NEs, desenvolveu-se um estudo quantitativo, utilizando-se os dados dos anos de 2005, 2010 e 2015. A amostra foi composta entre 205 e 164 empresas, variando de acordo com os testes estatísticos aplicados. A motivação do estudo pauta-se no fato que a adoção de normas internacionais de contabilidade fornece um contexto interessante para que sejam realizados estudos comparativos e considera que a legibilidade impacta nas atividades e nas decisões dos usuários da informação contábil. Pode-se verificar que as NEs em 2010 e 2015 possuem menor nível de legibilidade em comparação com 2005. Constatou-se ainda que as NEs, quando avaliadas pelo índice FLF, são consideradas de difícil leitura resultado este condizente com os estudos internacionais.  Em relação aos determinantes, obteve-se evidências empíricas de que o tamanho e o desempenho impactam nas métricas de legibilidade das NEs das empresas brasileiras de capital aberto.</w:t>
      </w:r>
    </w:p>
    <w:p w14:paraId="797E31E7" w14:textId="77777777" w:rsidR="008A18FE" w:rsidRDefault="008A18FE" w:rsidP="005C1AD1">
      <w:pPr>
        <w:autoSpaceDE w:val="0"/>
        <w:autoSpaceDN w:val="0"/>
        <w:adjustRightInd w:val="0"/>
        <w:jc w:val="both"/>
        <w:rPr>
          <w:color w:val="000000" w:themeColor="text1"/>
          <w:sz w:val="24"/>
          <w:szCs w:val="24"/>
        </w:rPr>
      </w:pPr>
    </w:p>
    <w:p w14:paraId="4F398C14" w14:textId="33706AC3" w:rsidR="0039002B" w:rsidRPr="007C5EBD" w:rsidRDefault="0039002B" w:rsidP="0039002B">
      <w:pPr>
        <w:autoSpaceDE w:val="0"/>
        <w:autoSpaceDN w:val="0"/>
        <w:adjustRightInd w:val="0"/>
        <w:jc w:val="both"/>
        <w:rPr>
          <w:color w:val="000000" w:themeColor="text1"/>
          <w:sz w:val="24"/>
          <w:szCs w:val="24"/>
        </w:rPr>
      </w:pPr>
      <w:r w:rsidRPr="007C5EBD">
        <w:rPr>
          <w:b/>
          <w:color w:val="000000" w:themeColor="text1"/>
          <w:sz w:val="24"/>
          <w:szCs w:val="24"/>
        </w:rPr>
        <w:t>Palavras-chave:</w:t>
      </w:r>
      <w:r w:rsidRPr="007C5EBD">
        <w:rPr>
          <w:color w:val="000000" w:themeColor="text1"/>
          <w:sz w:val="24"/>
          <w:szCs w:val="24"/>
        </w:rPr>
        <w:t xml:space="preserve"> Notas explicativas; legibilidade das notas explicativas; determinantes da legibilidade d</w:t>
      </w:r>
      <w:r>
        <w:rPr>
          <w:color w:val="000000" w:themeColor="text1"/>
          <w:sz w:val="24"/>
          <w:szCs w:val="24"/>
        </w:rPr>
        <w:t>as</w:t>
      </w:r>
      <w:r w:rsidRPr="007C5EBD">
        <w:rPr>
          <w:color w:val="000000" w:themeColor="text1"/>
          <w:sz w:val="24"/>
          <w:szCs w:val="24"/>
        </w:rPr>
        <w:t xml:space="preserve"> notas explicativas</w:t>
      </w:r>
      <w:r>
        <w:rPr>
          <w:color w:val="000000" w:themeColor="text1"/>
          <w:sz w:val="24"/>
          <w:szCs w:val="24"/>
        </w:rPr>
        <w:t>.</w:t>
      </w:r>
    </w:p>
    <w:p w14:paraId="7535413B" w14:textId="77777777" w:rsidR="00D07B67" w:rsidRDefault="00D07B67" w:rsidP="0039002B">
      <w:pPr>
        <w:autoSpaceDE w:val="0"/>
        <w:autoSpaceDN w:val="0"/>
        <w:adjustRightInd w:val="0"/>
        <w:jc w:val="both"/>
        <w:rPr>
          <w:b/>
          <w:color w:val="000000" w:themeColor="text1"/>
          <w:sz w:val="24"/>
          <w:szCs w:val="24"/>
        </w:rPr>
      </w:pPr>
    </w:p>
    <w:p w14:paraId="6FBE9107" w14:textId="52CF2DF5" w:rsidR="0039002B" w:rsidRPr="007C5EBD" w:rsidRDefault="000763AC" w:rsidP="0039002B">
      <w:pPr>
        <w:autoSpaceDE w:val="0"/>
        <w:autoSpaceDN w:val="0"/>
        <w:adjustRightInd w:val="0"/>
        <w:jc w:val="both"/>
        <w:rPr>
          <w:color w:val="000000" w:themeColor="text1"/>
          <w:sz w:val="24"/>
          <w:szCs w:val="24"/>
        </w:rPr>
      </w:pPr>
      <w:r>
        <w:rPr>
          <w:b/>
          <w:color w:val="000000" w:themeColor="text1"/>
          <w:sz w:val="24"/>
          <w:szCs w:val="24"/>
        </w:rPr>
        <w:t>Linha</w:t>
      </w:r>
      <w:r w:rsidR="0039002B" w:rsidRPr="007C5EBD">
        <w:rPr>
          <w:b/>
          <w:color w:val="000000" w:themeColor="text1"/>
          <w:sz w:val="24"/>
          <w:szCs w:val="24"/>
        </w:rPr>
        <w:t xml:space="preserve"> temática: </w:t>
      </w:r>
      <w:r w:rsidR="0039002B" w:rsidRPr="007C5EBD">
        <w:rPr>
          <w:color w:val="000000" w:themeColor="text1"/>
          <w:sz w:val="24"/>
          <w:szCs w:val="24"/>
        </w:rPr>
        <w:t>Contabilidade financeira.</w:t>
      </w:r>
    </w:p>
    <w:p w14:paraId="7CCEB2D9" w14:textId="77777777" w:rsidR="0039002B" w:rsidRDefault="0039002B" w:rsidP="0039002B">
      <w:pPr>
        <w:autoSpaceDE w:val="0"/>
        <w:autoSpaceDN w:val="0"/>
        <w:adjustRightInd w:val="0"/>
        <w:ind w:firstLine="709"/>
        <w:jc w:val="both"/>
        <w:rPr>
          <w:b/>
          <w:color w:val="000000" w:themeColor="text1"/>
          <w:sz w:val="24"/>
          <w:szCs w:val="24"/>
        </w:rPr>
      </w:pPr>
    </w:p>
    <w:p w14:paraId="17147444" w14:textId="77777777" w:rsidR="00D07B67" w:rsidRDefault="00D07B67" w:rsidP="0039002B">
      <w:pPr>
        <w:autoSpaceDE w:val="0"/>
        <w:autoSpaceDN w:val="0"/>
        <w:adjustRightInd w:val="0"/>
        <w:ind w:firstLine="709"/>
        <w:jc w:val="both"/>
        <w:rPr>
          <w:b/>
          <w:color w:val="000000" w:themeColor="text1"/>
          <w:sz w:val="24"/>
          <w:szCs w:val="24"/>
        </w:rPr>
      </w:pPr>
    </w:p>
    <w:p w14:paraId="06BD03B0" w14:textId="77777777" w:rsidR="00D07B67" w:rsidRDefault="00D07B67" w:rsidP="0039002B">
      <w:pPr>
        <w:autoSpaceDE w:val="0"/>
        <w:autoSpaceDN w:val="0"/>
        <w:adjustRightInd w:val="0"/>
        <w:ind w:firstLine="709"/>
        <w:jc w:val="both"/>
        <w:rPr>
          <w:b/>
          <w:color w:val="000000" w:themeColor="text1"/>
          <w:sz w:val="24"/>
          <w:szCs w:val="24"/>
        </w:rPr>
      </w:pPr>
    </w:p>
    <w:p w14:paraId="30F1D544" w14:textId="77777777" w:rsidR="008A18FE" w:rsidRDefault="008A18FE" w:rsidP="0039002B">
      <w:pPr>
        <w:autoSpaceDE w:val="0"/>
        <w:autoSpaceDN w:val="0"/>
        <w:adjustRightInd w:val="0"/>
        <w:ind w:firstLine="709"/>
        <w:jc w:val="both"/>
        <w:rPr>
          <w:b/>
          <w:color w:val="000000" w:themeColor="text1"/>
          <w:sz w:val="24"/>
          <w:szCs w:val="24"/>
        </w:rPr>
      </w:pPr>
    </w:p>
    <w:p w14:paraId="488F5EE1" w14:textId="77777777" w:rsidR="008A18FE" w:rsidRDefault="008A18FE" w:rsidP="0039002B">
      <w:pPr>
        <w:autoSpaceDE w:val="0"/>
        <w:autoSpaceDN w:val="0"/>
        <w:adjustRightInd w:val="0"/>
        <w:ind w:firstLine="709"/>
        <w:jc w:val="both"/>
        <w:rPr>
          <w:b/>
          <w:color w:val="000000" w:themeColor="text1"/>
          <w:sz w:val="24"/>
          <w:szCs w:val="24"/>
        </w:rPr>
      </w:pPr>
    </w:p>
    <w:p w14:paraId="3F37BB06" w14:textId="77777777" w:rsidR="008A18FE" w:rsidRDefault="008A18FE" w:rsidP="0039002B">
      <w:pPr>
        <w:autoSpaceDE w:val="0"/>
        <w:autoSpaceDN w:val="0"/>
        <w:adjustRightInd w:val="0"/>
        <w:ind w:firstLine="709"/>
        <w:jc w:val="both"/>
        <w:rPr>
          <w:b/>
          <w:color w:val="000000" w:themeColor="text1"/>
          <w:sz w:val="24"/>
          <w:szCs w:val="24"/>
        </w:rPr>
      </w:pPr>
    </w:p>
    <w:p w14:paraId="580EB47D" w14:textId="77777777" w:rsidR="008A18FE" w:rsidRDefault="008A18FE" w:rsidP="0039002B">
      <w:pPr>
        <w:autoSpaceDE w:val="0"/>
        <w:autoSpaceDN w:val="0"/>
        <w:adjustRightInd w:val="0"/>
        <w:ind w:firstLine="709"/>
        <w:jc w:val="both"/>
        <w:rPr>
          <w:b/>
          <w:color w:val="000000" w:themeColor="text1"/>
          <w:sz w:val="24"/>
          <w:szCs w:val="24"/>
        </w:rPr>
      </w:pPr>
    </w:p>
    <w:p w14:paraId="472EFB0C" w14:textId="77777777" w:rsidR="008A18FE" w:rsidRDefault="008A18FE" w:rsidP="0039002B">
      <w:pPr>
        <w:autoSpaceDE w:val="0"/>
        <w:autoSpaceDN w:val="0"/>
        <w:adjustRightInd w:val="0"/>
        <w:ind w:firstLine="709"/>
        <w:jc w:val="both"/>
        <w:rPr>
          <w:b/>
          <w:color w:val="000000" w:themeColor="text1"/>
          <w:sz w:val="24"/>
          <w:szCs w:val="24"/>
        </w:rPr>
      </w:pPr>
    </w:p>
    <w:p w14:paraId="7061DAD1" w14:textId="77777777" w:rsidR="008A18FE" w:rsidRDefault="008A18FE" w:rsidP="0039002B">
      <w:pPr>
        <w:autoSpaceDE w:val="0"/>
        <w:autoSpaceDN w:val="0"/>
        <w:adjustRightInd w:val="0"/>
        <w:ind w:firstLine="709"/>
        <w:jc w:val="both"/>
        <w:rPr>
          <w:b/>
          <w:color w:val="000000" w:themeColor="text1"/>
          <w:sz w:val="24"/>
          <w:szCs w:val="24"/>
        </w:rPr>
      </w:pPr>
    </w:p>
    <w:p w14:paraId="75146D7F" w14:textId="77777777" w:rsidR="008A18FE" w:rsidRDefault="008A18FE" w:rsidP="0039002B">
      <w:pPr>
        <w:autoSpaceDE w:val="0"/>
        <w:autoSpaceDN w:val="0"/>
        <w:adjustRightInd w:val="0"/>
        <w:ind w:firstLine="709"/>
        <w:jc w:val="both"/>
        <w:rPr>
          <w:b/>
          <w:color w:val="000000" w:themeColor="text1"/>
          <w:sz w:val="24"/>
          <w:szCs w:val="24"/>
        </w:rPr>
      </w:pPr>
    </w:p>
    <w:p w14:paraId="2BB99ECB" w14:textId="77777777" w:rsidR="008A18FE" w:rsidRDefault="008A18FE" w:rsidP="0039002B">
      <w:pPr>
        <w:autoSpaceDE w:val="0"/>
        <w:autoSpaceDN w:val="0"/>
        <w:adjustRightInd w:val="0"/>
        <w:ind w:firstLine="709"/>
        <w:jc w:val="both"/>
        <w:rPr>
          <w:b/>
          <w:color w:val="000000" w:themeColor="text1"/>
          <w:sz w:val="24"/>
          <w:szCs w:val="24"/>
        </w:rPr>
      </w:pPr>
    </w:p>
    <w:p w14:paraId="7ABC8145" w14:textId="77777777" w:rsidR="000763AC" w:rsidRDefault="000763AC" w:rsidP="0039002B">
      <w:pPr>
        <w:autoSpaceDE w:val="0"/>
        <w:autoSpaceDN w:val="0"/>
        <w:adjustRightInd w:val="0"/>
        <w:ind w:firstLine="709"/>
        <w:jc w:val="both"/>
        <w:rPr>
          <w:b/>
          <w:color w:val="000000" w:themeColor="text1"/>
          <w:sz w:val="24"/>
          <w:szCs w:val="24"/>
        </w:rPr>
      </w:pPr>
    </w:p>
    <w:p w14:paraId="2CB82A61" w14:textId="77777777" w:rsidR="000763AC" w:rsidRDefault="000763AC" w:rsidP="0039002B">
      <w:pPr>
        <w:autoSpaceDE w:val="0"/>
        <w:autoSpaceDN w:val="0"/>
        <w:adjustRightInd w:val="0"/>
        <w:ind w:firstLine="709"/>
        <w:jc w:val="both"/>
        <w:rPr>
          <w:b/>
          <w:color w:val="000000" w:themeColor="text1"/>
          <w:sz w:val="24"/>
          <w:szCs w:val="24"/>
        </w:rPr>
      </w:pPr>
    </w:p>
    <w:p w14:paraId="0B0D9CC1" w14:textId="77777777" w:rsidR="008A18FE" w:rsidRDefault="008A18FE" w:rsidP="0039002B">
      <w:pPr>
        <w:autoSpaceDE w:val="0"/>
        <w:autoSpaceDN w:val="0"/>
        <w:adjustRightInd w:val="0"/>
        <w:ind w:firstLine="709"/>
        <w:jc w:val="both"/>
        <w:rPr>
          <w:b/>
          <w:color w:val="000000" w:themeColor="text1"/>
          <w:sz w:val="24"/>
          <w:szCs w:val="24"/>
        </w:rPr>
      </w:pPr>
    </w:p>
    <w:p w14:paraId="244344C6" w14:textId="77777777" w:rsidR="008A18FE" w:rsidRDefault="008A18FE" w:rsidP="0039002B">
      <w:pPr>
        <w:autoSpaceDE w:val="0"/>
        <w:autoSpaceDN w:val="0"/>
        <w:adjustRightInd w:val="0"/>
        <w:ind w:firstLine="709"/>
        <w:jc w:val="both"/>
        <w:rPr>
          <w:b/>
          <w:color w:val="000000" w:themeColor="text1"/>
          <w:sz w:val="24"/>
          <w:szCs w:val="24"/>
        </w:rPr>
      </w:pPr>
    </w:p>
    <w:p w14:paraId="43B21D4C" w14:textId="77777777" w:rsidR="008A18FE" w:rsidRDefault="008A18FE" w:rsidP="0039002B">
      <w:pPr>
        <w:autoSpaceDE w:val="0"/>
        <w:autoSpaceDN w:val="0"/>
        <w:adjustRightInd w:val="0"/>
        <w:ind w:firstLine="709"/>
        <w:jc w:val="both"/>
        <w:rPr>
          <w:b/>
          <w:color w:val="000000" w:themeColor="text1"/>
          <w:sz w:val="24"/>
          <w:szCs w:val="24"/>
        </w:rPr>
      </w:pPr>
    </w:p>
    <w:p w14:paraId="20B03209" w14:textId="77777777" w:rsidR="0039002B" w:rsidRPr="007C5EBD" w:rsidRDefault="0039002B" w:rsidP="00DD2595">
      <w:pPr>
        <w:pStyle w:val="PargrafodaLista"/>
        <w:numPr>
          <w:ilvl w:val="0"/>
          <w:numId w:val="2"/>
        </w:numPr>
        <w:suppressAutoHyphens w:val="0"/>
        <w:autoSpaceDE w:val="0"/>
        <w:autoSpaceDN w:val="0"/>
        <w:adjustRightInd w:val="0"/>
        <w:spacing w:before="120"/>
        <w:ind w:left="0" w:firstLine="0"/>
        <w:jc w:val="both"/>
        <w:rPr>
          <w:b/>
          <w:color w:val="000000" w:themeColor="text1"/>
          <w:sz w:val="24"/>
          <w:szCs w:val="24"/>
        </w:rPr>
      </w:pPr>
      <w:bookmarkStart w:id="0" w:name="_GoBack"/>
      <w:bookmarkEnd w:id="0"/>
      <w:r>
        <w:rPr>
          <w:b/>
          <w:color w:val="000000" w:themeColor="text1"/>
          <w:sz w:val="24"/>
          <w:szCs w:val="24"/>
        </w:rPr>
        <w:lastRenderedPageBreak/>
        <w:t xml:space="preserve">Introdução </w:t>
      </w:r>
    </w:p>
    <w:p w14:paraId="227C38D8" w14:textId="691A16E1"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A informação contábil</w:t>
      </w:r>
      <w:r w:rsidR="00AE0E75">
        <w:rPr>
          <w:color w:val="000000" w:themeColor="text1"/>
          <w:sz w:val="24"/>
          <w:szCs w:val="24"/>
        </w:rPr>
        <w:t>,</w:t>
      </w:r>
      <w:r w:rsidRPr="007C5EBD">
        <w:rPr>
          <w:color w:val="000000" w:themeColor="text1"/>
          <w:sz w:val="24"/>
          <w:szCs w:val="24"/>
        </w:rPr>
        <w:t xml:space="preserve"> de acordo com Beyer, Cohen, Lys &amp; Walther (2010)</w:t>
      </w:r>
      <w:r w:rsidR="00AE0E75">
        <w:rPr>
          <w:color w:val="000000" w:themeColor="text1"/>
          <w:sz w:val="24"/>
          <w:szCs w:val="24"/>
        </w:rPr>
        <w:t>,</w:t>
      </w:r>
      <w:r w:rsidRPr="007C5EBD">
        <w:rPr>
          <w:color w:val="000000" w:themeColor="text1"/>
          <w:sz w:val="24"/>
          <w:szCs w:val="24"/>
        </w:rPr>
        <w:t xml:space="preserve"> desempenha dois papéis importantes nas economias de mercado</w:t>
      </w:r>
      <w:r w:rsidR="00AE0E75">
        <w:rPr>
          <w:color w:val="000000" w:themeColor="text1"/>
          <w:sz w:val="24"/>
          <w:szCs w:val="24"/>
        </w:rPr>
        <w:t>s</w:t>
      </w:r>
      <w:r w:rsidRPr="007C5EBD">
        <w:rPr>
          <w:color w:val="000000" w:themeColor="text1"/>
          <w:sz w:val="24"/>
          <w:szCs w:val="24"/>
        </w:rPr>
        <w:t>, sendo o primeiro a possibilidade de os investidores avaliarem o potencial retorno diante das oportunidades de investimentos (</w:t>
      </w:r>
      <w:r w:rsidRPr="007C5EBD">
        <w:rPr>
          <w:i/>
          <w:color w:val="000000" w:themeColor="text1"/>
          <w:sz w:val="24"/>
          <w:szCs w:val="24"/>
        </w:rPr>
        <w:t>ex-ante</w:t>
      </w:r>
      <w:r w:rsidRPr="007C5EBD">
        <w:rPr>
          <w:color w:val="000000" w:themeColor="text1"/>
          <w:sz w:val="24"/>
          <w:szCs w:val="24"/>
        </w:rPr>
        <w:t>) e</w:t>
      </w:r>
      <w:r w:rsidR="00AE0E75">
        <w:rPr>
          <w:color w:val="000000" w:themeColor="text1"/>
          <w:sz w:val="24"/>
          <w:szCs w:val="24"/>
        </w:rPr>
        <w:t>,</w:t>
      </w:r>
      <w:r w:rsidRPr="007C5EBD">
        <w:rPr>
          <w:color w:val="000000" w:themeColor="text1"/>
          <w:sz w:val="24"/>
          <w:szCs w:val="24"/>
        </w:rPr>
        <w:t xml:space="preserve"> </w:t>
      </w:r>
      <w:r w:rsidR="00AE0E75">
        <w:rPr>
          <w:color w:val="000000" w:themeColor="text1"/>
          <w:sz w:val="24"/>
          <w:szCs w:val="24"/>
        </w:rPr>
        <w:t xml:space="preserve">o </w:t>
      </w:r>
      <w:r w:rsidRPr="007C5EBD">
        <w:rPr>
          <w:color w:val="000000" w:themeColor="text1"/>
          <w:sz w:val="24"/>
          <w:szCs w:val="24"/>
        </w:rPr>
        <w:t>segundo</w:t>
      </w:r>
      <w:r w:rsidR="00AE0E75">
        <w:rPr>
          <w:color w:val="000000" w:themeColor="text1"/>
          <w:sz w:val="24"/>
          <w:szCs w:val="24"/>
        </w:rPr>
        <w:t>,</w:t>
      </w:r>
      <w:r w:rsidRPr="007C5EBD">
        <w:rPr>
          <w:color w:val="000000" w:themeColor="text1"/>
          <w:sz w:val="24"/>
          <w:szCs w:val="24"/>
        </w:rPr>
        <w:t xml:space="preserve"> </w:t>
      </w:r>
      <w:r w:rsidR="00AE0E75">
        <w:rPr>
          <w:color w:val="000000" w:themeColor="text1"/>
          <w:sz w:val="24"/>
          <w:szCs w:val="24"/>
        </w:rPr>
        <w:t xml:space="preserve">de </w:t>
      </w:r>
      <w:r w:rsidRPr="007C5EBD">
        <w:rPr>
          <w:color w:val="000000" w:themeColor="text1"/>
          <w:sz w:val="24"/>
          <w:szCs w:val="24"/>
        </w:rPr>
        <w:t>permit</w:t>
      </w:r>
      <w:r w:rsidR="00CC6DCC">
        <w:rPr>
          <w:color w:val="000000" w:themeColor="text1"/>
          <w:sz w:val="24"/>
          <w:szCs w:val="24"/>
        </w:rPr>
        <w:t>ir</w:t>
      </w:r>
      <w:r w:rsidRPr="007C5EBD">
        <w:rPr>
          <w:color w:val="000000" w:themeColor="text1"/>
          <w:sz w:val="24"/>
          <w:szCs w:val="24"/>
        </w:rPr>
        <w:t xml:space="preserve"> aos investidores monitorar o capital comprometido (</w:t>
      </w:r>
      <w:r w:rsidRPr="007C5EBD">
        <w:rPr>
          <w:i/>
          <w:color w:val="000000" w:themeColor="text1"/>
          <w:sz w:val="24"/>
          <w:szCs w:val="24"/>
        </w:rPr>
        <w:t>ex-post</w:t>
      </w:r>
      <w:r w:rsidRPr="007C5EBD">
        <w:rPr>
          <w:color w:val="000000" w:themeColor="text1"/>
          <w:sz w:val="24"/>
          <w:szCs w:val="24"/>
        </w:rPr>
        <w:t>). Com isso</w:t>
      </w:r>
      <w:r w:rsidR="00AE0E75">
        <w:rPr>
          <w:color w:val="000000" w:themeColor="text1"/>
          <w:sz w:val="24"/>
          <w:szCs w:val="24"/>
        </w:rPr>
        <w:t>,</w:t>
      </w:r>
      <w:r w:rsidRPr="007C5EBD">
        <w:rPr>
          <w:color w:val="000000" w:themeColor="text1"/>
          <w:sz w:val="24"/>
          <w:szCs w:val="24"/>
        </w:rPr>
        <w:t xml:space="preserve"> fica evidente a finalidade de informação contábeis claras e precisas, com poder informativo. </w:t>
      </w:r>
    </w:p>
    <w:p w14:paraId="129D8B71" w14:textId="20CF2EE2" w:rsidR="0039002B" w:rsidRPr="007C5EBD" w:rsidRDefault="0039002B" w:rsidP="0039002B">
      <w:pPr>
        <w:tabs>
          <w:tab w:val="left" w:pos="4536"/>
        </w:tabs>
        <w:autoSpaceDE w:val="0"/>
        <w:autoSpaceDN w:val="0"/>
        <w:adjustRightInd w:val="0"/>
        <w:ind w:firstLine="709"/>
        <w:jc w:val="both"/>
        <w:rPr>
          <w:color w:val="000000" w:themeColor="text1"/>
          <w:sz w:val="24"/>
          <w:szCs w:val="24"/>
        </w:rPr>
      </w:pPr>
      <w:r w:rsidRPr="007C5EBD">
        <w:rPr>
          <w:color w:val="000000" w:themeColor="text1"/>
          <w:sz w:val="24"/>
          <w:szCs w:val="24"/>
        </w:rPr>
        <w:t>Um dos princípios da comunicação efetiva é que as mensagens recebidas pelos leitores sejam interpretadas da mesma maneira que foi enviada pelo remetente</w:t>
      </w:r>
      <w:r w:rsidR="00AE0E75">
        <w:rPr>
          <w:color w:val="000000" w:themeColor="text1"/>
          <w:sz w:val="24"/>
          <w:szCs w:val="24"/>
        </w:rPr>
        <w:t>. N</w:t>
      </w:r>
      <w:r w:rsidRPr="007C5EBD">
        <w:rPr>
          <w:color w:val="000000" w:themeColor="text1"/>
          <w:sz w:val="24"/>
          <w:szCs w:val="24"/>
        </w:rPr>
        <w:t>o entanto, segundo Courtis (1995)</w:t>
      </w:r>
      <w:r w:rsidR="00AE0E75">
        <w:rPr>
          <w:color w:val="000000" w:themeColor="text1"/>
          <w:sz w:val="24"/>
          <w:szCs w:val="24"/>
        </w:rPr>
        <w:t>,</w:t>
      </w:r>
      <w:r w:rsidRPr="007C5EBD">
        <w:rPr>
          <w:color w:val="000000" w:themeColor="text1"/>
          <w:sz w:val="24"/>
          <w:szCs w:val="24"/>
        </w:rPr>
        <w:t xml:space="preserve"> um impedimento a esta condição acontece quando as divulgações narrativas dentro dos relatórios anuais da empresa são escritas em um nível de compreensão que ultrapassa a capacidade de grande parte do público-alvo. </w:t>
      </w:r>
    </w:p>
    <w:p w14:paraId="40FB20C7" w14:textId="4746567D" w:rsidR="0039002B" w:rsidRPr="007C5EBD" w:rsidRDefault="0039002B" w:rsidP="0039002B">
      <w:pPr>
        <w:tabs>
          <w:tab w:val="left" w:pos="4536"/>
        </w:tabs>
        <w:autoSpaceDE w:val="0"/>
        <w:autoSpaceDN w:val="0"/>
        <w:adjustRightInd w:val="0"/>
        <w:ind w:firstLine="709"/>
        <w:jc w:val="both"/>
        <w:rPr>
          <w:color w:val="000000" w:themeColor="text1"/>
          <w:sz w:val="24"/>
          <w:szCs w:val="24"/>
        </w:rPr>
      </w:pPr>
      <w:r w:rsidRPr="007C5EBD">
        <w:rPr>
          <w:color w:val="000000" w:themeColor="text1"/>
          <w:sz w:val="24"/>
          <w:szCs w:val="24"/>
        </w:rPr>
        <w:t>Courtis (1995) ressalta que o uso de uma escrita difícil de ler pode ocorrer de forma intencional ou involuntária, mas que em ambos os casos o efeito é o mesmo e a consequência é a que pelo menos alguns dos investidores não terão condições de utilizar essas informações para a tomada de decisões. O autor ainda descreve que o uso de linguagem difícil de se ler pode ter a intenção de ocultar algum aspecto desfavorável do comportamento da empresa.</w:t>
      </w:r>
    </w:p>
    <w:p w14:paraId="7D254B01" w14:textId="77777777" w:rsidR="0039002B" w:rsidRPr="007C5EBD" w:rsidRDefault="0039002B" w:rsidP="0039002B">
      <w:pPr>
        <w:tabs>
          <w:tab w:val="left" w:pos="4536"/>
        </w:tabs>
        <w:autoSpaceDE w:val="0"/>
        <w:autoSpaceDN w:val="0"/>
        <w:adjustRightInd w:val="0"/>
        <w:ind w:firstLine="709"/>
        <w:jc w:val="both"/>
        <w:rPr>
          <w:color w:val="000000" w:themeColor="text1"/>
          <w:sz w:val="24"/>
          <w:szCs w:val="24"/>
        </w:rPr>
      </w:pPr>
      <w:r w:rsidRPr="007C5EBD">
        <w:rPr>
          <w:color w:val="000000" w:themeColor="text1"/>
          <w:sz w:val="24"/>
          <w:szCs w:val="24"/>
        </w:rPr>
        <w:t xml:space="preserve">Essa comunicação ineficaz, de acordo com Courtis (1995), aumentaria a probabilidade de não investimento de recursos por parte do investidor, e assim contraria aquilo que </w:t>
      </w:r>
      <w:bookmarkStart w:id="1" w:name="_Hlk495837703"/>
      <w:r w:rsidRPr="007C5EBD">
        <w:rPr>
          <w:color w:val="000000" w:themeColor="text1"/>
          <w:sz w:val="24"/>
          <w:szCs w:val="24"/>
        </w:rPr>
        <w:t xml:space="preserve">Kothary, </w:t>
      </w:r>
      <w:r w:rsidRPr="007C5EBD">
        <w:rPr>
          <w:color w:val="000000" w:themeColor="text1"/>
          <w:sz w:val="24"/>
          <w:szCs w:val="24"/>
          <w:shd w:val="clear" w:color="auto" w:fill="FFFFFF"/>
        </w:rPr>
        <w:t>Ramanna &amp; Skinner</w:t>
      </w:r>
      <w:r w:rsidRPr="007C5EBD">
        <w:rPr>
          <w:color w:val="000000" w:themeColor="text1"/>
          <w:sz w:val="24"/>
          <w:szCs w:val="24"/>
        </w:rPr>
        <w:t xml:space="preserve"> (2010) </w:t>
      </w:r>
      <w:bookmarkEnd w:id="1"/>
      <w:r w:rsidRPr="007C5EBD">
        <w:rPr>
          <w:color w:val="000000" w:themeColor="text1"/>
          <w:sz w:val="24"/>
          <w:szCs w:val="24"/>
        </w:rPr>
        <w:t xml:space="preserve">consideram como uma função fundamental da contabilidade que é a de fornecer informações adequadas para facilitar a alocação eficiente de recursos na economia. </w:t>
      </w:r>
    </w:p>
    <w:p w14:paraId="1ABB67F7" w14:textId="7070D0B3" w:rsidR="0039002B" w:rsidRPr="007C5EBD" w:rsidRDefault="0039002B" w:rsidP="0039002B">
      <w:pPr>
        <w:tabs>
          <w:tab w:val="left" w:pos="4536"/>
        </w:tabs>
        <w:autoSpaceDE w:val="0"/>
        <w:autoSpaceDN w:val="0"/>
        <w:adjustRightInd w:val="0"/>
        <w:ind w:firstLine="709"/>
        <w:jc w:val="both"/>
        <w:rPr>
          <w:color w:val="000000" w:themeColor="text1"/>
          <w:sz w:val="24"/>
          <w:szCs w:val="24"/>
        </w:rPr>
      </w:pPr>
      <w:r w:rsidRPr="007C5EBD">
        <w:rPr>
          <w:color w:val="000000" w:themeColor="text1"/>
          <w:sz w:val="24"/>
          <w:szCs w:val="24"/>
        </w:rPr>
        <w:t>Loughran &amp; Mcdonald (2014) afirmam que os gerentes de empresas negociadas publicamente são obrigados a produzir documentos públicos que fornecem uma revisão abrangente das operações comerciais e da situação financeira da empresa e são eles, portanto, de acordo com Courtis (1995), os responsáveis por uma comunicação eficiente.</w:t>
      </w:r>
    </w:p>
    <w:p w14:paraId="22903949" w14:textId="39FA243F" w:rsidR="0039002B" w:rsidRPr="007C5EBD" w:rsidRDefault="0039002B" w:rsidP="0039002B">
      <w:pPr>
        <w:tabs>
          <w:tab w:val="left" w:pos="4536"/>
        </w:tabs>
        <w:autoSpaceDE w:val="0"/>
        <w:autoSpaceDN w:val="0"/>
        <w:adjustRightInd w:val="0"/>
        <w:ind w:firstLine="709"/>
        <w:jc w:val="both"/>
        <w:rPr>
          <w:color w:val="000000" w:themeColor="text1"/>
          <w:sz w:val="24"/>
          <w:szCs w:val="24"/>
        </w:rPr>
      </w:pPr>
      <w:r w:rsidRPr="007C5EBD">
        <w:rPr>
          <w:color w:val="000000" w:themeColor="text1"/>
          <w:sz w:val="24"/>
          <w:szCs w:val="24"/>
        </w:rPr>
        <w:t>A adoção d</w:t>
      </w:r>
      <w:r w:rsidR="00AE0E75">
        <w:rPr>
          <w:color w:val="000000" w:themeColor="text1"/>
          <w:sz w:val="24"/>
          <w:szCs w:val="24"/>
        </w:rPr>
        <w:t>as</w:t>
      </w:r>
      <w:r w:rsidRPr="007C5EBD">
        <w:rPr>
          <w:color w:val="000000" w:themeColor="text1"/>
          <w:sz w:val="24"/>
          <w:szCs w:val="24"/>
        </w:rPr>
        <w:t xml:space="preserve"> normas internacionais de contabilidade, segundo Lang &amp; Stice-Lawrence (2015), fornece um contexto interessante para que sejam realizados estudos comparativos</w:t>
      </w:r>
      <w:r w:rsidR="009153AC">
        <w:rPr>
          <w:color w:val="000000" w:themeColor="text1"/>
          <w:sz w:val="24"/>
          <w:szCs w:val="24"/>
        </w:rPr>
        <w:t>, sendo que</w:t>
      </w:r>
      <w:r w:rsidRPr="007C5EBD">
        <w:rPr>
          <w:color w:val="000000" w:themeColor="text1"/>
          <w:sz w:val="24"/>
          <w:szCs w:val="24"/>
        </w:rPr>
        <w:t xml:space="preserve"> do ponto de vista da empresa, a adoção representa um choque exógeno significativo e</w:t>
      </w:r>
      <w:r w:rsidR="009153AC">
        <w:rPr>
          <w:color w:val="000000" w:themeColor="text1"/>
          <w:sz w:val="24"/>
          <w:szCs w:val="24"/>
        </w:rPr>
        <w:t>,</w:t>
      </w:r>
      <w:r w:rsidRPr="007C5EBD">
        <w:rPr>
          <w:color w:val="000000" w:themeColor="text1"/>
          <w:sz w:val="24"/>
          <w:szCs w:val="24"/>
        </w:rPr>
        <w:t xml:space="preserve"> considerando que a pesquisa de divulgação em geral sofre com problemas potenciais de endogeinidade</w:t>
      </w:r>
      <w:r w:rsidR="009153AC">
        <w:rPr>
          <w:color w:val="000000" w:themeColor="text1"/>
          <w:sz w:val="24"/>
          <w:szCs w:val="24"/>
        </w:rPr>
        <w:t>,</w:t>
      </w:r>
      <w:r w:rsidRPr="007C5EBD">
        <w:rPr>
          <w:color w:val="000000" w:themeColor="text1"/>
          <w:sz w:val="24"/>
          <w:szCs w:val="24"/>
        </w:rPr>
        <w:t xml:space="preserve"> o momento d</w:t>
      </w:r>
      <w:r w:rsidR="009153AC">
        <w:rPr>
          <w:color w:val="000000" w:themeColor="text1"/>
          <w:sz w:val="24"/>
          <w:szCs w:val="24"/>
        </w:rPr>
        <w:t>a</w:t>
      </w:r>
      <w:r w:rsidRPr="007C5EBD">
        <w:rPr>
          <w:color w:val="000000" w:themeColor="text1"/>
          <w:sz w:val="24"/>
          <w:szCs w:val="24"/>
        </w:rPr>
        <w:t xml:space="preserve"> adoção obrigatória serve como um controle da empresa. Outra questão apontada pelos autores é que</w:t>
      </w:r>
      <w:r w:rsidR="009153AC">
        <w:rPr>
          <w:color w:val="000000" w:themeColor="text1"/>
          <w:sz w:val="24"/>
          <w:szCs w:val="24"/>
        </w:rPr>
        <w:t>,</w:t>
      </w:r>
      <w:r w:rsidRPr="007C5EBD">
        <w:rPr>
          <w:color w:val="000000" w:themeColor="text1"/>
          <w:sz w:val="24"/>
          <w:szCs w:val="24"/>
        </w:rPr>
        <w:t xml:space="preserve"> embora haja um conjunto substancial de estudos que examinam as características da informação contábil em torno da adoção das IFRS, seu efeito em relação as narrativas textuais ainda não foram plenamente identificadas. </w:t>
      </w:r>
    </w:p>
    <w:p w14:paraId="11F27519" w14:textId="08B92967"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Evidências anteriores, obtidas na literatura especializada, conforme demonstrado por Loughran &amp; Mcdonald (2014), demonstram que os investidores são afetados pela legibilidade dos relatórios anuais. Os autores mencionam que: a) os investidores do varejo são mais propensos a investir em empresas com relatório</w:t>
      </w:r>
      <w:r w:rsidR="00CC6DCC">
        <w:rPr>
          <w:color w:val="000000" w:themeColor="text1"/>
          <w:sz w:val="24"/>
          <w:szCs w:val="24"/>
        </w:rPr>
        <w:t>s mais curtos e legíveis,  evidê</w:t>
      </w:r>
      <w:r w:rsidRPr="007C5EBD">
        <w:rPr>
          <w:color w:val="000000" w:themeColor="text1"/>
          <w:sz w:val="24"/>
          <w:szCs w:val="24"/>
        </w:rPr>
        <w:t xml:space="preserve">ncia obtida </w:t>
      </w:r>
      <w:r w:rsidR="00CC6DCC">
        <w:rPr>
          <w:color w:val="000000" w:themeColor="text1"/>
          <w:sz w:val="24"/>
          <w:szCs w:val="24"/>
        </w:rPr>
        <w:t>em</w:t>
      </w:r>
      <w:r w:rsidRPr="007C5EBD">
        <w:rPr>
          <w:color w:val="000000" w:themeColor="text1"/>
          <w:sz w:val="24"/>
          <w:szCs w:val="24"/>
        </w:rPr>
        <w:t xml:space="preserve"> Lawrence (2013); b) empresas com documentos melhor escritos tem uma atividade de negociação com pequenos investidores mais pronunciada em torno da data de arquivamento, conforme o estudo de Miller (2010);  c) a legibilidade dos relatórios dos analistas também afeta as negociações, medida pelo volume de negócio, dado os resultados obtidos em estudos anteriores que encontram relação positiva entre legibilidade do relatório do analista e a reação do volume de negócios aos relatórios, conforme De Franco, Hope, Vyas &amp; Zhou (2015); d) empresas com textos menos legíveis tem maior cobertura de analistas, previsões de analistas com maior dispersão e com menor precisão conforme Lehavy, Li &amp; Merkley (2011).</w:t>
      </w:r>
    </w:p>
    <w:p w14:paraId="1D82EFD0" w14:textId="7C635B53" w:rsidR="0039002B" w:rsidRPr="00A4602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Assim, a justificativa explicitada por Lang &amp; Stice-Lawrence (2015) para estudos em ambientes de adoção de normas internacionais e as formas que a legibilidade afeta os investidores</w:t>
      </w:r>
      <w:r w:rsidR="009153AC">
        <w:rPr>
          <w:color w:val="000000" w:themeColor="text1"/>
          <w:sz w:val="24"/>
          <w:szCs w:val="24"/>
        </w:rPr>
        <w:t>,</w:t>
      </w:r>
      <w:r w:rsidRPr="007C5EBD">
        <w:rPr>
          <w:color w:val="000000" w:themeColor="text1"/>
          <w:sz w:val="24"/>
          <w:szCs w:val="24"/>
        </w:rPr>
        <w:t xml:space="preserve"> conforme descrito por Loughran &amp; Mcdonald (2014), suportam o presente estudo, uma vez que ainda </w:t>
      </w:r>
      <w:r w:rsidR="009153AC">
        <w:rPr>
          <w:color w:val="000000" w:themeColor="text1"/>
          <w:sz w:val="24"/>
          <w:szCs w:val="24"/>
        </w:rPr>
        <w:t>existem demanda por</w:t>
      </w:r>
      <w:r w:rsidRPr="007C5EBD">
        <w:rPr>
          <w:color w:val="000000" w:themeColor="text1"/>
          <w:sz w:val="24"/>
          <w:szCs w:val="24"/>
        </w:rPr>
        <w:t xml:space="preserve"> estudos no ambiente brasileiro te</w:t>
      </w:r>
      <w:r w:rsidR="009153AC">
        <w:rPr>
          <w:color w:val="000000" w:themeColor="text1"/>
          <w:sz w:val="24"/>
          <w:szCs w:val="24"/>
        </w:rPr>
        <w:t>ndo</w:t>
      </w:r>
      <w:r w:rsidRPr="007C5EBD">
        <w:rPr>
          <w:color w:val="000000" w:themeColor="text1"/>
          <w:sz w:val="24"/>
          <w:szCs w:val="24"/>
        </w:rPr>
        <w:t xml:space="preserve"> como foco a </w:t>
      </w:r>
      <w:r w:rsidRPr="007C5EBD">
        <w:rPr>
          <w:color w:val="000000" w:themeColor="text1"/>
          <w:sz w:val="24"/>
          <w:szCs w:val="24"/>
        </w:rPr>
        <w:lastRenderedPageBreak/>
        <w:t>legibilidade das notas explicativas, especialmente</w:t>
      </w:r>
      <w:r w:rsidR="009153AC">
        <w:rPr>
          <w:color w:val="000000" w:themeColor="text1"/>
          <w:sz w:val="24"/>
          <w:szCs w:val="24"/>
        </w:rPr>
        <w:t xml:space="preserve"> em</w:t>
      </w:r>
      <w:r w:rsidRPr="007C5EBD">
        <w:rPr>
          <w:color w:val="000000" w:themeColor="text1"/>
          <w:sz w:val="24"/>
          <w:szCs w:val="24"/>
        </w:rPr>
        <w:t xml:space="preserve"> um contexto de </w:t>
      </w:r>
      <w:r w:rsidR="009153AC">
        <w:rPr>
          <w:color w:val="000000" w:themeColor="text1"/>
          <w:sz w:val="24"/>
          <w:szCs w:val="24"/>
        </w:rPr>
        <w:t xml:space="preserve">vigência das </w:t>
      </w:r>
      <w:r w:rsidRPr="007C5EBD">
        <w:rPr>
          <w:color w:val="000000" w:themeColor="text1"/>
          <w:sz w:val="24"/>
          <w:szCs w:val="24"/>
        </w:rPr>
        <w:t xml:space="preserve">normas internacionais, avaliando-se </w:t>
      </w:r>
      <w:r w:rsidR="009153AC">
        <w:rPr>
          <w:color w:val="000000" w:themeColor="text1"/>
          <w:sz w:val="24"/>
          <w:szCs w:val="24"/>
        </w:rPr>
        <w:t xml:space="preserve">o </w:t>
      </w:r>
      <w:r w:rsidRPr="007C5EBD">
        <w:rPr>
          <w:color w:val="000000" w:themeColor="text1"/>
          <w:sz w:val="24"/>
          <w:szCs w:val="24"/>
        </w:rPr>
        <w:t xml:space="preserve">período de </w:t>
      </w:r>
      <w:r w:rsidRPr="005C1AD1">
        <w:rPr>
          <w:color w:val="000000" w:themeColor="text1"/>
          <w:sz w:val="24"/>
          <w:szCs w:val="24"/>
        </w:rPr>
        <w:t>pré e pós adoção das</w:t>
      </w:r>
      <w:r w:rsidR="005C1AD1" w:rsidRPr="005C1AD1">
        <w:rPr>
          <w:color w:val="000000" w:themeColor="text1"/>
          <w:sz w:val="24"/>
          <w:szCs w:val="24"/>
        </w:rPr>
        <w:t xml:space="preserve"> </w:t>
      </w:r>
      <w:r w:rsidR="005C1AD1" w:rsidRPr="005C1AD1">
        <w:rPr>
          <w:rFonts w:eastAsiaTheme="minorHAnsi"/>
          <w:i/>
          <w:sz w:val="24"/>
          <w:szCs w:val="24"/>
          <w:lang w:val="pt" w:eastAsia="en-US"/>
        </w:rPr>
        <w:t xml:space="preserve">International Financial </w:t>
      </w:r>
      <w:r w:rsidR="005C1AD1" w:rsidRPr="00A4602D">
        <w:rPr>
          <w:rFonts w:eastAsiaTheme="minorHAnsi"/>
          <w:i/>
          <w:sz w:val="24"/>
          <w:szCs w:val="24"/>
          <w:lang w:val="pt" w:eastAsia="en-US"/>
        </w:rPr>
        <w:t>Reporting Standard</w:t>
      </w:r>
      <w:r w:rsidR="005C1AD1" w:rsidRPr="00A4602D">
        <w:rPr>
          <w:color w:val="000000" w:themeColor="text1"/>
          <w:sz w:val="24"/>
          <w:szCs w:val="24"/>
        </w:rPr>
        <w:t>(</w:t>
      </w:r>
      <w:r w:rsidRPr="00A4602D">
        <w:rPr>
          <w:color w:val="000000" w:themeColor="text1"/>
          <w:sz w:val="24"/>
          <w:szCs w:val="24"/>
        </w:rPr>
        <w:t>IFRS</w:t>
      </w:r>
      <w:r w:rsidR="005C1AD1" w:rsidRPr="00A4602D">
        <w:rPr>
          <w:color w:val="000000" w:themeColor="text1"/>
          <w:sz w:val="24"/>
          <w:szCs w:val="24"/>
        </w:rPr>
        <w:t>)</w:t>
      </w:r>
      <w:r w:rsidRPr="00A4602D">
        <w:rPr>
          <w:color w:val="000000" w:themeColor="text1"/>
          <w:sz w:val="24"/>
          <w:szCs w:val="24"/>
        </w:rPr>
        <w:t>.</w:t>
      </w:r>
    </w:p>
    <w:p w14:paraId="4336CD16" w14:textId="29D97E3F" w:rsidR="0039002B" w:rsidRPr="007C5EBD" w:rsidRDefault="0039002B" w:rsidP="0039002B">
      <w:pPr>
        <w:autoSpaceDE w:val="0"/>
        <w:autoSpaceDN w:val="0"/>
        <w:adjustRightInd w:val="0"/>
        <w:ind w:firstLine="709"/>
        <w:jc w:val="both"/>
        <w:rPr>
          <w:color w:val="000000" w:themeColor="text1"/>
          <w:sz w:val="24"/>
          <w:szCs w:val="24"/>
        </w:rPr>
      </w:pPr>
      <w:r w:rsidRPr="00A4602D">
        <w:rPr>
          <w:color w:val="000000" w:themeColor="text1"/>
          <w:sz w:val="24"/>
          <w:szCs w:val="24"/>
        </w:rPr>
        <w:t>As evidências apresentadas</w:t>
      </w:r>
      <w:r w:rsidRPr="007C5EBD">
        <w:rPr>
          <w:color w:val="000000" w:themeColor="text1"/>
          <w:sz w:val="24"/>
          <w:szCs w:val="24"/>
        </w:rPr>
        <w:t xml:space="preserve"> por Loughran &amp; Mcdonald (2014) demonstram que o presente estudo pode ser de interesse de diversos participantes do mercado, em especial a reguladores, investidores e analistas. Outra justificativa para a realização do estudo vem de Moreno &amp; Casasola (2016) que afirmam que os estudos de legibilidade estão concentrados em documentos escritos em inglês e que outras línguas, dentre elas o português, tem sido pouco explorado</w:t>
      </w:r>
      <w:r w:rsidR="009153AC">
        <w:rPr>
          <w:color w:val="000000" w:themeColor="text1"/>
          <w:sz w:val="24"/>
          <w:szCs w:val="24"/>
        </w:rPr>
        <w:t xml:space="preserve"> e</w:t>
      </w:r>
      <w:r w:rsidRPr="007C5EBD">
        <w:rPr>
          <w:color w:val="000000" w:themeColor="text1"/>
          <w:sz w:val="24"/>
          <w:szCs w:val="24"/>
        </w:rPr>
        <w:t xml:space="preserve">, </w:t>
      </w:r>
      <w:r w:rsidR="009153AC">
        <w:rPr>
          <w:color w:val="000000" w:themeColor="text1"/>
          <w:sz w:val="24"/>
          <w:szCs w:val="24"/>
        </w:rPr>
        <w:t>assim,</w:t>
      </w:r>
      <w:r w:rsidRPr="007C5EBD">
        <w:rPr>
          <w:color w:val="000000" w:themeColor="text1"/>
          <w:sz w:val="24"/>
          <w:szCs w:val="24"/>
        </w:rPr>
        <w:t xml:space="preserve"> uma investigação empírica acerca do tema contribui para o avanço das discussões sobre qualidade dos relatórios contábeis, em especifico das seções narrativas.  </w:t>
      </w:r>
    </w:p>
    <w:p w14:paraId="0AC55823" w14:textId="43699A99" w:rsidR="007D546B" w:rsidRDefault="007D546B" w:rsidP="0039002B">
      <w:pPr>
        <w:autoSpaceDE w:val="0"/>
        <w:autoSpaceDN w:val="0"/>
        <w:adjustRightInd w:val="0"/>
        <w:ind w:firstLine="709"/>
        <w:jc w:val="both"/>
        <w:rPr>
          <w:color w:val="000000" w:themeColor="text1"/>
          <w:sz w:val="24"/>
          <w:szCs w:val="24"/>
        </w:rPr>
      </w:pPr>
      <w:r w:rsidRPr="007C5EBD">
        <w:rPr>
          <w:color w:val="000000" w:themeColor="text1"/>
          <w:sz w:val="24"/>
          <w:szCs w:val="24"/>
        </w:rPr>
        <w:t>Diante do contexto apresentado, este estudo tem por objetivo</w:t>
      </w:r>
      <w:r>
        <w:rPr>
          <w:color w:val="000000" w:themeColor="text1"/>
          <w:sz w:val="24"/>
          <w:szCs w:val="24"/>
        </w:rPr>
        <w:t xml:space="preserve"> identificar os determinantes de </w:t>
      </w:r>
      <w:r w:rsidRPr="007C5EBD">
        <w:rPr>
          <w:color w:val="000000" w:themeColor="text1"/>
          <w:sz w:val="24"/>
          <w:szCs w:val="24"/>
        </w:rPr>
        <w:t>legibilidade</w:t>
      </w:r>
      <w:r w:rsidR="00164E8F">
        <w:rPr>
          <w:color w:val="000000" w:themeColor="text1"/>
          <w:sz w:val="24"/>
          <w:szCs w:val="24"/>
        </w:rPr>
        <w:t xml:space="preserve"> </w:t>
      </w:r>
      <w:r w:rsidR="00164E8F" w:rsidRPr="007C5EBD">
        <w:rPr>
          <w:color w:val="000000" w:themeColor="text1"/>
          <w:sz w:val="24"/>
          <w:szCs w:val="24"/>
        </w:rPr>
        <w:t>das notas explicativas (NEs)</w:t>
      </w:r>
      <w:r w:rsidRPr="007C5EBD">
        <w:rPr>
          <w:color w:val="000000" w:themeColor="text1"/>
          <w:sz w:val="24"/>
          <w:szCs w:val="24"/>
        </w:rPr>
        <w:t xml:space="preserve">, medido pelo Índice de Facilidade de Leitura de Flesh (FLF), o tamanho e comprimento dos arquivos, das empresas brasileiras listadas na </w:t>
      </w:r>
      <w:r>
        <w:rPr>
          <w:color w:val="000000" w:themeColor="text1"/>
          <w:sz w:val="24"/>
          <w:szCs w:val="24"/>
        </w:rPr>
        <w:t>B</w:t>
      </w:r>
      <w:r w:rsidR="00164E8F">
        <w:rPr>
          <w:color w:val="000000" w:themeColor="text1"/>
          <w:sz w:val="24"/>
          <w:szCs w:val="24"/>
        </w:rPr>
        <w:t>3</w:t>
      </w:r>
      <w:r>
        <w:rPr>
          <w:color w:val="000000" w:themeColor="text1"/>
          <w:sz w:val="24"/>
          <w:szCs w:val="24"/>
        </w:rPr>
        <w:t>, e verificar se a adoção das normas internacionais de contabilidade impactam na legibilidade.</w:t>
      </w:r>
    </w:p>
    <w:p w14:paraId="05F90B42" w14:textId="4FD2EB64" w:rsidR="0039002B"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 xml:space="preserve">O estudo está dividido em cinco seções, sendo esta primeira a introdução com a contextualização da pesquisa. Na seção 2 </w:t>
      </w:r>
      <w:r w:rsidR="008D4058">
        <w:rPr>
          <w:color w:val="000000" w:themeColor="text1"/>
          <w:sz w:val="24"/>
          <w:szCs w:val="24"/>
        </w:rPr>
        <w:t>é</w:t>
      </w:r>
      <w:r w:rsidRPr="007C5EBD">
        <w:rPr>
          <w:color w:val="000000" w:themeColor="text1"/>
          <w:sz w:val="24"/>
          <w:szCs w:val="24"/>
        </w:rPr>
        <w:t xml:space="preserve"> apresentado o referencial teórico utilizado na elaboração do estudo</w:t>
      </w:r>
      <w:r>
        <w:rPr>
          <w:color w:val="000000" w:themeColor="text1"/>
          <w:sz w:val="24"/>
          <w:szCs w:val="24"/>
        </w:rPr>
        <w:t xml:space="preserve"> e desenvolvimento das hipóteses. </w:t>
      </w:r>
      <w:r w:rsidRPr="007C5EBD">
        <w:rPr>
          <w:color w:val="000000" w:themeColor="text1"/>
          <w:sz w:val="24"/>
          <w:szCs w:val="24"/>
        </w:rPr>
        <w:t>Na seção seguinte é apresentado o método de pesquisa</w:t>
      </w:r>
      <w:r>
        <w:rPr>
          <w:color w:val="000000" w:themeColor="text1"/>
          <w:sz w:val="24"/>
          <w:szCs w:val="24"/>
        </w:rPr>
        <w:t>.</w:t>
      </w:r>
      <w:r w:rsidRPr="007C5EBD">
        <w:rPr>
          <w:color w:val="000000" w:themeColor="text1"/>
          <w:sz w:val="24"/>
          <w:szCs w:val="24"/>
        </w:rPr>
        <w:t xml:space="preserve"> Na quarta seção são apresentados e discutidos os resultados e por fim, na última seção, são evidenciadas as considerações finais</w:t>
      </w:r>
    </w:p>
    <w:p w14:paraId="3E319EFF" w14:textId="77777777" w:rsidR="0039002B" w:rsidRPr="007C5EBD" w:rsidRDefault="0039002B" w:rsidP="0039002B">
      <w:pPr>
        <w:autoSpaceDE w:val="0"/>
        <w:autoSpaceDN w:val="0"/>
        <w:adjustRightInd w:val="0"/>
        <w:spacing w:before="120"/>
        <w:jc w:val="both"/>
        <w:rPr>
          <w:b/>
          <w:color w:val="000000" w:themeColor="text1"/>
          <w:sz w:val="24"/>
          <w:szCs w:val="24"/>
        </w:rPr>
      </w:pPr>
      <w:r w:rsidRPr="007C5EBD">
        <w:rPr>
          <w:b/>
          <w:color w:val="000000" w:themeColor="text1"/>
          <w:sz w:val="24"/>
          <w:szCs w:val="24"/>
        </w:rPr>
        <w:t xml:space="preserve">2. Referencial </w:t>
      </w:r>
      <w:r>
        <w:rPr>
          <w:b/>
          <w:color w:val="000000" w:themeColor="text1"/>
          <w:sz w:val="24"/>
          <w:szCs w:val="24"/>
        </w:rPr>
        <w:t>T</w:t>
      </w:r>
      <w:r w:rsidRPr="007C5EBD">
        <w:rPr>
          <w:b/>
          <w:color w:val="000000" w:themeColor="text1"/>
          <w:sz w:val="24"/>
          <w:szCs w:val="24"/>
        </w:rPr>
        <w:t>eórico</w:t>
      </w:r>
    </w:p>
    <w:p w14:paraId="10AD6313" w14:textId="79A92688"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Nesta seção são abordados alguns dos conceitos fundamentais para a compreensão da temática de pesquisa, bem como são desenvolvidas as hipóteses de estudo, a partir d</w:t>
      </w:r>
      <w:r w:rsidR="008D4058">
        <w:rPr>
          <w:color w:val="000000" w:themeColor="text1"/>
          <w:sz w:val="24"/>
          <w:szCs w:val="24"/>
        </w:rPr>
        <w:t>a</w:t>
      </w:r>
      <w:r w:rsidR="005B1448">
        <w:rPr>
          <w:color w:val="000000" w:themeColor="text1"/>
          <w:sz w:val="24"/>
          <w:szCs w:val="24"/>
        </w:rPr>
        <w:t>s</w:t>
      </w:r>
      <w:r w:rsidRPr="007C5EBD">
        <w:rPr>
          <w:color w:val="000000" w:themeColor="text1"/>
          <w:sz w:val="24"/>
          <w:szCs w:val="24"/>
        </w:rPr>
        <w:t xml:space="preserve"> </w:t>
      </w:r>
      <w:r w:rsidR="008D4058">
        <w:rPr>
          <w:color w:val="000000" w:themeColor="text1"/>
          <w:sz w:val="24"/>
          <w:szCs w:val="24"/>
        </w:rPr>
        <w:t>pesquisas</w:t>
      </w:r>
      <w:r w:rsidR="005B1448">
        <w:rPr>
          <w:color w:val="000000" w:themeColor="text1"/>
          <w:sz w:val="24"/>
          <w:szCs w:val="24"/>
        </w:rPr>
        <w:t xml:space="preserve"> precedentes</w:t>
      </w:r>
      <w:r w:rsidRPr="007C5EBD">
        <w:rPr>
          <w:color w:val="000000" w:themeColor="text1"/>
          <w:sz w:val="24"/>
          <w:szCs w:val="24"/>
        </w:rPr>
        <w:t xml:space="preserve">. </w:t>
      </w:r>
    </w:p>
    <w:p w14:paraId="344782FB" w14:textId="77777777" w:rsidR="0039002B" w:rsidRPr="007C5EBD" w:rsidRDefault="0039002B" w:rsidP="00D07B67">
      <w:pPr>
        <w:autoSpaceDE w:val="0"/>
        <w:autoSpaceDN w:val="0"/>
        <w:adjustRightInd w:val="0"/>
        <w:spacing w:before="120"/>
        <w:jc w:val="both"/>
        <w:rPr>
          <w:b/>
          <w:color w:val="000000" w:themeColor="text1"/>
          <w:sz w:val="24"/>
          <w:szCs w:val="24"/>
        </w:rPr>
      </w:pPr>
      <w:r w:rsidRPr="007C5EBD">
        <w:rPr>
          <w:b/>
          <w:color w:val="000000" w:themeColor="text1"/>
          <w:sz w:val="24"/>
          <w:szCs w:val="24"/>
        </w:rPr>
        <w:t xml:space="preserve">2.1 </w:t>
      </w:r>
      <w:r>
        <w:rPr>
          <w:b/>
          <w:color w:val="000000" w:themeColor="text1"/>
          <w:sz w:val="24"/>
          <w:szCs w:val="24"/>
        </w:rPr>
        <w:t>A</w:t>
      </w:r>
      <w:r w:rsidRPr="007C5EBD">
        <w:rPr>
          <w:b/>
          <w:color w:val="000000" w:themeColor="text1"/>
          <w:sz w:val="24"/>
          <w:szCs w:val="24"/>
        </w:rPr>
        <w:t>s notas explicativas como ferramenta</w:t>
      </w:r>
      <w:r>
        <w:rPr>
          <w:b/>
          <w:color w:val="000000" w:themeColor="text1"/>
          <w:sz w:val="24"/>
          <w:szCs w:val="24"/>
        </w:rPr>
        <w:t xml:space="preserve"> complementar </w:t>
      </w:r>
      <w:r w:rsidRPr="007C5EBD">
        <w:rPr>
          <w:b/>
          <w:color w:val="000000" w:themeColor="text1"/>
          <w:sz w:val="24"/>
          <w:szCs w:val="24"/>
        </w:rPr>
        <w:t xml:space="preserve">útil </w:t>
      </w:r>
      <w:r>
        <w:rPr>
          <w:b/>
          <w:color w:val="000000" w:themeColor="text1"/>
          <w:sz w:val="24"/>
          <w:szCs w:val="24"/>
        </w:rPr>
        <w:t>à</w:t>
      </w:r>
      <w:r w:rsidRPr="007C5EBD">
        <w:rPr>
          <w:b/>
          <w:color w:val="000000" w:themeColor="text1"/>
          <w:sz w:val="24"/>
          <w:szCs w:val="24"/>
        </w:rPr>
        <w:t xml:space="preserve"> tomada de decisão </w:t>
      </w:r>
    </w:p>
    <w:p w14:paraId="3678B778" w14:textId="5CD9397B"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 xml:space="preserve">Bravo (2016) afirma que o </w:t>
      </w:r>
      <w:r w:rsidRPr="007C5EBD">
        <w:rPr>
          <w:i/>
          <w:color w:val="000000" w:themeColor="text1"/>
          <w:sz w:val="24"/>
          <w:szCs w:val="24"/>
        </w:rPr>
        <w:t>disclosure</w:t>
      </w:r>
      <w:r w:rsidRPr="007C5EBD">
        <w:rPr>
          <w:color w:val="000000" w:themeColor="text1"/>
          <w:sz w:val="24"/>
          <w:szCs w:val="24"/>
        </w:rPr>
        <w:t xml:space="preserve"> pode assumir várias formas, sendo que diferentes tipos de disclosure de informações podem provoca</w:t>
      </w:r>
      <w:r w:rsidR="005B1448">
        <w:rPr>
          <w:color w:val="000000" w:themeColor="text1"/>
          <w:sz w:val="24"/>
          <w:szCs w:val="24"/>
        </w:rPr>
        <w:t>r</w:t>
      </w:r>
      <w:r w:rsidRPr="007C5EBD">
        <w:rPr>
          <w:color w:val="000000" w:themeColor="text1"/>
          <w:sz w:val="24"/>
          <w:szCs w:val="24"/>
        </w:rPr>
        <w:t xml:space="preserve"> impactos diversos nos mercados de capitais.  Des</w:t>
      </w:r>
      <w:r w:rsidR="005B1448">
        <w:rPr>
          <w:color w:val="000000" w:themeColor="text1"/>
          <w:sz w:val="24"/>
          <w:szCs w:val="24"/>
        </w:rPr>
        <w:t>s</w:t>
      </w:r>
      <w:r w:rsidRPr="007C5EBD">
        <w:rPr>
          <w:color w:val="000000" w:themeColor="text1"/>
          <w:sz w:val="24"/>
          <w:szCs w:val="24"/>
        </w:rPr>
        <w:t>a forma</w:t>
      </w:r>
      <w:r w:rsidR="005B1448">
        <w:rPr>
          <w:color w:val="000000" w:themeColor="text1"/>
          <w:sz w:val="24"/>
          <w:szCs w:val="24"/>
        </w:rPr>
        <w:t>,</w:t>
      </w:r>
      <w:r w:rsidRPr="007C5EBD">
        <w:rPr>
          <w:color w:val="000000" w:themeColor="text1"/>
          <w:sz w:val="24"/>
          <w:szCs w:val="24"/>
        </w:rPr>
        <w:t xml:space="preserve"> tanto administradores quanto formuladores de políticas (reguladores e normatizadores) estariam interessados em verificar se e quais informações são úteis para os investidores e afetam o mercado de capitais. </w:t>
      </w:r>
    </w:p>
    <w:p w14:paraId="502339BB" w14:textId="212ADB31"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As NEs das entidades constituem</w:t>
      </w:r>
      <w:r w:rsidR="005B1448">
        <w:rPr>
          <w:color w:val="000000" w:themeColor="text1"/>
          <w:sz w:val="24"/>
          <w:szCs w:val="24"/>
        </w:rPr>
        <w:t>-se em</w:t>
      </w:r>
      <w:r w:rsidRPr="007C5EBD">
        <w:rPr>
          <w:color w:val="000000" w:themeColor="text1"/>
          <w:sz w:val="24"/>
          <w:szCs w:val="24"/>
        </w:rPr>
        <w:t xml:space="preserve"> uma importante e elementar fonte de </w:t>
      </w:r>
      <w:r w:rsidRPr="007C5EBD">
        <w:rPr>
          <w:i/>
          <w:color w:val="000000" w:themeColor="text1"/>
          <w:sz w:val="24"/>
          <w:szCs w:val="24"/>
        </w:rPr>
        <w:t>disclosure</w:t>
      </w:r>
      <w:r w:rsidRPr="007C5EBD">
        <w:rPr>
          <w:color w:val="000000" w:themeColor="text1"/>
          <w:sz w:val="24"/>
          <w:szCs w:val="24"/>
        </w:rPr>
        <w:t>, tendo por intuito auxiliar o usuário na compreensão dos relatórios contábeis, fornecendo a ele mais elementos para a análise. Elas devem conter informações qualitativas e quantitativas que complementam as demonstrações</w:t>
      </w:r>
      <w:r w:rsidR="00214078">
        <w:rPr>
          <w:color w:val="000000" w:themeColor="text1"/>
          <w:sz w:val="24"/>
          <w:szCs w:val="24"/>
        </w:rPr>
        <w:t xml:space="preserve"> contábeis</w:t>
      </w:r>
      <w:r w:rsidRPr="007C5EBD">
        <w:rPr>
          <w:color w:val="000000" w:themeColor="text1"/>
          <w:sz w:val="24"/>
          <w:szCs w:val="24"/>
        </w:rPr>
        <w:t xml:space="preserve">, fornecendo esclarecimentos adicionais sobre a situação patrimonial e o resultado do exercício (Lei n. 6.404, 1976). </w:t>
      </w:r>
    </w:p>
    <w:p w14:paraId="726A8B2E" w14:textId="77777777"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 xml:space="preserve">A complexidade dos regulamentos, dos contextos estratégicos e das operações, segundo Beretta &amp; Bozzolan (2008), torna bastante difícil apreciar a substância das demonstrações financeiras sem explicações narrativas. A informação narrativa contribui para a divulgação não apenas por proporcionar clareza, mas também por permitir identificar as fontes de geração de valor representadas nas demonstrações financeiras. </w:t>
      </w:r>
    </w:p>
    <w:p w14:paraId="7C6A5227" w14:textId="6815A0BC"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Solomon, Solomon, Norton &amp; Joseph (2000)</w:t>
      </w:r>
      <w:r w:rsidRPr="007C5EBD">
        <w:rPr>
          <w:color w:val="000000" w:themeColor="text1"/>
        </w:rPr>
        <w:t xml:space="preserve"> </w:t>
      </w:r>
      <w:r w:rsidRPr="007C5EBD">
        <w:rPr>
          <w:color w:val="000000" w:themeColor="text1"/>
          <w:sz w:val="24"/>
          <w:szCs w:val="24"/>
        </w:rPr>
        <w:t>afirmam que os investidores precisam entender os riscos que uma empresa tem para criar valor e demandam por informações sobre a sustentabilidade das estratégias atuais de criação de valor. Complementando os argumentos</w:t>
      </w:r>
      <w:r w:rsidR="00D27601">
        <w:rPr>
          <w:color w:val="000000" w:themeColor="text1"/>
          <w:sz w:val="24"/>
          <w:szCs w:val="24"/>
        </w:rPr>
        <w:t xml:space="preserve"> de</w:t>
      </w:r>
      <w:r w:rsidRPr="007C5EBD">
        <w:rPr>
          <w:color w:val="000000" w:themeColor="text1"/>
          <w:sz w:val="24"/>
          <w:szCs w:val="24"/>
        </w:rPr>
        <w:t xml:space="preserve"> Solomon et al. (2000), Devalle, Rizzato &amp; Busso (2016) afirmam que a divulgação de </w:t>
      </w:r>
      <w:r w:rsidR="003C7920">
        <w:rPr>
          <w:color w:val="000000" w:themeColor="text1"/>
          <w:sz w:val="24"/>
          <w:szCs w:val="24"/>
        </w:rPr>
        <w:t>informações</w:t>
      </w:r>
      <w:r w:rsidRPr="007C5EBD">
        <w:rPr>
          <w:color w:val="000000" w:themeColor="text1"/>
          <w:sz w:val="24"/>
          <w:szCs w:val="24"/>
        </w:rPr>
        <w:t xml:space="preserve"> financeiras, em especial em NEs, é um tópico importante para os investidores e os elaboradores, uma vez que ela permite ao investidor compreender a aplicação e a utilização dos princípios contábeis.</w:t>
      </w:r>
    </w:p>
    <w:p w14:paraId="15DE987C" w14:textId="20C446BB"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As vantagens e desvantagens das NEs foram apresentadas por Hendriksen &amp; Van Breda (2009).  Segundo os autores</w:t>
      </w:r>
      <w:r w:rsidR="003C7920">
        <w:rPr>
          <w:color w:val="000000" w:themeColor="text1"/>
          <w:sz w:val="24"/>
          <w:szCs w:val="24"/>
        </w:rPr>
        <w:t>,</w:t>
      </w:r>
      <w:r w:rsidRPr="007C5EBD">
        <w:rPr>
          <w:color w:val="000000" w:themeColor="text1"/>
          <w:sz w:val="24"/>
          <w:szCs w:val="24"/>
        </w:rPr>
        <w:t xml:space="preserve"> podem ser consideradas vantagens das NEs a informação </w:t>
      </w:r>
      <w:r w:rsidRPr="007C5EBD">
        <w:rPr>
          <w:color w:val="000000" w:themeColor="text1"/>
          <w:sz w:val="24"/>
          <w:szCs w:val="24"/>
        </w:rPr>
        <w:lastRenderedPageBreak/>
        <w:t>qualitativa dos relatórios contábeis; a evidenciação das qualificações e restrições de determinados itens; a possibilidade de evidenciar mai</w:t>
      </w:r>
      <w:r w:rsidR="00A31F35">
        <w:rPr>
          <w:color w:val="000000" w:themeColor="text1"/>
          <w:sz w:val="24"/>
          <w:szCs w:val="24"/>
        </w:rPr>
        <w:t>s</w:t>
      </w:r>
      <w:r w:rsidRPr="007C5EBD">
        <w:rPr>
          <w:color w:val="000000" w:themeColor="text1"/>
          <w:sz w:val="24"/>
          <w:szCs w:val="24"/>
        </w:rPr>
        <w:t xml:space="preserve"> detalhes sobre as operações, bem como a apresentação de informações quantitativas ou descritivas. </w:t>
      </w:r>
    </w:p>
    <w:p w14:paraId="178C7955" w14:textId="64C143CA"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Já as desvantagens</w:t>
      </w:r>
      <w:r w:rsidR="00A31F35">
        <w:rPr>
          <w:color w:val="000000" w:themeColor="text1"/>
          <w:sz w:val="24"/>
          <w:szCs w:val="24"/>
        </w:rPr>
        <w:t xml:space="preserve"> </w:t>
      </w:r>
      <w:r w:rsidRPr="007C5EBD">
        <w:rPr>
          <w:color w:val="000000" w:themeColor="text1"/>
          <w:sz w:val="24"/>
          <w:szCs w:val="24"/>
        </w:rPr>
        <w:t xml:space="preserve">envolvem a dificuldade e desestímulo à leitura dos relatórios contábeis; o hábito do tomador de decisões de utilizar dados quantitativos ao invés de elementos textuais em suas decisões e o perigo do abuso na utilização das NEs, em detrimento do desenvolvimento apropriado de princípios que incorporariam as novidades e eventos nas demonstrações contábeis. </w:t>
      </w:r>
    </w:p>
    <w:p w14:paraId="031772C5" w14:textId="49EEF0D4"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Se as vantagens apresentadas p</w:t>
      </w:r>
      <w:r w:rsidR="00A31F35">
        <w:rPr>
          <w:color w:val="000000" w:themeColor="text1"/>
          <w:sz w:val="24"/>
          <w:szCs w:val="24"/>
        </w:rPr>
        <w:t xml:space="preserve">or </w:t>
      </w:r>
      <w:r w:rsidR="00A31F35" w:rsidRPr="007C5EBD">
        <w:rPr>
          <w:color w:val="000000" w:themeColor="text1"/>
          <w:sz w:val="24"/>
          <w:szCs w:val="24"/>
        </w:rPr>
        <w:t>Hendriksen &amp; Van Breda (2009)</w:t>
      </w:r>
      <w:r w:rsidRPr="007C5EBD">
        <w:rPr>
          <w:color w:val="000000" w:themeColor="text1"/>
          <w:sz w:val="24"/>
          <w:szCs w:val="24"/>
        </w:rPr>
        <w:t xml:space="preserve"> permitem identificar a associação das NEs com uma maior clareza e compreensão dos relatórios contábeis, as desvantagens</w:t>
      </w:r>
      <w:r w:rsidR="00EE4A5F">
        <w:rPr>
          <w:color w:val="000000" w:themeColor="text1"/>
          <w:sz w:val="24"/>
          <w:szCs w:val="24"/>
        </w:rPr>
        <w:t>,</w:t>
      </w:r>
      <w:r w:rsidRPr="007C5EBD">
        <w:rPr>
          <w:color w:val="000000" w:themeColor="text1"/>
          <w:sz w:val="24"/>
          <w:szCs w:val="24"/>
        </w:rPr>
        <w:t xml:space="preserve"> por sua vez, apresentam</w:t>
      </w:r>
      <w:r w:rsidR="003F0F22">
        <w:rPr>
          <w:color w:val="000000" w:themeColor="text1"/>
          <w:sz w:val="24"/>
          <w:szCs w:val="24"/>
        </w:rPr>
        <w:t>-se</w:t>
      </w:r>
      <w:r w:rsidRPr="007C5EBD">
        <w:rPr>
          <w:color w:val="000000" w:themeColor="text1"/>
          <w:sz w:val="24"/>
          <w:szCs w:val="24"/>
        </w:rPr>
        <w:t xml:space="preserve"> como problemas a serem superados pelos preparadores dos relatórios, primeiro tornando os relatórios textuais atrativos e informativos</w:t>
      </w:r>
      <w:r w:rsidR="003F0F22">
        <w:rPr>
          <w:color w:val="000000" w:themeColor="text1"/>
          <w:sz w:val="24"/>
          <w:szCs w:val="24"/>
        </w:rPr>
        <w:t xml:space="preserve"> e</w:t>
      </w:r>
      <w:r w:rsidRPr="007C5EBD">
        <w:rPr>
          <w:color w:val="000000" w:themeColor="text1"/>
          <w:sz w:val="24"/>
          <w:szCs w:val="24"/>
        </w:rPr>
        <w:t>, segundo</w:t>
      </w:r>
      <w:r w:rsidR="003F0F22">
        <w:rPr>
          <w:color w:val="000000" w:themeColor="text1"/>
          <w:sz w:val="24"/>
          <w:szCs w:val="24"/>
        </w:rPr>
        <w:t>,</w:t>
      </w:r>
      <w:r w:rsidRPr="007C5EBD">
        <w:rPr>
          <w:color w:val="000000" w:themeColor="text1"/>
          <w:sz w:val="24"/>
          <w:szCs w:val="24"/>
        </w:rPr>
        <w:t xml:space="preserve"> evitando o uso das NEs apenas como forma de cumprimento legal de uma exigência</w:t>
      </w:r>
      <w:r w:rsidR="003F0F22">
        <w:rPr>
          <w:color w:val="000000" w:themeColor="text1"/>
          <w:sz w:val="24"/>
          <w:szCs w:val="24"/>
        </w:rPr>
        <w:t>, mas</w:t>
      </w:r>
      <w:r w:rsidRPr="007C5EBD">
        <w:rPr>
          <w:color w:val="000000" w:themeColor="text1"/>
          <w:sz w:val="24"/>
          <w:szCs w:val="24"/>
        </w:rPr>
        <w:t xml:space="preserve"> sim reportando dados essenciais a compreensão do negócio. Assim, para superar as desvantagens, torna-se necessário a plena compreensão do processo de comunicação que envolve as NEs, sendo a legibilidade parte integrante des</w:t>
      </w:r>
      <w:r w:rsidR="003F0F22">
        <w:rPr>
          <w:color w:val="000000" w:themeColor="text1"/>
          <w:sz w:val="24"/>
          <w:szCs w:val="24"/>
        </w:rPr>
        <w:t>s</w:t>
      </w:r>
      <w:r w:rsidRPr="007C5EBD">
        <w:rPr>
          <w:color w:val="000000" w:themeColor="text1"/>
          <w:sz w:val="24"/>
          <w:szCs w:val="24"/>
        </w:rPr>
        <w:t xml:space="preserve">e processo. </w:t>
      </w:r>
    </w:p>
    <w:p w14:paraId="359AAE95" w14:textId="77777777" w:rsidR="0039002B" w:rsidRPr="007C5EBD" w:rsidRDefault="0039002B" w:rsidP="0039002B">
      <w:pPr>
        <w:autoSpaceDE w:val="0"/>
        <w:autoSpaceDN w:val="0"/>
        <w:adjustRightInd w:val="0"/>
        <w:spacing w:before="120"/>
        <w:jc w:val="both"/>
        <w:rPr>
          <w:b/>
          <w:color w:val="000000" w:themeColor="text1"/>
          <w:sz w:val="24"/>
          <w:szCs w:val="24"/>
        </w:rPr>
      </w:pPr>
      <w:r w:rsidRPr="007C5EBD">
        <w:rPr>
          <w:b/>
          <w:color w:val="000000" w:themeColor="text1"/>
          <w:sz w:val="24"/>
          <w:szCs w:val="24"/>
        </w:rPr>
        <w:t xml:space="preserve">2.2. Índice de facilidade de leitura de </w:t>
      </w:r>
      <w:r>
        <w:rPr>
          <w:b/>
          <w:color w:val="000000" w:themeColor="text1"/>
          <w:sz w:val="24"/>
          <w:szCs w:val="24"/>
        </w:rPr>
        <w:t>F</w:t>
      </w:r>
      <w:r w:rsidRPr="007C5EBD">
        <w:rPr>
          <w:b/>
          <w:color w:val="000000" w:themeColor="text1"/>
          <w:sz w:val="24"/>
          <w:szCs w:val="24"/>
        </w:rPr>
        <w:t>lesh e outras métricas de legibilidade em contabilidade</w:t>
      </w:r>
    </w:p>
    <w:p w14:paraId="0A285AC2" w14:textId="6E99C27D"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Pashalian &amp; Crissy (1950) pesquisaram sobre legibilidade utilizando o índice de Flesh, e relatam sobre a preocupação das entidades em relação aos problemas de comunicação. Segundo os autores</w:t>
      </w:r>
      <w:r w:rsidR="003F0F22">
        <w:rPr>
          <w:color w:val="000000" w:themeColor="text1"/>
          <w:sz w:val="24"/>
          <w:szCs w:val="24"/>
        </w:rPr>
        <w:t>,</w:t>
      </w:r>
      <w:r w:rsidRPr="007C5EBD">
        <w:rPr>
          <w:color w:val="000000" w:themeColor="text1"/>
          <w:sz w:val="24"/>
          <w:szCs w:val="24"/>
        </w:rPr>
        <w:t xml:space="preserve"> um desafio na construção dos relatórios anuais é o de torna-los mais compreensíveis. Percebe-se que</w:t>
      </w:r>
      <w:r w:rsidR="003F0F22">
        <w:rPr>
          <w:color w:val="000000" w:themeColor="text1"/>
          <w:sz w:val="24"/>
          <w:szCs w:val="24"/>
        </w:rPr>
        <w:t>,</w:t>
      </w:r>
      <w:r w:rsidRPr="007C5EBD">
        <w:rPr>
          <w:color w:val="000000" w:themeColor="text1"/>
          <w:sz w:val="24"/>
          <w:szCs w:val="24"/>
        </w:rPr>
        <w:t xml:space="preserve"> nos dias atuais</w:t>
      </w:r>
      <w:r w:rsidR="003F0F22">
        <w:rPr>
          <w:color w:val="000000" w:themeColor="text1"/>
          <w:sz w:val="24"/>
          <w:szCs w:val="24"/>
        </w:rPr>
        <w:t>,</w:t>
      </w:r>
      <w:r w:rsidRPr="007C5EBD">
        <w:rPr>
          <w:color w:val="000000" w:themeColor="text1"/>
          <w:sz w:val="24"/>
          <w:szCs w:val="24"/>
        </w:rPr>
        <w:t xml:space="preserve"> a mesma preocupação faz-se presente e que a legibilidade ainda não é ponto pacífico na literatura especializada.</w:t>
      </w:r>
    </w:p>
    <w:p w14:paraId="492E79AD" w14:textId="79A647AA" w:rsidR="0039002B" w:rsidRPr="007C5EBD" w:rsidRDefault="0039002B" w:rsidP="0039002B">
      <w:pPr>
        <w:autoSpaceDE w:val="0"/>
        <w:autoSpaceDN w:val="0"/>
        <w:adjustRightInd w:val="0"/>
        <w:ind w:firstLine="709"/>
        <w:jc w:val="both"/>
        <w:rPr>
          <w:bCs/>
          <w:color w:val="000000" w:themeColor="text1"/>
          <w:sz w:val="24"/>
          <w:szCs w:val="24"/>
        </w:rPr>
      </w:pPr>
      <w:r w:rsidRPr="007C5EBD">
        <w:rPr>
          <w:color w:val="000000" w:themeColor="text1"/>
          <w:sz w:val="24"/>
          <w:szCs w:val="24"/>
        </w:rPr>
        <w:t xml:space="preserve"> Com a disseminação do uso do computador</w:t>
      </w:r>
      <w:r w:rsidR="005B782A">
        <w:rPr>
          <w:color w:val="000000" w:themeColor="text1"/>
          <w:sz w:val="24"/>
          <w:szCs w:val="24"/>
        </w:rPr>
        <w:t>,</w:t>
      </w:r>
      <w:r w:rsidRPr="007C5EBD">
        <w:rPr>
          <w:color w:val="000000" w:themeColor="text1"/>
          <w:sz w:val="24"/>
          <w:szCs w:val="24"/>
        </w:rPr>
        <w:t xml:space="preserve"> os estudos de legibilidade puderam ser expandidos tendo em vista a facilidade com que as medidas podem ser obtidas a partir de programas específicos (Moreno &amp; Casasola, 2016). </w:t>
      </w:r>
      <w:r w:rsidRPr="007C5EBD">
        <w:rPr>
          <w:bCs/>
          <w:color w:val="000000" w:themeColor="text1"/>
          <w:sz w:val="24"/>
          <w:szCs w:val="24"/>
        </w:rPr>
        <w:t>Os autores apresentam o índice de Flesh como sendo uma das medidas utilizadas em estudos anteriores, considerado confiável e prático. Além d</w:t>
      </w:r>
      <w:r w:rsidR="005B782A">
        <w:rPr>
          <w:bCs/>
          <w:color w:val="000000" w:themeColor="text1"/>
          <w:sz w:val="24"/>
          <w:szCs w:val="24"/>
        </w:rPr>
        <w:t>isso</w:t>
      </w:r>
      <w:r w:rsidRPr="007C5EBD">
        <w:rPr>
          <w:bCs/>
          <w:color w:val="000000" w:themeColor="text1"/>
          <w:sz w:val="24"/>
          <w:szCs w:val="24"/>
        </w:rPr>
        <w:t xml:space="preserve"> que, o índice</w:t>
      </w:r>
      <w:r w:rsidR="005B782A">
        <w:rPr>
          <w:bCs/>
          <w:color w:val="000000" w:themeColor="text1"/>
          <w:sz w:val="24"/>
          <w:szCs w:val="24"/>
        </w:rPr>
        <w:t xml:space="preserve"> de Flesh</w:t>
      </w:r>
      <w:r w:rsidRPr="007C5EBD">
        <w:rPr>
          <w:bCs/>
          <w:color w:val="000000" w:themeColor="text1"/>
          <w:sz w:val="24"/>
          <w:szCs w:val="24"/>
        </w:rPr>
        <w:t xml:space="preserve"> também tem sido usado por pesquisadores</w:t>
      </w:r>
      <w:r w:rsidR="005B782A">
        <w:rPr>
          <w:bCs/>
          <w:color w:val="000000" w:themeColor="text1"/>
          <w:sz w:val="24"/>
          <w:szCs w:val="24"/>
        </w:rPr>
        <w:t xml:space="preserve"> de</w:t>
      </w:r>
      <w:r w:rsidRPr="007C5EBD">
        <w:rPr>
          <w:bCs/>
          <w:color w:val="000000" w:themeColor="text1"/>
          <w:sz w:val="24"/>
          <w:szCs w:val="24"/>
        </w:rPr>
        <w:t xml:space="preserve"> outr</w:t>
      </w:r>
      <w:r w:rsidR="005B782A">
        <w:rPr>
          <w:bCs/>
          <w:color w:val="000000" w:themeColor="text1"/>
          <w:sz w:val="24"/>
          <w:szCs w:val="24"/>
        </w:rPr>
        <w:t>a</w:t>
      </w:r>
      <w:r w:rsidRPr="007C5EBD">
        <w:rPr>
          <w:bCs/>
          <w:color w:val="000000" w:themeColor="text1"/>
          <w:sz w:val="24"/>
          <w:szCs w:val="24"/>
        </w:rPr>
        <w:t>s áreas d</w:t>
      </w:r>
      <w:r w:rsidR="005B782A">
        <w:rPr>
          <w:bCs/>
          <w:color w:val="000000" w:themeColor="text1"/>
          <w:sz w:val="24"/>
          <w:szCs w:val="24"/>
        </w:rPr>
        <w:t>o</w:t>
      </w:r>
      <w:r w:rsidRPr="007C5EBD">
        <w:rPr>
          <w:bCs/>
          <w:color w:val="000000" w:themeColor="text1"/>
          <w:sz w:val="24"/>
          <w:szCs w:val="24"/>
        </w:rPr>
        <w:t xml:space="preserve"> conhecimento, </w:t>
      </w:r>
      <w:r w:rsidR="005B782A">
        <w:rPr>
          <w:bCs/>
          <w:color w:val="000000" w:themeColor="text1"/>
          <w:sz w:val="24"/>
          <w:szCs w:val="24"/>
        </w:rPr>
        <w:t>pois consideram</w:t>
      </w:r>
      <w:r w:rsidRPr="007C5EBD">
        <w:rPr>
          <w:bCs/>
          <w:color w:val="000000" w:themeColor="text1"/>
          <w:sz w:val="24"/>
          <w:szCs w:val="24"/>
        </w:rPr>
        <w:t xml:space="preserve"> sua especificação como sendo uma das medidas mais simples e precisas da dificuldade linguística.</w:t>
      </w:r>
    </w:p>
    <w:p w14:paraId="16FEBA57" w14:textId="7B184016" w:rsidR="0039002B" w:rsidRPr="007C5EBD" w:rsidRDefault="0039002B" w:rsidP="0039002B">
      <w:pPr>
        <w:tabs>
          <w:tab w:val="left" w:pos="4536"/>
        </w:tabs>
        <w:autoSpaceDE w:val="0"/>
        <w:autoSpaceDN w:val="0"/>
        <w:adjustRightInd w:val="0"/>
        <w:ind w:firstLine="709"/>
        <w:jc w:val="both"/>
        <w:rPr>
          <w:bCs/>
          <w:color w:val="000000" w:themeColor="text1"/>
          <w:sz w:val="24"/>
          <w:szCs w:val="24"/>
        </w:rPr>
      </w:pPr>
      <w:r w:rsidRPr="007C5EBD">
        <w:rPr>
          <w:bCs/>
          <w:color w:val="000000" w:themeColor="text1"/>
          <w:sz w:val="24"/>
          <w:szCs w:val="24"/>
        </w:rPr>
        <w:t>Como alternativa ao índice de Flesh, existe na literatura especializada a menção ao Índice de Fog. No entanto</w:t>
      </w:r>
      <w:r w:rsidR="000B32EE">
        <w:rPr>
          <w:bCs/>
          <w:color w:val="000000" w:themeColor="text1"/>
          <w:sz w:val="24"/>
          <w:szCs w:val="24"/>
        </w:rPr>
        <w:t>,</w:t>
      </w:r>
      <w:r w:rsidRPr="007C5EBD">
        <w:rPr>
          <w:bCs/>
          <w:color w:val="000000" w:themeColor="text1"/>
          <w:sz w:val="24"/>
          <w:szCs w:val="24"/>
        </w:rPr>
        <w:t xml:space="preserve"> Loughran &amp; Mcdonald (2014) demonstram que o mesmo não é adequado quando aplicado a textos de narrativas especializadas tais como os relatórios de administração ou notas explicativas. Assim</w:t>
      </w:r>
      <w:r w:rsidR="000B32EE">
        <w:rPr>
          <w:bCs/>
          <w:color w:val="000000" w:themeColor="text1"/>
          <w:sz w:val="24"/>
          <w:szCs w:val="24"/>
        </w:rPr>
        <w:t>,</w:t>
      </w:r>
      <w:r w:rsidRPr="007C5EBD">
        <w:rPr>
          <w:bCs/>
          <w:color w:val="000000" w:themeColor="text1"/>
          <w:sz w:val="24"/>
          <w:szCs w:val="24"/>
        </w:rPr>
        <w:t xml:space="preserve"> a rejeição do índice Fog por Loughran &amp; Mcdonald (2014) e a aceitação e defesa do índice de Flesh feita por Moreno &amp; Casasola (2016) influenciam na decisão do uso deste último em pesquisas atuais. </w:t>
      </w:r>
    </w:p>
    <w:p w14:paraId="453F62F0" w14:textId="18781AF4" w:rsidR="0039002B" w:rsidRPr="007C5EBD" w:rsidRDefault="0039002B" w:rsidP="0039002B">
      <w:pPr>
        <w:autoSpaceDE w:val="0"/>
        <w:autoSpaceDN w:val="0"/>
        <w:adjustRightInd w:val="0"/>
        <w:ind w:firstLine="709"/>
        <w:jc w:val="both"/>
        <w:rPr>
          <w:bCs/>
          <w:color w:val="000000" w:themeColor="text1"/>
          <w:sz w:val="24"/>
          <w:szCs w:val="24"/>
        </w:rPr>
      </w:pPr>
      <w:r w:rsidRPr="007C5EBD">
        <w:rPr>
          <w:bCs/>
          <w:color w:val="000000" w:themeColor="text1"/>
          <w:sz w:val="24"/>
          <w:szCs w:val="24"/>
        </w:rPr>
        <w:t>No entanto</w:t>
      </w:r>
      <w:r w:rsidR="000B32EE">
        <w:rPr>
          <w:bCs/>
          <w:color w:val="000000" w:themeColor="text1"/>
          <w:sz w:val="24"/>
          <w:szCs w:val="24"/>
        </w:rPr>
        <w:t>,</w:t>
      </w:r>
      <w:r w:rsidRPr="007C5EBD">
        <w:rPr>
          <w:bCs/>
          <w:color w:val="000000" w:themeColor="text1"/>
          <w:sz w:val="24"/>
          <w:szCs w:val="24"/>
        </w:rPr>
        <w:t xml:space="preserve"> considerando que o índice </w:t>
      </w:r>
      <w:r w:rsidR="000B32EE">
        <w:rPr>
          <w:bCs/>
          <w:color w:val="000000" w:themeColor="text1"/>
          <w:sz w:val="24"/>
          <w:szCs w:val="24"/>
        </w:rPr>
        <w:t xml:space="preserve">de Flesh </w:t>
      </w:r>
      <w:r w:rsidRPr="007C5EBD">
        <w:rPr>
          <w:bCs/>
          <w:color w:val="000000" w:themeColor="text1"/>
          <w:sz w:val="24"/>
          <w:szCs w:val="24"/>
        </w:rPr>
        <w:t xml:space="preserve">foi desenvolvido para </w:t>
      </w:r>
      <w:r w:rsidR="000B32EE">
        <w:rPr>
          <w:bCs/>
          <w:color w:val="000000" w:themeColor="text1"/>
          <w:sz w:val="24"/>
          <w:szCs w:val="24"/>
        </w:rPr>
        <w:t xml:space="preserve">a </w:t>
      </w:r>
      <w:r w:rsidRPr="007C5EBD">
        <w:rPr>
          <w:bCs/>
          <w:color w:val="000000" w:themeColor="text1"/>
          <w:sz w:val="24"/>
          <w:szCs w:val="24"/>
        </w:rPr>
        <w:t xml:space="preserve">aplicação em textos de língua inglesa surge, contudo, a preocupação de que sua adequação a língua portuguesa pudesse estar comprometida. No entanto, </w:t>
      </w:r>
      <w:r w:rsidRPr="007C5EBD">
        <w:rPr>
          <w:color w:val="000000" w:themeColor="text1"/>
          <w:sz w:val="24"/>
          <w:szCs w:val="24"/>
        </w:rPr>
        <w:t>Martins, Ghiraldelo, Nunes &amp; Oliveira</w:t>
      </w:r>
      <w:r w:rsidRPr="007C5EBD">
        <w:rPr>
          <w:bCs/>
          <w:color w:val="000000" w:themeColor="text1"/>
          <w:sz w:val="24"/>
          <w:szCs w:val="24"/>
        </w:rPr>
        <w:t xml:space="preserve"> (1996) realizaram um estudo sobre a adequação do uso do Índice de Flesh em textos escritos em português e consta</w:t>
      </w:r>
      <w:r w:rsidR="000B32EE">
        <w:rPr>
          <w:bCs/>
          <w:color w:val="000000" w:themeColor="text1"/>
          <w:sz w:val="24"/>
          <w:szCs w:val="24"/>
        </w:rPr>
        <w:t>tara</w:t>
      </w:r>
      <w:r w:rsidRPr="007C5EBD">
        <w:rPr>
          <w:bCs/>
          <w:color w:val="000000" w:themeColor="text1"/>
          <w:sz w:val="24"/>
          <w:szCs w:val="24"/>
        </w:rPr>
        <w:t xml:space="preserve">m que tal preocupação </w:t>
      </w:r>
      <w:r w:rsidR="00907D7C">
        <w:rPr>
          <w:bCs/>
          <w:color w:val="000000" w:themeColor="text1"/>
          <w:sz w:val="24"/>
          <w:szCs w:val="24"/>
        </w:rPr>
        <w:t>não deve perman</w:t>
      </w:r>
      <w:r w:rsidRPr="007C5EBD">
        <w:rPr>
          <w:bCs/>
          <w:color w:val="000000" w:themeColor="text1"/>
          <w:sz w:val="24"/>
          <w:szCs w:val="24"/>
        </w:rPr>
        <w:t>ecer. Os autores, em referência ao Índice de Flesh, afirmam que “</w:t>
      </w:r>
      <w:r w:rsidR="000B32EE">
        <w:rPr>
          <w:bCs/>
          <w:color w:val="000000" w:themeColor="text1"/>
          <w:sz w:val="24"/>
          <w:szCs w:val="24"/>
        </w:rPr>
        <w:t>t</w:t>
      </w:r>
      <w:r w:rsidRPr="007C5EBD">
        <w:rPr>
          <w:bCs/>
          <w:color w:val="000000" w:themeColor="text1"/>
          <w:sz w:val="24"/>
          <w:szCs w:val="24"/>
        </w:rPr>
        <w:t>estes exaustivos com textos reais dos mais variados tipos e níveis apontam para um desempenho muito satisfatório da fórmula adaptada, como pode ser observado pelos dados aqui apresentados” (Martins et al. 1996, p.4).</w:t>
      </w:r>
    </w:p>
    <w:p w14:paraId="2BC36808" w14:textId="076B722C" w:rsidR="0039002B" w:rsidRPr="007C5EBD" w:rsidRDefault="0039002B" w:rsidP="0039002B">
      <w:pPr>
        <w:autoSpaceDE w:val="0"/>
        <w:autoSpaceDN w:val="0"/>
        <w:adjustRightInd w:val="0"/>
        <w:ind w:firstLine="709"/>
        <w:jc w:val="both"/>
        <w:rPr>
          <w:bCs/>
          <w:color w:val="000000" w:themeColor="text1"/>
          <w:sz w:val="24"/>
          <w:szCs w:val="24"/>
        </w:rPr>
      </w:pPr>
      <w:r w:rsidRPr="007C5EBD">
        <w:rPr>
          <w:bCs/>
          <w:color w:val="000000" w:themeColor="text1"/>
          <w:sz w:val="24"/>
          <w:szCs w:val="24"/>
        </w:rPr>
        <w:t>Outra questão importante quando se trata da análise de legibilidade é considerar que</w:t>
      </w:r>
      <w:r w:rsidR="002B0F1C">
        <w:rPr>
          <w:bCs/>
          <w:color w:val="000000" w:themeColor="text1"/>
          <w:sz w:val="24"/>
          <w:szCs w:val="24"/>
        </w:rPr>
        <w:t xml:space="preserve"> a</w:t>
      </w:r>
      <w:r w:rsidRPr="007C5EBD">
        <w:rPr>
          <w:bCs/>
          <w:color w:val="000000" w:themeColor="text1"/>
          <w:sz w:val="24"/>
          <w:szCs w:val="24"/>
        </w:rPr>
        <w:t xml:space="preserve"> compreensibilidade e legibilidade em sentidos amplos não são a mesma coisa. Segundo Jones (1996)</w:t>
      </w:r>
      <w:r w:rsidR="002B0F1C">
        <w:rPr>
          <w:bCs/>
          <w:color w:val="000000" w:themeColor="text1"/>
          <w:sz w:val="24"/>
          <w:szCs w:val="24"/>
        </w:rPr>
        <w:t>,</w:t>
      </w:r>
      <w:r w:rsidRPr="007C5EBD">
        <w:rPr>
          <w:bCs/>
          <w:color w:val="000000" w:themeColor="text1"/>
          <w:sz w:val="24"/>
          <w:szCs w:val="24"/>
        </w:rPr>
        <w:t xml:space="preserve"> a compreensão está centrada no leitor e depende, portanto, do conhecimento e objetivo deste, do conhecimento prévio do assunto, do interesse e da capacidade geral de leitura. Já a legibilidade, segundo o autor, é centrada no texto, não sendo consideradas as características do </w:t>
      </w:r>
      <w:r w:rsidRPr="007C5EBD">
        <w:rPr>
          <w:bCs/>
          <w:color w:val="000000" w:themeColor="text1"/>
          <w:sz w:val="24"/>
          <w:szCs w:val="24"/>
        </w:rPr>
        <w:lastRenderedPageBreak/>
        <w:t>leitor. Considerando isso</w:t>
      </w:r>
      <w:r w:rsidR="002B0F1C">
        <w:rPr>
          <w:bCs/>
          <w:color w:val="000000" w:themeColor="text1"/>
          <w:sz w:val="24"/>
          <w:szCs w:val="24"/>
        </w:rPr>
        <w:t>,</w:t>
      </w:r>
      <w:r w:rsidRPr="007C5EBD">
        <w:rPr>
          <w:bCs/>
          <w:color w:val="000000" w:themeColor="text1"/>
          <w:sz w:val="24"/>
          <w:szCs w:val="24"/>
        </w:rPr>
        <w:t xml:space="preserve"> cumpre ressaltar que as métricas </w:t>
      </w:r>
      <w:r w:rsidR="00F84958">
        <w:rPr>
          <w:bCs/>
          <w:color w:val="000000" w:themeColor="text1"/>
          <w:sz w:val="24"/>
          <w:szCs w:val="24"/>
        </w:rPr>
        <w:t>de legibilidade</w:t>
      </w:r>
      <w:r w:rsidRPr="007C5EBD">
        <w:rPr>
          <w:bCs/>
          <w:color w:val="000000" w:themeColor="text1"/>
          <w:sz w:val="24"/>
          <w:szCs w:val="24"/>
        </w:rPr>
        <w:t xml:space="preserve"> em si avaliam estritamente a dificuldade sintática do texto. </w:t>
      </w:r>
    </w:p>
    <w:p w14:paraId="027AC264" w14:textId="030B5E92" w:rsidR="0039002B" w:rsidRPr="007C5EBD" w:rsidRDefault="0039002B" w:rsidP="0039002B">
      <w:pPr>
        <w:autoSpaceDE w:val="0"/>
        <w:autoSpaceDN w:val="0"/>
        <w:adjustRightInd w:val="0"/>
        <w:ind w:firstLine="709"/>
        <w:jc w:val="both"/>
        <w:rPr>
          <w:bCs/>
          <w:color w:val="000000" w:themeColor="text1"/>
          <w:sz w:val="24"/>
          <w:szCs w:val="24"/>
        </w:rPr>
      </w:pPr>
      <w:r w:rsidRPr="007C5EBD">
        <w:rPr>
          <w:bCs/>
          <w:color w:val="000000" w:themeColor="text1"/>
          <w:sz w:val="24"/>
          <w:szCs w:val="24"/>
        </w:rPr>
        <w:t>A</w:t>
      </w:r>
      <w:r w:rsidR="00DE7410">
        <w:rPr>
          <w:bCs/>
          <w:color w:val="000000" w:themeColor="text1"/>
          <w:sz w:val="24"/>
          <w:szCs w:val="24"/>
        </w:rPr>
        <w:t>s</w:t>
      </w:r>
      <w:r w:rsidRPr="007C5EBD">
        <w:rPr>
          <w:bCs/>
          <w:color w:val="000000" w:themeColor="text1"/>
          <w:sz w:val="24"/>
          <w:szCs w:val="24"/>
        </w:rPr>
        <w:t xml:space="preserve"> consideraç</w:t>
      </w:r>
      <w:r w:rsidR="00DE7410">
        <w:rPr>
          <w:bCs/>
          <w:color w:val="000000" w:themeColor="text1"/>
          <w:sz w:val="24"/>
          <w:szCs w:val="24"/>
        </w:rPr>
        <w:t>ões</w:t>
      </w:r>
      <w:r w:rsidRPr="007C5EBD">
        <w:rPr>
          <w:bCs/>
          <w:color w:val="000000" w:themeColor="text1"/>
          <w:sz w:val="24"/>
          <w:szCs w:val="24"/>
        </w:rPr>
        <w:t xml:space="preserve"> de Jones (1996) </w:t>
      </w:r>
      <w:r w:rsidR="00DE7410">
        <w:rPr>
          <w:bCs/>
          <w:color w:val="000000" w:themeColor="text1"/>
          <w:sz w:val="24"/>
          <w:szCs w:val="24"/>
        </w:rPr>
        <w:t>são</w:t>
      </w:r>
      <w:r w:rsidRPr="007C5EBD">
        <w:rPr>
          <w:bCs/>
          <w:color w:val="000000" w:themeColor="text1"/>
          <w:sz w:val="24"/>
          <w:szCs w:val="24"/>
        </w:rPr>
        <w:t xml:space="preserve"> importante</w:t>
      </w:r>
      <w:r w:rsidR="00DE7410">
        <w:rPr>
          <w:bCs/>
          <w:color w:val="000000" w:themeColor="text1"/>
          <w:sz w:val="24"/>
          <w:szCs w:val="24"/>
        </w:rPr>
        <w:t>s</w:t>
      </w:r>
      <w:r w:rsidRPr="007C5EBD">
        <w:rPr>
          <w:bCs/>
          <w:color w:val="000000" w:themeColor="text1"/>
          <w:sz w:val="24"/>
          <w:szCs w:val="24"/>
        </w:rPr>
        <w:t xml:space="preserve"> no escopo desta pesquisa pois é preciso deixar claro que os resultados de um estudo de legibilidade não são necessariamente resultados que determinam o grau de compreensão do texto. Obtém-se</w:t>
      </w:r>
      <w:r w:rsidR="00DE7410">
        <w:rPr>
          <w:bCs/>
          <w:color w:val="000000" w:themeColor="text1"/>
          <w:sz w:val="24"/>
          <w:szCs w:val="24"/>
        </w:rPr>
        <w:t>,</w:t>
      </w:r>
      <w:r w:rsidRPr="007C5EBD">
        <w:rPr>
          <w:bCs/>
          <w:color w:val="000000" w:themeColor="text1"/>
          <w:sz w:val="24"/>
          <w:szCs w:val="24"/>
        </w:rPr>
        <w:t xml:space="preserve"> inicialmente</w:t>
      </w:r>
      <w:r w:rsidR="00DE7410">
        <w:rPr>
          <w:bCs/>
          <w:color w:val="000000" w:themeColor="text1"/>
          <w:sz w:val="24"/>
          <w:szCs w:val="24"/>
        </w:rPr>
        <w:t>,</w:t>
      </w:r>
      <w:r w:rsidRPr="007C5EBD">
        <w:rPr>
          <w:bCs/>
          <w:color w:val="000000" w:themeColor="text1"/>
          <w:sz w:val="24"/>
          <w:szCs w:val="24"/>
        </w:rPr>
        <w:t xml:space="preserve"> uma medida quantitativa sobre a fluidez da leitura e não sobre a compreensão. </w:t>
      </w:r>
    </w:p>
    <w:p w14:paraId="3A8034BE" w14:textId="4B9FEF1F" w:rsidR="0039002B" w:rsidRPr="007C5EBD" w:rsidRDefault="0039002B" w:rsidP="0039002B">
      <w:pPr>
        <w:autoSpaceDE w:val="0"/>
        <w:autoSpaceDN w:val="0"/>
        <w:adjustRightInd w:val="0"/>
        <w:ind w:firstLine="709"/>
        <w:jc w:val="both"/>
        <w:rPr>
          <w:bCs/>
          <w:color w:val="000000" w:themeColor="text1"/>
          <w:sz w:val="24"/>
          <w:szCs w:val="24"/>
        </w:rPr>
      </w:pPr>
      <w:r w:rsidRPr="007C5EBD">
        <w:rPr>
          <w:bCs/>
          <w:color w:val="000000" w:themeColor="text1"/>
          <w:sz w:val="24"/>
          <w:szCs w:val="24"/>
        </w:rPr>
        <w:t>Ampliando os estudos de legibilidade</w:t>
      </w:r>
      <w:r w:rsidR="004F44B8">
        <w:rPr>
          <w:bCs/>
          <w:color w:val="000000" w:themeColor="text1"/>
          <w:sz w:val="24"/>
          <w:szCs w:val="24"/>
        </w:rPr>
        <w:t xml:space="preserve"> com a</w:t>
      </w:r>
      <w:r w:rsidRPr="007C5EBD">
        <w:rPr>
          <w:bCs/>
          <w:color w:val="000000" w:themeColor="text1"/>
          <w:sz w:val="24"/>
          <w:szCs w:val="24"/>
        </w:rPr>
        <w:t xml:space="preserve"> utiliza</w:t>
      </w:r>
      <w:r w:rsidR="004F44B8">
        <w:rPr>
          <w:bCs/>
          <w:color w:val="000000" w:themeColor="text1"/>
          <w:sz w:val="24"/>
          <w:szCs w:val="24"/>
        </w:rPr>
        <w:t>ção de</w:t>
      </w:r>
      <w:r w:rsidRPr="007C5EBD">
        <w:rPr>
          <w:bCs/>
          <w:color w:val="000000" w:themeColor="text1"/>
          <w:sz w:val="24"/>
          <w:szCs w:val="24"/>
        </w:rPr>
        <w:t xml:space="preserve"> outras métricas, Li (2008) propõem capturar a legibilidade por meio da extensão do documento a ser analisado. </w:t>
      </w:r>
      <w:r w:rsidR="00BF7045">
        <w:rPr>
          <w:bCs/>
          <w:color w:val="000000" w:themeColor="text1"/>
          <w:sz w:val="24"/>
          <w:szCs w:val="24"/>
        </w:rPr>
        <w:t>C</w:t>
      </w:r>
      <w:r w:rsidRPr="007C5EBD">
        <w:rPr>
          <w:bCs/>
          <w:color w:val="000000" w:themeColor="text1"/>
          <w:sz w:val="24"/>
          <w:szCs w:val="24"/>
        </w:rPr>
        <w:t xml:space="preserve">omo há um custo maior no processamento de informações em textos mais longos é assumido que textos mais compridos, </w:t>
      </w:r>
      <w:r w:rsidR="00BF7045">
        <w:rPr>
          <w:bCs/>
          <w:color w:val="000000" w:themeColor="text1"/>
          <w:sz w:val="24"/>
          <w:szCs w:val="24"/>
        </w:rPr>
        <w:t xml:space="preserve">com </w:t>
      </w:r>
      <w:r w:rsidRPr="007C5EBD">
        <w:rPr>
          <w:bCs/>
          <w:color w:val="000000" w:themeColor="text1"/>
          <w:sz w:val="24"/>
          <w:szCs w:val="24"/>
        </w:rPr>
        <w:t>tudo mais constante, parecem ser mais dissuasivos e mais difíceis de ler. Assim sendo</w:t>
      </w:r>
      <w:r w:rsidR="00BF7045">
        <w:rPr>
          <w:bCs/>
          <w:color w:val="000000" w:themeColor="text1"/>
          <w:sz w:val="24"/>
          <w:szCs w:val="24"/>
        </w:rPr>
        <w:t>,</w:t>
      </w:r>
      <w:r w:rsidRPr="007C5EBD">
        <w:rPr>
          <w:bCs/>
          <w:color w:val="000000" w:themeColor="text1"/>
          <w:sz w:val="24"/>
          <w:szCs w:val="24"/>
        </w:rPr>
        <w:t xml:space="preserve"> os relatórios poderiam ser estrategicamente manipulados pelos administradores a fim de tornar menos transparentes e esconder informações controversas aos investidores.</w:t>
      </w:r>
    </w:p>
    <w:p w14:paraId="637442A0" w14:textId="51A560C9" w:rsidR="0039002B" w:rsidRPr="007C5EBD" w:rsidRDefault="00BB02B3" w:rsidP="0039002B">
      <w:pPr>
        <w:autoSpaceDE w:val="0"/>
        <w:autoSpaceDN w:val="0"/>
        <w:adjustRightInd w:val="0"/>
        <w:ind w:firstLine="709"/>
        <w:jc w:val="both"/>
        <w:rPr>
          <w:bCs/>
          <w:color w:val="000000" w:themeColor="text1"/>
          <w:sz w:val="24"/>
          <w:szCs w:val="24"/>
        </w:rPr>
      </w:pPr>
      <w:r w:rsidRPr="007C5EBD">
        <w:rPr>
          <w:bCs/>
          <w:color w:val="000000" w:themeColor="text1"/>
          <w:sz w:val="24"/>
          <w:szCs w:val="24"/>
        </w:rPr>
        <w:t>Li (2008)</w:t>
      </w:r>
      <w:r w:rsidR="0039002B" w:rsidRPr="007C5EBD">
        <w:rPr>
          <w:bCs/>
          <w:color w:val="000000" w:themeColor="text1"/>
          <w:sz w:val="24"/>
          <w:szCs w:val="24"/>
        </w:rPr>
        <w:t>, contudo, reconhece que a métrica também apresenta fragilidade uma vez que o comprimento do documento como medida de legibilidade é mais provável que seja correlacionado com a quantidade de divulgação. Como vantagem é apresentada a facilidade de cálculo e de entendimento da métrica.</w:t>
      </w:r>
    </w:p>
    <w:p w14:paraId="7E2CF0A7" w14:textId="1386F0AB" w:rsidR="0039002B" w:rsidRPr="007C5EBD" w:rsidRDefault="0039002B" w:rsidP="0039002B">
      <w:pPr>
        <w:autoSpaceDE w:val="0"/>
        <w:autoSpaceDN w:val="0"/>
        <w:adjustRightInd w:val="0"/>
        <w:ind w:firstLine="709"/>
        <w:jc w:val="both"/>
        <w:rPr>
          <w:bCs/>
          <w:color w:val="000000" w:themeColor="text1"/>
          <w:sz w:val="24"/>
          <w:szCs w:val="24"/>
        </w:rPr>
      </w:pPr>
      <w:r w:rsidRPr="007C5EBD">
        <w:rPr>
          <w:bCs/>
          <w:color w:val="000000" w:themeColor="text1"/>
          <w:sz w:val="24"/>
          <w:szCs w:val="24"/>
        </w:rPr>
        <w:t xml:space="preserve">Já Loughran &amp; Mcdonald (2014) recomendam usar o tamanho do arquivo como uma </w:t>
      </w:r>
      <w:r w:rsidRPr="007C5EBD">
        <w:rPr>
          <w:bCs/>
          <w:i/>
          <w:color w:val="000000" w:themeColor="text1"/>
          <w:sz w:val="24"/>
          <w:szCs w:val="24"/>
        </w:rPr>
        <w:t>proxy</w:t>
      </w:r>
      <w:r w:rsidRPr="007C5EBD">
        <w:rPr>
          <w:bCs/>
          <w:color w:val="000000" w:themeColor="text1"/>
          <w:sz w:val="24"/>
          <w:szCs w:val="24"/>
        </w:rPr>
        <w:t xml:space="preserve"> facilmente calculada para a legibilidade do documento. Os autores constataram que a medida proposta é direta, é substancialmente menos propensa ao erro de medição, sendo facilmente replicada e fortemente correlacionada com medidas alternativas de legibilidade. </w:t>
      </w:r>
    </w:p>
    <w:p w14:paraId="1D193287" w14:textId="01E344F6" w:rsidR="0039002B" w:rsidRPr="007C5EBD" w:rsidRDefault="0039002B" w:rsidP="0039002B">
      <w:pPr>
        <w:autoSpaceDE w:val="0"/>
        <w:autoSpaceDN w:val="0"/>
        <w:adjustRightInd w:val="0"/>
        <w:spacing w:before="120"/>
        <w:jc w:val="both"/>
        <w:rPr>
          <w:b/>
          <w:color w:val="000000" w:themeColor="text1"/>
          <w:sz w:val="24"/>
          <w:szCs w:val="24"/>
        </w:rPr>
      </w:pPr>
      <w:r w:rsidRPr="007C5EBD">
        <w:rPr>
          <w:b/>
          <w:color w:val="000000" w:themeColor="text1"/>
          <w:sz w:val="24"/>
          <w:szCs w:val="24"/>
        </w:rPr>
        <w:t xml:space="preserve">2.3 </w:t>
      </w:r>
      <w:r>
        <w:rPr>
          <w:b/>
          <w:color w:val="000000" w:themeColor="text1"/>
          <w:sz w:val="24"/>
          <w:szCs w:val="24"/>
        </w:rPr>
        <w:t>D</w:t>
      </w:r>
      <w:r w:rsidRPr="007C5EBD">
        <w:rPr>
          <w:b/>
          <w:color w:val="000000" w:themeColor="text1"/>
          <w:sz w:val="24"/>
          <w:szCs w:val="24"/>
        </w:rPr>
        <w:t>esenvolvimento das hipóteses a partir de estudos anteriores</w:t>
      </w:r>
      <w:r w:rsidRPr="007C5EBD">
        <w:rPr>
          <w:b/>
          <w:color w:val="000000" w:themeColor="text1"/>
          <w:sz w:val="24"/>
          <w:szCs w:val="24"/>
        </w:rPr>
        <w:tab/>
      </w:r>
    </w:p>
    <w:p w14:paraId="6AB42242" w14:textId="07CA962C" w:rsidR="0039002B" w:rsidRPr="007C5EBD" w:rsidRDefault="0039002B" w:rsidP="0039002B">
      <w:pPr>
        <w:autoSpaceDE w:val="0"/>
        <w:autoSpaceDN w:val="0"/>
        <w:adjustRightInd w:val="0"/>
        <w:ind w:firstLine="709"/>
        <w:jc w:val="both"/>
        <w:rPr>
          <w:bCs/>
          <w:color w:val="000000" w:themeColor="text1"/>
          <w:sz w:val="24"/>
          <w:szCs w:val="24"/>
        </w:rPr>
      </w:pPr>
      <w:r w:rsidRPr="007C5EBD">
        <w:rPr>
          <w:bCs/>
          <w:color w:val="000000" w:themeColor="text1"/>
          <w:sz w:val="24"/>
          <w:szCs w:val="24"/>
        </w:rPr>
        <w:t xml:space="preserve">Nesta subseção são desenvolvidas as hipóteses, tendo como </w:t>
      </w:r>
      <w:r w:rsidR="00583440">
        <w:rPr>
          <w:bCs/>
          <w:color w:val="000000" w:themeColor="text1"/>
          <w:sz w:val="24"/>
          <w:szCs w:val="24"/>
        </w:rPr>
        <w:t>base</w:t>
      </w:r>
      <w:r w:rsidR="00213BB5">
        <w:rPr>
          <w:bCs/>
          <w:color w:val="000000" w:themeColor="text1"/>
          <w:sz w:val="24"/>
          <w:szCs w:val="24"/>
        </w:rPr>
        <w:t xml:space="preserve"> </w:t>
      </w:r>
      <w:r w:rsidRPr="007C5EBD">
        <w:rPr>
          <w:bCs/>
          <w:color w:val="000000" w:themeColor="text1"/>
          <w:sz w:val="24"/>
          <w:szCs w:val="24"/>
        </w:rPr>
        <w:t xml:space="preserve">estudos anteriores. </w:t>
      </w:r>
    </w:p>
    <w:p w14:paraId="1B93272E" w14:textId="77777777" w:rsidR="0039002B" w:rsidRPr="007C5EBD" w:rsidRDefault="0039002B" w:rsidP="0039002B">
      <w:pPr>
        <w:autoSpaceDE w:val="0"/>
        <w:autoSpaceDN w:val="0"/>
        <w:adjustRightInd w:val="0"/>
        <w:jc w:val="both"/>
        <w:rPr>
          <w:i/>
          <w:color w:val="000000" w:themeColor="text1"/>
          <w:sz w:val="24"/>
          <w:szCs w:val="24"/>
        </w:rPr>
      </w:pPr>
      <w:r w:rsidRPr="007C5EBD">
        <w:rPr>
          <w:bCs/>
          <w:i/>
          <w:color w:val="000000" w:themeColor="text1"/>
          <w:sz w:val="24"/>
          <w:szCs w:val="24"/>
        </w:rPr>
        <w:t>2.3.1 Grau de legibilidade das NEs e d</w:t>
      </w:r>
      <w:r w:rsidRPr="007C5EBD">
        <w:rPr>
          <w:i/>
          <w:color w:val="000000" w:themeColor="text1"/>
          <w:sz w:val="24"/>
          <w:szCs w:val="24"/>
        </w:rPr>
        <w:t>iferenças de legibilidade entre períodos pré e pós IFRS</w:t>
      </w:r>
    </w:p>
    <w:p w14:paraId="7752C415" w14:textId="00678DDB" w:rsidR="0039002B" w:rsidRPr="007C5EBD" w:rsidRDefault="0039002B" w:rsidP="0039002B">
      <w:pPr>
        <w:autoSpaceDE w:val="0"/>
        <w:autoSpaceDN w:val="0"/>
        <w:adjustRightInd w:val="0"/>
        <w:ind w:firstLine="709"/>
        <w:jc w:val="both"/>
        <w:rPr>
          <w:bCs/>
          <w:color w:val="000000" w:themeColor="text1"/>
          <w:sz w:val="24"/>
          <w:szCs w:val="24"/>
        </w:rPr>
      </w:pPr>
      <w:r w:rsidRPr="007C5EBD">
        <w:rPr>
          <w:bCs/>
          <w:color w:val="000000" w:themeColor="text1"/>
          <w:sz w:val="24"/>
          <w:szCs w:val="24"/>
        </w:rPr>
        <w:t>Moreno &amp; Casasola (2016) afirmam que</w:t>
      </w:r>
      <w:r w:rsidR="00213BB5">
        <w:rPr>
          <w:bCs/>
          <w:color w:val="000000" w:themeColor="text1"/>
          <w:sz w:val="24"/>
          <w:szCs w:val="24"/>
        </w:rPr>
        <w:t>,</w:t>
      </w:r>
      <w:r w:rsidRPr="007C5EBD">
        <w:rPr>
          <w:bCs/>
          <w:color w:val="000000" w:themeColor="text1"/>
          <w:sz w:val="24"/>
          <w:szCs w:val="24"/>
        </w:rPr>
        <w:t xml:space="preserve"> embora os estudos </w:t>
      </w:r>
      <w:r w:rsidR="008D4058">
        <w:rPr>
          <w:bCs/>
          <w:color w:val="000000" w:themeColor="text1"/>
          <w:sz w:val="24"/>
          <w:szCs w:val="24"/>
        </w:rPr>
        <w:t>sobre</w:t>
      </w:r>
      <w:r w:rsidRPr="007C5EBD">
        <w:rPr>
          <w:bCs/>
          <w:color w:val="000000" w:themeColor="text1"/>
          <w:sz w:val="24"/>
          <w:szCs w:val="24"/>
        </w:rPr>
        <w:t xml:space="preserve"> legibilidade realizados em relatórios escritos em língua inglesa concordem que a informação é, em geral, difícil de ler, ainda não se tem evidências suficientes sobre a legibilidade da informação contábil em outras línguas. </w:t>
      </w:r>
      <w:r w:rsidR="008D4058">
        <w:rPr>
          <w:bCs/>
          <w:color w:val="000000" w:themeColor="text1"/>
          <w:sz w:val="24"/>
          <w:szCs w:val="24"/>
        </w:rPr>
        <w:t>Da mesma forma que são</w:t>
      </w:r>
      <w:r w:rsidRPr="007C5EBD">
        <w:rPr>
          <w:bCs/>
          <w:color w:val="000000" w:themeColor="text1"/>
          <w:sz w:val="24"/>
          <w:szCs w:val="24"/>
        </w:rPr>
        <w:t xml:space="preserve"> poucos </w:t>
      </w:r>
      <w:r w:rsidR="008D4058">
        <w:rPr>
          <w:bCs/>
          <w:color w:val="000000" w:themeColor="text1"/>
          <w:sz w:val="24"/>
          <w:szCs w:val="24"/>
        </w:rPr>
        <w:t xml:space="preserve">os </w:t>
      </w:r>
      <w:r w:rsidRPr="007C5EBD">
        <w:rPr>
          <w:bCs/>
          <w:color w:val="000000" w:themeColor="text1"/>
          <w:sz w:val="24"/>
          <w:szCs w:val="24"/>
        </w:rPr>
        <w:t xml:space="preserve">estudos que examinam a legibilidade longitudinalmente para verificar mudanças significativas do comportamento. </w:t>
      </w:r>
    </w:p>
    <w:p w14:paraId="3D39588F" w14:textId="41FE3BA3" w:rsidR="0039002B" w:rsidRPr="007C5EBD" w:rsidRDefault="0039002B" w:rsidP="0039002B">
      <w:pPr>
        <w:autoSpaceDE w:val="0"/>
        <w:autoSpaceDN w:val="0"/>
        <w:adjustRightInd w:val="0"/>
        <w:ind w:firstLine="709"/>
        <w:jc w:val="both"/>
        <w:rPr>
          <w:bCs/>
          <w:color w:val="000000" w:themeColor="text1"/>
          <w:sz w:val="24"/>
          <w:szCs w:val="24"/>
        </w:rPr>
      </w:pPr>
      <w:r w:rsidRPr="007C5EBD">
        <w:rPr>
          <w:bCs/>
          <w:color w:val="000000" w:themeColor="text1"/>
          <w:sz w:val="24"/>
          <w:szCs w:val="24"/>
        </w:rPr>
        <w:t>Estudos anteriores (Laksmana, Tietz &amp;</w:t>
      </w:r>
      <w:r w:rsidR="00213BB5">
        <w:rPr>
          <w:bCs/>
          <w:color w:val="000000" w:themeColor="text1"/>
          <w:sz w:val="24"/>
          <w:szCs w:val="24"/>
        </w:rPr>
        <w:t xml:space="preserve"> </w:t>
      </w:r>
      <w:r w:rsidRPr="007C5EBD">
        <w:rPr>
          <w:bCs/>
          <w:color w:val="000000" w:themeColor="text1"/>
          <w:sz w:val="24"/>
          <w:szCs w:val="24"/>
        </w:rPr>
        <w:t>Yang, 2012; Sheikh, Bakar &amp; Ameer, 2011; Stone, 2011; Li, 2008; Bartlett &amp; Chandler, 1997; Pashalian &amp; Crissy,</w:t>
      </w:r>
      <w:r w:rsidR="0052512C">
        <w:rPr>
          <w:bCs/>
          <w:color w:val="000000" w:themeColor="text1"/>
          <w:sz w:val="24"/>
          <w:szCs w:val="24"/>
        </w:rPr>
        <w:t xml:space="preserve"> </w:t>
      </w:r>
      <w:r w:rsidRPr="007C5EBD">
        <w:rPr>
          <w:bCs/>
          <w:color w:val="000000" w:themeColor="text1"/>
          <w:sz w:val="24"/>
          <w:szCs w:val="24"/>
        </w:rPr>
        <w:t>1950) vem demonstrando que a legibilidade dos relatórios é difícil ou muito difícil e que</w:t>
      </w:r>
      <w:r w:rsidR="00E573A4">
        <w:rPr>
          <w:bCs/>
          <w:color w:val="000000" w:themeColor="text1"/>
          <w:sz w:val="24"/>
          <w:szCs w:val="24"/>
        </w:rPr>
        <w:t>,</w:t>
      </w:r>
      <w:r w:rsidRPr="007C5EBD">
        <w:rPr>
          <w:bCs/>
          <w:color w:val="000000" w:themeColor="text1"/>
          <w:sz w:val="24"/>
          <w:szCs w:val="24"/>
        </w:rPr>
        <w:t xml:space="preserve"> inclusive</w:t>
      </w:r>
      <w:r w:rsidR="00E573A4">
        <w:rPr>
          <w:bCs/>
          <w:color w:val="000000" w:themeColor="text1"/>
          <w:sz w:val="24"/>
          <w:szCs w:val="24"/>
        </w:rPr>
        <w:t>,</w:t>
      </w:r>
      <w:r w:rsidRPr="007C5EBD">
        <w:rPr>
          <w:bCs/>
          <w:color w:val="000000" w:themeColor="text1"/>
          <w:sz w:val="24"/>
          <w:szCs w:val="24"/>
        </w:rPr>
        <w:t xml:space="preserve"> há variações no nível de dificuldade dentro do próprio relatório</w:t>
      </w:r>
      <w:r w:rsidR="00E573A4">
        <w:rPr>
          <w:bCs/>
          <w:color w:val="000000" w:themeColor="text1"/>
          <w:sz w:val="24"/>
          <w:szCs w:val="24"/>
        </w:rPr>
        <w:t>,</w:t>
      </w:r>
      <w:r w:rsidRPr="007C5EBD">
        <w:rPr>
          <w:bCs/>
          <w:color w:val="000000" w:themeColor="text1"/>
          <w:sz w:val="24"/>
          <w:szCs w:val="24"/>
        </w:rPr>
        <w:t xml:space="preserve"> conforme explicitam Heath &amp; Phelps (1984) e Bayerlein &amp; Davidson (2011). Outra evidência é que</w:t>
      </w:r>
      <w:r w:rsidR="00903C23">
        <w:rPr>
          <w:bCs/>
          <w:color w:val="000000" w:themeColor="text1"/>
          <w:sz w:val="24"/>
          <w:szCs w:val="24"/>
        </w:rPr>
        <w:t>,</w:t>
      </w:r>
      <w:r w:rsidRPr="007C5EBD">
        <w:rPr>
          <w:bCs/>
          <w:color w:val="000000" w:themeColor="text1"/>
          <w:sz w:val="24"/>
          <w:szCs w:val="24"/>
        </w:rPr>
        <w:t xml:space="preserve"> com o passar do tempo</w:t>
      </w:r>
      <w:r w:rsidR="00903C23">
        <w:rPr>
          <w:bCs/>
          <w:color w:val="000000" w:themeColor="text1"/>
          <w:sz w:val="24"/>
          <w:szCs w:val="24"/>
        </w:rPr>
        <w:t>,</w:t>
      </w:r>
      <w:r w:rsidRPr="007C5EBD">
        <w:rPr>
          <w:bCs/>
          <w:color w:val="000000" w:themeColor="text1"/>
          <w:sz w:val="24"/>
          <w:szCs w:val="24"/>
        </w:rPr>
        <w:t xml:space="preserve"> a dificuldade tem aumentado ou sido mantida (Courtis, 1995; Rahman, 2014; Silva &amp; Fernandes, 2009). É importante ressaltar que </w:t>
      </w:r>
      <w:r w:rsidR="0052512C" w:rsidRPr="007C5EBD">
        <w:rPr>
          <w:bCs/>
          <w:color w:val="000000" w:themeColor="text1"/>
          <w:sz w:val="24"/>
          <w:szCs w:val="24"/>
        </w:rPr>
        <w:t>es</w:t>
      </w:r>
      <w:r w:rsidR="0052512C">
        <w:rPr>
          <w:bCs/>
          <w:color w:val="000000" w:themeColor="text1"/>
          <w:sz w:val="24"/>
          <w:szCs w:val="24"/>
        </w:rPr>
        <w:t>s</w:t>
      </w:r>
      <w:r w:rsidR="0052512C" w:rsidRPr="007C5EBD">
        <w:rPr>
          <w:bCs/>
          <w:color w:val="000000" w:themeColor="text1"/>
          <w:sz w:val="24"/>
          <w:szCs w:val="24"/>
        </w:rPr>
        <w:t xml:space="preserve">es </w:t>
      </w:r>
      <w:r w:rsidRPr="007C5EBD">
        <w:rPr>
          <w:bCs/>
          <w:color w:val="000000" w:themeColor="text1"/>
          <w:sz w:val="24"/>
          <w:szCs w:val="24"/>
        </w:rPr>
        <w:t>resultados não avaliam um ambiente de adoção de normas internacionais como fator que possa influenciar na legibilidade e</w:t>
      </w:r>
      <w:r w:rsidR="00903C23">
        <w:rPr>
          <w:bCs/>
          <w:color w:val="000000" w:themeColor="text1"/>
          <w:sz w:val="24"/>
          <w:szCs w:val="24"/>
        </w:rPr>
        <w:t>,</w:t>
      </w:r>
      <w:r w:rsidRPr="007C5EBD">
        <w:rPr>
          <w:bCs/>
          <w:color w:val="000000" w:themeColor="text1"/>
          <w:sz w:val="24"/>
          <w:szCs w:val="24"/>
        </w:rPr>
        <w:t xml:space="preserve"> </w:t>
      </w:r>
      <w:r w:rsidR="0052512C" w:rsidRPr="007C5EBD">
        <w:rPr>
          <w:bCs/>
          <w:color w:val="000000" w:themeColor="text1"/>
          <w:sz w:val="24"/>
          <w:szCs w:val="24"/>
        </w:rPr>
        <w:t>à</w:t>
      </w:r>
      <w:r w:rsidRPr="007C5EBD">
        <w:rPr>
          <w:bCs/>
          <w:color w:val="000000" w:themeColor="text1"/>
          <w:sz w:val="24"/>
          <w:szCs w:val="24"/>
        </w:rPr>
        <w:t xml:space="preserve"> exceção de Silva &amp; Fernandes (2009), referem-se a estudos realizados em ambientes que não o brasileiro. </w:t>
      </w:r>
    </w:p>
    <w:p w14:paraId="5C073466" w14:textId="06B98F7D" w:rsidR="0039002B" w:rsidRPr="007C5EBD" w:rsidRDefault="0052512C" w:rsidP="0039002B">
      <w:pPr>
        <w:tabs>
          <w:tab w:val="left" w:pos="4536"/>
        </w:tabs>
        <w:autoSpaceDE w:val="0"/>
        <w:autoSpaceDN w:val="0"/>
        <w:adjustRightInd w:val="0"/>
        <w:ind w:firstLine="709"/>
        <w:jc w:val="both"/>
        <w:rPr>
          <w:color w:val="000000" w:themeColor="text1"/>
          <w:sz w:val="24"/>
          <w:szCs w:val="24"/>
        </w:rPr>
      </w:pPr>
      <w:r>
        <w:rPr>
          <w:color w:val="000000" w:themeColor="text1"/>
          <w:sz w:val="24"/>
          <w:szCs w:val="24"/>
        </w:rPr>
        <w:t>C</w:t>
      </w:r>
      <w:r w:rsidR="0039002B" w:rsidRPr="007C5EBD">
        <w:rPr>
          <w:color w:val="000000" w:themeColor="text1"/>
          <w:sz w:val="24"/>
          <w:szCs w:val="24"/>
        </w:rPr>
        <w:t>onforme preconizado pelos normatizadores</w:t>
      </w:r>
      <w:r>
        <w:rPr>
          <w:color w:val="000000" w:themeColor="text1"/>
          <w:sz w:val="24"/>
          <w:szCs w:val="24"/>
        </w:rPr>
        <w:t>, a</w:t>
      </w:r>
      <w:r w:rsidRPr="007C5EBD">
        <w:rPr>
          <w:color w:val="000000" w:themeColor="text1"/>
          <w:sz w:val="24"/>
          <w:szCs w:val="24"/>
        </w:rPr>
        <w:t xml:space="preserve"> adoção das IFRS</w:t>
      </w:r>
      <w:r w:rsidR="0039002B" w:rsidRPr="007C5EBD">
        <w:rPr>
          <w:color w:val="000000" w:themeColor="text1"/>
          <w:sz w:val="24"/>
          <w:szCs w:val="24"/>
        </w:rPr>
        <w:t xml:space="preserve"> tem a intenção de melhorar o processo de comunicação entre os usuários com o fornecimento de informações úteis, claras, coesas e de fácil leitura. Lang &amp; Stice-Lawrence (2015) apresentam resultados que suportam a hipótese de melhoria na legibilidade dos relatórios em torno da adoção de IFRS.</w:t>
      </w:r>
    </w:p>
    <w:p w14:paraId="1B720DB7" w14:textId="1EDE1588" w:rsidR="0039002B" w:rsidRPr="007C5EBD" w:rsidRDefault="0039002B" w:rsidP="0039002B">
      <w:pPr>
        <w:tabs>
          <w:tab w:val="left" w:pos="4536"/>
        </w:tabs>
        <w:autoSpaceDE w:val="0"/>
        <w:autoSpaceDN w:val="0"/>
        <w:adjustRightInd w:val="0"/>
        <w:ind w:firstLine="709"/>
        <w:jc w:val="both"/>
        <w:rPr>
          <w:color w:val="000000" w:themeColor="text1"/>
          <w:sz w:val="24"/>
          <w:szCs w:val="24"/>
        </w:rPr>
      </w:pPr>
      <w:r w:rsidRPr="007C5EBD">
        <w:rPr>
          <w:color w:val="000000" w:themeColor="text1"/>
          <w:sz w:val="24"/>
          <w:szCs w:val="24"/>
        </w:rPr>
        <w:t>Já Greco (2012)</w:t>
      </w:r>
      <w:r w:rsidR="0052512C">
        <w:rPr>
          <w:color w:val="000000" w:themeColor="text1"/>
          <w:sz w:val="24"/>
          <w:szCs w:val="24"/>
        </w:rPr>
        <w:t>,</w:t>
      </w:r>
      <w:r w:rsidRPr="007C5EBD">
        <w:rPr>
          <w:color w:val="000000" w:themeColor="text1"/>
          <w:sz w:val="24"/>
          <w:szCs w:val="24"/>
        </w:rPr>
        <w:t xml:space="preserve"> ao analisar a divulgação da política de risco de empresas italianas</w:t>
      </w:r>
      <w:r w:rsidR="0052512C">
        <w:rPr>
          <w:color w:val="000000" w:themeColor="text1"/>
          <w:sz w:val="24"/>
          <w:szCs w:val="24"/>
        </w:rPr>
        <w:t>,</w:t>
      </w:r>
      <w:r w:rsidRPr="007C5EBD">
        <w:rPr>
          <w:color w:val="000000" w:themeColor="text1"/>
          <w:sz w:val="24"/>
          <w:szCs w:val="24"/>
        </w:rPr>
        <w:t xml:space="preserve"> observa um aumento na quantidade de sentenças relacionadas ao risco seguindo os novos padrões, </w:t>
      </w:r>
      <w:r w:rsidR="0052512C">
        <w:rPr>
          <w:color w:val="000000" w:themeColor="text1"/>
          <w:sz w:val="24"/>
          <w:szCs w:val="24"/>
        </w:rPr>
        <w:t xml:space="preserve">mas, </w:t>
      </w:r>
      <w:r w:rsidRPr="007C5EBD">
        <w:rPr>
          <w:color w:val="000000" w:themeColor="text1"/>
          <w:sz w:val="24"/>
          <w:szCs w:val="24"/>
        </w:rPr>
        <w:t>no entanto</w:t>
      </w:r>
      <w:r w:rsidR="0052512C">
        <w:rPr>
          <w:color w:val="000000" w:themeColor="text1"/>
          <w:sz w:val="24"/>
          <w:szCs w:val="24"/>
        </w:rPr>
        <w:t>,</w:t>
      </w:r>
      <w:r w:rsidRPr="007C5EBD">
        <w:rPr>
          <w:color w:val="000000" w:themeColor="text1"/>
          <w:sz w:val="24"/>
          <w:szCs w:val="24"/>
        </w:rPr>
        <w:t xml:space="preserve"> os atributos da informação divulgada sobre os riscos permanecem inalterados ao longo do período. Segundo o autor</w:t>
      </w:r>
      <w:r w:rsidR="0052512C">
        <w:rPr>
          <w:color w:val="000000" w:themeColor="text1"/>
          <w:sz w:val="24"/>
          <w:szCs w:val="24"/>
        </w:rPr>
        <w:t>,</w:t>
      </w:r>
      <w:r w:rsidRPr="007C5EBD">
        <w:rPr>
          <w:color w:val="000000" w:themeColor="text1"/>
          <w:sz w:val="24"/>
          <w:szCs w:val="24"/>
        </w:rPr>
        <w:t xml:space="preserve"> os administradores aumentam as narrativas sobre a descrição dos fatores de risco, mas mantêm a mesma política de divulgação. Para ele a regulação não é capaz de superar os incentivos para que os administradores retenham informações privadas sobre riscos. </w:t>
      </w:r>
    </w:p>
    <w:p w14:paraId="0184E519" w14:textId="22CE5DD3"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lastRenderedPageBreak/>
        <w:t>Assim sendo, considerando as possibilidades de aumento da legibilidade por conta da adoção das normas, ou a redução da legibilidade por conta de um comportamento globalizado</w:t>
      </w:r>
      <w:r w:rsidR="00946B4F">
        <w:rPr>
          <w:color w:val="000000" w:themeColor="text1"/>
          <w:sz w:val="24"/>
          <w:szCs w:val="24"/>
        </w:rPr>
        <w:t xml:space="preserve"> de manutenção de informação privada</w:t>
      </w:r>
      <w:r w:rsidRPr="007C5EBD">
        <w:rPr>
          <w:color w:val="000000" w:themeColor="text1"/>
          <w:sz w:val="24"/>
          <w:szCs w:val="24"/>
        </w:rPr>
        <w:t xml:space="preserve">, a primeira hipótese de estudo é elaborada de forma a identificar diferenças entres os períodos e </w:t>
      </w:r>
      <w:r w:rsidR="00804928">
        <w:rPr>
          <w:color w:val="000000" w:themeColor="text1"/>
          <w:sz w:val="24"/>
          <w:szCs w:val="24"/>
        </w:rPr>
        <w:t xml:space="preserve">é exploratória quanto à </w:t>
      </w:r>
      <w:r w:rsidRPr="007C5EBD">
        <w:rPr>
          <w:color w:val="000000" w:themeColor="text1"/>
          <w:sz w:val="24"/>
          <w:szCs w:val="24"/>
        </w:rPr>
        <w:t xml:space="preserve">direcionalidade, </w:t>
      </w:r>
      <w:r w:rsidR="00804928">
        <w:rPr>
          <w:color w:val="000000" w:themeColor="text1"/>
          <w:sz w:val="24"/>
          <w:szCs w:val="24"/>
        </w:rPr>
        <w:t xml:space="preserve">sendo </w:t>
      </w:r>
      <w:r w:rsidRPr="007C5EBD">
        <w:rPr>
          <w:color w:val="000000" w:themeColor="text1"/>
          <w:sz w:val="24"/>
          <w:szCs w:val="24"/>
        </w:rPr>
        <w:t>a mesma identificada a partir dos testes:</w:t>
      </w:r>
    </w:p>
    <w:p w14:paraId="6255ABB9" w14:textId="77777777" w:rsidR="0039002B" w:rsidRPr="00907D7C" w:rsidRDefault="0039002B" w:rsidP="00907D7C">
      <w:pPr>
        <w:autoSpaceDE w:val="0"/>
        <w:autoSpaceDN w:val="0"/>
        <w:adjustRightInd w:val="0"/>
        <w:jc w:val="both"/>
        <w:rPr>
          <w:i/>
          <w:color w:val="000000" w:themeColor="text1"/>
          <w:sz w:val="24"/>
          <w:szCs w:val="24"/>
        </w:rPr>
      </w:pPr>
      <w:r w:rsidRPr="00907D7C">
        <w:rPr>
          <w:i/>
          <w:color w:val="000000" w:themeColor="text1"/>
          <w:sz w:val="24"/>
          <w:szCs w:val="24"/>
        </w:rPr>
        <w:t xml:space="preserve">H1: Não existe nenhuma diferença estatisticamente significativas entre as médias aritméticas da legibilidade nos períodos de estudo. </w:t>
      </w:r>
    </w:p>
    <w:p w14:paraId="0BA9C887" w14:textId="77777777"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A segunda hipótese de pesquisa centra-se na comparação da legibilidade das NEs das empresas brasileiras em relação aos relatórios emitidos em outros países e prevê</w:t>
      </w:r>
      <w:r>
        <w:rPr>
          <w:color w:val="000000" w:themeColor="text1"/>
          <w:sz w:val="24"/>
          <w:szCs w:val="24"/>
        </w:rPr>
        <w:t>:</w:t>
      </w:r>
      <w:r w:rsidRPr="007C5EBD">
        <w:rPr>
          <w:color w:val="000000" w:themeColor="text1"/>
          <w:sz w:val="24"/>
          <w:szCs w:val="24"/>
        </w:rPr>
        <w:t xml:space="preserve"> </w:t>
      </w:r>
    </w:p>
    <w:p w14:paraId="0B7EACB3" w14:textId="77777777" w:rsidR="0039002B" w:rsidRPr="00907D7C" w:rsidRDefault="0039002B" w:rsidP="00907D7C">
      <w:pPr>
        <w:autoSpaceDE w:val="0"/>
        <w:autoSpaceDN w:val="0"/>
        <w:adjustRightInd w:val="0"/>
        <w:jc w:val="both"/>
        <w:rPr>
          <w:i/>
          <w:color w:val="000000" w:themeColor="text1"/>
          <w:sz w:val="24"/>
          <w:szCs w:val="24"/>
        </w:rPr>
      </w:pPr>
      <w:r w:rsidRPr="00907D7C">
        <w:rPr>
          <w:i/>
          <w:color w:val="000000" w:themeColor="text1"/>
          <w:sz w:val="24"/>
          <w:szCs w:val="24"/>
        </w:rPr>
        <w:t>H2: A legibilidade das NEs é em geral muito difícil [Índice de Flesh entre 00-25].</w:t>
      </w:r>
    </w:p>
    <w:p w14:paraId="15B417B6" w14:textId="77777777" w:rsidR="0039002B" w:rsidRPr="007C5EBD" w:rsidRDefault="0039002B" w:rsidP="0039002B">
      <w:pPr>
        <w:autoSpaceDE w:val="0"/>
        <w:autoSpaceDN w:val="0"/>
        <w:adjustRightInd w:val="0"/>
        <w:spacing w:before="120"/>
        <w:jc w:val="both"/>
        <w:rPr>
          <w:bCs/>
          <w:i/>
          <w:color w:val="000000" w:themeColor="text1"/>
          <w:sz w:val="24"/>
          <w:szCs w:val="24"/>
        </w:rPr>
      </w:pPr>
      <w:r w:rsidRPr="007C5EBD">
        <w:rPr>
          <w:bCs/>
          <w:i/>
          <w:color w:val="000000" w:themeColor="text1"/>
          <w:sz w:val="24"/>
          <w:szCs w:val="24"/>
        </w:rPr>
        <w:t xml:space="preserve">2.3.2 Determinantes de legibilidade </w:t>
      </w:r>
    </w:p>
    <w:p w14:paraId="38FE5BF0" w14:textId="14F75E91" w:rsidR="0039002B" w:rsidRPr="007C5EBD" w:rsidRDefault="0039002B" w:rsidP="0039002B">
      <w:pPr>
        <w:autoSpaceDE w:val="0"/>
        <w:autoSpaceDN w:val="0"/>
        <w:adjustRightInd w:val="0"/>
        <w:ind w:firstLine="709"/>
        <w:jc w:val="both"/>
        <w:rPr>
          <w:bCs/>
          <w:color w:val="000000" w:themeColor="text1"/>
          <w:sz w:val="24"/>
          <w:szCs w:val="24"/>
        </w:rPr>
      </w:pPr>
      <w:r w:rsidRPr="007C5EBD">
        <w:rPr>
          <w:bCs/>
          <w:color w:val="000000" w:themeColor="text1"/>
          <w:sz w:val="24"/>
          <w:szCs w:val="24"/>
        </w:rPr>
        <w:t xml:space="preserve">Li (2008) sugeriu que as grandes empresas têm operações mais complexas para relatar e, assim, produzem narrativas mais elaboradas e com maior dificuldade de legibilidade. O autor ressalta que o tamanho captura muitos aspectos do ambiente operacional da empresa e que pode ser utilizado inclusive como </w:t>
      </w:r>
      <w:r w:rsidRPr="007C5EBD">
        <w:rPr>
          <w:bCs/>
          <w:i/>
          <w:color w:val="000000" w:themeColor="text1"/>
          <w:sz w:val="24"/>
          <w:szCs w:val="24"/>
        </w:rPr>
        <w:t xml:space="preserve">proxy </w:t>
      </w:r>
      <w:r w:rsidRPr="007C5EBD">
        <w:rPr>
          <w:bCs/>
          <w:color w:val="000000" w:themeColor="text1"/>
          <w:sz w:val="24"/>
          <w:szCs w:val="24"/>
        </w:rPr>
        <w:t xml:space="preserve">para medir o custo político de uma empresa. </w:t>
      </w:r>
    </w:p>
    <w:p w14:paraId="1119D038" w14:textId="21F5FC6B" w:rsidR="0039002B" w:rsidRPr="007C5EBD" w:rsidRDefault="0039002B" w:rsidP="0039002B">
      <w:pPr>
        <w:autoSpaceDE w:val="0"/>
        <w:autoSpaceDN w:val="0"/>
        <w:adjustRightInd w:val="0"/>
        <w:ind w:firstLine="709"/>
        <w:jc w:val="both"/>
        <w:rPr>
          <w:bCs/>
          <w:color w:val="000000" w:themeColor="text1"/>
          <w:sz w:val="24"/>
          <w:szCs w:val="24"/>
        </w:rPr>
      </w:pPr>
      <w:r w:rsidRPr="007C5EBD">
        <w:rPr>
          <w:bCs/>
          <w:color w:val="000000" w:themeColor="text1"/>
          <w:sz w:val="24"/>
          <w:szCs w:val="24"/>
        </w:rPr>
        <w:t>No entanto</w:t>
      </w:r>
      <w:r w:rsidR="00804928">
        <w:rPr>
          <w:bCs/>
          <w:color w:val="000000" w:themeColor="text1"/>
          <w:sz w:val="24"/>
          <w:szCs w:val="24"/>
        </w:rPr>
        <w:t>,</w:t>
      </w:r>
      <w:r w:rsidRPr="007C5EBD">
        <w:rPr>
          <w:bCs/>
          <w:color w:val="000000" w:themeColor="text1"/>
          <w:sz w:val="24"/>
          <w:szCs w:val="24"/>
        </w:rPr>
        <w:t xml:space="preserve"> estudos anteriores aos de Li (2008) indicaram resultados diversos, sendo que Courtis (1995), Rutherford (2003) e Smith, Jamil, Johari &amp; Ahmad (2006) não encontraram relação aparente entre legibilidade e tamanho da empresa, enquanto Jones (1988) identifica uma relação negativa. </w:t>
      </w:r>
      <w:r w:rsidR="00946B4F">
        <w:rPr>
          <w:bCs/>
          <w:color w:val="000000" w:themeColor="text1"/>
          <w:sz w:val="24"/>
          <w:szCs w:val="24"/>
        </w:rPr>
        <w:t>Assim</w:t>
      </w:r>
      <w:r w:rsidR="00804928">
        <w:rPr>
          <w:bCs/>
          <w:color w:val="000000" w:themeColor="text1"/>
          <w:sz w:val="24"/>
          <w:szCs w:val="24"/>
        </w:rPr>
        <w:t>, c</w:t>
      </w:r>
      <w:r w:rsidRPr="007C5EBD">
        <w:rPr>
          <w:bCs/>
          <w:color w:val="000000" w:themeColor="text1"/>
          <w:sz w:val="24"/>
          <w:szCs w:val="24"/>
        </w:rPr>
        <w:t>onsidera</w:t>
      </w:r>
      <w:r w:rsidR="00804928">
        <w:rPr>
          <w:bCs/>
          <w:color w:val="000000" w:themeColor="text1"/>
          <w:sz w:val="24"/>
          <w:szCs w:val="24"/>
        </w:rPr>
        <w:t>-se</w:t>
      </w:r>
      <w:r w:rsidRPr="007C5EBD">
        <w:rPr>
          <w:bCs/>
          <w:color w:val="000000" w:themeColor="text1"/>
          <w:sz w:val="24"/>
          <w:szCs w:val="24"/>
        </w:rPr>
        <w:t xml:space="preserve"> que a complexidade do negócio pode afetar a legibilidade e adicionar dificuldade na leitura as NEs</w:t>
      </w:r>
      <w:r w:rsidR="00804928">
        <w:rPr>
          <w:bCs/>
          <w:color w:val="000000" w:themeColor="text1"/>
          <w:sz w:val="24"/>
          <w:szCs w:val="24"/>
        </w:rPr>
        <w:t>, de modo que</w:t>
      </w:r>
      <w:r w:rsidRPr="007C5EBD">
        <w:rPr>
          <w:bCs/>
          <w:color w:val="000000" w:themeColor="text1"/>
          <w:sz w:val="24"/>
          <w:szCs w:val="24"/>
        </w:rPr>
        <w:t xml:space="preserve"> a hipótese sobre tamanho da empresa e legibilidade é delineada conforme a seguir:</w:t>
      </w:r>
    </w:p>
    <w:p w14:paraId="2655B981" w14:textId="77777777" w:rsidR="0039002B" w:rsidRPr="00907D7C" w:rsidRDefault="0039002B" w:rsidP="00907D7C">
      <w:pPr>
        <w:autoSpaceDE w:val="0"/>
        <w:autoSpaceDN w:val="0"/>
        <w:adjustRightInd w:val="0"/>
        <w:jc w:val="both"/>
        <w:rPr>
          <w:bCs/>
          <w:i/>
          <w:color w:val="000000" w:themeColor="text1"/>
          <w:sz w:val="24"/>
          <w:szCs w:val="24"/>
        </w:rPr>
      </w:pPr>
      <w:r w:rsidRPr="00907D7C">
        <w:rPr>
          <w:bCs/>
          <w:i/>
          <w:color w:val="000000" w:themeColor="text1"/>
          <w:sz w:val="24"/>
          <w:szCs w:val="24"/>
        </w:rPr>
        <w:t>H3: Empresas maiores possuem NEs com maior dificuldade de legibilidade.</w:t>
      </w:r>
    </w:p>
    <w:p w14:paraId="41BA5671" w14:textId="20684E8E" w:rsidR="0039002B" w:rsidRPr="007C5EBD" w:rsidRDefault="0039002B" w:rsidP="0039002B">
      <w:pPr>
        <w:autoSpaceDE w:val="0"/>
        <w:autoSpaceDN w:val="0"/>
        <w:adjustRightInd w:val="0"/>
        <w:ind w:firstLine="709"/>
        <w:jc w:val="both"/>
        <w:rPr>
          <w:bCs/>
          <w:color w:val="000000" w:themeColor="text1"/>
          <w:sz w:val="24"/>
          <w:szCs w:val="24"/>
        </w:rPr>
      </w:pPr>
      <w:r w:rsidRPr="007C5EBD">
        <w:rPr>
          <w:bCs/>
          <w:color w:val="000000" w:themeColor="text1"/>
          <w:sz w:val="24"/>
          <w:szCs w:val="24"/>
        </w:rPr>
        <w:t xml:space="preserve">O desempenho, medido por diversas </w:t>
      </w:r>
      <w:r w:rsidRPr="007C5EBD">
        <w:rPr>
          <w:bCs/>
          <w:i/>
          <w:color w:val="000000" w:themeColor="text1"/>
          <w:sz w:val="24"/>
          <w:szCs w:val="24"/>
        </w:rPr>
        <w:t>proxies</w:t>
      </w:r>
      <w:r w:rsidRPr="007C5EBD">
        <w:rPr>
          <w:bCs/>
          <w:color w:val="000000" w:themeColor="text1"/>
          <w:sz w:val="24"/>
          <w:szCs w:val="24"/>
        </w:rPr>
        <w:t xml:space="preserve">, é um dos determinantes de legibilidade discutidos na literatura (Moreno &amp; Casasola, 2016; Tan, Wang &amp; Zhou, 2013; Dempsey, </w:t>
      </w:r>
      <w:r w:rsidRPr="007C5EBD">
        <w:rPr>
          <w:color w:val="000000" w:themeColor="text1"/>
          <w:sz w:val="24"/>
          <w:szCs w:val="24"/>
        </w:rPr>
        <w:t>Harrison, Luchtenberg &amp; Seiler</w:t>
      </w:r>
      <w:r w:rsidRPr="007C5EBD">
        <w:rPr>
          <w:bCs/>
          <w:color w:val="000000" w:themeColor="text1"/>
          <w:sz w:val="24"/>
          <w:szCs w:val="24"/>
        </w:rPr>
        <w:t>, 2012; Rennekamp, 2012; Bayerlein &amp; Davidson, 2011</w:t>
      </w:r>
      <w:r w:rsidR="00804928">
        <w:rPr>
          <w:bCs/>
          <w:color w:val="000000" w:themeColor="text1"/>
          <w:sz w:val="24"/>
          <w:szCs w:val="24"/>
        </w:rPr>
        <w:t>;</w:t>
      </w:r>
      <w:r w:rsidRPr="007C5EBD">
        <w:rPr>
          <w:bCs/>
          <w:color w:val="000000" w:themeColor="text1"/>
          <w:sz w:val="24"/>
          <w:szCs w:val="24"/>
        </w:rPr>
        <w:t xml:space="preserve"> Sheikh, Bakar &amp; Ameer, 2011;  Li, 2008;  Rutherford, 2003). </w:t>
      </w:r>
    </w:p>
    <w:p w14:paraId="2492F8F5" w14:textId="48B5AF1E"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Moreno &amp; Casasola (2016) salientam que os administradores podem utilizar políticas de divulgação e apresentação, conscientes ou não, para exibir realizações corporativas favoráveis conforme seus interesses. Nesse sentido</w:t>
      </w:r>
      <w:r w:rsidR="00804928">
        <w:rPr>
          <w:color w:val="000000" w:themeColor="text1"/>
          <w:sz w:val="24"/>
          <w:szCs w:val="24"/>
        </w:rPr>
        <w:t>,</w:t>
      </w:r>
      <w:r w:rsidRPr="007C5EBD">
        <w:rPr>
          <w:color w:val="000000" w:themeColor="text1"/>
          <w:sz w:val="24"/>
          <w:szCs w:val="24"/>
        </w:rPr>
        <w:t xml:space="preserve"> Rutherford (2003) lembra que as empresas de baixo desempenho podem utilizar a complexidade textual, sugerida pela hipótese de ofuscação, para encobrir informações e, assim, prejudicar a comunicação efetiva e a boa governança. </w:t>
      </w:r>
    </w:p>
    <w:p w14:paraId="124E5A3B" w14:textId="59380853"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 xml:space="preserve">Dempsey et al. (2012) obtiveram evidências de que a opacidade da divulgação da empresa, medida pela legibilidade, está negativamente relacionada com o desempenho da empresa. Sheikh, Bakar &amp; Ameer (2011) avaliam a legibilidade da comunicação de responsabilidade social corporativa (CRS) em empresas malaias e verificam que existe uma relação entre a legibilidade e o desempenho das </w:t>
      </w:r>
      <w:r w:rsidR="001935DD" w:rsidRPr="007C5EBD">
        <w:rPr>
          <w:color w:val="000000" w:themeColor="text1"/>
          <w:sz w:val="24"/>
          <w:szCs w:val="24"/>
        </w:rPr>
        <w:t>empresas</w:t>
      </w:r>
      <w:r w:rsidR="001935DD">
        <w:rPr>
          <w:color w:val="000000" w:themeColor="text1"/>
          <w:sz w:val="24"/>
          <w:szCs w:val="24"/>
        </w:rPr>
        <w:t>, inferindo</w:t>
      </w:r>
      <w:r w:rsidR="00804928">
        <w:rPr>
          <w:color w:val="000000" w:themeColor="text1"/>
          <w:sz w:val="24"/>
          <w:szCs w:val="24"/>
        </w:rPr>
        <w:t>-se</w:t>
      </w:r>
      <w:r w:rsidRPr="007C5EBD">
        <w:rPr>
          <w:color w:val="000000" w:themeColor="text1"/>
          <w:sz w:val="24"/>
          <w:szCs w:val="24"/>
        </w:rPr>
        <w:t xml:space="preserve"> que </w:t>
      </w:r>
      <w:r w:rsidR="00907D7C" w:rsidRPr="007C5EBD">
        <w:rPr>
          <w:color w:val="000000" w:themeColor="text1"/>
          <w:sz w:val="24"/>
          <w:szCs w:val="24"/>
        </w:rPr>
        <w:t>a administração das empresas de baixo desempenho escolhe</w:t>
      </w:r>
      <w:r w:rsidRPr="007C5EBD">
        <w:rPr>
          <w:color w:val="000000" w:themeColor="text1"/>
          <w:sz w:val="24"/>
          <w:szCs w:val="24"/>
        </w:rPr>
        <w:t xml:space="preserve"> deliberadamente uma linguagem difícil na comunicação</w:t>
      </w:r>
      <w:r w:rsidR="00804928">
        <w:rPr>
          <w:color w:val="000000" w:themeColor="text1"/>
          <w:sz w:val="24"/>
          <w:szCs w:val="24"/>
        </w:rPr>
        <w:t>, o</w:t>
      </w:r>
      <w:r w:rsidRPr="007C5EBD">
        <w:rPr>
          <w:color w:val="000000" w:themeColor="text1"/>
          <w:sz w:val="24"/>
          <w:szCs w:val="24"/>
        </w:rPr>
        <w:t xml:space="preserve"> que suporta a hipótese de ofuscação. </w:t>
      </w:r>
    </w:p>
    <w:p w14:paraId="62E83856" w14:textId="52FBC8E0"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 xml:space="preserve"> Com base na pesquisa em psicologia, Rennekamp (2012) verifica que divulgações mais legíveis levam pequenos investidores a reações mais fortes, de modo que as mudanças nos julgamentos de avaliação são mais positivas quando a notícia é boa e mais negativas quando a notícia é ruim. O autor afirma que a fluência de processamento de uma divulgação mais legível atua como uma sugestão heurística subconsciente e aumenta as crenças dos investidores de que eles podem confiar na divulgação. Para além disso, em análises suplementares, </w:t>
      </w:r>
      <w:r w:rsidR="00804928" w:rsidRPr="007C5EBD">
        <w:rPr>
          <w:color w:val="000000" w:themeColor="text1"/>
          <w:sz w:val="24"/>
          <w:szCs w:val="24"/>
        </w:rPr>
        <w:t xml:space="preserve">Rennekamp (2012) </w:t>
      </w:r>
      <w:r w:rsidRPr="007C5EBD">
        <w:rPr>
          <w:color w:val="000000" w:themeColor="text1"/>
          <w:sz w:val="24"/>
          <w:szCs w:val="24"/>
        </w:rPr>
        <w:t xml:space="preserve">considera que os investidores que recebem divulgações mais legíveis revisam seus julgamentos de avaliação para serem menos extremos quando são explicitamente conscientizados do potencial de variação na legibilidade. </w:t>
      </w:r>
    </w:p>
    <w:p w14:paraId="01C63036" w14:textId="77777777" w:rsidR="0039002B" w:rsidRPr="007C5EBD" w:rsidRDefault="0039002B" w:rsidP="0039002B">
      <w:pPr>
        <w:autoSpaceDE w:val="0"/>
        <w:autoSpaceDN w:val="0"/>
        <w:adjustRightInd w:val="0"/>
        <w:ind w:firstLine="709"/>
        <w:jc w:val="both"/>
        <w:rPr>
          <w:bCs/>
          <w:color w:val="000000" w:themeColor="text1"/>
          <w:sz w:val="24"/>
          <w:szCs w:val="24"/>
        </w:rPr>
      </w:pPr>
      <w:r w:rsidRPr="007C5EBD">
        <w:rPr>
          <w:color w:val="000000" w:themeColor="text1"/>
          <w:sz w:val="24"/>
          <w:szCs w:val="24"/>
        </w:rPr>
        <w:lastRenderedPageBreak/>
        <w:t xml:space="preserve">Por fim, Li (2008) identifica que empresas com menores lucros possuem relatórios menos legíveis. Assim sendo a quarta hipótese de estudo prevê: </w:t>
      </w:r>
    </w:p>
    <w:p w14:paraId="2B34297D" w14:textId="77777777" w:rsidR="0039002B" w:rsidRPr="00907D7C" w:rsidRDefault="0039002B" w:rsidP="00907D7C">
      <w:pPr>
        <w:autoSpaceDE w:val="0"/>
        <w:autoSpaceDN w:val="0"/>
        <w:adjustRightInd w:val="0"/>
        <w:jc w:val="both"/>
        <w:rPr>
          <w:bCs/>
          <w:i/>
          <w:color w:val="000000" w:themeColor="text1"/>
          <w:sz w:val="24"/>
          <w:szCs w:val="24"/>
        </w:rPr>
      </w:pPr>
      <w:r w:rsidRPr="00907D7C">
        <w:rPr>
          <w:bCs/>
          <w:i/>
          <w:color w:val="000000" w:themeColor="text1"/>
          <w:sz w:val="24"/>
          <w:szCs w:val="24"/>
        </w:rPr>
        <w:t>H4: Empresas com melhor desempenho possuem maior legibilidade das NEs.</w:t>
      </w:r>
    </w:p>
    <w:p w14:paraId="0B2857CA" w14:textId="1683327F" w:rsidR="0039002B" w:rsidRPr="007C5EBD" w:rsidRDefault="0039002B" w:rsidP="0039002B">
      <w:pPr>
        <w:autoSpaceDE w:val="0"/>
        <w:autoSpaceDN w:val="0"/>
        <w:adjustRightInd w:val="0"/>
        <w:ind w:firstLine="709"/>
        <w:jc w:val="both"/>
        <w:rPr>
          <w:bCs/>
          <w:color w:val="000000" w:themeColor="text1"/>
          <w:sz w:val="24"/>
          <w:szCs w:val="24"/>
        </w:rPr>
      </w:pPr>
      <w:r w:rsidRPr="007C5EBD">
        <w:rPr>
          <w:color w:val="000000" w:themeColor="text1"/>
          <w:sz w:val="24"/>
          <w:szCs w:val="24"/>
        </w:rPr>
        <w:t xml:space="preserve">O risco medido por meio do endividamento é </w:t>
      </w:r>
      <w:r w:rsidR="00804928">
        <w:rPr>
          <w:color w:val="000000" w:themeColor="text1"/>
          <w:sz w:val="24"/>
          <w:szCs w:val="24"/>
        </w:rPr>
        <w:t>outro</w:t>
      </w:r>
      <w:r w:rsidRPr="007C5EBD">
        <w:rPr>
          <w:color w:val="000000" w:themeColor="text1"/>
          <w:sz w:val="24"/>
          <w:szCs w:val="24"/>
        </w:rPr>
        <w:t xml:space="preserve"> determinante de legibilidade discutidos na literatura. O risco presente no endividamento seria a possibilidade de não pagamento aos credores. A ideia subjacente é de que empresas com mais empréstimos tendem a ter relatórios mais legíveis porque são mais transparentes com seus credores e tendem a evitar problemas de acesso a crédito e questões de litígio</w:t>
      </w:r>
      <w:r>
        <w:rPr>
          <w:color w:val="000000" w:themeColor="text1"/>
          <w:sz w:val="24"/>
          <w:szCs w:val="24"/>
        </w:rPr>
        <w:t xml:space="preserve"> (</w:t>
      </w:r>
      <w:r w:rsidRPr="007C5EBD">
        <w:rPr>
          <w:color w:val="000000" w:themeColor="text1"/>
          <w:sz w:val="24"/>
          <w:szCs w:val="24"/>
        </w:rPr>
        <w:t>Solomon et al</w:t>
      </w:r>
      <w:r>
        <w:rPr>
          <w:color w:val="000000" w:themeColor="text1"/>
          <w:sz w:val="24"/>
          <w:szCs w:val="24"/>
        </w:rPr>
        <w:t xml:space="preserve">, </w:t>
      </w:r>
      <w:r w:rsidRPr="007C5EBD">
        <w:rPr>
          <w:color w:val="000000" w:themeColor="text1"/>
          <w:sz w:val="24"/>
          <w:szCs w:val="24"/>
        </w:rPr>
        <w:t xml:space="preserve">2000). No entanto, </w:t>
      </w:r>
      <w:r w:rsidRPr="007C5EBD">
        <w:rPr>
          <w:bCs/>
          <w:color w:val="000000" w:themeColor="text1"/>
          <w:sz w:val="24"/>
          <w:szCs w:val="24"/>
        </w:rPr>
        <w:t>Rutherford (2003), medindo o risco como alavancagem</w:t>
      </w:r>
      <w:r w:rsidR="00804928">
        <w:rPr>
          <w:bCs/>
          <w:color w:val="000000" w:themeColor="text1"/>
          <w:sz w:val="24"/>
          <w:szCs w:val="24"/>
        </w:rPr>
        <w:t>,</w:t>
      </w:r>
      <w:r w:rsidRPr="007C5EBD">
        <w:rPr>
          <w:bCs/>
          <w:color w:val="000000" w:themeColor="text1"/>
          <w:sz w:val="24"/>
          <w:szCs w:val="24"/>
        </w:rPr>
        <w:t xml:space="preserve"> não encontra uma forte relação entre risco e legibilidade. </w:t>
      </w:r>
      <w:r w:rsidR="00804928">
        <w:rPr>
          <w:bCs/>
          <w:color w:val="000000" w:themeColor="text1"/>
          <w:sz w:val="24"/>
          <w:szCs w:val="24"/>
        </w:rPr>
        <w:t xml:space="preserve">Em que pese a divergência, </w:t>
      </w:r>
      <w:r w:rsidRPr="007C5EBD">
        <w:rPr>
          <w:bCs/>
          <w:color w:val="000000" w:themeColor="text1"/>
          <w:sz w:val="24"/>
          <w:szCs w:val="24"/>
        </w:rPr>
        <w:t xml:space="preserve">a quinta hipótese de estudo é delineada conforme a seguir: </w:t>
      </w:r>
    </w:p>
    <w:p w14:paraId="25BC8D6B" w14:textId="77777777" w:rsidR="0039002B" w:rsidRPr="00907D7C" w:rsidRDefault="0039002B" w:rsidP="00907D7C">
      <w:pPr>
        <w:autoSpaceDE w:val="0"/>
        <w:autoSpaceDN w:val="0"/>
        <w:adjustRightInd w:val="0"/>
        <w:jc w:val="both"/>
        <w:rPr>
          <w:bCs/>
          <w:i/>
          <w:color w:val="000000" w:themeColor="text1"/>
          <w:sz w:val="24"/>
          <w:szCs w:val="24"/>
        </w:rPr>
      </w:pPr>
      <w:r w:rsidRPr="00907D7C">
        <w:rPr>
          <w:bCs/>
          <w:i/>
          <w:color w:val="000000" w:themeColor="text1"/>
          <w:sz w:val="24"/>
          <w:szCs w:val="24"/>
        </w:rPr>
        <w:t>H5: Empresas com maior endividamento possuem melhor legibilidade das NEs.</w:t>
      </w:r>
    </w:p>
    <w:p w14:paraId="4D89FBB7" w14:textId="392605B4" w:rsidR="0039002B" w:rsidRPr="007C5EBD" w:rsidRDefault="0039002B" w:rsidP="0039002B">
      <w:pPr>
        <w:autoSpaceDE w:val="0"/>
        <w:autoSpaceDN w:val="0"/>
        <w:adjustRightInd w:val="0"/>
        <w:ind w:firstLine="709"/>
        <w:jc w:val="both"/>
        <w:rPr>
          <w:bCs/>
          <w:color w:val="000000" w:themeColor="text1"/>
          <w:sz w:val="24"/>
          <w:szCs w:val="24"/>
        </w:rPr>
      </w:pPr>
      <w:r w:rsidRPr="007C5EBD">
        <w:rPr>
          <w:color w:val="000000" w:themeColor="text1"/>
          <w:sz w:val="24"/>
          <w:szCs w:val="24"/>
        </w:rPr>
        <w:t xml:space="preserve">Heflin, Shaw e Wild (2000) avaliam a relação entre a divulgação de informações e a liquidez de mercado das empresas americanas. A ideia é que uma política de divulgação contábil de nível superior aumenta a liquidez de mercado das empresas. Os autores encontram evidências que suportam a hipótese formulada. </w:t>
      </w:r>
      <w:r w:rsidR="00804928">
        <w:rPr>
          <w:color w:val="000000" w:themeColor="text1"/>
          <w:sz w:val="24"/>
          <w:szCs w:val="24"/>
        </w:rPr>
        <w:t>S</w:t>
      </w:r>
      <w:r w:rsidRPr="007C5EBD">
        <w:rPr>
          <w:color w:val="000000" w:themeColor="text1"/>
          <w:sz w:val="24"/>
          <w:szCs w:val="24"/>
        </w:rPr>
        <w:t xml:space="preserve">ugerem </w:t>
      </w:r>
      <w:r w:rsidR="00804928">
        <w:rPr>
          <w:color w:val="000000" w:themeColor="text1"/>
          <w:sz w:val="24"/>
          <w:szCs w:val="24"/>
        </w:rPr>
        <w:t xml:space="preserve">ainda </w:t>
      </w:r>
      <w:r w:rsidRPr="007C5EBD">
        <w:rPr>
          <w:color w:val="000000" w:themeColor="text1"/>
          <w:sz w:val="24"/>
          <w:szCs w:val="24"/>
        </w:rPr>
        <w:t xml:space="preserve">que é a qualidade das informações contábeis, e não a comunicação privada com analistas, que impulsiona as relações entre a qualidade da informação e a liquidez de mercado. </w:t>
      </w:r>
      <w:r w:rsidR="00E82819">
        <w:rPr>
          <w:color w:val="000000" w:themeColor="text1"/>
          <w:sz w:val="24"/>
          <w:szCs w:val="24"/>
        </w:rPr>
        <w:t>Admitindo-se que</w:t>
      </w:r>
      <w:r w:rsidRPr="007C5EBD">
        <w:rPr>
          <w:color w:val="000000" w:themeColor="text1"/>
          <w:sz w:val="24"/>
          <w:szCs w:val="24"/>
        </w:rPr>
        <w:t xml:space="preserve"> informações de alta qualidade ajuda</w:t>
      </w:r>
      <w:r w:rsidR="00E82819">
        <w:rPr>
          <w:color w:val="000000" w:themeColor="text1"/>
          <w:sz w:val="24"/>
          <w:szCs w:val="24"/>
        </w:rPr>
        <w:t>m</w:t>
      </w:r>
      <w:r w:rsidRPr="007C5EBD">
        <w:rPr>
          <w:color w:val="000000" w:themeColor="text1"/>
          <w:sz w:val="24"/>
          <w:szCs w:val="24"/>
        </w:rPr>
        <w:t xml:space="preserve"> a reduzir a assimetria, a sexta hipótese de estudo prevê: </w:t>
      </w:r>
    </w:p>
    <w:p w14:paraId="418A7E03" w14:textId="77777777" w:rsidR="0039002B" w:rsidRPr="00907D7C" w:rsidRDefault="0039002B" w:rsidP="00907D7C">
      <w:pPr>
        <w:autoSpaceDE w:val="0"/>
        <w:autoSpaceDN w:val="0"/>
        <w:adjustRightInd w:val="0"/>
        <w:jc w:val="both"/>
        <w:rPr>
          <w:i/>
          <w:color w:val="000000" w:themeColor="text1"/>
          <w:sz w:val="24"/>
          <w:szCs w:val="24"/>
        </w:rPr>
      </w:pPr>
      <w:r w:rsidRPr="00907D7C">
        <w:rPr>
          <w:i/>
          <w:color w:val="000000" w:themeColor="text1"/>
          <w:sz w:val="24"/>
          <w:szCs w:val="24"/>
        </w:rPr>
        <w:t xml:space="preserve">H6: Empresas com maior liquidez de mercado possuem NEs com maior legibilidade. </w:t>
      </w:r>
    </w:p>
    <w:p w14:paraId="79110D75" w14:textId="77777777" w:rsidR="0039002B" w:rsidRPr="007C5EBD" w:rsidRDefault="0039002B" w:rsidP="0039002B">
      <w:pPr>
        <w:pStyle w:val="PargrafodaLista"/>
        <w:autoSpaceDE w:val="0"/>
        <w:autoSpaceDN w:val="0"/>
        <w:adjustRightInd w:val="0"/>
        <w:spacing w:before="120"/>
        <w:ind w:left="0"/>
        <w:jc w:val="both"/>
        <w:rPr>
          <w:b/>
          <w:color w:val="000000" w:themeColor="text1"/>
          <w:sz w:val="24"/>
          <w:szCs w:val="24"/>
        </w:rPr>
      </w:pPr>
      <w:r>
        <w:rPr>
          <w:b/>
          <w:color w:val="000000" w:themeColor="text1"/>
          <w:sz w:val="24"/>
          <w:szCs w:val="24"/>
        </w:rPr>
        <w:t xml:space="preserve">3.  </w:t>
      </w:r>
      <w:r w:rsidRPr="007C5EBD">
        <w:rPr>
          <w:b/>
          <w:color w:val="000000" w:themeColor="text1"/>
          <w:sz w:val="24"/>
          <w:szCs w:val="24"/>
        </w:rPr>
        <w:t xml:space="preserve">Delineamento </w:t>
      </w:r>
      <w:r>
        <w:rPr>
          <w:b/>
          <w:color w:val="000000" w:themeColor="text1"/>
          <w:sz w:val="24"/>
          <w:szCs w:val="24"/>
        </w:rPr>
        <w:t>d</w:t>
      </w:r>
      <w:r w:rsidRPr="007C5EBD">
        <w:rPr>
          <w:b/>
          <w:color w:val="000000" w:themeColor="text1"/>
          <w:sz w:val="24"/>
          <w:szCs w:val="24"/>
        </w:rPr>
        <w:t>a Pesquisa</w:t>
      </w:r>
    </w:p>
    <w:p w14:paraId="1E3E2F93" w14:textId="52892991" w:rsidR="0039002B" w:rsidRPr="007C5EBD" w:rsidRDefault="0039002B" w:rsidP="0039002B">
      <w:pPr>
        <w:autoSpaceDE w:val="0"/>
        <w:autoSpaceDN w:val="0"/>
        <w:adjustRightInd w:val="0"/>
        <w:ind w:firstLine="709"/>
        <w:jc w:val="both"/>
        <w:rPr>
          <w:color w:val="000000" w:themeColor="text1"/>
          <w:sz w:val="24"/>
          <w:szCs w:val="24"/>
        </w:rPr>
      </w:pPr>
      <w:r>
        <w:rPr>
          <w:color w:val="000000" w:themeColor="text1"/>
          <w:sz w:val="24"/>
          <w:szCs w:val="24"/>
        </w:rPr>
        <w:t xml:space="preserve">A presente pesquisa </w:t>
      </w:r>
      <w:r w:rsidR="00804928">
        <w:rPr>
          <w:color w:val="000000" w:themeColor="text1"/>
          <w:sz w:val="24"/>
          <w:szCs w:val="24"/>
        </w:rPr>
        <w:t>busca</w:t>
      </w:r>
      <w:r>
        <w:rPr>
          <w:color w:val="000000" w:themeColor="text1"/>
          <w:sz w:val="24"/>
          <w:szCs w:val="24"/>
        </w:rPr>
        <w:t xml:space="preserve"> identificar os determinantes de </w:t>
      </w:r>
      <w:r w:rsidRPr="007C5EBD">
        <w:rPr>
          <w:color w:val="000000" w:themeColor="text1"/>
          <w:sz w:val="24"/>
          <w:szCs w:val="24"/>
        </w:rPr>
        <w:t>legibilidade das notas explicativas (NEs) das empresas brasileiras listadas na B</w:t>
      </w:r>
      <w:r>
        <w:rPr>
          <w:color w:val="000000" w:themeColor="text1"/>
          <w:sz w:val="24"/>
          <w:szCs w:val="24"/>
        </w:rPr>
        <w:t xml:space="preserve">3. </w:t>
      </w:r>
      <w:r w:rsidR="00804928">
        <w:rPr>
          <w:color w:val="000000" w:themeColor="text1"/>
          <w:sz w:val="24"/>
          <w:szCs w:val="24"/>
        </w:rPr>
        <w:t>Mas também, sabe-se que os</w:t>
      </w:r>
      <w:r>
        <w:rPr>
          <w:color w:val="000000" w:themeColor="text1"/>
          <w:sz w:val="24"/>
          <w:szCs w:val="24"/>
        </w:rPr>
        <w:t xml:space="preserve"> impactos da adoção das normas internacionais de contabilidade </w:t>
      </w:r>
      <w:r w:rsidR="00804928">
        <w:rPr>
          <w:color w:val="000000" w:themeColor="text1"/>
          <w:sz w:val="24"/>
          <w:szCs w:val="24"/>
        </w:rPr>
        <w:t xml:space="preserve">no Brasil </w:t>
      </w:r>
      <w:r>
        <w:rPr>
          <w:color w:val="000000" w:themeColor="text1"/>
          <w:sz w:val="24"/>
          <w:szCs w:val="24"/>
        </w:rPr>
        <w:t>ainda não estão complemente identificados</w:t>
      </w:r>
      <w:r w:rsidR="00804928">
        <w:rPr>
          <w:color w:val="000000" w:themeColor="text1"/>
          <w:sz w:val="24"/>
          <w:szCs w:val="24"/>
        </w:rPr>
        <w:t xml:space="preserve"> e, assim, </w:t>
      </w:r>
      <w:r>
        <w:rPr>
          <w:color w:val="000000" w:themeColor="text1"/>
          <w:sz w:val="24"/>
          <w:szCs w:val="24"/>
        </w:rPr>
        <w:t xml:space="preserve">esta pesquisa também verifica se a adoção das normas afetou a legibilidade das NEs. Para o cumprimento dos objetivos propostos são </w:t>
      </w:r>
      <w:r w:rsidR="0058200E">
        <w:rPr>
          <w:color w:val="000000" w:themeColor="text1"/>
          <w:sz w:val="24"/>
          <w:szCs w:val="24"/>
        </w:rPr>
        <w:t>utilizadas</w:t>
      </w:r>
      <w:r>
        <w:rPr>
          <w:color w:val="000000" w:themeColor="text1"/>
          <w:sz w:val="24"/>
          <w:szCs w:val="24"/>
        </w:rPr>
        <w:t xml:space="preserve"> três métricas de legibilidade conforme proposto em estudos anteriores e descritas a seguir.  </w:t>
      </w:r>
    </w:p>
    <w:p w14:paraId="52B3EDCC" w14:textId="77777777" w:rsidR="0039002B" w:rsidRPr="000D3A0E" w:rsidRDefault="0039002B" w:rsidP="0039002B">
      <w:pPr>
        <w:autoSpaceDE w:val="0"/>
        <w:autoSpaceDN w:val="0"/>
        <w:adjustRightInd w:val="0"/>
        <w:spacing w:before="120"/>
        <w:jc w:val="both"/>
        <w:rPr>
          <w:b/>
          <w:color w:val="000000" w:themeColor="text1"/>
          <w:sz w:val="24"/>
          <w:szCs w:val="24"/>
        </w:rPr>
      </w:pPr>
      <w:r w:rsidRPr="000D3A0E">
        <w:rPr>
          <w:b/>
          <w:color w:val="000000" w:themeColor="text1"/>
          <w:sz w:val="24"/>
          <w:szCs w:val="24"/>
        </w:rPr>
        <w:t>3.1 As métricas de legibilidade</w:t>
      </w:r>
    </w:p>
    <w:p w14:paraId="5BB68B51" w14:textId="77777777" w:rsidR="0039002B" w:rsidRPr="007C5EBD" w:rsidRDefault="0039002B" w:rsidP="0039002B">
      <w:pPr>
        <w:autoSpaceDE w:val="0"/>
        <w:autoSpaceDN w:val="0"/>
        <w:adjustRightInd w:val="0"/>
        <w:ind w:firstLine="709"/>
        <w:jc w:val="both"/>
        <w:rPr>
          <w:bCs/>
          <w:color w:val="000000" w:themeColor="text1"/>
          <w:sz w:val="24"/>
          <w:szCs w:val="24"/>
        </w:rPr>
      </w:pPr>
      <w:r w:rsidRPr="007C5EBD">
        <w:rPr>
          <w:bCs/>
          <w:color w:val="000000" w:themeColor="text1"/>
          <w:sz w:val="24"/>
          <w:szCs w:val="24"/>
        </w:rPr>
        <w:t>A fórmula de facilidade de leitura do Índice de Flesh (FLF) considera o comprimento da palavra medido em sílabas e o comprimento da frase medido em número de palavras. De acordo com Moreno &amp; Casasola (2016), o fator palavra</w:t>
      </w:r>
      <w:r>
        <w:rPr>
          <w:bCs/>
          <w:color w:val="000000" w:themeColor="text1"/>
          <w:sz w:val="24"/>
          <w:szCs w:val="24"/>
        </w:rPr>
        <w:t xml:space="preserve"> </w:t>
      </w:r>
      <w:r w:rsidRPr="007C5EBD">
        <w:rPr>
          <w:bCs/>
          <w:color w:val="000000" w:themeColor="text1"/>
          <w:sz w:val="24"/>
          <w:szCs w:val="24"/>
        </w:rPr>
        <w:t xml:space="preserve">mede a dificuldade semântica e a velocidade de reconhecimento, enquanto o fator sentença mede a capacidade de memória de curto prazo. A fórmula é especificada conforme a seguir: </w:t>
      </w:r>
    </w:p>
    <w:p w14:paraId="050B84F6" w14:textId="77777777" w:rsidR="0039002B" w:rsidRPr="007C5EBD" w:rsidRDefault="0039002B" w:rsidP="0039002B">
      <w:pPr>
        <w:tabs>
          <w:tab w:val="left" w:pos="4536"/>
        </w:tabs>
        <w:autoSpaceDE w:val="0"/>
        <w:autoSpaceDN w:val="0"/>
        <w:adjustRightInd w:val="0"/>
        <w:ind w:firstLine="709"/>
        <w:jc w:val="center"/>
        <w:rPr>
          <w:bCs/>
          <w:color w:val="000000" w:themeColor="text1"/>
          <w:sz w:val="24"/>
          <w:szCs w:val="24"/>
        </w:rPr>
      </w:pPr>
      <w:r w:rsidRPr="007C5EBD">
        <w:rPr>
          <w:bCs/>
          <w:color w:val="000000" w:themeColor="text1"/>
          <w:sz w:val="24"/>
          <w:szCs w:val="24"/>
        </w:rPr>
        <w:t>FLF = 206,835 – 0,846*CP – 1,015*CF</w:t>
      </w:r>
      <w:r w:rsidRPr="007C5EBD">
        <w:rPr>
          <w:bCs/>
          <w:color w:val="000000" w:themeColor="text1"/>
          <w:sz w:val="24"/>
          <w:szCs w:val="24"/>
        </w:rPr>
        <w:tab/>
      </w:r>
      <w:r w:rsidRPr="007C5EBD">
        <w:rPr>
          <w:bCs/>
          <w:color w:val="000000" w:themeColor="text1"/>
          <w:sz w:val="24"/>
          <w:szCs w:val="24"/>
        </w:rPr>
        <w:tab/>
        <w:t>Equação 01</w:t>
      </w:r>
    </w:p>
    <w:p w14:paraId="25F87F60" w14:textId="77777777" w:rsidR="0039002B" w:rsidRPr="007C5EBD" w:rsidRDefault="0039002B" w:rsidP="0039002B">
      <w:pPr>
        <w:tabs>
          <w:tab w:val="left" w:pos="4536"/>
        </w:tabs>
        <w:autoSpaceDE w:val="0"/>
        <w:autoSpaceDN w:val="0"/>
        <w:adjustRightInd w:val="0"/>
        <w:jc w:val="both"/>
        <w:rPr>
          <w:bCs/>
          <w:color w:val="000000" w:themeColor="text1"/>
          <w:szCs w:val="24"/>
        </w:rPr>
      </w:pPr>
      <w:r w:rsidRPr="007C5EBD">
        <w:rPr>
          <w:bCs/>
          <w:color w:val="000000" w:themeColor="text1"/>
          <w:szCs w:val="24"/>
        </w:rPr>
        <w:t>Onde:</w:t>
      </w:r>
    </w:p>
    <w:p w14:paraId="493B4D95" w14:textId="77777777" w:rsidR="0039002B" w:rsidRPr="007C5EBD" w:rsidRDefault="0039002B" w:rsidP="0039002B">
      <w:pPr>
        <w:tabs>
          <w:tab w:val="left" w:pos="4536"/>
        </w:tabs>
        <w:autoSpaceDE w:val="0"/>
        <w:autoSpaceDN w:val="0"/>
        <w:adjustRightInd w:val="0"/>
        <w:jc w:val="both"/>
        <w:rPr>
          <w:bCs/>
          <w:color w:val="000000" w:themeColor="text1"/>
          <w:szCs w:val="24"/>
        </w:rPr>
      </w:pPr>
      <w:r w:rsidRPr="007C5EBD">
        <w:rPr>
          <w:bCs/>
          <w:color w:val="000000" w:themeColor="text1"/>
          <w:szCs w:val="24"/>
        </w:rPr>
        <w:t>FLF = é a medida de facilidade de leitura medido pelo Índice de Flesh;</w:t>
      </w:r>
    </w:p>
    <w:p w14:paraId="031C2074" w14:textId="77777777" w:rsidR="0039002B" w:rsidRPr="007C5EBD" w:rsidRDefault="0039002B" w:rsidP="0039002B">
      <w:pPr>
        <w:tabs>
          <w:tab w:val="left" w:pos="4536"/>
        </w:tabs>
        <w:autoSpaceDE w:val="0"/>
        <w:autoSpaceDN w:val="0"/>
        <w:adjustRightInd w:val="0"/>
        <w:jc w:val="both"/>
        <w:rPr>
          <w:bCs/>
          <w:color w:val="000000" w:themeColor="text1"/>
          <w:szCs w:val="24"/>
        </w:rPr>
      </w:pPr>
      <w:r w:rsidRPr="007C5EBD">
        <w:rPr>
          <w:bCs/>
          <w:color w:val="000000" w:themeColor="text1"/>
          <w:szCs w:val="24"/>
        </w:rPr>
        <w:t>CP = comprimento da palavra medido pelo número de sílabas a cada 100 palavras;</w:t>
      </w:r>
    </w:p>
    <w:p w14:paraId="6915B504" w14:textId="77777777" w:rsidR="0039002B" w:rsidRPr="007C5EBD" w:rsidRDefault="0039002B" w:rsidP="0039002B">
      <w:pPr>
        <w:tabs>
          <w:tab w:val="left" w:pos="4536"/>
        </w:tabs>
        <w:autoSpaceDE w:val="0"/>
        <w:autoSpaceDN w:val="0"/>
        <w:adjustRightInd w:val="0"/>
        <w:jc w:val="both"/>
        <w:rPr>
          <w:bCs/>
          <w:color w:val="000000" w:themeColor="text1"/>
          <w:szCs w:val="24"/>
        </w:rPr>
      </w:pPr>
      <w:r w:rsidRPr="007C5EBD">
        <w:rPr>
          <w:bCs/>
          <w:color w:val="000000" w:themeColor="text1"/>
          <w:szCs w:val="24"/>
        </w:rPr>
        <w:t>CF = comprimento médio da frase medido pelo número médio de palavras por frase.</w:t>
      </w:r>
    </w:p>
    <w:p w14:paraId="00CE411D" w14:textId="222C6474" w:rsidR="0039002B" w:rsidRDefault="0039002B" w:rsidP="0039002B">
      <w:pPr>
        <w:tabs>
          <w:tab w:val="left" w:pos="4536"/>
        </w:tabs>
        <w:autoSpaceDE w:val="0"/>
        <w:autoSpaceDN w:val="0"/>
        <w:adjustRightInd w:val="0"/>
        <w:ind w:firstLine="709"/>
        <w:jc w:val="both"/>
        <w:rPr>
          <w:bCs/>
          <w:color w:val="000000" w:themeColor="text1"/>
          <w:sz w:val="24"/>
          <w:szCs w:val="24"/>
        </w:rPr>
      </w:pPr>
      <w:r w:rsidRPr="007C5EBD">
        <w:rPr>
          <w:bCs/>
          <w:color w:val="000000" w:themeColor="text1"/>
          <w:sz w:val="24"/>
          <w:szCs w:val="24"/>
        </w:rPr>
        <w:t>Os valores obtidos do índice variam entre 0 e 100 e tem a finalidade de classificar o texto em uma escala de dificuldade de leitura conforme expresso n</w:t>
      </w:r>
      <w:r>
        <w:rPr>
          <w:bCs/>
          <w:color w:val="000000" w:themeColor="text1"/>
          <w:sz w:val="24"/>
          <w:szCs w:val="24"/>
        </w:rPr>
        <w:t>a</w:t>
      </w:r>
      <w:r w:rsidRPr="007C5EBD">
        <w:rPr>
          <w:bCs/>
          <w:color w:val="000000" w:themeColor="text1"/>
          <w:sz w:val="24"/>
          <w:szCs w:val="24"/>
        </w:rPr>
        <w:t xml:space="preserve"> </w:t>
      </w:r>
      <w:r>
        <w:rPr>
          <w:bCs/>
          <w:color w:val="000000" w:themeColor="text1"/>
          <w:sz w:val="24"/>
          <w:szCs w:val="24"/>
        </w:rPr>
        <w:t xml:space="preserve">tabela </w:t>
      </w:r>
      <w:r w:rsidRPr="007C5EBD">
        <w:rPr>
          <w:bCs/>
          <w:color w:val="000000" w:themeColor="text1"/>
          <w:sz w:val="24"/>
          <w:szCs w:val="24"/>
        </w:rPr>
        <w:t xml:space="preserve">1, de acordo com Martins et al (1996), adaptado para a língua portuguesa. Os menores valores de FLF denotam textos mais difíceis de ler, caracterizados pelos autores como textos acadêmicos, ou seja, exigem maior formação e conhecimento por parte do leitor. </w:t>
      </w:r>
    </w:p>
    <w:p w14:paraId="03A493CF" w14:textId="1C167FCC" w:rsidR="0039002B" w:rsidRPr="007C5EBD" w:rsidRDefault="0039002B" w:rsidP="0039002B">
      <w:pPr>
        <w:tabs>
          <w:tab w:val="left" w:pos="4536"/>
        </w:tabs>
        <w:autoSpaceDE w:val="0"/>
        <w:autoSpaceDN w:val="0"/>
        <w:adjustRightInd w:val="0"/>
        <w:ind w:firstLine="709"/>
        <w:jc w:val="both"/>
        <w:rPr>
          <w:bCs/>
          <w:color w:val="000000" w:themeColor="text1"/>
          <w:szCs w:val="24"/>
        </w:rPr>
      </w:pPr>
      <w:r>
        <w:rPr>
          <w:bCs/>
          <w:color w:val="000000" w:themeColor="text1"/>
          <w:szCs w:val="24"/>
        </w:rPr>
        <w:t>Tabela</w:t>
      </w:r>
      <w:r w:rsidRPr="007C5EBD">
        <w:rPr>
          <w:bCs/>
          <w:color w:val="000000" w:themeColor="text1"/>
          <w:szCs w:val="24"/>
        </w:rPr>
        <w:t xml:space="preserve"> 1 – Níveis de legibilidade do Índice Flesh adaptado para a língua portuguesa</w:t>
      </w:r>
    </w:p>
    <w:tbl>
      <w:tblPr>
        <w:tblStyle w:val="Tabelacomgrade"/>
        <w:tblW w:w="0" w:type="auto"/>
        <w:tblInd w:w="704" w:type="dxa"/>
        <w:tblLook w:val="04A0" w:firstRow="1" w:lastRow="0" w:firstColumn="1" w:lastColumn="0" w:noHBand="0" w:noVBand="1"/>
      </w:tblPr>
      <w:tblGrid>
        <w:gridCol w:w="3543"/>
        <w:gridCol w:w="4253"/>
      </w:tblGrid>
      <w:tr w:rsidR="0039002B" w:rsidRPr="007C5EBD" w14:paraId="5A444574" w14:textId="77777777" w:rsidTr="005B1448">
        <w:tc>
          <w:tcPr>
            <w:tcW w:w="3543" w:type="dxa"/>
          </w:tcPr>
          <w:p w14:paraId="5BC72E5C" w14:textId="77777777" w:rsidR="0039002B" w:rsidRPr="007C5EBD" w:rsidRDefault="0039002B" w:rsidP="005B1448">
            <w:pPr>
              <w:tabs>
                <w:tab w:val="left" w:pos="4536"/>
              </w:tabs>
              <w:autoSpaceDE w:val="0"/>
              <w:autoSpaceDN w:val="0"/>
              <w:adjustRightInd w:val="0"/>
              <w:ind w:firstLine="709"/>
              <w:jc w:val="both"/>
              <w:rPr>
                <w:bCs/>
                <w:color w:val="000000" w:themeColor="text1"/>
                <w:szCs w:val="24"/>
              </w:rPr>
            </w:pPr>
            <w:r w:rsidRPr="007C5EBD">
              <w:rPr>
                <w:bCs/>
                <w:color w:val="000000" w:themeColor="text1"/>
                <w:szCs w:val="24"/>
              </w:rPr>
              <w:t>Pontuação do FLF</w:t>
            </w:r>
          </w:p>
        </w:tc>
        <w:tc>
          <w:tcPr>
            <w:tcW w:w="4253" w:type="dxa"/>
          </w:tcPr>
          <w:p w14:paraId="034A73AC" w14:textId="77777777" w:rsidR="0039002B" w:rsidRPr="007C5EBD" w:rsidRDefault="0039002B" w:rsidP="005B1448">
            <w:pPr>
              <w:tabs>
                <w:tab w:val="left" w:pos="4536"/>
              </w:tabs>
              <w:autoSpaceDE w:val="0"/>
              <w:autoSpaceDN w:val="0"/>
              <w:adjustRightInd w:val="0"/>
              <w:ind w:firstLine="709"/>
              <w:jc w:val="both"/>
              <w:rPr>
                <w:bCs/>
                <w:color w:val="000000" w:themeColor="text1"/>
                <w:szCs w:val="24"/>
              </w:rPr>
            </w:pPr>
            <w:r w:rsidRPr="007C5EBD">
              <w:rPr>
                <w:bCs/>
                <w:color w:val="000000" w:themeColor="text1"/>
                <w:szCs w:val="24"/>
              </w:rPr>
              <w:t>Nível de legibilidade</w:t>
            </w:r>
          </w:p>
        </w:tc>
      </w:tr>
      <w:tr w:rsidR="0039002B" w:rsidRPr="007C5EBD" w14:paraId="4859F4DE" w14:textId="77777777" w:rsidTr="005B1448">
        <w:tc>
          <w:tcPr>
            <w:tcW w:w="3543" w:type="dxa"/>
          </w:tcPr>
          <w:p w14:paraId="08296749" w14:textId="77777777" w:rsidR="0039002B" w:rsidRPr="007C5EBD" w:rsidRDefault="0039002B" w:rsidP="005B1448">
            <w:pPr>
              <w:tabs>
                <w:tab w:val="left" w:pos="4536"/>
              </w:tabs>
              <w:autoSpaceDE w:val="0"/>
              <w:autoSpaceDN w:val="0"/>
              <w:adjustRightInd w:val="0"/>
              <w:ind w:firstLine="709"/>
              <w:jc w:val="both"/>
              <w:rPr>
                <w:bCs/>
                <w:color w:val="000000" w:themeColor="text1"/>
                <w:szCs w:val="24"/>
              </w:rPr>
            </w:pPr>
            <w:r w:rsidRPr="007C5EBD">
              <w:rPr>
                <w:bCs/>
                <w:color w:val="000000" w:themeColor="text1"/>
                <w:szCs w:val="24"/>
              </w:rPr>
              <w:t xml:space="preserve">00 – 25 </w:t>
            </w:r>
          </w:p>
        </w:tc>
        <w:tc>
          <w:tcPr>
            <w:tcW w:w="4253" w:type="dxa"/>
          </w:tcPr>
          <w:p w14:paraId="376C1477" w14:textId="77777777" w:rsidR="0039002B" w:rsidRPr="007C5EBD" w:rsidRDefault="0039002B" w:rsidP="005B1448">
            <w:pPr>
              <w:tabs>
                <w:tab w:val="left" w:pos="4536"/>
              </w:tabs>
              <w:autoSpaceDE w:val="0"/>
              <w:autoSpaceDN w:val="0"/>
              <w:adjustRightInd w:val="0"/>
              <w:ind w:firstLine="709"/>
              <w:jc w:val="both"/>
              <w:rPr>
                <w:bCs/>
                <w:color w:val="000000" w:themeColor="text1"/>
                <w:szCs w:val="24"/>
              </w:rPr>
            </w:pPr>
            <w:r w:rsidRPr="007C5EBD">
              <w:rPr>
                <w:bCs/>
                <w:color w:val="000000" w:themeColor="text1"/>
                <w:szCs w:val="24"/>
              </w:rPr>
              <w:t xml:space="preserve">Muito difícil </w:t>
            </w:r>
          </w:p>
        </w:tc>
      </w:tr>
      <w:tr w:rsidR="0039002B" w:rsidRPr="007C5EBD" w14:paraId="04D28FD2" w14:textId="77777777" w:rsidTr="005B1448">
        <w:tc>
          <w:tcPr>
            <w:tcW w:w="3543" w:type="dxa"/>
          </w:tcPr>
          <w:p w14:paraId="3E13C81C" w14:textId="77777777" w:rsidR="0039002B" w:rsidRPr="007C5EBD" w:rsidRDefault="0039002B" w:rsidP="005B1448">
            <w:pPr>
              <w:tabs>
                <w:tab w:val="left" w:pos="4536"/>
              </w:tabs>
              <w:autoSpaceDE w:val="0"/>
              <w:autoSpaceDN w:val="0"/>
              <w:adjustRightInd w:val="0"/>
              <w:ind w:firstLine="709"/>
              <w:jc w:val="both"/>
              <w:rPr>
                <w:bCs/>
                <w:color w:val="000000" w:themeColor="text1"/>
                <w:szCs w:val="24"/>
              </w:rPr>
            </w:pPr>
            <w:r w:rsidRPr="007C5EBD">
              <w:rPr>
                <w:bCs/>
                <w:color w:val="000000" w:themeColor="text1"/>
                <w:szCs w:val="24"/>
              </w:rPr>
              <w:t>25 – 50</w:t>
            </w:r>
          </w:p>
        </w:tc>
        <w:tc>
          <w:tcPr>
            <w:tcW w:w="4253" w:type="dxa"/>
          </w:tcPr>
          <w:p w14:paraId="17F09D63" w14:textId="77777777" w:rsidR="0039002B" w:rsidRPr="007C5EBD" w:rsidRDefault="0039002B" w:rsidP="005B1448">
            <w:pPr>
              <w:tabs>
                <w:tab w:val="left" w:pos="4536"/>
              </w:tabs>
              <w:autoSpaceDE w:val="0"/>
              <w:autoSpaceDN w:val="0"/>
              <w:adjustRightInd w:val="0"/>
              <w:ind w:firstLine="709"/>
              <w:jc w:val="both"/>
              <w:rPr>
                <w:bCs/>
                <w:color w:val="000000" w:themeColor="text1"/>
                <w:szCs w:val="24"/>
              </w:rPr>
            </w:pPr>
            <w:r w:rsidRPr="007C5EBD">
              <w:rPr>
                <w:bCs/>
                <w:color w:val="000000" w:themeColor="text1"/>
                <w:szCs w:val="24"/>
              </w:rPr>
              <w:t xml:space="preserve">Pouco difícil </w:t>
            </w:r>
          </w:p>
        </w:tc>
      </w:tr>
      <w:tr w:rsidR="0039002B" w:rsidRPr="007C5EBD" w14:paraId="7C6668B5" w14:textId="77777777" w:rsidTr="005B1448">
        <w:tc>
          <w:tcPr>
            <w:tcW w:w="3543" w:type="dxa"/>
          </w:tcPr>
          <w:p w14:paraId="1CE42F40" w14:textId="77777777" w:rsidR="0039002B" w:rsidRPr="007C5EBD" w:rsidRDefault="0039002B" w:rsidP="005B1448">
            <w:pPr>
              <w:tabs>
                <w:tab w:val="left" w:pos="4536"/>
              </w:tabs>
              <w:autoSpaceDE w:val="0"/>
              <w:autoSpaceDN w:val="0"/>
              <w:adjustRightInd w:val="0"/>
              <w:ind w:firstLine="709"/>
              <w:jc w:val="both"/>
              <w:rPr>
                <w:bCs/>
                <w:color w:val="000000" w:themeColor="text1"/>
                <w:szCs w:val="24"/>
              </w:rPr>
            </w:pPr>
            <w:r w:rsidRPr="007C5EBD">
              <w:rPr>
                <w:bCs/>
                <w:color w:val="000000" w:themeColor="text1"/>
                <w:szCs w:val="24"/>
              </w:rPr>
              <w:t xml:space="preserve">50 – 75 </w:t>
            </w:r>
          </w:p>
        </w:tc>
        <w:tc>
          <w:tcPr>
            <w:tcW w:w="4253" w:type="dxa"/>
          </w:tcPr>
          <w:p w14:paraId="78F57A6C" w14:textId="77777777" w:rsidR="0039002B" w:rsidRPr="007C5EBD" w:rsidRDefault="0039002B" w:rsidP="005B1448">
            <w:pPr>
              <w:tabs>
                <w:tab w:val="left" w:pos="4536"/>
              </w:tabs>
              <w:autoSpaceDE w:val="0"/>
              <w:autoSpaceDN w:val="0"/>
              <w:adjustRightInd w:val="0"/>
              <w:ind w:firstLine="709"/>
              <w:jc w:val="both"/>
              <w:rPr>
                <w:bCs/>
                <w:color w:val="000000" w:themeColor="text1"/>
                <w:szCs w:val="24"/>
              </w:rPr>
            </w:pPr>
            <w:r w:rsidRPr="007C5EBD">
              <w:rPr>
                <w:bCs/>
                <w:color w:val="000000" w:themeColor="text1"/>
                <w:szCs w:val="24"/>
              </w:rPr>
              <w:t xml:space="preserve">Fácil </w:t>
            </w:r>
          </w:p>
        </w:tc>
      </w:tr>
      <w:tr w:rsidR="0039002B" w:rsidRPr="007C5EBD" w14:paraId="768729B5" w14:textId="77777777" w:rsidTr="005B1448">
        <w:tc>
          <w:tcPr>
            <w:tcW w:w="3543" w:type="dxa"/>
          </w:tcPr>
          <w:p w14:paraId="7FCBE21C" w14:textId="77777777" w:rsidR="0039002B" w:rsidRPr="007C5EBD" w:rsidRDefault="0039002B" w:rsidP="005B1448">
            <w:pPr>
              <w:tabs>
                <w:tab w:val="left" w:pos="4536"/>
              </w:tabs>
              <w:autoSpaceDE w:val="0"/>
              <w:autoSpaceDN w:val="0"/>
              <w:adjustRightInd w:val="0"/>
              <w:ind w:firstLine="709"/>
              <w:jc w:val="both"/>
              <w:rPr>
                <w:bCs/>
                <w:color w:val="000000" w:themeColor="text1"/>
                <w:szCs w:val="24"/>
              </w:rPr>
            </w:pPr>
            <w:r w:rsidRPr="007C5EBD">
              <w:rPr>
                <w:bCs/>
                <w:color w:val="000000" w:themeColor="text1"/>
                <w:szCs w:val="24"/>
              </w:rPr>
              <w:t xml:space="preserve">75 – 100 </w:t>
            </w:r>
          </w:p>
        </w:tc>
        <w:tc>
          <w:tcPr>
            <w:tcW w:w="4253" w:type="dxa"/>
          </w:tcPr>
          <w:p w14:paraId="4BAE3DD6" w14:textId="77777777" w:rsidR="0039002B" w:rsidRPr="007C5EBD" w:rsidRDefault="0039002B" w:rsidP="005B1448">
            <w:pPr>
              <w:tabs>
                <w:tab w:val="left" w:pos="4536"/>
              </w:tabs>
              <w:autoSpaceDE w:val="0"/>
              <w:autoSpaceDN w:val="0"/>
              <w:adjustRightInd w:val="0"/>
              <w:ind w:firstLine="709"/>
              <w:jc w:val="both"/>
              <w:rPr>
                <w:bCs/>
                <w:color w:val="000000" w:themeColor="text1"/>
                <w:szCs w:val="24"/>
              </w:rPr>
            </w:pPr>
            <w:r w:rsidRPr="007C5EBD">
              <w:rPr>
                <w:bCs/>
                <w:color w:val="000000" w:themeColor="text1"/>
                <w:szCs w:val="24"/>
              </w:rPr>
              <w:t xml:space="preserve">Muito fácil </w:t>
            </w:r>
          </w:p>
        </w:tc>
      </w:tr>
    </w:tbl>
    <w:p w14:paraId="3A580555" w14:textId="77777777" w:rsidR="0039002B" w:rsidRPr="007C5EBD" w:rsidRDefault="0039002B" w:rsidP="0039002B">
      <w:pPr>
        <w:autoSpaceDE w:val="0"/>
        <w:autoSpaceDN w:val="0"/>
        <w:adjustRightInd w:val="0"/>
        <w:ind w:firstLine="709"/>
        <w:jc w:val="both"/>
        <w:rPr>
          <w:color w:val="000000" w:themeColor="text1"/>
          <w:szCs w:val="24"/>
        </w:rPr>
      </w:pPr>
      <w:r w:rsidRPr="007C5EBD">
        <w:rPr>
          <w:color w:val="000000" w:themeColor="text1"/>
          <w:szCs w:val="24"/>
        </w:rPr>
        <w:t>Fonte: Martins et al. (1996, p. 4)</w:t>
      </w:r>
    </w:p>
    <w:p w14:paraId="540E78EB" w14:textId="5447BB9C" w:rsidR="00907D7C" w:rsidRDefault="00907D7C" w:rsidP="00907D7C">
      <w:pPr>
        <w:tabs>
          <w:tab w:val="left" w:pos="4536"/>
        </w:tabs>
        <w:autoSpaceDE w:val="0"/>
        <w:autoSpaceDN w:val="0"/>
        <w:adjustRightInd w:val="0"/>
        <w:ind w:firstLine="709"/>
        <w:jc w:val="both"/>
        <w:rPr>
          <w:bCs/>
          <w:color w:val="000000" w:themeColor="text1"/>
          <w:sz w:val="24"/>
          <w:szCs w:val="24"/>
        </w:rPr>
      </w:pPr>
      <w:r w:rsidRPr="007C5EBD">
        <w:rPr>
          <w:bCs/>
          <w:color w:val="000000" w:themeColor="text1"/>
          <w:sz w:val="24"/>
          <w:szCs w:val="24"/>
        </w:rPr>
        <w:lastRenderedPageBreak/>
        <w:t>A segunda métrica de legibilidade utiliz</w:t>
      </w:r>
      <w:r w:rsidR="00FB1284">
        <w:rPr>
          <w:bCs/>
          <w:color w:val="000000" w:themeColor="text1"/>
          <w:sz w:val="24"/>
          <w:szCs w:val="24"/>
        </w:rPr>
        <w:t>ada segue o estudo de Li (2008), que considera a</w:t>
      </w:r>
      <w:r w:rsidRPr="007C5EBD">
        <w:rPr>
          <w:bCs/>
          <w:color w:val="000000" w:themeColor="text1"/>
          <w:sz w:val="24"/>
          <w:szCs w:val="24"/>
        </w:rPr>
        <w:t xml:space="preserve"> legibilidade </w:t>
      </w:r>
      <w:r w:rsidR="00FB1284">
        <w:rPr>
          <w:bCs/>
          <w:color w:val="000000" w:themeColor="text1"/>
          <w:sz w:val="24"/>
          <w:szCs w:val="24"/>
        </w:rPr>
        <w:t>sendo medida</w:t>
      </w:r>
      <w:r w:rsidRPr="007C5EBD">
        <w:rPr>
          <w:bCs/>
          <w:color w:val="000000" w:themeColor="text1"/>
          <w:sz w:val="24"/>
          <w:szCs w:val="24"/>
        </w:rPr>
        <w:t xml:space="preserve"> pelo comprimento do documento a ser analisado. O autor define comprimento como sendo o logaritmo natural do número de palavras existentes no texto. O uso do logaritmo natural, conforme explicado pelo autor, deve-se a variação no número de palavras entre as empresas e por consequência a existência de valores extremos.</w:t>
      </w:r>
    </w:p>
    <w:p w14:paraId="43C463B1" w14:textId="5063D652" w:rsidR="0039002B" w:rsidRPr="007C5EBD" w:rsidRDefault="0039002B" w:rsidP="0039002B">
      <w:pPr>
        <w:autoSpaceDE w:val="0"/>
        <w:autoSpaceDN w:val="0"/>
        <w:adjustRightInd w:val="0"/>
        <w:ind w:firstLine="709"/>
        <w:jc w:val="both"/>
        <w:rPr>
          <w:bCs/>
          <w:color w:val="000000" w:themeColor="text1"/>
          <w:sz w:val="24"/>
          <w:szCs w:val="24"/>
        </w:rPr>
      </w:pPr>
      <w:r w:rsidRPr="007C5EBD">
        <w:rPr>
          <w:bCs/>
          <w:color w:val="000000" w:themeColor="text1"/>
          <w:sz w:val="24"/>
          <w:szCs w:val="24"/>
        </w:rPr>
        <w:t xml:space="preserve">Outra métrica de legibilidade considerada neste estudo segue Loughran &amp; Mcdonald (2014). É utilizado o tamanho do arquivo medido pelo </w:t>
      </w:r>
      <w:r w:rsidR="00C747CE">
        <w:rPr>
          <w:bCs/>
          <w:color w:val="000000" w:themeColor="text1"/>
          <w:sz w:val="24"/>
          <w:szCs w:val="24"/>
        </w:rPr>
        <w:t xml:space="preserve">logaritmo natural do </w:t>
      </w:r>
      <w:r w:rsidRPr="007C5EBD">
        <w:rPr>
          <w:bCs/>
          <w:color w:val="000000" w:themeColor="text1"/>
          <w:sz w:val="24"/>
          <w:szCs w:val="24"/>
        </w:rPr>
        <w:t xml:space="preserve">número de páginas que compõem as NEs. A opção </w:t>
      </w:r>
      <w:r w:rsidR="00EA6196">
        <w:rPr>
          <w:bCs/>
          <w:color w:val="000000" w:themeColor="text1"/>
          <w:sz w:val="24"/>
          <w:szCs w:val="24"/>
        </w:rPr>
        <w:t xml:space="preserve">pelo </w:t>
      </w:r>
      <w:r w:rsidRPr="007C5EBD">
        <w:rPr>
          <w:bCs/>
          <w:color w:val="000000" w:themeColor="text1"/>
          <w:sz w:val="24"/>
          <w:szCs w:val="24"/>
        </w:rPr>
        <w:t xml:space="preserve">uso </w:t>
      </w:r>
      <w:r w:rsidR="00EA6196">
        <w:rPr>
          <w:bCs/>
          <w:color w:val="000000" w:themeColor="text1"/>
          <w:sz w:val="24"/>
          <w:szCs w:val="24"/>
        </w:rPr>
        <w:t>do</w:t>
      </w:r>
      <w:r w:rsidRPr="007C5EBD">
        <w:rPr>
          <w:bCs/>
          <w:color w:val="000000" w:themeColor="text1"/>
          <w:sz w:val="24"/>
          <w:szCs w:val="24"/>
        </w:rPr>
        <w:t xml:space="preserve"> número de páginas que compõem as NEs deve-se ao fato de ser uma medida direta e simples de ser coletada. Os autores sugerem</w:t>
      </w:r>
      <w:r>
        <w:rPr>
          <w:bCs/>
          <w:color w:val="000000" w:themeColor="text1"/>
          <w:sz w:val="24"/>
          <w:szCs w:val="24"/>
        </w:rPr>
        <w:t xml:space="preserve"> ainda</w:t>
      </w:r>
      <w:r w:rsidRPr="007C5EBD">
        <w:rPr>
          <w:bCs/>
          <w:color w:val="000000" w:themeColor="text1"/>
          <w:sz w:val="24"/>
          <w:szCs w:val="24"/>
        </w:rPr>
        <w:t xml:space="preserve"> o uso do tamanho do arquivo em </w:t>
      </w:r>
      <w:r w:rsidRPr="007C5EBD">
        <w:rPr>
          <w:bCs/>
          <w:i/>
          <w:color w:val="000000" w:themeColor="text1"/>
          <w:sz w:val="24"/>
          <w:szCs w:val="24"/>
        </w:rPr>
        <w:t>megabytes</w:t>
      </w:r>
      <w:r w:rsidRPr="007C5EBD">
        <w:rPr>
          <w:bCs/>
          <w:color w:val="000000" w:themeColor="text1"/>
          <w:sz w:val="24"/>
          <w:szCs w:val="24"/>
        </w:rPr>
        <w:t>. No entanto, tendo em vista que as NEs das empresas brasileiras listadas na bolsa serem arquivadas em formatos diversos</w:t>
      </w:r>
      <w:r w:rsidR="00EA6196">
        <w:rPr>
          <w:bCs/>
          <w:color w:val="000000" w:themeColor="text1"/>
          <w:sz w:val="24"/>
          <w:szCs w:val="24"/>
        </w:rPr>
        <w:t xml:space="preserve">, </w:t>
      </w:r>
      <w:r w:rsidRPr="007C5EBD">
        <w:rPr>
          <w:bCs/>
          <w:color w:val="000000" w:themeColor="text1"/>
          <w:sz w:val="24"/>
          <w:szCs w:val="24"/>
        </w:rPr>
        <w:t xml:space="preserve">o uso do tamanho do arquivo em </w:t>
      </w:r>
      <w:r w:rsidRPr="007C5EBD">
        <w:rPr>
          <w:bCs/>
          <w:i/>
          <w:color w:val="000000" w:themeColor="text1"/>
          <w:sz w:val="24"/>
          <w:szCs w:val="24"/>
        </w:rPr>
        <w:t>megabytes</w:t>
      </w:r>
      <w:r w:rsidRPr="007C5EBD">
        <w:rPr>
          <w:bCs/>
          <w:color w:val="000000" w:themeColor="text1"/>
          <w:sz w:val="24"/>
          <w:szCs w:val="24"/>
        </w:rPr>
        <w:t xml:space="preserve"> poderia provocar distorções, cita-se por exemplo, o fato de que os relatórios no ano de 2005 foram enviados a partir do Microsoft-word em formato .</w:t>
      </w:r>
      <w:r w:rsidRPr="007C5EBD">
        <w:rPr>
          <w:bCs/>
          <w:i/>
          <w:color w:val="000000" w:themeColor="text1"/>
          <w:sz w:val="24"/>
          <w:szCs w:val="24"/>
        </w:rPr>
        <w:t>doc</w:t>
      </w:r>
      <w:r w:rsidRPr="007C5EBD">
        <w:rPr>
          <w:bCs/>
          <w:color w:val="000000" w:themeColor="text1"/>
          <w:sz w:val="24"/>
          <w:szCs w:val="24"/>
        </w:rPr>
        <w:t xml:space="preserve"> e em 2015 os arquivos são encaminhados em versões Adobe, extensão </w:t>
      </w:r>
      <w:r w:rsidRPr="007C5EBD">
        <w:rPr>
          <w:bCs/>
          <w:i/>
          <w:color w:val="000000" w:themeColor="text1"/>
          <w:sz w:val="24"/>
          <w:szCs w:val="24"/>
        </w:rPr>
        <w:t>pdf</w:t>
      </w:r>
      <w:r w:rsidRPr="007C5EBD">
        <w:rPr>
          <w:bCs/>
          <w:color w:val="000000" w:themeColor="text1"/>
          <w:sz w:val="24"/>
          <w:szCs w:val="24"/>
        </w:rPr>
        <w:t>.</w:t>
      </w:r>
    </w:p>
    <w:p w14:paraId="60314D66" w14:textId="77777777" w:rsidR="0039002B" w:rsidRPr="000D3A0E" w:rsidRDefault="0039002B" w:rsidP="0039002B">
      <w:pPr>
        <w:autoSpaceDE w:val="0"/>
        <w:autoSpaceDN w:val="0"/>
        <w:adjustRightInd w:val="0"/>
        <w:spacing w:before="120"/>
        <w:jc w:val="both"/>
        <w:rPr>
          <w:b/>
          <w:color w:val="000000" w:themeColor="text1"/>
          <w:sz w:val="24"/>
          <w:szCs w:val="24"/>
        </w:rPr>
      </w:pPr>
      <w:r w:rsidRPr="000D3A0E">
        <w:rPr>
          <w:b/>
          <w:color w:val="000000" w:themeColor="text1"/>
          <w:sz w:val="24"/>
          <w:szCs w:val="24"/>
        </w:rPr>
        <w:t xml:space="preserve">3.2 Período e procedimentos de </w:t>
      </w:r>
      <w:r>
        <w:rPr>
          <w:b/>
          <w:color w:val="000000" w:themeColor="text1"/>
          <w:sz w:val="24"/>
          <w:szCs w:val="24"/>
        </w:rPr>
        <w:t xml:space="preserve">coleta e </w:t>
      </w:r>
      <w:r w:rsidRPr="000D3A0E">
        <w:rPr>
          <w:b/>
          <w:color w:val="000000" w:themeColor="text1"/>
          <w:sz w:val="24"/>
          <w:szCs w:val="24"/>
        </w:rPr>
        <w:t>análise de dados.</w:t>
      </w:r>
    </w:p>
    <w:p w14:paraId="5E732290" w14:textId="67A3F1EC"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 xml:space="preserve">Para a consecução dos objetivos do estudo foi necessário identificar o nível de legibilidade das NEs contidas nas demonstrações financeiras padronizadas (DFPs) das empresas em </w:t>
      </w:r>
      <w:r>
        <w:rPr>
          <w:color w:val="000000" w:themeColor="text1"/>
          <w:sz w:val="24"/>
          <w:szCs w:val="24"/>
        </w:rPr>
        <w:t xml:space="preserve">três </w:t>
      </w:r>
      <w:r w:rsidRPr="007C5EBD">
        <w:rPr>
          <w:color w:val="000000" w:themeColor="text1"/>
          <w:sz w:val="24"/>
          <w:szCs w:val="24"/>
        </w:rPr>
        <w:t>períodos distintos. Como o objetivo é identificar variações na legibilidade, considera-se o marco pontual da adoção das IFRS no Brasil no ano de 2010</w:t>
      </w:r>
      <w:r w:rsidR="00A821DD">
        <w:rPr>
          <w:color w:val="000000" w:themeColor="text1"/>
          <w:sz w:val="24"/>
          <w:szCs w:val="24"/>
        </w:rPr>
        <w:t xml:space="preserve"> e como</w:t>
      </w:r>
      <w:r w:rsidRPr="007C5EBD">
        <w:rPr>
          <w:color w:val="000000" w:themeColor="text1"/>
          <w:sz w:val="24"/>
          <w:szCs w:val="24"/>
        </w:rPr>
        <w:t xml:space="preserve"> no Brasil houve o período de pré-adoção nos anos de 2008 e 2009, a análise destes dois anos poderia estar comprometida por terem empresas na amostra que já estivessem em processo de transição. Portanto optou-se, para verificar a variação, analisar 5 anos antes da adoção (ano de 2005)</w:t>
      </w:r>
      <w:r>
        <w:rPr>
          <w:color w:val="000000" w:themeColor="text1"/>
          <w:sz w:val="24"/>
          <w:szCs w:val="24"/>
        </w:rPr>
        <w:t xml:space="preserve">, o ano da adoção (2010) </w:t>
      </w:r>
      <w:r w:rsidRPr="007C5EBD">
        <w:rPr>
          <w:color w:val="000000" w:themeColor="text1"/>
          <w:sz w:val="24"/>
          <w:szCs w:val="24"/>
        </w:rPr>
        <w:t xml:space="preserve">e 5 anos após a adoção (2015). </w:t>
      </w:r>
    </w:p>
    <w:p w14:paraId="0201C65B" w14:textId="36E7E665"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 xml:space="preserve">As notas explicativas foram baixadas do sítio da </w:t>
      </w:r>
      <w:r w:rsidR="00646B9A">
        <w:rPr>
          <w:color w:val="000000" w:themeColor="text1"/>
          <w:sz w:val="24"/>
          <w:szCs w:val="24"/>
        </w:rPr>
        <w:t>B3</w:t>
      </w:r>
      <w:r w:rsidRPr="007C5EBD">
        <w:rPr>
          <w:color w:val="000000" w:themeColor="text1"/>
          <w:sz w:val="24"/>
          <w:szCs w:val="24"/>
        </w:rPr>
        <w:t xml:space="preserve"> e o Índice de Flesh foi calculado com o auxílio do </w:t>
      </w:r>
      <w:r w:rsidRPr="007C5EBD">
        <w:rPr>
          <w:i/>
          <w:color w:val="000000" w:themeColor="text1"/>
          <w:sz w:val="24"/>
          <w:szCs w:val="24"/>
        </w:rPr>
        <w:t>software</w:t>
      </w:r>
      <w:r w:rsidRPr="007C5EBD">
        <w:rPr>
          <w:color w:val="000000" w:themeColor="text1"/>
          <w:sz w:val="24"/>
          <w:szCs w:val="24"/>
        </w:rPr>
        <w:t xml:space="preserve"> livre Flesh PC. </w:t>
      </w:r>
      <w:r>
        <w:rPr>
          <w:color w:val="000000" w:themeColor="text1"/>
          <w:sz w:val="24"/>
          <w:szCs w:val="24"/>
        </w:rPr>
        <w:t>Para as NEs referentes aos anos</w:t>
      </w:r>
      <w:r w:rsidRPr="007C5EBD">
        <w:rPr>
          <w:color w:val="000000" w:themeColor="text1"/>
          <w:sz w:val="24"/>
          <w:szCs w:val="24"/>
        </w:rPr>
        <w:t xml:space="preserve"> de </w:t>
      </w:r>
      <w:r>
        <w:rPr>
          <w:color w:val="000000" w:themeColor="text1"/>
          <w:sz w:val="24"/>
          <w:szCs w:val="24"/>
        </w:rPr>
        <w:t xml:space="preserve">2010 e </w:t>
      </w:r>
      <w:r w:rsidRPr="007C5EBD">
        <w:rPr>
          <w:color w:val="000000" w:themeColor="text1"/>
          <w:sz w:val="24"/>
          <w:szCs w:val="24"/>
        </w:rPr>
        <w:t xml:space="preserve">2015 os arquivos com extensão </w:t>
      </w:r>
      <w:r w:rsidRPr="007C5EBD">
        <w:rPr>
          <w:i/>
          <w:color w:val="000000" w:themeColor="text1"/>
          <w:sz w:val="24"/>
          <w:szCs w:val="24"/>
        </w:rPr>
        <w:t>pdf</w:t>
      </w:r>
      <w:r w:rsidRPr="007C5EBD">
        <w:rPr>
          <w:color w:val="000000" w:themeColor="text1"/>
          <w:sz w:val="24"/>
          <w:szCs w:val="24"/>
        </w:rPr>
        <w:t xml:space="preserve"> foram convertidos para o formato .</w:t>
      </w:r>
      <w:r w:rsidRPr="007C5EBD">
        <w:rPr>
          <w:i/>
          <w:color w:val="000000" w:themeColor="text1"/>
          <w:sz w:val="24"/>
          <w:szCs w:val="24"/>
        </w:rPr>
        <w:t>doc</w:t>
      </w:r>
      <w:r w:rsidRPr="007C5EBD">
        <w:rPr>
          <w:color w:val="000000" w:themeColor="text1"/>
          <w:sz w:val="24"/>
          <w:szCs w:val="24"/>
        </w:rPr>
        <w:t xml:space="preserve"> do Microsoft-word por meio da ferramenta de conversão de arquivos do </w:t>
      </w:r>
      <w:r w:rsidRPr="007C5EBD">
        <w:rPr>
          <w:i/>
          <w:color w:val="000000" w:themeColor="text1"/>
          <w:sz w:val="24"/>
          <w:szCs w:val="24"/>
        </w:rPr>
        <w:t>Acroba.Adobe</w:t>
      </w:r>
      <w:r w:rsidRPr="007C5EBD">
        <w:rPr>
          <w:color w:val="000000" w:themeColor="text1"/>
          <w:sz w:val="24"/>
          <w:szCs w:val="24"/>
        </w:rPr>
        <w:t xml:space="preserve">. A finalidade da conversão dos arquivos </w:t>
      </w:r>
      <w:r w:rsidRPr="007C5EBD">
        <w:rPr>
          <w:i/>
          <w:color w:val="000000" w:themeColor="text1"/>
          <w:sz w:val="24"/>
          <w:szCs w:val="24"/>
        </w:rPr>
        <w:t>pdf</w:t>
      </w:r>
      <w:r w:rsidRPr="007C5EBD">
        <w:rPr>
          <w:color w:val="000000" w:themeColor="text1"/>
          <w:sz w:val="24"/>
          <w:szCs w:val="24"/>
        </w:rPr>
        <w:t xml:space="preserve"> em arquivos .</w:t>
      </w:r>
      <w:r w:rsidRPr="007C5EBD">
        <w:rPr>
          <w:i/>
          <w:color w:val="000000" w:themeColor="text1"/>
          <w:sz w:val="24"/>
          <w:szCs w:val="24"/>
        </w:rPr>
        <w:t>doc</w:t>
      </w:r>
      <w:r w:rsidRPr="007C5EBD">
        <w:rPr>
          <w:color w:val="000000" w:themeColor="text1"/>
          <w:sz w:val="24"/>
          <w:szCs w:val="24"/>
        </w:rPr>
        <w:t xml:space="preserve"> deve-se ao fato da necessidade de </w:t>
      </w:r>
      <w:r w:rsidR="00C747CE">
        <w:rPr>
          <w:color w:val="000000" w:themeColor="text1"/>
          <w:sz w:val="24"/>
          <w:szCs w:val="24"/>
        </w:rPr>
        <w:t>tratamento</w:t>
      </w:r>
      <w:r w:rsidRPr="007C5EBD">
        <w:rPr>
          <w:color w:val="000000" w:themeColor="text1"/>
          <w:sz w:val="24"/>
          <w:szCs w:val="24"/>
        </w:rPr>
        <w:t xml:space="preserve"> do documento. Seguindo o procedimento de Li (2008) e Moreno &amp; Casasola (2016), as tabelas e figuras foram excluídas dos arquivos de NEs tendo em vista que o índice poderia ficar prejudicado na presença de tais recursos. </w:t>
      </w:r>
    </w:p>
    <w:p w14:paraId="192354F2" w14:textId="732FE281"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 xml:space="preserve">Para padronizar a análise, constaram da amostra apenas empresas que tiverem DFPs disponíveis para os </w:t>
      </w:r>
      <w:r>
        <w:rPr>
          <w:color w:val="000000" w:themeColor="text1"/>
          <w:sz w:val="24"/>
          <w:szCs w:val="24"/>
        </w:rPr>
        <w:t xml:space="preserve">três </w:t>
      </w:r>
      <w:r w:rsidRPr="007C5EBD">
        <w:rPr>
          <w:color w:val="000000" w:themeColor="text1"/>
          <w:sz w:val="24"/>
          <w:szCs w:val="24"/>
        </w:rPr>
        <w:t>períodos da análise. Embora isso</w:t>
      </w:r>
      <w:r w:rsidR="00C747CE">
        <w:rPr>
          <w:color w:val="000000" w:themeColor="text1"/>
          <w:sz w:val="24"/>
          <w:szCs w:val="24"/>
        </w:rPr>
        <w:t>,</w:t>
      </w:r>
      <w:r w:rsidRPr="007C5EBD">
        <w:rPr>
          <w:color w:val="000000" w:themeColor="text1"/>
          <w:sz w:val="24"/>
          <w:szCs w:val="24"/>
        </w:rPr>
        <w:t xml:space="preserve"> por um lado</w:t>
      </w:r>
      <w:r w:rsidR="00C747CE">
        <w:rPr>
          <w:color w:val="000000" w:themeColor="text1"/>
          <w:sz w:val="24"/>
          <w:szCs w:val="24"/>
        </w:rPr>
        <w:t>,</w:t>
      </w:r>
      <w:r w:rsidRPr="007C5EBD">
        <w:rPr>
          <w:color w:val="000000" w:themeColor="text1"/>
          <w:sz w:val="24"/>
          <w:szCs w:val="24"/>
        </w:rPr>
        <w:t xml:space="preserve"> se torne uma limitação da pesquisa, porque adiciona viés de sobrevivência na definição da amostra, por outro </w:t>
      </w:r>
      <w:r w:rsidR="00C747CE">
        <w:rPr>
          <w:color w:val="000000" w:themeColor="text1"/>
          <w:sz w:val="24"/>
          <w:szCs w:val="24"/>
        </w:rPr>
        <w:t xml:space="preserve">lado, </w:t>
      </w:r>
      <w:r w:rsidRPr="007C5EBD">
        <w:rPr>
          <w:color w:val="000000" w:themeColor="text1"/>
          <w:sz w:val="24"/>
          <w:szCs w:val="24"/>
        </w:rPr>
        <w:t>visa dar uniformidade a amostra e efetivamente demonstrar variações de comportamento quanto a legibilidade das NEs, em um mesmo grupo de empresas.</w:t>
      </w:r>
    </w:p>
    <w:p w14:paraId="7B7E911E" w14:textId="1784E83E" w:rsidR="0039002B"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 xml:space="preserve">Inicialmente são identificadas 449 empresas listadas na </w:t>
      </w:r>
      <w:r w:rsidR="00646B9A">
        <w:rPr>
          <w:color w:val="000000" w:themeColor="text1"/>
          <w:sz w:val="24"/>
          <w:szCs w:val="24"/>
        </w:rPr>
        <w:t>B3</w:t>
      </w:r>
      <w:r w:rsidRPr="007C5EBD">
        <w:rPr>
          <w:color w:val="000000" w:themeColor="text1"/>
          <w:sz w:val="24"/>
          <w:szCs w:val="24"/>
        </w:rPr>
        <w:t xml:space="preserve">, das quais 298 possuem NEs disponíveis para os </w:t>
      </w:r>
      <w:r>
        <w:rPr>
          <w:color w:val="000000" w:themeColor="text1"/>
          <w:sz w:val="24"/>
          <w:szCs w:val="24"/>
        </w:rPr>
        <w:t xml:space="preserve">três </w:t>
      </w:r>
      <w:r w:rsidRPr="007C5EBD">
        <w:rPr>
          <w:color w:val="000000" w:themeColor="text1"/>
          <w:sz w:val="24"/>
          <w:szCs w:val="24"/>
        </w:rPr>
        <w:t>anos</w:t>
      </w:r>
      <w:r w:rsidR="00A821DD">
        <w:rPr>
          <w:color w:val="000000" w:themeColor="text1"/>
          <w:sz w:val="24"/>
          <w:szCs w:val="24"/>
        </w:rPr>
        <w:t>, considerando como marco inicial o ano de 2005</w:t>
      </w:r>
      <w:r w:rsidRPr="007C5EBD">
        <w:rPr>
          <w:color w:val="000000" w:themeColor="text1"/>
          <w:sz w:val="24"/>
          <w:szCs w:val="24"/>
        </w:rPr>
        <w:t>. Contudo</w:t>
      </w:r>
      <w:r w:rsidR="00C747CE">
        <w:rPr>
          <w:color w:val="000000" w:themeColor="text1"/>
          <w:sz w:val="24"/>
          <w:szCs w:val="24"/>
        </w:rPr>
        <w:t>,</w:t>
      </w:r>
      <w:r w:rsidRPr="007C5EBD">
        <w:rPr>
          <w:color w:val="000000" w:themeColor="text1"/>
          <w:sz w:val="24"/>
          <w:szCs w:val="24"/>
        </w:rPr>
        <w:t xml:space="preserve"> devido a problemas de conversão de arquivo, arquivos protegidos</w:t>
      </w:r>
      <w:r w:rsidR="00C747CE">
        <w:rPr>
          <w:color w:val="000000" w:themeColor="text1"/>
          <w:sz w:val="24"/>
          <w:szCs w:val="24"/>
        </w:rPr>
        <w:t xml:space="preserve"> ou</w:t>
      </w:r>
      <w:r w:rsidRPr="007C5EBD">
        <w:rPr>
          <w:color w:val="000000" w:themeColor="text1"/>
          <w:sz w:val="24"/>
          <w:szCs w:val="24"/>
        </w:rPr>
        <w:t xml:space="preserve"> ausência de dados</w:t>
      </w:r>
      <w:r w:rsidR="00C747CE">
        <w:rPr>
          <w:color w:val="000000" w:themeColor="text1"/>
          <w:sz w:val="24"/>
          <w:szCs w:val="24"/>
        </w:rPr>
        <w:t>,</w:t>
      </w:r>
      <w:r w:rsidRPr="007C5EBD">
        <w:rPr>
          <w:color w:val="000000" w:themeColor="text1"/>
          <w:sz w:val="24"/>
          <w:szCs w:val="24"/>
        </w:rPr>
        <w:t xml:space="preserve"> a amostra para análise de legibilidade foi composta por 2</w:t>
      </w:r>
      <w:r>
        <w:rPr>
          <w:color w:val="000000" w:themeColor="text1"/>
          <w:sz w:val="24"/>
          <w:szCs w:val="24"/>
        </w:rPr>
        <w:t>05</w:t>
      </w:r>
      <w:r w:rsidRPr="007C5EBD">
        <w:rPr>
          <w:color w:val="000000" w:themeColor="text1"/>
          <w:sz w:val="24"/>
          <w:szCs w:val="24"/>
        </w:rPr>
        <w:t xml:space="preserve"> </w:t>
      </w:r>
      <w:r>
        <w:rPr>
          <w:color w:val="000000" w:themeColor="text1"/>
          <w:sz w:val="24"/>
          <w:szCs w:val="24"/>
        </w:rPr>
        <w:t>empresas</w:t>
      </w:r>
      <w:r w:rsidRPr="007C5EBD">
        <w:rPr>
          <w:color w:val="000000" w:themeColor="text1"/>
          <w:sz w:val="24"/>
          <w:szCs w:val="24"/>
        </w:rPr>
        <w:t xml:space="preserve"> para cada ano estudado, pertencentes a todos os setores da economia conforme a classificação da Economática</w:t>
      </w:r>
      <w:r w:rsidRPr="007C5EBD">
        <w:rPr>
          <w:color w:val="000000" w:themeColor="text1"/>
          <w:sz w:val="24"/>
          <w:szCs w:val="24"/>
          <w:vertAlign w:val="superscript"/>
        </w:rPr>
        <w:t>®</w:t>
      </w:r>
      <w:r>
        <w:rPr>
          <w:color w:val="000000" w:themeColor="text1"/>
          <w:sz w:val="24"/>
          <w:szCs w:val="24"/>
        </w:rPr>
        <w:t xml:space="preserve">, inclusive financeiras. </w:t>
      </w:r>
      <w:r w:rsidRPr="007C5EBD">
        <w:rPr>
          <w:color w:val="000000" w:themeColor="text1"/>
          <w:sz w:val="24"/>
          <w:szCs w:val="24"/>
        </w:rPr>
        <w:t xml:space="preserve"> </w:t>
      </w:r>
    </w:p>
    <w:p w14:paraId="41922E80" w14:textId="067A9ABA"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Para os modelos de regressão</w:t>
      </w:r>
      <w:r w:rsidR="00C747CE">
        <w:rPr>
          <w:color w:val="000000" w:themeColor="text1"/>
          <w:sz w:val="24"/>
          <w:szCs w:val="24"/>
        </w:rPr>
        <w:t>,</w:t>
      </w:r>
      <w:r w:rsidRPr="007C5EBD">
        <w:rPr>
          <w:color w:val="000000" w:themeColor="text1"/>
          <w:sz w:val="24"/>
          <w:szCs w:val="24"/>
        </w:rPr>
        <w:t xml:space="preserve"> a amostra sofreu nova redução tendo em vista </w:t>
      </w:r>
      <w:r w:rsidR="00C747CE">
        <w:rPr>
          <w:color w:val="000000" w:themeColor="text1"/>
          <w:sz w:val="24"/>
          <w:szCs w:val="24"/>
        </w:rPr>
        <w:t>a existência de</w:t>
      </w:r>
      <w:r w:rsidRPr="007C5EBD">
        <w:rPr>
          <w:color w:val="000000" w:themeColor="text1"/>
          <w:sz w:val="24"/>
          <w:szCs w:val="24"/>
        </w:rPr>
        <w:t xml:space="preserve"> empresas que não possuíam todos os dados necessários para o cálculo das</w:t>
      </w:r>
      <w:r>
        <w:rPr>
          <w:color w:val="000000" w:themeColor="text1"/>
          <w:sz w:val="24"/>
          <w:szCs w:val="24"/>
        </w:rPr>
        <w:t xml:space="preserve"> </w:t>
      </w:r>
      <w:r w:rsidRPr="007C5EBD">
        <w:rPr>
          <w:color w:val="000000" w:themeColor="text1"/>
          <w:sz w:val="24"/>
          <w:szCs w:val="24"/>
        </w:rPr>
        <w:t xml:space="preserve">variáveis </w:t>
      </w:r>
      <w:r>
        <w:rPr>
          <w:color w:val="000000" w:themeColor="text1"/>
          <w:sz w:val="24"/>
          <w:szCs w:val="24"/>
        </w:rPr>
        <w:t xml:space="preserve">definidas como determinantes </w:t>
      </w:r>
      <w:r w:rsidRPr="007C5EBD">
        <w:rPr>
          <w:color w:val="000000" w:themeColor="text1"/>
          <w:sz w:val="24"/>
          <w:szCs w:val="24"/>
        </w:rPr>
        <w:t>d</w:t>
      </w:r>
      <w:r w:rsidR="00C747CE">
        <w:rPr>
          <w:color w:val="000000" w:themeColor="text1"/>
          <w:sz w:val="24"/>
          <w:szCs w:val="24"/>
        </w:rPr>
        <w:t>a</w:t>
      </w:r>
      <w:r w:rsidRPr="007C5EBD">
        <w:rPr>
          <w:color w:val="000000" w:themeColor="text1"/>
          <w:sz w:val="24"/>
          <w:szCs w:val="24"/>
        </w:rPr>
        <w:t xml:space="preserve"> </w:t>
      </w:r>
      <w:r>
        <w:rPr>
          <w:color w:val="000000" w:themeColor="text1"/>
          <w:sz w:val="24"/>
          <w:szCs w:val="24"/>
        </w:rPr>
        <w:t>legibilidade</w:t>
      </w:r>
      <w:r w:rsidRPr="007C5EBD">
        <w:rPr>
          <w:color w:val="000000" w:themeColor="text1"/>
          <w:sz w:val="24"/>
          <w:szCs w:val="24"/>
        </w:rPr>
        <w:t xml:space="preserve">. </w:t>
      </w:r>
      <w:r>
        <w:rPr>
          <w:color w:val="000000" w:themeColor="text1"/>
          <w:sz w:val="24"/>
          <w:szCs w:val="24"/>
        </w:rPr>
        <w:t>Ressalta-se que</w:t>
      </w:r>
      <w:r w:rsidR="00C747CE">
        <w:rPr>
          <w:color w:val="000000" w:themeColor="text1"/>
          <w:sz w:val="24"/>
          <w:szCs w:val="24"/>
        </w:rPr>
        <w:t>,</w:t>
      </w:r>
      <w:r>
        <w:rPr>
          <w:color w:val="000000" w:themeColor="text1"/>
          <w:sz w:val="24"/>
          <w:szCs w:val="24"/>
        </w:rPr>
        <w:t xml:space="preserve"> como </w:t>
      </w:r>
      <w:r w:rsidRPr="007C5EBD">
        <w:rPr>
          <w:color w:val="000000" w:themeColor="text1"/>
          <w:sz w:val="24"/>
          <w:szCs w:val="24"/>
        </w:rPr>
        <w:t xml:space="preserve">a variável representativa de risco é </w:t>
      </w:r>
      <w:r w:rsidR="00C747CE">
        <w:rPr>
          <w:color w:val="000000" w:themeColor="text1"/>
          <w:sz w:val="24"/>
          <w:szCs w:val="24"/>
        </w:rPr>
        <w:t xml:space="preserve">o </w:t>
      </w:r>
      <w:r w:rsidRPr="007C5EBD">
        <w:rPr>
          <w:color w:val="000000" w:themeColor="text1"/>
          <w:sz w:val="24"/>
          <w:szCs w:val="24"/>
        </w:rPr>
        <w:t>endividamento, devido as particularidades, as empresas dos setores financeiros e fundos foram excluídas</w:t>
      </w:r>
      <w:r>
        <w:rPr>
          <w:color w:val="000000" w:themeColor="text1"/>
          <w:sz w:val="24"/>
          <w:szCs w:val="24"/>
        </w:rPr>
        <w:t xml:space="preserve">, </w:t>
      </w:r>
      <w:r w:rsidR="00C747CE">
        <w:rPr>
          <w:color w:val="000000" w:themeColor="text1"/>
          <w:sz w:val="24"/>
          <w:szCs w:val="24"/>
        </w:rPr>
        <w:t>o que resultou e</w:t>
      </w:r>
      <w:r>
        <w:rPr>
          <w:color w:val="000000" w:themeColor="text1"/>
          <w:sz w:val="24"/>
          <w:szCs w:val="24"/>
        </w:rPr>
        <w:t xml:space="preserve">m 164 empresas, totalizando 492 observações. </w:t>
      </w:r>
    </w:p>
    <w:p w14:paraId="200EAF0E" w14:textId="288E8FD6"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 xml:space="preserve">A formação da base de dados deu-se ano a ano, assim sendo, por exemplo, caso a informação não estivesse disponível para um dos anos de análise, a empresa era excluída da amostra em </w:t>
      </w:r>
      <w:r>
        <w:rPr>
          <w:color w:val="000000" w:themeColor="text1"/>
          <w:sz w:val="24"/>
          <w:szCs w:val="24"/>
        </w:rPr>
        <w:t>todos</w:t>
      </w:r>
      <w:r w:rsidRPr="007C5EBD">
        <w:rPr>
          <w:color w:val="000000" w:themeColor="text1"/>
          <w:sz w:val="24"/>
          <w:szCs w:val="24"/>
        </w:rPr>
        <w:t xml:space="preserve"> os períodos. Com este procedimento ficou assegurado que a análise </w:t>
      </w:r>
      <w:r w:rsidRPr="007C5EBD">
        <w:rPr>
          <w:color w:val="000000" w:themeColor="text1"/>
          <w:sz w:val="24"/>
          <w:szCs w:val="24"/>
        </w:rPr>
        <w:lastRenderedPageBreak/>
        <w:t xml:space="preserve">contempla as mesmas empresas </w:t>
      </w:r>
      <w:r>
        <w:rPr>
          <w:color w:val="000000" w:themeColor="text1"/>
          <w:sz w:val="24"/>
          <w:szCs w:val="24"/>
        </w:rPr>
        <w:t>nos diferentes anos</w:t>
      </w:r>
      <w:r w:rsidRPr="007C5EBD">
        <w:rPr>
          <w:color w:val="000000" w:themeColor="text1"/>
          <w:sz w:val="24"/>
          <w:szCs w:val="24"/>
        </w:rPr>
        <w:t xml:space="preserve">. Na próxima subseção são descritos os testes a serem utilizados para a rejeição ou não das hipóteses de estudo. </w:t>
      </w:r>
    </w:p>
    <w:p w14:paraId="6E5E7BA8" w14:textId="5BBCBC51" w:rsidR="0039002B" w:rsidRPr="000D3A0E" w:rsidRDefault="0039002B" w:rsidP="0039002B">
      <w:pPr>
        <w:autoSpaceDE w:val="0"/>
        <w:autoSpaceDN w:val="0"/>
        <w:adjustRightInd w:val="0"/>
        <w:spacing w:before="120"/>
        <w:jc w:val="both"/>
        <w:rPr>
          <w:b/>
          <w:color w:val="000000" w:themeColor="text1"/>
          <w:sz w:val="24"/>
          <w:szCs w:val="24"/>
        </w:rPr>
      </w:pPr>
      <w:r w:rsidRPr="000D3A0E">
        <w:rPr>
          <w:b/>
          <w:color w:val="000000" w:themeColor="text1"/>
          <w:sz w:val="24"/>
          <w:szCs w:val="24"/>
        </w:rPr>
        <w:t>3.3</w:t>
      </w:r>
      <w:r w:rsidR="00D07B67">
        <w:rPr>
          <w:b/>
          <w:color w:val="000000" w:themeColor="text1"/>
          <w:sz w:val="24"/>
          <w:szCs w:val="24"/>
        </w:rPr>
        <w:t xml:space="preserve"> </w:t>
      </w:r>
      <w:r w:rsidRPr="000D3A0E">
        <w:rPr>
          <w:b/>
          <w:color w:val="000000" w:themeColor="text1"/>
          <w:sz w:val="24"/>
          <w:szCs w:val="24"/>
        </w:rPr>
        <w:t xml:space="preserve">Testes uni e multivariados </w:t>
      </w:r>
    </w:p>
    <w:p w14:paraId="39BAD87D" w14:textId="77777777"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A primeira hipótese de estudo, foi verificada a partir de teste de diferença de média</w:t>
      </w:r>
      <w:r>
        <w:rPr>
          <w:color w:val="000000" w:themeColor="text1"/>
          <w:sz w:val="24"/>
          <w:szCs w:val="24"/>
        </w:rPr>
        <w:t xml:space="preserve"> para amostras emparelhadas</w:t>
      </w:r>
      <w:r w:rsidRPr="007C5EBD">
        <w:rPr>
          <w:color w:val="000000" w:themeColor="text1"/>
          <w:sz w:val="24"/>
          <w:szCs w:val="24"/>
        </w:rPr>
        <w:t>, comparando os períodos estudados</w:t>
      </w:r>
      <w:r>
        <w:rPr>
          <w:color w:val="000000" w:themeColor="text1"/>
          <w:sz w:val="24"/>
          <w:szCs w:val="24"/>
        </w:rPr>
        <w:t xml:space="preserve">, de dois em dois, </w:t>
      </w:r>
      <w:r w:rsidRPr="007C5EBD">
        <w:rPr>
          <w:color w:val="000000" w:themeColor="text1"/>
          <w:sz w:val="24"/>
          <w:szCs w:val="24"/>
        </w:rPr>
        <w:t xml:space="preserve">e identificando se as médias são estatisticamente diferentes. Foi analisado o índice FLF, bem como o comprimento do arquivo medido pelo logaritmo natural do número de palavras e </w:t>
      </w:r>
      <w:r>
        <w:rPr>
          <w:color w:val="000000" w:themeColor="text1"/>
          <w:sz w:val="24"/>
          <w:szCs w:val="24"/>
        </w:rPr>
        <w:t xml:space="preserve">o logaritmo natural do </w:t>
      </w:r>
      <w:r w:rsidRPr="007C5EBD">
        <w:rPr>
          <w:color w:val="000000" w:themeColor="text1"/>
          <w:sz w:val="24"/>
          <w:szCs w:val="24"/>
        </w:rPr>
        <w:t xml:space="preserve">número de páginas das NEs. </w:t>
      </w:r>
    </w:p>
    <w:p w14:paraId="50100202" w14:textId="77777777" w:rsidR="0039002B" w:rsidRPr="00CF2F27" w:rsidRDefault="0039002B" w:rsidP="0039002B">
      <w:pPr>
        <w:autoSpaceDE w:val="0"/>
        <w:autoSpaceDN w:val="0"/>
        <w:adjustRightInd w:val="0"/>
        <w:ind w:firstLine="709"/>
        <w:jc w:val="both"/>
        <w:rPr>
          <w:color w:val="000000" w:themeColor="text1"/>
          <w:sz w:val="24"/>
          <w:szCs w:val="24"/>
        </w:rPr>
      </w:pPr>
      <w:r w:rsidRPr="00CF2F27">
        <w:rPr>
          <w:color w:val="000000" w:themeColor="text1"/>
          <w:sz w:val="24"/>
          <w:szCs w:val="24"/>
        </w:rPr>
        <w:t>A segunda hipótese foi avaliada considerando a média da legibilidade obtida pelo índice de Flesh, considerando o intervalo mínimo e máximo e a composição dos quartis dos níveis de legibilidade conforme a pontuação descrita n</w:t>
      </w:r>
      <w:r>
        <w:rPr>
          <w:color w:val="000000" w:themeColor="text1"/>
          <w:sz w:val="24"/>
          <w:szCs w:val="24"/>
        </w:rPr>
        <w:t>a</w:t>
      </w:r>
      <w:r w:rsidRPr="00CF2F27">
        <w:rPr>
          <w:color w:val="000000" w:themeColor="text1"/>
          <w:sz w:val="24"/>
          <w:szCs w:val="24"/>
        </w:rPr>
        <w:t xml:space="preserve"> </w:t>
      </w:r>
      <w:r>
        <w:rPr>
          <w:color w:val="000000" w:themeColor="text1"/>
          <w:sz w:val="24"/>
          <w:szCs w:val="24"/>
        </w:rPr>
        <w:t>tabela</w:t>
      </w:r>
      <w:r w:rsidRPr="00CF2F27">
        <w:rPr>
          <w:color w:val="000000" w:themeColor="text1"/>
          <w:sz w:val="24"/>
          <w:szCs w:val="24"/>
        </w:rPr>
        <w:t xml:space="preserve"> 1. </w:t>
      </w:r>
    </w:p>
    <w:p w14:paraId="1129F553" w14:textId="24A2D5D3" w:rsidR="0039002B" w:rsidRDefault="0039002B" w:rsidP="0039002B">
      <w:pPr>
        <w:autoSpaceDE w:val="0"/>
        <w:autoSpaceDN w:val="0"/>
        <w:adjustRightInd w:val="0"/>
        <w:ind w:firstLine="709"/>
        <w:jc w:val="both"/>
        <w:rPr>
          <w:color w:val="000000" w:themeColor="text1"/>
          <w:sz w:val="24"/>
          <w:szCs w:val="24"/>
        </w:rPr>
      </w:pPr>
      <w:r w:rsidRPr="00CF2F27">
        <w:rPr>
          <w:color w:val="000000" w:themeColor="text1"/>
          <w:sz w:val="24"/>
          <w:szCs w:val="24"/>
        </w:rPr>
        <w:t>Para testar as hipóteses de 3 a 6 foi utilizado o modelo de regressão</w:t>
      </w:r>
      <w:r w:rsidRPr="007C5EBD">
        <w:rPr>
          <w:color w:val="000000" w:themeColor="text1"/>
          <w:sz w:val="24"/>
          <w:szCs w:val="24"/>
        </w:rPr>
        <w:t xml:space="preserve"> múltipla, conforme abaixo especificado, adaptando os modelos de Li (2008) e Moreno &amp; Casasola (2016). </w:t>
      </w:r>
    </w:p>
    <w:p w14:paraId="11B52887" w14:textId="77777777" w:rsidR="0039002B" w:rsidRPr="007C5EBD" w:rsidRDefault="00A40C61" w:rsidP="0039002B">
      <w:pPr>
        <w:autoSpaceDE w:val="0"/>
        <w:autoSpaceDN w:val="0"/>
        <w:adjustRightInd w:val="0"/>
        <w:jc w:val="center"/>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i,t</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0</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1</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TAM</m:t>
            </m:r>
          </m:e>
          <m:sub>
            <m:r>
              <w:rPr>
                <w:rFonts w:ascii="Cambria Math" w:hAnsi="Cambria Math"/>
                <w:color w:val="000000" w:themeColor="text1"/>
                <w:sz w:val="24"/>
                <w:szCs w:val="24"/>
              </w:rPr>
              <m:t>i,t</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2</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DESEMP</m:t>
            </m:r>
          </m:e>
          <m:sub>
            <m:r>
              <w:rPr>
                <w:rFonts w:ascii="Cambria Math" w:hAnsi="Cambria Math"/>
                <w:color w:val="000000" w:themeColor="text1"/>
                <w:sz w:val="24"/>
                <w:szCs w:val="24"/>
              </w:rPr>
              <m:t>j,i,t</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3</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RISCO</m:t>
            </m:r>
          </m:e>
          <m:sub>
            <m:r>
              <w:rPr>
                <w:rFonts w:ascii="Cambria Math" w:hAnsi="Cambria Math"/>
                <w:color w:val="000000" w:themeColor="text1"/>
                <w:sz w:val="24"/>
                <w:szCs w:val="24"/>
              </w:rPr>
              <m:t>i,t</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4</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LIQUI</m:t>
            </m:r>
          </m:e>
          <m:sub>
            <m:r>
              <w:rPr>
                <w:rFonts w:ascii="Cambria Math" w:hAnsi="Cambria Math"/>
                <w:color w:val="000000" w:themeColor="text1"/>
                <w:sz w:val="24"/>
                <w:szCs w:val="24"/>
              </w:rPr>
              <m:t>i,t</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5</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D_ANO10</m:t>
            </m:r>
          </m:e>
          <m:sub>
            <m:r>
              <w:rPr>
                <w:rFonts w:ascii="Cambria Math" w:hAnsi="Cambria Math"/>
                <w:color w:val="000000" w:themeColor="text1"/>
                <w:sz w:val="24"/>
                <w:szCs w:val="24"/>
              </w:rPr>
              <m:t>i,t</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5</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D_ANO15</m:t>
            </m:r>
          </m:e>
          <m:sub>
            <m:r>
              <w:rPr>
                <w:rFonts w:ascii="Cambria Math" w:hAnsi="Cambria Math"/>
                <w:color w:val="000000" w:themeColor="text1"/>
                <w:sz w:val="24"/>
                <w:szCs w:val="24"/>
              </w:rPr>
              <m:t>i,t</m:t>
            </m:r>
          </m:sub>
        </m:sSub>
        <m:r>
          <w:rPr>
            <w:rFonts w:ascii="Cambria Math" w:hAnsi="Cambria Math"/>
            <w:color w:val="000000" w:themeColor="text1"/>
            <w:sz w:val="24"/>
            <w:szCs w:val="24"/>
          </w:rPr>
          <m:t xml:space="preserve">+ </m:t>
        </m:r>
        <m:nary>
          <m:naryPr>
            <m:chr m:val="∑"/>
            <m:limLoc m:val="undOvr"/>
            <m:ctrlPr>
              <w:rPr>
                <w:rFonts w:ascii="Cambria Math" w:hAnsi="Cambria Math"/>
                <w:i/>
                <w:color w:val="000000" w:themeColor="text1"/>
                <w:sz w:val="24"/>
                <w:szCs w:val="24"/>
              </w:rPr>
            </m:ctrlPr>
          </m:naryPr>
          <m:sub>
            <m:r>
              <w:rPr>
                <w:rFonts w:ascii="Cambria Math" w:hAnsi="Cambria Math"/>
                <w:color w:val="000000" w:themeColor="text1"/>
                <w:sz w:val="24"/>
                <w:szCs w:val="24"/>
              </w:rPr>
              <m:t>s=2</m:t>
            </m:r>
          </m:sub>
          <m:sup>
            <m:r>
              <w:rPr>
                <w:rFonts w:ascii="Cambria Math" w:hAnsi="Cambria Math"/>
                <w:color w:val="000000" w:themeColor="text1"/>
                <w:sz w:val="24"/>
                <w:szCs w:val="24"/>
              </w:rPr>
              <m:t>19</m:t>
            </m:r>
          </m:sup>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φ</m:t>
                </m:r>
              </m:e>
              <m:sub>
                <m:r>
                  <w:rPr>
                    <w:rFonts w:ascii="Cambria Math" w:hAnsi="Cambria Math"/>
                    <w:color w:val="000000" w:themeColor="text1"/>
                    <w:sz w:val="24"/>
                    <w:szCs w:val="24"/>
                  </w:rPr>
                  <m:t>s</m:t>
                </m:r>
              </m:sub>
            </m:sSub>
          </m:e>
        </m:nary>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i,t</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ε</m:t>
            </m:r>
          </m:e>
          <m:sub>
            <m:r>
              <w:rPr>
                <w:rFonts w:ascii="Cambria Math" w:hAnsi="Cambria Math"/>
                <w:color w:val="000000" w:themeColor="text1"/>
                <w:sz w:val="24"/>
                <w:szCs w:val="24"/>
              </w:rPr>
              <m:t>i,t</m:t>
            </m:r>
          </m:sub>
        </m:sSub>
        <m:r>
          <w:rPr>
            <w:rFonts w:ascii="Cambria Math" w:hAnsi="Cambria Math"/>
            <w:color w:val="000000" w:themeColor="text1"/>
            <w:sz w:val="24"/>
            <w:szCs w:val="24"/>
          </w:rPr>
          <m:t xml:space="preserve">             </m:t>
        </m:r>
      </m:oMath>
      <w:r w:rsidR="0039002B" w:rsidRPr="007C5EBD">
        <w:rPr>
          <w:color w:val="000000" w:themeColor="text1"/>
          <w:sz w:val="24"/>
          <w:szCs w:val="24"/>
        </w:rPr>
        <w:t xml:space="preserve">Equação </w:t>
      </w:r>
      <w:r w:rsidR="0039002B">
        <w:rPr>
          <w:color w:val="000000" w:themeColor="text1"/>
          <w:sz w:val="24"/>
          <w:szCs w:val="24"/>
        </w:rPr>
        <w:t>02</w:t>
      </w:r>
    </w:p>
    <w:p w14:paraId="6DE07F6F" w14:textId="77777777" w:rsidR="0039002B" w:rsidRPr="007C5EBD" w:rsidRDefault="0039002B" w:rsidP="0039002B">
      <w:pPr>
        <w:autoSpaceDE w:val="0"/>
        <w:autoSpaceDN w:val="0"/>
        <w:adjustRightInd w:val="0"/>
        <w:jc w:val="both"/>
        <w:rPr>
          <w:color w:val="000000" w:themeColor="text1"/>
          <w:szCs w:val="24"/>
        </w:rPr>
      </w:pPr>
      <w:r w:rsidRPr="007C5EBD">
        <w:rPr>
          <w:color w:val="000000" w:themeColor="text1"/>
          <w:szCs w:val="24"/>
        </w:rPr>
        <w:t xml:space="preserve">Onde: </w:t>
      </w:r>
    </w:p>
    <w:p w14:paraId="5885AE99" w14:textId="77777777" w:rsidR="0039002B" w:rsidRPr="007C5EBD" w:rsidRDefault="0039002B" w:rsidP="0039002B">
      <w:pPr>
        <w:autoSpaceDE w:val="0"/>
        <w:autoSpaceDN w:val="0"/>
        <w:adjustRightInd w:val="0"/>
        <w:jc w:val="both"/>
        <w:rPr>
          <w:color w:val="000000" w:themeColor="text1"/>
          <w:szCs w:val="24"/>
        </w:rPr>
      </w:pPr>
      <w:r w:rsidRPr="007C5EBD">
        <w:rPr>
          <w:color w:val="000000" w:themeColor="text1"/>
          <w:szCs w:val="24"/>
        </w:rPr>
        <w:t>Y</w:t>
      </w:r>
      <w:r w:rsidRPr="007C5EBD">
        <w:rPr>
          <w:color w:val="000000" w:themeColor="text1"/>
          <w:szCs w:val="24"/>
          <w:vertAlign w:val="subscript"/>
        </w:rPr>
        <w:t xml:space="preserve">i,t </w:t>
      </w:r>
      <w:r w:rsidRPr="007C5EBD">
        <w:rPr>
          <w:color w:val="000000" w:themeColor="text1"/>
          <w:szCs w:val="24"/>
        </w:rPr>
        <w:t xml:space="preserve">= representa as métricas de legibilidade, sendo as </w:t>
      </w:r>
      <w:r w:rsidRPr="007C5EBD">
        <w:rPr>
          <w:i/>
          <w:color w:val="000000" w:themeColor="text1"/>
          <w:szCs w:val="24"/>
        </w:rPr>
        <w:t>proxies</w:t>
      </w:r>
      <w:r w:rsidRPr="007C5EBD">
        <w:rPr>
          <w:color w:val="000000" w:themeColor="text1"/>
          <w:szCs w:val="24"/>
        </w:rPr>
        <w:t xml:space="preserve"> dadas por: 1º)  FLF</w:t>
      </w:r>
      <w:r>
        <w:rPr>
          <w:color w:val="000000" w:themeColor="text1"/>
          <w:szCs w:val="24"/>
        </w:rPr>
        <w:t xml:space="preserve">: </w:t>
      </w:r>
      <w:r w:rsidRPr="007C5EBD">
        <w:rPr>
          <w:color w:val="000000" w:themeColor="text1"/>
          <w:szCs w:val="24"/>
        </w:rPr>
        <w:t>calculado conforme equação 01; 2º)</w:t>
      </w:r>
      <w:r>
        <w:rPr>
          <w:color w:val="000000" w:themeColor="text1"/>
          <w:szCs w:val="24"/>
        </w:rPr>
        <w:t xml:space="preserve"> LNPAL:</w:t>
      </w:r>
      <w:r w:rsidRPr="007C5EBD">
        <w:rPr>
          <w:color w:val="000000" w:themeColor="text1"/>
          <w:szCs w:val="24"/>
        </w:rPr>
        <w:t xml:space="preserve"> comprimento do arquivo representado pelo logaritmo natural do número de palavras do relatório de NEs e 3º) </w:t>
      </w:r>
      <w:r>
        <w:rPr>
          <w:color w:val="000000" w:themeColor="text1"/>
          <w:szCs w:val="24"/>
        </w:rPr>
        <w:t xml:space="preserve">LNPAG: </w:t>
      </w:r>
      <w:r w:rsidRPr="007C5EBD">
        <w:rPr>
          <w:color w:val="000000" w:themeColor="text1"/>
          <w:szCs w:val="24"/>
        </w:rPr>
        <w:t>tamanho do arquivo representado pelo logaritmo natural do número de páginas do arquivo de NEs, para a empresa i no período t;</w:t>
      </w:r>
    </w:p>
    <w:p w14:paraId="1B88055E" w14:textId="77777777" w:rsidR="0039002B" w:rsidRPr="007C5EBD" w:rsidRDefault="0039002B" w:rsidP="0039002B">
      <w:pPr>
        <w:autoSpaceDE w:val="0"/>
        <w:autoSpaceDN w:val="0"/>
        <w:adjustRightInd w:val="0"/>
        <w:jc w:val="both"/>
        <w:rPr>
          <w:color w:val="000000" w:themeColor="text1"/>
          <w:szCs w:val="24"/>
        </w:rPr>
      </w:pPr>
      <w:r w:rsidRPr="007C5EBD">
        <w:rPr>
          <w:color w:val="000000" w:themeColor="text1"/>
          <w:szCs w:val="24"/>
        </w:rPr>
        <w:t>TAM</w:t>
      </w:r>
      <w:r w:rsidRPr="007C5EBD">
        <w:rPr>
          <w:color w:val="000000" w:themeColor="text1"/>
          <w:szCs w:val="24"/>
          <w:vertAlign w:val="subscript"/>
        </w:rPr>
        <w:t>i,t</w:t>
      </w:r>
      <w:r w:rsidRPr="007C5EBD">
        <w:rPr>
          <w:color w:val="000000" w:themeColor="text1"/>
          <w:szCs w:val="24"/>
        </w:rPr>
        <w:t xml:space="preserve"> = representa o tamanho da empresa, sendo a </w:t>
      </w:r>
      <w:r w:rsidRPr="007C5EBD">
        <w:rPr>
          <w:i/>
          <w:color w:val="000000" w:themeColor="text1"/>
          <w:szCs w:val="24"/>
        </w:rPr>
        <w:t>proxy</w:t>
      </w:r>
      <w:r w:rsidRPr="007C5EBD">
        <w:rPr>
          <w:color w:val="000000" w:themeColor="text1"/>
          <w:szCs w:val="24"/>
        </w:rPr>
        <w:t xml:space="preserve"> o logaritmo natural do ativo total para a empresa i, no período t; </w:t>
      </w:r>
    </w:p>
    <w:p w14:paraId="4C429C32" w14:textId="77777777" w:rsidR="0039002B" w:rsidRPr="007C5EBD" w:rsidRDefault="0039002B" w:rsidP="0039002B">
      <w:pPr>
        <w:autoSpaceDE w:val="0"/>
        <w:autoSpaceDN w:val="0"/>
        <w:adjustRightInd w:val="0"/>
        <w:jc w:val="both"/>
        <w:rPr>
          <w:color w:val="000000" w:themeColor="text1"/>
          <w:szCs w:val="24"/>
        </w:rPr>
      </w:pPr>
      <w:r w:rsidRPr="007C5EBD">
        <w:rPr>
          <w:color w:val="000000" w:themeColor="text1"/>
          <w:szCs w:val="24"/>
        </w:rPr>
        <w:t xml:space="preserve">Desemp </w:t>
      </w:r>
      <w:r w:rsidRPr="007C5EBD">
        <w:rPr>
          <w:color w:val="000000" w:themeColor="text1"/>
          <w:szCs w:val="24"/>
          <w:vertAlign w:val="subscript"/>
        </w:rPr>
        <w:t>j,i,t</w:t>
      </w:r>
      <w:r w:rsidRPr="007C5EBD">
        <w:rPr>
          <w:color w:val="000000" w:themeColor="text1"/>
          <w:szCs w:val="24"/>
        </w:rPr>
        <w:t xml:space="preserve"> = representa o desempenho da empresa, sendo as </w:t>
      </w:r>
      <w:r w:rsidRPr="007C5EBD">
        <w:rPr>
          <w:i/>
          <w:color w:val="000000" w:themeColor="text1"/>
          <w:szCs w:val="24"/>
        </w:rPr>
        <w:t>proxies</w:t>
      </w:r>
      <w:r w:rsidRPr="007C5EBD">
        <w:rPr>
          <w:color w:val="000000" w:themeColor="text1"/>
          <w:szCs w:val="24"/>
        </w:rPr>
        <w:t xml:space="preserve"> dadas por: 1ª) ROA; 2ª) </w:t>
      </w:r>
      <w:r w:rsidRPr="007C5EBD">
        <w:rPr>
          <w:i/>
          <w:color w:val="000000" w:themeColor="text1"/>
          <w:szCs w:val="24"/>
        </w:rPr>
        <w:t>dummy</w:t>
      </w:r>
      <w:r w:rsidRPr="007C5EBD">
        <w:rPr>
          <w:color w:val="000000" w:themeColor="text1"/>
          <w:szCs w:val="24"/>
        </w:rPr>
        <w:t xml:space="preserve"> de lucro/prejuízo, sendo 1 quando a empresa apresenta lucro no período e 0 nos demais casos; 3ª)</w:t>
      </w:r>
      <w:r>
        <w:rPr>
          <w:color w:val="000000" w:themeColor="text1"/>
          <w:szCs w:val="24"/>
        </w:rPr>
        <w:t xml:space="preserve"> </w:t>
      </w:r>
      <w:r w:rsidRPr="009E40D2">
        <w:rPr>
          <w:color w:val="000000" w:themeColor="text1"/>
        </w:rPr>
        <w:t>Δ</w:t>
      </w:r>
      <w:r>
        <w:rPr>
          <w:color w:val="000000" w:themeColor="text1"/>
        </w:rPr>
        <w:t>%</w:t>
      </w:r>
      <w:r w:rsidRPr="009E40D2">
        <w:rPr>
          <w:color w:val="000000" w:themeColor="text1"/>
        </w:rPr>
        <w:t>LL</w:t>
      </w:r>
      <w:r>
        <w:rPr>
          <w:color w:val="000000" w:themeColor="text1"/>
        </w:rPr>
        <w:t>:</w:t>
      </w:r>
      <w:r w:rsidRPr="007C5EBD">
        <w:rPr>
          <w:color w:val="000000" w:themeColor="text1"/>
          <w:szCs w:val="24"/>
        </w:rPr>
        <w:t xml:space="preserve"> variação percentual do lucro líquido, para empresa i no período t. O subscrito j representa a j variável indicativa de desempenho; </w:t>
      </w:r>
    </w:p>
    <w:p w14:paraId="326F1B15" w14:textId="77777777" w:rsidR="0039002B" w:rsidRPr="007C5EBD" w:rsidRDefault="0039002B" w:rsidP="0039002B">
      <w:pPr>
        <w:autoSpaceDE w:val="0"/>
        <w:autoSpaceDN w:val="0"/>
        <w:adjustRightInd w:val="0"/>
        <w:jc w:val="both"/>
        <w:rPr>
          <w:color w:val="000000" w:themeColor="text1"/>
          <w:szCs w:val="24"/>
        </w:rPr>
      </w:pPr>
      <w:r w:rsidRPr="007C5EBD">
        <w:rPr>
          <w:color w:val="000000" w:themeColor="text1"/>
          <w:szCs w:val="24"/>
        </w:rPr>
        <w:t>Risco</w:t>
      </w:r>
      <w:r w:rsidRPr="007C5EBD">
        <w:rPr>
          <w:color w:val="000000" w:themeColor="text1"/>
          <w:szCs w:val="24"/>
          <w:vertAlign w:val="subscript"/>
        </w:rPr>
        <w:t>i,t</w:t>
      </w:r>
      <w:r w:rsidRPr="007C5EBD">
        <w:rPr>
          <w:color w:val="000000" w:themeColor="text1"/>
          <w:szCs w:val="24"/>
        </w:rPr>
        <w:t xml:space="preserve"> = representa o risco da empresa, sendo a </w:t>
      </w:r>
      <w:r w:rsidRPr="007C5EBD">
        <w:rPr>
          <w:i/>
          <w:color w:val="000000" w:themeColor="text1"/>
          <w:szCs w:val="24"/>
        </w:rPr>
        <w:t>proxy</w:t>
      </w:r>
      <w:r w:rsidRPr="007C5EBD">
        <w:rPr>
          <w:color w:val="000000" w:themeColor="text1"/>
          <w:szCs w:val="24"/>
        </w:rPr>
        <w:t xml:space="preserve"> o endividamento, obtido a partir do total das dívidas com terceiros dividido pelo ativo total, da empresa i no período t;</w:t>
      </w:r>
    </w:p>
    <w:p w14:paraId="6B6EC433" w14:textId="77777777" w:rsidR="0039002B" w:rsidRPr="007C5EBD" w:rsidRDefault="0039002B" w:rsidP="0039002B">
      <w:pPr>
        <w:autoSpaceDE w:val="0"/>
        <w:autoSpaceDN w:val="0"/>
        <w:adjustRightInd w:val="0"/>
        <w:jc w:val="both"/>
        <w:rPr>
          <w:color w:val="000000" w:themeColor="text1"/>
          <w:szCs w:val="24"/>
        </w:rPr>
      </w:pPr>
      <w:r w:rsidRPr="007C5EBD">
        <w:rPr>
          <w:color w:val="000000" w:themeColor="text1"/>
          <w:szCs w:val="24"/>
        </w:rPr>
        <w:t>Liqui</w:t>
      </w:r>
      <w:r w:rsidRPr="007C5EBD">
        <w:rPr>
          <w:color w:val="000000" w:themeColor="text1"/>
          <w:szCs w:val="24"/>
          <w:vertAlign w:val="subscript"/>
        </w:rPr>
        <w:t>i,t</w:t>
      </w:r>
      <w:r w:rsidRPr="007C5EBD">
        <w:rPr>
          <w:color w:val="000000" w:themeColor="text1"/>
          <w:szCs w:val="24"/>
        </w:rPr>
        <w:t xml:space="preserve"> = representa a liquidez de mercado, obtida a partir das informações disponíveis na Economática</w:t>
      </w:r>
      <w:r w:rsidRPr="007C5EBD">
        <w:rPr>
          <w:color w:val="000000" w:themeColor="text1"/>
          <w:szCs w:val="24"/>
          <w:vertAlign w:val="superscript"/>
        </w:rPr>
        <w:t>®</w:t>
      </w:r>
      <w:r w:rsidRPr="007C5EBD">
        <w:rPr>
          <w:color w:val="000000" w:themeColor="text1"/>
          <w:szCs w:val="24"/>
        </w:rPr>
        <w:t xml:space="preserve">, para a empresa i no período t; </w:t>
      </w:r>
    </w:p>
    <w:p w14:paraId="1369D4FC" w14:textId="1EE31D96" w:rsidR="0039002B" w:rsidRPr="00816B85" w:rsidRDefault="0039002B" w:rsidP="0039002B">
      <w:pPr>
        <w:autoSpaceDE w:val="0"/>
        <w:autoSpaceDN w:val="0"/>
        <w:adjustRightInd w:val="0"/>
        <w:jc w:val="both"/>
        <w:rPr>
          <w:color w:val="000000" w:themeColor="text1"/>
          <w:szCs w:val="24"/>
        </w:rPr>
      </w:pPr>
      <w:r w:rsidRPr="007C5EBD">
        <w:rPr>
          <w:color w:val="000000" w:themeColor="text1"/>
          <w:szCs w:val="24"/>
        </w:rPr>
        <w:t>D.</w:t>
      </w:r>
      <w:r>
        <w:rPr>
          <w:color w:val="000000" w:themeColor="text1"/>
          <w:szCs w:val="24"/>
        </w:rPr>
        <w:t>ANO</w:t>
      </w:r>
      <w:r w:rsidRPr="007C5EBD">
        <w:rPr>
          <w:color w:val="000000" w:themeColor="text1"/>
          <w:szCs w:val="24"/>
        </w:rPr>
        <w:t>1</w:t>
      </w:r>
      <w:r>
        <w:rPr>
          <w:color w:val="000000" w:themeColor="text1"/>
          <w:szCs w:val="24"/>
        </w:rPr>
        <w:t>0</w:t>
      </w:r>
      <w:r w:rsidRPr="007C5EBD">
        <w:rPr>
          <w:color w:val="000000" w:themeColor="text1"/>
          <w:szCs w:val="24"/>
          <w:vertAlign w:val="subscript"/>
        </w:rPr>
        <w:t xml:space="preserve">i,t </w:t>
      </w:r>
      <w:r w:rsidRPr="00651505">
        <w:rPr>
          <w:color w:val="000000" w:themeColor="text1"/>
          <w:szCs w:val="24"/>
        </w:rPr>
        <w:t>e</w:t>
      </w:r>
      <w:r>
        <w:rPr>
          <w:color w:val="000000" w:themeColor="text1"/>
          <w:szCs w:val="24"/>
          <w:vertAlign w:val="subscript"/>
        </w:rPr>
        <w:t xml:space="preserve"> </w:t>
      </w:r>
      <w:r w:rsidRPr="007C5EBD">
        <w:rPr>
          <w:color w:val="000000" w:themeColor="text1"/>
          <w:szCs w:val="24"/>
        </w:rPr>
        <w:t>D.</w:t>
      </w:r>
      <w:r>
        <w:rPr>
          <w:color w:val="000000" w:themeColor="text1"/>
          <w:szCs w:val="24"/>
        </w:rPr>
        <w:t>ANO</w:t>
      </w:r>
      <w:r w:rsidRPr="007C5EBD">
        <w:rPr>
          <w:color w:val="000000" w:themeColor="text1"/>
          <w:szCs w:val="24"/>
        </w:rPr>
        <w:t>1</w:t>
      </w:r>
      <w:r>
        <w:rPr>
          <w:color w:val="000000" w:themeColor="text1"/>
          <w:szCs w:val="24"/>
        </w:rPr>
        <w:t>5</w:t>
      </w:r>
      <w:r w:rsidRPr="007C5EBD">
        <w:rPr>
          <w:color w:val="000000" w:themeColor="text1"/>
          <w:szCs w:val="24"/>
          <w:vertAlign w:val="subscript"/>
        </w:rPr>
        <w:t>i,t</w:t>
      </w:r>
      <w:r w:rsidRPr="007C5EBD">
        <w:rPr>
          <w:color w:val="000000" w:themeColor="text1"/>
          <w:szCs w:val="24"/>
        </w:rPr>
        <w:t xml:space="preserve"> = é uma variável </w:t>
      </w:r>
      <w:r w:rsidRPr="007C5EBD">
        <w:rPr>
          <w:i/>
          <w:color w:val="000000" w:themeColor="text1"/>
          <w:szCs w:val="24"/>
        </w:rPr>
        <w:t xml:space="preserve">dummy </w:t>
      </w:r>
      <w:r w:rsidRPr="007C5EBD">
        <w:rPr>
          <w:color w:val="000000" w:themeColor="text1"/>
          <w:szCs w:val="24"/>
        </w:rPr>
        <w:t xml:space="preserve"> representativa de ano, sendo 1 para as observações referentes ao ano 20</w:t>
      </w:r>
      <w:r>
        <w:rPr>
          <w:color w:val="000000" w:themeColor="text1"/>
          <w:szCs w:val="24"/>
        </w:rPr>
        <w:t xml:space="preserve">10 ou 2015, respectivamente </w:t>
      </w:r>
      <w:r w:rsidRPr="007C5EBD">
        <w:rPr>
          <w:color w:val="000000" w:themeColor="text1"/>
          <w:szCs w:val="24"/>
        </w:rPr>
        <w:t xml:space="preserve"> e 0 nos dem</w:t>
      </w:r>
      <w:r>
        <w:rPr>
          <w:color w:val="000000" w:themeColor="text1"/>
          <w:szCs w:val="24"/>
        </w:rPr>
        <w:t xml:space="preserve">ais casos. </w:t>
      </w:r>
    </w:p>
    <w:p w14:paraId="5E1C9625" w14:textId="796E7DF5" w:rsidR="0039002B" w:rsidRPr="007C5EBD" w:rsidRDefault="0039002B" w:rsidP="0039002B">
      <w:pPr>
        <w:autoSpaceDE w:val="0"/>
        <w:autoSpaceDN w:val="0"/>
        <w:adjustRightInd w:val="0"/>
        <w:jc w:val="both"/>
        <w:rPr>
          <w:color w:val="000000" w:themeColor="text1"/>
          <w:szCs w:val="24"/>
        </w:rPr>
      </w:pPr>
      <w:r w:rsidRPr="007C5EBD">
        <w:rPr>
          <w:color w:val="000000" w:themeColor="text1"/>
          <w:szCs w:val="24"/>
        </w:rPr>
        <w:t>S</w:t>
      </w:r>
      <w:r w:rsidRPr="007C5EBD">
        <w:rPr>
          <w:color w:val="000000" w:themeColor="text1"/>
          <w:szCs w:val="24"/>
          <w:vertAlign w:val="subscript"/>
        </w:rPr>
        <w:t>i,t</w:t>
      </w:r>
      <w:r w:rsidRPr="007C5EBD">
        <w:rPr>
          <w:color w:val="000000" w:themeColor="text1"/>
          <w:szCs w:val="24"/>
        </w:rPr>
        <w:t xml:space="preserve"> = são variáveis </w:t>
      </w:r>
      <w:r w:rsidRPr="007C5EBD">
        <w:rPr>
          <w:i/>
          <w:color w:val="000000" w:themeColor="text1"/>
          <w:szCs w:val="24"/>
        </w:rPr>
        <w:t>dummies</w:t>
      </w:r>
      <w:r w:rsidRPr="007C5EBD">
        <w:rPr>
          <w:color w:val="000000" w:themeColor="text1"/>
          <w:szCs w:val="24"/>
        </w:rPr>
        <w:t xml:space="preserve"> para os setores da Economática</w:t>
      </w:r>
      <w:r w:rsidRPr="007C5EBD">
        <w:rPr>
          <w:color w:val="000000" w:themeColor="text1"/>
          <w:szCs w:val="24"/>
          <w:vertAlign w:val="superscript"/>
        </w:rPr>
        <w:t>®</w:t>
      </w:r>
      <w:r w:rsidRPr="007C5EBD">
        <w:rPr>
          <w:color w:val="000000" w:themeColor="text1"/>
          <w:szCs w:val="24"/>
        </w:rPr>
        <w:t xml:space="preserve">. </w:t>
      </w:r>
    </w:p>
    <w:p w14:paraId="09B8F80A" w14:textId="4907E04A"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 xml:space="preserve"> Embora delimitado e cercado de cuidados, ainda assim é possível identificar limitações em todo estudo</w:t>
      </w:r>
      <w:r w:rsidR="00C747CE">
        <w:rPr>
          <w:color w:val="000000" w:themeColor="text1"/>
          <w:sz w:val="24"/>
          <w:szCs w:val="24"/>
        </w:rPr>
        <w:t xml:space="preserve"> e</w:t>
      </w:r>
      <w:r w:rsidRPr="007C5EBD">
        <w:rPr>
          <w:color w:val="000000" w:themeColor="text1"/>
          <w:sz w:val="24"/>
          <w:szCs w:val="24"/>
        </w:rPr>
        <w:t>, portanto</w:t>
      </w:r>
      <w:r w:rsidR="00C747CE">
        <w:rPr>
          <w:color w:val="000000" w:themeColor="text1"/>
          <w:sz w:val="24"/>
          <w:szCs w:val="24"/>
        </w:rPr>
        <w:t>,</w:t>
      </w:r>
      <w:r w:rsidRPr="007C5EBD">
        <w:rPr>
          <w:color w:val="000000" w:themeColor="text1"/>
          <w:sz w:val="24"/>
          <w:szCs w:val="24"/>
        </w:rPr>
        <w:t xml:space="preserve"> faz-se necessário reconhec</w:t>
      </w:r>
      <w:r>
        <w:rPr>
          <w:color w:val="000000" w:themeColor="text1"/>
          <w:sz w:val="24"/>
          <w:szCs w:val="24"/>
        </w:rPr>
        <w:t>ê-la</w:t>
      </w:r>
      <w:r w:rsidR="00C747CE">
        <w:rPr>
          <w:color w:val="000000" w:themeColor="text1"/>
          <w:sz w:val="24"/>
          <w:szCs w:val="24"/>
        </w:rPr>
        <w:t>s</w:t>
      </w:r>
      <w:r>
        <w:rPr>
          <w:color w:val="000000" w:themeColor="text1"/>
          <w:sz w:val="24"/>
          <w:szCs w:val="24"/>
        </w:rPr>
        <w:t xml:space="preserve"> </w:t>
      </w:r>
      <w:r w:rsidRPr="007C5EBD">
        <w:rPr>
          <w:color w:val="000000" w:themeColor="text1"/>
          <w:sz w:val="24"/>
          <w:szCs w:val="24"/>
        </w:rPr>
        <w:t xml:space="preserve">e considerá-las. Ressalte-se que, embora existentes, as limitações não invalidam o estudo, mas sim adicionam uma visão crítica ao serem analisadas as evidências empíricas obtidas. A primeira das limitações reside nos argumentos oferecidos por Sydserff &amp; Weetman (1999) que afirmam que as fórmulas de legibilidade são criticadas porque são apenas um método para pontuar narrativas contábeis, por causa de seu foco em contagem de palavras, orações e não em aspectos de integrais </w:t>
      </w:r>
      <w:r w:rsidR="006F12C1">
        <w:rPr>
          <w:color w:val="000000" w:themeColor="text1"/>
          <w:sz w:val="24"/>
          <w:szCs w:val="24"/>
        </w:rPr>
        <w:t xml:space="preserve">de compreensão de sentido </w:t>
      </w:r>
      <w:r w:rsidRPr="007C5EBD">
        <w:rPr>
          <w:color w:val="000000" w:themeColor="text1"/>
          <w:sz w:val="24"/>
          <w:szCs w:val="24"/>
        </w:rPr>
        <w:t>dos textos, havendo</w:t>
      </w:r>
      <w:r w:rsidR="006F12C1">
        <w:rPr>
          <w:color w:val="000000" w:themeColor="text1"/>
          <w:sz w:val="24"/>
          <w:szCs w:val="24"/>
        </w:rPr>
        <w:t xml:space="preserve"> assim</w:t>
      </w:r>
      <w:r w:rsidRPr="007C5EBD">
        <w:rPr>
          <w:color w:val="000000" w:themeColor="text1"/>
          <w:sz w:val="24"/>
          <w:szCs w:val="24"/>
        </w:rPr>
        <w:t xml:space="preserve"> a falta de consideração pelo interesse e motivação do leitor. </w:t>
      </w:r>
    </w:p>
    <w:p w14:paraId="18104F02" w14:textId="19B3D131"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 xml:space="preserve">Outra limitação é apontada por </w:t>
      </w:r>
      <w:r w:rsidR="005C16EC">
        <w:rPr>
          <w:color w:val="000000" w:themeColor="text1"/>
          <w:sz w:val="24"/>
          <w:szCs w:val="24"/>
        </w:rPr>
        <w:t>Stone</w:t>
      </w:r>
      <w:r w:rsidRPr="007C5EBD">
        <w:rPr>
          <w:color w:val="000000" w:themeColor="text1"/>
          <w:sz w:val="24"/>
          <w:szCs w:val="24"/>
        </w:rPr>
        <w:t xml:space="preserve"> &amp; Parker (2013) que avaliam que o índice de Flesh é supervalorizado na literatura e recomendam que seja adicionada uma pontuação referente aos atributos do leitor para integrar a fórmula, considerando o perfil destes. </w:t>
      </w:r>
    </w:p>
    <w:p w14:paraId="44B3BC1E" w14:textId="48BBD2DC" w:rsidR="0039002B"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Mesmo com as críticas supramencionadas</w:t>
      </w:r>
      <w:r w:rsidR="00C747CE">
        <w:rPr>
          <w:color w:val="000000" w:themeColor="text1"/>
          <w:sz w:val="24"/>
          <w:szCs w:val="24"/>
        </w:rPr>
        <w:t>,</w:t>
      </w:r>
      <w:r w:rsidRPr="007C5EBD">
        <w:rPr>
          <w:color w:val="000000" w:themeColor="text1"/>
          <w:sz w:val="24"/>
          <w:szCs w:val="24"/>
        </w:rPr>
        <w:t xml:space="preserve"> a pesquisa mantém sua relevância e cumpre ressaltar que a identificação da dificuldade de leitura das NEs tem implicações entre os participantes de mercado. A exemplo disso</w:t>
      </w:r>
      <w:r w:rsidR="00C747CE">
        <w:rPr>
          <w:color w:val="000000" w:themeColor="text1"/>
          <w:sz w:val="24"/>
          <w:szCs w:val="24"/>
        </w:rPr>
        <w:t>,</w:t>
      </w:r>
      <w:r w:rsidRPr="007C5EBD">
        <w:rPr>
          <w:color w:val="000000" w:themeColor="text1"/>
          <w:sz w:val="24"/>
          <w:szCs w:val="24"/>
        </w:rPr>
        <w:t xml:space="preserve"> tem-se os achados de Lehavy et al (2011) demonstrando que relatórios mais difíceis de ler requerem maior esforço por parte dos analistas para emitirem seus prospectos, comprovando o impacto da legibilidade nas atividades cotidianas dos participantes do mercado.</w:t>
      </w:r>
    </w:p>
    <w:p w14:paraId="1E4B3FF5" w14:textId="77777777" w:rsidR="00DD2595" w:rsidRPr="007C5EBD" w:rsidRDefault="00DD2595" w:rsidP="0039002B">
      <w:pPr>
        <w:autoSpaceDE w:val="0"/>
        <w:autoSpaceDN w:val="0"/>
        <w:adjustRightInd w:val="0"/>
        <w:ind w:firstLine="709"/>
        <w:jc w:val="both"/>
        <w:rPr>
          <w:color w:val="000000" w:themeColor="text1"/>
          <w:sz w:val="24"/>
          <w:szCs w:val="24"/>
        </w:rPr>
      </w:pPr>
    </w:p>
    <w:p w14:paraId="682AC870" w14:textId="77777777" w:rsidR="002A34B3" w:rsidRDefault="002A34B3" w:rsidP="0039002B">
      <w:pPr>
        <w:tabs>
          <w:tab w:val="left" w:pos="5147"/>
        </w:tabs>
        <w:autoSpaceDE w:val="0"/>
        <w:autoSpaceDN w:val="0"/>
        <w:adjustRightInd w:val="0"/>
        <w:spacing w:before="120"/>
        <w:jc w:val="both"/>
        <w:rPr>
          <w:b/>
          <w:color w:val="000000" w:themeColor="text1"/>
          <w:sz w:val="24"/>
          <w:szCs w:val="24"/>
        </w:rPr>
      </w:pPr>
    </w:p>
    <w:p w14:paraId="3E44B42C" w14:textId="77777777" w:rsidR="0039002B" w:rsidRPr="000D3A0E" w:rsidRDefault="0039002B" w:rsidP="0039002B">
      <w:pPr>
        <w:tabs>
          <w:tab w:val="left" w:pos="5147"/>
        </w:tabs>
        <w:autoSpaceDE w:val="0"/>
        <w:autoSpaceDN w:val="0"/>
        <w:adjustRightInd w:val="0"/>
        <w:spacing w:before="120"/>
        <w:jc w:val="both"/>
        <w:rPr>
          <w:b/>
          <w:color w:val="000000" w:themeColor="text1"/>
          <w:sz w:val="24"/>
          <w:szCs w:val="24"/>
        </w:rPr>
      </w:pPr>
      <w:r>
        <w:rPr>
          <w:b/>
          <w:color w:val="000000" w:themeColor="text1"/>
          <w:sz w:val="24"/>
          <w:szCs w:val="24"/>
        </w:rPr>
        <w:t xml:space="preserve">4. </w:t>
      </w:r>
      <w:r w:rsidRPr="000D3A0E">
        <w:rPr>
          <w:b/>
          <w:color w:val="000000" w:themeColor="text1"/>
          <w:sz w:val="24"/>
          <w:szCs w:val="24"/>
        </w:rPr>
        <w:t xml:space="preserve">Análise </w:t>
      </w:r>
      <w:r>
        <w:rPr>
          <w:b/>
          <w:color w:val="000000" w:themeColor="text1"/>
          <w:sz w:val="24"/>
          <w:szCs w:val="24"/>
        </w:rPr>
        <w:t>d</w:t>
      </w:r>
      <w:r w:rsidRPr="000D3A0E">
        <w:rPr>
          <w:b/>
          <w:color w:val="000000" w:themeColor="text1"/>
          <w:sz w:val="24"/>
          <w:szCs w:val="24"/>
        </w:rPr>
        <w:t xml:space="preserve">e Dados </w:t>
      </w:r>
      <w:r>
        <w:rPr>
          <w:b/>
          <w:color w:val="000000" w:themeColor="text1"/>
          <w:sz w:val="24"/>
          <w:szCs w:val="24"/>
        </w:rPr>
        <w:t>e</w:t>
      </w:r>
      <w:r w:rsidRPr="000D3A0E">
        <w:rPr>
          <w:b/>
          <w:color w:val="000000" w:themeColor="text1"/>
          <w:sz w:val="24"/>
          <w:szCs w:val="24"/>
        </w:rPr>
        <w:t xml:space="preserve"> Discussão </w:t>
      </w:r>
      <w:r>
        <w:rPr>
          <w:b/>
          <w:color w:val="000000" w:themeColor="text1"/>
          <w:sz w:val="24"/>
          <w:szCs w:val="24"/>
        </w:rPr>
        <w:t>d</w:t>
      </w:r>
      <w:r w:rsidRPr="000D3A0E">
        <w:rPr>
          <w:b/>
          <w:color w:val="000000" w:themeColor="text1"/>
          <w:sz w:val="24"/>
          <w:szCs w:val="24"/>
        </w:rPr>
        <w:t>e Resultados</w:t>
      </w:r>
    </w:p>
    <w:p w14:paraId="6CC0DDB0" w14:textId="0BFEEAF0" w:rsidR="0039002B" w:rsidRDefault="0039002B" w:rsidP="0039002B">
      <w:pPr>
        <w:tabs>
          <w:tab w:val="left" w:pos="5147"/>
        </w:tabs>
        <w:autoSpaceDE w:val="0"/>
        <w:autoSpaceDN w:val="0"/>
        <w:adjustRightInd w:val="0"/>
        <w:ind w:firstLine="709"/>
        <w:jc w:val="both"/>
        <w:rPr>
          <w:color w:val="000000" w:themeColor="text1"/>
          <w:sz w:val="24"/>
          <w:szCs w:val="24"/>
        </w:rPr>
      </w:pPr>
      <w:r>
        <w:rPr>
          <w:color w:val="000000" w:themeColor="text1"/>
          <w:sz w:val="24"/>
          <w:szCs w:val="24"/>
        </w:rPr>
        <w:t xml:space="preserve">Na tabela 2, no Painel A são apresentadas as estatísticas descritivas para as métricas de legibilidade. No Painel B os quartis, mínimo e máximo, </w:t>
      </w:r>
      <w:r w:rsidR="00D07B67">
        <w:rPr>
          <w:color w:val="000000" w:themeColor="text1"/>
          <w:sz w:val="24"/>
          <w:szCs w:val="24"/>
        </w:rPr>
        <w:t>comparativo ano</w:t>
      </w:r>
      <w:r>
        <w:rPr>
          <w:color w:val="000000" w:themeColor="text1"/>
          <w:sz w:val="24"/>
          <w:szCs w:val="24"/>
        </w:rPr>
        <w:t xml:space="preserve"> a ano, do Índice de Facilidade de Leitura Flesh (FLF). Pelas estatísticas descritivas</w:t>
      </w:r>
      <w:r w:rsidR="00C747CE">
        <w:rPr>
          <w:color w:val="000000" w:themeColor="text1"/>
          <w:sz w:val="24"/>
          <w:szCs w:val="24"/>
        </w:rPr>
        <w:t>,</w:t>
      </w:r>
      <w:r>
        <w:rPr>
          <w:color w:val="000000" w:themeColor="text1"/>
          <w:sz w:val="24"/>
          <w:szCs w:val="24"/>
        </w:rPr>
        <w:t xml:space="preserve"> pode-se observar uma tendência sobre as métricas de legibilidade, com ou sem tratamento, de que no ano de 2010 os valores mínimos, máximos e médios são superiores (inferior). Tal tendência é confirmada por meio do teste </w:t>
      </w:r>
      <w:r w:rsidRPr="00176736">
        <w:rPr>
          <w:i/>
          <w:color w:val="000000" w:themeColor="text1"/>
          <w:sz w:val="24"/>
          <w:szCs w:val="24"/>
        </w:rPr>
        <w:t>t</w:t>
      </w:r>
      <w:r>
        <w:rPr>
          <w:color w:val="000000" w:themeColor="text1"/>
          <w:sz w:val="24"/>
          <w:szCs w:val="24"/>
        </w:rPr>
        <w:t xml:space="preserve"> de diferença de média para amostras emparelhadas reportado na tabela 3. </w:t>
      </w:r>
    </w:p>
    <w:p w14:paraId="3F40D562" w14:textId="323ED682" w:rsidR="00D227B8" w:rsidRPr="00D227B8" w:rsidRDefault="0039002B" w:rsidP="00D227B8">
      <w:pPr>
        <w:tabs>
          <w:tab w:val="left" w:pos="5147"/>
        </w:tabs>
        <w:autoSpaceDE w:val="0"/>
        <w:autoSpaceDN w:val="0"/>
        <w:adjustRightInd w:val="0"/>
        <w:ind w:firstLine="709"/>
        <w:jc w:val="center"/>
        <w:rPr>
          <w:color w:val="000000" w:themeColor="text1"/>
        </w:rPr>
      </w:pPr>
      <w:r w:rsidRPr="00CF2F27">
        <w:rPr>
          <w:color w:val="000000" w:themeColor="text1"/>
        </w:rPr>
        <w:t xml:space="preserve">Tabela </w:t>
      </w:r>
      <w:r>
        <w:rPr>
          <w:color w:val="000000" w:themeColor="text1"/>
        </w:rPr>
        <w:t>2</w:t>
      </w:r>
      <w:r w:rsidRPr="00CF2F27">
        <w:rPr>
          <w:color w:val="000000" w:themeColor="text1"/>
        </w:rPr>
        <w:t xml:space="preserve"> – Estatística descritiva das variáveis de legibilidade </w:t>
      </w:r>
      <w:r>
        <w:fldChar w:fldCharType="begin"/>
      </w:r>
      <w:r>
        <w:instrText xml:space="preserve"> LINK </w:instrText>
      </w:r>
      <w:r w:rsidR="00D227B8">
        <w:instrText xml:space="preserve">Excel.Sheet.12 "D:\\DOUTORADO UFRJ\\TEORIA AVANÇADA EM CONTABILIDADE\\PROJETO DE ARTIGO TAC\\FINALIZAÇÃO ARTIGO TAC.xlsx" "percentis !L3C2:L25C7" </w:instrText>
      </w:r>
      <w:r>
        <w:instrText xml:space="preserve">\a \f 4 \h  \* MERGEFORMAT </w:instrText>
      </w:r>
      <w:r w:rsidR="00D227B8">
        <w:fldChar w:fldCharType="separate"/>
      </w:r>
    </w:p>
    <w:tbl>
      <w:tblPr>
        <w:tblW w:w="7518" w:type="dxa"/>
        <w:jc w:val="center"/>
        <w:tblCellMar>
          <w:left w:w="70" w:type="dxa"/>
          <w:right w:w="70" w:type="dxa"/>
        </w:tblCellMar>
        <w:tblLook w:val="04A0" w:firstRow="1" w:lastRow="0" w:firstColumn="1" w:lastColumn="0" w:noHBand="0" w:noVBand="1"/>
      </w:tblPr>
      <w:tblGrid>
        <w:gridCol w:w="1592"/>
        <w:gridCol w:w="1154"/>
        <w:gridCol w:w="1159"/>
        <w:gridCol w:w="1179"/>
        <w:gridCol w:w="1216"/>
        <w:gridCol w:w="1218"/>
      </w:tblGrid>
      <w:tr w:rsidR="00D227B8" w:rsidRPr="00D227B8" w14:paraId="7B3721B0" w14:textId="77777777" w:rsidTr="00D227B8">
        <w:trPr>
          <w:divId w:val="319778179"/>
          <w:trHeight w:val="330"/>
          <w:jc w:val="center"/>
        </w:trPr>
        <w:tc>
          <w:tcPr>
            <w:tcW w:w="7518" w:type="dxa"/>
            <w:gridSpan w:val="6"/>
            <w:tcBorders>
              <w:top w:val="single" w:sz="12" w:space="0" w:color="000000"/>
              <w:left w:val="nil"/>
              <w:bottom w:val="single" w:sz="8" w:space="0" w:color="auto"/>
              <w:right w:val="nil"/>
            </w:tcBorders>
            <w:shd w:val="clear" w:color="auto" w:fill="auto"/>
            <w:vAlign w:val="center"/>
            <w:hideMark/>
          </w:tcPr>
          <w:p w14:paraId="55DC3055" w14:textId="77777777" w:rsidR="00D227B8" w:rsidRPr="00D227B8" w:rsidRDefault="00D227B8" w:rsidP="00D227B8">
            <w:pPr>
              <w:jc w:val="center"/>
              <w:rPr>
                <w:color w:val="000000"/>
              </w:rPr>
            </w:pPr>
            <w:r w:rsidRPr="00D227B8">
              <w:rPr>
                <w:color w:val="000000"/>
              </w:rPr>
              <w:t>Painel A - Estatísticas descritivas</w:t>
            </w:r>
          </w:p>
        </w:tc>
      </w:tr>
      <w:tr w:rsidR="00D227B8" w:rsidRPr="00D227B8" w14:paraId="635E34B4" w14:textId="77777777" w:rsidTr="00D227B8">
        <w:trPr>
          <w:divId w:val="319778179"/>
          <w:trHeight w:val="600"/>
          <w:jc w:val="center"/>
        </w:trPr>
        <w:tc>
          <w:tcPr>
            <w:tcW w:w="1592" w:type="dxa"/>
            <w:tcBorders>
              <w:top w:val="nil"/>
              <w:left w:val="nil"/>
              <w:bottom w:val="single" w:sz="8" w:space="0" w:color="auto"/>
              <w:right w:val="single" w:sz="8" w:space="0" w:color="auto"/>
            </w:tcBorders>
            <w:shd w:val="clear" w:color="auto" w:fill="auto"/>
            <w:vAlign w:val="center"/>
            <w:hideMark/>
          </w:tcPr>
          <w:p w14:paraId="0D1463F6" w14:textId="77777777" w:rsidR="00D227B8" w:rsidRPr="00D227B8" w:rsidRDefault="00D227B8" w:rsidP="00D227B8">
            <w:pPr>
              <w:jc w:val="center"/>
              <w:rPr>
                <w:color w:val="000000"/>
              </w:rPr>
            </w:pPr>
            <w:r w:rsidRPr="00D227B8">
              <w:rPr>
                <w:color w:val="000000"/>
              </w:rPr>
              <w:t> </w:t>
            </w:r>
          </w:p>
        </w:tc>
        <w:tc>
          <w:tcPr>
            <w:tcW w:w="1154" w:type="dxa"/>
            <w:tcBorders>
              <w:top w:val="nil"/>
              <w:left w:val="nil"/>
              <w:bottom w:val="single" w:sz="8" w:space="0" w:color="auto"/>
              <w:right w:val="single" w:sz="8" w:space="0" w:color="auto"/>
            </w:tcBorders>
            <w:shd w:val="clear" w:color="auto" w:fill="auto"/>
            <w:vAlign w:val="center"/>
            <w:hideMark/>
          </w:tcPr>
          <w:p w14:paraId="624B9421" w14:textId="77777777" w:rsidR="00D227B8" w:rsidRPr="00D227B8" w:rsidRDefault="00D227B8" w:rsidP="00D227B8">
            <w:pPr>
              <w:jc w:val="center"/>
              <w:rPr>
                <w:color w:val="000000"/>
              </w:rPr>
            </w:pPr>
            <w:r w:rsidRPr="00D227B8">
              <w:rPr>
                <w:color w:val="000000"/>
              </w:rPr>
              <w:t>N</w:t>
            </w:r>
          </w:p>
        </w:tc>
        <w:tc>
          <w:tcPr>
            <w:tcW w:w="1159" w:type="dxa"/>
            <w:tcBorders>
              <w:top w:val="nil"/>
              <w:left w:val="nil"/>
              <w:bottom w:val="single" w:sz="8" w:space="0" w:color="auto"/>
              <w:right w:val="single" w:sz="8" w:space="0" w:color="auto"/>
            </w:tcBorders>
            <w:shd w:val="clear" w:color="auto" w:fill="auto"/>
            <w:vAlign w:val="center"/>
            <w:hideMark/>
          </w:tcPr>
          <w:p w14:paraId="087EA5EF" w14:textId="77777777" w:rsidR="00D227B8" w:rsidRPr="00D227B8" w:rsidRDefault="00D227B8" w:rsidP="00D227B8">
            <w:pPr>
              <w:jc w:val="center"/>
              <w:rPr>
                <w:color w:val="000000"/>
              </w:rPr>
            </w:pPr>
            <w:r w:rsidRPr="00D227B8">
              <w:rPr>
                <w:color w:val="000000"/>
              </w:rPr>
              <w:t>Mínimo</w:t>
            </w:r>
          </w:p>
        </w:tc>
        <w:tc>
          <w:tcPr>
            <w:tcW w:w="1179" w:type="dxa"/>
            <w:tcBorders>
              <w:top w:val="nil"/>
              <w:left w:val="nil"/>
              <w:bottom w:val="single" w:sz="8" w:space="0" w:color="auto"/>
              <w:right w:val="single" w:sz="8" w:space="0" w:color="auto"/>
            </w:tcBorders>
            <w:shd w:val="clear" w:color="auto" w:fill="auto"/>
            <w:vAlign w:val="center"/>
            <w:hideMark/>
          </w:tcPr>
          <w:p w14:paraId="7DB08388" w14:textId="77777777" w:rsidR="00D227B8" w:rsidRPr="00D227B8" w:rsidRDefault="00D227B8" w:rsidP="00D227B8">
            <w:pPr>
              <w:jc w:val="center"/>
              <w:rPr>
                <w:color w:val="000000"/>
              </w:rPr>
            </w:pPr>
            <w:r w:rsidRPr="00D227B8">
              <w:rPr>
                <w:color w:val="000000"/>
              </w:rPr>
              <w:t>Máximo</w:t>
            </w:r>
          </w:p>
        </w:tc>
        <w:tc>
          <w:tcPr>
            <w:tcW w:w="1216" w:type="dxa"/>
            <w:tcBorders>
              <w:top w:val="nil"/>
              <w:left w:val="nil"/>
              <w:bottom w:val="single" w:sz="8" w:space="0" w:color="auto"/>
              <w:right w:val="single" w:sz="8" w:space="0" w:color="auto"/>
            </w:tcBorders>
            <w:shd w:val="clear" w:color="auto" w:fill="auto"/>
            <w:vAlign w:val="center"/>
            <w:hideMark/>
          </w:tcPr>
          <w:p w14:paraId="77B30412" w14:textId="77777777" w:rsidR="00D227B8" w:rsidRPr="00D227B8" w:rsidRDefault="00D227B8" w:rsidP="00D227B8">
            <w:pPr>
              <w:jc w:val="center"/>
              <w:rPr>
                <w:color w:val="000000"/>
              </w:rPr>
            </w:pPr>
            <w:r w:rsidRPr="00D227B8">
              <w:rPr>
                <w:color w:val="000000"/>
              </w:rPr>
              <w:t>Média</w:t>
            </w:r>
          </w:p>
        </w:tc>
        <w:tc>
          <w:tcPr>
            <w:tcW w:w="1216" w:type="dxa"/>
            <w:tcBorders>
              <w:top w:val="nil"/>
              <w:left w:val="nil"/>
              <w:bottom w:val="single" w:sz="8" w:space="0" w:color="auto"/>
              <w:right w:val="nil"/>
            </w:tcBorders>
            <w:shd w:val="clear" w:color="auto" w:fill="auto"/>
            <w:vAlign w:val="center"/>
            <w:hideMark/>
          </w:tcPr>
          <w:p w14:paraId="29B0168F" w14:textId="77777777" w:rsidR="00D227B8" w:rsidRPr="00D227B8" w:rsidRDefault="00D227B8" w:rsidP="00D227B8">
            <w:pPr>
              <w:jc w:val="center"/>
              <w:rPr>
                <w:color w:val="000000"/>
              </w:rPr>
            </w:pPr>
            <w:r w:rsidRPr="00D227B8">
              <w:rPr>
                <w:color w:val="000000"/>
              </w:rPr>
              <w:t>Desvio Padrão</w:t>
            </w:r>
          </w:p>
        </w:tc>
      </w:tr>
      <w:tr w:rsidR="00D227B8" w:rsidRPr="00D227B8" w14:paraId="6B85A466" w14:textId="77777777" w:rsidTr="00D227B8">
        <w:trPr>
          <w:divId w:val="319778179"/>
          <w:trHeight w:val="315"/>
          <w:jc w:val="center"/>
        </w:trPr>
        <w:tc>
          <w:tcPr>
            <w:tcW w:w="1592" w:type="dxa"/>
            <w:tcBorders>
              <w:top w:val="nil"/>
              <w:left w:val="nil"/>
              <w:bottom w:val="nil"/>
              <w:right w:val="single" w:sz="8" w:space="0" w:color="auto"/>
            </w:tcBorders>
            <w:shd w:val="clear" w:color="auto" w:fill="auto"/>
            <w:vAlign w:val="center"/>
            <w:hideMark/>
          </w:tcPr>
          <w:p w14:paraId="3018C58B" w14:textId="77777777" w:rsidR="00D227B8" w:rsidRPr="00D227B8" w:rsidRDefault="00D227B8" w:rsidP="00D227B8">
            <w:pPr>
              <w:jc w:val="center"/>
              <w:rPr>
                <w:color w:val="000000"/>
              </w:rPr>
            </w:pPr>
            <w:r w:rsidRPr="00D227B8">
              <w:rPr>
                <w:color w:val="000000"/>
              </w:rPr>
              <w:t>PÁG_2005</w:t>
            </w:r>
          </w:p>
        </w:tc>
        <w:tc>
          <w:tcPr>
            <w:tcW w:w="1154" w:type="dxa"/>
            <w:tcBorders>
              <w:top w:val="nil"/>
              <w:left w:val="nil"/>
              <w:bottom w:val="nil"/>
              <w:right w:val="single" w:sz="8" w:space="0" w:color="auto"/>
            </w:tcBorders>
            <w:shd w:val="clear" w:color="auto" w:fill="auto"/>
            <w:vAlign w:val="center"/>
            <w:hideMark/>
          </w:tcPr>
          <w:p w14:paraId="415F2B68" w14:textId="77777777" w:rsidR="00D227B8" w:rsidRPr="00D227B8" w:rsidRDefault="00D227B8" w:rsidP="00D227B8">
            <w:pPr>
              <w:jc w:val="center"/>
              <w:rPr>
                <w:color w:val="000000"/>
              </w:rPr>
            </w:pPr>
            <w:r w:rsidRPr="00D227B8">
              <w:rPr>
                <w:color w:val="000000"/>
              </w:rPr>
              <w:t>205</w:t>
            </w:r>
          </w:p>
        </w:tc>
        <w:tc>
          <w:tcPr>
            <w:tcW w:w="1159" w:type="dxa"/>
            <w:tcBorders>
              <w:top w:val="nil"/>
              <w:left w:val="nil"/>
              <w:bottom w:val="nil"/>
              <w:right w:val="single" w:sz="8" w:space="0" w:color="auto"/>
            </w:tcBorders>
            <w:shd w:val="clear" w:color="auto" w:fill="auto"/>
            <w:vAlign w:val="center"/>
            <w:hideMark/>
          </w:tcPr>
          <w:p w14:paraId="7B10FA50" w14:textId="77777777" w:rsidR="00D227B8" w:rsidRPr="00D227B8" w:rsidRDefault="00D227B8" w:rsidP="00D227B8">
            <w:pPr>
              <w:jc w:val="center"/>
              <w:rPr>
                <w:color w:val="000000"/>
              </w:rPr>
            </w:pPr>
            <w:r w:rsidRPr="00D227B8">
              <w:rPr>
                <w:color w:val="000000"/>
              </w:rPr>
              <w:t>2</w:t>
            </w:r>
          </w:p>
        </w:tc>
        <w:tc>
          <w:tcPr>
            <w:tcW w:w="1179" w:type="dxa"/>
            <w:tcBorders>
              <w:top w:val="nil"/>
              <w:left w:val="nil"/>
              <w:bottom w:val="nil"/>
              <w:right w:val="single" w:sz="8" w:space="0" w:color="auto"/>
            </w:tcBorders>
            <w:shd w:val="clear" w:color="auto" w:fill="auto"/>
            <w:vAlign w:val="center"/>
            <w:hideMark/>
          </w:tcPr>
          <w:p w14:paraId="555FBE7B" w14:textId="77777777" w:rsidR="00D227B8" w:rsidRPr="00D227B8" w:rsidRDefault="00D227B8" w:rsidP="00D227B8">
            <w:pPr>
              <w:jc w:val="center"/>
              <w:rPr>
                <w:color w:val="000000"/>
              </w:rPr>
            </w:pPr>
            <w:r w:rsidRPr="00D227B8">
              <w:rPr>
                <w:color w:val="000000"/>
              </w:rPr>
              <w:t>101</w:t>
            </w:r>
          </w:p>
        </w:tc>
        <w:tc>
          <w:tcPr>
            <w:tcW w:w="1216" w:type="dxa"/>
            <w:tcBorders>
              <w:top w:val="nil"/>
              <w:left w:val="nil"/>
              <w:bottom w:val="nil"/>
              <w:right w:val="single" w:sz="8" w:space="0" w:color="auto"/>
            </w:tcBorders>
            <w:shd w:val="clear" w:color="auto" w:fill="auto"/>
            <w:vAlign w:val="center"/>
            <w:hideMark/>
          </w:tcPr>
          <w:p w14:paraId="551B526B" w14:textId="77777777" w:rsidR="00D227B8" w:rsidRPr="00D227B8" w:rsidRDefault="00D227B8" w:rsidP="00D227B8">
            <w:pPr>
              <w:jc w:val="center"/>
              <w:rPr>
                <w:color w:val="000000"/>
              </w:rPr>
            </w:pPr>
            <w:r w:rsidRPr="00D227B8">
              <w:rPr>
                <w:color w:val="000000"/>
              </w:rPr>
              <w:t>23,366</w:t>
            </w:r>
          </w:p>
        </w:tc>
        <w:tc>
          <w:tcPr>
            <w:tcW w:w="1216" w:type="dxa"/>
            <w:tcBorders>
              <w:top w:val="nil"/>
              <w:left w:val="nil"/>
              <w:bottom w:val="nil"/>
              <w:right w:val="nil"/>
            </w:tcBorders>
            <w:shd w:val="clear" w:color="auto" w:fill="auto"/>
            <w:vAlign w:val="center"/>
            <w:hideMark/>
          </w:tcPr>
          <w:p w14:paraId="1435B5A1" w14:textId="77777777" w:rsidR="00D227B8" w:rsidRPr="00D227B8" w:rsidRDefault="00D227B8" w:rsidP="00D227B8">
            <w:pPr>
              <w:jc w:val="center"/>
              <w:rPr>
                <w:color w:val="000000"/>
              </w:rPr>
            </w:pPr>
            <w:r w:rsidRPr="00D227B8">
              <w:rPr>
                <w:color w:val="000000"/>
              </w:rPr>
              <w:t>19,908</w:t>
            </w:r>
          </w:p>
        </w:tc>
      </w:tr>
      <w:tr w:rsidR="00D227B8" w:rsidRPr="00D227B8" w14:paraId="476010E6" w14:textId="77777777" w:rsidTr="00D227B8">
        <w:trPr>
          <w:divId w:val="319778179"/>
          <w:trHeight w:val="300"/>
          <w:jc w:val="center"/>
        </w:trPr>
        <w:tc>
          <w:tcPr>
            <w:tcW w:w="1592" w:type="dxa"/>
            <w:tcBorders>
              <w:top w:val="nil"/>
              <w:left w:val="nil"/>
              <w:bottom w:val="nil"/>
              <w:right w:val="single" w:sz="8" w:space="0" w:color="auto"/>
            </w:tcBorders>
            <w:shd w:val="clear" w:color="auto" w:fill="auto"/>
            <w:vAlign w:val="center"/>
            <w:hideMark/>
          </w:tcPr>
          <w:p w14:paraId="0100BEC4" w14:textId="77777777" w:rsidR="00D227B8" w:rsidRPr="00D227B8" w:rsidRDefault="00D227B8" w:rsidP="00D227B8">
            <w:pPr>
              <w:jc w:val="center"/>
              <w:rPr>
                <w:color w:val="000000"/>
              </w:rPr>
            </w:pPr>
            <w:r w:rsidRPr="00D227B8">
              <w:rPr>
                <w:color w:val="000000"/>
              </w:rPr>
              <w:t>PÁG_2010</w:t>
            </w:r>
          </w:p>
        </w:tc>
        <w:tc>
          <w:tcPr>
            <w:tcW w:w="1154" w:type="dxa"/>
            <w:tcBorders>
              <w:top w:val="nil"/>
              <w:left w:val="nil"/>
              <w:bottom w:val="nil"/>
              <w:right w:val="single" w:sz="8" w:space="0" w:color="auto"/>
            </w:tcBorders>
            <w:shd w:val="clear" w:color="auto" w:fill="auto"/>
            <w:vAlign w:val="center"/>
            <w:hideMark/>
          </w:tcPr>
          <w:p w14:paraId="14A31349" w14:textId="77777777" w:rsidR="00D227B8" w:rsidRPr="00D227B8" w:rsidRDefault="00D227B8" w:rsidP="00D227B8">
            <w:pPr>
              <w:jc w:val="center"/>
              <w:rPr>
                <w:color w:val="000000"/>
              </w:rPr>
            </w:pPr>
            <w:r w:rsidRPr="00D227B8">
              <w:rPr>
                <w:color w:val="000000"/>
              </w:rPr>
              <w:t>205</w:t>
            </w:r>
          </w:p>
        </w:tc>
        <w:tc>
          <w:tcPr>
            <w:tcW w:w="1159" w:type="dxa"/>
            <w:tcBorders>
              <w:top w:val="nil"/>
              <w:left w:val="nil"/>
              <w:bottom w:val="nil"/>
              <w:right w:val="single" w:sz="8" w:space="0" w:color="auto"/>
            </w:tcBorders>
            <w:shd w:val="clear" w:color="auto" w:fill="auto"/>
            <w:vAlign w:val="center"/>
            <w:hideMark/>
          </w:tcPr>
          <w:p w14:paraId="4F27A632" w14:textId="77777777" w:rsidR="00D227B8" w:rsidRPr="00D227B8" w:rsidRDefault="00D227B8" w:rsidP="00D227B8">
            <w:pPr>
              <w:jc w:val="center"/>
              <w:rPr>
                <w:color w:val="000000"/>
              </w:rPr>
            </w:pPr>
            <w:r w:rsidRPr="00D227B8">
              <w:rPr>
                <w:color w:val="000000"/>
              </w:rPr>
              <w:t>4</w:t>
            </w:r>
          </w:p>
        </w:tc>
        <w:tc>
          <w:tcPr>
            <w:tcW w:w="1179" w:type="dxa"/>
            <w:tcBorders>
              <w:top w:val="nil"/>
              <w:left w:val="nil"/>
              <w:bottom w:val="nil"/>
              <w:right w:val="single" w:sz="8" w:space="0" w:color="auto"/>
            </w:tcBorders>
            <w:shd w:val="clear" w:color="auto" w:fill="auto"/>
            <w:vAlign w:val="center"/>
            <w:hideMark/>
          </w:tcPr>
          <w:p w14:paraId="3F1FA6DD" w14:textId="77777777" w:rsidR="00D227B8" w:rsidRPr="00D227B8" w:rsidRDefault="00D227B8" w:rsidP="00D227B8">
            <w:pPr>
              <w:jc w:val="center"/>
              <w:rPr>
                <w:color w:val="000000"/>
              </w:rPr>
            </w:pPr>
            <w:r w:rsidRPr="00D227B8">
              <w:rPr>
                <w:color w:val="000000"/>
              </w:rPr>
              <w:t>212</w:t>
            </w:r>
          </w:p>
        </w:tc>
        <w:tc>
          <w:tcPr>
            <w:tcW w:w="1216" w:type="dxa"/>
            <w:tcBorders>
              <w:top w:val="nil"/>
              <w:left w:val="nil"/>
              <w:bottom w:val="nil"/>
              <w:right w:val="single" w:sz="8" w:space="0" w:color="auto"/>
            </w:tcBorders>
            <w:shd w:val="clear" w:color="auto" w:fill="auto"/>
            <w:vAlign w:val="center"/>
            <w:hideMark/>
          </w:tcPr>
          <w:p w14:paraId="3C515496" w14:textId="77777777" w:rsidR="00D227B8" w:rsidRPr="00D227B8" w:rsidRDefault="00D227B8" w:rsidP="00D227B8">
            <w:pPr>
              <w:jc w:val="center"/>
              <w:rPr>
                <w:color w:val="000000"/>
              </w:rPr>
            </w:pPr>
            <w:r w:rsidRPr="00D227B8">
              <w:rPr>
                <w:color w:val="000000"/>
              </w:rPr>
              <w:t>56,571</w:t>
            </w:r>
          </w:p>
        </w:tc>
        <w:tc>
          <w:tcPr>
            <w:tcW w:w="1216" w:type="dxa"/>
            <w:tcBorders>
              <w:top w:val="nil"/>
              <w:left w:val="nil"/>
              <w:bottom w:val="nil"/>
              <w:right w:val="nil"/>
            </w:tcBorders>
            <w:shd w:val="clear" w:color="auto" w:fill="auto"/>
            <w:vAlign w:val="center"/>
            <w:hideMark/>
          </w:tcPr>
          <w:p w14:paraId="1726D257" w14:textId="77777777" w:rsidR="00D227B8" w:rsidRPr="00D227B8" w:rsidRDefault="00D227B8" w:rsidP="00D227B8">
            <w:pPr>
              <w:jc w:val="center"/>
              <w:rPr>
                <w:color w:val="000000"/>
              </w:rPr>
            </w:pPr>
            <w:r w:rsidRPr="00D227B8">
              <w:rPr>
                <w:color w:val="000000"/>
              </w:rPr>
              <w:t>41,163</w:t>
            </w:r>
          </w:p>
        </w:tc>
      </w:tr>
      <w:tr w:rsidR="00D227B8" w:rsidRPr="00D227B8" w14:paraId="2785BA0F" w14:textId="77777777" w:rsidTr="00D227B8">
        <w:trPr>
          <w:divId w:val="319778179"/>
          <w:trHeight w:val="315"/>
          <w:jc w:val="center"/>
        </w:trPr>
        <w:tc>
          <w:tcPr>
            <w:tcW w:w="1592" w:type="dxa"/>
            <w:tcBorders>
              <w:top w:val="nil"/>
              <w:left w:val="nil"/>
              <w:bottom w:val="single" w:sz="8" w:space="0" w:color="auto"/>
              <w:right w:val="single" w:sz="8" w:space="0" w:color="auto"/>
            </w:tcBorders>
            <w:shd w:val="clear" w:color="auto" w:fill="auto"/>
            <w:vAlign w:val="center"/>
            <w:hideMark/>
          </w:tcPr>
          <w:p w14:paraId="4B75115C" w14:textId="77777777" w:rsidR="00D227B8" w:rsidRPr="00D227B8" w:rsidRDefault="00D227B8" w:rsidP="00D227B8">
            <w:pPr>
              <w:jc w:val="center"/>
              <w:rPr>
                <w:color w:val="000000"/>
              </w:rPr>
            </w:pPr>
            <w:r w:rsidRPr="00D227B8">
              <w:rPr>
                <w:color w:val="000000"/>
              </w:rPr>
              <w:t>PÁG_2015</w:t>
            </w:r>
          </w:p>
        </w:tc>
        <w:tc>
          <w:tcPr>
            <w:tcW w:w="1154" w:type="dxa"/>
            <w:tcBorders>
              <w:top w:val="nil"/>
              <w:left w:val="nil"/>
              <w:bottom w:val="single" w:sz="8" w:space="0" w:color="auto"/>
              <w:right w:val="single" w:sz="8" w:space="0" w:color="auto"/>
            </w:tcBorders>
            <w:shd w:val="clear" w:color="auto" w:fill="auto"/>
            <w:vAlign w:val="center"/>
            <w:hideMark/>
          </w:tcPr>
          <w:p w14:paraId="6527CD09" w14:textId="77777777" w:rsidR="00D227B8" w:rsidRPr="00D227B8" w:rsidRDefault="00D227B8" w:rsidP="00D227B8">
            <w:pPr>
              <w:jc w:val="center"/>
              <w:rPr>
                <w:color w:val="000000"/>
              </w:rPr>
            </w:pPr>
            <w:r w:rsidRPr="00D227B8">
              <w:rPr>
                <w:color w:val="000000"/>
              </w:rPr>
              <w:t>205</w:t>
            </w:r>
          </w:p>
        </w:tc>
        <w:tc>
          <w:tcPr>
            <w:tcW w:w="1159" w:type="dxa"/>
            <w:tcBorders>
              <w:top w:val="nil"/>
              <w:left w:val="nil"/>
              <w:bottom w:val="single" w:sz="8" w:space="0" w:color="auto"/>
              <w:right w:val="single" w:sz="8" w:space="0" w:color="auto"/>
            </w:tcBorders>
            <w:shd w:val="clear" w:color="auto" w:fill="auto"/>
            <w:vAlign w:val="center"/>
            <w:hideMark/>
          </w:tcPr>
          <w:p w14:paraId="42F1D193" w14:textId="77777777" w:rsidR="00D227B8" w:rsidRPr="00D227B8" w:rsidRDefault="00D227B8" w:rsidP="00D227B8">
            <w:pPr>
              <w:jc w:val="center"/>
              <w:rPr>
                <w:color w:val="000000"/>
              </w:rPr>
            </w:pPr>
            <w:r w:rsidRPr="00D227B8">
              <w:rPr>
                <w:color w:val="000000"/>
              </w:rPr>
              <w:t>3</w:t>
            </w:r>
          </w:p>
        </w:tc>
        <w:tc>
          <w:tcPr>
            <w:tcW w:w="1179" w:type="dxa"/>
            <w:tcBorders>
              <w:top w:val="nil"/>
              <w:left w:val="nil"/>
              <w:bottom w:val="single" w:sz="8" w:space="0" w:color="auto"/>
              <w:right w:val="single" w:sz="8" w:space="0" w:color="auto"/>
            </w:tcBorders>
            <w:shd w:val="clear" w:color="auto" w:fill="auto"/>
            <w:vAlign w:val="center"/>
            <w:hideMark/>
          </w:tcPr>
          <w:p w14:paraId="5201BF2E" w14:textId="77777777" w:rsidR="00D227B8" w:rsidRPr="00D227B8" w:rsidRDefault="00D227B8" w:rsidP="00D227B8">
            <w:pPr>
              <w:jc w:val="center"/>
              <w:rPr>
                <w:color w:val="000000"/>
              </w:rPr>
            </w:pPr>
            <w:r w:rsidRPr="00D227B8">
              <w:rPr>
                <w:color w:val="000000"/>
              </w:rPr>
              <w:t>200</w:t>
            </w:r>
          </w:p>
        </w:tc>
        <w:tc>
          <w:tcPr>
            <w:tcW w:w="1216" w:type="dxa"/>
            <w:tcBorders>
              <w:top w:val="nil"/>
              <w:left w:val="nil"/>
              <w:bottom w:val="single" w:sz="8" w:space="0" w:color="auto"/>
              <w:right w:val="single" w:sz="8" w:space="0" w:color="auto"/>
            </w:tcBorders>
            <w:shd w:val="clear" w:color="auto" w:fill="auto"/>
            <w:vAlign w:val="center"/>
            <w:hideMark/>
          </w:tcPr>
          <w:p w14:paraId="28102C31" w14:textId="77777777" w:rsidR="00D227B8" w:rsidRPr="00D227B8" w:rsidRDefault="00D227B8" w:rsidP="00D227B8">
            <w:pPr>
              <w:jc w:val="center"/>
              <w:rPr>
                <w:color w:val="000000"/>
              </w:rPr>
            </w:pPr>
            <w:r w:rsidRPr="00D227B8">
              <w:rPr>
                <w:color w:val="000000"/>
              </w:rPr>
              <w:t>48,351</w:t>
            </w:r>
          </w:p>
        </w:tc>
        <w:tc>
          <w:tcPr>
            <w:tcW w:w="1216" w:type="dxa"/>
            <w:tcBorders>
              <w:top w:val="nil"/>
              <w:left w:val="nil"/>
              <w:bottom w:val="single" w:sz="8" w:space="0" w:color="auto"/>
              <w:right w:val="nil"/>
            </w:tcBorders>
            <w:shd w:val="clear" w:color="auto" w:fill="auto"/>
            <w:vAlign w:val="center"/>
            <w:hideMark/>
          </w:tcPr>
          <w:p w14:paraId="0F7C1D89" w14:textId="77777777" w:rsidR="00D227B8" w:rsidRPr="00D227B8" w:rsidRDefault="00D227B8" w:rsidP="00D227B8">
            <w:pPr>
              <w:jc w:val="center"/>
              <w:rPr>
                <w:color w:val="000000"/>
              </w:rPr>
            </w:pPr>
            <w:r w:rsidRPr="00D227B8">
              <w:rPr>
                <w:color w:val="000000"/>
              </w:rPr>
              <w:t>32,621</w:t>
            </w:r>
          </w:p>
        </w:tc>
      </w:tr>
      <w:tr w:rsidR="00D227B8" w:rsidRPr="00D227B8" w14:paraId="35A4DA08" w14:textId="77777777" w:rsidTr="00D227B8">
        <w:trPr>
          <w:divId w:val="319778179"/>
          <w:trHeight w:val="300"/>
          <w:jc w:val="center"/>
        </w:trPr>
        <w:tc>
          <w:tcPr>
            <w:tcW w:w="1592" w:type="dxa"/>
            <w:tcBorders>
              <w:top w:val="nil"/>
              <w:left w:val="nil"/>
              <w:bottom w:val="nil"/>
              <w:right w:val="single" w:sz="8" w:space="0" w:color="auto"/>
            </w:tcBorders>
            <w:shd w:val="clear" w:color="auto" w:fill="auto"/>
            <w:vAlign w:val="center"/>
            <w:hideMark/>
          </w:tcPr>
          <w:p w14:paraId="503F8825" w14:textId="77777777" w:rsidR="00D227B8" w:rsidRPr="00D227B8" w:rsidRDefault="00D227B8" w:rsidP="00D227B8">
            <w:pPr>
              <w:jc w:val="center"/>
              <w:rPr>
                <w:color w:val="000000"/>
              </w:rPr>
            </w:pPr>
            <w:r w:rsidRPr="00D227B8">
              <w:rPr>
                <w:color w:val="000000"/>
              </w:rPr>
              <w:t>LNPÁG_05</w:t>
            </w:r>
          </w:p>
        </w:tc>
        <w:tc>
          <w:tcPr>
            <w:tcW w:w="1154" w:type="dxa"/>
            <w:tcBorders>
              <w:top w:val="nil"/>
              <w:left w:val="nil"/>
              <w:bottom w:val="nil"/>
              <w:right w:val="single" w:sz="8" w:space="0" w:color="auto"/>
            </w:tcBorders>
            <w:shd w:val="clear" w:color="auto" w:fill="auto"/>
            <w:vAlign w:val="center"/>
            <w:hideMark/>
          </w:tcPr>
          <w:p w14:paraId="3056E436" w14:textId="77777777" w:rsidR="00D227B8" w:rsidRPr="00D227B8" w:rsidRDefault="00D227B8" w:rsidP="00D227B8">
            <w:pPr>
              <w:jc w:val="center"/>
              <w:rPr>
                <w:color w:val="000000"/>
              </w:rPr>
            </w:pPr>
            <w:r w:rsidRPr="00D227B8">
              <w:rPr>
                <w:color w:val="000000"/>
              </w:rPr>
              <w:t>205</w:t>
            </w:r>
          </w:p>
        </w:tc>
        <w:tc>
          <w:tcPr>
            <w:tcW w:w="1159" w:type="dxa"/>
            <w:tcBorders>
              <w:top w:val="nil"/>
              <w:left w:val="nil"/>
              <w:bottom w:val="nil"/>
              <w:right w:val="single" w:sz="8" w:space="0" w:color="auto"/>
            </w:tcBorders>
            <w:shd w:val="clear" w:color="auto" w:fill="auto"/>
            <w:vAlign w:val="center"/>
            <w:hideMark/>
          </w:tcPr>
          <w:p w14:paraId="107DAD42" w14:textId="77777777" w:rsidR="00D227B8" w:rsidRPr="00D227B8" w:rsidRDefault="00D227B8" w:rsidP="00D227B8">
            <w:pPr>
              <w:jc w:val="center"/>
              <w:rPr>
                <w:color w:val="000000"/>
              </w:rPr>
            </w:pPr>
            <w:r w:rsidRPr="00D227B8">
              <w:rPr>
                <w:color w:val="000000"/>
              </w:rPr>
              <w:t>0,69</w:t>
            </w:r>
          </w:p>
        </w:tc>
        <w:tc>
          <w:tcPr>
            <w:tcW w:w="1179" w:type="dxa"/>
            <w:tcBorders>
              <w:top w:val="nil"/>
              <w:left w:val="nil"/>
              <w:bottom w:val="nil"/>
              <w:right w:val="single" w:sz="8" w:space="0" w:color="auto"/>
            </w:tcBorders>
            <w:shd w:val="clear" w:color="auto" w:fill="auto"/>
            <w:vAlign w:val="center"/>
            <w:hideMark/>
          </w:tcPr>
          <w:p w14:paraId="406C74F3" w14:textId="77777777" w:rsidR="00D227B8" w:rsidRPr="00D227B8" w:rsidRDefault="00D227B8" w:rsidP="00D227B8">
            <w:pPr>
              <w:jc w:val="center"/>
              <w:rPr>
                <w:color w:val="000000"/>
              </w:rPr>
            </w:pPr>
            <w:r w:rsidRPr="00D227B8">
              <w:rPr>
                <w:color w:val="000000"/>
              </w:rPr>
              <w:t>4,62</w:t>
            </w:r>
          </w:p>
        </w:tc>
        <w:tc>
          <w:tcPr>
            <w:tcW w:w="1216" w:type="dxa"/>
            <w:tcBorders>
              <w:top w:val="nil"/>
              <w:left w:val="nil"/>
              <w:bottom w:val="nil"/>
              <w:right w:val="single" w:sz="8" w:space="0" w:color="auto"/>
            </w:tcBorders>
            <w:shd w:val="clear" w:color="auto" w:fill="auto"/>
            <w:vAlign w:val="center"/>
            <w:hideMark/>
          </w:tcPr>
          <w:p w14:paraId="1BCF5C0E" w14:textId="77777777" w:rsidR="00D227B8" w:rsidRPr="00D227B8" w:rsidRDefault="00D227B8" w:rsidP="00D227B8">
            <w:pPr>
              <w:jc w:val="center"/>
              <w:rPr>
                <w:color w:val="000000"/>
              </w:rPr>
            </w:pPr>
            <w:r w:rsidRPr="00D227B8">
              <w:rPr>
                <w:color w:val="000000"/>
              </w:rPr>
              <w:t>2,781</w:t>
            </w:r>
          </w:p>
        </w:tc>
        <w:tc>
          <w:tcPr>
            <w:tcW w:w="1216" w:type="dxa"/>
            <w:tcBorders>
              <w:top w:val="nil"/>
              <w:left w:val="nil"/>
              <w:bottom w:val="nil"/>
              <w:right w:val="nil"/>
            </w:tcBorders>
            <w:shd w:val="clear" w:color="auto" w:fill="auto"/>
            <w:vAlign w:val="center"/>
            <w:hideMark/>
          </w:tcPr>
          <w:p w14:paraId="7D0B4D63" w14:textId="77777777" w:rsidR="00D227B8" w:rsidRPr="00D227B8" w:rsidRDefault="00D227B8" w:rsidP="00D227B8">
            <w:pPr>
              <w:jc w:val="center"/>
              <w:rPr>
                <w:color w:val="000000"/>
              </w:rPr>
            </w:pPr>
            <w:r w:rsidRPr="00D227B8">
              <w:rPr>
                <w:color w:val="000000"/>
              </w:rPr>
              <w:t>0,919</w:t>
            </w:r>
          </w:p>
        </w:tc>
      </w:tr>
      <w:tr w:rsidR="00D227B8" w:rsidRPr="00D227B8" w14:paraId="1C10B2FD" w14:textId="77777777" w:rsidTr="00D227B8">
        <w:trPr>
          <w:divId w:val="319778179"/>
          <w:trHeight w:val="300"/>
          <w:jc w:val="center"/>
        </w:trPr>
        <w:tc>
          <w:tcPr>
            <w:tcW w:w="1592" w:type="dxa"/>
            <w:tcBorders>
              <w:top w:val="nil"/>
              <w:left w:val="nil"/>
              <w:bottom w:val="nil"/>
              <w:right w:val="single" w:sz="8" w:space="0" w:color="auto"/>
            </w:tcBorders>
            <w:shd w:val="clear" w:color="auto" w:fill="auto"/>
            <w:vAlign w:val="center"/>
            <w:hideMark/>
          </w:tcPr>
          <w:p w14:paraId="104D438B" w14:textId="77777777" w:rsidR="00D227B8" w:rsidRPr="00D227B8" w:rsidRDefault="00D227B8" w:rsidP="00D227B8">
            <w:pPr>
              <w:jc w:val="center"/>
              <w:rPr>
                <w:color w:val="000000"/>
              </w:rPr>
            </w:pPr>
            <w:r w:rsidRPr="00D227B8">
              <w:rPr>
                <w:color w:val="000000"/>
              </w:rPr>
              <w:t>LNPÁG_10</w:t>
            </w:r>
          </w:p>
        </w:tc>
        <w:tc>
          <w:tcPr>
            <w:tcW w:w="1154" w:type="dxa"/>
            <w:tcBorders>
              <w:top w:val="nil"/>
              <w:left w:val="nil"/>
              <w:bottom w:val="nil"/>
              <w:right w:val="single" w:sz="8" w:space="0" w:color="auto"/>
            </w:tcBorders>
            <w:shd w:val="clear" w:color="auto" w:fill="auto"/>
            <w:vAlign w:val="center"/>
            <w:hideMark/>
          </w:tcPr>
          <w:p w14:paraId="7F24EEC7" w14:textId="77777777" w:rsidR="00D227B8" w:rsidRPr="00D227B8" w:rsidRDefault="00D227B8" w:rsidP="00D227B8">
            <w:pPr>
              <w:jc w:val="center"/>
              <w:rPr>
                <w:color w:val="000000"/>
              </w:rPr>
            </w:pPr>
            <w:r w:rsidRPr="00D227B8">
              <w:rPr>
                <w:color w:val="000000"/>
              </w:rPr>
              <w:t>205</w:t>
            </w:r>
          </w:p>
        </w:tc>
        <w:tc>
          <w:tcPr>
            <w:tcW w:w="1159" w:type="dxa"/>
            <w:tcBorders>
              <w:top w:val="nil"/>
              <w:left w:val="nil"/>
              <w:bottom w:val="nil"/>
              <w:right w:val="single" w:sz="8" w:space="0" w:color="auto"/>
            </w:tcBorders>
            <w:shd w:val="clear" w:color="auto" w:fill="auto"/>
            <w:vAlign w:val="center"/>
            <w:hideMark/>
          </w:tcPr>
          <w:p w14:paraId="46E94CD7" w14:textId="77777777" w:rsidR="00D227B8" w:rsidRPr="00D227B8" w:rsidRDefault="00D227B8" w:rsidP="00D227B8">
            <w:pPr>
              <w:jc w:val="center"/>
              <w:rPr>
                <w:color w:val="000000"/>
              </w:rPr>
            </w:pPr>
            <w:r w:rsidRPr="00D227B8">
              <w:rPr>
                <w:color w:val="000000"/>
              </w:rPr>
              <w:t>1,39</w:t>
            </w:r>
          </w:p>
        </w:tc>
        <w:tc>
          <w:tcPr>
            <w:tcW w:w="1179" w:type="dxa"/>
            <w:tcBorders>
              <w:top w:val="nil"/>
              <w:left w:val="nil"/>
              <w:bottom w:val="nil"/>
              <w:right w:val="single" w:sz="8" w:space="0" w:color="auto"/>
            </w:tcBorders>
            <w:shd w:val="clear" w:color="auto" w:fill="auto"/>
            <w:vAlign w:val="center"/>
            <w:hideMark/>
          </w:tcPr>
          <w:p w14:paraId="7F35BA61" w14:textId="77777777" w:rsidR="00D227B8" w:rsidRPr="00D227B8" w:rsidRDefault="00D227B8" w:rsidP="00D227B8">
            <w:pPr>
              <w:jc w:val="center"/>
              <w:rPr>
                <w:color w:val="000000"/>
              </w:rPr>
            </w:pPr>
            <w:r w:rsidRPr="00D227B8">
              <w:rPr>
                <w:color w:val="000000"/>
              </w:rPr>
              <w:t>5,36</w:t>
            </w:r>
          </w:p>
        </w:tc>
        <w:tc>
          <w:tcPr>
            <w:tcW w:w="1216" w:type="dxa"/>
            <w:tcBorders>
              <w:top w:val="nil"/>
              <w:left w:val="nil"/>
              <w:bottom w:val="nil"/>
              <w:right w:val="single" w:sz="8" w:space="0" w:color="auto"/>
            </w:tcBorders>
            <w:shd w:val="clear" w:color="auto" w:fill="auto"/>
            <w:vAlign w:val="center"/>
            <w:hideMark/>
          </w:tcPr>
          <w:p w14:paraId="4B3C191E" w14:textId="77777777" w:rsidR="00D227B8" w:rsidRPr="00D227B8" w:rsidRDefault="00D227B8" w:rsidP="00D227B8">
            <w:pPr>
              <w:jc w:val="center"/>
              <w:rPr>
                <w:color w:val="000000"/>
              </w:rPr>
            </w:pPr>
            <w:r w:rsidRPr="00D227B8">
              <w:rPr>
                <w:color w:val="000000"/>
              </w:rPr>
              <w:t>3,697</w:t>
            </w:r>
          </w:p>
        </w:tc>
        <w:tc>
          <w:tcPr>
            <w:tcW w:w="1216" w:type="dxa"/>
            <w:tcBorders>
              <w:top w:val="nil"/>
              <w:left w:val="nil"/>
              <w:bottom w:val="nil"/>
              <w:right w:val="nil"/>
            </w:tcBorders>
            <w:shd w:val="clear" w:color="auto" w:fill="auto"/>
            <w:vAlign w:val="center"/>
            <w:hideMark/>
          </w:tcPr>
          <w:p w14:paraId="5B9C73BB" w14:textId="77777777" w:rsidR="00D227B8" w:rsidRPr="00D227B8" w:rsidRDefault="00D227B8" w:rsidP="00D227B8">
            <w:pPr>
              <w:jc w:val="center"/>
              <w:rPr>
                <w:color w:val="000000"/>
              </w:rPr>
            </w:pPr>
            <w:r w:rsidRPr="00D227B8">
              <w:rPr>
                <w:color w:val="000000"/>
              </w:rPr>
              <w:t>0,926</w:t>
            </w:r>
          </w:p>
        </w:tc>
      </w:tr>
      <w:tr w:rsidR="00D227B8" w:rsidRPr="00D227B8" w14:paraId="2EC0101E" w14:textId="77777777" w:rsidTr="00D227B8">
        <w:trPr>
          <w:divId w:val="319778179"/>
          <w:trHeight w:val="315"/>
          <w:jc w:val="center"/>
        </w:trPr>
        <w:tc>
          <w:tcPr>
            <w:tcW w:w="1592" w:type="dxa"/>
            <w:tcBorders>
              <w:top w:val="nil"/>
              <w:left w:val="nil"/>
              <w:bottom w:val="single" w:sz="8" w:space="0" w:color="auto"/>
              <w:right w:val="single" w:sz="8" w:space="0" w:color="auto"/>
            </w:tcBorders>
            <w:shd w:val="clear" w:color="auto" w:fill="auto"/>
            <w:vAlign w:val="center"/>
            <w:hideMark/>
          </w:tcPr>
          <w:p w14:paraId="47AF5685" w14:textId="77777777" w:rsidR="00D227B8" w:rsidRPr="00D227B8" w:rsidRDefault="00D227B8" w:rsidP="00D227B8">
            <w:pPr>
              <w:jc w:val="center"/>
              <w:rPr>
                <w:color w:val="000000"/>
              </w:rPr>
            </w:pPr>
            <w:r w:rsidRPr="00D227B8">
              <w:rPr>
                <w:color w:val="000000"/>
              </w:rPr>
              <w:t>LNPÁG_15</w:t>
            </w:r>
          </w:p>
        </w:tc>
        <w:tc>
          <w:tcPr>
            <w:tcW w:w="1154" w:type="dxa"/>
            <w:tcBorders>
              <w:top w:val="nil"/>
              <w:left w:val="nil"/>
              <w:bottom w:val="single" w:sz="8" w:space="0" w:color="auto"/>
              <w:right w:val="single" w:sz="8" w:space="0" w:color="auto"/>
            </w:tcBorders>
            <w:shd w:val="clear" w:color="auto" w:fill="auto"/>
            <w:vAlign w:val="center"/>
            <w:hideMark/>
          </w:tcPr>
          <w:p w14:paraId="2C971884" w14:textId="77777777" w:rsidR="00D227B8" w:rsidRPr="00D227B8" w:rsidRDefault="00D227B8" w:rsidP="00D227B8">
            <w:pPr>
              <w:jc w:val="center"/>
              <w:rPr>
                <w:color w:val="000000"/>
              </w:rPr>
            </w:pPr>
            <w:r w:rsidRPr="00D227B8">
              <w:rPr>
                <w:color w:val="000000"/>
              </w:rPr>
              <w:t>205</w:t>
            </w:r>
          </w:p>
        </w:tc>
        <w:tc>
          <w:tcPr>
            <w:tcW w:w="1159" w:type="dxa"/>
            <w:tcBorders>
              <w:top w:val="nil"/>
              <w:left w:val="nil"/>
              <w:bottom w:val="single" w:sz="8" w:space="0" w:color="auto"/>
              <w:right w:val="single" w:sz="8" w:space="0" w:color="auto"/>
            </w:tcBorders>
            <w:shd w:val="clear" w:color="auto" w:fill="auto"/>
            <w:vAlign w:val="center"/>
            <w:hideMark/>
          </w:tcPr>
          <w:p w14:paraId="3B943E85" w14:textId="77777777" w:rsidR="00D227B8" w:rsidRPr="00D227B8" w:rsidRDefault="00D227B8" w:rsidP="00D227B8">
            <w:pPr>
              <w:jc w:val="center"/>
              <w:rPr>
                <w:color w:val="000000"/>
              </w:rPr>
            </w:pPr>
            <w:r w:rsidRPr="00D227B8">
              <w:rPr>
                <w:color w:val="000000"/>
              </w:rPr>
              <w:t>1,1</w:t>
            </w:r>
          </w:p>
        </w:tc>
        <w:tc>
          <w:tcPr>
            <w:tcW w:w="1179" w:type="dxa"/>
            <w:tcBorders>
              <w:top w:val="nil"/>
              <w:left w:val="nil"/>
              <w:bottom w:val="single" w:sz="8" w:space="0" w:color="auto"/>
              <w:right w:val="single" w:sz="8" w:space="0" w:color="auto"/>
            </w:tcBorders>
            <w:shd w:val="clear" w:color="auto" w:fill="auto"/>
            <w:vAlign w:val="center"/>
            <w:hideMark/>
          </w:tcPr>
          <w:p w14:paraId="412F417E" w14:textId="77777777" w:rsidR="00D227B8" w:rsidRPr="00D227B8" w:rsidRDefault="00D227B8" w:rsidP="00D227B8">
            <w:pPr>
              <w:jc w:val="center"/>
              <w:rPr>
                <w:color w:val="000000"/>
              </w:rPr>
            </w:pPr>
            <w:r w:rsidRPr="00D227B8">
              <w:rPr>
                <w:color w:val="000000"/>
              </w:rPr>
              <w:t>5,3</w:t>
            </w:r>
          </w:p>
        </w:tc>
        <w:tc>
          <w:tcPr>
            <w:tcW w:w="1216" w:type="dxa"/>
            <w:tcBorders>
              <w:top w:val="nil"/>
              <w:left w:val="nil"/>
              <w:bottom w:val="single" w:sz="8" w:space="0" w:color="auto"/>
              <w:right w:val="single" w:sz="8" w:space="0" w:color="auto"/>
            </w:tcBorders>
            <w:shd w:val="clear" w:color="auto" w:fill="auto"/>
            <w:vAlign w:val="center"/>
            <w:hideMark/>
          </w:tcPr>
          <w:p w14:paraId="4CF05C0F" w14:textId="77777777" w:rsidR="00D227B8" w:rsidRPr="00D227B8" w:rsidRDefault="00D227B8" w:rsidP="00D227B8">
            <w:pPr>
              <w:jc w:val="center"/>
              <w:rPr>
                <w:color w:val="000000"/>
              </w:rPr>
            </w:pPr>
            <w:r w:rsidRPr="00D227B8">
              <w:rPr>
                <w:color w:val="000000"/>
              </w:rPr>
              <w:t>3,592</w:t>
            </w:r>
          </w:p>
        </w:tc>
        <w:tc>
          <w:tcPr>
            <w:tcW w:w="1216" w:type="dxa"/>
            <w:tcBorders>
              <w:top w:val="nil"/>
              <w:left w:val="nil"/>
              <w:bottom w:val="single" w:sz="8" w:space="0" w:color="auto"/>
              <w:right w:val="nil"/>
            </w:tcBorders>
            <w:shd w:val="clear" w:color="auto" w:fill="auto"/>
            <w:vAlign w:val="center"/>
            <w:hideMark/>
          </w:tcPr>
          <w:p w14:paraId="3C088AC2" w14:textId="77777777" w:rsidR="00D227B8" w:rsidRPr="00D227B8" w:rsidRDefault="00D227B8" w:rsidP="00D227B8">
            <w:pPr>
              <w:jc w:val="center"/>
              <w:rPr>
                <w:color w:val="000000"/>
              </w:rPr>
            </w:pPr>
            <w:r w:rsidRPr="00D227B8">
              <w:rPr>
                <w:color w:val="000000"/>
              </w:rPr>
              <w:t>0,853</w:t>
            </w:r>
          </w:p>
        </w:tc>
      </w:tr>
      <w:tr w:rsidR="00D227B8" w:rsidRPr="00D227B8" w14:paraId="1F148F35" w14:textId="77777777" w:rsidTr="00D227B8">
        <w:trPr>
          <w:divId w:val="319778179"/>
          <w:trHeight w:val="300"/>
          <w:jc w:val="center"/>
        </w:trPr>
        <w:tc>
          <w:tcPr>
            <w:tcW w:w="1592" w:type="dxa"/>
            <w:tcBorders>
              <w:top w:val="nil"/>
              <w:left w:val="nil"/>
              <w:bottom w:val="nil"/>
              <w:right w:val="single" w:sz="8" w:space="0" w:color="auto"/>
            </w:tcBorders>
            <w:shd w:val="clear" w:color="auto" w:fill="auto"/>
            <w:vAlign w:val="center"/>
            <w:hideMark/>
          </w:tcPr>
          <w:p w14:paraId="193707FF" w14:textId="77777777" w:rsidR="00D227B8" w:rsidRPr="00D227B8" w:rsidRDefault="00D227B8" w:rsidP="00D227B8">
            <w:pPr>
              <w:jc w:val="center"/>
              <w:rPr>
                <w:color w:val="000000"/>
              </w:rPr>
            </w:pPr>
            <w:r w:rsidRPr="00D227B8">
              <w:rPr>
                <w:color w:val="000000"/>
              </w:rPr>
              <w:t>PAL2005</w:t>
            </w:r>
          </w:p>
        </w:tc>
        <w:tc>
          <w:tcPr>
            <w:tcW w:w="1154" w:type="dxa"/>
            <w:tcBorders>
              <w:top w:val="nil"/>
              <w:left w:val="nil"/>
              <w:bottom w:val="nil"/>
              <w:right w:val="single" w:sz="8" w:space="0" w:color="auto"/>
            </w:tcBorders>
            <w:shd w:val="clear" w:color="auto" w:fill="auto"/>
            <w:vAlign w:val="center"/>
            <w:hideMark/>
          </w:tcPr>
          <w:p w14:paraId="6F3A84D8" w14:textId="77777777" w:rsidR="00D227B8" w:rsidRPr="00D227B8" w:rsidRDefault="00D227B8" w:rsidP="00D227B8">
            <w:pPr>
              <w:jc w:val="center"/>
              <w:rPr>
                <w:color w:val="000000"/>
              </w:rPr>
            </w:pPr>
            <w:r w:rsidRPr="00D227B8">
              <w:rPr>
                <w:color w:val="000000"/>
              </w:rPr>
              <w:t>205</w:t>
            </w:r>
          </w:p>
        </w:tc>
        <w:tc>
          <w:tcPr>
            <w:tcW w:w="1159" w:type="dxa"/>
            <w:tcBorders>
              <w:top w:val="nil"/>
              <w:left w:val="nil"/>
              <w:bottom w:val="nil"/>
              <w:right w:val="single" w:sz="8" w:space="0" w:color="auto"/>
            </w:tcBorders>
            <w:shd w:val="clear" w:color="auto" w:fill="auto"/>
            <w:vAlign w:val="center"/>
            <w:hideMark/>
          </w:tcPr>
          <w:p w14:paraId="3307500D" w14:textId="77777777" w:rsidR="00D227B8" w:rsidRPr="00D227B8" w:rsidRDefault="00D227B8" w:rsidP="00D227B8">
            <w:pPr>
              <w:jc w:val="center"/>
              <w:rPr>
                <w:color w:val="000000"/>
              </w:rPr>
            </w:pPr>
            <w:r w:rsidRPr="00D227B8">
              <w:rPr>
                <w:color w:val="000000"/>
              </w:rPr>
              <w:t>369</w:t>
            </w:r>
          </w:p>
        </w:tc>
        <w:tc>
          <w:tcPr>
            <w:tcW w:w="1179" w:type="dxa"/>
            <w:tcBorders>
              <w:top w:val="nil"/>
              <w:left w:val="nil"/>
              <w:bottom w:val="nil"/>
              <w:right w:val="single" w:sz="8" w:space="0" w:color="auto"/>
            </w:tcBorders>
            <w:shd w:val="clear" w:color="auto" w:fill="auto"/>
            <w:vAlign w:val="center"/>
            <w:hideMark/>
          </w:tcPr>
          <w:p w14:paraId="3A96C6AF" w14:textId="77777777" w:rsidR="00D227B8" w:rsidRPr="00D227B8" w:rsidRDefault="00D227B8" w:rsidP="00D227B8">
            <w:pPr>
              <w:jc w:val="center"/>
              <w:rPr>
                <w:color w:val="000000"/>
              </w:rPr>
            </w:pPr>
            <w:r w:rsidRPr="00D227B8">
              <w:rPr>
                <w:color w:val="000000"/>
              </w:rPr>
              <w:t>27185</w:t>
            </w:r>
          </w:p>
        </w:tc>
        <w:tc>
          <w:tcPr>
            <w:tcW w:w="1216" w:type="dxa"/>
            <w:tcBorders>
              <w:top w:val="nil"/>
              <w:left w:val="nil"/>
              <w:bottom w:val="nil"/>
              <w:right w:val="single" w:sz="8" w:space="0" w:color="auto"/>
            </w:tcBorders>
            <w:shd w:val="clear" w:color="auto" w:fill="auto"/>
            <w:vAlign w:val="center"/>
            <w:hideMark/>
          </w:tcPr>
          <w:p w14:paraId="4550F7BF" w14:textId="77777777" w:rsidR="00D227B8" w:rsidRPr="00D227B8" w:rsidRDefault="00D227B8" w:rsidP="00D227B8">
            <w:pPr>
              <w:jc w:val="center"/>
              <w:rPr>
                <w:color w:val="000000"/>
              </w:rPr>
            </w:pPr>
            <w:r w:rsidRPr="00D227B8">
              <w:rPr>
                <w:color w:val="000000"/>
              </w:rPr>
              <w:t>6098,795</w:t>
            </w:r>
          </w:p>
        </w:tc>
        <w:tc>
          <w:tcPr>
            <w:tcW w:w="1216" w:type="dxa"/>
            <w:tcBorders>
              <w:top w:val="nil"/>
              <w:left w:val="nil"/>
              <w:bottom w:val="nil"/>
              <w:right w:val="nil"/>
            </w:tcBorders>
            <w:shd w:val="clear" w:color="auto" w:fill="auto"/>
            <w:vAlign w:val="center"/>
            <w:hideMark/>
          </w:tcPr>
          <w:p w14:paraId="4E3D41DD" w14:textId="77777777" w:rsidR="00D227B8" w:rsidRPr="00D227B8" w:rsidRDefault="00D227B8" w:rsidP="00D227B8">
            <w:pPr>
              <w:jc w:val="center"/>
              <w:rPr>
                <w:color w:val="000000"/>
              </w:rPr>
            </w:pPr>
            <w:r w:rsidRPr="00D227B8">
              <w:rPr>
                <w:color w:val="000000"/>
              </w:rPr>
              <w:t>5815,628</w:t>
            </w:r>
          </w:p>
        </w:tc>
      </w:tr>
      <w:tr w:rsidR="00D227B8" w:rsidRPr="00D227B8" w14:paraId="30A04E7F" w14:textId="77777777" w:rsidTr="00D227B8">
        <w:trPr>
          <w:divId w:val="319778179"/>
          <w:trHeight w:val="300"/>
          <w:jc w:val="center"/>
        </w:trPr>
        <w:tc>
          <w:tcPr>
            <w:tcW w:w="1592" w:type="dxa"/>
            <w:tcBorders>
              <w:top w:val="nil"/>
              <w:left w:val="nil"/>
              <w:bottom w:val="nil"/>
              <w:right w:val="single" w:sz="8" w:space="0" w:color="auto"/>
            </w:tcBorders>
            <w:shd w:val="clear" w:color="auto" w:fill="auto"/>
            <w:vAlign w:val="center"/>
            <w:hideMark/>
          </w:tcPr>
          <w:p w14:paraId="72C6A883" w14:textId="77777777" w:rsidR="00D227B8" w:rsidRPr="00D227B8" w:rsidRDefault="00D227B8" w:rsidP="00D227B8">
            <w:pPr>
              <w:jc w:val="center"/>
              <w:rPr>
                <w:color w:val="000000"/>
              </w:rPr>
            </w:pPr>
            <w:r w:rsidRPr="00D227B8">
              <w:rPr>
                <w:color w:val="000000"/>
              </w:rPr>
              <w:t>PAL2010</w:t>
            </w:r>
          </w:p>
        </w:tc>
        <w:tc>
          <w:tcPr>
            <w:tcW w:w="1154" w:type="dxa"/>
            <w:tcBorders>
              <w:top w:val="nil"/>
              <w:left w:val="nil"/>
              <w:bottom w:val="nil"/>
              <w:right w:val="single" w:sz="8" w:space="0" w:color="auto"/>
            </w:tcBorders>
            <w:shd w:val="clear" w:color="auto" w:fill="auto"/>
            <w:vAlign w:val="center"/>
            <w:hideMark/>
          </w:tcPr>
          <w:p w14:paraId="4A3B95A3" w14:textId="77777777" w:rsidR="00D227B8" w:rsidRPr="00D227B8" w:rsidRDefault="00D227B8" w:rsidP="00D227B8">
            <w:pPr>
              <w:jc w:val="center"/>
              <w:rPr>
                <w:color w:val="000000"/>
              </w:rPr>
            </w:pPr>
            <w:r w:rsidRPr="00D227B8">
              <w:rPr>
                <w:color w:val="000000"/>
              </w:rPr>
              <w:t>205</w:t>
            </w:r>
          </w:p>
        </w:tc>
        <w:tc>
          <w:tcPr>
            <w:tcW w:w="1159" w:type="dxa"/>
            <w:tcBorders>
              <w:top w:val="nil"/>
              <w:left w:val="nil"/>
              <w:bottom w:val="nil"/>
              <w:right w:val="single" w:sz="8" w:space="0" w:color="auto"/>
            </w:tcBorders>
            <w:shd w:val="clear" w:color="auto" w:fill="auto"/>
            <w:vAlign w:val="center"/>
            <w:hideMark/>
          </w:tcPr>
          <w:p w14:paraId="6AE8655B" w14:textId="77777777" w:rsidR="00D227B8" w:rsidRPr="00D227B8" w:rsidRDefault="00D227B8" w:rsidP="00D227B8">
            <w:pPr>
              <w:jc w:val="center"/>
              <w:rPr>
                <w:color w:val="000000"/>
              </w:rPr>
            </w:pPr>
            <w:r w:rsidRPr="00D227B8">
              <w:rPr>
                <w:color w:val="000000"/>
              </w:rPr>
              <w:t>1037</w:t>
            </w:r>
          </w:p>
        </w:tc>
        <w:tc>
          <w:tcPr>
            <w:tcW w:w="1179" w:type="dxa"/>
            <w:tcBorders>
              <w:top w:val="nil"/>
              <w:left w:val="nil"/>
              <w:bottom w:val="nil"/>
              <w:right w:val="single" w:sz="8" w:space="0" w:color="auto"/>
            </w:tcBorders>
            <w:shd w:val="clear" w:color="auto" w:fill="auto"/>
            <w:vAlign w:val="center"/>
            <w:hideMark/>
          </w:tcPr>
          <w:p w14:paraId="70853769" w14:textId="77777777" w:rsidR="00D227B8" w:rsidRPr="00D227B8" w:rsidRDefault="00D227B8" w:rsidP="00D227B8">
            <w:pPr>
              <w:jc w:val="center"/>
              <w:rPr>
                <w:color w:val="000000"/>
              </w:rPr>
            </w:pPr>
            <w:r w:rsidRPr="00D227B8">
              <w:rPr>
                <w:color w:val="000000"/>
              </w:rPr>
              <w:t>75035</w:t>
            </w:r>
          </w:p>
        </w:tc>
        <w:tc>
          <w:tcPr>
            <w:tcW w:w="1216" w:type="dxa"/>
            <w:tcBorders>
              <w:top w:val="nil"/>
              <w:left w:val="nil"/>
              <w:bottom w:val="nil"/>
              <w:right w:val="single" w:sz="8" w:space="0" w:color="auto"/>
            </w:tcBorders>
            <w:shd w:val="clear" w:color="auto" w:fill="auto"/>
            <w:vAlign w:val="center"/>
            <w:hideMark/>
          </w:tcPr>
          <w:p w14:paraId="41ABB1F4" w14:textId="77777777" w:rsidR="00D227B8" w:rsidRPr="00D227B8" w:rsidRDefault="00D227B8" w:rsidP="00D227B8">
            <w:pPr>
              <w:jc w:val="center"/>
              <w:rPr>
                <w:color w:val="000000"/>
              </w:rPr>
            </w:pPr>
            <w:r w:rsidRPr="00D227B8">
              <w:rPr>
                <w:color w:val="000000"/>
              </w:rPr>
              <w:t>18741,244</w:t>
            </w:r>
          </w:p>
        </w:tc>
        <w:tc>
          <w:tcPr>
            <w:tcW w:w="1216" w:type="dxa"/>
            <w:tcBorders>
              <w:top w:val="nil"/>
              <w:left w:val="nil"/>
              <w:bottom w:val="nil"/>
              <w:right w:val="nil"/>
            </w:tcBorders>
            <w:shd w:val="clear" w:color="auto" w:fill="auto"/>
            <w:vAlign w:val="center"/>
            <w:hideMark/>
          </w:tcPr>
          <w:p w14:paraId="72D6AC63" w14:textId="77777777" w:rsidR="00D227B8" w:rsidRPr="00D227B8" w:rsidRDefault="00D227B8" w:rsidP="00D227B8">
            <w:pPr>
              <w:jc w:val="center"/>
              <w:rPr>
                <w:color w:val="000000"/>
              </w:rPr>
            </w:pPr>
            <w:r w:rsidRPr="00D227B8">
              <w:rPr>
                <w:color w:val="000000"/>
              </w:rPr>
              <w:t>14193,388</w:t>
            </w:r>
          </w:p>
        </w:tc>
      </w:tr>
      <w:tr w:rsidR="00D227B8" w:rsidRPr="00D227B8" w14:paraId="648E0F4E" w14:textId="77777777" w:rsidTr="00D227B8">
        <w:trPr>
          <w:divId w:val="319778179"/>
          <w:trHeight w:val="315"/>
          <w:jc w:val="center"/>
        </w:trPr>
        <w:tc>
          <w:tcPr>
            <w:tcW w:w="1592" w:type="dxa"/>
            <w:tcBorders>
              <w:top w:val="nil"/>
              <w:left w:val="nil"/>
              <w:bottom w:val="single" w:sz="8" w:space="0" w:color="auto"/>
              <w:right w:val="single" w:sz="8" w:space="0" w:color="auto"/>
            </w:tcBorders>
            <w:shd w:val="clear" w:color="auto" w:fill="auto"/>
            <w:vAlign w:val="center"/>
            <w:hideMark/>
          </w:tcPr>
          <w:p w14:paraId="10F033C8" w14:textId="77777777" w:rsidR="00D227B8" w:rsidRPr="00D227B8" w:rsidRDefault="00D227B8" w:rsidP="00D227B8">
            <w:pPr>
              <w:jc w:val="center"/>
              <w:rPr>
                <w:color w:val="000000"/>
              </w:rPr>
            </w:pPr>
            <w:r w:rsidRPr="00D227B8">
              <w:rPr>
                <w:color w:val="000000"/>
              </w:rPr>
              <w:t>PAL2015</w:t>
            </w:r>
          </w:p>
        </w:tc>
        <w:tc>
          <w:tcPr>
            <w:tcW w:w="1154" w:type="dxa"/>
            <w:tcBorders>
              <w:top w:val="nil"/>
              <w:left w:val="nil"/>
              <w:bottom w:val="single" w:sz="8" w:space="0" w:color="auto"/>
              <w:right w:val="single" w:sz="8" w:space="0" w:color="auto"/>
            </w:tcBorders>
            <w:shd w:val="clear" w:color="auto" w:fill="auto"/>
            <w:vAlign w:val="center"/>
            <w:hideMark/>
          </w:tcPr>
          <w:p w14:paraId="69FF4ABB" w14:textId="77777777" w:rsidR="00D227B8" w:rsidRPr="00D227B8" w:rsidRDefault="00D227B8" w:rsidP="00D227B8">
            <w:pPr>
              <w:jc w:val="center"/>
              <w:rPr>
                <w:color w:val="000000"/>
              </w:rPr>
            </w:pPr>
            <w:r w:rsidRPr="00D227B8">
              <w:rPr>
                <w:color w:val="000000"/>
              </w:rPr>
              <w:t>205</w:t>
            </w:r>
          </w:p>
        </w:tc>
        <w:tc>
          <w:tcPr>
            <w:tcW w:w="1159" w:type="dxa"/>
            <w:tcBorders>
              <w:top w:val="nil"/>
              <w:left w:val="nil"/>
              <w:bottom w:val="single" w:sz="8" w:space="0" w:color="auto"/>
              <w:right w:val="single" w:sz="8" w:space="0" w:color="auto"/>
            </w:tcBorders>
            <w:shd w:val="clear" w:color="auto" w:fill="auto"/>
            <w:vAlign w:val="center"/>
            <w:hideMark/>
          </w:tcPr>
          <w:p w14:paraId="01E2E84A" w14:textId="77777777" w:rsidR="00D227B8" w:rsidRPr="00D227B8" w:rsidRDefault="00D227B8" w:rsidP="00D227B8">
            <w:pPr>
              <w:jc w:val="center"/>
              <w:rPr>
                <w:color w:val="000000"/>
              </w:rPr>
            </w:pPr>
            <w:r w:rsidRPr="00D227B8">
              <w:rPr>
                <w:color w:val="000000"/>
              </w:rPr>
              <w:t>572</w:t>
            </w:r>
          </w:p>
        </w:tc>
        <w:tc>
          <w:tcPr>
            <w:tcW w:w="1179" w:type="dxa"/>
            <w:tcBorders>
              <w:top w:val="nil"/>
              <w:left w:val="nil"/>
              <w:bottom w:val="single" w:sz="8" w:space="0" w:color="auto"/>
              <w:right w:val="single" w:sz="8" w:space="0" w:color="auto"/>
            </w:tcBorders>
            <w:shd w:val="clear" w:color="auto" w:fill="auto"/>
            <w:vAlign w:val="center"/>
            <w:hideMark/>
          </w:tcPr>
          <w:p w14:paraId="78F61820" w14:textId="77777777" w:rsidR="00D227B8" w:rsidRPr="00D227B8" w:rsidRDefault="00D227B8" w:rsidP="00D227B8">
            <w:pPr>
              <w:jc w:val="center"/>
              <w:rPr>
                <w:color w:val="000000"/>
              </w:rPr>
            </w:pPr>
            <w:r w:rsidRPr="00D227B8">
              <w:rPr>
                <w:color w:val="000000"/>
              </w:rPr>
              <w:t>108231</w:t>
            </w:r>
          </w:p>
        </w:tc>
        <w:tc>
          <w:tcPr>
            <w:tcW w:w="1216" w:type="dxa"/>
            <w:tcBorders>
              <w:top w:val="nil"/>
              <w:left w:val="nil"/>
              <w:bottom w:val="single" w:sz="8" w:space="0" w:color="auto"/>
              <w:right w:val="single" w:sz="8" w:space="0" w:color="auto"/>
            </w:tcBorders>
            <w:shd w:val="clear" w:color="auto" w:fill="auto"/>
            <w:vAlign w:val="center"/>
            <w:hideMark/>
          </w:tcPr>
          <w:p w14:paraId="14087B24" w14:textId="77777777" w:rsidR="00D227B8" w:rsidRPr="00D227B8" w:rsidRDefault="00D227B8" w:rsidP="00D227B8">
            <w:pPr>
              <w:jc w:val="center"/>
              <w:rPr>
                <w:color w:val="000000"/>
              </w:rPr>
            </w:pPr>
            <w:r w:rsidRPr="00D227B8">
              <w:rPr>
                <w:color w:val="000000"/>
              </w:rPr>
              <w:t>17496,634</w:t>
            </w:r>
          </w:p>
        </w:tc>
        <w:tc>
          <w:tcPr>
            <w:tcW w:w="1216" w:type="dxa"/>
            <w:tcBorders>
              <w:top w:val="nil"/>
              <w:left w:val="nil"/>
              <w:bottom w:val="single" w:sz="8" w:space="0" w:color="auto"/>
              <w:right w:val="nil"/>
            </w:tcBorders>
            <w:shd w:val="clear" w:color="auto" w:fill="auto"/>
            <w:vAlign w:val="center"/>
            <w:hideMark/>
          </w:tcPr>
          <w:p w14:paraId="2468D3B2" w14:textId="77777777" w:rsidR="00D227B8" w:rsidRPr="00D227B8" w:rsidRDefault="00D227B8" w:rsidP="00D227B8">
            <w:pPr>
              <w:jc w:val="center"/>
              <w:rPr>
                <w:color w:val="000000"/>
              </w:rPr>
            </w:pPr>
            <w:r w:rsidRPr="00D227B8">
              <w:rPr>
                <w:color w:val="000000"/>
              </w:rPr>
              <w:t>13956,756</w:t>
            </w:r>
          </w:p>
        </w:tc>
      </w:tr>
      <w:tr w:rsidR="00D227B8" w:rsidRPr="00D227B8" w14:paraId="39777FFA" w14:textId="77777777" w:rsidTr="00D227B8">
        <w:trPr>
          <w:divId w:val="319778179"/>
          <w:trHeight w:val="300"/>
          <w:jc w:val="center"/>
        </w:trPr>
        <w:tc>
          <w:tcPr>
            <w:tcW w:w="1592" w:type="dxa"/>
            <w:tcBorders>
              <w:top w:val="nil"/>
              <w:left w:val="nil"/>
              <w:bottom w:val="nil"/>
              <w:right w:val="single" w:sz="8" w:space="0" w:color="auto"/>
            </w:tcBorders>
            <w:shd w:val="clear" w:color="auto" w:fill="auto"/>
            <w:vAlign w:val="center"/>
            <w:hideMark/>
          </w:tcPr>
          <w:p w14:paraId="38EE13A7" w14:textId="77777777" w:rsidR="00D227B8" w:rsidRPr="00D227B8" w:rsidRDefault="00D227B8" w:rsidP="00D227B8">
            <w:pPr>
              <w:jc w:val="center"/>
              <w:rPr>
                <w:color w:val="000000"/>
              </w:rPr>
            </w:pPr>
            <w:r w:rsidRPr="00D227B8">
              <w:rPr>
                <w:color w:val="000000"/>
              </w:rPr>
              <w:t>LNPAL_05</w:t>
            </w:r>
          </w:p>
        </w:tc>
        <w:tc>
          <w:tcPr>
            <w:tcW w:w="1154" w:type="dxa"/>
            <w:tcBorders>
              <w:top w:val="nil"/>
              <w:left w:val="nil"/>
              <w:bottom w:val="nil"/>
              <w:right w:val="single" w:sz="8" w:space="0" w:color="auto"/>
            </w:tcBorders>
            <w:shd w:val="clear" w:color="auto" w:fill="auto"/>
            <w:vAlign w:val="center"/>
            <w:hideMark/>
          </w:tcPr>
          <w:p w14:paraId="2074D239" w14:textId="77777777" w:rsidR="00D227B8" w:rsidRPr="00D227B8" w:rsidRDefault="00D227B8" w:rsidP="00D227B8">
            <w:pPr>
              <w:jc w:val="center"/>
              <w:rPr>
                <w:color w:val="000000"/>
              </w:rPr>
            </w:pPr>
            <w:r w:rsidRPr="00D227B8">
              <w:rPr>
                <w:color w:val="000000"/>
              </w:rPr>
              <w:t>205</w:t>
            </w:r>
          </w:p>
        </w:tc>
        <w:tc>
          <w:tcPr>
            <w:tcW w:w="1159" w:type="dxa"/>
            <w:tcBorders>
              <w:top w:val="nil"/>
              <w:left w:val="nil"/>
              <w:bottom w:val="nil"/>
              <w:right w:val="single" w:sz="8" w:space="0" w:color="auto"/>
            </w:tcBorders>
            <w:shd w:val="clear" w:color="auto" w:fill="auto"/>
            <w:vAlign w:val="center"/>
            <w:hideMark/>
          </w:tcPr>
          <w:p w14:paraId="3CB1A568" w14:textId="77777777" w:rsidR="00D227B8" w:rsidRPr="00D227B8" w:rsidRDefault="00D227B8" w:rsidP="00D227B8">
            <w:pPr>
              <w:jc w:val="center"/>
              <w:rPr>
                <w:color w:val="000000"/>
              </w:rPr>
            </w:pPr>
            <w:r w:rsidRPr="00D227B8">
              <w:rPr>
                <w:color w:val="000000"/>
              </w:rPr>
              <w:t>5,91</w:t>
            </w:r>
          </w:p>
        </w:tc>
        <w:tc>
          <w:tcPr>
            <w:tcW w:w="1179" w:type="dxa"/>
            <w:tcBorders>
              <w:top w:val="nil"/>
              <w:left w:val="nil"/>
              <w:bottom w:val="nil"/>
              <w:right w:val="single" w:sz="8" w:space="0" w:color="auto"/>
            </w:tcBorders>
            <w:shd w:val="clear" w:color="auto" w:fill="auto"/>
            <w:vAlign w:val="center"/>
            <w:hideMark/>
          </w:tcPr>
          <w:p w14:paraId="06235250" w14:textId="77777777" w:rsidR="00D227B8" w:rsidRPr="00D227B8" w:rsidRDefault="00D227B8" w:rsidP="00D227B8">
            <w:pPr>
              <w:jc w:val="center"/>
              <w:rPr>
                <w:color w:val="000000"/>
              </w:rPr>
            </w:pPr>
            <w:r w:rsidRPr="00D227B8">
              <w:rPr>
                <w:color w:val="000000"/>
              </w:rPr>
              <w:t>10,21</w:t>
            </w:r>
          </w:p>
        </w:tc>
        <w:tc>
          <w:tcPr>
            <w:tcW w:w="1216" w:type="dxa"/>
            <w:tcBorders>
              <w:top w:val="nil"/>
              <w:left w:val="nil"/>
              <w:bottom w:val="nil"/>
              <w:right w:val="single" w:sz="8" w:space="0" w:color="auto"/>
            </w:tcBorders>
            <w:shd w:val="clear" w:color="auto" w:fill="auto"/>
            <w:vAlign w:val="center"/>
            <w:hideMark/>
          </w:tcPr>
          <w:p w14:paraId="14197E23" w14:textId="77777777" w:rsidR="00D227B8" w:rsidRPr="00D227B8" w:rsidRDefault="00D227B8" w:rsidP="00D227B8">
            <w:pPr>
              <w:jc w:val="center"/>
              <w:rPr>
                <w:color w:val="000000"/>
              </w:rPr>
            </w:pPr>
            <w:r w:rsidRPr="00D227B8">
              <w:rPr>
                <w:color w:val="000000"/>
              </w:rPr>
              <w:t>8,267</w:t>
            </w:r>
          </w:p>
        </w:tc>
        <w:tc>
          <w:tcPr>
            <w:tcW w:w="1216" w:type="dxa"/>
            <w:tcBorders>
              <w:top w:val="nil"/>
              <w:left w:val="nil"/>
              <w:bottom w:val="nil"/>
              <w:right w:val="nil"/>
            </w:tcBorders>
            <w:shd w:val="clear" w:color="auto" w:fill="auto"/>
            <w:vAlign w:val="center"/>
            <w:hideMark/>
          </w:tcPr>
          <w:p w14:paraId="3108CB99" w14:textId="77777777" w:rsidR="00D227B8" w:rsidRPr="00D227B8" w:rsidRDefault="00D227B8" w:rsidP="00D227B8">
            <w:pPr>
              <w:jc w:val="center"/>
              <w:rPr>
                <w:color w:val="000000"/>
              </w:rPr>
            </w:pPr>
            <w:r w:rsidRPr="00D227B8">
              <w:rPr>
                <w:color w:val="000000"/>
              </w:rPr>
              <w:t>1,009</w:t>
            </w:r>
          </w:p>
        </w:tc>
      </w:tr>
      <w:tr w:rsidR="00D227B8" w:rsidRPr="00D227B8" w14:paraId="3DF570E1" w14:textId="77777777" w:rsidTr="00D227B8">
        <w:trPr>
          <w:divId w:val="319778179"/>
          <w:trHeight w:val="300"/>
          <w:jc w:val="center"/>
        </w:trPr>
        <w:tc>
          <w:tcPr>
            <w:tcW w:w="1592" w:type="dxa"/>
            <w:tcBorders>
              <w:top w:val="nil"/>
              <w:left w:val="nil"/>
              <w:bottom w:val="nil"/>
              <w:right w:val="single" w:sz="8" w:space="0" w:color="auto"/>
            </w:tcBorders>
            <w:shd w:val="clear" w:color="auto" w:fill="auto"/>
            <w:vAlign w:val="center"/>
            <w:hideMark/>
          </w:tcPr>
          <w:p w14:paraId="38757A07" w14:textId="77777777" w:rsidR="00D227B8" w:rsidRPr="00D227B8" w:rsidRDefault="00D227B8" w:rsidP="00D227B8">
            <w:pPr>
              <w:jc w:val="center"/>
              <w:rPr>
                <w:color w:val="000000"/>
              </w:rPr>
            </w:pPr>
            <w:r w:rsidRPr="00D227B8">
              <w:rPr>
                <w:color w:val="000000"/>
              </w:rPr>
              <w:t>LNPAL_10</w:t>
            </w:r>
          </w:p>
        </w:tc>
        <w:tc>
          <w:tcPr>
            <w:tcW w:w="1154" w:type="dxa"/>
            <w:tcBorders>
              <w:top w:val="nil"/>
              <w:left w:val="nil"/>
              <w:bottom w:val="nil"/>
              <w:right w:val="single" w:sz="8" w:space="0" w:color="auto"/>
            </w:tcBorders>
            <w:shd w:val="clear" w:color="auto" w:fill="auto"/>
            <w:vAlign w:val="center"/>
            <w:hideMark/>
          </w:tcPr>
          <w:p w14:paraId="0DD74114" w14:textId="77777777" w:rsidR="00D227B8" w:rsidRPr="00D227B8" w:rsidRDefault="00D227B8" w:rsidP="00D227B8">
            <w:pPr>
              <w:jc w:val="center"/>
              <w:rPr>
                <w:color w:val="000000"/>
              </w:rPr>
            </w:pPr>
            <w:r w:rsidRPr="00D227B8">
              <w:rPr>
                <w:color w:val="000000"/>
              </w:rPr>
              <w:t>205</w:t>
            </w:r>
          </w:p>
        </w:tc>
        <w:tc>
          <w:tcPr>
            <w:tcW w:w="1159" w:type="dxa"/>
            <w:tcBorders>
              <w:top w:val="nil"/>
              <w:left w:val="nil"/>
              <w:bottom w:val="nil"/>
              <w:right w:val="single" w:sz="8" w:space="0" w:color="auto"/>
            </w:tcBorders>
            <w:shd w:val="clear" w:color="auto" w:fill="auto"/>
            <w:vAlign w:val="center"/>
            <w:hideMark/>
          </w:tcPr>
          <w:p w14:paraId="15E84A46" w14:textId="77777777" w:rsidR="00D227B8" w:rsidRPr="00D227B8" w:rsidRDefault="00D227B8" w:rsidP="00D227B8">
            <w:pPr>
              <w:jc w:val="center"/>
              <w:rPr>
                <w:color w:val="000000"/>
              </w:rPr>
            </w:pPr>
            <w:r w:rsidRPr="00D227B8">
              <w:rPr>
                <w:color w:val="000000"/>
              </w:rPr>
              <w:t>6,94</w:t>
            </w:r>
          </w:p>
        </w:tc>
        <w:tc>
          <w:tcPr>
            <w:tcW w:w="1179" w:type="dxa"/>
            <w:tcBorders>
              <w:top w:val="nil"/>
              <w:left w:val="nil"/>
              <w:bottom w:val="nil"/>
              <w:right w:val="single" w:sz="8" w:space="0" w:color="auto"/>
            </w:tcBorders>
            <w:shd w:val="clear" w:color="auto" w:fill="auto"/>
            <w:vAlign w:val="center"/>
            <w:hideMark/>
          </w:tcPr>
          <w:p w14:paraId="0B762724" w14:textId="77777777" w:rsidR="00D227B8" w:rsidRPr="00D227B8" w:rsidRDefault="00D227B8" w:rsidP="00D227B8">
            <w:pPr>
              <w:jc w:val="center"/>
              <w:rPr>
                <w:color w:val="000000"/>
              </w:rPr>
            </w:pPr>
            <w:r w:rsidRPr="00D227B8">
              <w:rPr>
                <w:color w:val="000000"/>
              </w:rPr>
              <w:t>11,23</w:t>
            </w:r>
          </w:p>
        </w:tc>
        <w:tc>
          <w:tcPr>
            <w:tcW w:w="1216" w:type="dxa"/>
            <w:tcBorders>
              <w:top w:val="nil"/>
              <w:left w:val="nil"/>
              <w:bottom w:val="nil"/>
              <w:right w:val="single" w:sz="8" w:space="0" w:color="auto"/>
            </w:tcBorders>
            <w:shd w:val="clear" w:color="auto" w:fill="auto"/>
            <w:vAlign w:val="center"/>
            <w:hideMark/>
          </w:tcPr>
          <w:p w14:paraId="4EC83D09" w14:textId="77777777" w:rsidR="00D227B8" w:rsidRPr="00D227B8" w:rsidRDefault="00D227B8" w:rsidP="00D227B8">
            <w:pPr>
              <w:jc w:val="center"/>
              <w:rPr>
                <w:color w:val="000000"/>
              </w:rPr>
            </w:pPr>
            <w:r w:rsidRPr="00D227B8">
              <w:rPr>
                <w:color w:val="000000"/>
              </w:rPr>
              <w:t>9,45</w:t>
            </w:r>
          </w:p>
        </w:tc>
        <w:tc>
          <w:tcPr>
            <w:tcW w:w="1216" w:type="dxa"/>
            <w:tcBorders>
              <w:top w:val="nil"/>
              <w:left w:val="nil"/>
              <w:bottom w:val="nil"/>
              <w:right w:val="nil"/>
            </w:tcBorders>
            <w:shd w:val="clear" w:color="auto" w:fill="auto"/>
            <w:vAlign w:val="center"/>
            <w:hideMark/>
          </w:tcPr>
          <w:p w14:paraId="72DA5B82" w14:textId="77777777" w:rsidR="00D227B8" w:rsidRPr="00D227B8" w:rsidRDefault="00D227B8" w:rsidP="00D227B8">
            <w:pPr>
              <w:jc w:val="center"/>
              <w:rPr>
                <w:color w:val="000000"/>
              </w:rPr>
            </w:pPr>
            <w:r w:rsidRPr="00D227B8">
              <w:rPr>
                <w:color w:val="000000"/>
              </w:rPr>
              <w:t>1,007</w:t>
            </w:r>
          </w:p>
        </w:tc>
      </w:tr>
      <w:tr w:rsidR="00D227B8" w:rsidRPr="00D227B8" w14:paraId="0414A3F7" w14:textId="77777777" w:rsidTr="00D227B8">
        <w:trPr>
          <w:divId w:val="319778179"/>
          <w:trHeight w:val="315"/>
          <w:jc w:val="center"/>
        </w:trPr>
        <w:tc>
          <w:tcPr>
            <w:tcW w:w="1592" w:type="dxa"/>
            <w:tcBorders>
              <w:top w:val="nil"/>
              <w:left w:val="nil"/>
              <w:bottom w:val="single" w:sz="8" w:space="0" w:color="auto"/>
              <w:right w:val="single" w:sz="8" w:space="0" w:color="auto"/>
            </w:tcBorders>
            <w:shd w:val="clear" w:color="auto" w:fill="auto"/>
            <w:vAlign w:val="center"/>
            <w:hideMark/>
          </w:tcPr>
          <w:p w14:paraId="0BF83BE3" w14:textId="77777777" w:rsidR="00D227B8" w:rsidRPr="00D227B8" w:rsidRDefault="00D227B8" w:rsidP="00D227B8">
            <w:pPr>
              <w:jc w:val="center"/>
              <w:rPr>
                <w:color w:val="000000"/>
              </w:rPr>
            </w:pPr>
            <w:r w:rsidRPr="00D227B8">
              <w:rPr>
                <w:color w:val="000000"/>
              </w:rPr>
              <w:t>LNPAL_15</w:t>
            </w:r>
          </w:p>
        </w:tc>
        <w:tc>
          <w:tcPr>
            <w:tcW w:w="1154" w:type="dxa"/>
            <w:tcBorders>
              <w:top w:val="nil"/>
              <w:left w:val="nil"/>
              <w:bottom w:val="single" w:sz="8" w:space="0" w:color="auto"/>
              <w:right w:val="single" w:sz="8" w:space="0" w:color="auto"/>
            </w:tcBorders>
            <w:shd w:val="clear" w:color="auto" w:fill="auto"/>
            <w:vAlign w:val="center"/>
            <w:hideMark/>
          </w:tcPr>
          <w:p w14:paraId="4D1E2644" w14:textId="77777777" w:rsidR="00D227B8" w:rsidRPr="00D227B8" w:rsidRDefault="00D227B8" w:rsidP="00D227B8">
            <w:pPr>
              <w:jc w:val="center"/>
              <w:rPr>
                <w:color w:val="000000"/>
              </w:rPr>
            </w:pPr>
            <w:r w:rsidRPr="00D227B8">
              <w:rPr>
                <w:color w:val="000000"/>
              </w:rPr>
              <w:t>205</w:t>
            </w:r>
          </w:p>
        </w:tc>
        <w:tc>
          <w:tcPr>
            <w:tcW w:w="1159" w:type="dxa"/>
            <w:tcBorders>
              <w:top w:val="nil"/>
              <w:left w:val="nil"/>
              <w:bottom w:val="single" w:sz="8" w:space="0" w:color="auto"/>
              <w:right w:val="single" w:sz="8" w:space="0" w:color="auto"/>
            </w:tcBorders>
            <w:shd w:val="clear" w:color="auto" w:fill="auto"/>
            <w:vAlign w:val="center"/>
            <w:hideMark/>
          </w:tcPr>
          <w:p w14:paraId="18AEDE64" w14:textId="77777777" w:rsidR="00D227B8" w:rsidRPr="00D227B8" w:rsidRDefault="00D227B8" w:rsidP="00D227B8">
            <w:pPr>
              <w:jc w:val="center"/>
              <w:rPr>
                <w:color w:val="000000"/>
              </w:rPr>
            </w:pPr>
            <w:r w:rsidRPr="00D227B8">
              <w:rPr>
                <w:color w:val="000000"/>
              </w:rPr>
              <w:t>6,35</w:t>
            </w:r>
          </w:p>
        </w:tc>
        <w:tc>
          <w:tcPr>
            <w:tcW w:w="1179" w:type="dxa"/>
            <w:tcBorders>
              <w:top w:val="nil"/>
              <w:left w:val="nil"/>
              <w:bottom w:val="single" w:sz="8" w:space="0" w:color="auto"/>
              <w:right w:val="single" w:sz="8" w:space="0" w:color="auto"/>
            </w:tcBorders>
            <w:shd w:val="clear" w:color="auto" w:fill="auto"/>
            <w:vAlign w:val="center"/>
            <w:hideMark/>
          </w:tcPr>
          <w:p w14:paraId="07965416" w14:textId="77777777" w:rsidR="00D227B8" w:rsidRPr="00D227B8" w:rsidRDefault="00D227B8" w:rsidP="00D227B8">
            <w:pPr>
              <w:jc w:val="center"/>
              <w:rPr>
                <w:color w:val="000000"/>
              </w:rPr>
            </w:pPr>
            <w:r w:rsidRPr="00D227B8">
              <w:rPr>
                <w:color w:val="000000"/>
              </w:rPr>
              <w:t>11,59</w:t>
            </w:r>
          </w:p>
        </w:tc>
        <w:tc>
          <w:tcPr>
            <w:tcW w:w="1216" w:type="dxa"/>
            <w:tcBorders>
              <w:top w:val="nil"/>
              <w:left w:val="nil"/>
              <w:bottom w:val="single" w:sz="8" w:space="0" w:color="auto"/>
              <w:right w:val="single" w:sz="8" w:space="0" w:color="auto"/>
            </w:tcBorders>
            <w:shd w:val="clear" w:color="auto" w:fill="auto"/>
            <w:vAlign w:val="center"/>
            <w:hideMark/>
          </w:tcPr>
          <w:p w14:paraId="2D24747C" w14:textId="77777777" w:rsidR="00D227B8" w:rsidRPr="00D227B8" w:rsidRDefault="00D227B8" w:rsidP="00D227B8">
            <w:pPr>
              <w:jc w:val="center"/>
              <w:rPr>
                <w:color w:val="000000"/>
              </w:rPr>
            </w:pPr>
            <w:r w:rsidRPr="00D227B8">
              <w:rPr>
                <w:color w:val="000000"/>
              </w:rPr>
              <w:t>9,401</w:t>
            </w:r>
          </w:p>
        </w:tc>
        <w:tc>
          <w:tcPr>
            <w:tcW w:w="1216" w:type="dxa"/>
            <w:tcBorders>
              <w:top w:val="nil"/>
              <w:left w:val="nil"/>
              <w:bottom w:val="single" w:sz="8" w:space="0" w:color="auto"/>
              <w:right w:val="nil"/>
            </w:tcBorders>
            <w:shd w:val="clear" w:color="auto" w:fill="auto"/>
            <w:vAlign w:val="center"/>
            <w:hideMark/>
          </w:tcPr>
          <w:p w14:paraId="6A957E21" w14:textId="77777777" w:rsidR="00D227B8" w:rsidRPr="00D227B8" w:rsidRDefault="00D227B8" w:rsidP="00D227B8">
            <w:pPr>
              <w:jc w:val="center"/>
              <w:rPr>
                <w:color w:val="000000"/>
              </w:rPr>
            </w:pPr>
            <w:r w:rsidRPr="00D227B8">
              <w:rPr>
                <w:color w:val="000000"/>
              </w:rPr>
              <w:t>0,979</w:t>
            </w:r>
          </w:p>
        </w:tc>
      </w:tr>
      <w:tr w:rsidR="00D227B8" w:rsidRPr="00D227B8" w14:paraId="5B720730" w14:textId="77777777" w:rsidTr="00D227B8">
        <w:trPr>
          <w:divId w:val="319778179"/>
          <w:trHeight w:val="300"/>
          <w:jc w:val="center"/>
        </w:trPr>
        <w:tc>
          <w:tcPr>
            <w:tcW w:w="1592" w:type="dxa"/>
            <w:tcBorders>
              <w:top w:val="nil"/>
              <w:left w:val="nil"/>
              <w:bottom w:val="nil"/>
              <w:right w:val="single" w:sz="8" w:space="0" w:color="auto"/>
            </w:tcBorders>
            <w:shd w:val="clear" w:color="auto" w:fill="auto"/>
            <w:vAlign w:val="center"/>
            <w:hideMark/>
          </w:tcPr>
          <w:p w14:paraId="26E2E464" w14:textId="77777777" w:rsidR="00D227B8" w:rsidRPr="00D227B8" w:rsidRDefault="00D227B8" w:rsidP="00D227B8">
            <w:pPr>
              <w:jc w:val="center"/>
              <w:rPr>
                <w:color w:val="000000"/>
              </w:rPr>
            </w:pPr>
            <w:r w:rsidRPr="00D227B8">
              <w:rPr>
                <w:color w:val="000000"/>
              </w:rPr>
              <w:t>FLF 2005</w:t>
            </w:r>
          </w:p>
        </w:tc>
        <w:tc>
          <w:tcPr>
            <w:tcW w:w="1154" w:type="dxa"/>
            <w:tcBorders>
              <w:top w:val="nil"/>
              <w:left w:val="nil"/>
              <w:bottom w:val="nil"/>
              <w:right w:val="single" w:sz="8" w:space="0" w:color="auto"/>
            </w:tcBorders>
            <w:shd w:val="clear" w:color="auto" w:fill="auto"/>
            <w:vAlign w:val="center"/>
            <w:hideMark/>
          </w:tcPr>
          <w:p w14:paraId="6960A9DD" w14:textId="77777777" w:rsidR="00D227B8" w:rsidRPr="00D227B8" w:rsidRDefault="00D227B8" w:rsidP="00D227B8">
            <w:pPr>
              <w:jc w:val="center"/>
              <w:rPr>
                <w:color w:val="000000"/>
              </w:rPr>
            </w:pPr>
            <w:r w:rsidRPr="00D227B8">
              <w:rPr>
                <w:color w:val="000000"/>
              </w:rPr>
              <w:t>205</w:t>
            </w:r>
          </w:p>
        </w:tc>
        <w:tc>
          <w:tcPr>
            <w:tcW w:w="1159" w:type="dxa"/>
            <w:tcBorders>
              <w:top w:val="nil"/>
              <w:left w:val="nil"/>
              <w:bottom w:val="nil"/>
              <w:right w:val="single" w:sz="8" w:space="0" w:color="auto"/>
            </w:tcBorders>
            <w:shd w:val="clear" w:color="auto" w:fill="auto"/>
            <w:vAlign w:val="center"/>
            <w:hideMark/>
          </w:tcPr>
          <w:p w14:paraId="3C6185D0" w14:textId="77777777" w:rsidR="00D227B8" w:rsidRPr="00D227B8" w:rsidRDefault="00D227B8" w:rsidP="00D227B8">
            <w:pPr>
              <w:jc w:val="center"/>
              <w:rPr>
                <w:color w:val="000000"/>
              </w:rPr>
            </w:pPr>
            <w:r w:rsidRPr="00D227B8">
              <w:rPr>
                <w:color w:val="000000"/>
              </w:rPr>
              <w:t>1,37</w:t>
            </w:r>
          </w:p>
        </w:tc>
        <w:tc>
          <w:tcPr>
            <w:tcW w:w="1179" w:type="dxa"/>
            <w:tcBorders>
              <w:top w:val="nil"/>
              <w:left w:val="nil"/>
              <w:bottom w:val="nil"/>
              <w:right w:val="single" w:sz="8" w:space="0" w:color="auto"/>
            </w:tcBorders>
            <w:shd w:val="clear" w:color="auto" w:fill="auto"/>
            <w:vAlign w:val="center"/>
            <w:hideMark/>
          </w:tcPr>
          <w:p w14:paraId="04574014" w14:textId="77777777" w:rsidR="00D227B8" w:rsidRPr="00D227B8" w:rsidRDefault="00D227B8" w:rsidP="00D227B8">
            <w:pPr>
              <w:jc w:val="center"/>
              <w:rPr>
                <w:color w:val="000000"/>
              </w:rPr>
            </w:pPr>
            <w:r w:rsidRPr="00D227B8">
              <w:rPr>
                <w:color w:val="000000"/>
              </w:rPr>
              <w:t>35,09</w:t>
            </w:r>
          </w:p>
        </w:tc>
        <w:tc>
          <w:tcPr>
            <w:tcW w:w="1216" w:type="dxa"/>
            <w:tcBorders>
              <w:top w:val="nil"/>
              <w:left w:val="nil"/>
              <w:bottom w:val="nil"/>
              <w:right w:val="single" w:sz="8" w:space="0" w:color="auto"/>
            </w:tcBorders>
            <w:shd w:val="clear" w:color="auto" w:fill="auto"/>
            <w:vAlign w:val="center"/>
            <w:hideMark/>
          </w:tcPr>
          <w:p w14:paraId="2241E5A2" w14:textId="77777777" w:rsidR="00D227B8" w:rsidRPr="00D227B8" w:rsidRDefault="00D227B8" w:rsidP="00D227B8">
            <w:pPr>
              <w:jc w:val="center"/>
              <w:rPr>
                <w:color w:val="000000"/>
              </w:rPr>
            </w:pPr>
            <w:r w:rsidRPr="00D227B8">
              <w:rPr>
                <w:color w:val="000000"/>
              </w:rPr>
              <w:t>17,825</w:t>
            </w:r>
          </w:p>
        </w:tc>
        <w:tc>
          <w:tcPr>
            <w:tcW w:w="1216" w:type="dxa"/>
            <w:tcBorders>
              <w:top w:val="nil"/>
              <w:left w:val="nil"/>
              <w:bottom w:val="nil"/>
              <w:right w:val="nil"/>
            </w:tcBorders>
            <w:shd w:val="clear" w:color="auto" w:fill="auto"/>
            <w:vAlign w:val="center"/>
            <w:hideMark/>
          </w:tcPr>
          <w:p w14:paraId="55132B54" w14:textId="77777777" w:rsidR="00D227B8" w:rsidRPr="00D227B8" w:rsidRDefault="00D227B8" w:rsidP="00D227B8">
            <w:pPr>
              <w:jc w:val="center"/>
              <w:rPr>
                <w:color w:val="000000"/>
              </w:rPr>
            </w:pPr>
            <w:r w:rsidRPr="00D227B8">
              <w:rPr>
                <w:color w:val="000000"/>
              </w:rPr>
              <w:t>5,456</w:t>
            </w:r>
          </w:p>
        </w:tc>
      </w:tr>
      <w:tr w:rsidR="00D227B8" w:rsidRPr="00D227B8" w14:paraId="57DEC420" w14:textId="77777777" w:rsidTr="00D227B8">
        <w:trPr>
          <w:divId w:val="319778179"/>
          <w:trHeight w:val="300"/>
          <w:jc w:val="center"/>
        </w:trPr>
        <w:tc>
          <w:tcPr>
            <w:tcW w:w="1592" w:type="dxa"/>
            <w:tcBorders>
              <w:top w:val="nil"/>
              <w:left w:val="nil"/>
              <w:bottom w:val="nil"/>
              <w:right w:val="single" w:sz="8" w:space="0" w:color="auto"/>
            </w:tcBorders>
            <w:shd w:val="clear" w:color="auto" w:fill="auto"/>
            <w:vAlign w:val="center"/>
            <w:hideMark/>
          </w:tcPr>
          <w:p w14:paraId="408A95D4" w14:textId="77777777" w:rsidR="00D227B8" w:rsidRPr="00D227B8" w:rsidRDefault="00D227B8" w:rsidP="00D227B8">
            <w:pPr>
              <w:jc w:val="center"/>
              <w:rPr>
                <w:color w:val="000000"/>
              </w:rPr>
            </w:pPr>
            <w:r w:rsidRPr="00D227B8">
              <w:rPr>
                <w:color w:val="000000"/>
              </w:rPr>
              <w:t>FLF 2010</w:t>
            </w:r>
          </w:p>
        </w:tc>
        <w:tc>
          <w:tcPr>
            <w:tcW w:w="1154" w:type="dxa"/>
            <w:tcBorders>
              <w:top w:val="nil"/>
              <w:left w:val="nil"/>
              <w:bottom w:val="nil"/>
              <w:right w:val="single" w:sz="8" w:space="0" w:color="auto"/>
            </w:tcBorders>
            <w:shd w:val="clear" w:color="auto" w:fill="auto"/>
            <w:vAlign w:val="center"/>
            <w:hideMark/>
          </w:tcPr>
          <w:p w14:paraId="1FA2B43E" w14:textId="77777777" w:rsidR="00D227B8" w:rsidRPr="00D227B8" w:rsidRDefault="00D227B8" w:rsidP="00D227B8">
            <w:pPr>
              <w:jc w:val="center"/>
              <w:rPr>
                <w:color w:val="000000"/>
              </w:rPr>
            </w:pPr>
            <w:r w:rsidRPr="00D227B8">
              <w:rPr>
                <w:color w:val="000000"/>
              </w:rPr>
              <w:t>205</w:t>
            </w:r>
          </w:p>
        </w:tc>
        <w:tc>
          <w:tcPr>
            <w:tcW w:w="1159" w:type="dxa"/>
            <w:tcBorders>
              <w:top w:val="nil"/>
              <w:left w:val="nil"/>
              <w:bottom w:val="nil"/>
              <w:right w:val="single" w:sz="8" w:space="0" w:color="auto"/>
            </w:tcBorders>
            <w:shd w:val="clear" w:color="auto" w:fill="auto"/>
            <w:vAlign w:val="center"/>
            <w:hideMark/>
          </w:tcPr>
          <w:p w14:paraId="3FE97A47" w14:textId="77777777" w:rsidR="00D227B8" w:rsidRPr="00D227B8" w:rsidRDefault="00D227B8" w:rsidP="00D227B8">
            <w:pPr>
              <w:jc w:val="center"/>
              <w:rPr>
                <w:color w:val="000000"/>
              </w:rPr>
            </w:pPr>
            <w:r w:rsidRPr="00D227B8">
              <w:rPr>
                <w:color w:val="000000"/>
              </w:rPr>
              <w:t>4,68</w:t>
            </w:r>
          </w:p>
        </w:tc>
        <w:tc>
          <w:tcPr>
            <w:tcW w:w="1179" w:type="dxa"/>
            <w:tcBorders>
              <w:top w:val="nil"/>
              <w:left w:val="nil"/>
              <w:bottom w:val="nil"/>
              <w:right w:val="single" w:sz="8" w:space="0" w:color="auto"/>
            </w:tcBorders>
            <w:shd w:val="clear" w:color="auto" w:fill="auto"/>
            <w:vAlign w:val="center"/>
            <w:hideMark/>
          </w:tcPr>
          <w:p w14:paraId="7B04C1C4" w14:textId="77777777" w:rsidR="00D227B8" w:rsidRPr="00D227B8" w:rsidRDefault="00D227B8" w:rsidP="00D227B8">
            <w:pPr>
              <w:jc w:val="center"/>
              <w:rPr>
                <w:color w:val="000000"/>
              </w:rPr>
            </w:pPr>
            <w:r w:rsidRPr="00D227B8">
              <w:rPr>
                <w:color w:val="000000"/>
              </w:rPr>
              <w:t>26,23</w:t>
            </w:r>
          </w:p>
        </w:tc>
        <w:tc>
          <w:tcPr>
            <w:tcW w:w="1216" w:type="dxa"/>
            <w:tcBorders>
              <w:top w:val="nil"/>
              <w:left w:val="nil"/>
              <w:bottom w:val="nil"/>
              <w:right w:val="single" w:sz="8" w:space="0" w:color="auto"/>
            </w:tcBorders>
            <w:shd w:val="clear" w:color="auto" w:fill="auto"/>
            <w:vAlign w:val="center"/>
            <w:hideMark/>
          </w:tcPr>
          <w:p w14:paraId="008A8374" w14:textId="77777777" w:rsidR="00D227B8" w:rsidRPr="00D227B8" w:rsidRDefault="00D227B8" w:rsidP="00D227B8">
            <w:pPr>
              <w:jc w:val="center"/>
              <w:rPr>
                <w:color w:val="000000"/>
              </w:rPr>
            </w:pPr>
            <w:r w:rsidRPr="00D227B8">
              <w:rPr>
                <w:color w:val="000000"/>
              </w:rPr>
              <w:t>15,568</w:t>
            </w:r>
          </w:p>
        </w:tc>
        <w:tc>
          <w:tcPr>
            <w:tcW w:w="1216" w:type="dxa"/>
            <w:tcBorders>
              <w:top w:val="nil"/>
              <w:left w:val="nil"/>
              <w:bottom w:val="nil"/>
              <w:right w:val="nil"/>
            </w:tcBorders>
            <w:shd w:val="clear" w:color="auto" w:fill="auto"/>
            <w:vAlign w:val="center"/>
            <w:hideMark/>
          </w:tcPr>
          <w:p w14:paraId="5CE1A75F" w14:textId="77777777" w:rsidR="00D227B8" w:rsidRPr="00D227B8" w:rsidRDefault="00D227B8" w:rsidP="00D227B8">
            <w:pPr>
              <w:jc w:val="center"/>
              <w:rPr>
                <w:color w:val="000000"/>
              </w:rPr>
            </w:pPr>
            <w:r w:rsidRPr="00D227B8">
              <w:rPr>
                <w:color w:val="000000"/>
              </w:rPr>
              <w:t>3,556</w:t>
            </w:r>
          </w:p>
        </w:tc>
      </w:tr>
      <w:tr w:rsidR="00D227B8" w:rsidRPr="00D227B8" w14:paraId="4C8BA5A6" w14:textId="77777777" w:rsidTr="00D227B8">
        <w:trPr>
          <w:divId w:val="319778179"/>
          <w:trHeight w:val="315"/>
          <w:jc w:val="center"/>
        </w:trPr>
        <w:tc>
          <w:tcPr>
            <w:tcW w:w="1592" w:type="dxa"/>
            <w:tcBorders>
              <w:top w:val="nil"/>
              <w:left w:val="nil"/>
              <w:bottom w:val="single" w:sz="8" w:space="0" w:color="auto"/>
              <w:right w:val="single" w:sz="8" w:space="0" w:color="auto"/>
            </w:tcBorders>
            <w:shd w:val="clear" w:color="auto" w:fill="auto"/>
            <w:vAlign w:val="center"/>
            <w:hideMark/>
          </w:tcPr>
          <w:p w14:paraId="1816D20D" w14:textId="77777777" w:rsidR="00D227B8" w:rsidRPr="00D227B8" w:rsidRDefault="00D227B8" w:rsidP="00D227B8">
            <w:pPr>
              <w:jc w:val="center"/>
              <w:rPr>
                <w:color w:val="000000"/>
              </w:rPr>
            </w:pPr>
            <w:r w:rsidRPr="00D227B8">
              <w:rPr>
                <w:color w:val="000000"/>
              </w:rPr>
              <w:t>FLF 2015</w:t>
            </w:r>
          </w:p>
        </w:tc>
        <w:tc>
          <w:tcPr>
            <w:tcW w:w="1154" w:type="dxa"/>
            <w:tcBorders>
              <w:top w:val="nil"/>
              <w:left w:val="nil"/>
              <w:bottom w:val="single" w:sz="8" w:space="0" w:color="auto"/>
              <w:right w:val="single" w:sz="8" w:space="0" w:color="auto"/>
            </w:tcBorders>
            <w:shd w:val="clear" w:color="auto" w:fill="auto"/>
            <w:vAlign w:val="center"/>
            <w:hideMark/>
          </w:tcPr>
          <w:p w14:paraId="3E84E8B5" w14:textId="77777777" w:rsidR="00D227B8" w:rsidRPr="00D227B8" w:rsidRDefault="00D227B8" w:rsidP="00D227B8">
            <w:pPr>
              <w:jc w:val="center"/>
              <w:rPr>
                <w:color w:val="000000"/>
              </w:rPr>
            </w:pPr>
            <w:r w:rsidRPr="00D227B8">
              <w:rPr>
                <w:color w:val="000000"/>
              </w:rPr>
              <w:t>205</w:t>
            </w:r>
          </w:p>
        </w:tc>
        <w:tc>
          <w:tcPr>
            <w:tcW w:w="1159" w:type="dxa"/>
            <w:tcBorders>
              <w:top w:val="nil"/>
              <w:left w:val="nil"/>
              <w:bottom w:val="single" w:sz="8" w:space="0" w:color="auto"/>
              <w:right w:val="single" w:sz="8" w:space="0" w:color="auto"/>
            </w:tcBorders>
            <w:shd w:val="clear" w:color="auto" w:fill="auto"/>
            <w:vAlign w:val="center"/>
            <w:hideMark/>
          </w:tcPr>
          <w:p w14:paraId="0BE03323" w14:textId="77777777" w:rsidR="00D227B8" w:rsidRPr="00D227B8" w:rsidRDefault="00D227B8" w:rsidP="00D227B8">
            <w:pPr>
              <w:jc w:val="center"/>
              <w:rPr>
                <w:color w:val="000000"/>
              </w:rPr>
            </w:pPr>
            <w:r w:rsidRPr="00D227B8">
              <w:rPr>
                <w:color w:val="000000"/>
              </w:rPr>
              <w:t>6,56</w:t>
            </w:r>
          </w:p>
        </w:tc>
        <w:tc>
          <w:tcPr>
            <w:tcW w:w="1179" w:type="dxa"/>
            <w:tcBorders>
              <w:top w:val="nil"/>
              <w:left w:val="nil"/>
              <w:bottom w:val="single" w:sz="8" w:space="0" w:color="auto"/>
              <w:right w:val="single" w:sz="8" w:space="0" w:color="auto"/>
            </w:tcBorders>
            <w:shd w:val="clear" w:color="auto" w:fill="auto"/>
            <w:vAlign w:val="center"/>
            <w:hideMark/>
          </w:tcPr>
          <w:p w14:paraId="33166EDA" w14:textId="77777777" w:rsidR="00D227B8" w:rsidRPr="00D227B8" w:rsidRDefault="00D227B8" w:rsidP="00D227B8">
            <w:pPr>
              <w:jc w:val="center"/>
              <w:rPr>
                <w:color w:val="000000"/>
              </w:rPr>
            </w:pPr>
            <w:r w:rsidRPr="00D227B8">
              <w:rPr>
                <w:color w:val="000000"/>
              </w:rPr>
              <w:t>26,59</w:t>
            </w:r>
          </w:p>
        </w:tc>
        <w:tc>
          <w:tcPr>
            <w:tcW w:w="1216" w:type="dxa"/>
            <w:tcBorders>
              <w:top w:val="nil"/>
              <w:left w:val="nil"/>
              <w:bottom w:val="single" w:sz="8" w:space="0" w:color="auto"/>
              <w:right w:val="single" w:sz="8" w:space="0" w:color="auto"/>
            </w:tcBorders>
            <w:shd w:val="clear" w:color="auto" w:fill="auto"/>
            <w:vAlign w:val="center"/>
            <w:hideMark/>
          </w:tcPr>
          <w:p w14:paraId="7EA77051" w14:textId="77777777" w:rsidR="00D227B8" w:rsidRPr="00D227B8" w:rsidRDefault="00D227B8" w:rsidP="00D227B8">
            <w:pPr>
              <w:jc w:val="center"/>
              <w:rPr>
                <w:color w:val="000000"/>
              </w:rPr>
            </w:pPr>
            <w:r w:rsidRPr="00D227B8">
              <w:rPr>
                <w:color w:val="000000"/>
              </w:rPr>
              <w:t>15,589</w:t>
            </w:r>
          </w:p>
        </w:tc>
        <w:tc>
          <w:tcPr>
            <w:tcW w:w="1216" w:type="dxa"/>
            <w:tcBorders>
              <w:top w:val="nil"/>
              <w:left w:val="nil"/>
              <w:bottom w:val="single" w:sz="8" w:space="0" w:color="auto"/>
              <w:right w:val="nil"/>
            </w:tcBorders>
            <w:shd w:val="clear" w:color="auto" w:fill="auto"/>
            <w:vAlign w:val="center"/>
            <w:hideMark/>
          </w:tcPr>
          <w:p w14:paraId="788CCC6F" w14:textId="77777777" w:rsidR="00D227B8" w:rsidRPr="00D227B8" w:rsidRDefault="00D227B8" w:rsidP="00D227B8">
            <w:pPr>
              <w:jc w:val="center"/>
              <w:rPr>
                <w:color w:val="000000"/>
              </w:rPr>
            </w:pPr>
            <w:r w:rsidRPr="00D227B8">
              <w:rPr>
                <w:color w:val="000000"/>
              </w:rPr>
              <w:t>3,297</w:t>
            </w:r>
          </w:p>
        </w:tc>
      </w:tr>
      <w:tr w:rsidR="00D227B8" w:rsidRPr="00D227B8" w14:paraId="61A15C0A" w14:textId="77777777" w:rsidTr="00D227B8">
        <w:trPr>
          <w:divId w:val="319778179"/>
          <w:trHeight w:val="315"/>
          <w:jc w:val="center"/>
        </w:trPr>
        <w:tc>
          <w:tcPr>
            <w:tcW w:w="7518" w:type="dxa"/>
            <w:gridSpan w:val="6"/>
            <w:tcBorders>
              <w:top w:val="nil"/>
              <w:left w:val="nil"/>
              <w:bottom w:val="single" w:sz="12" w:space="0" w:color="000000"/>
              <w:right w:val="nil"/>
            </w:tcBorders>
            <w:shd w:val="clear" w:color="auto" w:fill="auto"/>
            <w:vAlign w:val="center"/>
            <w:hideMark/>
          </w:tcPr>
          <w:p w14:paraId="245EBDBA" w14:textId="77777777" w:rsidR="00D227B8" w:rsidRPr="00D227B8" w:rsidRDefault="00D227B8" w:rsidP="00D227B8">
            <w:pPr>
              <w:jc w:val="center"/>
              <w:rPr>
                <w:b/>
                <w:bCs/>
                <w:color w:val="000000"/>
              </w:rPr>
            </w:pPr>
            <w:r w:rsidRPr="00D227B8">
              <w:rPr>
                <w:b/>
                <w:bCs/>
                <w:color w:val="000000"/>
              </w:rPr>
              <w:t>Painel B - variações do Indice de Flesh</w:t>
            </w:r>
          </w:p>
        </w:tc>
      </w:tr>
      <w:tr w:rsidR="00D227B8" w:rsidRPr="00D227B8" w14:paraId="4675D509" w14:textId="77777777" w:rsidTr="00D227B8">
        <w:trPr>
          <w:divId w:val="319778179"/>
          <w:trHeight w:val="315"/>
          <w:jc w:val="center"/>
        </w:trPr>
        <w:tc>
          <w:tcPr>
            <w:tcW w:w="1592" w:type="dxa"/>
            <w:vMerge w:val="restart"/>
            <w:tcBorders>
              <w:top w:val="nil"/>
              <w:left w:val="nil"/>
              <w:bottom w:val="single" w:sz="12" w:space="0" w:color="000000"/>
              <w:right w:val="single" w:sz="12" w:space="0" w:color="000000"/>
            </w:tcBorders>
            <w:shd w:val="clear" w:color="auto" w:fill="auto"/>
            <w:vAlign w:val="bottom"/>
            <w:hideMark/>
          </w:tcPr>
          <w:p w14:paraId="0654D2D0" w14:textId="77777777" w:rsidR="00D227B8" w:rsidRPr="00D227B8" w:rsidRDefault="00D227B8" w:rsidP="00D227B8">
            <w:pPr>
              <w:rPr>
                <w:color w:val="000000"/>
              </w:rPr>
            </w:pPr>
            <w:r w:rsidRPr="00D227B8">
              <w:rPr>
                <w:color w:val="000000"/>
              </w:rPr>
              <w:t xml:space="preserve">Indice de Flesh </w:t>
            </w:r>
          </w:p>
        </w:tc>
        <w:tc>
          <w:tcPr>
            <w:tcW w:w="1154" w:type="dxa"/>
            <w:vMerge w:val="restart"/>
            <w:tcBorders>
              <w:top w:val="nil"/>
              <w:left w:val="single" w:sz="12" w:space="0" w:color="000000"/>
              <w:bottom w:val="single" w:sz="12" w:space="0" w:color="000000"/>
              <w:right w:val="single" w:sz="12" w:space="0" w:color="000000"/>
            </w:tcBorders>
            <w:shd w:val="clear" w:color="auto" w:fill="auto"/>
            <w:vAlign w:val="bottom"/>
            <w:hideMark/>
          </w:tcPr>
          <w:p w14:paraId="7F282D9B" w14:textId="77777777" w:rsidR="00D227B8" w:rsidRPr="00D227B8" w:rsidRDefault="00D227B8" w:rsidP="00D227B8">
            <w:pPr>
              <w:jc w:val="center"/>
              <w:rPr>
                <w:color w:val="000000"/>
              </w:rPr>
            </w:pPr>
            <w:r w:rsidRPr="00D227B8">
              <w:rPr>
                <w:color w:val="000000"/>
              </w:rPr>
              <w:t xml:space="preserve">Mínimo </w:t>
            </w:r>
          </w:p>
        </w:tc>
        <w:tc>
          <w:tcPr>
            <w:tcW w:w="1159" w:type="dxa"/>
            <w:vMerge w:val="restart"/>
            <w:tcBorders>
              <w:top w:val="nil"/>
              <w:left w:val="single" w:sz="12" w:space="0" w:color="000000"/>
              <w:bottom w:val="single" w:sz="12" w:space="0" w:color="000000"/>
              <w:right w:val="single" w:sz="12" w:space="0" w:color="000000"/>
            </w:tcBorders>
            <w:shd w:val="clear" w:color="auto" w:fill="auto"/>
            <w:vAlign w:val="bottom"/>
            <w:hideMark/>
          </w:tcPr>
          <w:p w14:paraId="436A8E6A" w14:textId="77777777" w:rsidR="00D227B8" w:rsidRPr="00D227B8" w:rsidRDefault="00D227B8" w:rsidP="00D227B8">
            <w:pPr>
              <w:jc w:val="center"/>
              <w:rPr>
                <w:color w:val="000000"/>
              </w:rPr>
            </w:pPr>
            <w:r w:rsidRPr="00D227B8">
              <w:rPr>
                <w:color w:val="000000"/>
              </w:rPr>
              <w:t xml:space="preserve">Máximo </w:t>
            </w:r>
          </w:p>
        </w:tc>
        <w:tc>
          <w:tcPr>
            <w:tcW w:w="3611" w:type="dxa"/>
            <w:gridSpan w:val="3"/>
            <w:tcBorders>
              <w:top w:val="single" w:sz="12" w:space="0" w:color="000000"/>
              <w:left w:val="nil"/>
              <w:bottom w:val="single" w:sz="4" w:space="0" w:color="000000"/>
              <w:right w:val="nil"/>
            </w:tcBorders>
            <w:shd w:val="clear" w:color="auto" w:fill="auto"/>
            <w:vAlign w:val="bottom"/>
            <w:hideMark/>
          </w:tcPr>
          <w:p w14:paraId="69E66321" w14:textId="77777777" w:rsidR="00D227B8" w:rsidRPr="00D227B8" w:rsidRDefault="00D227B8" w:rsidP="00D227B8">
            <w:pPr>
              <w:jc w:val="center"/>
              <w:rPr>
                <w:color w:val="000000"/>
              </w:rPr>
            </w:pPr>
            <w:r w:rsidRPr="00D227B8">
              <w:rPr>
                <w:color w:val="000000"/>
              </w:rPr>
              <w:t xml:space="preserve">Quartil </w:t>
            </w:r>
          </w:p>
        </w:tc>
      </w:tr>
      <w:tr w:rsidR="00D227B8" w:rsidRPr="00D227B8" w14:paraId="169C98FC" w14:textId="77777777" w:rsidTr="00D227B8">
        <w:trPr>
          <w:divId w:val="319778179"/>
          <w:trHeight w:val="315"/>
          <w:jc w:val="center"/>
        </w:trPr>
        <w:tc>
          <w:tcPr>
            <w:tcW w:w="1592" w:type="dxa"/>
            <w:vMerge/>
            <w:tcBorders>
              <w:top w:val="nil"/>
              <w:left w:val="nil"/>
              <w:bottom w:val="single" w:sz="12" w:space="0" w:color="000000"/>
              <w:right w:val="single" w:sz="12" w:space="0" w:color="000000"/>
            </w:tcBorders>
            <w:vAlign w:val="center"/>
            <w:hideMark/>
          </w:tcPr>
          <w:p w14:paraId="317A9143" w14:textId="77777777" w:rsidR="00D227B8" w:rsidRPr="00D227B8" w:rsidRDefault="00D227B8" w:rsidP="00D227B8">
            <w:pPr>
              <w:rPr>
                <w:color w:val="000000"/>
              </w:rPr>
            </w:pPr>
          </w:p>
        </w:tc>
        <w:tc>
          <w:tcPr>
            <w:tcW w:w="1154" w:type="dxa"/>
            <w:vMerge/>
            <w:tcBorders>
              <w:top w:val="nil"/>
              <w:left w:val="single" w:sz="12" w:space="0" w:color="000000"/>
              <w:bottom w:val="single" w:sz="12" w:space="0" w:color="000000"/>
              <w:right w:val="single" w:sz="12" w:space="0" w:color="000000"/>
            </w:tcBorders>
            <w:vAlign w:val="center"/>
            <w:hideMark/>
          </w:tcPr>
          <w:p w14:paraId="46238CC2" w14:textId="77777777" w:rsidR="00D227B8" w:rsidRPr="00D227B8" w:rsidRDefault="00D227B8" w:rsidP="00D227B8">
            <w:pPr>
              <w:rPr>
                <w:color w:val="000000"/>
              </w:rPr>
            </w:pPr>
          </w:p>
        </w:tc>
        <w:tc>
          <w:tcPr>
            <w:tcW w:w="1159" w:type="dxa"/>
            <w:vMerge/>
            <w:tcBorders>
              <w:top w:val="nil"/>
              <w:left w:val="single" w:sz="12" w:space="0" w:color="000000"/>
              <w:bottom w:val="single" w:sz="12" w:space="0" w:color="000000"/>
              <w:right w:val="single" w:sz="12" w:space="0" w:color="000000"/>
            </w:tcBorders>
            <w:vAlign w:val="center"/>
            <w:hideMark/>
          </w:tcPr>
          <w:p w14:paraId="5CDBCB03" w14:textId="77777777" w:rsidR="00D227B8" w:rsidRPr="00D227B8" w:rsidRDefault="00D227B8" w:rsidP="00D227B8">
            <w:pPr>
              <w:rPr>
                <w:color w:val="000000"/>
              </w:rPr>
            </w:pPr>
          </w:p>
        </w:tc>
        <w:tc>
          <w:tcPr>
            <w:tcW w:w="1179" w:type="dxa"/>
            <w:tcBorders>
              <w:top w:val="nil"/>
              <w:left w:val="nil"/>
              <w:bottom w:val="single" w:sz="12" w:space="0" w:color="000000"/>
              <w:right w:val="single" w:sz="4" w:space="0" w:color="000000"/>
            </w:tcBorders>
            <w:shd w:val="clear" w:color="auto" w:fill="auto"/>
            <w:noWrap/>
            <w:vAlign w:val="bottom"/>
            <w:hideMark/>
          </w:tcPr>
          <w:p w14:paraId="77081870" w14:textId="77777777" w:rsidR="00D227B8" w:rsidRPr="00D227B8" w:rsidRDefault="00D227B8" w:rsidP="00D227B8">
            <w:pPr>
              <w:jc w:val="center"/>
              <w:rPr>
                <w:color w:val="000000"/>
              </w:rPr>
            </w:pPr>
            <w:r w:rsidRPr="00D227B8">
              <w:rPr>
                <w:color w:val="000000"/>
              </w:rPr>
              <w:t>25</w:t>
            </w:r>
          </w:p>
        </w:tc>
        <w:tc>
          <w:tcPr>
            <w:tcW w:w="1216" w:type="dxa"/>
            <w:tcBorders>
              <w:top w:val="nil"/>
              <w:left w:val="nil"/>
              <w:bottom w:val="single" w:sz="12" w:space="0" w:color="000000"/>
              <w:right w:val="single" w:sz="4" w:space="0" w:color="000000"/>
            </w:tcBorders>
            <w:shd w:val="clear" w:color="auto" w:fill="auto"/>
            <w:noWrap/>
            <w:vAlign w:val="bottom"/>
            <w:hideMark/>
          </w:tcPr>
          <w:p w14:paraId="0C9E858A" w14:textId="77777777" w:rsidR="00D227B8" w:rsidRPr="00D227B8" w:rsidRDefault="00D227B8" w:rsidP="00D227B8">
            <w:pPr>
              <w:jc w:val="center"/>
              <w:rPr>
                <w:color w:val="000000"/>
              </w:rPr>
            </w:pPr>
            <w:r w:rsidRPr="00D227B8">
              <w:rPr>
                <w:color w:val="000000"/>
              </w:rPr>
              <w:t>50</w:t>
            </w:r>
          </w:p>
        </w:tc>
        <w:tc>
          <w:tcPr>
            <w:tcW w:w="1216" w:type="dxa"/>
            <w:tcBorders>
              <w:top w:val="nil"/>
              <w:left w:val="nil"/>
              <w:bottom w:val="single" w:sz="12" w:space="0" w:color="000000"/>
              <w:right w:val="nil"/>
            </w:tcBorders>
            <w:shd w:val="clear" w:color="auto" w:fill="auto"/>
            <w:noWrap/>
            <w:vAlign w:val="bottom"/>
            <w:hideMark/>
          </w:tcPr>
          <w:p w14:paraId="3875B48F" w14:textId="77777777" w:rsidR="00D227B8" w:rsidRPr="00D227B8" w:rsidRDefault="00D227B8" w:rsidP="00D227B8">
            <w:pPr>
              <w:jc w:val="center"/>
              <w:rPr>
                <w:color w:val="000000"/>
              </w:rPr>
            </w:pPr>
            <w:r w:rsidRPr="00D227B8">
              <w:rPr>
                <w:color w:val="000000"/>
              </w:rPr>
              <w:t>75</w:t>
            </w:r>
          </w:p>
        </w:tc>
      </w:tr>
      <w:tr w:rsidR="00D227B8" w:rsidRPr="00D227B8" w14:paraId="362C9B4F" w14:textId="77777777" w:rsidTr="00D227B8">
        <w:trPr>
          <w:divId w:val="319778179"/>
          <w:trHeight w:val="315"/>
          <w:jc w:val="center"/>
        </w:trPr>
        <w:tc>
          <w:tcPr>
            <w:tcW w:w="1592" w:type="dxa"/>
            <w:tcBorders>
              <w:top w:val="nil"/>
              <w:left w:val="nil"/>
              <w:bottom w:val="nil"/>
              <w:right w:val="single" w:sz="12" w:space="0" w:color="000000"/>
            </w:tcBorders>
            <w:shd w:val="clear" w:color="auto" w:fill="auto"/>
            <w:hideMark/>
          </w:tcPr>
          <w:p w14:paraId="10A5B685" w14:textId="77777777" w:rsidR="00D227B8" w:rsidRPr="00D227B8" w:rsidRDefault="00D227B8" w:rsidP="00D227B8">
            <w:pPr>
              <w:rPr>
                <w:color w:val="000000"/>
              </w:rPr>
            </w:pPr>
            <w:r w:rsidRPr="00D227B8">
              <w:rPr>
                <w:color w:val="000000"/>
              </w:rPr>
              <w:t>FLF 2005</w:t>
            </w:r>
          </w:p>
        </w:tc>
        <w:tc>
          <w:tcPr>
            <w:tcW w:w="1154" w:type="dxa"/>
            <w:tcBorders>
              <w:top w:val="nil"/>
              <w:left w:val="nil"/>
              <w:bottom w:val="nil"/>
              <w:right w:val="single" w:sz="8" w:space="0" w:color="auto"/>
            </w:tcBorders>
            <w:shd w:val="clear" w:color="auto" w:fill="auto"/>
            <w:vAlign w:val="center"/>
            <w:hideMark/>
          </w:tcPr>
          <w:p w14:paraId="4057BDEB" w14:textId="77777777" w:rsidR="00D227B8" w:rsidRPr="00D227B8" w:rsidRDefault="00D227B8" w:rsidP="00D227B8">
            <w:pPr>
              <w:jc w:val="center"/>
              <w:rPr>
                <w:color w:val="000000"/>
              </w:rPr>
            </w:pPr>
            <w:r w:rsidRPr="00D227B8">
              <w:rPr>
                <w:color w:val="000000"/>
              </w:rPr>
              <w:t>1,37</w:t>
            </w:r>
          </w:p>
        </w:tc>
        <w:tc>
          <w:tcPr>
            <w:tcW w:w="1159" w:type="dxa"/>
            <w:tcBorders>
              <w:top w:val="nil"/>
              <w:left w:val="nil"/>
              <w:bottom w:val="nil"/>
              <w:right w:val="single" w:sz="8" w:space="0" w:color="auto"/>
            </w:tcBorders>
            <w:shd w:val="clear" w:color="auto" w:fill="auto"/>
            <w:vAlign w:val="center"/>
            <w:hideMark/>
          </w:tcPr>
          <w:p w14:paraId="011DC3A8" w14:textId="77777777" w:rsidR="00D227B8" w:rsidRPr="00D227B8" w:rsidRDefault="00D227B8" w:rsidP="00D227B8">
            <w:pPr>
              <w:jc w:val="center"/>
              <w:rPr>
                <w:color w:val="000000"/>
              </w:rPr>
            </w:pPr>
            <w:r w:rsidRPr="00D227B8">
              <w:rPr>
                <w:color w:val="000000"/>
              </w:rPr>
              <w:t>35,09</w:t>
            </w:r>
          </w:p>
        </w:tc>
        <w:tc>
          <w:tcPr>
            <w:tcW w:w="1179" w:type="dxa"/>
            <w:tcBorders>
              <w:top w:val="nil"/>
              <w:left w:val="single" w:sz="12" w:space="0" w:color="000000"/>
              <w:bottom w:val="nil"/>
              <w:right w:val="single" w:sz="4" w:space="0" w:color="000000"/>
            </w:tcBorders>
            <w:shd w:val="clear" w:color="auto" w:fill="auto"/>
            <w:noWrap/>
            <w:vAlign w:val="center"/>
            <w:hideMark/>
          </w:tcPr>
          <w:p w14:paraId="6DE7AAFE" w14:textId="77777777" w:rsidR="00D227B8" w:rsidRPr="00D227B8" w:rsidRDefault="00D227B8" w:rsidP="00D227B8">
            <w:pPr>
              <w:jc w:val="right"/>
              <w:rPr>
                <w:color w:val="000000"/>
              </w:rPr>
            </w:pPr>
            <w:r w:rsidRPr="00D227B8">
              <w:rPr>
                <w:color w:val="000000"/>
              </w:rPr>
              <w:t>14,2</w:t>
            </w:r>
          </w:p>
        </w:tc>
        <w:tc>
          <w:tcPr>
            <w:tcW w:w="1216" w:type="dxa"/>
            <w:tcBorders>
              <w:top w:val="nil"/>
              <w:left w:val="nil"/>
              <w:bottom w:val="nil"/>
              <w:right w:val="single" w:sz="4" w:space="0" w:color="000000"/>
            </w:tcBorders>
            <w:shd w:val="clear" w:color="auto" w:fill="auto"/>
            <w:noWrap/>
            <w:vAlign w:val="center"/>
            <w:hideMark/>
          </w:tcPr>
          <w:p w14:paraId="6B97BD7F" w14:textId="77777777" w:rsidR="00D227B8" w:rsidRPr="00D227B8" w:rsidRDefault="00D227B8" w:rsidP="00D227B8">
            <w:pPr>
              <w:jc w:val="right"/>
              <w:rPr>
                <w:color w:val="000000"/>
              </w:rPr>
            </w:pPr>
            <w:r w:rsidRPr="00D227B8">
              <w:rPr>
                <w:color w:val="000000"/>
              </w:rPr>
              <w:t>17,3</w:t>
            </w:r>
          </w:p>
        </w:tc>
        <w:tc>
          <w:tcPr>
            <w:tcW w:w="1216" w:type="dxa"/>
            <w:tcBorders>
              <w:top w:val="nil"/>
              <w:left w:val="nil"/>
              <w:bottom w:val="nil"/>
              <w:right w:val="nil"/>
            </w:tcBorders>
            <w:shd w:val="clear" w:color="auto" w:fill="auto"/>
            <w:noWrap/>
            <w:vAlign w:val="center"/>
            <w:hideMark/>
          </w:tcPr>
          <w:p w14:paraId="374D93D1" w14:textId="77777777" w:rsidR="00D227B8" w:rsidRPr="00D227B8" w:rsidRDefault="00D227B8" w:rsidP="00D227B8">
            <w:pPr>
              <w:jc w:val="right"/>
              <w:rPr>
                <w:color w:val="000000"/>
              </w:rPr>
            </w:pPr>
            <w:r w:rsidRPr="00D227B8">
              <w:rPr>
                <w:color w:val="000000"/>
              </w:rPr>
              <w:t>21,1</w:t>
            </w:r>
          </w:p>
        </w:tc>
      </w:tr>
      <w:tr w:rsidR="00D227B8" w:rsidRPr="00D227B8" w14:paraId="3FDDB4B8" w14:textId="77777777" w:rsidTr="00D227B8">
        <w:trPr>
          <w:divId w:val="319778179"/>
          <w:trHeight w:val="300"/>
          <w:jc w:val="center"/>
        </w:trPr>
        <w:tc>
          <w:tcPr>
            <w:tcW w:w="1592" w:type="dxa"/>
            <w:tcBorders>
              <w:top w:val="nil"/>
              <w:left w:val="nil"/>
              <w:bottom w:val="nil"/>
              <w:right w:val="single" w:sz="12" w:space="0" w:color="000000"/>
            </w:tcBorders>
            <w:shd w:val="clear" w:color="auto" w:fill="auto"/>
            <w:hideMark/>
          </w:tcPr>
          <w:p w14:paraId="684EEC21" w14:textId="77777777" w:rsidR="00D227B8" w:rsidRPr="00D227B8" w:rsidRDefault="00D227B8" w:rsidP="00D227B8">
            <w:pPr>
              <w:rPr>
                <w:color w:val="000000"/>
              </w:rPr>
            </w:pPr>
            <w:r w:rsidRPr="00D227B8">
              <w:rPr>
                <w:color w:val="000000"/>
              </w:rPr>
              <w:t>FLF 2010</w:t>
            </w:r>
          </w:p>
        </w:tc>
        <w:tc>
          <w:tcPr>
            <w:tcW w:w="1154" w:type="dxa"/>
            <w:tcBorders>
              <w:top w:val="nil"/>
              <w:left w:val="nil"/>
              <w:bottom w:val="nil"/>
              <w:right w:val="single" w:sz="8" w:space="0" w:color="auto"/>
            </w:tcBorders>
            <w:shd w:val="clear" w:color="auto" w:fill="auto"/>
            <w:vAlign w:val="center"/>
            <w:hideMark/>
          </w:tcPr>
          <w:p w14:paraId="36C5A44D" w14:textId="77777777" w:rsidR="00D227B8" w:rsidRPr="00D227B8" w:rsidRDefault="00D227B8" w:rsidP="00D227B8">
            <w:pPr>
              <w:jc w:val="center"/>
              <w:rPr>
                <w:color w:val="000000"/>
              </w:rPr>
            </w:pPr>
            <w:r w:rsidRPr="00D227B8">
              <w:rPr>
                <w:color w:val="000000"/>
              </w:rPr>
              <w:t>4,68</w:t>
            </w:r>
          </w:p>
        </w:tc>
        <w:tc>
          <w:tcPr>
            <w:tcW w:w="1159" w:type="dxa"/>
            <w:tcBorders>
              <w:top w:val="nil"/>
              <w:left w:val="nil"/>
              <w:bottom w:val="nil"/>
              <w:right w:val="single" w:sz="8" w:space="0" w:color="auto"/>
            </w:tcBorders>
            <w:shd w:val="clear" w:color="auto" w:fill="auto"/>
            <w:vAlign w:val="center"/>
            <w:hideMark/>
          </w:tcPr>
          <w:p w14:paraId="573CF08B" w14:textId="77777777" w:rsidR="00D227B8" w:rsidRPr="00D227B8" w:rsidRDefault="00D227B8" w:rsidP="00D227B8">
            <w:pPr>
              <w:jc w:val="center"/>
              <w:rPr>
                <w:color w:val="000000"/>
              </w:rPr>
            </w:pPr>
            <w:r w:rsidRPr="00D227B8">
              <w:rPr>
                <w:color w:val="000000"/>
              </w:rPr>
              <w:t>26,23</w:t>
            </w:r>
          </w:p>
        </w:tc>
        <w:tc>
          <w:tcPr>
            <w:tcW w:w="1179" w:type="dxa"/>
            <w:tcBorders>
              <w:top w:val="nil"/>
              <w:left w:val="single" w:sz="12" w:space="0" w:color="000000"/>
              <w:bottom w:val="nil"/>
              <w:right w:val="single" w:sz="4" w:space="0" w:color="000000"/>
            </w:tcBorders>
            <w:shd w:val="clear" w:color="auto" w:fill="auto"/>
            <w:noWrap/>
            <w:vAlign w:val="center"/>
            <w:hideMark/>
          </w:tcPr>
          <w:p w14:paraId="57E4E4C7" w14:textId="77777777" w:rsidR="00D227B8" w:rsidRPr="00D227B8" w:rsidRDefault="00D227B8" w:rsidP="00D227B8">
            <w:pPr>
              <w:jc w:val="right"/>
              <w:rPr>
                <w:color w:val="000000"/>
              </w:rPr>
            </w:pPr>
            <w:r w:rsidRPr="00D227B8">
              <w:rPr>
                <w:color w:val="000000"/>
              </w:rPr>
              <w:t>13,3</w:t>
            </w:r>
          </w:p>
        </w:tc>
        <w:tc>
          <w:tcPr>
            <w:tcW w:w="1216" w:type="dxa"/>
            <w:tcBorders>
              <w:top w:val="nil"/>
              <w:left w:val="nil"/>
              <w:bottom w:val="nil"/>
              <w:right w:val="single" w:sz="4" w:space="0" w:color="000000"/>
            </w:tcBorders>
            <w:shd w:val="clear" w:color="auto" w:fill="auto"/>
            <w:noWrap/>
            <w:vAlign w:val="center"/>
            <w:hideMark/>
          </w:tcPr>
          <w:p w14:paraId="03298FCC" w14:textId="77777777" w:rsidR="00D227B8" w:rsidRPr="00D227B8" w:rsidRDefault="00D227B8" w:rsidP="00D227B8">
            <w:pPr>
              <w:jc w:val="right"/>
              <w:rPr>
                <w:color w:val="000000"/>
              </w:rPr>
            </w:pPr>
            <w:r w:rsidRPr="00D227B8">
              <w:rPr>
                <w:color w:val="000000"/>
              </w:rPr>
              <w:t>15,4</w:t>
            </w:r>
          </w:p>
        </w:tc>
        <w:tc>
          <w:tcPr>
            <w:tcW w:w="1216" w:type="dxa"/>
            <w:tcBorders>
              <w:top w:val="nil"/>
              <w:left w:val="nil"/>
              <w:bottom w:val="nil"/>
              <w:right w:val="nil"/>
            </w:tcBorders>
            <w:shd w:val="clear" w:color="auto" w:fill="auto"/>
            <w:noWrap/>
            <w:vAlign w:val="center"/>
            <w:hideMark/>
          </w:tcPr>
          <w:p w14:paraId="6C7E2EFE" w14:textId="77777777" w:rsidR="00D227B8" w:rsidRPr="00D227B8" w:rsidRDefault="00D227B8" w:rsidP="00D227B8">
            <w:pPr>
              <w:jc w:val="right"/>
              <w:rPr>
                <w:color w:val="000000"/>
              </w:rPr>
            </w:pPr>
            <w:r w:rsidRPr="00D227B8">
              <w:rPr>
                <w:color w:val="000000"/>
              </w:rPr>
              <w:t>17,6</w:t>
            </w:r>
          </w:p>
        </w:tc>
      </w:tr>
      <w:tr w:rsidR="00D227B8" w:rsidRPr="00D227B8" w14:paraId="65D53435" w14:textId="77777777" w:rsidTr="00D227B8">
        <w:trPr>
          <w:divId w:val="319778179"/>
          <w:trHeight w:val="315"/>
          <w:jc w:val="center"/>
        </w:trPr>
        <w:tc>
          <w:tcPr>
            <w:tcW w:w="1592" w:type="dxa"/>
            <w:tcBorders>
              <w:top w:val="nil"/>
              <w:left w:val="nil"/>
              <w:bottom w:val="single" w:sz="8" w:space="0" w:color="000000"/>
              <w:right w:val="single" w:sz="12" w:space="0" w:color="000000"/>
            </w:tcBorders>
            <w:shd w:val="clear" w:color="auto" w:fill="auto"/>
            <w:hideMark/>
          </w:tcPr>
          <w:p w14:paraId="376ADDB9" w14:textId="77777777" w:rsidR="00D227B8" w:rsidRPr="00D227B8" w:rsidRDefault="00D227B8" w:rsidP="00D227B8">
            <w:pPr>
              <w:rPr>
                <w:color w:val="000000"/>
              </w:rPr>
            </w:pPr>
            <w:r w:rsidRPr="00D227B8">
              <w:rPr>
                <w:color w:val="000000"/>
              </w:rPr>
              <w:t>FLF 2015</w:t>
            </w:r>
          </w:p>
        </w:tc>
        <w:tc>
          <w:tcPr>
            <w:tcW w:w="1154" w:type="dxa"/>
            <w:tcBorders>
              <w:top w:val="nil"/>
              <w:left w:val="nil"/>
              <w:bottom w:val="single" w:sz="8" w:space="0" w:color="auto"/>
              <w:right w:val="single" w:sz="8" w:space="0" w:color="auto"/>
            </w:tcBorders>
            <w:shd w:val="clear" w:color="auto" w:fill="auto"/>
            <w:vAlign w:val="center"/>
            <w:hideMark/>
          </w:tcPr>
          <w:p w14:paraId="19C8C4BF" w14:textId="77777777" w:rsidR="00D227B8" w:rsidRPr="00D227B8" w:rsidRDefault="00D227B8" w:rsidP="00D227B8">
            <w:pPr>
              <w:jc w:val="center"/>
              <w:rPr>
                <w:color w:val="000000"/>
              </w:rPr>
            </w:pPr>
            <w:r w:rsidRPr="00D227B8">
              <w:rPr>
                <w:color w:val="000000"/>
              </w:rPr>
              <w:t>6,56</w:t>
            </w:r>
          </w:p>
        </w:tc>
        <w:tc>
          <w:tcPr>
            <w:tcW w:w="1159" w:type="dxa"/>
            <w:tcBorders>
              <w:top w:val="nil"/>
              <w:left w:val="nil"/>
              <w:bottom w:val="single" w:sz="8" w:space="0" w:color="auto"/>
              <w:right w:val="single" w:sz="8" w:space="0" w:color="auto"/>
            </w:tcBorders>
            <w:shd w:val="clear" w:color="auto" w:fill="auto"/>
            <w:vAlign w:val="center"/>
            <w:hideMark/>
          </w:tcPr>
          <w:p w14:paraId="46309240" w14:textId="77777777" w:rsidR="00D227B8" w:rsidRPr="00D227B8" w:rsidRDefault="00D227B8" w:rsidP="00D227B8">
            <w:pPr>
              <w:jc w:val="center"/>
              <w:rPr>
                <w:color w:val="000000"/>
              </w:rPr>
            </w:pPr>
            <w:r w:rsidRPr="00D227B8">
              <w:rPr>
                <w:color w:val="000000"/>
              </w:rPr>
              <w:t>26,59</w:t>
            </w:r>
          </w:p>
        </w:tc>
        <w:tc>
          <w:tcPr>
            <w:tcW w:w="1179" w:type="dxa"/>
            <w:tcBorders>
              <w:top w:val="nil"/>
              <w:left w:val="single" w:sz="12" w:space="0" w:color="000000"/>
              <w:bottom w:val="single" w:sz="8" w:space="0" w:color="000000"/>
              <w:right w:val="single" w:sz="4" w:space="0" w:color="000000"/>
            </w:tcBorders>
            <w:shd w:val="clear" w:color="auto" w:fill="auto"/>
            <w:noWrap/>
            <w:vAlign w:val="center"/>
            <w:hideMark/>
          </w:tcPr>
          <w:p w14:paraId="50678A4C" w14:textId="77777777" w:rsidR="00D227B8" w:rsidRPr="00D227B8" w:rsidRDefault="00D227B8" w:rsidP="00D227B8">
            <w:pPr>
              <w:jc w:val="right"/>
              <w:rPr>
                <w:color w:val="000000"/>
              </w:rPr>
            </w:pPr>
            <w:r w:rsidRPr="00D227B8">
              <w:rPr>
                <w:color w:val="000000"/>
              </w:rPr>
              <w:t>13,3</w:t>
            </w:r>
          </w:p>
        </w:tc>
        <w:tc>
          <w:tcPr>
            <w:tcW w:w="1216" w:type="dxa"/>
            <w:tcBorders>
              <w:top w:val="nil"/>
              <w:left w:val="nil"/>
              <w:bottom w:val="single" w:sz="8" w:space="0" w:color="000000"/>
              <w:right w:val="single" w:sz="4" w:space="0" w:color="000000"/>
            </w:tcBorders>
            <w:shd w:val="clear" w:color="auto" w:fill="auto"/>
            <w:noWrap/>
            <w:vAlign w:val="center"/>
            <w:hideMark/>
          </w:tcPr>
          <w:p w14:paraId="2F3178C7" w14:textId="77777777" w:rsidR="00D227B8" w:rsidRPr="00D227B8" w:rsidRDefault="00D227B8" w:rsidP="00D227B8">
            <w:pPr>
              <w:jc w:val="right"/>
              <w:rPr>
                <w:color w:val="000000"/>
              </w:rPr>
            </w:pPr>
            <w:r w:rsidRPr="00D227B8">
              <w:rPr>
                <w:color w:val="000000"/>
              </w:rPr>
              <w:t>15,8</w:t>
            </w:r>
          </w:p>
        </w:tc>
        <w:tc>
          <w:tcPr>
            <w:tcW w:w="1216" w:type="dxa"/>
            <w:tcBorders>
              <w:top w:val="nil"/>
              <w:left w:val="nil"/>
              <w:bottom w:val="single" w:sz="8" w:space="0" w:color="000000"/>
              <w:right w:val="nil"/>
            </w:tcBorders>
            <w:shd w:val="clear" w:color="auto" w:fill="auto"/>
            <w:noWrap/>
            <w:vAlign w:val="center"/>
            <w:hideMark/>
          </w:tcPr>
          <w:p w14:paraId="17F324BD" w14:textId="77777777" w:rsidR="00D227B8" w:rsidRPr="00D227B8" w:rsidRDefault="00D227B8" w:rsidP="00D227B8">
            <w:pPr>
              <w:jc w:val="right"/>
              <w:rPr>
                <w:color w:val="000000"/>
              </w:rPr>
            </w:pPr>
            <w:r w:rsidRPr="00D227B8">
              <w:rPr>
                <w:color w:val="000000"/>
              </w:rPr>
              <w:t>17,7</w:t>
            </w:r>
          </w:p>
        </w:tc>
      </w:tr>
    </w:tbl>
    <w:p w14:paraId="6C312C19" w14:textId="77777777" w:rsidR="0039002B" w:rsidRDefault="0039002B" w:rsidP="0039002B">
      <w:pPr>
        <w:tabs>
          <w:tab w:val="left" w:pos="5147"/>
        </w:tabs>
        <w:autoSpaceDE w:val="0"/>
        <w:autoSpaceDN w:val="0"/>
        <w:adjustRightInd w:val="0"/>
        <w:spacing w:before="120"/>
        <w:ind w:firstLine="709"/>
        <w:jc w:val="both"/>
        <w:rPr>
          <w:color w:val="000000" w:themeColor="text1"/>
          <w:sz w:val="24"/>
          <w:szCs w:val="24"/>
        </w:rPr>
      </w:pPr>
      <w:r>
        <w:rPr>
          <w:color w:val="000000" w:themeColor="text1"/>
        </w:rPr>
        <w:fldChar w:fldCharType="end"/>
      </w:r>
      <w:r w:rsidRPr="007C5EBD">
        <w:rPr>
          <w:color w:val="000000" w:themeColor="text1"/>
          <w:sz w:val="24"/>
          <w:szCs w:val="24"/>
        </w:rPr>
        <w:t>A hipótese nula de H1 pre</w:t>
      </w:r>
      <w:r>
        <w:rPr>
          <w:color w:val="000000" w:themeColor="text1"/>
          <w:sz w:val="24"/>
          <w:szCs w:val="24"/>
        </w:rPr>
        <w:t>vê que não existe</w:t>
      </w:r>
      <w:r w:rsidRPr="007C5EBD">
        <w:rPr>
          <w:color w:val="000000" w:themeColor="text1"/>
          <w:sz w:val="24"/>
          <w:szCs w:val="24"/>
        </w:rPr>
        <w:t xml:space="preserve"> diferença</w:t>
      </w:r>
      <w:r>
        <w:rPr>
          <w:color w:val="000000" w:themeColor="text1"/>
          <w:sz w:val="24"/>
          <w:szCs w:val="24"/>
        </w:rPr>
        <w:t xml:space="preserve"> estatisticamente significativa</w:t>
      </w:r>
      <w:r w:rsidRPr="007C5EBD">
        <w:rPr>
          <w:color w:val="000000" w:themeColor="text1"/>
          <w:sz w:val="24"/>
          <w:szCs w:val="24"/>
        </w:rPr>
        <w:t xml:space="preserve"> entre a </w:t>
      </w:r>
      <w:r>
        <w:rPr>
          <w:color w:val="000000" w:themeColor="text1"/>
          <w:sz w:val="24"/>
          <w:szCs w:val="24"/>
        </w:rPr>
        <w:t xml:space="preserve">média das métricas de </w:t>
      </w:r>
      <w:r w:rsidRPr="007C5EBD">
        <w:rPr>
          <w:color w:val="000000" w:themeColor="text1"/>
          <w:sz w:val="24"/>
          <w:szCs w:val="24"/>
        </w:rPr>
        <w:t xml:space="preserve">legibilidade nos períodos de estudo. </w:t>
      </w:r>
      <w:r>
        <w:rPr>
          <w:color w:val="000000" w:themeColor="text1"/>
          <w:sz w:val="24"/>
          <w:szCs w:val="24"/>
        </w:rPr>
        <w:t xml:space="preserve">Como o interesse é confirmar diferenças entre os períodos de maneira comparativa, de forma a evidenciar possível impacto da adoção das normas internacionais de contabilidade sobre as métricas de legibilidade, os testes foram realizados para as médias aos pares (2005-2010; 2010-2015; 2005-2015). Na tabela 3 são reportados os resultados dos testes uni e bicaudal para os pares em todas as métricas. </w:t>
      </w:r>
    </w:p>
    <w:p w14:paraId="3575A734" w14:textId="6083907D" w:rsidR="0039002B" w:rsidRDefault="0039002B" w:rsidP="0039002B">
      <w:pPr>
        <w:tabs>
          <w:tab w:val="left" w:pos="5147"/>
        </w:tabs>
        <w:autoSpaceDE w:val="0"/>
        <w:autoSpaceDN w:val="0"/>
        <w:adjustRightInd w:val="0"/>
        <w:ind w:firstLine="709"/>
        <w:jc w:val="both"/>
        <w:rPr>
          <w:color w:val="000000" w:themeColor="text1"/>
          <w:sz w:val="24"/>
          <w:szCs w:val="24"/>
        </w:rPr>
      </w:pPr>
      <w:r>
        <w:rPr>
          <w:color w:val="000000" w:themeColor="text1"/>
          <w:sz w:val="24"/>
          <w:szCs w:val="24"/>
        </w:rPr>
        <w:t>Para a métrica PAG</w:t>
      </w:r>
      <w:r w:rsidR="00C747CE">
        <w:rPr>
          <w:color w:val="000000" w:themeColor="text1"/>
          <w:sz w:val="24"/>
          <w:szCs w:val="24"/>
        </w:rPr>
        <w:t xml:space="preserve"> </w:t>
      </w:r>
      <w:r>
        <w:rPr>
          <w:color w:val="000000" w:themeColor="text1"/>
          <w:sz w:val="24"/>
          <w:szCs w:val="24"/>
        </w:rPr>
        <w:t>(2005,2010,2015) e LNPAG</w:t>
      </w:r>
      <w:r w:rsidR="00C747CE">
        <w:rPr>
          <w:color w:val="000000" w:themeColor="text1"/>
          <w:sz w:val="24"/>
          <w:szCs w:val="24"/>
        </w:rPr>
        <w:t xml:space="preserve"> </w:t>
      </w:r>
      <w:r>
        <w:rPr>
          <w:color w:val="000000" w:themeColor="text1"/>
          <w:sz w:val="24"/>
          <w:szCs w:val="24"/>
        </w:rPr>
        <w:t xml:space="preserve">(2005,2010,2015), pode-se observar </w:t>
      </w:r>
      <w:r w:rsidRPr="007C5EBD">
        <w:rPr>
          <w:color w:val="000000" w:themeColor="text1"/>
          <w:sz w:val="24"/>
          <w:szCs w:val="24"/>
        </w:rPr>
        <w:t xml:space="preserve">significância do teste </w:t>
      </w:r>
      <w:r>
        <w:rPr>
          <w:color w:val="000000" w:themeColor="text1"/>
          <w:sz w:val="24"/>
          <w:szCs w:val="24"/>
        </w:rPr>
        <w:t xml:space="preserve">bicaudal </w:t>
      </w:r>
      <w:r w:rsidRPr="007C5EBD">
        <w:rPr>
          <w:color w:val="000000" w:themeColor="text1"/>
          <w:sz w:val="24"/>
          <w:szCs w:val="24"/>
        </w:rPr>
        <w:t>(p-valor &lt;0,0</w:t>
      </w:r>
      <w:r>
        <w:rPr>
          <w:color w:val="000000" w:themeColor="text1"/>
          <w:sz w:val="24"/>
          <w:szCs w:val="24"/>
        </w:rPr>
        <w:t>1</w:t>
      </w:r>
      <w:r w:rsidRPr="007C5EBD">
        <w:rPr>
          <w:color w:val="000000" w:themeColor="text1"/>
          <w:sz w:val="24"/>
          <w:szCs w:val="24"/>
        </w:rPr>
        <w:t>)</w:t>
      </w:r>
      <w:r>
        <w:rPr>
          <w:color w:val="000000" w:themeColor="text1"/>
          <w:sz w:val="24"/>
          <w:szCs w:val="24"/>
        </w:rPr>
        <w:t xml:space="preserve"> e</w:t>
      </w:r>
      <w:r w:rsidR="00C747CE">
        <w:rPr>
          <w:color w:val="000000" w:themeColor="text1"/>
          <w:sz w:val="24"/>
          <w:szCs w:val="24"/>
        </w:rPr>
        <w:t>,</w:t>
      </w:r>
      <w:r>
        <w:rPr>
          <w:color w:val="000000" w:themeColor="text1"/>
          <w:sz w:val="24"/>
          <w:szCs w:val="24"/>
        </w:rPr>
        <w:t xml:space="preserve"> assim</w:t>
      </w:r>
      <w:r w:rsidR="00C747CE">
        <w:rPr>
          <w:color w:val="000000" w:themeColor="text1"/>
          <w:sz w:val="24"/>
          <w:szCs w:val="24"/>
        </w:rPr>
        <w:t>,</w:t>
      </w:r>
      <w:r>
        <w:rPr>
          <w:color w:val="000000" w:themeColor="text1"/>
          <w:sz w:val="24"/>
          <w:szCs w:val="24"/>
        </w:rPr>
        <w:t xml:space="preserve"> </w:t>
      </w:r>
      <w:r w:rsidRPr="007C5EBD">
        <w:rPr>
          <w:color w:val="000000" w:themeColor="text1"/>
          <w:sz w:val="24"/>
          <w:szCs w:val="24"/>
        </w:rPr>
        <w:t xml:space="preserve">rejeita-se a hipótese nula do teste de igualdade das </w:t>
      </w:r>
      <w:r>
        <w:rPr>
          <w:color w:val="000000" w:themeColor="text1"/>
          <w:sz w:val="24"/>
          <w:szCs w:val="24"/>
        </w:rPr>
        <w:t xml:space="preserve">diferenças de </w:t>
      </w:r>
      <w:r w:rsidRPr="007C5EBD">
        <w:rPr>
          <w:color w:val="000000" w:themeColor="text1"/>
          <w:sz w:val="24"/>
          <w:szCs w:val="24"/>
        </w:rPr>
        <w:t>médias das métricas de legibilidade para os períodos estudados</w:t>
      </w:r>
      <w:r>
        <w:rPr>
          <w:color w:val="000000" w:themeColor="text1"/>
          <w:sz w:val="24"/>
          <w:szCs w:val="24"/>
        </w:rPr>
        <w:t>. Pelo nível de significância estatística (p-valor &lt;0,01) para o teste unicaudal</w:t>
      </w:r>
      <w:r w:rsidR="00C747CE">
        <w:rPr>
          <w:color w:val="000000" w:themeColor="text1"/>
          <w:sz w:val="24"/>
          <w:szCs w:val="24"/>
        </w:rPr>
        <w:t>,</w:t>
      </w:r>
      <w:r>
        <w:rPr>
          <w:color w:val="000000" w:themeColor="text1"/>
          <w:sz w:val="24"/>
          <w:szCs w:val="24"/>
        </w:rPr>
        <w:t xml:space="preserve"> pode-se verificar que a média de ambas </w:t>
      </w:r>
      <w:r w:rsidR="00C22723">
        <w:rPr>
          <w:color w:val="000000" w:themeColor="text1"/>
          <w:sz w:val="24"/>
          <w:szCs w:val="24"/>
        </w:rPr>
        <w:t>as métricas são</w:t>
      </w:r>
      <w:r>
        <w:rPr>
          <w:color w:val="000000" w:themeColor="text1"/>
          <w:sz w:val="24"/>
          <w:szCs w:val="24"/>
        </w:rPr>
        <w:t xml:space="preserve"> menor</w:t>
      </w:r>
      <w:r w:rsidR="00C22723">
        <w:rPr>
          <w:color w:val="000000" w:themeColor="text1"/>
          <w:sz w:val="24"/>
          <w:szCs w:val="24"/>
        </w:rPr>
        <w:t>es</w:t>
      </w:r>
      <w:r>
        <w:rPr>
          <w:color w:val="000000" w:themeColor="text1"/>
          <w:sz w:val="24"/>
          <w:szCs w:val="24"/>
        </w:rPr>
        <w:t xml:space="preserve"> em 2005 quando comparada a 2010 e 2015; no ano de 2010 a média é maior que em 2015, indicando assim um impacto da adoção das normas </w:t>
      </w:r>
      <w:r>
        <w:rPr>
          <w:color w:val="000000" w:themeColor="text1"/>
          <w:sz w:val="24"/>
          <w:szCs w:val="24"/>
        </w:rPr>
        <w:lastRenderedPageBreak/>
        <w:t>internacionais, provocando um aumento no número de páginas das NEs, refletindo em aumento do</w:t>
      </w:r>
      <w:r w:rsidRPr="007C5EBD">
        <w:rPr>
          <w:color w:val="000000" w:themeColor="text1"/>
          <w:sz w:val="24"/>
          <w:szCs w:val="24"/>
        </w:rPr>
        <w:t xml:space="preserve"> nível de legibilidade das NEs das companhias brasileiras. </w:t>
      </w:r>
    </w:p>
    <w:p w14:paraId="7D9C53EC" w14:textId="7BA8C3E3" w:rsidR="0039002B" w:rsidRDefault="0039002B" w:rsidP="0039002B">
      <w:pPr>
        <w:tabs>
          <w:tab w:val="left" w:pos="5147"/>
        </w:tabs>
        <w:autoSpaceDE w:val="0"/>
        <w:autoSpaceDN w:val="0"/>
        <w:adjustRightInd w:val="0"/>
        <w:ind w:firstLine="709"/>
        <w:jc w:val="both"/>
        <w:rPr>
          <w:color w:val="000000" w:themeColor="text1"/>
          <w:sz w:val="24"/>
          <w:szCs w:val="24"/>
        </w:rPr>
      </w:pPr>
      <w:r>
        <w:rPr>
          <w:color w:val="000000" w:themeColor="text1"/>
          <w:sz w:val="24"/>
          <w:szCs w:val="24"/>
        </w:rPr>
        <w:t>A métrica PAL</w:t>
      </w:r>
      <w:r w:rsidR="00C747CE">
        <w:rPr>
          <w:color w:val="000000" w:themeColor="text1"/>
          <w:sz w:val="24"/>
          <w:szCs w:val="24"/>
        </w:rPr>
        <w:t xml:space="preserve"> </w:t>
      </w:r>
      <w:r>
        <w:rPr>
          <w:color w:val="000000" w:themeColor="text1"/>
          <w:sz w:val="24"/>
          <w:szCs w:val="24"/>
        </w:rPr>
        <w:t>(2005, 2010, 2015) e LNPAL</w:t>
      </w:r>
      <w:r w:rsidR="00C747CE">
        <w:rPr>
          <w:color w:val="000000" w:themeColor="text1"/>
          <w:sz w:val="24"/>
          <w:szCs w:val="24"/>
        </w:rPr>
        <w:t xml:space="preserve"> </w:t>
      </w:r>
      <w:r>
        <w:rPr>
          <w:color w:val="000000" w:themeColor="text1"/>
          <w:sz w:val="24"/>
          <w:szCs w:val="24"/>
        </w:rPr>
        <w:t xml:space="preserve">(2005, 2010 e 2015) tem comportamento similar ao da PAG e LNPAG, com exceção da comparação entre 2010 e 2015, que considerando um nível de significância de 5% (p-valor = 5%) não </w:t>
      </w:r>
      <w:r w:rsidR="00C747CE">
        <w:rPr>
          <w:color w:val="000000" w:themeColor="text1"/>
          <w:sz w:val="24"/>
          <w:szCs w:val="24"/>
        </w:rPr>
        <w:t xml:space="preserve">se </w:t>
      </w:r>
      <w:r>
        <w:rPr>
          <w:color w:val="000000" w:themeColor="text1"/>
          <w:sz w:val="24"/>
          <w:szCs w:val="24"/>
        </w:rPr>
        <w:t>rejeita a hipótese de igualdade das médias nesse período</w:t>
      </w:r>
      <w:r w:rsidR="00C747CE">
        <w:rPr>
          <w:color w:val="000000" w:themeColor="text1"/>
          <w:sz w:val="24"/>
          <w:szCs w:val="24"/>
        </w:rPr>
        <w:t>, i</w:t>
      </w:r>
      <w:r>
        <w:rPr>
          <w:color w:val="000000" w:themeColor="text1"/>
          <w:sz w:val="24"/>
          <w:szCs w:val="24"/>
        </w:rPr>
        <w:t xml:space="preserve">ndicando que a adoção das normas internacionais provocou um aumento no número de palavras utilizadas nas NEs e que após 2010 não houve alteração em média. A diferença de resultado entre o número de páginas dos relatórios e números de palavras pode advir do fato que em 2010 os relatórios necessitaram de mais páginas para reportar tabelas e quadros comparativos de adoção, que no ano de 2015 já não foram mais necessários. </w:t>
      </w:r>
    </w:p>
    <w:p w14:paraId="1F585FBA" w14:textId="77777777" w:rsidR="0039002B" w:rsidRDefault="0039002B" w:rsidP="0039002B">
      <w:pPr>
        <w:tabs>
          <w:tab w:val="left" w:pos="5147"/>
        </w:tabs>
        <w:autoSpaceDE w:val="0"/>
        <w:autoSpaceDN w:val="0"/>
        <w:adjustRightInd w:val="0"/>
        <w:spacing w:before="120"/>
        <w:ind w:firstLine="709"/>
        <w:jc w:val="center"/>
        <w:rPr>
          <w:color w:val="000000" w:themeColor="text1"/>
          <w:szCs w:val="24"/>
        </w:rPr>
      </w:pPr>
      <w:r w:rsidRPr="007C5EBD">
        <w:rPr>
          <w:color w:val="000000" w:themeColor="text1"/>
          <w:szCs w:val="24"/>
        </w:rPr>
        <w:t xml:space="preserve">Tabela </w:t>
      </w:r>
      <w:r>
        <w:rPr>
          <w:color w:val="000000" w:themeColor="text1"/>
          <w:szCs w:val="24"/>
        </w:rPr>
        <w:t>3</w:t>
      </w:r>
      <w:r w:rsidRPr="007C5EBD">
        <w:rPr>
          <w:color w:val="000000" w:themeColor="text1"/>
          <w:szCs w:val="24"/>
        </w:rPr>
        <w:t xml:space="preserve"> – Diferença de médias das métricas de legibilidade</w:t>
      </w:r>
    </w:p>
    <w:tbl>
      <w:tblPr>
        <w:tblW w:w="8677" w:type="dxa"/>
        <w:jc w:val="center"/>
        <w:tblCellMar>
          <w:left w:w="70" w:type="dxa"/>
          <w:right w:w="70" w:type="dxa"/>
        </w:tblCellMar>
        <w:tblLook w:val="04A0" w:firstRow="1" w:lastRow="0" w:firstColumn="1" w:lastColumn="0" w:noHBand="0" w:noVBand="1"/>
      </w:tblPr>
      <w:tblGrid>
        <w:gridCol w:w="840"/>
        <w:gridCol w:w="1451"/>
        <w:gridCol w:w="1166"/>
        <w:gridCol w:w="1232"/>
        <w:gridCol w:w="1260"/>
        <w:gridCol w:w="1336"/>
        <w:gridCol w:w="1392"/>
      </w:tblGrid>
      <w:tr w:rsidR="0039002B" w:rsidRPr="004B3462" w14:paraId="4083B8EC" w14:textId="77777777" w:rsidTr="005B1448">
        <w:trPr>
          <w:trHeight w:val="527"/>
          <w:jc w:val="center"/>
        </w:trPr>
        <w:tc>
          <w:tcPr>
            <w:tcW w:w="2291" w:type="dxa"/>
            <w:gridSpan w:val="2"/>
            <w:vMerge w:val="restart"/>
            <w:tcBorders>
              <w:top w:val="single" w:sz="12" w:space="0" w:color="000000"/>
              <w:left w:val="nil"/>
              <w:bottom w:val="single" w:sz="12" w:space="0" w:color="000000"/>
              <w:right w:val="single" w:sz="12" w:space="0" w:color="000000"/>
            </w:tcBorders>
            <w:shd w:val="clear" w:color="auto" w:fill="auto"/>
            <w:vAlign w:val="center"/>
            <w:hideMark/>
          </w:tcPr>
          <w:p w14:paraId="1C5D2D6D" w14:textId="77777777" w:rsidR="0039002B" w:rsidRPr="004B3462" w:rsidRDefault="0039002B" w:rsidP="005B1448">
            <w:pPr>
              <w:rPr>
                <w:color w:val="000000"/>
              </w:rPr>
            </w:pPr>
            <w:r w:rsidRPr="004B3462">
              <w:rPr>
                <w:color w:val="000000"/>
              </w:rPr>
              <w:t> </w:t>
            </w:r>
            <w:r>
              <w:rPr>
                <w:color w:val="000000"/>
              </w:rPr>
              <w:t xml:space="preserve">Medida de legibilidade </w:t>
            </w:r>
          </w:p>
        </w:tc>
        <w:tc>
          <w:tcPr>
            <w:tcW w:w="2398" w:type="dxa"/>
            <w:gridSpan w:val="2"/>
            <w:tcBorders>
              <w:top w:val="single" w:sz="12" w:space="0" w:color="000000"/>
              <w:left w:val="nil"/>
              <w:bottom w:val="single" w:sz="4" w:space="0" w:color="000000"/>
              <w:right w:val="single" w:sz="4" w:space="0" w:color="000000"/>
            </w:tcBorders>
            <w:shd w:val="clear" w:color="auto" w:fill="auto"/>
            <w:vAlign w:val="center"/>
            <w:hideMark/>
          </w:tcPr>
          <w:p w14:paraId="3DA473AF" w14:textId="77777777" w:rsidR="0039002B" w:rsidRPr="004B3462" w:rsidRDefault="0039002B" w:rsidP="005B1448">
            <w:pPr>
              <w:jc w:val="center"/>
              <w:rPr>
                <w:color w:val="000000"/>
              </w:rPr>
            </w:pPr>
            <w:r w:rsidRPr="004B3462">
              <w:rPr>
                <w:color w:val="000000"/>
              </w:rPr>
              <w:t>Diferenças emparelhadas</w:t>
            </w:r>
          </w:p>
        </w:tc>
        <w:tc>
          <w:tcPr>
            <w:tcW w:w="1260" w:type="dxa"/>
            <w:vMerge w:val="restart"/>
            <w:tcBorders>
              <w:top w:val="single" w:sz="12" w:space="0" w:color="000000"/>
              <w:left w:val="single" w:sz="4" w:space="0" w:color="000000"/>
              <w:bottom w:val="single" w:sz="12" w:space="0" w:color="000000"/>
              <w:right w:val="single" w:sz="4" w:space="0" w:color="000000"/>
            </w:tcBorders>
            <w:shd w:val="clear" w:color="auto" w:fill="auto"/>
            <w:vAlign w:val="center"/>
            <w:hideMark/>
          </w:tcPr>
          <w:p w14:paraId="68F6C62E" w14:textId="77777777" w:rsidR="0039002B" w:rsidRPr="004B3462" w:rsidRDefault="0039002B" w:rsidP="005B1448">
            <w:pPr>
              <w:jc w:val="center"/>
              <w:rPr>
                <w:color w:val="000000"/>
              </w:rPr>
            </w:pPr>
            <w:r w:rsidRPr="004B3462">
              <w:rPr>
                <w:color w:val="000000"/>
              </w:rPr>
              <w:t xml:space="preserve">Estatistica t </w:t>
            </w:r>
          </w:p>
        </w:tc>
        <w:tc>
          <w:tcPr>
            <w:tcW w:w="1336" w:type="dxa"/>
            <w:vMerge w:val="restart"/>
            <w:tcBorders>
              <w:top w:val="single" w:sz="12" w:space="0" w:color="000000"/>
              <w:left w:val="single" w:sz="4" w:space="0" w:color="000000"/>
              <w:bottom w:val="single" w:sz="12" w:space="0" w:color="000000"/>
              <w:right w:val="nil"/>
            </w:tcBorders>
            <w:shd w:val="clear" w:color="auto" w:fill="auto"/>
            <w:vAlign w:val="center"/>
            <w:hideMark/>
          </w:tcPr>
          <w:p w14:paraId="5E1DC919" w14:textId="77777777" w:rsidR="0039002B" w:rsidRPr="004B3462" w:rsidRDefault="0039002B" w:rsidP="005B1448">
            <w:pPr>
              <w:jc w:val="center"/>
              <w:rPr>
                <w:color w:val="000000"/>
              </w:rPr>
            </w:pPr>
            <w:r>
              <w:rPr>
                <w:color w:val="000000"/>
              </w:rPr>
              <w:t xml:space="preserve">P-valor </w:t>
            </w:r>
            <w:r w:rsidRPr="004B3462">
              <w:rPr>
                <w:color w:val="000000"/>
              </w:rPr>
              <w:t xml:space="preserve"> bicaudal </w:t>
            </w:r>
          </w:p>
        </w:tc>
        <w:tc>
          <w:tcPr>
            <w:tcW w:w="1392" w:type="dxa"/>
            <w:vMerge w:val="restart"/>
            <w:tcBorders>
              <w:top w:val="single" w:sz="12" w:space="0" w:color="000000"/>
              <w:left w:val="single" w:sz="4" w:space="0" w:color="000000"/>
              <w:bottom w:val="single" w:sz="12" w:space="0" w:color="000000"/>
              <w:right w:val="nil"/>
            </w:tcBorders>
            <w:shd w:val="clear" w:color="auto" w:fill="auto"/>
            <w:vAlign w:val="center"/>
            <w:hideMark/>
          </w:tcPr>
          <w:p w14:paraId="37B89D9F" w14:textId="77777777" w:rsidR="0039002B" w:rsidRPr="004B3462" w:rsidRDefault="0039002B" w:rsidP="005B1448">
            <w:pPr>
              <w:jc w:val="center"/>
              <w:rPr>
                <w:color w:val="000000"/>
              </w:rPr>
            </w:pPr>
            <w:r>
              <w:rPr>
                <w:color w:val="000000"/>
              </w:rPr>
              <w:t>P-valor</w:t>
            </w:r>
            <w:r w:rsidRPr="004B3462">
              <w:rPr>
                <w:color w:val="000000"/>
              </w:rPr>
              <w:t xml:space="preserve"> unicaudal </w:t>
            </w:r>
          </w:p>
        </w:tc>
      </w:tr>
      <w:tr w:rsidR="0039002B" w:rsidRPr="004B3462" w14:paraId="57FD9EA7" w14:textId="77777777" w:rsidTr="005B1448">
        <w:trPr>
          <w:trHeight w:val="450"/>
          <w:jc w:val="center"/>
        </w:trPr>
        <w:tc>
          <w:tcPr>
            <w:tcW w:w="2291" w:type="dxa"/>
            <w:gridSpan w:val="2"/>
            <w:vMerge/>
            <w:tcBorders>
              <w:top w:val="single" w:sz="12" w:space="0" w:color="000000"/>
              <w:left w:val="nil"/>
              <w:bottom w:val="single" w:sz="12" w:space="0" w:color="000000"/>
              <w:right w:val="single" w:sz="12" w:space="0" w:color="000000"/>
            </w:tcBorders>
            <w:vAlign w:val="center"/>
            <w:hideMark/>
          </w:tcPr>
          <w:p w14:paraId="185A1F9C" w14:textId="77777777" w:rsidR="0039002B" w:rsidRPr="004B3462" w:rsidRDefault="0039002B" w:rsidP="005B1448">
            <w:pPr>
              <w:rPr>
                <w:color w:val="000000"/>
              </w:rPr>
            </w:pPr>
          </w:p>
        </w:tc>
        <w:tc>
          <w:tcPr>
            <w:tcW w:w="1166" w:type="dxa"/>
            <w:vMerge w:val="restart"/>
            <w:tcBorders>
              <w:top w:val="nil"/>
              <w:left w:val="single" w:sz="12" w:space="0" w:color="000000"/>
              <w:bottom w:val="single" w:sz="12" w:space="0" w:color="000000"/>
              <w:right w:val="single" w:sz="4" w:space="0" w:color="000000"/>
            </w:tcBorders>
            <w:shd w:val="clear" w:color="auto" w:fill="auto"/>
            <w:vAlign w:val="center"/>
            <w:hideMark/>
          </w:tcPr>
          <w:p w14:paraId="547B7066" w14:textId="77777777" w:rsidR="0039002B" w:rsidRPr="004B3462" w:rsidRDefault="0039002B" w:rsidP="005B1448">
            <w:pPr>
              <w:jc w:val="center"/>
              <w:rPr>
                <w:color w:val="000000"/>
              </w:rPr>
            </w:pPr>
            <w:r w:rsidRPr="004B3462">
              <w:rPr>
                <w:color w:val="000000"/>
              </w:rPr>
              <w:t>Média</w:t>
            </w:r>
          </w:p>
        </w:tc>
        <w:tc>
          <w:tcPr>
            <w:tcW w:w="1232" w:type="dxa"/>
            <w:vMerge w:val="restart"/>
            <w:tcBorders>
              <w:top w:val="nil"/>
              <w:left w:val="single" w:sz="4" w:space="0" w:color="000000"/>
              <w:bottom w:val="single" w:sz="12" w:space="0" w:color="000000"/>
              <w:right w:val="single" w:sz="4" w:space="0" w:color="000000"/>
            </w:tcBorders>
            <w:shd w:val="clear" w:color="auto" w:fill="auto"/>
            <w:vAlign w:val="center"/>
            <w:hideMark/>
          </w:tcPr>
          <w:p w14:paraId="1E93D2E5" w14:textId="77777777" w:rsidR="0039002B" w:rsidRPr="004B3462" w:rsidRDefault="0039002B" w:rsidP="005B1448">
            <w:pPr>
              <w:jc w:val="center"/>
              <w:rPr>
                <w:color w:val="000000"/>
              </w:rPr>
            </w:pPr>
            <w:r w:rsidRPr="004B3462">
              <w:rPr>
                <w:color w:val="000000"/>
              </w:rPr>
              <w:t>Desvio Padrão</w:t>
            </w:r>
          </w:p>
        </w:tc>
        <w:tc>
          <w:tcPr>
            <w:tcW w:w="1260" w:type="dxa"/>
            <w:vMerge/>
            <w:tcBorders>
              <w:top w:val="single" w:sz="12" w:space="0" w:color="000000"/>
              <w:left w:val="single" w:sz="4" w:space="0" w:color="000000"/>
              <w:bottom w:val="single" w:sz="12" w:space="0" w:color="000000"/>
              <w:right w:val="single" w:sz="4" w:space="0" w:color="000000"/>
            </w:tcBorders>
            <w:vAlign w:val="center"/>
            <w:hideMark/>
          </w:tcPr>
          <w:p w14:paraId="280E6CDD" w14:textId="77777777" w:rsidR="0039002B" w:rsidRPr="004B3462" w:rsidRDefault="0039002B" w:rsidP="005B1448">
            <w:pPr>
              <w:rPr>
                <w:color w:val="000000"/>
              </w:rPr>
            </w:pPr>
          </w:p>
        </w:tc>
        <w:tc>
          <w:tcPr>
            <w:tcW w:w="1336" w:type="dxa"/>
            <w:vMerge/>
            <w:tcBorders>
              <w:top w:val="single" w:sz="12" w:space="0" w:color="000000"/>
              <w:left w:val="single" w:sz="4" w:space="0" w:color="000000"/>
              <w:bottom w:val="single" w:sz="12" w:space="0" w:color="000000"/>
              <w:right w:val="nil"/>
            </w:tcBorders>
            <w:vAlign w:val="center"/>
            <w:hideMark/>
          </w:tcPr>
          <w:p w14:paraId="4C7333AD" w14:textId="77777777" w:rsidR="0039002B" w:rsidRPr="004B3462" w:rsidRDefault="0039002B" w:rsidP="005B1448">
            <w:pPr>
              <w:rPr>
                <w:color w:val="000000"/>
              </w:rPr>
            </w:pPr>
          </w:p>
        </w:tc>
        <w:tc>
          <w:tcPr>
            <w:tcW w:w="1392" w:type="dxa"/>
            <w:vMerge/>
            <w:tcBorders>
              <w:top w:val="single" w:sz="12" w:space="0" w:color="000000"/>
              <w:left w:val="single" w:sz="4" w:space="0" w:color="000000"/>
              <w:bottom w:val="single" w:sz="12" w:space="0" w:color="000000"/>
              <w:right w:val="nil"/>
            </w:tcBorders>
            <w:vAlign w:val="center"/>
            <w:hideMark/>
          </w:tcPr>
          <w:p w14:paraId="7A924212" w14:textId="77777777" w:rsidR="0039002B" w:rsidRPr="004B3462" w:rsidRDefault="0039002B" w:rsidP="005B1448">
            <w:pPr>
              <w:rPr>
                <w:color w:val="000000"/>
              </w:rPr>
            </w:pPr>
          </w:p>
        </w:tc>
      </w:tr>
      <w:tr w:rsidR="0039002B" w:rsidRPr="004B3462" w14:paraId="02A29D7A" w14:textId="77777777" w:rsidTr="005B1448">
        <w:trPr>
          <w:trHeight w:val="450"/>
          <w:jc w:val="center"/>
        </w:trPr>
        <w:tc>
          <w:tcPr>
            <w:tcW w:w="2291" w:type="dxa"/>
            <w:gridSpan w:val="2"/>
            <w:vMerge/>
            <w:tcBorders>
              <w:top w:val="single" w:sz="12" w:space="0" w:color="000000"/>
              <w:left w:val="nil"/>
              <w:bottom w:val="single" w:sz="12" w:space="0" w:color="000000"/>
              <w:right w:val="single" w:sz="12" w:space="0" w:color="000000"/>
            </w:tcBorders>
            <w:vAlign w:val="center"/>
            <w:hideMark/>
          </w:tcPr>
          <w:p w14:paraId="37BC5F16" w14:textId="77777777" w:rsidR="0039002B" w:rsidRPr="004B3462" w:rsidRDefault="0039002B" w:rsidP="005B1448">
            <w:pPr>
              <w:rPr>
                <w:color w:val="000000"/>
              </w:rPr>
            </w:pPr>
          </w:p>
        </w:tc>
        <w:tc>
          <w:tcPr>
            <w:tcW w:w="1166" w:type="dxa"/>
            <w:vMerge/>
            <w:tcBorders>
              <w:top w:val="nil"/>
              <w:left w:val="single" w:sz="12" w:space="0" w:color="000000"/>
              <w:bottom w:val="single" w:sz="12" w:space="0" w:color="000000"/>
              <w:right w:val="single" w:sz="4" w:space="0" w:color="000000"/>
            </w:tcBorders>
            <w:vAlign w:val="center"/>
            <w:hideMark/>
          </w:tcPr>
          <w:p w14:paraId="5098907B" w14:textId="77777777" w:rsidR="0039002B" w:rsidRPr="004B3462" w:rsidRDefault="0039002B" w:rsidP="005B1448">
            <w:pPr>
              <w:rPr>
                <w:color w:val="000000"/>
              </w:rPr>
            </w:pPr>
          </w:p>
        </w:tc>
        <w:tc>
          <w:tcPr>
            <w:tcW w:w="1232" w:type="dxa"/>
            <w:vMerge/>
            <w:tcBorders>
              <w:top w:val="nil"/>
              <w:left w:val="single" w:sz="4" w:space="0" w:color="000000"/>
              <w:bottom w:val="single" w:sz="12" w:space="0" w:color="000000"/>
              <w:right w:val="single" w:sz="4" w:space="0" w:color="000000"/>
            </w:tcBorders>
            <w:vAlign w:val="center"/>
            <w:hideMark/>
          </w:tcPr>
          <w:p w14:paraId="07EB8F16" w14:textId="77777777" w:rsidR="0039002B" w:rsidRPr="004B3462" w:rsidRDefault="0039002B" w:rsidP="005B1448">
            <w:pPr>
              <w:rPr>
                <w:color w:val="000000"/>
              </w:rPr>
            </w:pPr>
          </w:p>
        </w:tc>
        <w:tc>
          <w:tcPr>
            <w:tcW w:w="1260" w:type="dxa"/>
            <w:vMerge/>
            <w:tcBorders>
              <w:top w:val="single" w:sz="12" w:space="0" w:color="000000"/>
              <w:left w:val="single" w:sz="4" w:space="0" w:color="000000"/>
              <w:bottom w:val="single" w:sz="12" w:space="0" w:color="000000"/>
              <w:right w:val="single" w:sz="4" w:space="0" w:color="000000"/>
            </w:tcBorders>
            <w:vAlign w:val="center"/>
            <w:hideMark/>
          </w:tcPr>
          <w:p w14:paraId="72DCEEA5" w14:textId="77777777" w:rsidR="0039002B" w:rsidRPr="004B3462" w:rsidRDefault="0039002B" w:rsidP="005B1448">
            <w:pPr>
              <w:rPr>
                <w:color w:val="000000"/>
              </w:rPr>
            </w:pPr>
          </w:p>
        </w:tc>
        <w:tc>
          <w:tcPr>
            <w:tcW w:w="1336" w:type="dxa"/>
            <w:vMerge/>
            <w:tcBorders>
              <w:top w:val="single" w:sz="12" w:space="0" w:color="000000"/>
              <w:left w:val="single" w:sz="4" w:space="0" w:color="000000"/>
              <w:bottom w:val="single" w:sz="12" w:space="0" w:color="000000"/>
              <w:right w:val="nil"/>
            </w:tcBorders>
            <w:vAlign w:val="center"/>
            <w:hideMark/>
          </w:tcPr>
          <w:p w14:paraId="20BC1DDD" w14:textId="77777777" w:rsidR="0039002B" w:rsidRPr="004B3462" w:rsidRDefault="0039002B" w:rsidP="005B1448">
            <w:pPr>
              <w:rPr>
                <w:color w:val="000000"/>
              </w:rPr>
            </w:pPr>
          </w:p>
        </w:tc>
        <w:tc>
          <w:tcPr>
            <w:tcW w:w="1392" w:type="dxa"/>
            <w:vMerge/>
            <w:tcBorders>
              <w:top w:val="single" w:sz="12" w:space="0" w:color="000000"/>
              <w:left w:val="single" w:sz="4" w:space="0" w:color="000000"/>
              <w:bottom w:val="single" w:sz="12" w:space="0" w:color="000000"/>
              <w:right w:val="nil"/>
            </w:tcBorders>
            <w:vAlign w:val="center"/>
            <w:hideMark/>
          </w:tcPr>
          <w:p w14:paraId="6BD26CBE" w14:textId="77777777" w:rsidR="0039002B" w:rsidRPr="004B3462" w:rsidRDefault="0039002B" w:rsidP="005B1448">
            <w:pPr>
              <w:rPr>
                <w:color w:val="000000"/>
              </w:rPr>
            </w:pPr>
          </w:p>
        </w:tc>
      </w:tr>
      <w:tr w:rsidR="0039002B" w:rsidRPr="004B3462" w14:paraId="242AB61D" w14:textId="77777777" w:rsidTr="005B1448">
        <w:trPr>
          <w:trHeight w:val="472"/>
          <w:jc w:val="center"/>
        </w:trPr>
        <w:tc>
          <w:tcPr>
            <w:tcW w:w="840" w:type="dxa"/>
            <w:tcBorders>
              <w:top w:val="nil"/>
              <w:left w:val="nil"/>
              <w:bottom w:val="single" w:sz="4" w:space="0" w:color="auto"/>
              <w:right w:val="nil"/>
            </w:tcBorders>
            <w:shd w:val="clear" w:color="auto" w:fill="auto"/>
            <w:hideMark/>
          </w:tcPr>
          <w:p w14:paraId="33800CE4" w14:textId="77777777" w:rsidR="0039002B" w:rsidRPr="004B3462" w:rsidRDefault="0039002B" w:rsidP="005B1448">
            <w:pPr>
              <w:rPr>
                <w:color w:val="000000"/>
              </w:rPr>
            </w:pPr>
            <w:r w:rsidRPr="004B3462">
              <w:rPr>
                <w:color w:val="000000"/>
              </w:rPr>
              <w:t>Par 1</w:t>
            </w:r>
          </w:p>
        </w:tc>
        <w:tc>
          <w:tcPr>
            <w:tcW w:w="1451" w:type="dxa"/>
            <w:tcBorders>
              <w:top w:val="nil"/>
              <w:left w:val="single" w:sz="8" w:space="0" w:color="000000"/>
              <w:bottom w:val="single" w:sz="4" w:space="0" w:color="auto"/>
              <w:right w:val="single" w:sz="12" w:space="0" w:color="000000"/>
            </w:tcBorders>
            <w:shd w:val="clear" w:color="auto" w:fill="auto"/>
            <w:hideMark/>
          </w:tcPr>
          <w:p w14:paraId="527B49D1" w14:textId="77777777" w:rsidR="0039002B" w:rsidRPr="004B3462" w:rsidRDefault="0039002B" w:rsidP="005B1448">
            <w:pPr>
              <w:rPr>
                <w:color w:val="000000"/>
              </w:rPr>
            </w:pPr>
            <w:r w:rsidRPr="004B3462">
              <w:rPr>
                <w:color w:val="000000"/>
              </w:rPr>
              <w:t>PÁG_2005 - PÁG_2010</w:t>
            </w:r>
          </w:p>
        </w:tc>
        <w:tc>
          <w:tcPr>
            <w:tcW w:w="1166" w:type="dxa"/>
            <w:tcBorders>
              <w:top w:val="nil"/>
              <w:left w:val="nil"/>
              <w:bottom w:val="single" w:sz="4" w:space="0" w:color="auto"/>
              <w:right w:val="single" w:sz="4" w:space="0" w:color="000000"/>
            </w:tcBorders>
            <w:shd w:val="clear" w:color="auto" w:fill="auto"/>
            <w:noWrap/>
            <w:vAlign w:val="center"/>
            <w:hideMark/>
          </w:tcPr>
          <w:p w14:paraId="5ECBB03D" w14:textId="77777777" w:rsidR="0039002B" w:rsidRPr="004B3462" w:rsidRDefault="0039002B" w:rsidP="005B1448">
            <w:pPr>
              <w:jc w:val="right"/>
              <w:rPr>
                <w:color w:val="000000"/>
              </w:rPr>
            </w:pPr>
            <w:r w:rsidRPr="004B3462">
              <w:rPr>
                <w:color w:val="000000"/>
              </w:rPr>
              <w:t>-33,20</w:t>
            </w:r>
          </w:p>
        </w:tc>
        <w:tc>
          <w:tcPr>
            <w:tcW w:w="1232" w:type="dxa"/>
            <w:tcBorders>
              <w:top w:val="nil"/>
              <w:left w:val="nil"/>
              <w:bottom w:val="single" w:sz="4" w:space="0" w:color="auto"/>
              <w:right w:val="single" w:sz="4" w:space="0" w:color="000000"/>
            </w:tcBorders>
            <w:shd w:val="clear" w:color="auto" w:fill="auto"/>
            <w:noWrap/>
            <w:vAlign w:val="center"/>
            <w:hideMark/>
          </w:tcPr>
          <w:p w14:paraId="473501C8" w14:textId="77777777" w:rsidR="0039002B" w:rsidRPr="004B3462" w:rsidRDefault="0039002B" w:rsidP="005B1448">
            <w:pPr>
              <w:jc w:val="right"/>
              <w:rPr>
                <w:color w:val="000000"/>
              </w:rPr>
            </w:pPr>
            <w:r w:rsidRPr="004B3462">
              <w:rPr>
                <w:color w:val="000000"/>
              </w:rPr>
              <w:t>34,16</w:t>
            </w:r>
          </w:p>
        </w:tc>
        <w:tc>
          <w:tcPr>
            <w:tcW w:w="1260" w:type="dxa"/>
            <w:tcBorders>
              <w:top w:val="nil"/>
              <w:left w:val="nil"/>
              <w:bottom w:val="single" w:sz="4" w:space="0" w:color="auto"/>
              <w:right w:val="single" w:sz="4" w:space="0" w:color="000000"/>
            </w:tcBorders>
            <w:shd w:val="clear" w:color="auto" w:fill="auto"/>
            <w:noWrap/>
            <w:vAlign w:val="center"/>
            <w:hideMark/>
          </w:tcPr>
          <w:p w14:paraId="57922587" w14:textId="77777777" w:rsidR="0039002B" w:rsidRPr="004B3462" w:rsidRDefault="0039002B" w:rsidP="005B1448">
            <w:pPr>
              <w:jc w:val="right"/>
              <w:rPr>
                <w:color w:val="000000"/>
              </w:rPr>
            </w:pPr>
            <w:r w:rsidRPr="004B3462">
              <w:rPr>
                <w:color w:val="000000"/>
              </w:rPr>
              <w:t>-13,92</w:t>
            </w:r>
          </w:p>
        </w:tc>
        <w:tc>
          <w:tcPr>
            <w:tcW w:w="1336" w:type="dxa"/>
            <w:tcBorders>
              <w:top w:val="nil"/>
              <w:left w:val="nil"/>
              <w:bottom w:val="single" w:sz="4" w:space="0" w:color="auto"/>
              <w:right w:val="nil"/>
            </w:tcBorders>
            <w:shd w:val="clear" w:color="auto" w:fill="auto"/>
            <w:noWrap/>
            <w:vAlign w:val="center"/>
            <w:hideMark/>
          </w:tcPr>
          <w:p w14:paraId="1CB69E03" w14:textId="4014482B" w:rsidR="0039002B" w:rsidRPr="004B3462" w:rsidRDefault="0039002B" w:rsidP="005B1448">
            <w:pPr>
              <w:jc w:val="right"/>
              <w:rPr>
                <w:color w:val="000000"/>
              </w:rPr>
            </w:pPr>
            <w:r w:rsidRPr="004B3462">
              <w:rPr>
                <w:color w:val="000000"/>
              </w:rPr>
              <w:t>0,00*</w:t>
            </w:r>
            <w:r w:rsidR="00C747CE">
              <w:rPr>
                <w:color w:val="000000"/>
              </w:rPr>
              <w:t>**</w:t>
            </w:r>
          </w:p>
        </w:tc>
        <w:tc>
          <w:tcPr>
            <w:tcW w:w="1392" w:type="dxa"/>
            <w:tcBorders>
              <w:top w:val="nil"/>
              <w:left w:val="single" w:sz="4" w:space="0" w:color="000000"/>
              <w:bottom w:val="single" w:sz="4" w:space="0" w:color="auto"/>
              <w:right w:val="nil"/>
            </w:tcBorders>
            <w:shd w:val="clear" w:color="auto" w:fill="auto"/>
            <w:noWrap/>
            <w:vAlign w:val="center"/>
            <w:hideMark/>
          </w:tcPr>
          <w:p w14:paraId="24D89722" w14:textId="638E028E" w:rsidR="0039002B" w:rsidRPr="004B3462" w:rsidRDefault="0039002B" w:rsidP="005B1448">
            <w:pPr>
              <w:jc w:val="right"/>
              <w:rPr>
                <w:color w:val="000000"/>
              </w:rPr>
            </w:pPr>
            <w:r w:rsidRPr="004B3462">
              <w:rPr>
                <w:color w:val="000000"/>
              </w:rPr>
              <w:t>0,00*</w:t>
            </w:r>
            <w:r w:rsidR="00C747CE">
              <w:rPr>
                <w:color w:val="000000"/>
              </w:rPr>
              <w:t>**</w:t>
            </w:r>
            <w:r w:rsidRPr="004B3462">
              <w:rPr>
                <w:color w:val="000000"/>
              </w:rPr>
              <w:t xml:space="preserve"> </w:t>
            </w:r>
          </w:p>
        </w:tc>
      </w:tr>
      <w:tr w:rsidR="0039002B" w:rsidRPr="004B3462" w14:paraId="42A7FEB6" w14:textId="77777777" w:rsidTr="005B1448">
        <w:trPr>
          <w:trHeight w:val="459"/>
          <w:jc w:val="center"/>
        </w:trPr>
        <w:tc>
          <w:tcPr>
            <w:tcW w:w="840" w:type="dxa"/>
            <w:tcBorders>
              <w:top w:val="nil"/>
              <w:left w:val="nil"/>
              <w:bottom w:val="single" w:sz="4" w:space="0" w:color="auto"/>
              <w:right w:val="nil"/>
            </w:tcBorders>
            <w:shd w:val="clear" w:color="auto" w:fill="auto"/>
            <w:hideMark/>
          </w:tcPr>
          <w:p w14:paraId="15994A4F" w14:textId="77777777" w:rsidR="0039002B" w:rsidRPr="004B3462" w:rsidRDefault="0039002B" w:rsidP="005B1448">
            <w:pPr>
              <w:rPr>
                <w:color w:val="000000"/>
              </w:rPr>
            </w:pPr>
            <w:r w:rsidRPr="004B3462">
              <w:rPr>
                <w:color w:val="000000"/>
              </w:rPr>
              <w:t>Par 2</w:t>
            </w:r>
          </w:p>
        </w:tc>
        <w:tc>
          <w:tcPr>
            <w:tcW w:w="1451" w:type="dxa"/>
            <w:tcBorders>
              <w:top w:val="nil"/>
              <w:left w:val="single" w:sz="8" w:space="0" w:color="000000"/>
              <w:bottom w:val="single" w:sz="4" w:space="0" w:color="auto"/>
              <w:right w:val="single" w:sz="12" w:space="0" w:color="000000"/>
            </w:tcBorders>
            <w:shd w:val="clear" w:color="auto" w:fill="auto"/>
            <w:hideMark/>
          </w:tcPr>
          <w:p w14:paraId="34C46F06" w14:textId="77777777" w:rsidR="0039002B" w:rsidRPr="004B3462" w:rsidRDefault="0039002B" w:rsidP="005B1448">
            <w:pPr>
              <w:rPr>
                <w:color w:val="000000"/>
              </w:rPr>
            </w:pPr>
            <w:r w:rsidRPr="004B3462">
              <w:rPr>
                <w:color w:val="000000"/>
              </w:rPr>
              <w:t>PÁG_2010 - PÁG_2015</w:t>
            </w:r>
          </w:p>
        </w:tc>
        <w:tc>
          <w:tcPr>
            <w:tcW w:w="1166" w:type="dxa"/>
            <w:tcBorders>
              <w:top w:val="nil"/>
              <w:left w:val="nil"/>
              <w:bottom w:val="single" w:sz="4" w:space="0" w:color="auto"/>
              <w:right w:val="single" w:sz="4" w:space="0" w:color="000000"/>
            </w:tcBorders>
            <w:shd w:val="clear" w:color="auto" w:fill="auto"/>
            <w:noWrap/>
            <w:vAlign w:val="center"/>
            <w:hideMark/>
          </w:tcPr>
          <w:p w14:paraId="6EE4071A" w14:textId="77777777" w:rsidR="0039002B" w:rsidRPr="004B3462" w:rsidRDefault="0039002B" w:rsidP="005B1448">
            <w:pPr>
              <w:jc w:val="right"/>
              <w:rPr>
                <w:color w:val="000000"/>
              </w:rPr>
            </w:pPr>
            <w:r w:rsidRPr="004B3462">
              <w:rPr>
                <w:color w:val="000000"/>
              </w:rPr>
              <w:t>8,22</w:t>
            </w:r>
          </w:p>
        </w:tc>
        <w:tc>
          <w:tcPr>
            <w:tcW w:w="1232" w:type="dxa"/>
            <w:tcBorders>
              <w:top w:val="nil"/>
              <w:left w:val="nil"/>
              <w:bottom w:val="single" w:sz="4" w:space="0" w:color="auto"/>
              <w:right w:val="single" w:sz="4" w:space="0" w:color="000000"/>
            </w:tcBorders>
            <w:shd w:val="clear" w:color="auto" w:fill="auto"/>
            <w:noWrap/>
            <w:vAlign w:val="center"/>
            <w:hideMark/>
          </w:tcPr>
          <w:p w14:paraId="3CF16D0D" w14:textId="77777777" w:rsidR="0039002B" w:rsidRPr="004B3462" w:rsidRDefault="0039002B" w:rsidP="005B1448">
            <w:pPr>
              <w:jc w:val="right"/>
              <w:rPr>
                <w:color w:val="000000"/>
              </w:rPr>
            </w:pPr>
            <w:r w:rsidRPr="004B3462">
              <w:rPr>
                <w:color w:val="000000"/>
              </w:rPr>
              <w:t>27,57</w:t>
            </w:r>
          </w:p>
        </w:tc>
        <w:tc>
          <w:tcPr>
            <w:tcW w:w="1260" w:type="dxa"/>
            <w:tcBorders>
              <w:top w:val="nil"/>
              <w:left w:val="nil"/>
              <w:bottom w:val="single" w:sz="4" w:space="0" w:color="auto"/>
              <w:right w:val="single" w:sz="4" w:space="0" w:color="000000"/>
            </w:tcBorders>
            <w:shd w:val="clear" w:color="auto" w:fill="auto"/>
            <w:noWrap/>
            <w:vAlign w:val="center"/>
            <w:hideMark/>
          </w:tcPr>
          <w:p w14:paraId="14F16843" w14:textId="77777777" w:rsidR="0039002B" w:rsidRPr="004B3462" w:rsidRDefault="0039002B" w:rsidP="005B1448">
            <w:pPr>
              <w:jc w:val="right"/>
              <w:rPr>
                <w:color w:val="000000"/>
              </w:rPr>
            </w:pPr>
            <w:r w:rsidRPr="004B3462">
              <w:rPr>
                <w:color w:val="000000"/>
              </w:rPr>
              <w:t>4,27</w:t>
            </w:r>
          </w:p>
        </w:tc>
        <w:tc>
          <w:tcPr>
            <w:tcW w:w="1336" w:type="dxa"/>
            <w:tcBorders>
              <w:top w:val="nil"/>
              <w:left w:val="nil"/>
              <w:bottom w:val="single" w:sz="4" w:space="0" w:color="auto"/>
              <w:right w:val="nil"/>
            </w:tcBorders>
            <w:shd w:val="clear" w:color="auto" w:fill="auto"/>
            <w:noWrap/>
            <w:vAlign w:val="center"/>
            <w:hideMark/>
          </w:tcPr>
          <w:p w14:paraId="0C399255" w14:textId="785A858F" w:rsidR="0039002B" w:rsidRPr="004B3462" w:rsidRDefault="0039002B" w:rsidP="005B1448">
            <w:pPr>
              <w:jc w:val="right"/>
              <w:rPr>
                <w:color w:val="000000"/>
              </w:rPr>
            </w:pPr>
            <w:r w:rsidRPr="004B3462">
              <w:rPr>
                <w:color w:val="000000"/>
              </w:rPr>
              <w:t>0,00*</w:t>
            </w:r>
            <w:r w:rsidR="00C747CE">
              <w:rPr>
                <w:color w:val="000000"/>
              </w:rPr>
              <w:t>**</w:t>
            </w:r>
          </w:p>
        </w:tc>
        <w:tc>
          <w:tcPr>
            <w:tcW w:w="1392" w:type="dxa"/>
            <w:tcBorders>
              <w:top w:val="nil"/>
              <w:left w:val="single" w:sz="4" w:space="0" w:color="000000"/>
              <w:bottom w:val="single" w:sz="4" w:space="0" w:color="auto"/>
              <w:right w:val="nil"/>
            </w:tcBorders>
            <w:shd w:val="clear" w:color="auto" w:fill="auto"/>
            <w:noWrap/>
            <w:vAlign w:val="center"/>
            <w:hideMark/>
          </w:tcPr>
          <w:p w14:paraId="17AF7F01" w14:textId="07B23CEF" w:rsidR="0039002B" w:rsidRPr="004B3462" w:rsidRDefault="0039002B" w:rsidP="005B1448">
            <w:pPr>
              <w:jc w:val="right"/>
              <w:rPr>
                <w:color w:val="000000"/>
              </w:rPr>
            </w:pPr>
            <w:r w:rsidRPr="004B3462">
              <w:rPr>
                <w:color w:val="000000"/>
              </w:rPr>
              <w:t>0,00*</w:t>
            </w:r>
            <w:r w:rsidR="00C747CE">
              <w:rPr>
                <w:color w:val="000000"/>
              </w:rPr>
              <w:t>**</w:t>
            </w:r>
          </w:p>
        </w:tc>
      </w:tr>
      <w:tr w:rsidR="0039002B" w:rsidRPr="004B3462" w14:paraId="5620EA58" w14:textId="77777777" w:rsidTr="005B1448">
        <w:trPr>
          <w:trHeight w:val="472"/>
          <w:jc w:val="center"/>
        </w:trPr>
        <w:tc>
          <w:tcPr>
            <w:tcW w:w="840" w:type="dxa"/>
            <w:tcBorders>
              <w:top w:val="nil"/>
              <w:left w:val="nil"/>
              <w:bottom w:val="single" w:sz="8" w:space="0" w:color="auto"/>
              <w:right w:val="nil"/>
            </w:tcBorders>
            <w:shd w:val="clear" w:color="auto" w:fill="auto"/>
            <w:hideMark/>
          </w:tcPr>
          <w:p w14:paraId="41E3728B" w14:textId="77777777" w:rsidR="0039002B" w:rsidRPr="004B3462" w:rsidRDefault="0039002B" w:rsidP="005B1448">
            <w:pPr>
              <w:rPr>
                <w:color w:val="000000"/>
              </w:rPr>
            </w:pPr>
            <w:r w:rsidRPr="004B3462">
              <w:rPr>
                <w:color w:val="000000"/>
              </w:rPr>
              <w:t>Par 3</w:t>
            </w:r>
          </w:p>
        </w:tc>
        <w:tc>
          <w:tcPr>
            <w:tcW w:w="1451" w:type="dxa"/>
            <w:tcBorders>
              <w:top w:val="nil"/>
              <w:left w:val="single" w:sz="8" w:space="0" w:color="000000"/>
              <w:bottom w:val="single" w:sz="8" w:space="0" w:color="auto"/>
              <w:right w:val="single" w:sz="12" w:space="0" w:color="000000"/>
            </w:tcBorders>
            <w:shd w:val="clear" w:color="auto" w:fill="auto"/>
            <w:hideMark/>
          </w:tcPr>
          <w:p w14:paraId="4DAE23F3" w14:textId="77777777" w:rsidR="0039002B" w:rsidRPr="004B3462" w:rsidRDefault="0039002B" w:rsidP="005B1448">
            <w:pPr>
              <w:rPr>
                <w:color w:val="000000"/>
              </w:rPr>
            </w:pPr>
            <w:r w:rsidRPr="004B3462">
              <w:rPr>
                <w:color w:val="000000"/>
              </w:rPr>
              <w:t>PÁG_2005 - PÁG_2015</w:t>
            </w:r>
          </w:p>
        </w:tc>
        <w:tc>
          <w:tcPr>
            <w:tcW w:w="1166" w:type="dxa"/>
            <w:tcBorders>
              <w:top w:val="nil"/>
              <w:left w:val="nil"/>
              <w:bottom w:val="single" w:sz="8" w:space="0" w:color="auto"/>
              <w:right w:val="single" w:sz="4" w:space="0" w:color="000000"/>
            </w:tcBorders>
            <w:shd w:val="clear" w:color="auto" w:fill="auto"/>
            <w:noWrap/>
            <w:vAlign w:val="center"/>
            <w:hideMark/>
          </w:tcPr>
          <w:p w14:paraId="2CA5F8DF" w14:textId="77777777" w:rsidR="0039002B" w:rsidRPr="004B3462" w:rsidRDefault="0039002B" w:rsidP="005B1448">
            <w:pPr>
              <w:jc w:val="right"/>
              <w:rPr>
                <w:color w:val="000000"/>
              </w:rPr>
            </w:pPr>
            <w:r w:rsidRPr="004B3462">
              <w:rPr>
                <w:color w:val="000000"/>
              </w:rPr>
              <w:t>-24,99</w:t>
            </w:r>
          </w:p>
        </w:tc>
        <w:tc>
          <w:tcPr>
            <w:tcW w:w="1232" w:type="dxa"/>
            <w:tcBorders>
              <w:top w:val="nil"/>
              <w:left w:val="nil"/>
              <w:bottom w:val="single" w:sz="8" w:space="0" w:color="auto"/>
              <w:right w:val="single" w:sz="4" w:space="0" w:color="000000"/>
            </w:tcBorders>
            <w:shd w:val="clear" w:color="auto" w:fill="auto"/>
            <w:noWrap/>
            <w:vAlign w:val="center"/>
            <w:hideMark/>
          </w:tcPr>
          <w:p w14:paraId="76494372" w14:textId="77777777" w:rsidR="0039002B" w:rsidRPr="004B3462" w:rsidRDefault="0039002B" w:rsidP="005B1448">
            <w:pPr>
              <w:jc w:val="right"/>
              <w:rPr>
                <w:color w:val="000000"/>
              </w:rPr>
            </w:pPr>
            <w:r w:rsidRPr="004B3462">
              <w:rPr>
                <w:color w:val="000000"/>
              </w:rPr>
              <w:t>26,27</w:t>
            </w:r>
          </w:p>
        </w:tc>
        <w:tc>
          <w:tcPr>
            <w:tcW w:w="1260" w:type="dxa"/>
            <w:tcBorders>
              <w:top w:val="nil"/>
              <w:left w:val="nil"/>
              <w:bottom w:val="single" w:sz="8" w:space="0" w:color="auto"/>
              <w:right w:val="single" w:sz="4" w:space="0" w:color="000000"/>
            </w:tcBorders>
            <w:shd w:val="clear" w:color="auto" w:fill="auto"/>
            <w:noWrap/>
            <w:vAlign w:val="center"/>
            <w:hideMark/>
          </w:tcPr>
          <w:p w14:paraId="73AD74B5" w14:textId="77777777" w:rsidR="0039002B" w:rsidRPr="004B3462" w:rsidRDefault="0039002B" w:rsidP="005B1448">
            <w:pPr>
              <w:jc w:val="right"/>
              <w:rPr>
                <w:color w:val="000000"/>
              </w:rPr>
            </w:pPr>
            <w:r w:rsidRPr="004B3462">
              <w:rPr>
                <w:color w:val="000000"/>
              </w:rPr>
              <w:t>-13,62</w:t>
            </w:r>
          </w:p>
        </w:tc>
        <w:tc>
          <w:tcPr>
            <w:tcW w:w="1336" w:type="dxa"/>
            <w:tcBorders>
              <w:top w:val="nil"/>
              <w:left w:val="nil"/>
              <w:bottom w:val="single" w:sz="8" w:space="0" w:color="auto"/>
              <w:right w:val="nil"/>
            </w:tcBorders>
            <w:shd w:val="clear" w:color="auto" w:fill="auto"/>
            <w:noWrap/>
            <w:vAlign w:val="center"/>
            <w:hideMark/>
          </w:tcPr>
          <w:p w14:paraId="60632D2D" w14:textId="46295312" w:rsidR="0039002B" w:rsidRPr="004B3462" w:rsidRDefault="0039002B" w:rsidP="005B1448">
            <w:pPr>
              <w:jc w:val="right"/>
              <w:rPr>
                <w:color w:val="000000"/>
              </w:rPr>
            </w:pPr>
            <w:r w:rsidRPr="004B3462">
              <w:rPr>
                <w:color w:val="000000"/>
              </w:rPr>
              <w:t>0,00*</w:t>
            </w:r>
            <w:r w:rsidR="00C747CE">
              <w:rPr>
                <w:color w:val="000000"/>
              </w:rPr>
              <w:t>**</w:t>
            </w:r>
          </w:p>
        </w:tc>
        <w:tc>
          <w:tcPr>
            <w:tcW w:w="1392" w:type="dxa"/>
            <w:tcBorders>
              <w:top w:val="nil"/>
              <w:left w:val="single" w:sz="4" w:space="0" w:color="000000"/>
              <w:bottom w:val="single" w:sz="8" w:space="0" w:color="auto"/>
              <w:right w:val="nil"/>
            </w:tcBorders>
            <w:shd w:val="clear" w:color="auto" w:fill="auto"/>
            <w:noWrap/>
            <w:vAlign w:val="center"/>
            <w:hideMark/>
          </w:tcPr>
          <w:p w14:paraId="57C90711" w14:textId="3F00CB94" w:rsidR="0039002B" w:rsidRPr="004B3462" w:rsidRDefault="0039002B" w:rsidP="005B1448">
            <w:pPr>
              <w:jc w:val="right"/>
              <w:rPr>
                <w:color w:val="000000"/>
              </w:rPr>
            </w:pPr>
            <w:r w:rsidRPr="004B3462">
              <w:rPr>
                <w:color w:val="000000"/>
              </w:rPr>
              <w:t>0,00*</w:t>
            </w:r>
            <w:r w:rsidR="00C747CE">
              <w:rPr>
                <w:color w:val="000000"/>
              </w:rPr>
              <w:t>**</w:t>
            </w:r>
          </w:p>
        </w:tc>
      </w:tr>
      <w:tr w:rsidR="0039002B" w:rsidRPr="004B3462" w14:paraId="38D43428" w14:textId="77777777" w:rsidTr="005B1448">
        <w:trPr>
          <w:trHeight w:val="459"/>
          <w:jc w:val="center"/>
        </w:trPr>
        <w:tc>
          <w:tcPr>
            <w:tcW w:w="840" w:type="dxa"/>
            <w:tcBorders>
              <w:top w:val="nil"/>
              <w:left w:val="nil"/>
              <w:bottom w:val="single" w:sz="4" w:space="0" w:color="auto"/>
              <w:right w:val="nil"/>
            </w:tcBorders>
            <w:shd w:val="clear" w:color="auto" w:fill="auto"/>
            <w:hideMark/>
          </w:tcPr>
          <w:p w14:paraId="47CB23A3" w14:textId="77777777" w:rsidR="0039002B" w:rsidRPr="004B3462" w:rsidRDefault="0039002B" w:rsidP="005B1448">
            <w:pPr>
              <w:rPr>
                <w:color w:val="000000"/>
              </w:rPr>
            </w:pPr>
            <w:r w:rsidRPr="004B3462">
              <w:rPr>
                <w:color w:val="000000"/>
              </w:rPr>
              <w:t>Par 4</w:t>
            </w:r>
          </w:p>
        </w:tc>
        <w:tc>
          <w:tcPr>
            <w:tcW w:w="1451" w:type="dxa"/>
            <w:tcBorders>
              <w:top w:val="nil"/>
              <w:left w:val="single" w:sz="8" w:space="0" w:color="000000"/>
              <w:bottom w:val="single" w:sz="4" w:space="0" w:color="auto"/>
              <w:right w:val="single" w:sz="12" w:space="0" w:color="000000"/>
            </w:tcBorders>
            <w:shd w:val="clear" w:color="auto" w:fill="auto"/>
            <w:hideMark/>
          </w:tcPr>
          <w:p w14:paraId="5722ECBF" w14:textId="77777777" w:rsidR="0039002B" w:rsidRPr="004B3462" w:rsidRDefault="0039002B" w:rsidP="005B1448">
            <w:pPr>
              <w:rPr>
                <w:color w:val="000000"/>
              </w:rPr>
            </w:pPr>
            <w:r w:rsidRPr="004B3462">
              <w:rPr>
                <w:color w:val="000000"/>
              </w:rPr>
              <w:t>LNPÁG_05 - LNPÁG_10</w:t>
            </w:r>
          </w:p>
        </w:tc>
        <w:tc>
          <w:tcPr>
            <w:tcW w:w="1166" w:type="dxa"/>
            <w:tcBorders>
              <w:top w:val="nil"/>
              <w:left w:val="nil"/>
              <w:bottom w:val="single" w:sz="4" w:space="0" w:color="auto"/>
              <w:right w:val="single" w:sz="4" w:space="0" w:color="000000"/>
            </w:tcBorders>
            <w:shd w:val="clear" w:color="auto" w:fill="auto"/>
            <w:noWrap/>
            <w:vAlign w:val="center"/>
            <w:hideMark/>
          </w:tcPr>
          <w:p w14:paraId="71E12EA1" w14:textId="77777777" w:rsidR="0039002B" w:rsidRPr="004B3462" w:rsidRDefault="0039002B" w:rsidP="005B1448">
            <w:pPr>
              <w:jc w:val="right"/>
              <w:rPr>
                <w:color w:val="000000"/>
              </w:rPr>
            </w:pPr>
            <w:r w:rsidRPr="004B3462">
              <w:rPr>
                <w:color w:val="000000"/>
              </w:rPr>
              <w:t>-0,92</w:t>
            </w:r>
          </w:p>
        </w:tc>
        <w:tc>
          <w:tcPr>
            <w:tcW w:w="1232" w:type="dxa"/>
            <w:tcBorders>
              <w:top w:val="nil"/>
              <w:left w:val="nil"/>
              <w:bottom w:val="single" w:sz="4" w:space="0" w:color="auto"/>
              <w:right w:val="single" w:sz="4" w:space="0" w:color="000000"/>
            </w:tcBorders>
            <w:shd w:val="clear" w:color="auto" w:fill="auto"/>
            <w:noWrap/>
            <w:vAlign w:val="center"/>
            <w:hideMark/>
          </w:tcPr>
          <w:p w14:paraId="66C6CF1F" w14:textId="77777777" w:rsidR="0039002B" w:rsidRPr="004B3462" w:rsidRDefault="0039002B" w:rsidP="005B1448">
            <w:pPr>
              <w:jc w:val="right"/>
              <w:rPr>
                <w:color w:val="000000"/>
              </w:rPr>
            </w:pPr>
            <w:r w:rsidRPr="004B3462">
              <w:rPr>
                <w:color w:val="000000"/>
              </w:rPr>
              <w:t>0,68</w:t>
            </w:r>
          </w:p>
        </w:tc>
        <w:tc>
          <w:tcPr>
            <w:tcW w:w="1260" w:type="dxa"/>
            <w:tcBorders>
              <w:top w:val="nil"/>
              <w:left w:val="nil"/>
              <w:bottom w:val="single" w:sz="4" w:space="0" w:color="auto"/>
              <w:right w:val="single" w:sz="4" w:space="0" w:color="000000"/>
            </w:tcBorders>
            <w:shd w:val="clear" w:color="auto" w:fill="auto"/>
            <w:noWrap/>
            <w:vAlign w:val="center"/>
            <w:hideMark/>
          </w:tcPr>
          <w:p w14:paraId="7404C32E" w14:textId="77777777" w:rsidR="0039002B" w:rsidRPr="004B3462" w:rsidRDefault="0039002B" w:rsidP="005B1448">
            <w:pPr>
              <w:jc w:val="right"/>
              <w:rPr>
                <w:color w:val="000000"/>
              </w:rPr>
            </w:pPr>
            <w:r w:rsidRPr="004B3462">
              <w:rPr>
                <w:color w:val="000000"/>
              </w:rPr>
              <w:t>-19,17</w:t>
            </w:r>
          </w:p>
        </w:tc>
        <w:tc>
          <w:tcPr>
            <w:tcW w:w="1336" w:type="dxa"/>
            <w:tcBorders>
              <w:top w:val="single" w:sz="4" w:space="0" w:color="auto"/>
              <w:left w:val="nil"/>
              <w:bottom w:val="single" w:sz="4" w:space="0" w:color="auto"/>
              <w:right w:val="nil"/>
            </w:tcBorders>
            <w:shd w:val="clear" w:color="auto" w:fill="auto"/>
            <w:noWrap/>
            <w:vAlign w:val="center"/>
            <w:hideMark/>
          </w:tcPr>
          <w:p w14:paraId="75C0C3A1" w14:textId="3220A61D" w:rsidR="0039002B" w:rsidRPr="004B3462" w:rsidRDefault="0039002B" w:rsidP="005B1448">
            <w:pPr>
              <w:jc w:val="right"/>
              <w:rPr>
                <w:color w:val="000000"/>
              </w:rPr>
            </w:pPr>
            <w:r w:rsidRPr="004B3462">
              <w:rPr>
                <w:color w:val="000000"/>
              </w:rPr>
              <w:t>0,00*</w:t>
            </w:r>
            <w:r w:rsidR="00C747CE">
              <w:rPr>
                <w:color w:val="000000"/>
              </w:rPr>
              <w:t>**</w:t>
            </w:r>
          </w:p>
        </w:tc>
        <w:tc>
          <w:tcPr>
            <w:tcW w:w="1392" w:type="dxa"/>
            <w:tcBorders>
              <w:top w:val="single" w:sz="4" w:space="0" w:color="auto"/>
              <w:left w:val="single" w:sz="4" w:space="0" w:color="000000"/>
              <w:bottom w:val="single" w:sz="4" w:space="0" w:color="auto"/>
              <w:right w:val="nil"/>
            </w:tcBorders>
            <w:shd w:val="clear" w:color="auto" w:fill="auto"/>
            <w:noWrap/>
            <w:vAlign w:val="center"/>
            <w:hideMark/>
          </w:tcPr>
          <w:p w14:paraId="7F1DE481" w14:textId="2DD27A87" w:rsidR="0039002B" w:rsidRPr="004B3462" w:rsidRDefault="0039002B" w:rsidP="005B1448">
            <w:pPr>
              <w:jc w:val="right"/>
              <w:rPr>
                <w:color w:val="000000"/>
              </w:rPr>
            </w:pPr>
            <w:r w:rsidRPr="004B3462">
              <w:rPr>
                <w:color w:val="000000"/>
              </w:rPr>
              <w:t>0,00*</w:t>
            </w:r>
            <w:r w:rsidR="00C747CE">
              <w:rPr>
                <w:color w:val="000000"/>
              </w:rPr>
              <w:t>**</w:t>
            </w:r>
          </w:p>
        </w:tc>
      </w:tr>
      <w:tr w:rsidR="0039002B" w:rsidRPr="004B3462" w14:paraId="5312E128" w14:textId="77777777" w:rsidTr="005B1448">
        <w:trPr>
          <w:trHeight w:val="459"/>
          <w:jc w:val="center"/>
        </w:trPr>
        <w:tc>
          <w:tcPr>
            <w:tcW w:w="840" w:type="dxa"/>
            <w:tcBorders>
              <w:top w:val="nil"/>
              <w:left w:val="nil"/>
              <w:bottom w:val="single" w:sz="4" w:space="0" w:color="auto"/>
              <w:right w:val="nil"/>
            </w:tcBorders>
            <w:shd w:val="clear" w:color="auto" w:fill="auto"/>
            <w:hideMark/>
          </w:tcPr>
          <w:p w14:paraId="3FE1AFC8" w14:textId="77777777" w:rsidR="0039002B" w:rsidRPr="004B3462" w:rsidRDefault="0039002B" w:rsidP="005B1448">
            <w:pPr>
              <w:rPr>
                <w:color w:val="000000"/>
              </w:rPr>
            </w:pPr>
            <w:r w:rsidRPr="004B3462">
              <w:rPr>
                <w:color w:val="000000"/>
              </w:rPr>
              <w:t>Par 5</w:t>
            </w:r>
          </w:p>
        </w:tc>
        <w:tc>
          <w:tcPr>
            <w:tcW w:w="1451" w:type="dxa"/>
            <w:tcBorders>
              <w:top w:val="nil"/>
              <w:left w:val="single" w:sz="8" w:space="0" w:color="000000"/>
              <w:bottom w:val="single" w:sz="4" w:space="0" w:color="auto"/>
              <w:right w:val="single" w:sz="12" w:space="0" w:color="000000"/>
            </w:tcBorders>
            <w:shd w:val="clear" w:color="auto" w:fill="auto"/>
            <w:hideMark/>
          </w:tcPr>
          <w:p w14:paraId="50216FE9" w14:textId="77777777" w:rsidR="0039002B" w:rsidRPr="004B3462" w:rsidRDefault="0039002B" w:rsidP="005B1448">
            <w:pPr>
              <w:rPr>
                <w:color w:val="000000"/>
              </w:rPr>
            </w:pPr>
            <w:r w:rsidRPr="004B3462">
              <w:rPr>
                <w:color w:val="000000"/>
              </w:rPr>
              <w:t>LNPÁG_10 - LNPÁG_15</w:t>
            </w:r>
          </w:p>
        </w:tc>
        <w:tc>
          <w:tcPr>
            <w:tcW w:w="1166" w:type="dxa"/>
            <w:tcBorders>
              <w:top w:val="nil"/>
              <w:left w:val="nil"/>
              <w:bottom w:val="single" w:sz="4" w:space="0" w:color="auto"/>
              <w:right w:val="single" w:sz="4" w:space="0" w:color="000000"/>
            </w:tcBorders>
            <w:shd w:val="clear" w:color="auto" w:fill="auto"/>
            <w:noWrap/>
            <w:vAlign w:val="center"/>
            <w:hideMark/>
          </w:tcPr>
          <w:p w14:paraId="2DCF18D5" w14:textId="77777777" w:rsidR="0039002B" w:rsidRPr="004B3462" w:rsidRDefault="0039002B" w:rsidP="005B1448">
            <w:pPr>
              <w:jc w:val="right"/>
              <w:rPr>
                <w:color w:val="000000"/>
              </w:rPr>
            </w:pPr>
            <w:r w:rsidRPr="004B3462">
              <w:rPr>
                <w:color w:val="000000"/>
              </w:rPr>
              <w:t>0,10</w:t>
            </w:r>
          </w:p>
        </w:tc>
        <w:tc>
          <w:tcPr>
            <w:tcW w:w="1232" w:type="dxa"/>
            <w:tcBorders>
              <w:top w:val="nil"/>
              <w:left w:val="nil"/>
              <w:bottom w:val="single" w:sz="4" w:space="0" w:color="auto"/>
              <w:right w:val="single" w:sz="4" w:space="0" w:color="000000"/>
            </w:tcBorders>
            <w:shd w:val="clear" w:color="auto" w:fill="auto"/>
            <w:noWrap/>
            <w:vAlign w:val="center"/>
            <w:hideMark/>
          </w:tcPr>
          <w:p w14:paraId="7CF87F63" w14:textId="77777777" w:rsidR="0039002B" w:rsidRPr="004B3462" w:rsidRDefault="0039002B" w:rsidP="005B1448">
            <w:pPr>
              <w:jc w:val="right"/>
              <w:rPr>
                <w:color w:val="000000"/>
              </w:rPr>
            </w:pPr>
            <w:r w:rsidRPr="004B3462">
              <w:rPr>
                <w:color w:val="000000"/>
              </w:rPr>
              <w:t>0,42</w:t>
            </w:r>
          </w:p>
        </w:tc>
        <w:tc>
          <w:tcPr>
            <w:tcW w:w="1260" w:type="dxa"/>
            <w:tcBorders>
              <w:top w:val="nil"/>
              <w:left w:val="nil"/>
              <w:bottom w:val="single" w:sz="4" w:space="0" w:color="auto"/>
              <w:right w:val="single" w:sz="4" w:space="0" w:color="000000"/>
            </w:tcBorders>
            <w:shd w:val="clear" w:color="auto" w:fill="auto"/>
            <w:noWrap/>
            <w:vAlign w:val="center"/>
            <w:hideMark/>
          </w:tcPr>
          <w:p w14:paraId="643BFB43" w14:textId="77777777" w:rsidR="0039002B" w:rsidRPr="004B3462" w:rsidRDefault="0039002B" w:rsidP="005B1448">
            <w:pPr>
              <w:jc w:val="right"/>
              <w:rPr>
                <w:color w:val="000000"/>
              </w:rPr>
            </w:pPr>
            <w:r w:rsidRPr="004B3462">
              <w:rPr>
                <w:color w:val="000000"/>
              </w:rPr>
              <w:t>3,61</w:t>
            </w:r>
          </w:p>
        </w:tc>
        <w:tc>
          <w:tcPr>
            <w:tcW w:w="1336" w:type="dxa"/>
            <w:tcBorders>
              <w:top w:val="nil"/>
              <w:left w:val="nil"/>
              <w:bottom w:val="single" w:sz="4" w:space="0" w:color="auto"/>
              <w:right w:val="nil"/>
            </w:tcBorders>
            <w:shd w:val="clear" w:color="auto" w:fill="auto"/>
            <w:noWrap/>
            <w:vAlign w:val="center"/>
            <w:hideMark/>
          </w:tcPr>
          <w:p w14:paraId="6C2334BF" w14:textId="46E95AF7" w:rsidR="0039002B" w:rsidRPr="004B3462" w:rsidRDefault="0039002B" w:rsidP="005B1448">
            <w:pPr>
              <w:jc w:val="right"/>
              <w:rPr>
                <w:color w:val="000000"/>
              </w:rPr>
            </w:pPr>
            <w:r w:rsidRPr="004B3462">
              <w:rPr>
                <w:color w:val="000000"/>
              </w:rPr>
              <w:t>0,00*</w:t>
            </w:r>
            <w:r w:rsidR="00C747CE">
              <w:rPr>
                <w:color w:val="000000"/>
              </w:rPr>
              <w:t>**</w:t>
            </w:r>
          </w:p>
        </w:tc>
        <w:tc>
          <w:tcPr>
            <w:tcW w:w="1392" w:type="dxa"/>
            <w:tcBorders>
              <w:top w:val="nil"/>
              <w:left w:val="single" w:sz="4" w:space="0" w:color="000000"/>
              <w:bottom w:val="single" w:sz="4" w:space="0" w:color="auto"/>
              <w:right w:val="nil"/>
            </w:tcBorders>
            <w:shd w:val="clear" w:color="auto" w:fill="auto"/>
            <w:noWrap/>
            <w:vAlign w:val="center"/>
            <w:hideMark/>
          </w:tcPr>
          <w:p w14:paraId="1DAB6372" w14:textId="7C56F705" w:rsidR="0039002B" w:rsidRPr="004B3462" w:rsidRDefault="0039002B" w:rsidP="005B1448">
            <w:pPr>
              <w:jc w:val="right"/>
              <w:rPr>
                <w:color w:val="000000"/>
              </w:rPr>
            </w:pPr>
            <w:r w:rsidRPr="004B3462">
              <w:rPr>
                <w:color w:val="000000"/>
              </w:rPr>
              <w:t>0,00*</w:t>
            </w:r>
            <w:r w:rsidR="00C747CE">
              <w:rPr>
                <w:color w:val="000000"/>
              </w:rPr>
              <w:t>**</w:t>
            </w:r>
          </w:p>
        </w:tc>
      </w:tr>
      <w:tr w:rsidR="0039002B" w:rsidRPr="004B3462" w14:paraId="122340ED" w14:textId="77777777" w:rsidTr="005B1448">
        <w:trPr>
          <w:trHeight w:val="472"/>
          <w:jc w:val="center"/>
        </w:trPr>
        <w:tc>
          <w:tcPr>
            <w:tcW w:w="840" w:type="dxa"/>
            <w:tcBorders>
              <w:top w:val="nil"/>
              <w:left w:val="nil"/>
              <w:bottom w:val="single" w:sz="8" w:space="0" w:color="auto"/>
              <w:right w:val="nil"/>
            </w:tcBorders>
            <w:shd w:val="clear" w:color="auto" w:fill="auto"/>
            <w:hideMark/>
          </w:tcPr>
          <w:p w14:paraId="1654A615" w14:textId="77777777" w:rsidR="0039002B" w:rsidRPr="004B3462" w:rsidRDefault="0039002B" w:rsidP="005B1448">
            <w:pPr>
              <w:rPr>
                <w:color w:val="000000"/>
              </w:rPr>
            </w:pPr>
            <w:r w:rsidRPr="004B3462">
              <w:rPr>
                <w:color w:val="000000"/>
              </w:rPr>
              <w:t>Par 6</w:t>
            </w:r>
          </w:p>
        </w:tc>
        <w:tc>
          <w:tcPr>
            <w:tcW w:w="1451" w:type="dxa"/>
            <w:tcBorders>
              <w:top w:val="nil"/>
              <w:left w:val="single" w:sz="8" w:space="0" w:color="000000"/>
              <w:bottom w:val="single" w:sz="8" w:space="0" w:color="auto"/>
              <w:right w:val="single" w:sz="12" w:space="0" w:color="000000"/>
            </w:tcBorders>
            <w:shd w:val="clear" w:color="auto" w:fill="auto"/>
            <w:hideMark/>
          </w:tcPr>
          <w:p w14:paraId="48743258" w14:textId="77777777" w:rsidR="0039002B" w:rsidRPr="004B3462" w:rsidRDefault="0039002B" w:rsidP="005B1448">
            <w:pPr>
              <w:rPr>
                <w:color w:val="000000"/>
              </w:rPr>
            </w:pPr>
            <w:r w:rsidRPr="004B3462">
              <w:rPr>
                <w:color w:val="000000"/>
              </w:rPr>
              <w:t>LNPÁG_05 - LNPÁG_15</w:t>
            </w:r>
          </w:p>
        </w:tc>
        <w:tc>
          <w:tcPr>
            <w:tcW w:w="1166" w:type="dxa"/>
            <w:tcBorders>
              <w:top w:val="nil"/>
              <w:left w:val="nil"/>
              <w:bottom w:val="single" w:sz="8" w:space="0" w:color="auto"/>
              <w:right w:val="single" w:sz="4" w:space="0" w:color="000000"/>
            </w:tcBorders>
            <w:shd w:val="clear" w:color="auto" w:fill="auto"/>
            <w:noWrap/>
            <w:vAlign w:val="center"/>
            <w:hideMark/>
          </w:tcPr>
          <w:p w14:paraId="2CBC3515" w14:textId="77777777" w:rsidR="0039002B" w:rsidRPr="004B3462" w:rsidRDefault="0039002B" w:rsidP="005B1448">
            <w:pPr>
              <w:jc w:val="right"/>
              <w:rPr>
                <w:color w:val="000000"/>
              </w:rPr>
            </w:pPr>
            <w:r w:rsidRPr="004B3462">
              <w:rPr>
                <w:color w:val="000000"/>
              </w:rPr>
              <w:t>-0,81</w:t>
            </w:r>
          </w:p>
        </w:tc>
        <w:tc>
          <w:tcPr>
            <w:tcW w:w="1232" w:type="dxa"/>
            <w:tcBorders>
              <w:top w:val="nil"/>
              <w:left w:val="nil"/>
              <w:bottom w:val="single" w:sz="8" w:space="0" w:color="auto"/>
              <w:right w:val="single" w:sz="4" w:space="0" w:color="000000"/>
            </w:tcBorders>
            <w:shd w:val="clear" w:color="auto" w:fill="auto"/>
            <w:noWrap/>
            <w:vAlign w:val="center"/>
            <w:hideMark/>
          </w:tcPr>
          <w:p w14:paraId="4B4D3BAC" w14:textId="77777777" w:rsidR="0039002B" w:rsidRPr="004B3462" w:rsidRDefault="0039002B" w:rsidP="005B1448">
            <w:pPr>
              <w:jc w:val="right"/>
              <w:rPr>
                <w:color w:val="000000"/>
              </w:rPr>
            </w:pPr>
            <w:r w:rsidRPr="004B3462">
              <w:rPr>
                <w:color w:val="000000"/>
              </w:rPr>
              <w:t>0,66</w:t>
            </w:r>
          </w:p>
        </w:tc>
        <w:tc>
          <w:tcPr>
            <w:tcW w:w="1260" w:type="dxa"/>
            <w:tcBorders>
              <w:top w:val="nil"/>
              <w:left w:val="nil"/>
              <w:bottom w:val="single" w:sz="8" w:space="0" w:color="auto"/>
              <w:right w:val="single" w:sz="4" w:space="0" w:color="000000"/>
            </w:tcBorders>
            <w:shd w:val="clear" w:color="auto" w:fill="auto"/>
            <w:noWrap/>
            <w:vAlign w:val="center"/>
            <w:hideMark/>
          </w:tcPr>
          <w:p w14:paraId="6CF7158A" w14:textId="77777777" w:rsidR="0039002B" w:rsidRPr="004B3462" w:rsidRDefault="0039002B" w:rsidP="005B1448">
            <w:pPr>
              <w:jc w:val="right"/>
              <w:rPr>
                <w:color w:val="000000"/>
              </w:rPr>
            </w:pPr>
            <w:r w:rsidRPr="004B3462">
              <w:rPr>
                <w:color w:val="000000"/>
              </w:rPr>
              <w:t>-17,50</w:t>
            </w:r>
          </w:p>
        </w:tc>
        <w:tc>
          <w:tcPr>
            <w:tcW w:w="1336" w:type="dxa"/>
            <w:tcBorders>
              <w:top w:val="nil"/>
              <w:left w:val="nil"/>
              <w:bottom w:val="single" w:sz="8" w:space="0" w:color="auto"/>
              <w:right w:val="nil"/>
            </w:tcBorders>
            <w:shd w:val="clear" w:color="auto" w:fill="auto"/>
            <w:noWrap/>
            <w:vAlign w:val="center"/>
            <w:hideMark/>
          </w:tcPr>
          <w:p w14:paraId="5E024A17" w14:textId="0D4F4796" w:rsidR="0039002B" w:rsidRPr="004B3462" w:rsidRDefault="0039002B" w:rsidP="005B1448">
            <w:pPr>
              <w:jc w:val="right"/>
              <w:rPr>
                <w:color w:val="000000"/>
              </w:rPr>
            </w:pPr>
            <w:r w:rsidRPr="004B3462">
              <w:rPr>
                <w:color w:val="000000"/>
              </w:rPr>
              <w:t>0,00*</w:t>
            </w:r>
            <w:r w:rsidR="00C747CE">
              <w:rPr>
                <w:color w:val="000000"/>
              </w:rPr>
              <w:t>**</w:t>
            </w:r>
          </w:p>
        </w:tc>
        <w:tc>
          <w:tcPr>
            <w:tcW w:w="1392" w:type="dxa"/>
            <w:tcBorders>
              <w:top w:val="nil"/>
              <w:left w:val="single" w:sz="4" w:space="0" w:color="000000"/>
              <w:bottom w:val="single" w:sz="8" w:space="0" w:color="auto"/>
              <w:right w:val="nil"/>
            </w:tcBorders>
            <w:shd w:val="clear" w:color="auto" w:fill="auto"/>
            <w:noWrap/>
            <w:vAlign w:val="center"/>
            <w:hideMark/>
          </w:tcPr>
          <w:p w14:paraId="18E1310B" w14:textId="44770B2B" w:rsidR="0039002B" w:rsidRPr="004B3462" w:rsidRDefault="0039002B" w:rsidP="005B1448">
            <w:pPr>
              <w:jc w:val="right"/>
              <w:rPr>
                <w:color w:val="000000"/>
              </w:rPr>
            </w:pPr>
            <w:r w:rsidRPr="004B3462">
              <w:rPr>
                <w:color w:val="000000"/>
              </w:rPr>
              <w:t>0,00*</w:t>
            </w:r>
            <w:r w:rsidR="00C747CE">
              <w:rPr>
                <w:color w:val="000000"/>
              </w:rPr>
              <w:t>**</w:t>
            </w:r>
          </w:p>
        </w:tc>
      </w:tr>
      <w:tr w:rsidR="0039002B" w:rsidRPr="004B3462" w14:paraId="2E9272F8" w14:textId="77777777" w:rsidTr="005B1448">
        <w:trPr>
          <w:trHeight w:val="459"/>
          <w:jc w:val="center"/>
        </w:trPr>
        <w:tc>
          <w:tcPr>
            <w:tcW w:w="840" w:type="dxa"/>
            <w:tcBorders>
              <w:top w:val="nil"/>
              <w:left w:val="nil"/>
              <w:bottom w:val="single" w:sz="4" w:space="0" w:color="auto"/>
              <w:right w:val="nil"/>
            </w:tcBorders>
            <w:shd w:val="clear" w:color="auto" w:fill="auto"/>
            <w:hideMark/>
          </w:tcPr>
          <w:p w14:paraId="6D7E73F9" w14:textId="77777777" w:rsidR="0039002B" w:rsidRPr="004B3462" w:rsidRDefault="0039002B" w:rsidP="005B1448">
            <w:pPr>
              <w:rPr>
                <w:color w:val="000000"/>
              </w:rPr>
            </w:pPr>
            <w:r w:rsidRPr="004B3462">
              <w:rPr>
                <w:color w:val="000000"/>
              </w:rPr>
              <w:t>Par 7</w:t>
            </w:r>
          </w:p>
        </w:tc>
        <w:tc>
          <w:tcPr>
            <w:tcW w:w="1451" w:type="dxa"/>
            <w:tcBorders>
              <w:top w:val="nil"/>
              <w:left w:val="single" w:sz="8" w:space="0" w:color="000000"/>
              <w:bottom w:val="single" w:sz="4" w:space="0" w:color="auto"/>
              <w:right w:val="single" w:sz="12" w:space="0" w:color="000000"/>
            </w:tcBorders>
            <w:shd w:val="clear" w:color="auto" w:fill="auto"/>
            <w:hideMark/>
          </w:tcPr>
          <w:p w14:paraId="27341A49" w14:textId="77777777" w:rsidR="0039002B" w:rsidRPr="004B3462" w:rsidRDefault="0039002B" w:rsidP="005B1448">
            <w:pPr>
              <w:rPr>
                <w:color w:val="000000"/>
              </w:rPr>
            </w:pPr>
            <w:r w:rsidRPr="004B3462">
              <w:rPr>
                <w:color w:val="000000"/>
              </w:rPr>
              <w:t>PAL2005 - PAL2010</w:t>
            </w:r>
          </w:p>
        </w:tc>
        <w:tc>
          <w:tcPr>
            <w:tcW w:w="1166" w:type="dxa"/>
            <w:tcBorders>
              <w:top w:val="nil"/>
              <w:left w:val="nil"/>
              <w:bottom w:val="single" w:sz="4" w:space="0" w:color="auto"/>
              <w:right w:val="single" w:sz="4" w:space="0" w:color="000000"/>
            </w:tcBorders>
            <w:shd w:val="clear" w:color="auto" w:fill="auto"/>
            <w:noWrap/>
            <w:vAlign w:val="center"/>
            <w:hideMark/>
          </w:tcPr>
          <w:p w14:paraId="14E11BB1" w14:textId="77777777" w:rsidR="0039002B" w:rsidRPr="004B3462" w:rsidRDefault="0039002B" w:rsidP="005B1448">
            <w:pPr>
              <w:jc w:val="right"/>
              <w:rPr>
                <w:color w:val="000000"/>
              </w:rPr>
            </w:pPr>
            <w:r w:rsidRPr="004B3462">
              <w:rPr>
                <w:color w:val="000000"/>
              </w:rPr>
              <w:t>-12642,45</w:t>
            </w:r>
          </w:p>
        </w:tc>
        <w:tc>
          <w:tcPr>
            <w:tcW w:w="1232" w:type="dxa"/>
            <w:tcBorders>
              <w:top w:val="nil"/>
              <w:left w:val="nil"/>
              <w:bottom w:val="single" w:sz="4" w:space="0" w:color="auto"/>
              <w:right w:val="single" w:sz="4" w:space="0" w:color="000000"/>
            </w:tcBorders>
            <w:shd w:val="clear" w:color="auto" w:fill="auto"/>
            <w:noWrap/>
            <w:vAlign w:val="center"/>
            <w:hideMark/>
          </w:tcPr>
          <w:p w14:paraId="1AF01F7B" w14:textId="77777777" w:rsidR="0039002B" w:rsidRPr="004B3462" w:rsidRDefault="0039002B" w:rsidP="005B1448">
            <w:pPr>
              <w:jc w:val="right"/>
              <w:rPr>
                <w:color w:val="000000"/>
              </w:rPr>
            </w:pPr>
            <w:r w:rsidRPr="004B3462">
              <w:rPr>
                <w:color w:val="000000"/>
              </w:rPr>
              <w:t>11448,80</w:t>
            </w:r>
          </w:p>
        </w:tc>
        <w:tc>
          <w:tcPr>
            <w:tcW w:w="1260" w:type="dxa"/>
            <w:tcBorders>
              <w:top w:val="nil"/>
              <w:left w:val="nil"/>
              <w:bottom w:val="single" w:sz="4" w:space="0" w:color="auto"/>
              <w:right w:val="single" w:sz="4" w:space="0" w:color="000000"/>
            </w:tcBorders>
            <w:shd w:val="clear" w:color="auto" w:fill="auto"/>
            <w:noWrap/>
            <w:vAlign w:val="center"/>
            <w:hideMark/>
          </w:tcPr>
          <w:p w14:paraId="08F484C8" w14:textId="77777777" w:rsidR="0039002B" w:rsidRPr="004B3462" w:rsidRDefault="0039002B" w:rsidP="005B1448">
            <w:pPr>
              <w:jc w:val="right"/>
              <w:rPr>
                <w:color w:val="000000"/>
              </w:rPr>
            </w:pPr>
            <w:r w:rsidRPr="004B3462">
              <w:rPr>
                <w:color w:val="000000"/>
              </w:rPr>
              <w:t>-15,81</w:t>
            </w:r>
          </w:p>
        </w:tc>
        <w:tc>
          <w:tcPr>
            <w:tcW w:w="1336" w:type="dxa"/>
            <w:tcBorders>
              <w:top w:val="single" w:sz="4" w:space="0" w:color="auto"/>
              <w:left w:val="nil"/>
              <w:bottom w:val="single" w:sz="4" w:space="0" w:color="auto"/>
              <w:right w:val="nil"/>
            </w:tcBorders>
            <w:shd w:val="clear" w:color="auto" w:fill="auto"/>
            <w:noWrap/>
            <w:vAlign w:val="center"/>
            <w:hideMark/>
          </w:tcPr>
          <w:p w14:paraId="2796B0FE" w14:textId="2D7AE983" w:rsidR="0039002B" w:rsidRPr="004B3462" w:rsidRDefault="0039002B" w:rsidP="005B1448">
            <w:pPr>
              <w:jc w:val="right"/>
              <w:rPr>
                <w:color w:val="000000"/>
              </w:rPr>
            </w:pPr>
            <w:r w:rsidRPr="004B3462">
              <w:rPr>
                <w:color w:val="000000"/>
              </w:rPr>
              <w:t>0,00*</w:t>
            </w:r>
            <w:r w:rsidR="00C747CE">
              <w:rPr>
                <w:color w:val="000000"/>
              </w:rPr>
              <w:t>**</w:t>
            </w:r>
          </w:p>
        </w:tc>
        <w:tc>
          <w:tcPr>
            <w:tcW w:w="1392" w:type="dxa"/>
            <w:tcBorders>
              <w:top w:val="single" w:sz="4" w:space="0" w:color="auto"/>
              <w:left w:val="single" w:sz="4" w:space="0" w:color="000000"/>
              <w:bottom w:val="single" w:sz="4" w:space="0" w:color="auto"/>
              <w:right w:val="nil"/>
            </w:tcBorders>
            <w:shd w:val="clear" w:color="auto" w:fill="auto"/>
            <w:noWrap/>
            <w:vAlign w:val="center"/>
            <w:hideMark/>
          </w:tcPr>
          <w:p w14:paraId="5B10CCEC" w14:textId="64CC28AD" w:rsidR="0039002B" w:rsidRPr="004B3462" w:rsidRDefault="0039002B" w:rsidP="005B1448">
            <w:pPr>
              <w:jc w:val="right"/>
              <w:rPr>
                <w:color w:val="000000"/>
              </w:rPr>
            </w:pPr>
            <w:r w:rsidRPr="004B3462">
              <w:rPr>
                <w:color w:val="000000"/>
              </w:rPr>
              <w:t>0,00*</w:t>
            </w:r>
            <w:r w:rsidR="00C747CE">
              <w:rPr>
                <w:color w:val="000000"/>
              </w:rPr>
              <w:t>**</w:t>
            </w:r>
          </w:p>
        </w:tc>
      </w:tr>
      <w:tr w:rsidR="0039002B" w:rsidRPr="004B3462" w14:paraId="69BC7929" w14:textId="77777777" w:rsidTr="005B1448">
        <w:trPr>
          <w:trHeight w:val="459"/>
          <w:jc w:val="center"/>
        </w:trPr>
        <w:tc>
          <w:tcPr>
            <w:tcW w:w="840" w:type="dxa"/>
            <w:tcBorders>
              <w:top w:val="nil"/>
              <w:left w:val="nil"/>
              <w:bottom w:val="single" w:sz="4" w:space="0" w:color="auto"/>
              <w:right w:val="nil"/>
            </w:tcBorders>
            <w:shd w:val="clear" w:color="auto" w:fill="auto"/>
            <w:hideMark/>
          </w:tcPr>
          <w:p w14:paraId="435169E3" w14:textId="77777777" w:rsidR="0039002B" w:rsidRPr="004B3462" w:rsidRDefault="0039002B" w:rsidP="005B1448">
            <w:pPr>
              <w:rPr>
                <w:color w:val="000000"/>
              </w:rPr>
            </w:pPr>
            <w:r w:rsidRPr="004B3462">
              <w:rPr>
                <w:color w:val="000000"/>
              </w:rPr>
              <w:t>Par 8</w:t>
            </w:r>
          </w:p>
        </w:tc>
        <w:tc>
          <w:tcPr>
            <w:tcW w:w="1451" w:type="dxa"/>
            <w:tcBorders>
              <w:top w:val="nil"/>
              <w:left w:val="single" w:sz="8" w:space="0" w:color="000000"/>
              <w:bottom w:val="single" w:sz="4" w:space="0" w:color="auto"/>
              <w:right w:val="single" w:sz="12" w:space="0" w:color="000000"/>
            </w:tcBorders>
            <w:shd w:val="clear" w:color="auto" w:fill="auto"/>
            <w:hideMark/>
          </w:tcPr>
          <w:p w14:paraId="2558027B" w14:textId="77777777" w:rsidR="0039002B" w:rsidRPr="00B20489" w:rsidRDefault="0039002B" w:rsidP="005B1448">
            <w:pPr>
              <w:rPr>
                <w:b/>
                <w:color w:val="000000"/>
              </w:rPr>
            </w:pPr>
            <w:r w:rsidRPr="00B20489">
              <w:rPr>
                <w:b/>
                <w:color w:val="000000"/>
              </w:rPr>
              <w:t>PAL2010 - PAL2015</w:t>
            </w:r>
          </w:p>
        </w:tc>
        <w:tc>
          <w:tcPr>
            <w:tcW w:w="1166" w:type="dxa"/>
            <w:tcBorders>
              <w:top w:val="nil"/>
              <w:left w:val="nil"/>
              <w:bottom w:val="single" w:sz="4" w:space="0" w:color="auto"/>
              <w:right w:val="single" w:sz="4" w:space="0" w:color="000000"/>
            </w:tcBorders>
            <w:shd w:val="clear" w:color="auto" w:fill="auto"/>
            <w:noWrap/>
            <w:vAlign w:val="center"/>
            <w:hideMark/>
          </w:tcPr>
          <w:p w14:paraId="3C63FA6E" w14:textId="77777777" w:rsidR="0039002B" w:rsidRPr="00B20489" w:rsidRDefault="0039002B" w:rsidP="005B1448">
            <w:pPr>
              <w:jc w:val="right"/>
              <w:rPr>
                <w:b/>
                <w:color w:val="000000"/>
              </w:rPr>
            </w:pPr>
            <w:r w:rsidRPr="00B20489">
              <w:rPr>
                <w:b/>
                <w:color w:val="000000"/>
              </w:rPr>
              <w:t>1244,61</w:t>
            </w:r>
          </w:p>
        </w:tc>
        <w:tc>
          <w:tcPr>
            <w:tcW w:w="1232" w:type="dxa"/>
            <w:tcBorders>
              <w:top w:val="nil"/>
              <w:left w:val="nil"/>
              <w:bottom w:val="single" w:sz="4" w:space="0" w:color="auto"/>
              <w:right w:val="single" w:sz="4" w:space="0" w:color="000000"/>
            </w:tcBorders>
            <w:shd w:val="clear" w:color="auto" w:fill="auto"/>
            <w:noWrap/>
            <w:vAlign w:val="center"/>
            <w:hideMark/>
          </w:tcPr>
          <w:p w14:paraId="628B2E51" w14:textId="77777777" w:rsidR="0039002B" w:rsidRPr="00B20489" w:rsidRDefault="0039002B" w:rsidP="005B1448">
            <w:pPr>
              <w:jc w:val="right"/>
              <w:rPr>
                <w:b/>
                <w:color w:val="000000"/>
              </w:rPr>
            </w:pPr>
            <w:r w:rsidRPr="00B20489">
              <w:rPr>
                <w:b/>
                <w:color w:val="000000"/>
              </w:rPr>
              <w:t>10537,60</w:t>
            </w:r>
          </w:p>
        </w:tc>
        <w:tc>
          <w:tcPr>
            <w:tcW w:w="1260" w:type="dxa"/>
            <w:tcBorders>
              <w:top w:val="nil"/>
              <w:left w:val="nil"/>
              <w:bottom w:val="single" w:sz="4" w:space="0" w:color="auto"/>
              <w:right w:val="single" w:sz="4" w:space="0" w:color="000000"/>
            </w:tcBorders>
            <w:shd w:val="clear" w:color="auto" w:fill="auto"/>
            <w:noWrap/>
            <w:vAlign w:val="center"/>
            <w:hideMark/>
          </w:tcPr>
          <w:p w14:paraId="107CC9E5" w14:textId="77777777" w:rsidR="0039002B" w:rsidRPr="00B20489" w:rsidRDefault="0039002B" w:rsidP="005B1448">
            <w:pPr>
              <w:jc w:val="right"/>
              <w:rPr>
                <w:b/>
                <w:color w:val="000000"/>
              </w:rPr>
            </w:pPr>
            <w:r w:rsidRPr="00B20489">
              <w:rPr>
                <w:b/>
                <w:color w:val="000000"/>
              </w:rPr>
              <w:t>1,69</w:t>
            </w:r>
          </w:p>
        </w:tc>
        <w:tc>
          <w:tcPr>
            <w:tcW w:w="1336" w:type="dxa"/>
            <w:tcBorders>
              <w:top w:val="nil"/>
              <w:left w:val="nil"/>
              <w:bottom w:val="single" w:sz="4" w:space="0" w:color="auto"/>
              <w:right w:val="nil"/>
            </w:tcBorders>
            <w:shd w:val="clear" w:color="auto" w:fill="auto"/>
            <w:noWrap/>
            <w:vAlign w:val="center"/>
            <w:hideMark/>
          </w:tcPr>
          <w:p w14:paraId="1E5A2252" w14:textId="5A759500" w:rsidR="0039002B" w:rsidRPr="00B20489" w:rsidRDefault="0039002B" w:rsidP="005B1448">
            <w:pPr>
              <w:jc w:val="right"/>
              <w:rPr>
                <w:b/>
                <w:color w:val="000000"/>
              </w:rPr>
            </w:pPr>
            <w:r w:rsidRPr="00B20489">
              <w:rPr>
                <w:b/>
                <w:color w:val="000000"/>
              </w:rPr>
              <w:t>0,09</w:t>
            </w:r>
            <w:r w:rsidR="00C747CE">
              <w:rPr>
                <w:b/>
                <w:color w:val="000000"/>
              </w:rPr>
              <w:t>*</w:t>
            </w:r>
          </w:p>
        </w:tc>
        <w:tc>
          <w:tcPr>
            <w:tcW w:w="1392" w:type="dxa"/>
            <w:tcBorders>
              <w:top w:val="nil"/>
              <w:left w:val="single" w:sz="4" w:space="0" w:color="000000"/>
              <w:bottom w:val="single" w:sz="4" w:space="0" w:color="auto"/>
              <w:right w:val="nil"/>
            </w:tcBorders>
            <w:shd w:val="clear" w:color="auto" w:fill="auto"/>
            <w:noWrap/>
            <w:vAlign w:val="center"/>
            <w:hideMark/>
          </w:tcPr>
          <w:p w14:paraId="02E36C40" w14:textId="126938DC" w:rsidR="0039002B" w:rsidRPr="00B20489" w:rsidRDefault="0039002B" w:rsidP="005B1448">
            <w:pPr>
              <w:jc w:val="right"/>
              <w:rPr>
                <w:b/>
                <w:color w:val="000000"/>
              </w:rPr>
            </w:pPr>
            <w:r w:rsidRPr="00B20489">
              <w:rPr>
                <w:b/>
                <w:color w:val="000000"/>
              </w:rPr>
              <w:t>0,05</w:t>
            </w:r>
            <w:r w:rsidR="00C747CE">
              <w:rPr>
                <w:b/>
                <w:color w:val="000000"/>
              </w:rPr>
              <w:t>**</w:t>
            </w:r>
          </w:p>
        </w:tc>
      </w:tr>
      <w:tr w:rsidR="0039002B" w:rsidRPr="004B3462" w14:paraId="0645E482" w14:textId="77777777" w:rsidTr="005B1448">
        <w:trPr>
          <w:trHeight w:val="472"/>
          <w:jc w:val="center"/>
        </w:trPr>
        <w:tc>
          <w:tcPr>
            <w:tcW w:w="840" w:type="dxa"/>
            <w:tcBorders>
              <w:top w:val="nil"/>
              <w:left w:val="nil"/>
              <w:bottom w:val="single" w:sz="8" w:space="0" w:color="auto"/>
              <w:right w:val="nil"/>
            </w:tcBorders>
            <w:shd w:val="clear" w:color="auto" w:fill="auto"/>
            <w:hideMark/>
          </w:tcPr>
          <w:p w14:paraId="7E8116A6" w14:textId="77777777" w:rsidR="0039002B" w:rsidRPr="004B3462" w:rsidRDefault="0039002B" w:rsidP="005B1448">
            <w:pPr>
              <w:rPr>
                <w:color w:val="000000"/>
              </w:rPr>
            </w:pPr>
            <w:r w:rsidRPr="004B3462">
              <w:rPr>
                <w:color w:val="000000"/>
              </w:rPr>
              <w:t>Par 9</w:t>
            </w:r>
          </w:p>
        </w:tc>
        <w:tc>
          <w:tcPr>
            <w:tcW w:w="1451" w:type="dxa"/>
            <w:tcBorders>
              <w:top w:val="nil"/>
              <w:left w:val="single" w:sz="8" w:space="0" w:color="000000"/>
              <w:bottom w:val="single" w:sz="8" w:space="0" w:color="auto"/>
              <w:right w:val="single" w:sz="12" w:space="0" w:color="000000"/>
            </w:tcBorders>
            <w:shd w:val="clear" w:color="auto" w:fill="auto"/>
            <w:hideMark/>
          </w:tcPr>
          <w:p w14:paraId="394EDFB5" w14:textId="77777777" w:rsidR="0039002B" w:rsidRPr="004B3462" w:rsidRDefault="0039002B" w:rsidP="005B1448">
            <w:pPr>
              <w:rPr>
                <w:color w:val="000000"/>
              </w:rPr>
            </w:pPr>
            <w:r w:rsidRPr="004B3462">
              <w:rPr>
                <w:color w:val="000000"/>
              </w:rPr>
              <w:t>PAL2005 - PAL2015</w:t>
            </w:r>
          </w:p>
        </w:tc>
        <w:tc>
          <w:tcPr>
            <w:tcW w:w="1166" w:type="dxa"/>
            <w:tcBorders>
              <w:top w:val="nil"/>
              <w:left w:val="nil"/>
              <w:bottom w:val="single" w:sz="8" w:space="0" w:color="auto"/>
              <w:right w:val="single" w:sz="4" w:space="0" w:color="000000"/>
            </w:tcBorders>
            <w:shd w:val="clear" w:color="auto" w:fill="auto"/>
            <w:noWrap/>
            <w:vAlign w:val="center"/>
            <w:hideMark/>
          </w:tcPr>
          <w:p w14:paraId="21E8F0E8" w14:textId="77777777" w:rsidR="0039002B" w:rsidRPr="004B3462" w:rsidRDefault="0039002B" w:rsidP="005B1448">
            <w:pPr>
              <w:jc w:val="right"/>
              <w:rPr>
                <w:color w:val="000000"/>
              </w:rPr>
            </w:pPr>
            <w:r w:rsidRPr="004B3462">
              <w:rPr>
                <w:color w:val="000000"/>
              </w:rPr>
              <w:t>-11397,84</w:t>
            </w:r>
          </w:p>
        </w:tc>
        <w:tc>
          <w:tcPr>
            <w:tcW w:w="1232" w:type="dxa"/>
            <w:tcBorders>
              <w:top w:val="nil"/>
              <w:left w:val="nil"/>
              <w:bottom w:val="single" w:sz="8" w:space="0" w:color="auto"/>
              <w:right w:val="single" w:sz="4" w:space="0" w:color="000000"/>
            </w:tcBorders>
            <w:shd w:val="clear" w:color="auto" w:fill="auto"/>
            <w:noWrap/>
            <w:vAlign w:val="center"/>
            <w:hideMark/>
          </w:tcPr>
          <w:p w14:paraId="006EB912" w14:textId="77777777" w:rsidR="0039002B" w:rsidRPr="004B3462" w:rsidRDefault="0039002B" w:rsidP="005B1448">
            <w:pPr>
              <w:jc w:val="right"/>
              <w:rPr>
                <w:color w:val="000000"/>
              </w:rPr>
            </w:pPr>
            <w:r w:rsidRPr="004B3462">
              <w:rPr>
                <w:color w:val="000000"/>
              </w:rPr>
              <w:t>11654,44</w:t>
            </w:r>
          </w:p>
        </w:tc>
        <w:tc>
          <w:tcPr>
            <w:tcW w:w="1260" w:type="dxa"/>
            <w:tcBorders>
              <w:top w:val="nil"/>
              <w:left w:val="nil"/>
              <w:bottom w:val="single" w:sz="8" w:space="0" w:color="auto"/>
              <w:right w:val="single" w:sz="4" w:space="0" w:color="000000"/>
            </w:tcBorders>
            <w:shd w:val="clear" w:color="auto" w:fill="auto"/>
            <w:noWrap/>
            <w:vAlign w:val="center"/>
            <w:hideMark/>
          </w:tcPr>
          <w:p w14:paraId="32BE9146" w14:textId="77777777" w:rsidR="0039002B" w:rsidRPr="004B3462" w:rsidRDefault="0039002B" w:rsidP="005B1448">
            <w:pPr>
              <w:jc w:val="right"/>
              <w:rPr>
                <w:color w:val="000000"/>
              </w:rPr>
            </w:pPr>
            <w:r w:rsidRPr="004B3462">
              <w:rPr>
                <w:color w:val="000000"/>
              </w:rPr>
              <w:t>-14,00</w:t>
            </w:r>
          </w:p>
        </w:tc>
        <w:tc>
          <w:tcPr>
            <w:tcW w:w="1336" w:type="dxa"/>
            <w:tcBorders>
              <w:top w:val="nil"/>
              <w:left w:val="nil"/>
              <w:bottom w:val="single" w:sz="8" w:space="0" w:color="auto"/>
              <w:right w:val="nil"/>
            </w:tcBorders>
            <w:shd w:val="clear" w:color="auto" w:fill="auto"/>
            <w:noWrap/>
            <w:vAlign w:val="center"/>
            <w:hideMark/>
          </w:tcPr>
          <w:p w14:paraId="53D80AF0" w14:textId="27165611" w:rsidR="0039002B" w:rsidRPr="004B3462" w:rsidRDefault="0039002B" w:rsidP="005B1448">
            <w:pPr>
              <w:jc w:val="right"/>
              <w:rPr>
                <w:color w:val="000000"/>
              </w:rPr>
            </w:pPr>
            <w:r w:rsidRPr="004B3462">
              <w:rPr>
                <w:color w:val="000000"/>
              </w:rPr>
              <w:t>0,00*</w:t>
            </w:r>
            <w:r w:rsidR="00C747CE">
              <w:rPr>
                <w:color w:val="000000"/>
              </w:rPr>
              <w:t>**</w:t>
            </w:r>
          </w:p>
        </w:tc>
        <w:tc>
          <w:tcPr>
            <w:tcW w:w="1392" w:type="dxa"/>
            <w:tcBorders>
              <w:top w:val="nil"/>
              <w:left w:val="single" w:sz="4" w:space="0" w:color="000000"/>
              <w:bottom w:val="single" w:sz="8" w:space="0" w:color="auto"/>
              <w:right w:val="nil"/>
            </w:tcBorders>
            <w:shd w:val="clear" w:color="auto" w:fill="auto"/>
            <w:noWrap/>
            <w:vAlign w:val="center"/>
            <w:hideMark/>
          </w:tcPr>
          <w:p w14:paraId="22287CBB" w14:textId="0578451D" w:rsidR="0039002B" w:rsidRPr="004B3462" w:rsidRDefault="0039002B" w:rsidP="005B1448">
            <w:pPr>
              <w:jc w:val="right"/>
              <w:rPr>
                <w:color w:val="000000"/>
              </w:rPr>
            </w:pPr>
            <w:r w:rsidRPr="004B3462">
              <w:rPr>
                <w:color w:val="000000"/>
              </w:rPr>
              <w:t>0,00*</w:t>
            </w:r>
            <w:r w:rsidR="00C747CE">
              <w:rPr>
                <w:color w:val="000000"/>
              </w:rPr>
              <w:t>**</w:t>
            </w:r>
          </w:p>
        </w:tc>
      </w:tr>
      <w:tr w:rsidR="0039002B" w:rsidRPr="004B3462" w14:paraId="1C2EA9F7" w14:textId="77777777" w:rsidTr="005B1448">
        <w:trPr>
          <w:trHeight w:val="459"/>
          <w:jc w:val="center"/>
        </w:trPr>
        <w:tc>
          <w:tcPr>
            <w:tcW w:w="840" w:type="dxa"/>
            <w:tcBorders>
              <w:top w:val="nil"/>
              <w:left w:val="nil"/>
              <w:bottom w:val="single" w:sz="4" w:space="0" w:color="auto"/>
              <w:right w:val="nil"/>
            </w:tcBorders>
            <w:shd w:val="clear" w:color="auto" w:fill="auto"/>
            <w:hideMark/>
          </w:tcPr>
          <w:p w14:paraId="425C0925" w14:textId="77777777" w:rsidR="0039002B" w:rsidRPr="004B3462" w:rsidRDefault="0039002B" w:rsidP="005B1448">
            <w:pPr>
              <w:rPr>
                <w:color w:val="000000"/>
              </w:rPr>
            </w:pPr>
            <w:r w:rsidRPr="004B3462">
              <w:rPr>
                <w:color w:val="000000"/>
              </w:rPr>
              <w:t>Par 10</w:t>
            </w:r>
          </w:p>
        </w:tc>
        <w:tc>
          <w:tcPr>
            <w:tcW w:w="1451" w:type="dxa"/>
            <w:tcBorders>
              <w:top w:val="nil"/>
              <w:left w:val="single" w:sz="8" w:space="0" w:color="000000"/>
              <w:bottom w:val="single" w:sz="4" w:space="0" w:color="auto"/>
              <w:right w:val="single" w:sz="12" w:space="0" w:color="000000"/>
            </w:tcBorders>
            <w:shd w:val="clear" w:color="auto" w:fill="auto"/>
            <w:hideMark/>
          </w:tcPr>
          <w:p w14:paraId="5FD7B9F0" w14:textId="77777777" w:rsidR="0039002B" w:rsidRPr="004B3462" w:rsidRDefault="0039002B" w:rsidP="005B1448">
            <w:pPr>
              <w:rPr>
                <w:color w:val="000000"/>
              </w:rPr>
            </w:pPr>
            <w:r w:rsidRPr="004B3462">
              <w:rPr>
                <w:color w:val="000000"/>
              </w:rPr>
              <w:t>LNPAL_05 - LNPAL_10</w:t>
            </w:r>
          </w:p>
        </w:tc>
        <w:tc>
          <w:tcPr>
            <w:tcW w:w="1166" w:type="dxa"/>
            <w:tcBorders>
              <w:top w:val="nil"/>
              <w:left w:val="nil"/>
              <w:bottom w:val="single" w:sz="4" w:space="0" w:color="auto"/>
              <w:right w:val="single" w:sz="4" w:space="0" w:color="000000"/>
            </w:tcBorders>
            <w:shd w:val="clear" w:color="auto" w:fill="auto"/>
            <w:noWrap/>
            <w:vAlign w:val="center"/>
            <w:hideMark/>
          </w:tcPr>
          <w:p w14:paraId="720522CC" w14:textId="77777777" w:rsidR="0039002B" w:rsidRPr="004B3462" w:rsidRDefault="0039002B" w:rsidP="005B1448">
            <w:pPr>
              <w:jc w:val="right"/>
              <w:rPr>
                <w:color w:val="000000"/>
              </w:rPr>
            </w:pPr>
            <w:r w:rsidRPr="004B3462">
              <w:rPr>
                <w:color w:val="000000"/>
              </w:rPr>
              <w:t>-1,18</w:t>
            </w:r>
          </w:p>
        </w:tc>
        <w:tc>
          <w:tcPr>
            <w:tcW w:w="1232" w:type="dxa"/>
            <w:tcBorders>
              <w:top w:val="nil"/>
              <w:left w:val="nil"/>
              <w:bottom w:val="single" w:sz="4" w:space="0" w:color="auto"/>
              <w:right w:val="single" w:sz="4" w:space="0" w:color="000000"/>
            </w:tcBorders>
            <w:shd w:val="clear" w:color="auto" w:fill="auto"/>
            <w:noWrap/>
            <w:vAlign w:val="center"/>
            <w:hideMark/>
          </w:tcPr>
          <w:p w14:paraId="4A14DA8E" w14:textId="77777777" w:rsidR="0039002B" w:rsidRPr="004B3462" w:rsidRDefault="0039002B" w:rsidP="005B1448">
            <w:pPr>
              <w:jc w:val="right"/>
              <w:rPr>
                <w:color w:val="000000"/>
              </w:rPr>
            </w:pPr>
            <w:r w:rsidRPr="004B3462">
              <w:rPr>
                <w:color w:val="000000"/>
              </w:rPr>
              <w:t>0,71</w:t>
            </w:r>
          </w:p>
        </w:tc>
        <w:tc>
          <w:tcPr>
            <w:tcW w:w="1260" w:type="dxa"/>
            <w:tcBorders>
              <w:top w:val="nil"/>
              <w:left w:val="nil"/>
              <w:bottom w:val="single" w:sz="4" w:space="0" w:color="auto"/>
              <w:right w:val="single" w:sz="4" w:space="0" w:color="000000"/>
            </w:tcBorders>
            <w:shd w:val="clear" w:color="auto" w:fill="auto"/>
            <w:noWrap/>
            <w:vAlign w:val="center"/>
            <w:hideMark/>
          </w:tcPr>
          <w:p w14:paraId="1D114989" w14:textId="77777777" w:rsidR="0039002B" w:rsidRPr="004B3462" w:rsidRDefault="0039002B" w:rsidP="005B1448">
            <w:pPr>
              <w:jc w:val="right"/>
              <w:rPr>
                <w:color w:val="000000"/>
              </w:rPr>
            </w:pPr>
            <w:r w:rsidRPr="004B3462">
              <w:rPr>
                <w:color w:val="000000"/>
              </w:rPr>
              <w:t>-23,93</w:t>
            </w:r>
          </w:p>
        </w:tc>
        <w:tc>
          <w:tcPr>
            <w:tcW w:w="1336" w:type="dxa"/>
            <w:tcBorders>
              <w:top w:val="single" w:sz="4" w:space="0" w:color="auto"/>
              <w:left w:val="nil"/>
              <w:bottom w:val="single" w:sz="4" w:space="0" w:color="auto"/>
              <w:right w:val="nil"/>
            </w:tcBorders>
            <w:shd w:val="clear" w:color="auto" w:fill="auto"/>
            <w:noWrap/>
            <w:vAlign w:val="center"/>
            <w:hideMark/>
          </w:tcPr>
          <w:p w14:paraId="3B3EDF57" w14:textId="09B34458" w:rsidR="0039002B" w:rsidRPr="004B3462" w:rsidRDefault="0039002B" w:rsidP="005B1448">
            <w:pPr>
              <w:jc w:val="right"/>
              <w:rPr>
                <w:color w:val="000000"/>
              </w:rPr>
            </w:pPr>
            <w:r w:rsidRPr="004B3462">
              <w:rPr>
                <w:color w:val="000000"/>
              </w:rPr>
              <w:t>0,00*</w:t>
            </w:r>
            <w:r w:rsidR="00C747CE">
              <w:rPr>
                <w:color w:val="000000"/>
              </w:rPr>
              <w:t>**</w:t>
            </w:r>
          </w:p>
        </w:tc>
        <w:tc>
          <w:tcPr>
            <w:tcW w:w="1392" w:type="dxa"/>
            <w:tcBorders>
              <w:top w:val="single" w:sz="4" w:space="0" w:color="auto"/>
              <w:left w:val="single" w:sz="4" w:space="0" w:color="000000"/>
              <w:bottom w:val="single" w:sz="4" w:space="0" w:color="auto"/>
              <w:right w:val="nil"/>
            </w:tcBorders>
            <w:shd w:val="clear" w:color="auto" w:fill="auto"/>
            <w:noWrap/>
            <w:vAlign w:val="center"/>
            <w:hideMark/>
          </w:tcPr>
          <w:p w14:paraId="760AECE3" w14:textId="042C2839" w:rsidR="0039002B" w:rsidRPr="004B3462" w:rsidRDefault="0039002B" w:rsidP="005B1448">
            <w:pPr>
              <w:jc w:val="right"/>
              <w:rPr>
                <w:color w:val="000000"/>
              </w:rPr>
            </w:pPr>
            <w:r w:rsidRPr="004B3462">
              <w:rPr>
                <w:color w:val="000000"/>
              </w:rPr>
              <w:t>0,00*</w:t>
            </w:r>
            <w:r w:rsidR="00C747CE">
              <w:rPr>
                <w:color w:val="000000"/>
              </w:rPr>
              <w:t>**</w:t>
            </w:r>
          </w:p>
        </w:tc>
      </w:tr>
      <w:tr w:rsidR="0039002B" w:rsidRPr="0072299C" w14:paraId="7486FAF7" w14:textId="77777777" w:rsidTr="005B1448">
        <w:trPr>
          <w:trHeight w:val="459"/>
          <w:jc w:val="center"/>
        </w:trPr>
        <w:tc>
          <w:tcPr>
            <w:tcW w:w="840" w:type="dxa"/>
            <w:tcBorders>
              <w:top w:val="nil"/>
              <w:left w:val="nil"/>
              <w:bottom w:val="single" w:sz="4" w:space="0" w:color="auto"/>
              <w:right w:val="nil"/>
            </w:tcBorders>
            <w:shd w:val="clear" w:color="auto" w:fill="auto"/>
            <w:hideMark/>
          </w:tcPr>
          <w:p w14:paraId="453B38FB" w14:textId="77777777" w:rsidR="0039002B" w:rsidRPr="0072299C" w:rsidRDefault="0039002B" w:rsidP="005B1448">
            <w:pPr>
              <w:rPr>
                <w:b/>
                <w:color w:val="000000"/>
              </w:rPr>
            </w:pPr>
            <w:r w:rsidRPr="0072299C">
              <w:rPr>
                <w:b/>
                <w:color w:val="000000"/>
              </w:rPr>
              <w:t>Par 11</w:t>
            </w:r>
          </w:p>
        </w:tc>
        <w:tc>
          <w:tcPr>
            <w:tcW w:w="1451" w:type="dxa"/>
            <w:tcBorders>
              <w:top w:val="nil"/>
              <w:left w:val="single" w:sz="8" w:space="0" w:color="000000"/>
              <w:bottom w:val="single" w:sz="4" w:space="0" w:color="auto"/>
              <w:right w:val="single" w:sz="12" w:space="0" w:color="000000"/>
            </w:tcBorders>
            <w:shd w:val="clear" w:color="auto" w:fill="auto"/>
            <w:hideMark/>
          </w:tcPr>
          <w:p w14:paraId="0C05BD45" w14:textId="77777777" w:rsidR="0039002B" w:rsidRPr="0072299C" w:rsidRDefault="0039002B" w:rsidP="005B1448">
            <w:pPr>
              <w:rPr>
                <w:b/>
                <w:color w:val="000000"/>
              </w:rPr>
            </w:pPr>
            <w:r w:rsidRPr="0072299C">
              <w:rPr>
                <w:b/>
                <w:color w:val="000000"/>
              </w:rPr>
              <w:t>LNPAL_10 - LNPAL_15</w:t>
            </w:r>
          </w:p>
        </w:tc>
        <w:tc>
          <w:tcPr>
            <w:tcW w:w="1166" w:type="dxa"/>
            <w:tcBorders>
              <w:top w:val="nil"/>
              <w:left w:val="nil"/>
              <w:bottom w:val="single" w:sz="4" w:space="0" w:color="auto"/>
              <w:right w:val="single" w:sz="4" w:space="0" w:color="000000"/>
            </w:tcBorders>
            <w:shd w:val="clear" w:color="auto" w:fill="auto"/>
            <w:noWrap/>
            <w:vAlign w:val="center"/>
            <w:hideMark/>
          </w:tcPr>
          <w:p w14:paraId="533AA980" w14:textId="77777777" w:rsidR="0039002B" w:rsidRPr="0072299C" w:rsidRDefault="0039002B" w:rsidP="005B1448">
            <w:pPr>
              <w:jc w:val="right"/>
              <w:rPr>
                <w:b/>
                <w:color w:val="000000"/>
              </w:rPr>
            </w:pPr>
            <w:r w:rsidRPr="0072299C">
              <w:rPr>
                <w:b/>
                <w:color w:val="000000"/>
              </w:rPr>
              <w:t>0,05</w:t>
            </w:r>
          </w:p>
        </w:tc>
        <w:tc>
          <w:tcPr>
            <w:tcW w:w="1232" w:type="dxa"/>
            <w:tcBorders>
              <w:top w:val="nil"/>
              <w:left w:val="nil"/>
              <w:bottom w:val="single" w:sz="4" w:space="0" w:color="auto"/>
              <w:right w:val="single" w:sz="4" w:space="0" w:color="000000"/>
            </w:tcBorders>
            <w:shd w:val="clear" w:color="auto" w:fill="auto"/>
            <w:noWrap/>
            <w:vAlign w:val="center"/>
            <w:hideMark/>
          </w:tcPr>
          <w:p w14:paraId="0C857E80" w14:textId="77777777" w:rsidR="0039002B" w:rsidRPr="0072299C" w:rsidRDefault="0039002B" w:rsidP="005B1448">
            <w:pPr>
              <w:jc w:val="right"/>
              <w:rPr>
                <w:b/>
                <w:color w:val="000000"/>
              </w:rPr>
            </w:pPr>
            <w:r w:rsidRPr="0072299C">
              <w:rPr>
                <w:b/>
                <w:color w:val="000000"/>
              </w:rPr>
              <w:t>0,43</w:t>
            </w:r>
          </w:p>
        </w:tc>
        <w:tc>
          <w:tcPr>
            <w:tcW w:w="1260" w:type="dxa"/>
            <w:tcBorders>
              <w:top w:val="nil"/>
              <w:left w:val="nil"/>
              <w:bottom w:val="single" w:sz="4" w:space="0" w:color="auto"/>
              <w:right w:val="single" w:sz="4" w:space="0" w:color="000000"/>
            </w:tcBorders>
            <w:shd w:val="clear" w:color="auto" w:fill="auto"/>
            <w:noWrap/>
            <w:vAlign w:val="center"/>
            <w:hideMark/>
          </w:tcPr>
          <w:p w14:paraId="7852B6A9" w14:textId="77777777" w:rsidR="0039002B" w:rsidRPr="0072299C" w:rsidRDefault="0039002B" w:rsidP="005B1448">
            <w:pPr>
              <w:jc w:val="right"/>
              <w:rPr>
                <w:b/>
                <w:color w:val="000000"/>
              </w:rPr>
            </w:pPr>
            <w:r w:rsidRPr="0072299C">
              <w:rPr>
                <w:b/>
                <w:color w:val="000000"/>
              </w:rPr>
              <w:t>1,61</w:t>
            </w:r>
          </w:p>
        </w:tc>
        <w:tc>
          <w:tcPr>
            <w:tcW w:w="1336" w:type="dxa"/>
            <w:tcBorders>
              <w:top w:val="nil"/>
              <w:left w:val="nil"/>
              <w:bottom w:val="single" w:sz="4" w:space="0" w:color="auto"/>
              <w:right w:val="nil"/>
            </w:tcBorders>
            <w:shd w:val="clear" w:color="auto" w:fill="auto"/>
            <w:noWrap/>
            <w:vAlign w:val="center"/>
            <w:hideMark/>
          </w:tcPr>
          <w:p w14:paraId="18365A26" w14:textId="3A400ECF" w:rsidR="0039002B" w:rsidRPr="0072299C" w:rsidRDefault="0039002B" w:rsidP="005B1448">
            <w:pPr>
              <w:jc w:val="right"/>
              <w:rPr>
                <w:b/>
                <w:color w:val="000000"/>
              </w:rPr>
            </w:pPr>
            <w:r w:rsidRPr="0072299C">
              <w:rPr>
                <w:b/>
                <w:color w:val="000000"/>
              </w:rPr>
              <w:t>0,10</w:t>
            </w:r>
            <w:r w:rsidR="00C747CE">
              <w:rPr>
                <w:b/>
                <w:color w:val="000000"/>
              </w:rPr>
              <w:t>*</w:t>
            </w:r>
          </w:p>
        </w:tc>
        <w:tc>
          <w:tcPr>
            <w:tcW w:w="1392" w:type="dxa"/>
            <w:tcBorders>
              <w:top w:val="nil"/>
              <w:left w:val="single" w:sz="4" w:space="0" w:color="000000"/>
              <w:bottom w:val="single" w:sz="4" w:space="0" w:color="auto"/>
              <w:right w:val="nil"/>
            </w:tcBorders>
            <w:shd w:val="clear" w:color="auto" w:fill="auto"/>
            <w:noWrap/>
            <w:vAlign w:val="center"/>
            <w:hideMark/>
          </w:tcPr>
          <w:p w14:paraId="782D14E1" w14:textId="34FC7548" w:rsidR="0039002B" w:rsidRPr="0072299C" w:rsidRDefault="0039002B" w:rsidP="005B1448">
            <w:pPr>
              <w:jc w:val="right"/>
              <w:rPr>
                <w:b/>
                <w:color w:val="000000"/>
              </w:rPr>
            </w:pPr>
            <w:r w:rsidRPr="0072299C">
              <w:rPr>
                <w:b/>
                <w:color w:val="000000"/>
              </w:rPr>
              <w:t>0,05</w:t>
            </w:r>
            <w:r w:rsidR="00C747CE">
              <w:rPr>
                <w:b/>
                <w:color w:val="000000"/>
              </w:rPr>
              <w:t>**</w:t>
            </w:r>
          </w:p>
        </w:tc>
      </w:tr>
      <w:tr w:rsidR="0039002B" w:rsidRPr="004B3462" w14:paraId="7E2E4086" w14:textId="77777777" w:rsidTr="005B1448">
        <w:trPr>
          <w:trHeight w:val="472"/>
          <w:jc w:val="center"/>
        </w:trPr>
        <w:tc>
          <w:tcPr>
            <w:tcW w:w="840" w:type="dxa"/>
            <w:tcBorders>
              <w:top w:val="nil"/>
              <w:left w:val="nil"/>
              <w:bottom w:val="single" w:sz="8" w:space="0" w:color="auto"/>
              <w:right w:val="nil"/>
            </w:tcBorders>
            <w:shd w:val="clear" w:color="auto" w:fill="auto"/>
            <w:hideMark/>
          </w:tcPr>
          <w:p w14:paraId="7956C00D" w14:textId="77777777" w:rsidR="0039002B" w:rsidRPr="004B3462" w:rsidRDefault="0039002B" w:rsidP="005B1448">
            <w:pPr>
              <w:rPr>
                <w:color w:val="000000"/>
              </w:rPr>
            </w:pPr>
            <w:r w:rsidRPr="004B3462">
              <w:rPr>
                <w:color w:val="000000"/>
              </w:rPr>
              <w:t>Par 12</w:t>
            </w:r>
          </w:p>
        </w:tc>
        <w:tc>
          <w:tcPr>
            <w:tcW w:w="1451" w:type="dxa"/>
            <w:tcBorders>
              <w:top w:val="nil"/>
              <w:left w:val="single" w:sz="8" w:space="0" w:color="000000"/>
              <w:bottom w:val="single" w:sz="8" w:space="0" w:color="auto"/>
              <w:right w:val="single" w:sz="12" w:space="0" w:color="000000"/>
            </w:tcBorders>
            <w:shd w:val="clear" w:color="auto" w:fill="auto"/>
            <w:hideMark/>
          </w:tcPr>
          <w:p w14:paraId="1012A956" w14:textId="77777777" w:rsidR="0039002B" w:rsidRPr="004B3462" w:rsidRDefault="0039002B" w:rsidP="005B1448">
            <w:pPr>
              <w:rPr>
                <w:color w:val="000000"/>
              </w:rPr>
            </w:pPr>
            <w:r w:rsidRPr="004B3462">
              <w:rPr>
                <w:color w:val="000000"/>
              </w:rPr>
              <w:t>LNPAL_05 - LNPAL_15</w:t>
            </w:r>
          </w:p>
        </w:tc>
        <w:tc>
          <w:tcPr>
            <w:tcW w:w="1166" w:type="dxa"/>
            <w:tcBorders>
              <w:top w:val="nil"/>
              <w:left w:val="nil"/>
              <w:bottom w:val="single" w:sz="8" w:space="0" w:color="auto"/>
              <w:right w:val="single" w:sz="4" w:space="0" w:color="000000"/>
            </w:tcBorders>
            <w:shd w:val="clear" w:color="auto" w:fill="auto"/>
            <w:noWrap/>
            <w:vAlign w:val="center"/>
            <w:hideMark/>
          </w:tcPr>
          <w:p w14:paraId="36F71066" w14:textId="77777777" w:rsidR="0039002B" w:rsidRPr="004B3462" w:rsidRDefault="0039002B" w:rsidP="005B1448">
            <w:pPr>
              <w:jc w:val="right"/>
              <w:rPr>
                <w:color w:val="000000"/>
              </w:rPr>
            </w:pPr>
            <w:r w:rsidRPr="004B3462">
              <w:rPr>
                <w:color w:val="000000"/>
              </w:rPr>
              <w:t>-1,13</w:t>
            </w:r>
          </w:p>
        </w:tc>
        <w:tc>
          <w:tcPr>
            <w:tcW w:w="1232" w:type="dxa"/>
            <w:tcBorders>
              <w:top w:val="nil"/>
              <w:left w:val="nil"/>
              <w:bottom w:val="single" w:sz="8" w:space="0" w:color="auto"/>
              <w:right w:val="single" w:sz="4" w:space="0" w:color="000000"/>
            </w:tcBorders>
            <w:shd w:val="clear" w:color="auto" w:fill="auto"/>
            <w:noWrap/>
            <w:vAlign w:val="center"/>
            <w:hideMark/>
          </w:tcPr>
          <w:p w14:paraId="3F3CEFD2" w14:textId="77777777" w:rsidR="0039002B" w:rsidRPr="004B3462" w:rsidRDefault="0039002B" w:rsidP="005B1448">
            <w:pPr>
              <w:jc w:val="right"/>
              <w:rPr>
                <w:color w:val="000000"/>
              </w:rPr>
            </w:pPr>
            <w:r w:rsidRPr="004B3462">
              <w:rPr>
                <w:color w:val="000000"/>
              </w:rPr>
              <w:t>0,72</w:t>
            </w:r>
          </w:p>
        </w:tc>
        <w:tc>
          <w:tcPr>
            <w:tcW w:w="1260" w:type="dxa"/>
            <w:tcBorders>
              <w:top w:val="nil"/>
              <w:left w:val="nil"/>
              <w:bottom w:val="single" w:sz="8" w:space="0" w:color="auto"/>
              <w:right w:val="single" w:sz="4" w:space="0" w:color="000000"/>
            </w:tcBorders>
            <w:shd w:val="clear" w:color="auto" w:fill="auto"/>
            <w:noWrap/>
            <w:vAlign w:val="center"/>
            <w:hideMark/>
          </w:tcPr>
          <w:p w14:paraId="1FC9322B" w14:textId="77777777" w:rsidR="0039002B" w:rsidRPr="004B3462" w:rsidRDefault="0039002B" w:rsidP="005B1448">
            <w:pPr>
              <w:jc w:val="right"/>
              <w:rPr>
                <w:color w:val="000000"/>
              </w:rPr>
            </w:pPr>
            <w:r w:rsidRPr="004B3462">
              <w:rPr>
                <w:color w:val="000000"/>
              </w:rPr>
              <w:t>-22,57</w:t>
            </w:r>
          </w:p>
        </w:tc>
        <w:tc>
          <w:tcPr>
            <w:tcW w:w="1336" w:type="dxa"/>
            <w:tcBorders>
              <w:top w:val="nil"/>
              <w:left w:val="nil"/>
              <w:bottom w:val="single" w:sz="8" w:space="0" w:color="auto"/>
              <w:right w:val="nil"/>
            </w:tcBorders>
            <w:shd w:val="clear" w:color="auto" w:fill="auto"/>
            <w:noWrap/>
            <w:vAlign w:val="center"/>
            <w:hideMark/>
          </w:tcPr>
          <w:p w14:paraId="04965E29" w14:textId="216D8E38" w:rsidR="0039002B" w:rsidRPr="004B3462" w:rsidRDefault="0039002B" w:rsidP="005B1448">
            <w:pPr>
              <w:jc w:val="right"/>
              <w:rPr>
                <w:color w:val="000000"/>
              </w:rPr>
            </w:pPr>
            <w:r w:rsidRPr="004B3462">
              <w:rPr>
                <w:color w:val="000000"/>
              </w:rPr>
              <w:t>0,00*</w:t>
            </w:r>
            <w:r w:rsidR="00C747CE">
              <w:rPr>
                <w:color w:val="000000"/>
              </w:rPr>
              <w:t>**</w:t>
            </w:r>
          </w:p>
        </w:tc>
        <w:tc>
          <w:tcPr>
            <w:tcW w:w="1392" w:type="dxa"/>
            <w:tcBorders>
              <w:top w:val="nil"/>
              <w:left w:val="single" w:sz="4" w:space="0" w:color="000000"/>
              <w:bottom w:val="single" w:sz="8" w:space="0" w:color="auto"/>
              <w:right w:val="nil"/>
            </w:tcBorders>
            <w:shd w:val="clear" w:color="auto" w:fill="auto"/>
            <w:noWrap/>
            <w:vAlign w:val="center"/>
            <w:hideMark/>
          </w:tcPr>
          <w:p w14:paraId="17A709C3" w14:textId="6E744985" w:rsidR="0039002B" w:rsidRPr="004B3462" w:rsidRDefault="0039002B" w:rsidP="005B1448">
            <w:pPr>
              <w:jc w:val="right"/>
              <w:rPr>
                <w:color w:val="000000"/>
              </w:rPr>
            </w:pPr>
            <w:r w:rsidRPr="004B3462">
              <w:rPr>
                <w:color w:val="000000"/>
              </w:rPr>
              <w:t>0,00*</w:t>
            </w:r>
            <w:r w:rsidR="00C747CE">
              <w:rPr>
                <w:color w:val="000000"/>
              </w:rPr>
              <w:t>**</w:t>
            </w:r>
          </w:p>
        </w:tc>
      </w:tr>
      <w:tr w:rsidR="0039002B" w:rsidRPr="004B3462" w14:paraId="06E869B0" w14:textId="77777777" w:rsidTr="005B1448">
        <w:trPr>
          <w:trHeight w:val="459"/>
          <w:jc w:val="center"/>
        </w:trPr>
        <w:tc>
          <w:tcPr>
            <w:tcW w:w="840" w:type="dxa"/>
            <w:tcBorders>
              <w:top w:val="nil"/>
              <w:left w:val="nil"/>
              <w:bottom w:val="single" w:sz="4" w:space="0" w:color="auto"/>
              <w:right w:val="nil"/>
            </w:tcBorders>
            <w:shd w:val="clear" w:color="auto" w:fill="auto"/>
            <w:hideMark/>
          </w:tcPr>
          <w:p w14:paraId="4F6E47D8" w14:textId="77777777" w:rsidR="0039002B" w:rsidRPr="004B3462" w:rsidRDefault="0039002B" w:rsidP="005B1448">
            <w:pPr>
              <w:rPr>
                <w:color w:val="000000"/>
              </w:rPr>
            </w:pPr>
            <w:r w:rsidRPr="004B3462">
              <w:rPr>
                <w:color w:val="000000"/>
              </w:rPr>
              <w:t>Par 13</w:t>
            </w:r>
          </w:p>
        </w:tc>
        <w:tc>
          <w:tcPr>
            <w:tcW w:w="1451" w:type="dxa"/>
            <w:tcBorders>
              <w:top w:val="nil"/>
              <w:left w:val="single" w:sz="8" w:space="0" w:color="000000"/>
              <w:bottom w:val="single" w:sz="4" w:space="0" w:color="auto"/>
              <w:right w:val="single" w:sz="12" w:space="0" w:color="000000"/>
            </w:tcBorders>
            <w:shd w:val="clear" w:color="auto" w:fill="auto"/>
            <w:hideMark/>
          </w:tcPr>
          <w:p w14:paraId="54C70A5A" w14:textId="77777777" w:rsidR="0039002B" w:rsidRPr="004B3462" w:rsidRDefault="0039002B" w:rsidP="005B1448">
            <w:pPr>
              <w:rPr>
                <w:color w:val="000000"/>
              </w:rPr>
            </w:pPr>
            <w:r w:rsidRPr="004B3462">
              <w:rPr>
                <w:color w:val="000000"/>
              </w:rPr>
              <w:t>FLF 2005 -        FLF 2010</w:t>
            </w:r>
          </w:p>
        </w:tc>
        <w:tc>
          <w:tcPr>
            <w:tcW w:w="1166" w:type="dxa"/>
            <w:tcBorders>
              <w:top w:val="nil"/>
              <w:left w:val="nil"/>
              <w:bottom w:val="single" w:sz="4" w:space="0" w:color="auto"/>
              <w:right w:val="single" w:sz="4" w:space="0" w:color="000000"/>
            </w:tcBorders>
            <w:shd w:val="clear" w:color="auto" w:fill="auto"/>
            <w:noWrap/>
            <w:vAlign w:val="center"/>
            <w:hideMark/>
          </w:tcPr>
          <w:p w14:paraId="72E4F336" w14:textId="77777777" w:rsidR="0039002B" w:rsidRPr="004B3462" w:rsidRDefault="0039002B" w:rsidP="005B1448">
            <w:pPr>
              <w:jc w:val="right"/>
              <w:rPr>
                <w:color w:val="000000"/>
              </w:rPr>
            </w:pPr>
            <w:r w:rsidRPr="004B3462">
              <w:rPr>
                <w:color w:val="000000"/>
              </w:rPr>
              <w:t>2,26</w:t>
            </w:r>
          </w:p>
        </w:tc>
        <w:tc>
          <w:tcPr>
            <w:tcW w:w="1232" w:type="dxa"/>
            <w:tcBorders>
              <w:top w:val="nil"/>
              <w:left w:val="nil"/>
              <w:bottom w:val="single" w:sz="4" w:space="0" w:color="auto"/>
              <w:right w:val="single" w:sz="4" w:space="0" w:color="000000"/>
            </w:tcBorders>
            <w:shd w:val="clear" w:color="auto" w:fill="auto"/>
            <w:noWrap/>
            <w:vAlign w:val="center"/>
            <w:hideMark/>
          </w:tcPr>
          <w:p w14:paraId="54535A9F" w14:textId="77777777" w:rsidR="0039002B" w:rsidRPr="004B3462" w:rsidRDefault="0039002B" w:rsidP="005B1448">
            <w:pPr>
              <w:jc w:val="right"/>
              <w:rPr>
                <w:color w:val="000000"/>
              </w:rPr>
            </w:pPr>
            <w:r w:rsidRPr="004B3462">
              <w:rPr>
                <w:color w:val="000000"/>
              </w:rPr>
              <w:t>5,56</w:t>
            </w:r>
          </w:p>
        </w:tc>
        <w:tc>
          <w:tcPr>
            <w:tcW w:w="1260" w:type="dxa"/>
            <w:tcBorders>
              <w:top w:val="nil"/>
              <w:left w:val="nil"/>
              <w:bottom w:val="single" w:sz="4" w:space="0" w:color="auto"/>
              <w:right w:val="single" w:sz="4" w:space="0" w:color="000000"/>
            </w:tcBorders>
            <w:shd w:val="clear" w:color="auto" w:fill="auto"/>
            <w:noWrap/>
            <w:vAlign w:val="center"/>
            <w:hideMark/>
          </w:tcPr>
          <w:p w14:paraId="1CC87748" w14:textId="77777777" w:rsidR="0039002B" w:rsidRPr="004B3462" w:rsidRDefault="0039002B" w:rsidP="005B1448">
            <w:pPr>
              <w:jc w:val="right"/>
              <w:rPr>
                <w:color w:val="000000"/>
              </w:rPr>
            </w:pPr>
            <w:r w:rsidRPr="004B3462">
              <w:rPr>
                <w:color w:val="000000"/>
              </w:rPr>
              <w:t>5,81</w:t>
            </w:r>
          </w:p>
        </w:tc>
        <w:tc>
          <w:tcPr>
            <w:tcW w:w="1336" w:type="dxa"/>
            <w:tcBorders>
              <w:top w:val="nil"/>
              <w:left w:val="nil"/>
              <w:bottom w:val="single" w:sz="4" w:space="0" w:color="auto"/>
              <w:right w:val="nil"/>
            </w:tcBorders>
            <w:shd w:val="clear" w:color="auto" w:fill="auto"/>
            <w:noWrap/>
            <w:vAlign w:val="center"/>
            <w:hideMark/>
          </w:tcPr>
          <w:p w14:paraId="5194BFC0" w14:textId="3CC178C5" w:rsidR="0039002B" w:rsidRPr="004B3462" w:rsidRDefault="0039002B" w:rsidP="005B1448">
            <w:pPr>
              <w:jc w:val="right"/>
              <w:rPr>
                <w:color w:val="000000"/>
              </w:rPr>
            </w:pPr>
            <w:r w:rsidRPr="004B3462">
              <w:rPr>
                <w:color w:val="000000"/>
              </w:rPr>
              <w:t>0,00*</w:t>
            </w:r>
            <w:r w:rsidR="00C747CE">
              <w:rPr>
                <w:color w:val="000000"/>
              </w:rPr>
              <w:t>**</w:t>
            </w:r>
          </w:p>
        </w:tc>
        <w:tc>
          <w:tcPr>
            <w:tcW w:w="1392" w:type="dxa"/>
            <w:tcBorders>
              <w:top w:val="nil"/>
              <w:left w:val="single" w:sz="4" w:space="0" w:color="000000"/>
              <w:bottom w:val="single" w:sz="4" w:space="0" w:color="auto"/>
              <w:right w:val="nil"/>
            </w:tcBorders>
            <w:shd w:val="clear" w:color="auto" w:fill="auto"/>
            <w:noWrap/>
            <w:vAlign w:val="center"/>
            <w:hideMark/>
          </w:tcPr>
          <w:p w14:paraId="528D043D" w14:textId="174B4706" w:rsidR="0039002B" w:rsidRPr="004B3462" w:rsidRDefault="0039002B" w:rsidP="005B1448">
            <w:pPr>
              <w:jc w:val="right"/>
              <w:rPr>
                <w:color w:val="000000"/>
              </w:rPr>
            </w:pPr>
            <w:r w:rsidRPr="004B3462">
              <w:rPr>
                <w:color w:val="000000"/>
              </w:rPr>
              <w:t>0,00*</w:t>
            </w:r>
            <w:r w:rsidR="00C747CE">
              <w:rPr>
                <w:color w:val="000000"/>
              </w:rPr>
              <w:t>**</w:t>
            </w:r>
          </w:p>
        </w:tc>
      </w:tr>
      <w:tr w:rsidR="0039002B" w:rsidRPr="004B3462" w14:paraId="7822D2DD" w14:textId="77777777" w:rsidTr="005B1448">
        <w:trPr>
          <w:trHeight w:val="459"/>
          <w:jc w:val="center"/>
        </w:trPr>
        <w:tc>
          <w:tcPr>
            <w:tcW w:w="840" w:type="dxa"/>
            <w:tcBorders>
              <w:top w:val="nil"/>
              <w:left w:val="nil"/>
              <w:bottom w:val="single" w:sz="4" w:space="0" w:color="auto"/>
              <w:right w:val="nil"/>
            </w:tcBorders>
            <w:shd w:val="clear" w:color="auto" w:fill="auto"/>
            <w:hideMark/>
          </w:tcPr>
          <w:p w14:paraId="1D2B2A08" w14:textId="77777777" w:rsidR="0039002B" w:rsidRPr="004B3462" w:rsidRDefault="0039002B" w:rsidP="005B1448">
            <w:pPr>
              <w:rPr>
                <w:b/>
                <w:bCs/>
                <w:color w:val="000000"/>
              </w:rPr>
            </w:pPr>
            <w:r w:rsidRPr="004B3462">
              <w:rPr>
                <w:b/>
                <w:bCs/>
                <w:color w:val="000000"/>
              </w:rPr>
              <w:t>Par 14</w:t>
            </w:r>
          </w:p>
        </w:tc>
        <w:tc>
          <w:tcPr>
            <w:tcW w:w="1451" w:type="dxa"/>
            <w:tcBorders>
              <w:top w:val="nil"/>
              <w:left w:val="single" w:sz="8" w:space="0" w:color="000000"/>
              <w:bottom w:val="single" w:sz="4" w:space="0" w:color="auto"/>
              <w:right w:val="single" w:sz="12" w:space="0" w:color="000000"/>
            </w:tcBorders>
            <w:shd w:val="clear" w:color="auto" w:fill="auto"/>
            <w:hideMark/>
          </w:tcPr>
          <w:p w14:paraId="1BF82503" w14:textId="77777777" w:rsidR="0039002B" w:rsidRPr="004B3462" w:rsidRDefault="0039002B" w:rsidP="005B1448">
            <w:pPr>
              <w:rPr>
                <w:b/>
                <w:bCs/>
                <w:color w:val="000000"/>
              </w:rPr>
            </w:pPr>
            <w:r w:rsidRPr="004B3462">
              <w:rPr>
                <w:b/>
                <w:bCs/>
                <w:color w:val="000000"/>
              </w:rPr>
              <w:t>FLF 2010 -         FLF 2015</w:t>
            </w:r>
          </w:p>
        </w:tc>
        <w:tc>
          <w:tcPr>
            <w:tcW w:w="1166" w:type="dxa"/>
            <w:tcBorders>
              <w:top w:val="nil"/>
              <w:left w:val="nil"/>
              <w:bottom w:val="single" w:sz="4" w:space="0" w:color="auto"/>
              <w:right w:val="single" w:sz="4" w:space="0" w:color="000000"/>
            </w:tcBorders>
            <w:shd w:val="clear" w:color="auto" w:fill="auto"/>
            <w:noWrap/>
            <w:vAlign w:val="center"/>
            <w:hideMark/>
          </w:tcPr>
          <w:p w14:paraId="19B0AF19" w14:textId="77777777" w:rsidR="0039002B" w:rsidRPr="004B3462" w:rsidRDefault="0039002B" w:rsidP="005B1448">
            <w:pPr>
              <w:jc w:val="right"/>
              <w:rPr>
                <w:b/>
                <w:bCs/>
                <w:color w:val="000000"/>
              </w:rPr>
            </w:pPr>
            <w:r w:rsidRPr="004B3462">
              <w:rPr>
                <w:b/>
                <w:bCs/>
                <w:color w:val="000000"/>
              </w:rPr>
              <w:t>-0,02</w:t>
            </w:r>
          </w:p>
        </w:tc>
        <w:tc>
          <w:tcPr>
            <w:tcW w:w="1232" w:type="dxa"/>
            <w:tcBorders>
              <w:top w:val="nil"/>
              <w:left w:val="nil"/>
              <w:bottom w:val="single" w:sz="4" w:space="0" w:color="auto"/>
              <w:right w:val="single" w:sz="4" w:space="0" w:color="000000"/>
            </w:tcBorders>
            <w:shd w:val="clear" w:color="auto" w:fill="auto"/>
            <w:noWrap/>
            <w:vAlign w:val="center"/>
            <w:hideMark/>
          </w:tcPr>
          <w:p w14:paraId="2A39FEBE" w14:textId="77777777" w:rsidR="0039002B" w:rsidRPr="004B3462" w:rsidRDefault="0039002B" w:rsidP="005B1448">
            <w:pPr>
              <w:jc w:val="right"/>
              <w:rPr>
                <w:b/>
                <w:bCs/>
                <w:color w:val="000000"/>
              </w:rPr>
            </w:pPr>
            <w:r w:rsidRPr="004B3462">
              <w:rPr>
                <w:b/>
                <w:bCs/>
                <w:color w:val="000000"/>
              </w:rPr>
              <w:t>3,41</w:t>
            </w:r>
          </w:p>
        </w:tc>
        <w:tc>
          <w:tcPr>
            <w:tcW w:w="1260" w:type="dxa"/>
            <w:tcBorders>
              <w:top w:val="nil"/>
              <w:left w:val="nil"/>
              <w:bottom w:val="single" w:sz="4" w:space="0" w:color="auto"/>
              <w:right w:val="single" w:sz="4" w:space="0" w:color="000000"/>
            </w:tcBorders>
            <w:shd w:val="clear" w:color="auto" w:fill="auto"/>
            <w:noWrap/>
            <w:vAlign w:val="center"/>
            <w:hideMark/>
          </w:tcPr>
          <w:p w14:paraId="0DEE7C65" w14:textId="77777777" w:rsidR="0039002B" w:rsidRPr="004B3462" w:rsidRDefault="0039002B" w:rsidP="005B1448">
            <w:pPr>
              <w:jc w:val="right"/>
              <w:rPr>
                <w:b/>
                <w:bCs/>
                <w:color w:val="000000"/>
              </w:rPr>
            </w:pPr>
            <w:r w:rsidRPr="004B3462">
              <w:rPr>
                <w:b/>
                <w:bCs/>
                <w:color w:val="000000"/>
              </w:rPr>
              <w:t>-0,09</w:t>
            </w:r>
          </w:p>
        </w:tc>
        <w:tc>
          <w:tcPr>
            <w:tcW w:w="1336" w:type="dxa"/>
            <w:tcBorders>
              <w:top w:val="nil"/>
              <w:left w:val="nil"/>
              <w:bottom w:val="single" w:sz="4" w:space="0" w:color="auto"/>
              <w:right w:val="nil"/>
            </w:tcBorders>
            <w:shd w:val="clear" w:color="auto" w:fill="auto"/>
            <w:noWrap/>
            <w:vAlign w:val="center"/>
            <w:hideMark/>
          </w:tcPr>
          <w:p w14:paraId="1126D91B" w14:textId="77777777" w:rsidR="0039002B" w:rsidRPr="004B3462" w:rsidRDefault="0039002B" w:rsidP="005B1448">
            <w:pPr>
              <w:jc w:val="right"/>
              <w:rPr>
                <w:b/>
                <w:bCs/>
                <w:color w:val="000000"/>
              </w:rPr>
            </w:pPr>
            <w:r w:rsidRPr="004B3462">
              <w:rPr>
                <w:b/>
                <w:bCs/>
                <w:color w:val="000000"/>
              </w:rPr>
              <w:t>0,93</w:t>
            </w:r>
          </w:p>
        </w:tc>
        <w:tc>
          <w:tcPr>
            <w:tcW w:w="1392" w:type="dxa"/>
            <w:tcBorders>
              <w:top w:val="nil"/>
              <w:left w:val="single" w:sz="4" w:space="0" w:color="000000"/>
              <w:bottom w:val="single" w:sz="4" w:space="0" w:color="auto"/>
              <w:right w:val="nil"/>
            </w:tcBorders>
            <w:shd w:val="clear" w:color="auto" w:fill="auto"/>
            <w:noWrap/>
            <w:vAlign w:val="center"/>
            <w:hideMark/>
          </w:tcPr>
          <w:p w14:paraId="1A638CF2" w14:textId="77777777" w:rsidR="0039002B" w:rsidRPr="004B3462" w:rsidRDefault="0039002B" w:rsidP="005B1448">
            <w:pPr>
              <w:jc w:val="right"/>
              <w:rPr>
                <w:b/>
                <w:bCs/>
                <w:color w:val="000000"/>
              </w:rPr>
            </w:pPr>
            <w:r w:rsidRPr="004B3462">
              <w:rPr>
                <w:b/>
                <w:bCs/>
                <w:color w:val="000000"/>
              </w:rPr>
              <w:t>0,46</w:t>
            </w:r>
          </w:p>
        </w:tc>
      </w:tr>
      <w:tr w:rsidR="0039002B" w:rsidRPr="004B3462" w14:paraId="7F493AAE" w14:textId="77777777" w:rsidTr="005B1448">
        <w:trPr>
          <w:trHeight w:val="472"/>
          <w:jc w:val="center"/>
        </w:trPr>
        <w:tc>
          <w:tcPr>
            <w:tcW w:w="840" w:type="dxa"/>
            <w:tcBorders>
              <w:top w:val="nil"/>
              <w:left w:val="nil"/>
              <w:bottom w:val="single" w:sz="12" w:space="0" w:color="000000"/>
              <w:right w:val="nil"/>
            </w:tcBorders>
            <w:shd w:val="clear" w:color="auto" w:fill="auto"/>
            <w:hideMark/>
          </w:tcPr>
          <w:p w14:paraId="6B0055E7" w14:textId="77777777" w:rsidR="0039002B" w:rsidRPr="004B3462" w:rsidRDefault="0039002B" w:rsidP="005B1448">
            <w:pPr>
              <w:rPr>
                <w:color w:val="000000"/>
              </w:rPr>
            </w:pPr>
            <w:r w:rsidRPr="004B3462">
              <w:rPr>
                <w:color w:val="000000"/>
              </w:rPr>
              <w:t>Par 15</w:t>
            </w:r>
          </w:p>
        </w:tc>
        <w:tc>
          <w:tcPr>
            <w:tcW w:w="1451" w:type="dxa"/>
            <w:tcBorders>
              <w:top w:val="nil"/>
              <w:left w:val="single" w:sz="8" w:space="0" w:color="000000"/>
              <w:bottom w:val="single" w:sz="12" w:space="0" w:color="000000"/>
              <w:right w:val="single" w:sz="12" w:space="0" w:color="000000"/>
            </w:tcBorders>
            <w:shd w:val="clear" w:color="auto" w:fill="auto"/>
            <w:hideMark/>
          </w:tcPr>
          <w:p w14:paraId="06EC753C" w14:textId="77777777" w:rsidR="0039002B" w:rsidRPr="004B3462" w:rsidRDefault="0039002B" w:rsidP="005B1448">
            <w:pPr>
              <w:rPr>
                <w:color w:val="000000"/>
              </w:rPr>
            </w:pPr>
            <w:r w:rsidRPr="004B3462">
              <w:rPr>
                <w:color w:val="000000"/>
              </w:rPr>
              <w:t>FLF 2005 -        FLF 2015</w:t>
            </w:r>
          </w:p>
        </w:tc>
        <w:tc>
          <w:tcPr>
            <w:tcW w:w="1166" w:type="dxa"/>
            <w:tcBorders>
              <w:top w:val="nil"/>
              <w:left w:val="nil"/>
              <w:bottom w:val="single" w:sz="12" w:space="0" w:color="000000"/>
              <w:right w:val="single" w:sz="4" w:space="0" w:color="000000"/>
            </w:tcBorders>
            <w:shd w:val="clear" w:color="auto" w:fill="auto"/>
            <w:noWrap/>
            <w:vAlign w:val="center"/>
            <w:hideMark/>
          </w:tcPr>
          <w:p w14:paraId="385A2B15" w14:textId="77777777" w:rsidR="0039002B" w:rsidRPr="004B3462" w:rsidRDefault="0039002B" w:rsidP="005B1448">
            <w:pPr>
              <w:jc w:val="right"/>
              <w:rPr>
                <w:color w:val="000000"/>
              </w:rPr>
            </w:pPr>
            <w:r w:rsidRPr="004B3462">
              <w:rPr>
                <w:color w:val="000000"/>
              </w:rPr>
              <w:t>2,24</w:t>
            </w:r>
          </w:p>
        </w:tc>
        <w:tc>
          <w:tcPr>
            <w:tcW w:w="1232" w:type="dxa"/>
            <w:tcBorders>
              <w:top w:val="nil"/>
              <w:left w:val="nil"/>
              <w:bottom w:val="single" w:sz="12" w:space="0" w:color="000000"/>
              <w:right w:val="single" w:sz="4" w:space="0" w:color="000000"/>
            </w:tcBorders>
            <w:shd w:val="clear" w:color="auto" w:fill="auto"/>
            <w:noWrap/>
            <w:vAlign w:val="center"/>
            <w:hideMark/>
          </w:tcPr>
          <w:p w14:paraId="76338584" w14:textId="77777777" w:rsidR="0039002B" w:rsidRPr="004B3462" w:rsidRDefault="0039002B" w:rsidP="005B1448">
            <w:pPr>
              <w:jc w:val="right"/>
              <w:rPr>
                <w:color w:val="000000"/>
              </w:rPr>
            </w:pPr>
            <w:r w:rsidRPr="004B3462">
              <w:rPr>
                <w:color w:val="000000"/>
              </w:rPr>
              <w:t>5,92</w:t>
            </w:r>
          </w:p>
        </w:tc>
        <w:tc>
          <w:tcPr>
            <w:tcW w:w="1260" w:type="dxa"/>
            <w:tcBorders>
              <w:top w:val="nil"/>
              <w:left w:val="nil"/>
              <w:bottom w:val="single" w:sz="12" w:space="0" w:color="000000"/>
              <w:right w:val="single" w:sz="4" w:space="0" w:color="000000"/>
            </w:tcBorders>
            <w:shd w:val="clear" w:color="auto" w:fill="auto"/>
            <w:noWrap/>
            <w:vAlign w:val="center"/>
            <w:hideMark/>
          </w:tcPr>
          <w:p w14:paraId="3195FE55" w14:textId="77777777" w:rsidR="0039002B" w:rsidRPr="004B3462" w:rsidRDefault="0039002B" w:rsidP="005B1448">
            <w:pPr>
              <w:jc w:val="right"/>
              <w:rPr>
                <w:color w:val="000000"/>
              </w:rPr>
            </w:pPr>
            <w:r w:rsidRPr="004B3462">
              <w:rPr>
                <w:color w:val="000000"/>
              </w:rPr>
              <w:t>5,41</w:t>
            </w:r>
          </w:p>
        </w:tc>
        <w:tc>
          <w:tcPr>
            <w:tcW w:w="1336" w:type="dxa"/>
            <w:tcBorders>
              <w:top w:val="nil"/>
              <w:left w:val="nil"/>
              <w:bottom w:val="single" w:sz="12" w:space="0" w:color="000000"/>
              <w:right w:val="nil"/>
            </w:tcBorders>
            <w:shd w:val="clear" w:color="auto" w:fill="auto"/>
            <w:noWrap/>
            <w:vAlign w:val="center"/>
            <w:hideMark/>
          </w:tcPr>
          <w:p w14:paraId="624AD393" w14:textId="0CCF3AB0" w:rsidR="0039002B" w:rsidRPr="004B3462" w:rsidRDefault="0039002B" w:rsidP="005B1448">
            <w:pPr>
              <w:jc w:val="right"/>
              <w:rPr>
                <w:color w:val="000000"/>
              </w:rPr>
            </w:pPr>
            <w:r w:rsidRPr="004B3462">
              <w:rPr>
                <w:color w:val="000000"/>
              </w:rPr>
              <w:t>0,00*</w:t>
            </w:r>
            <w:r w:rsidR="00C747CE">
              <w:rPr>
                <w:color w:val="000000"/>
              </w:rPr>
              <w:t>**</w:t>
            </w:r>
          </w:p>
        </w:tc>
        <w:tc>
          <w:tcPr>
            <w:tcW w:w="1392" w:type="dxa"/>
            <w:tcBorders>
              <w:top w:val="nil"/>
              <w:left w:val="single" w:sz="4" w:space="0" w:color="000000"/>
              <w:bottom w:val="single" w:sz="12" w:space="0" w:color="000000"/>
              <w:right w:val="nil"/>
            </w:tcBorders>
            <w:shd w:val="clear" w:color="auto" w:fill="auto"/>
            <w:noWrap/>
            <w:vAlign w:val="center"/>
            <w:hideMark/>
          </w:tcPr>
          <w:p w14:paraId="6BA3A04A" w14:textId="75B5027E" w:rsidR="0039002B" w:rsidRPr="004B3462" w:rsidRDefault="0039002B" w:rsidP="005B1448">
            <w:pPr>
              <w:jc w:val="right"/>
              <w:rPr>
                <w:color w:val="000000"/>
              </w:rPr>
            </w:pPr>
            <w:r w:rsidRPr="004B3462">
              <w:rPr>
                <w:color w:val="000000"/>
              </w:rPr>
              <w:t>0,00*</w:t>
            </w:r>
            <w:r w:rsidR="00C747CE">
              <w:rPr>
                <w:color w:val="000000"/>
              </w:rPr>
              <w:t>**</w:t>
            </w:r>
          </w:p>
        </w:tc>
      </w:tr>
    </w:tbl>
    <w:p w14:paraId="375D1288" w14:textId="1EDE4864" w:rsidR="0039002B" w:rsidRDefault="00630F69" w:rsidP="0039002B">
      <w:pPr>
        <w:tabs>
          <w:tab w:val="left" w:pos="5147"/>
        </w:tabs>
        <w:autoSpaceDE w:val="0"/>
        <w:autoSpaceDN w:val="0"/>
        <w:adjustRightInd w:val="0"/>
        <w:ind w:firstLine="709"/>
        <w:rPr>
          <w:color w:val="000000" w:themeColor="text1"/>
          <w:szCs w:val="24"/>
        </w:rPr>
      </w:pPr>
      <w:r>
        <w:rPr>
          <w:color w:val="000000" w:themeColor="text1"/>
          <w:szCs w:val="24"/>
        </w:rPr>
        <w:t xml:space="preserve">Nota: </w:t>
      </w:r>
      <w:r w:rsidR="0039002B">
        <w:rPr>
          <w:color w:val="000000" w:themeColor="text1"/>
          <w:szCs w:val="24"/>
        </w:rPr>
        <w:t>*, **</w:t>
      </w:r>
      <w:r>
        <w:rPr>
          <w:color w:val="000000" w:themeColor="text1"/>
          <w:szCs w:val="24"/>
        </w:rPr>
        <w:t xml:space="preserve"> e *** indicam significância estatística </w:t>
      </w:r>
      <w:r w:rsidR="0039002B">
        <w:rPr>
          <w:color w:val="000000" w:themeColor="text1"/>
          <w:szCs w:val="24"/>
        </w:rPr>
        <w:t>a 1</w:t>
      </w:r>
      <w:r>
        <w:rPr>
          <w:color w:val="000000" w:themeColor="text1"/>
          <w:szCs w:val="24"/>
        </w:rPr>
        <w:t>0</w:t>
      </w:r>
      <w:r w:rsidR="0039002B">
        <w:rPr>
          <w:color w:val="000000" w:themeColor="text1"/>
          <w:szCs w:val="24"/>
        </w:rPr>
        <w:t xml:space="preserve">%, 5% </w:t>
      </w:r>
      <w:r>
        <w:rPr>
          <w:color w:val="000000" w:themeColor="text1"/>
          <w:szCs w:val="24"/>
        </w:rPr>
        <w:t xml:space="preserve">e 1%, </w:t>
      </w:r>
      <w:r w:rsidR="0039002B">
        <w:rPr>
          <w:color w:val="000000" w:themeColor="text1"/>
          <w:szCs w:val="24"/>
        </w:rPr>
        <w:t>respectivamente</w:t>
      </w:r>
      <w:r>
        <w:rPr>
          <w:color w:val="000000" w:themeColor="text1"/>
          <w:szCs w:val="24"/>
        </w:rPr>
        <w:t>.</w:t>
      </w:r>
      <w:r w:rsidR="0039002B">
        <w:rPr>
          <w:color w:val="000000" w:themeColor="text1"/>
          <w:szCs w:val="24"/>
        </w:rPr>
        <w:t xml:space="preserve"> </w:t>
      </w:r>
    </w:p>
    <w:p w14:paraId="41930E1A" w14:textId="508BDC39" w:rsidR="00D07B67" w:rsidRPr="007C5EBD" w:rsidRDefault="00D07B67" w:rsidP="00D07B67">
      <w:pPr>
        <w:tabs>
          <w:tab w:val="left" w:pos="5147"/>
        </w:tabs>
        <w:autoSpaceDE w:val="0"/>
        <w:autoSpaceDN w:val="0"/>
        <w:adjustRightInd w:val="0"/>
        <w:ind w:firstLine="709"/>
        <w:jc w:val="both"/>
        <w:rPr>
          <w:color w:val="000000" w:themeColor="text1"/>
          <w:sz w:val="24"/>
          <w:szCs w:val="24"/>
        </w:rPr>
      </w:pPr>
      <w:r w:rsidRPr="007C5EBD">
        <w:rPr>
          <w:color w:val="000000" w:themeColor="text1"/>
          <w:sz w:val="24"/>
          <w:szCs w:val="24"/>
        </w:rPr>
        <w:t xml:space="preserve">Ressalta-se as considerações de Li (2008) que afirma que textos mais longos parecem ser mais difíceis de ler. Os resultados corroboram os achados de Greco (2012) que encontra um aumento no número de sentenças dos relatórios contábeis após a adoção de normas internacionais, </w:t>
      </w:r>
      <w:r w:rsidR="00630F69">
        <w:rPr>
          <w:color w:val="000000" w:themeColor="text1"/>
          <w:sz w:val="24"/>
          <w:szCs w:val="24"/>
        </w:rPr>
        <w:t>mas</w:t>
      </w:r>
      <w:r w:rsidRPr="007C5EBD">
        <w:rPr>
          <w:color w:val="000000" w:themeColor="text1"/>
          <w:sz w:val="24"/>
          <w:szCs w:val="24"/>
        </w:rPr>
        <w:t xml:space="preserve"> contrariam os achados de Lang &amp; Stice-Lawrence (2015) de que os relatórios melhorariam a legibilidade com a adoção de normas internacionais. </w:t>
      </w:r>
    </w:p>
    <w:p w14:paraId="089CC5D9" w14:textId="0317E293" w:rsidR="0039002B" w:rsidRDefault="0039002B" w:rsidP="0039002B">
      <w:pPr>
        <w:tabs>
          <w:tab w:val="left" w:pos="5147"/>
        </w:tabs>
        <w:autoSpaceDE w:val="0"/>
        <w:autoSpaceDN w:val="0"/>
        <w:adjustRightInd w:val="0"/>
        <w:ind w:firstLine="709"/>
        <w:jc w:val="both"/>
        <w:rPr>
          <w:bCs/>
          <w:color w:val="000000" w:themeColor="text1"/>
          <w:sz w:val="24"/>
          <w:szCs w:val="24"/>
        </w:rPr>
      </w:pPr>
      <w:r>
        <w:rPr>
          <w:color w:val="000000" w:themeColor="text1"/>
          <w:sz w:val="24"/>
          <w:szCs w:val="24"/>
        </w:rPr>
        <w:lastRenderedPageBreak/>
        <w:t>Ainda observando</w:t>
      </w:r>
      <w:r w:rsidRPr="007C5EBD">
        <w:rPr>
          <w:color w:val="000000" w:themeColor="text1"/>
          <w:sz w:val="24"/>
          <w:szCs w:val="24"/>
        </w:rPr>
        <w:t xml:space="preserve"> os dados da tabela </w:t>
      </w:r>
      <w:r>
        <w:rPr>
          <w:color w:val="000000" w:themeColor="text1"/>
          <w:sz w:val="24"/>
          <w:szCs w:val="24"/>
        </w:rPr>
        <w:t>3</w:t>
      </w:r>
      <w:r w:rsidRPr="007C5EBD">
        <w:rPr>
          <w:color w:val="000000" w:themeColor="text1"/>
          <w:sz w:val="24"/>
          <w:szCs w:val="24"/>
        </w:rPr>
        <w:t xml:space="preserve">, </w:t>
      </w:r>
      <w:r>
        <w:rPr>
          <w:color w:val="000000" w:themeColor="text1"/>
          <w:sz w:val="24"/>
          <w:szCs w:val="24"/>
        </w:rPr>
        <w:t>verifica-se que a</w:t>
      </w:r>
      <w:r w:rsidRPr="007C5EBD">
        <w:rPr>
          <w:color w:val="000000" w:themeColor="text1"/>
          <w:sz w:val="24"/>
          <w:szCs w:val="24"/>
        </w:rPr>
        <w:t xml:space="preserve"> média do índice de facilidade de leitura de Flesh (FLF) para o ano de 2005 é maior que para o ano de </w:t>
      </w:r>
      <w:r>
        <w:rPr>
          <w:color w:val="000000" w:themeColor="text1"/>
          <w:sz w:val="24"/>
          <w:szCs w:val="24"/>
        </w:rPr>
        <w:t xml:space="preserve">2010 e 2015. No entanto a diferença entre as médias para o ano de 2010 e 2015 não foram estatisticamente significativas. Os resultados indicam que o </w:t>
      </w:r>
      <w:r w:rsidRPr="007C5EBD">
        <w:rPr>
          <w:color w:val="000000" w:themeColor="text1"/>
          <w:sz w:val="24"/>
          <w:szCs w:val="24"/>
        </w:rPr>
        <w:t xml:space="preserve">nível de legibilidade das notas explicativas diminuiu </w:t>
      </w:r>
      <w:r>
        <w:rPr>
          <w:color w:val="000000" w:themeColor="text1"/>
          <w:sz w:val="24"/>
          <w:szCs w:val="24"/>
        </w:rPr>
        <w:t xml:space="preserve">entre os períodos pré e adoção das normas internacionais, porém no período adoção e pós </w:t>
      </w:r>
      <w:r w:rsidR="00630F69">
        <w:rPr>
          <w:color w:val="000000" w:themeColor="text1"/>
          <w:sz w:val="24"/>
          <w:szCs w:val="24"/>
        </w:rPr>
        <w:t xml:space="preserve">adoção </w:t>
      </w:r>
      <w:r>
        <w:rPr>
          <w:color w:val="000000" w:themeColor="text1"/>
          <w:sz w:val="24"/>
          <w:szCs w:val="24"/>
        </w:rPr>
        <w:t>permanecem estáveis. Os resultados para as métricas de legibilidade em geral estão alinhados c</w:t>
      </w:r>
      <w:r w:rsidRPr="007C5EBD">
        <w:rPr>
          <w:color w:val="000000" w:themeColor="text1"/>
          <w:sz w:val="24"/>
          <w:szCs w:val="24"/>
        </w:rPr>
        <w:t xml:space="preserve">om </w:t>
      </w:r>
      <w:r w:rsidRPr="007C5EBD">
        <w:rPr>
          <w:bCs/>
          <w:color w:val="000000" w:themeColor="text1"/>
          <w:sz w:val="24"/>
          <w:szCs w:val="24"/>
        </w:rPr>
        <w:t xml:space="preserve">Courtis, (1995); Rahma (2014) </w:t>
      </w:r>
      <w:r w:rsidR="00C22723" w:rsidRPr="007C5EBD">
        <w:rPr>
          <w:bCs/>
          <w:color w:val="000000" w:themeColor="text1"/>
          <w:sz w:val="24"/>
          <w:szCs w:val="24"/>
        </w:rPr>
        <w:t>e Silva</w:t>
      </w:r>
      <w:r w:rsidRPr="007C5EBD">
        <w:rPr>
          <w:bCs/>
          <w:color w:val="000000" w:themeColor="text1"/>
          <w:sz w:val="24"/>
          <w:szCs w:val="24"/>
        </w:rPr>
        <w:t xml:space="preserve"> &amp; Fernandes (2009)</w:t>
      </w:r>
      <w:r>
        <w:rPr>
          <w:bCs/>
          <w:color w:val="000000" w:themeColor="text1"/>
          <w:sz w:val="24"/>
          <w:szCs w:val="24"/>
        </w:rPr>
        <w:t>.</w:t>
      </w:r>
    </w:p>
    <w:p w14:paraId="015ED287" w14:textId="4190C3AD" w:rsidR="0039002B" w:rsidRPr="007C5EBD" w:rsidRDefault="0039002B" w:rsidP="0039002B">
      <w:pPr>
        <w:tabs>
          <w:tab w:val="left" w:pos="5147"/>
        </w:tabs>
        <w:autoSpaceDE w:val="0"/>
        <w:autoSpaceDN w:val="0"/>
        <w:adjustRightInd w:val="0"/>
        <w:ind w:firstLine="709"/>
        <w:jc w:val="both"/>
        <w:rPr>
          <w:color w:val="000000" w:themeColor="text1"/>
          <w:sz w:val="24"/>
          <w:szCs w:val="24"/>
        </w:rPr>
      </w:pPr>
      <w:r w:rsidRPr="007C5EBD">
        <w:rPr>
          <w:color w:val="000000" w:themeColor="text1"/>
          <w:sz w:val="24"/>
          <w:szCs w:val="24"/>
        </w:rPr>
        <w:t>Em relação a hipótese H2 de que legibilidade das NEs é em geral muito difícil, pode-se perceber por meio da tabela 2, que reporta as estatísticas descritivas das métricas de le</w:t>
      </w:r>
      <w:r>
        <w:rPr>
          <w:color w:val="000000" w:themeColor="text1"/>
          <w:sz w:val="24"/>
          <w:szCs w:val="24"/>
        </w:rPr>
        <w:t>gibilidade para os anos de 2005, 2010 e</w:t>
      </w:r>
      <w:r w:rsidRPr="007C5EBD">
        <w:rPr>
          <w:color w:val="000000" w:themeColor="text1"/>
          <w:sz w:val="24"/>
          <w:szCs w:val="24"/>
        </w:rPr>
        <w:t xml:space="preserve"> 2015, que o FLF tem média de </w:t>
      </w:r>
      <w:r>
        <w:rPr>
          <w:color w:val="000000" w:themeColor="text1"/>
          <w:sz w:val="24"/>
          <w:szCs w:val="24"/>
        </w:rPr>
        <w:t>17,825 em 2005, 15,568 em 2010 e 15,589</w:t>
      </w:r>
      <w:r w:rsidRPr="007C5EBD">
        <w:rPr>
          <w:color w:val="000000" w:themeColor="text1"/>
          <w:sz w:val="24"/>
          <w:szCs w:val="24"/>
        </w:rPr>
        <w:t xml:space="preserve"> em 2015, </w:t>
      </w:r>
      <w:r>
        <w:rPr>
          <w:color w:val="000000" w:themeColor="text1"/>
          <w:sz w:val="24"/>
          <w:szCs w:val="24"/>
        </w:rPr>
        <w:t xml:space="preserve">todos considerados </w:t>
      </w:r>
      <w:r w:rsidRPr="007C5EBD">
        <w:rPr>
          <w:color w:val="000000" w:themeColor="text1"/>
          <w:sz w:val="24"/>
          <w:szCs w:val="24"/>
        </w:rPr>
        <w:t xml:space="preserve">muito difícil conforme </w:t>
      </w:r>
      <w:r>
        <w:rPr>
          <w:color w:val="000000" w:themeColor="text1"/>
          <w:sz w:val="24"/>
          <w:szCs w:val="24"/>
        </w:rPr>
        <w:t>tabela</w:t>
      </w:r>
      <w:r w:rsidRPr="007C5EBD">
        <w:rPr>
          <w:color w:val="000000" w:themeColor="text1"/>
          <w:sz w:val="24"/>
          <w:szCs w:val="24"/>
        </w:rPr>
        <w:t xml:space="preserve"> 1 de nível de legibilidade elaborado por Martins</w:t>
      </w:r>
      <w:r>
        <w:rPr>
          <w:color w:val="000000" w:themeColor="text1"/>
          <w:sz w:val="24"/>
          <w:szCs w:val="24"/>
        </w:rPr>
        <w:t xml:space="preserve"> </w:t>
      </w:r>
      <w:r w:rsidRPr="007C5EBD">
        <w:rPr>
          <w:color w:val="000000" w:themeColor="text1"/>
          <w:sz w:val="24"/>
          <w:szCs w:val="24"/>
        </w:rPr>
        <w:t xml:space="preserve">et al (1996). </w:t>
      </w:r>
    </w:p>
    <w:p w14:paraId="2DBF3D77" w14:textId="72E1DE96" w:rsidR="0039002B" w:rsidRPr="007C5EBD" w:rsidRDefault="0039002B" w:rsidP="0039002B">
      <w:pPr>
        <w:tabs>
          <w:tab w:val="left" w:pos="5147"/>
        </w:tabs>
        <w:autoSpaceDE w:val="0"/>
        <w:autoSpaceDN w:val="0"/>
        <w:adjustRightInd w:val="0"/>
        <w:ind w:firstLine="709"/>
        <w:jc w:val="both"/>
        <w:rPr>
          <w:color w:val="000000" w:themeColor="text1"/>
          <w:sz w:val="24"/>
          <w:szCs w:val="24"/>
        </w:rPr>
      </w:pPr>
      <w:r w:rsidRPr="007C5EBD">
        <w:rPr>
          <w:color w:val="000000" w:themeColor="text1"/>
          <w:sz w:val="24"/>
          <w:szCs w:val="24"/>
        </w:rPr>
        <w:t xml:space="preserve">Percebe-se ainda que o máximo de valor obtido para o índice foi de </w:t>
      </w:r>
      <w:r>
        <w:rPr>
          <w:color w:val="000000" w:themeColor="text1"/>
          <w:sz w:val="24"/>
          <w:szCs w:val="24"/>
        </w:rPr>
        <w:t>35,09</w:t>
      </w:r>
      <w:r w:rsidRPr="007C5EBD">
        <w:rPr>
          <w:color w:val="000000" w:themeColor="text1"/>
          <w:sz w:val="24"/>
          <w:szCs w:val="24"/>
        </w:rPr>
        <w:t xml:space="preserve"> no ano de 2005</w:t>
      </w:r>
      <w:r>
        <w:rPr>
          <w:color w:val="000000" w:themeColor="text1"/>
          <w:sz w:val="24"/>
          <w:szCs w:val="24"/>
        </w:rPr>
        <w:t>, 26,23 em 2010 e 26,59 n</w:t>
      </w:r>
      <w:r w:rsidRPr="007C5EBD">
        <w:rPr>
          <w:color w:val="000000" w:themeColor="text1"/>
          <w:sz w:val="24"/>
          <w:szCs w:val="24"/>
        </w:rPr>
        <w:t>o ano de 2015, valores estes considerados pouco difícil. Observando-se os quartis</w:t>
      </w:r>
      <w:r w:rsidR="00630F69">
        <w:rPr>
          <w:color w:val="000000" w:themeColor="text1"/>
          <w:sz w:val="24"/>
          <w:szCs w:val="24"/>
        </w:rPr>
        <w:t>,</w:t>
      </w:r>
      <w:r w:rsidRPr="007C5EBD">
        <w:rPr>
          <w:color w:val="000000" w:themeColor="text1"/>
          <w:sz w:val="24"/>
          <w:szCs w:val="24"/>
        </w:rPr>
        <w:t xml:space="preserve"> pode-se perceber que para</w:t>
      </w:r>
      <w:r>
        <w:rPr>
          <w:color w:val="000000" w:themeColor="text1"/>
          <w:sz w:val="24"/>
          <w:szCs w:val="24"/>
        </w:rPr>
        <w:t xml:space="preserve"> todos os anos o índice FLF no</w:t>
      </w:r>
      <w:r w:rsidRPr="007C5EBD">
        <w:rPr>
          <w:color w:val="000000" w:themeColor="text1"/>
          <w:sz w:val="24"/>
          <w:szCs w:val="24"/>
        </w:rPr>
        <w:t xml:space="preserve"> </w:t>
      </w:r>
      <w:r>
        <w:rPr>
          <w:color w:val="000000" w:themeColor="text1"/>
          <w:sz w:val="24"/>
          <w:szCs w:val="24"/>
        </w:rPr>
        <w:t xml:space="preserve">terceiro </w:t>
      </w:r>
      <w:r w:rsidRPr="007C5EBD">
        <w:rPr>
          <w:color w:val="000000" w:themeColor="text1"/>
          <w:sz w:val="24"/>
          <w:szCs w:val="24"/>
        </w:rPr>
        <w:t>quartil, ou seja 75% das observações, tem valor abaixo de 25</w:t>
      </w:r>
      <w:r w:rsidR="00630F69">
        <w:rPr>
          <w:color w:val="000000" w:themeColor="text1"/>
          <w:sz w:val="24"/>
          <w:szCs w:val="24"/>
        </w:rPr>
        <w:t>, que é</w:t>
      </w:r>
      <w:r w:rsidRPr="007C5EBD">
        <w:rPr>
          <w:color w:val="000000" w:themeColor="text1"/>
          <w:sz w:val="24"/>
          <w:szCs w:val="24"/>
        </w:rPr>
        <w:t xml:space="preserve"> considerado muito difícil. Nenhuma observação pode ser classificada como sendo de fácil ou muito fácil leitura. Es</w:t>
      </w:r>
      <w:r w:rsidR="00630F69">
        <w:rPr>
          <w:color w:val="000000" w:themeColor="text1"/>
          <w:sz w:val="24"/>
          <w:szCs w:val="24"/>
        </w:rPr>
        <w:t>s</w:t>
      </w:r>
      <w:r w:rsidRPr="007C5EBD">
        <w:rPr>
          <w:color w:val="000000" w:themeColor="text1"/>
          <w:sz w:val="24"/>
          <w:szCs w:val="24"/>
        </w:rPr>
        <w:t>es resultados estão alinhados aos encontrados na literatura internacional (</w:t>
      </w:r>
      <w:r w:rsidRPr="007C5EBD">
        <w:rPr>
          <w:bCs/>
          <w:color w:val="000000" w:themeColor="text1"/>
          <w:sz w:val="24"/>
          <w:szCs w:val="24"/>
        </w:rPr>
        <w:t>Laksmana, et al, 2012; Sheikh et al, 2011; Stone, 2011; Li, 2008</w:t>
      </w:r>
      <w:r w:rsidR="00630F69">
        <w:rPr>
          <w:bCs/>
          <w:color w:val="000000" w:themeColor="text1"/>
          <w:sz w:val="24"/>
          <w:szCs w:val="24"/>
        </w:rPr>
        <w:t>;</w:t>
      </w:r>
      <w:r w:rsidRPr="007C5EBD">
        <w:rPr>
          <w:bCs/>
          <w:color w:val="000000" w:themeColor="text1"/>
          <w:sz w:val="24"/>
          <w:szCs w:val="24"/>
        </w:rPr>
        <w:t xml:space="preserve"> Bartlett &amp; Chandler, 1997; Pashalian &amp; Crissy,</w:t>
      </w:r>
      <w:r w:rsidR="00630F69">
        <w:rPr>
          <w:bCs/>
          <w:color w:val="000000" w:themeColor="text1"/>
          <w:sz w:val="24"/>
          <w:szCs w:val="24"/>
        </w:rPr>
        <w:t xml:space="preserve"> </w:t>
      </w:r>
      <w:r w:rsidRPr="007C5EBD">
        <w:rPr>
          <w:bCs/>
          <w:color w:val="000000" w:themeColor="text1"/>
          <w:sz w:val="24"/>
          <w:szCs w:val="24"/>
        </w:rPr>
        <w:t>1950</w:t>
      </w:r>
      <w:r w:rsidRPr="007C5EBD">
        <w:rPr>
          <w:color w:val="000000" w:themeColor="text1"/>
          <w:sz w:val="24"/>
          <w:szCs w:val="24"/>
        </w:rPr>
        <w:t>) que também encontram nível elevado de dificuldade de legibilidade nos relatórios contábeis.</w:t>
      </w:r>
    </w:p>
    <w:p w14:paraId="1CA5CF75" w14:textId="5E2502A6" w:rsidR="0039002B" w:rsidRDefault="0039002B" w:rsidP="0039002B">
      <w:pPr>
        <w:tabs>
          <w:tab w:val="left" w:pos="5147"/>
        </w:tabs>
        <w:autoSpaceDE w:val="0"/>
        <w:autoSpaceDN w:val="0"/>
        <w:adjustRightInd w:val="0"/>
        <w:ind w:firstLine="709"/>
        <w:jc w:val="both"/>
        <w:rPr>
          <w:color w:val="000000" w:themeColor="text1"/>
        </w:rPr>
      </w:pPr>
      <w:r w:rsidRPr="007C5EBD">
        <w:rPr>
          <w:color w:val="000000" w:themeColor="text1"/>
          <w:sz w:val="24"/>
          <w:szCs w:val="24"/>
        </w:rPr>
        <w:t>Tais achados contribuem para a reflexão sobre o fato de que a própria linguagem dos negócios possa ter características e particularidades que não possam ser tratadas exclusivamente sob a perspectiva quantitativa, cabendo posterior análise qualitativa sobre a real compreensão do usuário em relação ao conteúdo das NEs, conforme sugerido por Sydserff &amp;</w:t>
      </w:r>
      <w:r>
        <w:rPr>
          <w:color w:val="000000" w:themeColor="text1"/>
          <w:sz w:val="24"/>
          <w:szCs w:val="24"/>
        </w:rPr>
        <w:t xml:space="preserve"> Weetman (1999). Há ainda a explicação alternativa, conforme preconizado por </w:t>
      </w:r>
      <w:r w:rsidRPr="007C5EBD">
        <w:rPr>
          <w:color w:val="000000" w:themeColor="text1"/>
          <w:sz w:val="24"/>
          <w:szCs w:val="24"/>
        </w:rPr>
        <w:t>Bloomfield (2008), que defende a ideia de que algumas situações são efetivamente complexas e requerem explicações</w:t>
      </w:r>
      <w:r w:rsidR="00630F69">
        <w:rPr>
          <w:color w:val="000000" w:themeColor="text1"/>
          <w:sz w:val="24"/>
          <w:szCs w:val="24"/>
        </w:rPr>
        <w:t xml:space="preserve"> </w:t>
      </w:r>
      <w:r w:rsidRPr="007C5EBD">
        <w:rPr>
          <w:color w:val="000000" w:themeColor="text1"/>
          <w:sz w:val="24"/>
          <w:szCs w:val="24"/>
        </w:rPr>
        <w:t>mais detalhadas.</w:t>
      </w:r>
      <w:r w:rsidRPr="007C5EBD" w:rsidDel="00355204">
        <w:rPr>
          <w:color w:val="000000" w:themeColor="text1"/>
          <w:sz w:val="24"/>
          <w:szCs w:val="24"/>
        </w:rPr>
        <w:t xml:space="preserve"> </w:t>
      </w:r>
    </w:p>
    <w:p w14:paraId="3F23C827" w14:textId="086F2785" w:rsidR="00D07B67" w:rsidRDefault="0039002B" w:rsidP="0039002B">
      <w:pPr>
        <w:tabs>
          <w:tab w:val="left" w:pos="5147"/>
        </w:tabs>
        <w:autoSpaceDE w:val="0"/>
        <w:autoSpaceDN w:val="0"/>
        <w:adjustRightInd w:val="0"/>
        <w:ind w:firstLine="709"/>
        <w:jc w:val="both"/>
        <w:rPr>
          <w:color w:val="000000" w:themeColor="text1"/>
          <w:sz w:val="24"/>
          <w:szCs w:val="24"/>
        </w:rPr>
      </w:pPr>
      <w:r w:rsidRPr="007C5EBD">
        <w:rPr>
          <w:color w:val="000000" w:themeColor="text1"/>
          <w:sz w:val="24"/>
          <w:szCs w:val="24"/>
        </w:rPr>
        <w:t xml:space="preserve">Na tabela </w:t>
      </w:r>
      <w:r>
        <w:rPr>
          <w:color w:val="000000" w:themeColor="text1"/>
          <w:sz w:val="24"/>
          <w:szCs w:val="24"/>
        </w:rPr>
        <w:t>4</w:t>
      </w:r>
      <w:r w:rsidRPr="007C5EBD">
        <w:rPr>
          <w:color w:val="000000" w:themeColor="text1"/>
          <w:sz w:val="24"/>
          <w:szCs w:val="24"/>
        </w:rPr>
        <w:t xml:space="preserve"> </w:t>
      </w:r>
      <w:r>
        <w:rPr>
          <w:color w:val="000000" w:themeColor="text1"/>
          <w:sz w:val="24"/>
          <w:szCs w:val="24"/>
        </w:rPr>
        <w:t xml:space="preserve">são apresentadas </w:t>
      </w:r>
      <w:r w:rsidRPr="007C5EBD">
        <w:rPr>
          <w:color w:val="000000" w:themeColor="text1"/>
          <w:sz w:val="24"/>
          <w:szCs w:val="24"/>
        </w:rPr>
        <w:t>as estatísticas descritivas das variáveis métricas</w:t>
      </w:r>
      <w:r>
        <w:rPr>
          <w:color w:val="000000" w:themeColor="text1"/>
          <w:sz w:val="24"/>
          <w:szCs w:val="24"/>
        </w:rPr>
        <w:t xml:space="preserve"> utilizadas para a análise de regressão</w:t>
      </w:r>
      <w:r>
        <w:rPr>
          <w:i/>
          <w:color w:val="000000" w:themeColor="text1"/>
          <w:sz w:val="24"/>
          <w:szCs w:val="24"/>
        </w:rPr>
        <w:t xml:space="preserve">. </w:t>
      </w:r>
      <w:r w:rsidRPr="007C5EBD">
        <w:rPr>
          <w:color w:val="000000" w:themeColor="text1"/>
          <w:sz w:val="24"/>
          <w:szCs w:val="24"/>
        </w:rPr>
        <w:t xml:space="preserve">Por meio da análise da tabela </w:t>
      </w:r>
      <w:r>
        <w:rPr>
          <w:color w:val="000000" w:themeColor="text1"/>
          <w:sz w:val="24"/>
          <w:szCs w:val="24"/>
        </w:rPr>
        <w:t>4</w:t>
      </w:r>
      <w:r w:rsidR="00630F69">
        <w:rPr>
          <w:color w:val="000000" w:themeColor="text1"/>
          <w:sz w:val="24"/>
          <w:szCs w:val="24"/>
        </w:rPr>
        <w:t>,</w:t>
      </w:r>
      <w:r w:rsidRPr="007C5EBD">
        <w:rPr>
          <w:color w:val="000000" w:themeColor="text1"/>
          <w:sz w:val="24"/>
          <w:szCs w:val="24"/>
        </w:rPr>
        <w:t xml:space="preserve"> pode-se perceber que o retorno sobre ativos e a variação percentual de lucro líquido apresentaram valores negativos indicando a presença na amostra de empresas com baixo desempenho. </w:t>
      </w:r>
    </w:p>
    <w:p w14:paraId="0C869C9D" w14:textId="52099D29" w:rsidR="00D227B8" w:rsidRPr="00D227B8" w:rsidRDefault="0039002B" w:rsidP="00D227B8">
      <w:pPr>
        <w:tabs>
          <w:tab w:val="left" w:pos="5147"/>
        </w:tabs>
        <w:autoSpaceDE w:val="0"/>
        <w:autoSpaceDN w:val="0"/>
        <w:adjustRightInd w:val="0"/>
        <w:ind w:firstLine="709"/>
        <w:jc w:val="center"/>
      </w:pPr>
      <w:r w:rsidRPr="007C5EBD">
        <w:rPr>
          <w:color w:val="000000" w:themeColor="text1"/>
        </w:rPr>
        <w:t xml:space="preserve">Tabela </w:t>
      </w:r>
      <w:r>
        <w:rPr>
          <w:color w:val="000000" w:themeColor="text1"/>
        </w:rPr>
        <w:t>4</w:t>
      </w:r>
      <w:r w:rsidRPr="007C5EBD">
        <w:rPr>
          <w:color w:val="000000" w:themeColor="text1"/>
        </w:rPr>
        <w:t xml:space="preserve">: Estatística descritiva variáveis métricas </w:t>
      </w:r>
      <w:r>
        <w:fldChar w:fldCharType="begin"/>
      </w:r>
      <w:r>
        <w:instrText xml:space="preserve"> LINK </w:instrText>
      </w:r>
      <w:r w:rsidR="00D227B8">
        <w:instrText xml:space="preserve">Excel.Sheet.12 "D:\\DOUTORADO UFRJ\\TEORIA AVANÇADA EM CONTABILIDADE\\PROJETO DE ARTIGO TAC\\FINALIZAÇÃO ARTIGO TAC.xlsx" "resultados !L2C2:L11C7" </w:instrText>
      </w:r>
      <w:r>
        <w:instrText xml:space="preserve">\a \f 4 \h  \* MERGEFORMAT </w:instrText>
      </w:r>
      <w:r w:rsidR="00D227B8">
        <w:fldChar w:fldCharType="separate"/>
      </w:r>
    </w:p>
    <w:tbl>
      <w:tblPr>
        <w:tblW w:w="9142" w:type="dxa"/>
        <w:jc w:val="center"/>
        <w:tblCellMar>
          <w:left w:w="70" w:type="dxa"/>
          <w:right w:w="70" w:type="dxa"/>
        </w:tblCellMar>
        <w:tblLook w:val="04A0" w:firstRow="1" w:lastRow="0" w:firstColumn="1" w:lastColumn="0" w:noHBand="0" w:noVBand="1"/>
      </w:tblPr>
      <w:tblGrid>
        <w:gridCol w:w="1302"/>
        <w:gridCol w:w="1164"/>
        <w:gridCol w:w="1649"/>
        <w:gridCol w:w="1698"/>
        <w:gridCol w:w="1576"/>
        <w:gridCol w:w="1753"/>
      </w:tblGrid>
      <w:tr w:rsidR="00D227B8" w:rsidRPr="00D227B8" w14:paraId="0E680418" w14:textId="77777777" w:rsidTr="00D227B8">
        <w:trPr>
          <w:divId w:val="1745954110"/>
          <w:trHeight w:val="349"/>
          <w:jc w:val="center"/>
        </w:trPr>
        <w:tc>
          <w:tcPr>
            <w:tcW w:w="9142" w:type="dxa"/>
            <w:gridSpan w:val="6"/>
            <w:tcBorders>
              <w:top w:val="single" w:sz="12" w:space="0" w:color="000000"/>
              <w:left w:val="nil"/>
              <w:bottom w:val="nil"/>
              <w:right w:val="nil"/>
            </w:tcBorders>
            <w:shd w:val="clear" w:color="auto" w:fill="auto"/>
            <w:vAlign w:val="center"/>
            <w:hideMark/>
          </w:tcPr>
          <w:p w14:paraId="575C63A8" w14:textId="77777777" w:rsidR="00D227B8" w:rsidRPr="00D227B8" w:rsidRDefault="00D227B8" w:rsidP="00D227B8">
            <w:pPr>
              <w:jc w:val="center"/>
              <w:rPr>
                <w:b/>
                <w:bCs/>
                <w:color w:val="000000"/>
              </w:rPr>
            </w:pPr>
            <w:r w:rsidRPr="00D227B8">
              <w:rPr>
                <w:b/>
                <w:bCs/>
                <w:color w:val="000000"/>
              </w:rPr>
              <w:t>Estatísticas descritivas</w:t>
            </w:r>
          </w:p>
        </w:tc>
      </w:tr>
      <w:tr w:rsidR="00D227B8" w:rsidRPr="00D227B8" w14:paraId="1FB6F243" w14:textId="77777777" w:rsidTr="00D227B8">
        <w:trPr>
          <w:divId w:val="1745954110"/>
          <w:trHeight w:val="349"/>
          <w:jc w:val="center"/>
        </w:trPr>
        <w:tc>
          <w:tcPr>
            <w:tcW w:w="1302" w:type="dxa"/>
            <w:tcBorders>
              <w:top w:val="single" w:sz="12" w:space="0" w:color="000000"/>
              <w:left w:val="nil"/>
              <w:bottom w:val="single" w:sz="12" w:space="0" w:color="000000"/>
              <w:right w:val="single" w:sz="12" w:space="0" w:color="000000"/>
            </w:tcBorders>
            <w:shd w:val="clear" w:color="auto" w:fill="auto"/>
            <w:vAlign w:val="bottom"/>
            <w:hideMark/>
          </w:tcPr>
          <w:p w14:paraId="4771BAF3" w14:textId="77777777" w:rsidR="00D227B8" w:rsidRPr="00D227B8" w:rsidRDefault="00D227B8" w:rsidP="00D227B8">
            <w:pPr>
              <w:rPr>
                <w:color w:val="000000"/>
              </w:rPr>
            </w:pPr>
            <w:r w:rsidRPr="00D227B8">
              <w:rPr>
                <w:color w:val="000000"/>
              </w:rPr>
              <w:t> </w:t>
            </w:r>
          </w:p>
        </w:tc>
        <w:tc>
          <w:tcPr>
            <w:tcW w:w="1164" w:type="dxa"/>
            <w:tcBorders>
              <w:top w:val="single" w:sz="12" w:space="0" w:color="000000"/>
              <w:left w:val="nil"/>
              <w:bottom w:val="single" w:sz="12" w:space="0" w:color="000000"/>
              <w:right w:val="single" w:sz="4" w:space="0" w:color="000000"/>
            </w:tcBorders>
            <w:shd w:val="clear" w:color="auto" w:fill="auto"/>
            <w:vAlign w:val="bottom"/>
            <w:hideMark/>
          </w:tcPr>
          <w:p w14:paraId="711DD8E3" w14:textId="77777777" w:rsidR="00D227B8" w:rsidRPr="00D227B8" w:rsidRDefault="00D227B8" w:rsidP="00D227B8">
            <w:pPr>
              <w:jc w:val="center"/>
              <w:rPr>
                <w:color w:val="000000"/>
              </w:rPr>
            </w:pPr>
            <w:r w:rsidRPr="00D227B8">
              <w:rPr>
                <w:color w:val="000000"/>
              </w:rPr>
              <w:t>N</w:t>
            </w:r>
          </w:p>
        </w:tc>
        <w:tc>
          <w:tcPr>
            <w:tcW w:w="1649" w:type="dxa"/>
            <w:tcBorders>
              <w:top w:val="single" w:sz="12" w:space="0" w:color="000000"/>
              <w:left w:val="nil"/>
              <w:bottom w:val="single" w:sz="12" w:space="0" w:color="000000"/>
              <w:right w:val="single" w:sz="4" w:space="0" w:color="000000"/>
            </w:tcBorders>
            <w:shd w:val="clear" w:color="auto" w:fill="auto"/>
            <w:vAlign w:val="bottom"/>
            <w:hideMark/>
          </w:tcPr>
          <w:p w14:paraId="211669CA" w14:textId="77777777" w:rsidR="00D227B8" w:rsidRPr="00D227B8" w:rsidRDefault="00D227B8" w:rsidP="00D227B8">
            <w:pPr>
              <w:jc w:val="center"/>
              <w:rPr>
                <w:color w:val="000000"/>
              </w:rPr>
            </w:pPr>
            <w:r w:rsidRPr="00D227B8">
              <w:rPr>
                <w:color w:val="000000"/>
              </w:rPr>
              <w:t>Mínimo</w:t>
            </w:r>
          </w:p>
        </w:tc>
        <w:tc>
          <w:tcPr>
            <w:tcW w:w="1698" w:type="dxa"/>
            <w:tcBorders>
              <w:top w:val="single" w:sz="12" w:space="0" w:color="000000"/>
              <w:left w:val="nil"/>
              <w:bottom w:val="single" w:sz="12" w:space="0" w:color="000000"/>
              <w:right w:val="single" w:sz="4" w:space="0" w:color="000000"/>
            </w:tcBorders>
            <w:shd w:val="clear" w:color="auto" w:fill="auto"/>
            <w:vAlign w:val="bottom"/>
            <w:hideMark/>
          </w:tcPr>
          <w:p w14:paraId="73E51E75" w14:textId="77777777" w:rsidR="00D227B8" w:rsidRPr="00D227B8" w:rsidRDefault="00D227B8" w:rsidP="00D227B8">
            <w:pPr>
              <w:jc w:val="center"/>
              <w:rPr>
                <w:color w:val="000000"/>
              </w:rPr>
            </w:pPr>
            <w:r w:rsidRPr="00D227B8">
              <w:rPr>
                <w:color w:val="000000"/>
              </w:rPr>
              <w:t>Máximo</w:t>
            </w:r>
          </w:p>
        </w:tc>
        <w:tc>
          <w:tcPr>
            <w:tcW w:w="1576" w:type="dxa"/>
            <w:tcBorders>
              <w:top w:val="single" w:sz="12" w:space="0" w:color="000000"/>
              <w:left w:val="nil"/>
              <w:bottom w:val="single" w:sz="12" w:space="0" w:color="000000"/>
              <w:right w:val="single" w:sz="4" w:space="0" w:color="000000"/>
            </w:tcBorders>
            <w:shd w:val="clear" w:color="auto" w:fill="auto"/>
            <w:vAlign w:val="bottom"/>
            <w:hideMark/>
          </w:tcPr>
          <w:p w14:paraId="37CE518F" w14:textId="77777777" w:rsidR="00D227B8" w:rsidRPr="00D227B8" w:rsidRDefault="00D227B8" w:rsidP="00D227B8">
            <w:pPr>
              <w:jc w:val="center"/>
              <w:rPr>
                <w:color w:val="000000"/>
              </w:rPr>
            </w:pPr>
            <w:r w:rsidRPr="00D227B8">
              <w:rPr>
                <w:color w:val="000000"/>
              </w:rPr>
              <w:t>Média</w:t>
            </w:r>
          </w:p>
        </w:tc>
        <w:tc>
          <w:tcPr>
            <w:tcW w:w="1753" w:type="dxa"/>
            <w:tcBorders>
              <w:top w:val="single" w:sz="12" w:space="0" w:color="000000"/>
              <w:left w:val="nil"/>
              <w:bottom w:val="single" w:sz="12" w:space="0" w:color="000000"/>
              <w:right w:val="nil"/>
            </w:tcBorders>
            <w:shd w:val="clear" w:color="auto" w:fill="auto"/>
            <w:vAlign w:val="bottom"/>
            <w:hideMark/>
          </w:tcPr>
          <w:p w14:paraId="011BB9E3" w14:textId="77777777" w:rsidR="00D227B8" w:rsidRPr="00D227B8" w:rsidRDefault="00D227B8" w:rsidP="00D227B8">
            <w:pPr>
              <w:jc w:val="center"/>
              <w:rPr>
                <w:color w:val="000000"/>
              </w:rPr>
            </w:pPr>
            <w:r w:rsidRPr="00D227B8">
              <w:rPr>
                <w:color w:val="000000"/>
              </w:rPr>
              <w:t>Desvio Padrão</w:t>
            </w:r>
          </w:p>
        </w:tc>
      </w:tr>
      <w:tr w:rsidR="00D227B8" w:rsidRPr="00D227B8" w14:paraId="2FE9A42C" w14:textId="77777777" w:rsidTr="00D227B8">
        <w:trPr>
          <w:divId w:val="1745954110"/>
          <w:trHeight w:val="333"/>
          <w:jc w:val="center"/>
        </w:trPr>
        <w:tc>
          <w:tcPr>
            <w:tcW w:w="1302" w:type="dxa"/>
            <w:tcBorders>
              <w:top w:val="nil"/>
              <w:left w:val="nil"/>
              <w:bottom w:val="nil"/>
              <w:right w:val="single" w:sz="12" w:space="0" w:color="000000"/>
            </w:tcBorders>
            <w:shd w:val="clear" w:color="auto" w:fill="auto"/>
            <w:hideMark/>
          </w:tcPr>
          <w:p w14:paraId="4878C20B" w14:textId="77777777" w:rsidR="00D227B8" w:rsidRPr="00D227B8" w:rsidRDefault="00D227B8" w:rsidP="00D227B8">
            <w:pPr>
              <w:rPr>
                <w:color w:val="000000"/>
              </w:rPr>
            </w:pPr>
            <w:r w:rsidRPr="00D227B8">
              <w:rPr>
                <w:color w:val="000000"/>
              </w:rPr>
              <w:t>LNPAG</w:t>
            </w:r>
          </w:p>
        </w:tc>
        <w:tc>
          <w:tcPr>
            <w:tcW w:w="1164" w:type="dxa"/>
            <w:tcBorders>
              <w:top w:val="nil"/>
              <w:left w:val="nil"/>
              <w:bottom w:val="nil"/>
              <w:right w:val="single" w:sz="4" w:space="0" w:color="000000"/>
            </w:tcBorders>
            <w:shd w:val="clear" w:color="auto" w:fill="auto"/>
            <w:noWrap/>
            <w:vAlign w:val="center"/>
            <w:hideMark/>
          </w:tcPr>
          <w:p w14:paraId="5BB8ECD5" w14:textId="77777777" w:rsidR="00D227B8" w:rsidRPr="00D227B8" w:rsidRDefault="00D227B8" w:rsidP="00D227B8">
            <w:pPr>
              <w:jc w:val="right"/>
              <w:rPr>
                <w:color w:val="000000"/>
              </w:rPr>
            </w:pPr>
            <w:r w:rsidRPr="00D227B8">
              <w:rPr>
                <w:color w:val="000000"/>
              </w:rPr>
              <w:t>492</w:t>
            </w:r>
          </w:p>
        </w:tc>
        <w:tc>
          <w:tcPr>
            <w:tcW w:w="1649" w:type="dxa"/>
            <w:tcBorders>
              <w:top w:val="nil"/>
              <w:left w:val="nil"/>
              <w:bottom w:val="nil"/>
              <w:right w:val="single" w:sz="4" w:space="0" w:color="000000"/>
            </w:tcBorders>
            <w:shd w:val="clear" w:color="auto" w:fill="auto"/>
            <w:noWrap/>
            <w:vAlign w:val="center"/>
            <w:hideMark/>
          </w:tcPr>
          <w:p w14:paraId="60629ED0" w14:textId="77777777" w:rsidR="00D227B8" w:rsidRPr="00D227B8" w:rsidRDefault="00D227B8" w:rsidP="00D227B8">
            <w:pPr>
              <w:jc w:val="right"/>
              <w:rPr>
                <w:color w:val="000000"/>
              </w:rPr>
            </w:pPr>
            <w:r w:rsidRPr="00D227B8">
              <w:rPr>
                <w:color w:val="000000"/>
              </w:rPr>
              <w:t>,693</w:t>
            </w:r>
          </w:p>
        </w:tc>
        <w:tc>
          <w:tcPr>
            <w:tcW w:w="1698" w:type="dxa"/>
            <w:tcBorders>
              <w:top w:val="nil"/>
              <w:left w:val="nil"/>
              <w:bottom w:val="nil"/>
              <w:right w:val="single" w:sz="4" w:space="0" w:color="000000"/>
            </w:tcBorders>
            <w:shd w:val="clear" w:color="auto" w:fill="auto"/>
            <w:noWrap/>
            <w:vAlign w:val="center"/>
            <w:hideMark/>
          </w:tcPr>
          <w:p w14:paraId="42737FEF" w14:textId="77777777" w:rsidR="00D227B8" w:rsidRPr="00D227B8" w:rsidRDefault="00D227B8" w:rsidP="00D227B8">
            <w:pPr>
              <w:jc w:val="right"/>
              <w:rPr>
                <w:color w:val="000000"/>
              </w:rPr>
            </w:pPr>
            <w:r w:rsidRPr="00D227B8">
              <w:rPr>
                <w:color w:val="000000"/>
              </w:rPr>
              <w:t>5,357</w:t>
            </w:r>
          </w:p>
        </w:tc>
        <w:tc>
          <w:tcPr>
            <w:tcW w:w="1576" w:type="dxa"/>
            <w:tcBorders>
              <w:top w:val="nil"/>
              <w:left w:val="nil"/>
              <w:bottom w:val="nil"/>
              <w:right w:val="single" w:sz="4" w:space="0" w:color="000000"/>
            </w:tcBorders>
            <w:shd w:val="clear" w:color="auto" w:fill="auto"/>
            <w:noWrap/>
            <w:vAlign w:val="center"/>
            <w:hideMark/>
          </w:tcPr>
          <w:p w14:paraId="63FFBCA7" w14:textId="77777777" w:rsidR="00D227B8" w:rsidRPr="00D227B8" w:rsidRDefault="00D227B8" w:rsidP="00D227B8">
            <w:pPr>
              <w:jc w:val="right"/>
              <w:rPr>
                <w:color w:val="000000"/>
              </w:rPr>
            </w:pPr>
            <w:r w:rsidRPr="00D227B8">
              <w:rPr>
                <w:color w:val="000000"/>
              </w:rPr>
              <w:t>3,475</w:t>
            </w:r>
          </w:p>
        </w:tc>
        <w:tc>
          <w:tcPr>
            <w:tcW w:w="1753" w:type="dxa"/>
            <w:tcBorders>
              <w:top w:val="nil"/>
              <w:left w:val="nil"/>
              <w:bottom w:val="nil"/>
              <w:right w:val="nil"/>
            </w:tcBorders>
            <w:shd w:val="clear" w:color="auto" w:fill="auto"/>
            <w:noWrap/>
            <w:vAlign w:val="center"/>
            <w:hideMark/>
          </w:tcPr>
          <w:p w14:paraId="64F541C9" w14:textId="77777777" w:rsidR="00D227B8" w:rsidRPr="00D227B8" w:rsidRDefault="00D227B8" w:rsidP="00D227B8">
            <w:pPr>
              <w:jc w:val="right"/>
              <w:rPr>
                <w:color w:val="000000"/>
              </w:rPr>
            </w:pPr>
            <w:r w:rsidRPr="00D227B8">
              <w:rPr>
                <w:color w:val="000000"/>
              </w:rPr>
              <w:t>,896</w:t>
            </w:r>
          </w:p>
        </w:tc>
      </w:tr>
      <w:tr w:rsidR="00D227B8" w:rsidRPr="00D227B8" w14:paraId="080D40B7" w14:textId="77777777" w:rsidTr="00D227B8">
        <w:trPr>
          <w:divId w:val="1745954110"/>
          <w:trHeight w:val="333"/>
          <w:jc w:val="center"/>
        </w:trPr>
        <w:tc>
          <w:tcPr>
            <w:tcW w:w="1302" w:type="dxa"/>
            <w:tcBorders>
              <w:top w:val="nil"/>
              <w:left w:val="nil"/>
              <w:bottom w:val="nil"/>
              <w:right w:val="single" w:sz="12" w:space="0" w:color="000000"/>
            </w:tcBorders>
            <w:shd w:val="clear" w:color="auto" w:fill="auto"/>
            <w:hideMark/>
          </w:tcPr>
          <w:p w14:paraId="314BF1E5" w14:textId="77777777" w:rsidR="00D227B8" w:rsidRPr="00D227B8" w:rsidRDefault="00D227B8" w:rsidP="00D227B8">
            <w:pPr>
              <w:rPr>
                <w:color w:val="000000"/>
              </w:rPr>
            </w:pPr>
            <w:r w:rsidRPr="00D227B8">
              <w:rPr>
                <w:color w:val="000000"/>
              </w:rPr>
              <w:t>LNPAL</w:t>
            </w:r>
          </w:p>
        </w:tc>
        <w:tc>
          <w:tcPr>
            <w:tcW w:w="1164" w:type="dxa"/>
            <w:tcBorders>
              <w:top w:val="nil"/>
              <w:left w:val="nil"/>
              <w:bottom w:val="nil"/>
              <w:right w:val="single" w:sz="4" w:space="0" w:color="000000"/>
            </w:tcBorders>
            <w:shd w:val="clear" w:color="auto" w:fill="auto"/>
            <w:noWrap/>
            <w:vAlign w:val="center"/>
            <w:hideMark/>
          </w:tcPr>
          <w:p w14:paraId="498BA3B9" w14:textId="77777777" w:rsidR="00D227B8" w:rsidRPr="00D227B8" w:rsidRDefault="00D227B8" w:rsidP="00D227B8">
            <w:pPr>
              <w:jc w:val="right"/>
              <w:rPr>
                <w:color w:val="000000"/>
              </w:rPr>
            </w:pPr>
            <w:r w:rsidRPr="00D227B8">
              <w:rPr>
                <w:color w:val="000000"/>
              </w:rPr>
              <w:t>492</w:t>
            </w:r>
          </w:p>
        </w:tc>
        <w:tc>
          <w:tcPr>
            <w:tcW w:w="1649" w:type="dxa"/>
            <w:tcBorders>
              <w:top w:val="nil"/>
              <w:left w:val="nil"/>
              <w:bottom w:val="nil"/>
              <w:right w:val="single" w:sz="4" w:space="0" w:color="000000"/>
            </w:tcBorders>
            <w:shd w:val="clear" w:color="auto" w:fill="auto"/>
            <w:noWrap/>
            <w:vAlign w:val="center"/>
            <w:hideMark/>
          </w:tcPr>
          <w:p w14:paraId="0D14DFA1" w14:textId="77777777" w:rsidR="00D227B8" w:rsidRPr="00D227B8" w:rsidRDefault="00D227B8" w:rsidP="00D227B8">
            <w:pPr>
              <w:jc w:val="right"/>
              <w:rPr>
                <w:color w:val="000000"/>
              </w:rPr>
            </w:pPr>
            <w:r w:rsidRPr="00D227B8">
              <w:rPr>
                <w:color w:val="000000"/>
              </w:rPr>
              <w:t>5,964</w:t>
            </w:r>
          </w:p>
        </w:tc>
        <w:tc>
          <w:tcPr>
            <w:tcW w:w="1698" w:type="dxa"/>
            <w:tcBorders>
              <w:top w:val="nil"/>
              <w:left w:val="nil"/>
              <w:bottom w:val="nil"/>
              <w:right w:val="single" w:sz="4" w:space="0" w:color="000000"/>
            </w:tcBorders>
            <w:shd w:val="clear" w:color="auto" w:fill="auto"/>
            <w:noWrap/>
            <w:vAlign w:val="center"/>
            <w:hideMark/>
          </w:tcPr>
          <w:p w14:paraId="74D3DAC8" w14:textId="77777777" w:rsidR="00D227B8" w:rsidRPr="00D227B8" w:rsidRDefault="00D227B8" w:rsidP="00D227B8">
            <w:pPr>
              <w:jc w:val="right"/>
              <w:rPr>
                <w:color w:val="000000"/>
              </w:rPr>
            </w:pPr>
            <w:r w:rsidRPr="00D227B8">
              <w:rPr>
                <w:color w:val="000000"/>
              </w:rPr>
              <w:t>11,226</w:t>
            </w:r>
          </w:p>
        </w:tc>
        <w:tc>
          <w:tcPr>
            <w:tcW w:w="1576" w:type="dxa"/>
            <w:tcBorders>
              <w:top w:val="nil"/>
              <w:left w:val="nil"/>
              <w:bottom w:val="nil"/>
              <w:right w:val="single" w:sz="4" w:space="0" w:color="000000"/>
            </w:tcBorders>
            <w:shd w:val="clear" w:color="auto" w:fill="auto"/>
            <w:noWrap/>
            <w:vAlign w:val="center"/>
            <w:hideMark/>
          </w:tcPr>
          <w:p w14:paraId="7E7D2CCE" w14:textId="77777777" w:rsidR="00D227B8" w:rsidRPr="00D227B8" w:rsidRDefault="00D227B8" w:rsidP="00D227B8">
            <w:pPr>
              <w:jc w:val="right"/>
              <w:rPr>
                <w:color w:val="000000"/>
              </w:rPr>
            </w:pPr>
            <w:r w:rsidRPr="00D227B8">
              <w:rPr>
                <w:color w:val="000000"/>
              </w:rPr>
              <w:t>9,160</w:t>
            </w:r>
          </w:p>
        </w:tc>
        <w:tc>
          <w:tcPr>
            <w:tcW w:w="1753" w:type="dxa"/>
            <w:tcBorders>
              <w:top w:val="nil"/>
              <w:left w:val="nil"/>
              <w:bottom w:val="nil"/>
              <w:right w:val="nil"/>
            </w:tcBorders>
            <w:shd w:val="clear" w:color="auto" w:fill="auto"/>
            <w:noWrap/>
            <w:vAlign w:val="center"/>
            <w:hideMark/>
          </w:tcPr>
          <w:p w14:paraId="232CC84F" w14:textId="77777777" w:rsidR="00D227B8" w:rsidRPr="00D227B8" w:rsidRDefault="00D227B8" w:rsidP="00D227B8">
            <w:pPr>
              <w:jc w:val="right"/>
              <w:rPr>
                <w:color w:val="000000"/>
              </w:rPr>
            </w:pPr>
            <w:r w:rsidRPr="00D227B8">
              <w:rPr>
                <w:color w:val="000000"/>
              </w:rPr>
              <w:t>1,045</w:t>
            </w:r>
          </w:p>
        </w:tc>
      </w:tr>
      <w:tr w:rsidR="00D227B8" w:rsidRPr="00D227B8" w14:paraId="4983108C" w14:textId="77777777" w:rsidTr="00D227B8">
        <w:trPr>
          <w:divId w:val="1745954110"/>
          <w:trHeight w:val="318"/>
          <w:jc w:val="center"/>
        </w:trPr>
        <w:tc>
          <w:tcPr>
            <w:tcW w:w="1302" w:type="dxa"/>
            <w:tcBorders>
              <w:top w:val="nil"/>
              <w:left w:val="nil"/>
              <w:bottom w:val="nil"/>
              <w:right w:val="single" w:sz="12" w:space="0" w:color="000000"/>
            </w:tcBorders>
            <w:shd w:val="clear" w:color="auto" w:fill="auto"/>
            <w:hideMark/>
          </w:tcPr>
          <w:p w14:paraId="7F7860ED" w14:textId="77777777" w:rsidR="00D227B8" w:rsidRPr="00D227B8" w:rsidRDefault="00D227B8" w:rsidP="00D227B8">
            <w:pPr>
              <w:rPr>
                <w:color w:val="000000"/>
              </w:rPr>
            </w:pPr>
            <w:r w:rsidRPr="00D227B8">
              <w:rPr>
                <w:color w:val="000000"/>
              </w:rPr>
              <w:t>FLF</w:t>
            </w:r>
          </w:p>
        </w:tc>
        <w:tc>
          <w:tcPr>
            <w:tcW w:w="1164" w:type="dxa"/>
            <w:tcBorders>
              <w:top w:val="nil"/>
              <w:left w:val="nil"/>
              <w:bottom w:val="nil"/>
              <w:right w:val="single" w:sz="4" w:space="0" w:color="000000"/>
            </w:tcBorders>
            <w:shd w:val="clear" w:color="auto" w:fill="auto"/>
            <w:noWrap/>
            <w:vAlign w:val="center"/>
            <w:hideMark/>
          </w:tcPr>
          <w:p w14:paraId="482B69FF" w14:textId="77777777" w:rsidR="00D227B8" w:rsidRPr="00D227B8" w:rsidRDefault="00D227B8" w:rsidP="00D227B8">
            <w:pPr>
              <w:jc w:val="right"/>
              <w:rPr>
                <w:color w:val="000000"/>
              </w:rPr>
            </w:pPr>
            <w:r w:rsidRPr="00D227B8">
              <w:rPr>
                <w:color w:val="000000"/>
              </w:rPr>
              <w:t>492</w:t>
            </w:r>
          </w:p>
        </w:tc>
        <w:tc>
          <w:tcPr>
            <w:tcW w:w="1649" w:type="dxa"/>
            <w:tcBorders>
              <w:top w:val="nil"/>
              <w:left w:val="nil"/>
              <w:bottom w:val="nil"/>
              <w:right w:val="single" w:sz="4" w:space="0" w:color="000000"/>
            </w:tcBorders>
            <w:shd w:val="clear" w:color="auto" w:fill="auto"/>
            <w:noWrap/>
            <w:vAlign w:val="center"/>
            <w:hideMark/>
          </w:tcPr>
          <w:p w14:paraId="448E25E4" w14:textId="77777777" w:rsidR="00D227B8" w:rsidRPr="00D227B8" w:rsidRDefault="00D227B8" w:rsidP="00D227B8">
            <w:pPr>
              <w:jc w:val="right"/>
              <w:rPr>
                <w:color w:val="000000"/>
              </w:rPr>
            </w:pPr>
            <w:r w:rsidRPr="00D227B8">
              <w:rPr>
                <w:color w:val="000000"/>
              </w:rPr>
              <w:t>3,950</w:t>
            </w:r>
          </w:p>
        </w:tc>
        <w:tc>
          <w:tcPr>
            <w:tcW w:w="1698" w:type="dxa"/>
            <w:tcBorders>
              <w:top w:val="nil"/>
              <w:left w:val="nil"/>
              <w:bottom w:val="nil"/>
              <w:right w:val="single" w:sz="4" w:space="0" w:color="000000"/>
            </w:tcBorders>
            <w:shd w:val="clear" w:color="auto" w:fill="auto"/>
            <w:noWrap/>
            <w:vAlign w:val="center"/>
            <w:hideMark/>
          </w:tcPr>
          <w:p w14:paraId="1C5075E5" w14:textId="77777777" w:rsidR="00D227B8" w:rsidRPr="00D227B8" w:rsidRDefault="00D227B8" w:rsidP="00D227B8">
            <w:pPr>
              <w:jc w:val="right"/>
              <w:rPr>
                <w:color w:val="000000"/>
              </w:rPr>
            </w:pPr>
            <w:r w:rsidRPr="00D227B8">
              <w:rPr>
                <w:color w:val="000000"/>
              </w:rPr>
              <w:t>35,090</w:t>
            </w:r>
          </w:p>
        </w:tc>
        <w:tc>
          <w:tcPr>
            <w:tcW w:w="1576" w:type="dxa"/>
            <w:tcBorders>
              <w:top w:val="nil"/>
              <w:left w:val="nil"/>
              <w:bottom w:val="nil"/>
              <w:right w:val="single" w:sz="4" w:space="0" w:color="000000"/>
            </w:tcBorders>
            <w:shd w:val="clear" w:color="auto" w:fill="auto"/>
            <w:noWrap/>
            <w:vAlign w:val="center"/>
            <w:hideMark/>
          </w:tcPr>
          <w:p w14:paraId="55C79267" w14:textId="77777777" w:rsidR="00D227B8" w:rsidRPr="00D227B8" w:rsidRDefault="00D227B8" w:rsidP="00D227B8">
            <w:pPr>
              <w:jc w:val="right"/>
              <w:rPr>
                <w:color w:val="000000"/>
              </w:rPr>
            </w:pPr>
            <w:r w:rsidRPr="00D227B8">
              <w:rPr>
                <w:color w:val="000000"/>
              </w:rPr>
              <w:t>16,289</w:t>
            </w:r>
          </w:p>
        </w:tc>
        <w:tc>
          <w:tcPr>
            <w:tcW w:w="1753" w:type="dxa"/>
            <w:tcBorders>
              <w:top w:val="nil"/>
              <w:left w:val="nil"/>
              <w:bottom w:val="nil"/>
              <w:right w:val="nil"/>
            </w:tcBorders>
            <w:shd w:val="clear" w:color="auto" w:fill="auto"/>
            <w:noWrap/>
            <w:vAlign w:val="center"/>
            <w:hideMark/>
          </w:tcPr>
          <w:p w14:paraId="64486CCE" w14:textId="77777777" w:rsidR="00D227B8" w:rsidRPr="00D227B8" w:rsidRDefault="00D227B8" w:rsidP="00D227B8">
            <w:pPr>
              <w:jc w:val="right"/>
              <w:rPr>
                <w:color w:val="000000"/>
              </w:rPr>
            </w:pPr>
            <w:r w:rsidRPr="00D227B8">
              <w:rPr>
                <w:color w:val="000000"/>
              </w:rPr>
              <w:t>4,305</w:t>
            </w:r>
          </w:p>
        </w:tc>
      </w:tr>
      <w:tr w:rsidR="00D227B8" w:rsidRPr="00D227B8" w14:paraId="6976E9FD" w14:textId="77777777" w:rsidTr="00D227B8">
        <w:trPr>
          <w:divId w:val="1745954110"/>
          <w:trHeight w:val="318"/>
          <w:jc w:val="center"/>
        </w:trPr>
        <w:tc>
          <w:tcPr>
            <w:tcW w:w="1302" w:type="dxa"/>
            <w:tcBorders>
              <w:top w:val="nil"/>
              <w:left w:val="nil"/>
              <w:bottom w:val="nil"/>
              <w:right w:val="single" w:sz="12" w:space="0" w:color="000000"/>
            </w:tcBorders>
            <w:shd w:val="clear" w:color="auto" w:fill="auto"/>
            <w:hideMark/>
          </w:tcPr>
          <w:p w14:paraId="441EB269" w14:textId="77777777" w:rsidR="00D227B8" w:rsidRPr="00D227B8" w:rsidRDefault="00D227B8" w:rsidP="00D227B8">
            <w:pPr>
              <w:rPr>
                <w:color w:val="000000"/>
              </w:rPr>
            </w:pPr>
            <w:r w:rsidRPr="00D227B8">
              <w:rPr>
                <w:color w:val="000000"/>
              </w:rPr>
              <w:t>liqui</w:t>
            </w:r>
          </w:p>
        </w:tc>
        <w:tc>
          <w:tcPr>
            <w:tcW w:w="1164" w:type="dxa"/>
            <w:tcBorders>
              <w:top w:val="nil"/>
              <w:left w:val="nil"/>
              <w:bottom w:val="nil"/>
              <w:right w:val="single" w:sz="4" w:space="0" w:color="000000"/>
            </w:tcBorders>
            <w:shd w:val="clear" w:color="auto" w:fill="auto"/>
            <w:noWrap/>
            <w:vAlign w:val="center"/>
            <w:hideMark/>
          </w:tcPr>
          <w:p w14:paraId="68AF4108" w14:textId="77777777" w:rsidR="00D227B8" w:rsidRPr="00D227B8" w:rsidRDefault="00D227B8" w:rsidP="00D227B8">
            <w:pPr>
              <w:jc w:val="right"/>
              <w:rPr>
                <w:color w:val="000000"/>
              </w:rPr>
            </w:pPr>
            <w:r w:rsidRPr="00D227B8">
              <w:rPr>
                <w:color w:val="000000"/>
              </w:rPr>
              <w:t>492</w:t>
            </w:r>
          </w:p>
        </w:tc>
        <w:tc>
          <w:tcPr>
            <w:tcW w:w="1649" w:type="dxa"/>
            <w:tcBorders>
              <w:top w:val="nil"/>
              <w:left w:val="nil"/>
              <w:bottom w:val="nil"/>
              <w:right w:val="single" w:sz="4" w:space="0" w:color="000000"/>
            </w:tcBorders>
            <w:shd w:val="clear" w:color="auto" w:fill="auto"/>
            <w:noWrap/>
            <w:vAlign w:val="center"/>
            <w:hideMark/>
          </w:tcPr>
          <w:p w14:paraId="265EB669" w14:textId="77777777" w:rsidR="00D227B8" w:rsidRPr="00D227B8" w:rsidRDefault="00D227B8" w:rsidP="00D227B8">
            <w:pPr>
              <w:jc w:val="right"/>
              <w:rPr>
                <w:color w:val="000000"/>
              </w:rPr>
            </w:pPr>
            <w:r w:rsidRPr="00D227B8">
              <w:rPr>
                <w:color w:val="000000"/>
              </w:rPr>
              <w:t>,000</w:t>
            </w:r>
          </w:p>
        </w:tc>
        <w:tc>
          <w:tcPr>
            <w:tcW w:w="1698" w:type="dxa"/>
            <w:tcBorders>
              <w:top w:val="nil"/>
              <w:left w:val="nil"/>
              <w:bottom w:val="nil"/>
              <w:right w:val="single" w:sz="4" w:space="0" w:color="000000"/>
            </w:tcBorders>
            <w:shd w:val="clear" w:color="auto" w:fill="auto"/>
            <w:noWrap/>
            <w:vAlign w:val="center"/>
            <w:hideMark/>
          </w:tcPr>
          <w:p w14:paraId="1A88A035" w14:textId="77777777" w:rsidR="00D227B8" w:rsidRPr="00D227B8" w:rsidRDefault="00D227B8" w:rsidP="00D227B8">
            <w:pPr>
              <w:jc w:val="right"/>
              <w:rPr>
                <w:color w:val="000000"/>
              </w:rPr>
            </w:pPr>
            <w:r w:rsidRPr="00D227B8">
              <w:rPr>
                <w:color w:val="000000"/>
              </w:rPr>
              <w:t>1,843</w:t>
            </w:r>
          </w:p>
        </w:tc>
        <w:tc>
          <w:tcPr>
            <w:tcW w:w="1576" w:type="dxa"/>
            <w:tcBorders>
              <w:top w:val="nil"/>
              <w:left w:val="nil"/>
              <w:bottom w:val="nil"/>
              <w:right w:val="single" w:sz="4" w:space="0" w:color="000000"/>
            </w:tcBorders>
            <w:shd w:val="clear" w:color="auto" w:fill="auto"/>
            <w:noWrap/>
            <w:vAlign w:val="center"/>
            <w:hideMark/>
          </w:tcPr>
          <w:p w14:paraId="0676BE5D" w14:textId="77777777" w:rsidR="00D227B8" w:rsidRPr="00D227B8" w:rsidRDefault="00D227B8" w:rsidP="00D227B8">
            <w:pPr>
              <w:jc w:val="right"/>
              <w:rPr>
                <w:color w:val="000000"/>
              </w:rPr>
            </w:pPr>
            <w:r w:rsidRPr="00D227B8">
              <w:rPr>
                <w:color w:val="000000"/>
              </w:rPr>
              <w:t>,064</w:t>
            </w:r>
          </w:p>
        </w:tc>
        <w:tc>
          <w:tcPr>
            <w:tcW w:w="1753" w:type="dxa"/>
            <w:tcBorders>
              <w:top w:val="nil"/>
              <w:left w:val="nil"/>
              <w:bottom w:val="nil"/>
              <w:right w:val="nil"/>
            </w:tcBorders>
            <w:shd w:val="clear" w:color="auto" w:fill="auto"/>
            <w:noWrap/>
            <w:vAlign w:val="center"/>
            <w:hideMark/>
          </w:tcPr>
          <w:p w14:paraId="1471B69A" w14:textId="77777777" w:rsidR="00D227B8" w:rsidRPr="00D227B8" w:rsidRDefault="00D227B8" w:rsidP="00D227B8">
            <w:pPr>
              <w:jc w:val="right"/>
              <w:rPr>
                <w:color w:val="000000"/>
              </w:rPr>
            </w:pPr>
            <w:r w:rsidRPr="00D227B8">
              <w:rPr>
                <w:color w:val="000000"/>
              </w:rPr>
              <w:t>,214</w:t>
            </w:r>
          </w:p>
        </w:tc>
      </w:tr>
      <w:tr w:rsidR="00D227B8" w:rsidRPr="00D227B8" w14:paraId="1985D7DB" w14:textId="77777777" w:rsidTr="00D227B8">
        <w:trPr>
          <w:divId w:val="1745954110"/>
          <w:trHeight w:val="318"/>
          <w:jc w:val="center"/>
        </w:trPr>
        <w:tc>
          <w:tcPr>
            <w:tcW w:w="1302" w:type="dxa"/>
            <w:tcBorders>
              <w:top w:val="nil"/>
              <w:left w:val="nil"/>
              <w:bottom w:val="nil"/>
              <w:right w:val="single" w:sz="12" w:space="0" w:color="000000"/>
            </w:tcBorders>
            <w:shd w:val="clear" w:color="auto" w:fill="auto"/>
            <w:hideMark/>
          </w:tcPr>
          <w:p w14:paraId="11FB8A05" w14:textId="77777777" w:rsidR="00D227B8" w:rsidRPr="00D227B8" w:rsidRDefault="00D227B8" w:rsidP="00D227B8">
            <w:pPr>
              <w:rPr>
                <w:color w:val="000000"/>
              </w:rPr>
            </w:pPr>
            <w:r w:rsidRPr="00D227B8">
              <w:rPr>
                <w:color w:val="000000"/>
              </w:rPr>
              <w:t>TAM</w:t>
            </w:r>
          </w:p>
        </w:tc>
        <w:tc>
          <w:tcPr>
            <w:tcW w:w="1164" w:type="dxa"/>
            <w:tcBorders>
              <w:top w:val="nil"/>
              <w:left w:val="nil"/>
              <w:bottom w:val="nil"/>
              <w:right w:val="single" w:sz="4" w:space="0" w:color="000000"/>
            </w:tcBorders>
            <w:shd w:val="clear" w:color="auto" w:fill="auto"/>
            <w:noWrap/>
            <w:vAlign w:val="center"/>
            <w:hideMark/>
          </w:tcPr>
          <w:p w14:paraId="79EAA5FF" w14:textId="77777777" w:rsidR="00D227B8" w:rsidRPr="00D227B8" w:rsidRDefault="00D227B8" w:rsidP="00D227B8">
            <w:pPr>
              <w:jc w:val="right"/>
              <w:rPr>
                <w:color w:val="000000"/>
              </w:rPr>
            </w:pPr>
            <w:r w:rsidRPr="00D227B8">
              <w:rPr>
                <w:color w:val="000000"/>
              </w:rPr>
              <w:t>492</w:t>
            </w:r>
          </w:p>
        </w:tc>
        <w:tc>
          <w:tcPr>
            <w:tcW w:w="1649" w:type="dxa"/>
            <w:tcBorders>
              <w:top w:val="nil"/>
              <w:left w:val="nil"/>
              <w:bottom w:val="nil"/>
              <w:right w:val="single" w:sz="4" w:space="0" w:color="000000"/>
            </w:tcBorders>
            <w:shd w:val="clear" w:color="auto" w:fill="auto"/>
            <w:noWrap/>
            <w:vAlign w:val="center"/>
            <w:hideMark/>
          </w:tcPr>
          <w:p w14:paraId="39EF3314" w14:textId="77777777" w:rsidR="00D227B8" w:rsidRPr="00D227B8" w:rsidRDefault="00D227B8" w:rsidP="00D227B8">
            <w:pPr>
              <w:jc w:val="right"/>
              <w:rPr>
                <w:color w:val="000000"/>
              </w:rPr>
            </w:pPr>
            <w:r w:rsidRPr="00D227B8">
              <w:rPr>
                <w:color w:val="000000"/>
              </w:rPr>
              <w:t>3,807</w:t>
            </w:r>
          </w:p>
        </w:tc>
        <w:tc>
          <w:tcPr>
            <w:tcW w:w="1698" w:type="dxa"/>
            <w:tcBorders>
              <w:top w:val="nil"/>
              <w:left w:val="nil"/>
              <w:bottom w:val="nil"/>
              <w:right w:val="single" w:sz="4" w:space="0" w:color="000000"/>
            </w:tcBorders>
            <w:shd w:val="clear" w:color="auto" w:fill="auto"/>
            <w:noWrap/>
            <w:vAlign w:val="center"/>
            <w:hideMark/>
          </w:tcPr>
          <w:p w14:paraId="28876175" w14:textId="77777777" w:rsidR="00D227B8" w:rsidRPr="00D227B8" w:rsidRDefault="00D227B8" w:rsidP="00D227B8">
            <w:pPr>
              <w:jc w:val="right"/>
              <w:rPr>
                <w:color w:val="000000"/>
              </w:rPr>
            </w:pPr>
            <w:r w:rsidRPr="00D227B8">
              <w:rPr>
                <w:color w:val="000000"/>
              </w:rPr>
              <w:t>19,435</w:t>
            </w:r>
          </w:p>
        </w:tc>
        <w:tc>
          <w:tcPr>
            <w:tcW w:w="1576" w:type="dxa"/>
            <w:tcBorders>
              <w:top w:val="nil"/>
              <w:left w:val="nil"/>
              <w:bottom w:val="nil"/>
              <w:right w:val="single" w:sz="4" w:space="0" w:color="000000"/>
            </w:tcBorders>
            <w:shd w:val="clear" w:color="auto" w:fill="auto"/>
            <w:noWrap/>
            <w:vAlign w:val="center"/>
            <w:hideMark/>
          </w:tcPr>
          <w:p w14:paraId="6CB27B26" w14:textId="77777777" w:rsidR="00D227B8" w:rsidRPr="00D227B8" w:rsidRDefault="00D227B8" w:rsidP="00D227B8">
            <w:pPr>
              <w:jc w:val="right"/>
              <w:rPr>
                <w:color w:val="000000"/>
              </w:rPr>
            </w:pPr>
            <w:r w:rsidRPr="00D227B8">
              <w:rPr>
                <w:color w:val="000000"/>
              </w:rPr>
              <w:t>13,691</w:t>
            </w:r>
          </w:p>
        </w:tc>
        <w:tc>
          <w:tcPr>
            <w:tcW w:w="1753" w:type="dxa"/>
            <w:tcBorders>
              <w:top w:val="nil"/>
              <w:left w:val="nil"/>
              <w:bottom w:val="nil"/>
              <w:right w:val="nil"/>
            </w:tcBorders>
            <w:shd w:val="clear" w:color="auto" w:fill="auto"/>
            <w:noWrap/>
            <w:vAlign w:val="center"/>
            <w:hideMark/>
          </w:tcPr>
          <w:p w14:paraId="162B631C" w14:textId="77777777" w:rsidR="00D227B8" w:rsidRPr="00D227B8" w:rsidRDefault="00D227B8" w:rsidP="00D227B8">
            <w:pPr>
              <w:jc w:val="right"/>
              <w:rPr>
                <w:color w:val="000000"/>
              </w:rPr>
            </w:pPr>
            <w:r w:rsidRPr="00D227B8">
              <w:rPr>
                <w:color w:val="000000"/>
              </w:rPr>
              <w:t>2,442</w:t>
            </w:r>
          </w:p>
        </w:tc>
      </w:tr>
      <w:tr w:rsidR="00D227B8" w:rsidRPr="00D227B8" w14:paraId="4C268E0B" w14:textId="77777777" w:rsidTr="00D227B8">
        <w:trPr>
          <w:divId w:val="1745954110"/>
          <w:trHeight w:val="318"/>
          <w:jc w:val="center"/>
        </w:trPr>
        <w:tc>
          <w:tcPr>
            <w:tcW w:w="1302" w:type="dxa"/>
            <w:tcBorders>
              <w:top w:val="nil"/>
              <w:left w:val="nil"/>
              <w:bottom w:val="nil"/>
              <w:right w:val="single" w:sz="12" w:space="0" w:color="000000"/>
            </w:tcBorders>
            <w:shd w:val="clear" w:color="auto" w:fill="auto"/>
            <w:hideMark/>
          </w:tcPr>
          <w:p w14:paraId="3EB6A641" w14:textId="77777777" w:rsidR="00D227B8" w:rsidRPr="00D227B8" w:rsidRDefault="00D227B8" w:rsidP="00D227B8">
            <w:pPr>
              <w:rPr>
                <w:color w:val="000000"/>
              </w:rPr>
            </w:pPr>
            <w:r w:rsidRPr="00D227B8">
              <w:rPr>
                <w:color w:val="000000"/>
              </w:rPr>
              <w:t>ROA</w:t>
            </w:r>
          </w:p>
        </w:tc>
        <w:tc>
          <w:tcPr>
            <w:tcW w:w="1164" w:type="dxa"/>
            <w:tcBorders>
              <w:top w:val="nil"/>
              <w:left w:val="nil"/>
              <w:bottom w:val="nil"/>
              <w:right w:val="single" w:sz="4" w:space="0" w:color="000000"/>
            </w:tcBorders>
            <w:shd w:val="clear" w:color="auto" w:fill="auto"/>
            <w:noWrap/>
            <w:vAlign w:val="center"/>
            <w:hideMark/>
          </w:tcPr>
          <w:p w14:paraId="0014E036" w14:textId="77777777" w:rsidR="00D227B8" w:rsidRPr="00D227B8" w:rsidRDefault="00D227B8" w:rsidP="00D227B8">
            <w:pPr>
              <w:jc w:val="right"/>
              <w:rPr>
                <w:color w:val="000000"/>
              </w:rPr>
            </w:pPr>
            <w:r w:rsidRPr="00D227B8">
              <w:rPr>
                <w:color w:val="000000"/>
              </w:rPr>
              <w:t>492</w:t>
            </w:r>
          </w:p>
        </w:tc>
        <w:tc>
          <w:tcPr>
            <w:tcW w:w="1649" w:type="dxa"/>
            <w:tcBorders>
              <w:top w:val="nil"/>
              <w:left w:val="nil"/>
              <w:bottom w:val="nil"/>
              <w:right w:val="single" w:sz="4" w:space="0" w:color="000000"/>
            </w:tcBorders>
            <w:shd w:val="clear" w:color="auto" w:fill="auto"/>
            <w:noWrap/>
            <w:vAlign w:val="center"/>
            <w:hideMark/>
          </w:tcPr>
          <w:p w14:paraId="3BEA2DDE" w14:textId="77777777" w:rsidR="00D227B8" w:rsidRPr="00D227B8" w:rsidRDefault="00D227B8" w:rsidP="00D227B8">
            <w:pPr>
              <w:jc w:val="right"/>
              <w:rPr>
                <w:color w:val="000000"/>
              </w:rPr>
            </w:pPr>
            <w:r w:rsidRPr="00D227B8">
              <w:rPr>
                <w:color w:val="000000"/>
              </w:rPr>
              <w:t>-6,450</w:t>
            </w:r>
          </w:p>
        </w:tc>
        <w:tc>
          <w:tcPr>
            <w:tcW w:w="1698" w:type="dxa"/>
            <w:tcBorders>
              <w:top w:val="nil"/>
              <w:left w:val="nil"/>
              <w:bottom w:val="nil"/>
              <w:right w:val="single" w:sz="4" w:space="0" w:color="000000"/>
            </w:tcBorders>
            <w:shd w:val="clear" w:color="auto" w:fill="auto"/>
            <w:noWrap/>
            <w:vAlign w:val="center"/>
            <w:hideMark/>
          </w:tcPr>
          <w:p w14:paraId="21EE649C" w14:textId="77777777" w:rsidR="00D227B8" w:rsidRPr="00D227B8" w:rsidRDefault="00D227B8" w:rsidP="00D227B8">
            <w:pPr>
              <w:jc w:val="right"/>
              <w:rPr>
                <w:color w:val="000000"/>
              </w:rPr>
            </w:pPr>
            <w:r w:rsidRPr="00D227B8">
              <w:rPr>
                <w:color w:val="000000"/>
              </w:rPr>
              <w:t>3,186</w:t>
            </w:r>
          </w:p>
        </w:tc>
        <w:tc>
          <w:tcPr>
            <w:tcW w:w="1576" w:type="dxa"/>
            <w:tcBorders>
              <w:top w:val="nil"/>
              <w:left w:val="nil"/>
              <w:bottom w:val="nil"/>
              <w:right w:val="single" w:sz="4" w:space="0" w:color="000000"/>
            </w:tcBorders>
            <w:shd w:val="clear" w:color="auto" w:fill="auto"/>
            <w:noWrap/>
            <w:vAlign w:val="center"/>
            <w:hideMark/>
          </w:tcPr>
          <w:p w14:paraId="5196764F" w14:textId="77777777" w:rsidR="00D227B8" w:rsidRPr="00D227B8" w:rsidRDefault="00D227B8" w:rsidP="00D227B8">
            <w:pPr>
              <w:jc w:val="right"/>
              <w:rPr>
                <w:color w:val="000000"/>
              </w:rPr>
            </w:pPr>
            <w:r w:rsidRPr="00D227B8">
              <w:rPr>
                <w:color w:val="000000"/>
              </w:rPr>
              <w:t>-,006</w:t>
            </w:r>
          </w:p>
        </w:tc>
        <w:tc>
          <w:tcPr>
            <w:tcW w:w="1753" w:type="dxa"/>
            <w:tcBorders>
              <w:top w:val="nil"/>
              <w:left w:val="nil"/>
              <w:bottom w:val="nil"/>
              <w:right w:val="nil"/>
            </w:tcBorders>
            <w:shd w:val="clear" w:color="auto" w:fill="auto"/>
            <w:noWrap/>
            <w:vAlign w:val="center"/>
            <w:hideMark/>
          </w:tcPr>
          <w:p w14:paraId="14459309" w14:textId="77777777" w:rsidR="00D227B8" w:rsidRPr="00D227B8" w:rsidRDefault="00D227B8" w:rsidP="00D227B8">
            <w:pPr>
              <w:jc w:val="right"/>
              <w:rPr>
                <w:color w:val="000000"/>
              </w:rPr>
            </w:pPr>
            <w:r w:rsidRPr="00D227B8">
              <w:rPr>
                <w:color w:val="000000"/>
              </w:rPr>
              <w:t>,418</w:t>
            </w:r>
          </w:p>
        </w:tc>
      </w:tr>
      <w:tr w:rsidR="00D227B8" w:rsidRPr="00D227B8" w14:paraId="57CDB515" w14:textId="77777777" w:rsidTr="00D227B8">
        <w:trPr>
          <w:divId w:val="1745954110"/>
          <w:trHeight w:val="318"/>
          <w:jc w:val="center"/>
        </w:trPr>
        <w:tc>
          <w:tcPr>
            <w:tcW w:w="1302" w:type="dxa"/>
            <w:tcBorders>
              <w:top w:val="nil"/>
              <w:left w:val="nil"/>
              <w:bottom w:val="nil"/>
              <w:right w:val="single" w:sz="12" w:space="0" w:color="000000"/>
            </w:tcBorders>
            <w:shd w:val="clear" w:color="auto" w:fill="auto"/>
            <w:hideMark/>
          </w:tcPr>
          <w:p w14:paraId="7E242AA9" w14:textId="77777777" w:rsidR="00D227B8" w:rsidRPr="00D227B8" w:rsidRDefault="00D227B8" w:rsidP="00D227B8">
            <w:pPr>
              <w:rPr>
                <w:color w:val="000000"/>
              </w:rPr>
            </w:pPr>
            <w:r w:rsidRPr="00D227B8">
              <w:rPr>
                <w:color w:val="000000" w:themeColor="text1"/>
              </w:rPr>
              <w:t>VAR%_</w:t>
            </w:r>
            <w:r w:rsidRPr="00D227B8">
              <w:rPr>
                <w:color w:val="000000"/>
              </w:rPr>
              <w:t>LL</w:t>
            </w:r>
          </w:p>
        </w:tc>
        <w:tc>
          <w:tcPr>
            <w:tcW w:w="1164" w:type="dxa"/>
            <w:tcBorders>
              <w:top w:val="nil"/>
              <w:left w:val="nil"/>
              <w:bottom w:val="nil"/>
              <w:right w:val="single" w:sz="4" w:space="0" w:color="000000"/>
            </w:tcBorders>
            <w:shd w:val="clear" w:color="auto" w:fill="auto"/>
            <w:noWrap/>
            <w:vAlign w:val="center"/>
            <w:hideMark/>
          </w:tcPr>
          <w:p w14:paraId="4C85A076" w14:textId="77777777" w:rsidR="00D227B8" w:rsidRPr="00D227B8" w:rsidRDefault="00D227B8" w:rsidP="00D227B8">
            <w:pPr>
              <w:jc w:val="right"/>
              <w:rPr>
                <w:color w:val="000000"/>
              </w:rPr>
            </w:pPr>
            <w:r w:rsidRPr="00D227B8">
              <w:rPr>
                <w:color w:val="000000"/>
              </w:rPr>
              <w:t>492</w:t>
            </w:r>
          </w:p>
        </w:tc>
        <w:tc>
          <w:tcPr>
            <w:tcW w:w="1649" w:type="dxa"/>
            <w:tcBorders>
              <w:top w:val="nil"/>
              <w:left w:val="nil"/>
              <w:bottom w:val="nil"/>
              <w:right w:val="single" w:sz="4" w:space="0" w:color="000000"/>
            </w:tcBorders>
            <w:shd w:val="clear" w:color="auto" w:fill="auto"/>
            <w:noWrap/>
            <w:vAlign w:val="center"/>
            <w:hideMark/>
          </w:tcPr>
          <w:p w14:paraId="3D69AD81" w14:textId="77777777" w:rsidR="00D227B8" w:rsidRPr="00D227B8" w:rsidRDefault="00D227B8" w:rsidP="00D227B8">
            <w:pPr>
              <w:jc w:val="right"/>
              <w:rPr>
                <w:color w:val="000000"/>
              </w:rPr>
            </w:pPr>
            <w:r w:rsidRPr="00D227B8">
              <w:rPr>
                <w:color w:val="000000"/>
              </w:rPr>
              <w:t>-33,728</w:t>
            </w:r>
          </w:p>
        </w:tc>
        <w:tc>
          <w:tcPr>
            <w:tcW w:w="1698" w:type="dxa"/>
            <w:tcBorders>
              <w:top w:val="nil"/>
              <w:left w:val="nil"/>
              <w:bottom w:val="nil"/>
              <w:right w:val="single" w:sz="4" w:space="0" w:color="000000"/>
            </w:tcBorders>
            <w:shd w:val="clear" w:color="auto" w:fill="auto"/>
            <w:noWrap/>
            <w:vAlign w:val="center"/>
            <w:hideMark/>
          </w:tcPr>
          <w:p w14:paraId="1A31F127" w14:textId="77777777" w:rsidR="00D227B8" w:rsidRPr="00D227B8" w:rsidRDefault="00D227B8" w:rsidP="00D227B8">
            <w:pPr>
              <w:jc w:val="right"/>
              <w:rPr>
                <w:color w:val="000000"/>
              </w:rPr>
            </w:pPr>
            <w:r w:rsidRPr="00D227B8">
              <w:rPr>
                <w:color w:val="000000"/>
              </w:rPr>
              <w:t>27,627</w:t>
            </w:r>
          </w:p>
        </w:tc>
        <w:tc>
          <w:tcPr>
            <w:tcW w:w="1576" w:type="dxa"/>
            <w:tcBorders>
              <w:top w:val="nil"/>
              <w:left w:val="nil"/>
              <w:bottom w:val="nil"/>
              <w:right w:val="single" w:sz="4" w:space="0" w:color="000000"/>
            </w:tcBorders>
            <w:shd w:val="clear" w:color="auto" w:fill="auto"/>
            <w:noWrap/>
            <w:vAlign w:val="center"/>
            <w:hideMark/>
          </w:tcPr>
          <w:p w14:paraId="08FD1CFE" w14:textId="77777777" w:rsidR="00D227B8" w:rsidRPr="00D227B8" w:rsidRDefault="00D227B8" w:rsidP="00D227B8">
            <w:pPr>
              <w:jc w:val="right"/>
              <w:rPr>
                <w:color w:val="000000"/>
              </w:rPr>
            </w:pPr>
            <w:r w:rsidRPr="00D227B8">
              <w:rPr>
                <w:color w:val="000000"/>
              </w:rPr>
              <w:t>-,283</w:t>
            </w:r>
          </w:p>
        </w:tc>
        <w:tc>
          <w:tcPr>
            <w:tcW w:w="1753" w:type="dxa"/>
            <w:tcBorders>
              <w:top w:val="nil"/>
              <w:left w:val="nil"/>
              <w:bottom w:val="nil"/>
              <w:right w:val="nil"/>
            </w:tcBorders>
            <w:shd w:val="clear" w:color="auto" w:fill="auto"/>
            <w:noWrap/>
            <w:vAlign w:val="center"/>
            <w:hideMark/>
          </w:tcPr>
          <w:p w14:paraId="714DFC1C" w14:textId="77777777" w:rsidR="00D227B8" w:rsidRPr="00D227B8" w:rsidRDefault="00D227B8" w:rsidP="00D227B8">
            <w:pPr>
              <w:jc w:val="right"/>
              <w:rPr>
                <w:color w:val="000000"/>
              </w:rPr>
            </w:pPr>
            <w:r w:rsidRPr="00D227B8">
              <w:rPr>
                <w:color w:val="000000"/>
              </w:rPr>
              <w:t>4,455</w:t>
            </w:r>
          </w:p>
        </w:tc>
      </w:tr>
      <w:tr w:rsidR="00D227B8" w:rsidRPr="00D227B8" w14:paraId="3B0D691F" w14:textId="77777777" w:rsidTr="00D227B8">
        <w:trPr>
          <w:divId w:val="1745954110"/>
          <w:trHeight w:val="333"/>
          <w:jc w:val="center"/>
        </w:trPr>
        <w:tc>
          <w:tcPr>
            <w:tcW w:w="1302" w:type="dxa"/>
            <w:tcBorders>
              <w:top w:val="nil"/>
              <w:left w:val="nil"/>
              <w:bottom w:val="single" w:sz="12" w:space="0" w:color="000000"/>
              <w:right w:val="single" w:sz="12" w:space="0" w:color="000000"/>
            </w:tcBorders>
            <w:shd w:val="clear" w:color="auto" w:fill="auto"/>
            <w:hideMark/>
          </w:tcPr>
          <w:p w14:paraId="09A8CAA9" w14:textId="77777777" w:rsidR="00D227B8" w:rsidRPr="00D227B8" w:rsidRDefault="00D227B8" w:rsidP="00D227B8">
            <w:pPr>
              <w:rPr>
                <w:color w:val="000000"/>
              </w:rPr>
            </w:pPr>
            <w:r w:rsidRPr="00D227B8">
              <w:rPr>
                <w:color w:val="000000"/>
              </w:rPr>
              <w:t>RISCO</w:t>
            </w:r>
          </w:p>
        </w:tc>
        <w:tc>
          <w:tcPr>
            <w:tcW w:w="1164" w:type="dxa"/>
            <w:tcBorders>
              <w:top w:val="nil"/>
              <w:left w:val="nil"/>
              <w:bottom w:val="single" w:sz="12" w:space="0" w:color="000000"/>
              <w:right w:val="single" w:sz="4" w:space="0" w:color="000000"/>
            </w:tcBorders>
            <w:shd w:val="clear" w:color="auto" w:fill="auto"/>
            <w:noWrap/>
            <w:vAlign w:val="center"/>
            <w:hideMark/>
          </w:tcPr>
          <w:p w14:paraId="2B737BAE" w14:textId="77777777" w:rsidR="00D227B8" w:rsidRPr="00D227B8" w:rsidRDefault="00D227B8" w:rsidP="00D227B8">
            <w:pPr>
              <w:jc w:val="right"/>
              <w:rPr>
                <w:color w:val="000000"/>
              </w:rPr>
            </w:pPr>
            <w:r w:rsidRPr="00D227B8">
              <w:rPr>
                <w:color w:val="000000"/>
              </w:rPr>
              <w:t>492</w:t>
            </w:r>
          </w:p>
        </w:tc>
        <w:tc>
          <w:tcPr>
            <w:tcW w:w="1649" w:type="dxa"/>
            <w:tcBorders>
              <w:top w:val="nil"/>
              <w:left w:val="nil"/>
              <w:bottom w:val="single" w:sz="12" w:space="0" w:color="000000"/>
              <w:right w:val="single" w:sz="4" w:space="0" w:color="000000"/>
            </w:tcBorders>
            <w:shd w:val="clear" w:color="auto" w:fill="auto"/>
            <w:noWrap/>
            <w:vAlign w:val="center"/>
            <w:hideMark/>
          </w:tcPr>
          <w:p w14:paraId="085C843A" w14:textId="77777777" w:rsidR="00D227B8" w:rsidRPr="00D227B8" w:rsidRDefault="00D227B8" w:rsidP="00D227B8">
            <w:pPr>
              <w:jc w:val="right"/>
              <w:rPr>
                <w:color w:val="000000"/>
              </w:rPr>
            </w:pPr>
            <w:r w:rsidRPr="00D227B8">
              <w:rPr>
                <w:color w:val="000000"/>
              </w:rPr>
              <w:t>,000</w:t>
            </w:r>
          </w:p>
        </w:tc>
        <w:tc>
          <w:tcPr>
            <w:tcW w:w="1698" w:type="dxa"/>
            <w:tcBorders>
              <w:top w:val="nil"/>
              <w:left w:val="nil"/>
              <w:bottom w:val="single" w:sz="12" w:space="0" w:color="000000"/>
              <w:right w:val="single" w:sz="4" w:space="0" w:color="000000"/>
            </w:tcBorders>
            <w:shd w:val="clear" w:color="auto" w:fill="auto"/>
            <w:noWrap/>
            <w:vAlign w:val="center"/>
            <w:hideMark/>
          </w:tcPr>
          <w:p w14:paraId="60495985" w14:textId="77777777" w:rsidR="00D227B8" w:rsidRPr="00D227B8" w:rsidRDefault="00D227B8" w:rsidP="00D227B8">
            <w:pPr>
              <w:jc w:val="right"/>
              <w:rPr>
                <w:color w:val="000000"/>
              </w:rPr>
            </w:pPr>
            <w:r w:rsidRPr="00D227B8">
              <w:rPr>
                <w:color w:val="000000"/>
              </w:rPr>
              <w:t>8,236</w:t>
            </w:r>
          </w:p>
        </w:tc>
        <w:tc>
          <w:tcPr>
            <w:tcW w:w="1576" w:type="dxa"/>
            <w:tcBorders>
              <w:top w:val="nil"/>
              <w:left w:val="nil"/>
              <w:bottom w:val="single" w:sz="12" w:space="0" w:color="000000"/>
              <w:right w:val="single" w:sz="4" w:space="0" w:color="000000"/>
            </w:tcBorders>
            <w:shd w:val="clear" w:color="auto" w:fill="auto"/>
            <w:noWrap/>
            <w:vAlign w:val="center"/>
            <w:hideMark/>
          </w:tcPr>
          <w:p w14:paraId="78FC22D9" w14:textId="77777777" w:rsidR="00D227B8" w:rsidRPr="00D227B8" w:rsidRDefault="00D227B8" w:rsidP="00D227B8">
            <w:pPr>
              <w:jc w:val="right"/>
              <w:rPr>
                <w:color w:val="000000"/>
              </w:rPr>
            </w:pPr>
            <w:r w:rsidRPr="00D227B8">
              <w:rPr>
                <w:color w:val="000000"/>
              </w:rPr>
              <w:t>,748</w:t>
            </w:r>
          </w:p>
        </w:tc>
        <w:tc>
          <w:tcPr>
            <w:tcW w:w="1753" w:type="dxa"/>
            <w:tcBorders>
              <w:top w:val="nil"/>
              <w:left w:val="nil"/>
              <w:bottom w:val="single" w:sz="12" w:space="0" w:color="000000"/>
              <w:right w:val="nil"/>
            </w:tcBorders>
            <w:shd w:val="clear" w:color="auto" w:fill="auto"/>
            <w:noWrap/>
            <w:vAlign w:val="center"/>
            <w:hideMark/>
          </w:tcPr>
          <w:p w14:paraId="7BD1CF5F" w14:textId="77777777" w:rsidR="00D227B8" w:rsidRPr="00D227B8" w:rsidRDefault="00D227B8" w:rsidP="00D227B8">
            <w:pPr>
              <w:jc w:val="right"/>
              <w:rPr>
                <w:color w:val="000000"/>
              </w:rPr>
            </w:pPr>
            <w:r w:rsidRPr="00D227B8">
              <w:rPr>
                <w:color w:val="000000"/>
              </w:rPr>
              <w:t>,876</w:t>
            </w:r>
          </w:p>
        </w:tc>
      </w:tr>
    </w:tbl>
    <w:p w14:paraId="3D964248" w14:textId="7D026D8E" w:rsidR="0044177A" w:rsidRDefault="0039002B" w:rsidP="0044177A">
      <w:pPr>
        <w:tabs>
          <w:tab w:val="left" w:pos="5147"/>
        </w:tabs>
        <w:autoSpaceDE w:val="0"/>
        <w:autoSpaceDN w:val="0"/>
        <w:adjustRightInd w:val="0"/>
        <w:ind w:firstLine="709"/>
        <w:jc w:val="both"/>
        <w:rPr>
          <w:color w:val="000000" w:themeColor="text1"/>
          <w:sz w:val="24"/>
          <w:szCs w:val="24"/>
        </w:rPr>
      </w:pPr>
      <w:r>
        <w:rPr>
          <w:color w:val="000000" w:themeColor="text1"/>
        </w:rPr>
        <w:fldChar w:fldCharType="end"/>
      </w:r>
      <w:r w:rsidR="0044177A" w:rsidRPr="0044177A">
        <w:rPr>
          <w:color w:val="000000" w:themeColor="text1"/>
          <w:sz w:val="24"/>
          <w:szCs w:val="24"/>
        </w:rPr>
        <w:t xml:space="preserve"> </w:t>
      </w:r>
      <w:r w:rsidR="0044177A" w:rsidRPr="007C5EBD">
        <w:rPr>
          <w:color w:val="000000" w:themeColor="text1"/>
          <w:sz w:val="24"/>
          <w:szCs w:val="24"/>
        </w:rPr>
        <w:t xml:space="preserve">A variação percentual do lucro positivo e negativa tiveram percentuais similares no intervalo mínimo e máximo, sendo que a média foi negativa indicando que o comportamento médio das empresas no período estudo foi de redução do lucro líquido. Em relação ao </w:t>
      </w:r>
      <w:r w:rsidR="0044177A">
        <w:rPr>
          <w:color w:val="000000" w:themeColor="text1"/>
          <w:sz w:val="24"/>
          <w:szCs w:val="24"/>
        </w:rPr>
        <w:t>risco</w:t>
      </w:r>
      <w:r w:rsidR="0044177A" w:rsidRPr="007C5EBD">
        <w:rPr>
          <w:color w:val="000000" w:themeColor="text1"/>
          <w:sz w:val="24"/>
          <w:szCs w:val="24"/>
        </w:rPr>
        <w:t xml:space="preserve"> chama atenção a elevada dispersão da variável observada pelo desvio padrão </w:t>
      </w:r>
      <w:r w:rsidR="0044177A">
        <w:rPr>
          <w:color w:val="000000" w:themeColor="text1"/>
          <w:sz w:val="24"/>
          <w:szCs w:val="24"/>
        </w:rPr>
        <w:t>acima d</w:t>
      </w:r>
      <w:r w:rsidR="0044177A" w:rsidRPr="007C5EBD">
        <w:rPr>
          <w:color w:val="000000" w:themeColor="text1"/>
          <w:sz w:val="24"/>
          <w:szCs w:val="24"/>
        </w:rPr>
        <w:t xml:space="preserve">o valor da média. </w:t>
      </w:r>
    </w:p>
    <w:p w14:paraId="4879A02B" w14:textId="4CA68437" w:rsidR="0044177A" w:rsidRDefault="0044177A" w:rsidP="0044177A">
      <w:pPr>
        <w:tabs>
          <w:tab w:val="left" w:pos="5147"/>
        </w:tabs>
        <w:autoSpaceDE w:val="0"/>
        <w:autoSpaceDN w:val="0"/>
        <w:adjustRightInd w:val="0"/>
        <w:ind w:firstLine="709"/>
        <w:jc w:val="both"/>
        <w:rPr>
          <w:color w:val="000000" w:themeColor="text1"/>
          <w:sz w:val="24"/>
          <w:szCs w:val="24"/>
        </w:rPr>
      </w:pPr>
      <w:r w:rsidRPr="007C5EBD">
        <w:rPr>
          <w:color w:val="000000" w:themeColor="text1"/>
          <w:sz w:val="24"/>
          <w:szCs w:val="24"/>
        </w:rPr>
        <w:lastRenderedPageBreak/>
        <w:t>A liquidez de mercado com valor mínimo aproximado de zero é uma característica do mercado de capitais brasileiro</w:t>
      </w:r>
      <w:r w:rsidR="00630F69">
        <w:rPr>
          <w:color w:val="000000" w:themeColor="text1"/>
          <w:sz w:val="24"/>
          <w:szCs w:val="24"/>
        </w:rPr>
        <w:t>, no</w:t>
      </w:r>
      <w:r w:rsidRPr="007C5EBD">
        <w:rPr>
          <w:color w:val="000000" w:themeColor="text1"/>
          <w:sz w:val="24"/>
          <w:szCs w:val="24"/>
        </w:rPr>
        <w:t xml:space="preserve"> qu</w:t>
      </w:r>
      <w:r w:rsidR="00630F69">
        <w:rPr>
          <w:color w:val="000000" w:themeColor="text1"/>
          <w:sz w:val="24"/>
          <w:szCs w:val="24"/>
        </w:rPr>
        <w:t>al</w:t>
      </w:r>
      <w:r w:rsidRPr="007C5EBD">
        <w:rPr>
          <w:color w:val="000000" w:themeColor="text1"/>
          <w:sz w:val="24"/>
          <w:szCs w:val="24"/>
        </w:rPr>
        <w:t xml:space="preserve"> diversas empresas não negociam seus ativos regularmente.</w:t>
      </w:r>
      <w:r>
        <w:rPr>
          <w:color w:val="000000" w:themeColor="text1"/>
          <w:sz w:val="24"/>
          <w:szCs w:val="24"/>
        </w:rPr>
        <w:t xml:space="preserve"> A variável </w:t>
      </w:r>
      <w:r w:rsidRPr="00CF2F27">
        <w:rPr>
          <w:i/>
          <w:color w:val="000000" w:themeColor="text1"/>
          <w:sz w:val="24"/>
          <w:szCs w:val="24"/>
        </w:rPr>
        <w:t>dumm</w:t>
      </w:r>
      <w:r>
        <w:rPr>
          <w:i/>
          <w:color w:val="000000" w:themeColor="text1"/>
          <w:sz w:val="24"/>
          <w:szCs w:val="24"/>
        </w:rPr>
        <w:t>y</w:t>
      </w:r>
      <w:r w:rsidRPr="00CF2F27">
        <w:rPr>
          <w:i/>
          <w:color w:val="000000" w:themeColor="text1"/>
          <w:sz w:val="24"/>
          <w:szCs w:val="24"/>
        </w:rPr>
        <w:t xml:space="preserve"> </w:t>
      </w:r>
      <w:r>
        <w:rPr>
          <w:color w:val="000000" w:themeColor="text1"/>
          <w:sz w:val="24"/>
          <w:szCs w:val="24"/>
        </w:rPr>
        <w:t xml:space="preserve">de lucro /prejuízo </w:t>
      </w:r>
      <w:r w:rsidRPr="007C5EBD">
        <w:rPr>
          <w:color w:val="000000" w:themeColor="text1"/>
          <w:sz w:val="24"/>
          <w:szCs w:val="24"/>
        </w:rPr>
        <w:t xml:space="preserve">é uma </w:t>
      </w:r>
      <w:r w:rsidRPr="007C5EBD">
        <w:rPr>
          <w:i/>
          <w:color w:val="000000" w:themeColor="text1"/>
          <w:sz w:val="24"/>
          <w:szCs w:val="24"/>
        </w:rPr>
        <w:t xml:space="preserve">proxy </w:t>
      </w:r>
      <w:r w:rsidRPr="007C5EBD">
        <w:rPr>
          <w:color w:val="000000" w:themeColor="text1"/>
          <w:sz w:val="24"/>
          <w:szCs w:val="24"/>
        </w:rPr>
        <w:t xml:space="preserve">para a narrativa de boas e más notícias, uma vez que </w:t>
      </w:r>
      <w:r w:rsidR="00630F69">
        <w:rPr>
          <w:color w:val="000000" w:themeColor="text1"/>
          <w:sz w:val="24"/>
          <w:szCs w:val="24"/>
        </w:rPr>
        <w:t xml:space="preserve">o </w:t>
      </w:r>
      <w:r w:rsidRPr="007C5EBD">
        <w:rPr>
          <w:color w:val="000000" w:themeColor="text1"/>
          <w:sz w:val="24"/>
          <w:szCs w:val="24"/>
        </w:rPr>
        <w:t>resultado positivo tende a ser melhor recebido pelos usuários e é</w:t>
      </w:r>
      <w:r>
        <w:rPr>
          <w:color w:val="000000" w:themeColor="text1"/>
          <w:sz w:val="24"/>
          <w:szCs w:val="24"/>
        </w:rPr>
        <w:t xml:space="preserve"> mais simples de ser explicado. Constatou-se que 71</w:t>
      </w:r>
      <w:r w:rsidRPr="007C5EBD">
        <w:rPr>
          <w:color w:val="000000" w:themeColor="text1"/>
          <w:sz w:val="24"/>
          <w:szCs w:val="24"/>
        </w:rPr>
        <w:t>,5% da</w:t>
      </w:r>
      <w:r>
        <w:rPr>
          <w:color w:val="000000" w:themeColor="text1"/>
          <w:sz w:val="24"/>
          <w:szCs w:val="24"/>
        </w:rPr>
        <w:t>s</w:t>
      </w:r>
      <w:r w:rsidRPr="007C5EBD">
        <w:rPr>
          <w:color w:val="000000" w:themeColor="text1"/>
          <w:sz w:val="24"/>
          <w:szCs w:val="24"/>
        </w:rPr>
        <w:t xml:space="preserve"> </w:t>
      </w:r>
      <w:r>
        <w:rPr>
          <w:color w:val="000000" w:themeColor="text1"/>
          <w:sz w:val="24"/>
          <w:szCs w:val="24"/>
        </w:rPr>
        <w:t>observações são referentes a</w:t>
      </w:r>
      <w:r w:rsidR="00630F69">
        <w:rPr>
          <w:color w:val="000000" w:themeColor="text1"/>
          <w:sz w:val="24"/>
          <w:szCs w:val="24"/>
        </w:rPr>
        <w:t>s</w:t>
      </w:r>
      <w:r>
        <w:rPr>
          <w:color w:val="000000" w:themeColor="text1"/>
          <w:sz w:val="24"/>
          <w:szCs w:val="24"/>
        </w:rPr>
        <w:t xml:space="preserve"> empresas que </w:t>
      </w:r>
      <w:r w:rsidRPr="007C5EBD">
        <w:rPr>
          <w:color w:val="000000" w:themeColor="text1"/>
          <w:sz w:val="24"/>
          <w:szCs w:val="24"/>
        </w:rPr>
        <w:t>obtiveram lucro no período.</w:t>
      </w:r>
    </w:p>
    <w:p w14:paraId="75441D90" w14:textId="786EE625" w:rsidR="0039002B" w:rsidRPr="00D07B67" w:rsidRDefault="0039002B" w:rsidP="00D07B67">
      <w:pPr>
        <w:tabs>
          <w:tab w:val="left" w:pos="5147"/>
        </w:tabs>
        <w:autoSpaceDE w:val="0"/>
        <w:autoSpaceDN w:val="0"/>
        <w:adjustRightInd w:val="0"/>
        <w:ind w:firstLine="708"/>
        <w:jc w:val="both"/>
        <w:rPr>
          <w:color w:val="000000" w:themeColor="text1"/>
          <w:szCs w:val="24"/>
        </w:rPr>
      </w:pPr>
      <w:r>
        <w:rPr>
          <w:color w:val="000000" w:themeColor="text1"/>
          <w:sz w:val="24"/>
          <w:szCs w:val="24"/>
        </w:rPr>
        <w:t xml:space="preserve">Nas tabelas </w:t>
      </w:r>
      <w:r w:rsidR="0044177A">
        <w:rPr>
          <w:color w:val="000000" w:themeColor="text1"/>
          <w:sz w:val="24"/>
          <w:szCs w:val="24"/>
        </w:rPr>
        <w:t>5</w:t>
      </w:r>
      <w:r w:rsidRPr="007C5EBD">
        <w:rPr>
          <w:color w:val="000000" w:themeColor="text1"/>
          <w:sz w:val="24"/>
          <w:szCs w:val="24"/>
        </w:rPr>
        <w:t xml:space="preserve"> e </w:t>
      </w:r>
      <w:r w:rsidR="0044177A">
        <w:rPr>
          <w:color w:val="000000" w:themeColor="text1"/>
          <w:sz w:val="24"/>
          <w:szCs w:val="24"/>
        </w:rPr>
        <w:t>6</w:t>
      </w:r>
      <w:r w:rsidRPr="007C5EBD">
        <w:rPr>
          <w:color w:val="000000" w:themeColor="text1"/>
          <w:sz w:val="24"/>
          <w:szCs w:val="24"/>
        </w:rPr>
        <w:t xml:space="preserve"> são reportados os resultados das regressões conforme proposto na metodologia para teste das hipóteses </w:t>
      </w:r>
      <w:r>
        <w:rPr>
          <w:color w:val="000000" w:themeColor="text1"/>
          <w:sz w:val="24"/>
          <w:szCs w:val="24"/>
        </w:rPr>
        <w:t>3 a 6</w:t>
      </w:r>
      <w:r w:rsidRPr="007C5EBD">
        <w:rPr>
          <w:color w:val="000000" w:themeColor="text1"/>
          <w:sz w:val="24"/>
          <w:szCs w:val="24"/>
        </w:rPr>
        <w:t xml:space="preserve">. Na tabela </w:t>
      </w:r>
      <w:r w:rsidR="0044177A">
        <w:rPr>
          <w:color w:val="000000" w:themeColor="text1"/>
          <w:sz w:val="24"/>
          <w:szCs w:val="24"/>
        </w:rPr>
        <w:t>6</w:t>
      </w:r>
      <w:r w:rsidRPr="007C5EBD">
        <w:rPr>
          <w:color w:val="000000" w:themeColor="text1"/>
          <w:sz w:val="24"/>
          <w:szCs w:val="24"/>
        </w:rPr>
        <w:t xml:space="preserve"> são reportadas as estatísticas do modelo com a inclusão de variáveis </w:t>
      </w:r>
      <w:r w:rsidRPr="007C5EBD">
        <w:rPr>
          <w:i/>
          <w:color w:val="000000" w:themeColor="text1"/>
          <w:sz w:val="24"/>
          <w:szCs w:val="24"/>
        </w:rPr>
        <w:t>dummies</w:t>
      </w:r>
      <w:r w:rsidRPr="007C5EBD">
        <w:rPr>
          <w:color w:val="000000" w:themeColor="text1"/>
          <w:sz w:val="24"/>
          <w:szCs w:val="24"/>
        </w:rPr>
        <w:t xml:space="preserve">   indicativas de setor, e por questão de limitação de espaço os resultados para os setores não são reportados. As matrizes de correlação entre as variáveis independentes e variáveis dependentes e independentes também foram omitidas por limitação de espaço, mas podem ser enviadas mediante solicitação aos autores. Cabe salientar que nenhum par de variáveis independentes foi fortemente correlacionado, o que é necessário para a utilização de regressão múltipla.</w:t>
      </w:r>
    </w:p>
    <w:p w14:paraId="512F2169" w14:textId="06C56F08" w:rsidR="0039002B" w:rsidRPr="009E40D2" w:rsidRDefault="0039002B" w:rsidP="0039002B">
      <w:pPr>
        <w:tabs>
          <w:tab w:val="left" w:pos="5147"/>
        </w:tabs>
        <w:autoSpaceDE w:val="0"/>
        <w:autoSpaceDN w:val="0"/>
        <w:adjustRightInd w:val="0"/>
        <w:ind w:firstLine="709"/>
        <w:jc w:val="center"/>
        <w:rPr>
          <w:color w:val="000000" w:themeColor="text1"/>
        </w:rPr>
      </w:pPr>
      <w:r w:rsidRPr="009E40D2">
        <w:rPr>
          <w:color w:val="000000" w:themeColor="text1"/>
        </w:rPr>
        <w:t xml:space="preserve">Tabela </w:t>
      </w:r>
      <w:r w:rsidR="0044177A">
        <w:rPr>
          <w:color w:val="000000" w:themeColor="text1"/>
        </w:rPr>
        <w:t>5</w:t>
      </w:r>
      <w:r w:rsidRPr="009E40D2">
        <w:rPr>
          <w:color w:val="000000" w:themeColor="text1"/>
        </w:rPr>
        <w:t>: Resultados regressão múltipla determinantes de legibilidade</w:t>
      </w:r>
    </w:p>
    <w:tbl>
      <w:tblPr>
        <w:tblW w:w="9071" w:type="dxa"/>
        <w:jc w:val="center"/>
        <w:tblCellMar>
          <w:left w:w="70" w:type="dxa"/>
          <w:right w:w="70" w:type="dxa"/>
        </w:tblCellMar>
        <w:tblLook w:val="04A0" w:firstRow="1" w:lastRow="0" w:firstColumn="1" w:lastColumn="0" w:noHBand="0" w:noVBand="1"/>
      </w:tblPr>
      <w:tblGrid>
        <w:gridCol w:w="1584"/>
        <w:gridCol w:w="1335"/>
        <w:gridCol w:w="1160"/>
        <w:gridCol w:w="1336"/>
        <w:gridCol w:w="1160"/>
        <w:gridCol w:w="1336"/>
        <w:gridCol w:w="1160"/>
      </w:tblGrid>
      <w:tr w:rsidR="0039002B" w:rsidRPr="009E40D2" w14:paraId="5C698FB3" w14:textId="77777777" w:rsidTr="005B1448">
        <w:trPr>
          <w:trHeight w:val="315"/>
          <w:jc w:val="center"/>
        </w:trPr>
        <w:tc>
          <w:tcPr>
            <w:tcW w:w="9071" w:type="dxa"/>
            <w:gridSpan w:val="7"/>
            <w:tcBorders>
              <w:top w:val="single" w:sz="8" w:space="0" w:color="auto"/>
              <w:left w:val="nil"/>
              <w:bottom w:val="single" w:sz="8" w:space="0" w:color="auto"/>
              <w:right w:val="nil"/>
            </w:tcBorders>
            <w:shd w:val="clear" w:color="auto" w:fill="auto"/>
            <w:vAlign w:val="center"/>
            <w:hideMark/>
          </w:tcPr>
          <w:p w14:paraId="18219BFA" w14:textId="77777777" w:rsidR="0039002B" w:rsidRPr="007404E0" w:rsidRDefault="0039002B" w:rsidP="005B1448">
            <w:pPr>
              <w:ind w:firstLine="709"/>
              <w:jc w:val="center"/>
              <w:rPr>
                <w:color w:val="000000" w:themeColor="text1"/>
              </w:rPr>
            </w:pPr>
            <w:r w:rsidRPr="007404E0">
              <w:rPr>
                <w:color w:val="000000" w:themeColor="text1"/>
              </w:rPr>
              <w:t>Variável Dependente – medidas de legibilidade</w:t>
            </w:r>
          </w:p>
        </w:tc>
      </w:tr>
      <w:tr w:rsidR="0039002B" w:rsidRPr="009E40D2" w14:paraId="0B2392DC" w14:textId="77777777" w:rsidTr="005B1448">
        <w:trPr>
          <w:trHeight w:val="315"/>
          <w:jc w:val="center"/>
        </w:trPr>
        <w:tc>
          <w:tcPr>
            <w:tcW w:w="9071" w:type="dxa"/>
            <w:gridSpan w:val="7"/>
            <w:tcBorders>
              <w:top w:val="single" w:sz="8" w:space="0" w:color="auto"/>
              <w:left w:val="nil"/>
              <w:bottom w:val="single" w:sz="8" w:space="0" w:color="auto"/>
              <w:right w:val="nil"/>
            </w:tcBorders>
            <w:shd w:val="clear" w:color="auto" w:fill="auto"/>
            <w:vAlign w:val="center"/>
          </w:tcPr>
          <w:p w14:paraId="58BAA39D" w14:textId="77777777" w:rsidR="0039002B" w:rsidRPr="007404E0" w:rsidRDefault="00A40C61" w:rsidP="005B1448">
            <w:pPr>
              <w:jc w:val="center"/>
              <w:rPr>
                <w:color w:val="000000" w:themeColor="text1"/>
              </w:rPr>
            </w:pPr>
            <m:oMathPara>
              <m:oMathParaPr>
                <m:jc m:val="center"/>
              </m:oMathParaPr>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i,t</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TAM</m:t>
                    </m:r>
                  </m:e>
                  <m:sub>
                    <m:r>
                      <w:rPr>
                        <w:rFonts w:ascii="Cambria Math" w:hAnsi="Cambria Math"/>
                        <w:color w:val="000000" w:themeColor="text1"/>
                      </w:rPr>
                      <m:t>i,t</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DESEMP</m:t>
                    </m:r>
                  </m:e>
                  <m:sub>
                    <m:r>
                      <w:rPr>
                        <w:rFonts w:ascii="Cambria Math" w:hAnsi="Cambria Math"/>
                        <w:color w:val="000000" w:themeColor="text1"/>
                      </w:rPr>
                      <m:t>j,i,t</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3</m:t>
                    </m:r>
                  </m:sub>
                </m:sSub>
                <m:sSub>
                  <m:sSubPr>
                    <m:ctrlPr>
                      <w:rPr>
                        <w:rFonts w:ascii="Cambria Math" w:hAnsi="Cambria Math"/>
                        <w:i/>
                        <w:color w:val="000000" w:themeColor="text1"/>
                      </w:rPr>
                    </m:ctrlPr>
                  </m:sSubPr>
                  <m:e>
                    <m:r>
                      <w:rPr>
                        <w:rFonts w:ascii="Cambria Math" w:hAnsi="Cambria Math"/>
                        <w:color w:val="000000" w:themeColor="text1"/>
                      </w:rPr>
                      <m:t>RISCO</m:t>
                    </m:r>
                  </m:e>
                  <m:sub>
                    <m:r>
                      <w:rPr>
                        <w:rFonts w:ascii="Cambria Math" w:hAnsi="Cambria Math"/>
                        <w:color w:val="000000" w:themeColor="text1"/>
                      </w:rPr>
                      <m:t>i,t</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4</m:t>
                    </m:r>
                  </m:sub>
                </m:sSub>
                <m:sSub>
                  <m:sSubPr>
                    <m:ctrlPr>
                      <w:rPr>
                        <w:rFonts w:ascii="Cambria Math" w:hAnsi="Cambria Math"/>
                        <w:i/>
                        <w:color w:val="000000" w:themeColor="text1"/>
                      </w:rPr>
                    </m:ctrlPr>
                  </m:sSubPr>
                  <m:e>
                    <m:r>
                      <w:rPr>
                        <w:rFonts w:ascii="Cambria Math" w:hAnsi="Cambria Math"/>
                        <w:color w:val="000000" w:themeColor="text1"/>
                      </w:rPr>
                      <m:t>LIQUI</m:t>
                    </m:r>
                  </m:e>
                  <m:sub>
                    <m:r>
                      <w:rPr>
                        <w:rFonts w:ascii="Cambria Math" w:hAnsi="Cambria Math"/>
                        <w:color w:val="000000" w:themeColor="text1"/>
                      </w:rPr>
                      <m:t>i,t</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5</m:t>
                    </m:r>
                  </m:sub>
                </m:sSub>
                <m:sSub>
                  <m:sSubPr>
                    <m:ctrlPr>
                      <w:rPr>
                        <w:rFonts w:ascii="Cambria Math" w:hAnsi="Cambria Math"/>
                        <w:i/>
                        <w:color w:val="000000" w:themeColor="text1"/>
                      </w:rPr>
                    </m:ctrlPr>
                  </m:sSubPr>
                  <m:e>
                    <m:r>
                      <w:rPr>
                        <w:rFonts w:ascii="Cambria Math" w:hAnsi="Cambria Math"/>
                        <w:color w:val="000000" w:themeColor="text1"/>
                      </w:rPr>
                      <m:t>D_ANO10</m:t>
                    </m:r>
                  </m:e>
                  <m:sub>
                    <m:r>
                      <w:rPr>
                        <w:rFonts w:ascii="Cambria Math" w:hAnsi="Cambria Math"/>
                        <w:color w:val="000000" w:themeColor="text1"/>
                      </w:rPr>
                      <m:t>i,t</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5</m:t>
                    </m:r>
                  </m:sub>
                </m:sSub>
                <m:sSub>
                  <m:sSubPr>
                    <m:ctrlPr>
                      <w:rPr>
                        <w:rFonts w:ascii="Cambria Math" w:hAnsi="Cambria Math"/>
                        <w:i/>
                        <w:color w:val="000000" w:themeColor="text1"/>
                      </w:rPr>
                    </m:ctrlPr>
                  </m:sSubPr>
                  <m:e>
                    <m:r>
                      <w:rPr>
                        <w:rFonts w:ascii="Cambria Math" w:hAnsi="Cambria Math"/>
                        <w:color w:val="000000" w:themeColor="text1"/>
                      </w:rPr>
                      <m:t>D_ANO15</m:t>
                    </m:r>
                  </m:e>
                  <m:sub>
                    <m:r>
                      <w:rPr>
                        <w:rFonts w:ascii="Cambria Math" w:hAnsi="Cambria Math"/>
                        <w:color w:val="000000" w:themeColor="text1"/>
                      </w:rPr>
                      <m:t>i,t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i,t</m:t>
                    </m:r>
                  </m:sub>
                </m:sSub>
                <m:r>
                  <w:rPr>
                    <w:rFonts w:ascii="Cambria Math" w:hAnsi="Cambria Math"/>
                    <w:color w:val="000000" w:themeColor="text1"/>
                  </w:rPr>
                  <m:t xml:space="preserve">             </m:t>
                </m:r>
              </m:oMath>
            </m:oMathPara>
          </w:p>
        </w:tc>
      </w:tr>
      <w:tr w:rsidR="0039002B" w:rsidRPr="009E40D2" w14:paraId="2F997513" w14:textId="77777777" w:rsidTr="005B1448">
        <w:trPr>
          <w:trHeight w:val="315"/>
          <w:jc w:val="center"/>
        </w:trPr>
        <w:tc>
          <w:tcPr>
            <w:tcW w:w="9071" w:type="dxa"/>
            <w:gridSpan w:val="7"/>
            <w:tcBorders>
              <w:top w:val="single" w:sz="8" w:space="0" w:color="auto"/>
              <w:left w:val="nil"/>
              <w:bottom w:val="single" w:sz="8" w:space="0" w:color="auto"/>
              <w:right w:val="nil"/>
            </w:tcBorders>
            <w:shd w:val="clear" w:color="auto" w:fill="auto"/>
            <w:vAlign w:val="center"/>
            <w:hideMark/>
          </w:tcPr>
          <w:p w14:paraId="6EC5A6B6" w14:textId="77777777" w:rsidR="0039002B" w:rsidRPr="009E40D2" w:rsidRDefault="0039002B" w:rsidP="005B1448">
            <w:pPr>
              <w:ind w:firstLine="709"/>
              <w:jc w:val="center"/>
              <w:rPr>
                <w:color w:val="000000" w:themeColor="text1"/>
              </w:rPr>
            </w:pPr>
            <w:r w:rsidRPr="009E40D2">
              <w:rPr>
                <w:color w:val="000000" w:themeColor="text1"/>
              </w:rPr>
              <w:t>Painel A: Estatísticas das Variáveis</w:t>
            </w:r>
          </w:p>
        </w:tc>
      </w:tr>
      <w:tr w:rsidR="0039002B" w:rsidRPr="009E40D2" w14:paraId="77E12FAB" w14:textId="77777777" w:rsidTr="005B1448">
        <w:trPr>
          <w:trHeight w:val="300"/>
          <w:jc w:val="center"/>
        </w:trPr>
        <w:tc>
          <w:tcPr>
            <w:tcW w:w="1584" w:type="dxa"/>
            <w:vMerge w:val="restart"/>
            <w:tcBorders>
              <w:top w:val="nil"/>
              <w:left w:val="nil"/>
              <w:bottom w:val="single" w:sz="8" w:space="0" w:color="000000"/>
              <w:right w:val="nil"/>
            </w:tcBorders>
            <w:shd w:val="clear" w:color="auto" w:fill="auto"/>
            <w:vAlign w:val="center"/>
            <w:hideMark/>
          </w:tcPr>
          <w:p w14:paraId="2D2D358B" w14:textId="77777777" w:rsidR="0039002B" w:rsidRPr="009E40D2" w:rsidRDefault="0039002B" w:rsidP="005B1448">
            <w:pPr>
              <w:jc w:val="center"/>
              <w:rPr>
                <w:color w:val="000000" w:themeColor="text1"/>
              </w:rPr>
            </w:pPr>
          </w:p>
        </w:tc>
        <w:tc>
          <w:tcPr>
            <w:tcW w:w="2495" w:type="dxa"/>
            <w:gridSpan w:val="2"/>
            <w:tcBorders>
              <w:top w:val="single" w:sz="8" w:space="0" w:color="auto"/>
              <w:left w:val="single" w:sz="4" w:space="0" w:color="auto"/>
              <w:bottom w:val="nil"/>
              <w:right w:val="single" w:sz="4" w:space="0" w:color="000000"/>
            </w:tcBorders>
            <w:shd w:val="clear" w:color="auto" w:fill="auto"/>
            <w:vAlign w:val="center"/>
            <w:hideMark/>
          </w:tcPr>
          <w:p w14:paraId="3A6BCE98" w14:textId="77777777" w:rsidR="0039002B" w:rsidRPr="009E40D2" w:rsidRDefault="0039002B" w:rsidP="002A34B3">
            <w:pPr>
              <w:jc w:val="center"/>
              <w:rPr>
                <w:color w:val="000000" w:themeColor="text1"/>
              </w:rPr>
            </w:pPr>
            <w:r w:rsidRPr="009E40D2">
              <w:rPr>
                <w:color w:val="000000" w:themeColor="text1"/>
              </w:rPr>
              <w:t>Modelo 1</w:t>
            </w:r>
          </w:p>
        </w:tc>
        <w:tc>
          <w:tcPr>
            <w:tcW w:w="2496" w:type="dxa"/>
            <w:gridSpan w:val="2"/>
            <w:tcBorders>
              <w:top w:val="single" w:sz="8" w:space="0" w:color="auto"/>
              <w:left w:val="nil"/>
              <w:bottom w:val="nil"/>
              <w:right w:val="single" w:sz="4" w:space="0" w:color="000000"/>
            </w:tcBorders>
            <w:shd w:val="clear" w:color="auto" w:fill="auto"/>
            <w:vAlign w:val="center"/>
            <w:hideMark/>
          </w:tcPr>
          <w:p w14:paraId="54E1606E" w14:textId="77777777" w:rsidR="0039002B" w:rsidRPr="009E40D2" w:rsidRDefault="0039002B" w:rsidP="002A34B3">
            <w:pPr>
              <w:jc w:val="center"/>
              <w:rPr>
                <w:color w:val="000000" w:themeColor="text1"/>
              </w:rPr>
            </w:pPr>
            <w:r w:rsidRPr="009E40D2">
              <w:rPr>
                <w:color w:val="000000" w:themeColor="text1"/>
              </w:rPr>
              <w:t>Modelo 2</w:t>
            </w:r>
          </w:p>
        </w:tc>
        <w:tc>
          <w:tcPr>
            <w:tcW w:w="2496" w:type="dxa"/>
            <w:gridSpan w:val="2"/>
            <w:tcBorders>
              <w:top w:val="single" w:sz="8" w:space="0" w:color="auto"/>
              <w:left w:val="nil"/>
              <w:bottom w:val="nil"/>
              <w:right w:val="nil"/>
            </w:tcBorders>
            <w:shd w:val="clear" w:color="auto" w:fill="auto"/>
            <w:vAlign w:val="center"/>
            <w:hideMark/>
          </w:tcPr>
          <w:p w14:paraId="653D332D" w14:textId="77777777" w:rsidR="0039002B" w:rsidRPr="009E40D2" w:rsidRDefault="0039002B" w:rsidP="002A34B3">
            <w:pPr>
              <w:jc w:val="center"/>
              <w:rPr>
                <w:color w:val="000000" w:themeColor="text1"/>
              </w:rPr>
            </w:pPr>
            <w:r w:rsidRPr="009E40D2">
              <w:rPr>
                <w:color w:val="000000" w:themeColor="text1"/>
              </w:rPr>
              <w:t>Modelo 3</w:t>
            </w:r>
          </w:p>
        </w:tc>
      </w:tr>
      <w:tr w:rsidR="0039002B" w:rsidRPr="009E40D2" w14:paraId="4CC73444" w14:textId="77777777" w:rsidTr="005B1448">
        <w:trPr>
          <w:trHeight w:val="315"/>
          <w:jc w:val="center"/>
        </w:trPr>
        <w:tc>
          <w:tcPr>
            <w:tcW w:w="1584" w:type="dxa"/>
            <w:vMerge/>
            <w:tcBorders>
              <w:top w:val="nil"/>
              <w:left w:val="nil"/>
              <w:bottom w:val="single" w:sz="8" w:space="0" w:color="000000"/>
              <w:right w:val="nil"/>
            </w:tcBorders>
            <w:vAlign w:val="center"/>
            <w:hideMark/>
          </w:tcPr>
          <w:p w14:paraId="14EEA9A9" w14:textId="77777777" w:rsidR="0039002B" w:rsidRPr="009E40D2" w:rsidRDefault="0039002B" w:rsidP="005B1448">
            <w:pPr>
              <w:jc w:val="center"/>
              <w:rPr>
                <w:color w:val="000000" w:themeColor="text1"/>
              </w:rPr>
            </w:pPr>
          </w:p>
        </w:tc>
        <w:tc>
          <w:tcPr>
            <w:tcW w:w="2495" w:type="dxa"/>
            <w:gridSpan w:val="2"/>
            <w:tcBorders>
              <w:top w:val="nil"/>
              <w:left w:val="single" w:sz="4" w:space="0" w:color="auto"/>
              <w:bottom w:val="single" w:sz="8" w:space="0" w:color="auto"/>
              <w:right w:val="single" w:sz="4" w:space="0" w:color="000000"/>
            </w:tcBorders>
            <w:shd w:val="clear" w:color="auto" w:fill="auto"/>
            <w:vAlign w:val="center"/>
            <w:hideMark/>
          </w:tcPr>
          <w:p w14:paraId="22EF79A9" w14:textId="77777777" w:rsidR="0039002B" w:rsidRPr="009E40D2" w:rsidRDefault="0039002B" w:rsidP="002A34B3">
            <w:pPr>
              <w:jc w:val="center"/>
              <w:rPr>
                <w:color w:val="000000" w:themeColor="text1"/>
              </w:rPr>
            </w:pPr>
            <w:r w:rsidRPr="009E40D2">
              <w:rPr>
                <w:color w:val="000000" w:themeColor="text1"/>
              </w:rPr>
              <w:t>Y = FLF</w:t>
            </w:r>
          </w:p>
        </w:tc>
        <w:tc>
          <w:tcPr>
            <w:tcW w:w="2496" w:type="dxa"/>
            <w:gridSpan w:val="2"/>
            <w:tcBorders>
              <w:top w:val="nil"/>
              <w:left w:val="nil"/>
              <w:bottom w:val="single" w:sz="8" w:space="0" w:color="auto"/>
              <w:right w:val="single" w:sz="4" w:space="0" w:color="000000"/>
            </w:tcBorders>
            <w:shd w:val="clear" w:color="auto" w:fill="auto"/>
            <w:vAlign w:val="center"/>
            <w:hideMark/>
          </w:tcPr>
          <w:p w14:paraId="581B03E3" w14:textId="77777777" w:rsidR="0039002B" w:rsidRPr="009E40D2" w:rsidRDefault="0039002B" w:rsidP="002A34B3">
            <w:pPr>
              <w:jc w:val="center"/>
              <w:rPr>
                <w:color w:val="000000" w:themeColor="text1"/>
              </w:rPr>
            </w:pPr>
            <w:r w:rsidRPr="009E40D2">
              <w:rPr>
                <w:color w:val="000000" w:themeColor="text1"/>
              </w:rPr>
              <w:t>Y = LNPAG</w:t>
            </w:r>
          </w:p>
        </w:tc>
        <w:tc>
          <w:tcPr>
            <w:tcW w:w="2496" w:type="dxa"/>
            <w:gridSpan w:val="2"/>
            <w:tcBorders>
              <w:top w:val="nil"/>
              <w:left w:val="nil"/>
              <w:bottom w:val="single" w:sz="8" w:space="0" w:color="auto"/>
              <w:right w:val="nil"/>
            </w:tcBorders>
            <w:shd w:val="clear" w:color="auto" w:fill="auto"/>
            <w:vAlign w:val="center"/>
            <w:hideMark/>
          </w:tcPr>
          <w:p w14:paraId="1F70FDD9" w14:textId="77777777" w:rsidR="0039002B" w:rsidRPr="009E40D2" w:rsidRDefault="0039002B" w:rsidP="002A34B3">
            <w:pPr>
              <w:jc w:val="center"/>
              <w:rPr>
                <w:color w:val="000000" w:themeColor="text1"/>
              </w:rPr>
            </w:pPr>
            <w:r w:rsidRPr="009E40D2">
              <w:rPr>
                <w:color w:val="000000" w:themeColor="text1"/>
              </w:rPr>
              <w:t>Y = LNPAL</w:t>
            </w:r>
          </w:p>
        </w:tc>
      </w:tr>
      <w:tr w:rsidR="0039002B" w:rsidRPr="009E40D2" w14:paraId="692E8814" w14:textId="77777777" w:rsidTr="005B1448">
        <w:trPr>
          <w:trHeight w:val="315"/>
          <w:jc w:val="center"/>
        </w:trPr>
        <w:tc>
          <w:tcPr>
            <w:tcW w:w="1584" w:type="dxa"/>
            <w:tcBorders>
              <w:top w:val="nil"/>
              <w:left w:val="nil"/>
              <w:bottom w:val="nil"/>
              <w:right w:val="nil"/>
            </w:tcBorders>
            <w:shd w:val="clear" w:color="auto" w:fill="auto"/>
            <w:vAlign w:val="center"/>
            <w:hideMark/>
          </w:tcPr>
          <w:p w14:paraId="112CE4A8" w14:textId="77777777" w:rsidR="0039002B" w:rsidRPr="009E40D2" w:rsidRDefault="0039002B" w:rsidP="005B1448">
            <w:pPr>
              <w:jc w:val="both"/>
              <w:rPr>
                <w:color w:val="000000" w:themeColor="text1"/>
              </w:rPr>
            </w:pPr>
            <w:r w:rsidRPr="009E40D2">
              <w:rPr>
                <w:color w:val="000000" w:themeColor="text1"/>
              </w:rPr>
              <w:t>Variáveis</w:t>
            </w:r>
          </w:p>
        </w:tc>
        <w:tc>
          <w:tcPr>
            <w:tcW w:w="1335" w:type="dxa"/>
            <w:tcBorders>
              <w:top w:val="nil"/>
              <w:left w:val="single" w:sz="4" w:space="0" w:color="auto"/>
              <w:bottom w:val="nil"/>
              <w:right w:val="nil"/>
            </w:tcBorders>
            <w:shd w:val="clear" w:color="auto" w:fill="auto"/>
            <w:vAlign w:val="center"/>
            <w:hideMark/>
          </w:tcPr>
          <w:p w14:paraId="024CAD3E" w14:textId="77777777" w:rsidR="0039002B" w:rsidRPr="009E40D2" w:rsidRDefault="0039002B" w:rsidP="005B1448">
            <w:pPr>
              <w:jc w:val="center"/>
              <w:rPr>
                <w:color w:val="000000" w:themeColor="text1"/>
              </w:rPr>
            </w:pPr>
            <w:r w:rsidRPr="009E40D2">
              <w:rPr>
                <w:color w:val="000000" w:themeColor="text1"/>
              </w:rPr>
              <w:t>Coef.</w:t>
            </w:r>
          </w:p>
        </w:tc>
        <w:tc>
          <w:tcPr>
            <w:tcW w:w="1160" w:type="dxa"/>
            <w:tcBorders>
              <w:top w:val="nil"/>
              <w:left w:val="nil"/>
              <w:bottom w:val="nil"/>
              <w:right w:val="single" w:sz="4" w:space="0" w:color="auto"/>
            </w:tcBorders>
            <w:shd w:val="clear" w:color="auto" w:fill="auto"/>
            <w:vAlign w:val="center"/>
            <w:hideMark/>
          </w:tcPr>
          <w:p w14:paraId="529EDD71" w14:textId="77777777" w:rsidR="0039002B" w:rsidRPr="009E40D2" w:rsidRDefault="0039002B" w:rsidP="005B1448">
            <w:pPr>
              <w:jc w:val="center"/>
              <w:rPr>
                <w:color w:val="000000" w:themeColor="text1"/>
              </w:rPr>
            </w:pPr>
            <w:r w:rsidRPr="009E40D2">
              <w:rPr>
                <w:color w:val="000000" w:themeColor="text1"/>
              </w:rPr>
              <w:t>EPR</w:t>
            </w:r>
          </w:p>
        </w:tc>
        <w:tc>
          <w:tcPr>
            <w:tcW w:w="1336" w:type="dxa"/>
            <w:tcBorders>
              <w:top w:val="nil"/>
              <w:left w:val="nil"/>
              <w:bottom w:val="nil"/>
              <w:right w:val="nil"/>
            </w:tcBorders>
            <w:shd w:val="clear" w:color="auto" w:fill="auto"/>
            <w:vAlign w:val="center"/>
            <w:hideMark/>
          </w:tcPr>
          <w:p w14:paraId="33A2218E" w14:textId="77777777" w:rsidR="0039002B" w:rsidRPr="009E40D2" w:rsidRDefault="0039002B" w:rsidP="005B1448">
            <w:pPr>
              <w:jc w:val="center"/>
              <w:rPr>
                <w:color w:val="000000" w:themeColor="text1"/>
              </w:rPr>
            </w:pPr>
            <w:r w:rsidRPr="009E40D2">
              <w:rPr>
                <w:color w:val="000000" w:themeColor="text1"/>
              </w:rPr>
              <w:t>Coef.</w:t>
            </w:r>
          </w:p>
        </w:tc>
        <w:tc>
          <w:tcPr>
            <w:tcW w:w="1160" w:type="dxa"/>
            <w:tcBorders>
              <w:top w:val="nil"/>
              <w:left w:val="nil"/>
              <w:bottom w:val="nil"/>
              <w:right w:val="single" w:sz="4" w:space="0" w:color="auto"/>
            </w:tcBorders>
            <w:shd w:val="clear" w:color="auto" w:fill="auto"/>
            <w:vAlign w:val="center"/>
            <w:hideMark/>
          </w:tcPr>
          <w:p w14:paraId="6DEE0579" w14:textId="77777777" w:rsidR="0039002B" w:rsidRPr="009E40D2" w:rsidRDefault="0039002B" w:rsidP="005B1448">
            <w:pPr>
              <w:jc w:val="center"/>
              <w:rPr>
                <w:color w:val="000000" w:themeColor="text1"/>
              </w:rPr>
            </w:pPr>
            <w:r w:rsidRPr="009E40D2">
              <w:rPr>
                <w:color w:val="000000" w:themeColor="text1"/>
              </w:rPr>
              <w:t>EPR</w:t>
            </w:r>
          </w:p>
        </w:tc>
        <w:tc>
          <w:tcPr>
            <w:tcW w:w="1336" w:type="dxa"/>
            <w:tcBorders>
              <w:top w:val="nil"/>
              <w:left w:val="nil"/>
              <w:bottom w:val="nil"/>
              <w:right w:val="nil"/>
            </w:tcBorders>
            <w:shd w:val="clear" w:color="auto" w:fill="auto"/>
            <w:vAlign w:val="center"/>
            <w:hideMark/>
          </w:tcPr>
          <w:p w14:paraId="5F54D855" w14:textId="77777777" w:rsidR="0039002B" w:rsidRPr="009E40D2" w:rsidRDefault="0039002B" w:rsidP="005B1448">
            <w:pPr>
              <w:jc w:val="center"/>
              <w:rPr>
                <w:color w:val="000000" w:themeColor="text1"/>
              </w:rPr>
            </w:pPr>
            <w:r w:rsidRPr="009E40D2">
              <w:rPr>
                <w:color w:val="000000" w:themeColor="text1"/>
              </w:rPr>
              <w:t>Coef.</w:t>
            </w:r>
          </w:p>
        </w:tc>
        <w:tc>
          <w:tcPr>
            <w:tcW w:w="1160" w:type="dxa"/>
            <w:tcBorders>
              <w:top w:val="nil"/>
              <w:left w:val="nil"/>
              <w:bottom w:val="single" w:sz="8" w:space="0" w:color="auto"/>
              <w:right w:val="nil"/>
            </w:tcBorders>
            <w:shd w:val="clear" w:color="auto" w:fill="auto"/>
            <w:vAlign w:val="center"/>
            <w:hideMark/>
          </w:tcPr>
          <w:p w14:paraId="54FC2BF0" w14:textId="77777777" w:rsidR="0039002B" w:rsidRPr="009E40D2" w:rsidRDefault="0039002B" w:rsidP="005B1448">
            <w:pPr>
              <w:jc w:val="center"/>
              <w:rPr>
                <w:color w:val="000000" w:themeColor="text1"/>
              </w:rPr>
            </w:pPr>
            <w:r w:rsidRPr="009E40D2">
              <w:rPr>
                <w:color w:val="000000" w:themeColor="text1"/>
              </w:rPr>
              <w:t>EPR</w:t>
            </w:r>
          </w:p>
        </w:tc>
      </w:tr>
      <w:tr w:rsidR="0039002B" w:rsidRPr="009E40D2" w14:paraId="1AB045EF" w14:textId="77777777" w:rsidTr="005B1448">
        <w:trPr>
          <w:trHeight w:val="300"/>
          <w:jc w:val="center"/>
        </w:trPr>
        <w:tc>
          <w:tcPr>
            <w:tcW w:w="1584" w:type="dxa"/>
            <w:tcBorders>
              <w:top w:val="single" w:sz="8" w:space="0" w:color="auto"/>
              <w:left w:val="nil"/>
              <w:bottom w:val="nil"/>
              <w:right w:val="nil"/>
            </w:tcBorders>
            <w:shd w:val="clear" w:color="auto" w:fill="auto"/>
            <w:vAlign w:val="center"/>
            <w:hideMark/>
          </w:tcPr>
          <w:p w14:paraId="392744B4" w14:textId="77777777" w:rsidR="0039002B" w:rsidRPr="009E40D2" w:rsidRDefault="0039002B" w:rsidP="005B1448">
            <w:pPr>
              <w:jc w:val="both"/>
              <w:rPr>
                <w:color w:val="000000" w:themeColor="text1"/>
              </w:rPr>
            </w:pPr>
            <w:r w:rsidRPr="009E40D2">
              <w:rPr>
                <w:color w:val="000000" w:themeColor="text1"/>
              </w:rPr>
              <w:t>TAM</w:t>
            </w:r>
          </w:p>
        </w:tc>
        <w:tc>
          <w:tcPr>
            <w:tcW w:w="1335" w:type="dxa"/>
            <w:tcBorders>
              <w:top w:val="single" w:sz="8" w:space="0" w:color="auto"/>
              <w:left w:val="single" w:sz="4" w:space="0" w:color="auto"/>
              <w:bottom w:val="nil"/>
              <w:right w:val="nil"/>
            </w:tcBorders>
            <w:shd w:val="clear" w:color="auto" w:fill="auto"/>
            <w:vAlign w:val="center"/>
            <w:hideMark/>
          </w:tcPr>
          <w:p w14:paraId="32837446" w14:textId="77777777" w:rsidR="0039002B" w:rsidRPr="009E40D2" w:rsidRDefault="0039002B" w:rsidP="005B1448">
            <w:pPr>
              <w:jc w:val="center"/>
              <w:rPr>
                <w:b/>
                <w:bCs/>
                <w:color w:val="000000" w:themeColor="text1"/>
              </w:rPr>
            </w:pPr>
            <w:r w:rsidRPr="009E40D2">
              <w:rPr>
                <w:b/>
                <w:bCs/>
                <w:color w:val="000000" w:themeColor="text1"/>
              </w:rPr>
              <w:t>-0,</w:t>
            </w:r>
            <w:r>
              <w:rPr>
                <w:b/>
                <w:bCs/>
                <w:color w:val="000000" w:themeColor="text1"/>
              </w:rPr>
              <w:t>224</w:t>
            </w:r>
            <w:r w:rsidRPr="009E40D2">
              <w:rPr>
                <w:b/>
                <w:bCs/>
                <w:color w:val="000000" w:themeColor="text1"/>
              </w:rPr>
              <w:t>*</w:t>
            </w:r>
            <w:r>
              <w:rPr>
                <w:b/>
                <w:bCs/>
                <w:color w:val="000000" w:themeColor="text1"/>
              </w:rPr>
              <w:t>*</w:t>
            </w:r>
          </w:p>
        </w:tc>
        <w:tc>
          <w:tcPr>
            <w:tcW w:w="1160" w:type="dxa"/>
            <w:tcBorders>
              <w:top w:val="single" w:sz="8" w:space="0" w:color="auto"/>
              <w:left w:val="nil"/>
              <w:bottom w:val="nil"/>
              <w:right w:val="single" w:sz="4" w:space="0" w:color="auto"/>
            </w:tcBorders>
            <w:shd w:val="clear" w:color="auto" w:fill="auto"/>
            <w:vAlign w:val="center"/>
            <w:hideMark/>
          </w:tcPr>
          <w:p w14:paraId="781074D2" w14:textId="77777777" w:rsidR="0039002B" w:rsidRPr="009E40D2" w:rsidRDefault="0039002B" w:rsidP="005B1448">
            <w:pPr>
              <w:jc w:val="center"/>
              <w:rPr>
                <w:b/>
                <w:color w:val="000000" w:themeColor="text1"/>
              </w:rPr>
            </w:pPr>
            <w:r w:rsidRPr="009E40D2">
              <w:rPr>
                <w:b/>
                <w:color w:val="000000" w:themeColor="text1"/>
              </w:rPr>
              <w:t>0,</w:t>
            </w:r>
            <w:r>
              <w:rPr>
                <w:b/>
                <w:color w:val="000000" w:themeColor="text1"/>
              </w:rPr>
              <w:t>095</w:t>
            </w:r>
          </w:p>
        </w:tc>
        <w:tc>
          <w:tcPr>
            <w:tcW w:w="1336" w:type="dxa"/>
            <w:tcBorders>
              <w:top w:val="single" w:sz="8" w:space="0" w:color="auto"/>
              <w:left w:val="nil"/>
              <w:bottom w:val="nil"/>
              <w:right w:val="nil"/>
            </w:tcBorders>
            <w:shd w:val="clear" w:color="auto" w:fill="auto"/>
            <w:vAlign w:val="center"/>
          </w:tcPr>
          <w:p w14:paraId="2A5EA2DD" w14:textId="7D5D93FA" w:rsidR="0039002B" w:rsidRPr="009E40D2" w:rsidRDefault="0039002B" w:rsidP="005B1448">
            <w:pPr>
              <w:jc w:val="center"/>
              <w:rPr>
                <w:b/>
                <w:color w:val="000000" w:themeColor="text1"/>
              </w:rPr>
            </w:pPr>
            <w:r>
              <w:rPr>
                <w:b/>
                <w:color w:val="000000" w:themeColor="text1"/>
              </w:rPr>
              <w:t>0,258*</w:t>
            </w:r>
            <w:r w:rsidR="00630F69">
              <w:rPr>
                <w:b/>
                <w:color w:val="000000" w:themeColor="text1"/>
              </w:rPr>
              <w:t>**</w:t>
            </w:r>
          </w:p>
        </w:tc>
        <w:tc>
          <w:tcPr>
            <w:tcW w:w="1160" w:type="dxa"/>
            <w:tcBorders>
              <w:top w:val="single" w:sz="8" w:space="0" w:color="auto"/>
              <w:left w:val="nil"/>
              <w:bottom w:val="nil"/>
              <w:right w:val="single" w:sz="4" w:space="0" w:color="auto"/>
            </w:tcBorders>
            <w:shd w:val="clear" w:color="auto" w:fill="auto"/>
            <w:vAlign w:val="center"/>
          </w:tcPr>
          <w:p w14:paraId="0B9AB475" w14:textId="77777777" w:rsidR="0039002B" w:rsidRPr="009E40D2" w:rsidRDefault="0039002B" w:rsidP="005B1448">
            <w:pPr>
              <w:jc w:val="center"/>
              <w:rPr>
                <w:b/>
                <w:color w:val="000000" w:themeColor="text1"/>
              </w:rPr>
            </w:pPr>
            <w:r>
              <w:rPr>
                <w:b/>
                <w:color w:val="000000" w:themeColor="text1"/>
              </w:rPr>
              <w:t>0,104</w:t>
            </w:r>
          </w:p>
        </w:tc>
        <w:tc>
          <w:tcPr>
            <w:tcW w:w="1336" w:type="dxa"/>
            <w:tcBorders>
              <w:top w:val="single" w:sz="8" w:space="0" w:color="auto"/>
              <w:left w:val="nil"/>
              <w:bottom w:val="nil"/>
              <w:right w:val="nil"/>
            </w:tcBorders>
            <w:shd w:val="clear" w:color="auto" w:fill="auto"/>
            <w:vAlign w:val="center"/>
          </w:tcPr>
          <w:p w14:paraId="49099A82" w14:textId="776C552C" w:rsidR="0039002B" w:rsidRPr="009E40D2" w:rsidRDefault="0039002B" w:rsidP="005B1448">
            <w:pPr>
              <w:jc w:val="center"/>
              <w:rPr>
                <w:b/>
                <w:color w:val="000000" w:themeColor="text1"/>
              </w:rPr>
            </w:pPr>
            <w:r>
              <w:rPr>
                <w:b/>
                <w:color w:val="000000" w:themeColor="text1"/>
              </w:rPr>
              <w:t>0,295*</w:t>
            </w:r>
            <w:r w:rsidR="00630F69">
              <w:rPr>
                <w:b/>
                <w:color w:val="000000" w:themeColor="text1"/>
              </w:rPr>
              <w:t>**</w:t>
            </w:r>
          </w:p>
        </w:tc>
        <w:tc>
          <w:tcPr>
            <w:tcW w:w="1160" w:type="dxa"/>
            <w:tcBorders>
              <w:top w:val="nil"/>
              <w:left w:val="nil"/>
              <w:bottom w:val="nil"/>
              <w:right w:val="nil"/>
            </w:tcBorders>
            <w:shd w:val="clear" w:color="auto" w:fill="auto"/>
            <w:vAlign w:val="center"/>
          </w:tcPr>
          <w:p w14:paraId="10795B4D" w14:textId="77777777" w:rsidR="0039002B" w:rsidRPr="009E40D2" w:rsidRDefault="0039002B" w:rsidP="005B1448">
            <w:pPr>
              <w:jc w:val="center"/>
              <w:rPr>
                <w:b/>
                <w:color w:val="000000" w:themeColor="text1"/>
              </w:rPr>
            </w:pPr>
            <w:r>
              <w:rPr>
                <w:b/>
                <w:color w:val="000000" w:themeColor="text1"/>
              </w:rPr>
              <w:t>0,117</w:t>
            </w:r>
          </w:p>
        </w:tc>
      </w:tr>
      <w:tr w:rsidR="0039002B" w:rsidRPr="009E40D2" w14:paraId="41A14E27" w14:textId="77777777" w:rsidTr="005B1448">
        <w:trPr>
          <w:trHeight w:val="300"/>
          <w:jc w:val="center"/>
        </w:trPr>
        <w:tc>
          <w:tcPr>
            <w:tcW w:w="1584" w:type="dxa"/>
            <w:tcBorders>
              <w:top w:val="nil"/>
              <w:left w:val="nil"/>
              <w:bottom w:val="nil"/>
              <w:right w:val="nil"/>
            </w:tcBorders>
            <w:shd w:val="clear" w:color="auto" w:fill="auto"/>
            <w:vAlign w:val="center"/>
            <w:hideMark/>
          </w:tcPr>
          <w:p w14:paraId="777794B3" w14:textId="77777777" w:rsidR="0039002B" w:rsidRPr="009E40D2" w:rsidRDefault="0039002B" w:rsidP="005B1448">
            <w:pPr>
              <w:jc w:val="both"/>
              <w:rPr>
                <w:color w:val="000000" w:themeColor="text1"/>
              </w:rPr>
            </w:pPr>
            <w:r w:rsidRPr="009E40D2">
              <w:rPr>
                <w:color w:val="000000" w:themeColor="text1"/>
              </w:rPr>
              <w:t>ROA</w:t>
            </w:r>
          </w:p>
        </w:tc>
        <w:tc>
          <w:tcPr>
            <w:tcW w:w="1335" w:type="dxa"/>
            <w:tcBorders>
              <w:top w:val="nil"/>
              <w:left w:val="single" w:sz="4" w:space="0" w:color="auto"/>
              <w:bottom w:val="nil"/>
              <w:right w:val="nil"/>
            </w:tcBorders>
            <w:shd w:val="clear" w:color="auto" w:fill="auto"/>
            <w:vAlign w:val="center"/>
          </w:tcPr>
          <w:p w14:paraId="41907DAE" w14:textId="7FC43FED" w:rsidR="0039002B" w:rsidRPr="00B95622" w:rsidRDefault="0039002B" w:rsidP="005B1448">
            <w:pPr>
              <w:jc w:val="center"/>
              <w:rPr>
                <w:b/>
                <w:color w:val="000000" w:themeColor="text1"/>
              </w:rPr>
            </w:pPr>
            <w:r w:rsidRPr="00B95622">
              <w:rPr>
                <w:b/>
                <w:color w:val="000000" w:themeColor="text1"/>
              </w:rPr>
              <w:t>1,155*</w:t>
            </w:r>
            <w:r w:rsidR="00630F69">
              <w:rPr>
                <w:b/>
                <w:color w:val="000000" w:themeColor="text1"/>
              </w:rPr>
              <w:t>**</w:t>
            </w:r>
          </w:p>
        </w:tc>
        <w:tc>
          <w:tcPr>
            <w:tcW w:w="1160" w:type="dxa"/>
            <w:tcBorders>
              <w:top w:val="nil"/>
              <w:left w:val="nil"/>
              <w:bottom w:val="nil"/>
              <w:right w:val="single" w:sz="4" w:space="0" w:color="auto"/>
            </w:tcBorders>
            <w:shd w:val="clear" w:color="auto" w:fill="auto"/>
            <w:vAlign w:val="center"/>
          </w:tcPr>
          <w:p w14:paraId="5F32505B" w14:textId="77777777" w:rsidR="0039002B" w:rsidRPr="00B95622" w:rsidRDefault="0039002B" w:rsidP="005B1448">
            <w:pPr>
              <w:jc w:val="center"/>
              <w:rPr>
                <w:b/>
                <w:color w:val="000000" w:themeColor="text1"/>
              </w:rPr>
            </w:pPr>
            <w:r w:rsidRPr="00B95622">
              <w:rPr>
                <w:b/>
                <w:color w:val="000000" w:themeColor="text1"/>
              </w:rPr>
              <w:t>0,343</w:t>
            </w:r>
          </w:p>
        </w:tc>
        <w:tc>
          <w:tcPr>
            <w:tcW w:w="1336" w:type="dxa"/>
            <w:tcBorders>
              <w:top w:val="nil"/>
              <w:left w:val="nil"/>
              <w:bottom w:val="nil"/>
              <w:right w:val="nil"/>
            </w:tcBorders>
            <w:shd w:val="clear" w:color="auto" w:fill="auto"/>
            <w:vAlign w:val="center"/>
          </w:tcPr>
          <w:p w14:paraId="28418C3A" w14:textId="4074C098" w:rsidR="0039002B" w:rsidRPr="009E40D2" w:rsidRDefault="0039002B" w:rsidP="005B1448">
            <w:pPr>
              <w:jc w:val="center"/>
              <w:rPr>
                <w:b/>
                <w:color w:val="000000" w:themeColor="text1"/>
              </w:rPr>
            </w:pPr>
            <w:r>
              <w:rPr>
                <w:b/>
                <w:color w:val="000000" w:themeColor="text1"/>
              </w:rPr>
              <w:t>-0,166*</w:t>
            </w:r>
            <w:r w:rsidR="00630F69">
              <w:rPr>
                <w:b/>
                <w:color w:val="000000" w:themeColor="text1"/>
              </w:rPr>
              <w:t>**</w:t>
            </w:r>
          </w:p>
        </w:tc>
        <w:tc>
          <w:tcPr>
            <w:tcW w:w="1160" w:type="dxa"/>
            <w:tcBorders>
              <w:top w:val="nil"/>
              <w:left w:val="nil"/>
              <w:bottom w:val="nil"/>
              <w:right w:val="single" w:sz="4" w:space="0" w:color="auto"/>
            </w:tcBorders>
            <w:shd w:val="clear" w:color="auto" w:fill="auto"/>
            <w:vAlign w:val="center"/>
          </w:tcPr>
          <w:p w14:paraId="75AD4663" w14:textId="77777777" w:rsidR="0039002B" w:rsidRPr="009E40D2" w:rsidRDefault="0039002B" w:rsidP="005B1448">
            <w:pPr>
              <w:jc w:val="center"/>
              <w:rPr>
                <w:b/>
                <w:color w:val="000000" w:themeColor="text1"/>
              </w:rPr>
            </w:pPr>
            <w:r>
              <w:rPr>
                <w:b/>
                <w:color w:val="000000" w:themeColor="text1"/>
              </w:rPr>
              <w:t>0,045</w:t>
            </w:r>
          </w:p>
        </w:tc>
        <w:tc>
          <w:tcPr>
            <w:tcW w:w="1336" w:type="dxa"/>
            <w:tcBorders>
              <w:top w:val="nil"/>
              <w:left w:val="nil"/>
              <w:bottom w:val="nil"/>
              <w:right w:val="nil"/>
            </w:tcBorders>
            <w:shd w:val="clear" w:color="auto" w:fill="auto"/>
            <w:vAlign w:val="center"/>
          </w:tcPr>
          <w:p w14:paraId="13724272" w14:textId="5277778F" w:rsidR="0039002B" w:rsidRPr="009E40D2" w:rsidRDefault="0039002B" w:rsidP="005B1448">
            <w:pPr>
              <w:jc w:val="center"/>
              <w:rPr>
                <w:b/>
                <w:color w:val="000000" w:themeColor="text1"/>
              </w:rPr>
            </w:pPr>
            <w:r>
              <w:rPr>
                <w:b/>
                <w:color w:val="000000" w:themeColor="text1"/>
              </w:rPr>
              <w:t>-0,170*</w:t>
            </w:r>
            <w:r w:rsidR="00630F69">
              <w:rPr>
                <w:b/>
                <w:color w:val="000000" w:themeColor="text1"/>
              </w:rPr>
              <w:t>**</w:t>
            </w:r>
          </w:p>
        </w:tc>
        <w:tc>
          <w:tcPr>
            <w:tcW w:w="1160" w:type="dxa"/>
            <w:tcBorders>
              <w:top w:val="nil"/>
              <w:left w:val="nil"/>
              <w:bottom w:val="nil"/>
              <w:right w:val="nil"/>
            </w:tcBorders>
            <w:shd w:val="clear" w:color="auto" w:fill="auto"/>
            <w:vAlign w:val="center"/>
          </w:tcPr>
          <w:p w14:paraId="216BDA45" w14:textId="77777777" w:rsidR="0039002B" w:rsidRPr="009E40D2" w:rsidRDefault="0039002B" w:rsidP="005B1448">
            <w:pPr>
              <w:jc w:val="center"/>
              <w:rPr>
                <w:b/>
                <w:color w:val="000000" w:themeColor="text1"/>
              </w:rPr>
            </w:pPr>
            <w:r>
              <w:rPr>
                <w:b/>
                <w:color w:val="000000" w:themeColor="text1"/>
              </w:rPr>
              <w:t>0,059</w:t>
            </w:r>
          </w:p>
        </w:tc>
      </w:tr>
      <w:tr w:rsidR="0039002B" w:rsidRPr="009E40D2" w14:paraId="7E211254" w14:textId="77777777" w:rsidTr="005B1448">
        <w:trPr>
          <w:trHeight w:val="300"/>
          <w:jc w:val="center"/>
        </w:trPr>
        <w:tc>
          <w:tcPr>
            <w:tcW w:w="1584" w:type="dxa"/>
            <w:tcBorders>
              <w:top w:val="nil"/>
              <w:left w:val="nil"/>
              <w:bottom w:val="nil"/>
              <w:right w:val="nil"/>
            </w:tcBorders>
            <w:shd w:val="clear" w:color="auto" w:fill="auto"/>
            <w:vAlign w:val="center"/>
            <w:hideMark/>
          </w:tcPr>
          <w:p w14:paraId="643FF3C6" w14:textId="77777777" w:rsidR="0039002B" w:rsidRPr="009E40D2" w:rsidRDefault="0039002B" w:rsidP="005B1448">
            <w:pPr>
              <w:jc w:val="both"/>
              <w:rPr>
                <w:color w:val="000000" w:themeColor="text1"/>
              </w:rPr>
            </w:pPr>
            <w:r w:rsidRPr="009E40D2">
              <w:rPr>
                <w:color w:val="000000" w:themeColor="text1"/>
              </w:rPr>
              <w:t>Δ</w:t>
            </w:r>
            <w:r>
              <w:rPr>
                <w:color w:val="000000" w:themeColor="text1"/>
              </w:rPr>
              <w:t>%</w:t>
            </w:r>
            <w:r w:rsidRPr="009E40D2">
              <w:rPr>
                <w:color w:val="000000" w:themeColor="text1"/>
              </w:rPr>
              <w:t>LL</w:t>
            </w:r>
          </w:p>
        </w:tc>
        <w:tc>
          <w:tcPr>
            <w:tcW w:w="1335" w:type="dxa"/>
            <w:tcBorders>
              <w:top w:val="nil"/>
              <w:left w:val="single" w:sz="4" w:space="0" w:color="auto"/>
              <w:bottom w:val="nil"/>
              <w:right w:val="nil"/>
            </w:tcBorders>
            <w:shd w:val="clear" w:color="auto" w:fill="auto"/>
            <w:vAlign w:val="center"/>
          </w:tcPr>
          <w:p w14:paraId="0477E952" w14:textId="77777777" w:rsidR="0039002B" w:rsidRPr="009E40D2" w:rsidRDefault="0039002B" w:rsidP="005B1448">
            <w:pPr>
              <w:jc w:val="center"/>
              <w:rPr>
                <w:color w:val="000000" w:themeColor="text1"/>
              </w:rPr>
            </w:pPr>
            <w:r>
              <w:rPr>
                <w:color w:val="000000" w:themeColor="text1"/>
              </w:rPr>
              <w:t>0,008</w:t>
            </w:r>
          </w:p>
        </w:tc>
        <w:tc>
          <w:tcPr>
            <w:tcW w:w="1160" w:type="dxa"/>
            <w:tcBorders>
              <w:top w:val="nil"/>
              <w:left w:val="nil"/>
              <w:bottom w:val="nil"/>
              <w:right w:val="single" w:sz="4" w:space="0" w:color="auto"/>
            </w:tcBorders>
            <w:shd w:val="clear" w:color="auto" w:fill="auto"/>
            <w:vAlign w:val="center"/>
          </w:tcPr>
          <w:p w14:paraId="073EA1F8" w14:textId="77777777" w:rsidR="0039002B" w:rsidRPr="009E40D2" w:rsidRDefault="0039002B" w:rsidP="005B1448">
            <w:pPr>
              <w:jc w:val="center"/>
              <w:rPr>
                <w:color w:val="000000" w:themeColor="text1"/>
              </w:rPr>
            </w:pPr>
            <w:r>
              <w:rPr>
                <w:color w:val="000000" w:themeColor="text1"/>
              </w:rPr>
              <w:t>0,026</w:t>
            </w:r>
          </w:p>
        </w:tc>
        <w:tc>
          <w:tcPr>
            <w:tcW w:w="1336" w:type="dxa"/>
            <w:tcBorders>
              <w:top w:val="nil"/>
              <w:left w:val="nil"/>
              <w:bottom w:val="nil"/>
              <w:right w:val="nil"/>
            </w:tcBorders>
            <w:shd w:val="clear" w:color="auto" w:fill="auto"/>
            <w:vAlign w:val="center"/>
          </w:tcPr>
          <w:p w14:paraId="08D85CE5" w14:textId="77777777" w:rsidR="0039002B" w:rsidRPr="009E40D2" w:rsidRDefault="0039002B" w:rsidP="005B1448">
            <w:pPr>
              <w:jc w:val="center"/>
              <w:rPr>
                <w:color w:val="000000" w:themeColor="text1"/>
              </w:rPr>
            </w:pPr>
            <w:r>
              <w:rPr>
                <w:color w:val="000000" w:themeColor="text1"/>
              </w:rPr>
              <w:t>-0,002</w:t>
            </w:r>
          </w:p>
        </w:tc>
        <w:tc>
          <w:tcPr>
            <w:tcW w:w="1160" w:type="dxa"/>
            <w:tcBorders>
              <w:top w:val="nil"/>
              <w:left w:val="nil"/>
              <w:bottom w:val="nil"/>
              <w:right w:val="single" w:sz="4" w:space="0" w:color="auto"/>
            </w:tcBorders>
            <w:shd w:val="clear" w:color="auto" w:fill="auto"/>
            <w:vAlign w:val="center"/>
          </w:tcPr>
          <w:p w14:paraId="6F7080B3" w14:textId="77777777" w:rsidR="0039002B" w:rsidRPr="009E40D2" w:rsidRDefault="0039002B" w:rsidP="005B1448">
            <w:pPr>
              <w:jc w:val="center"/>
              <w:rPr>
                <w:color w:val="000000" w:themeColor="text1"/>
              </w:rPr>
            </w:pPr>
            <w:r>
              <w:rPr>
                <w:color w:val="000000" w:themeColor="text1"/>
              </w:rPr>
              <w:t>0,008</w:t>
            </w:r>
          </w:p>
        </w:tc>
        <w:tc>
          <w:tcPr>
            <w:tcW w:w="1336" w:type="dxa"/>
            <w:tcBorders>
              <w:top w:val="nil"/>
              <w:left w:val="nil"/>
              <w:bottom w:val="nil"/>
              <w:right w:val="nil"/>
            </w:tcBorders>
            <w:shd w:val="clear" w:color="auto" w:fill="auto"/>
            <w:vAlign w:val="center"/>
          </w:tcPr>
          <w:p w14:paraId="4A06461E" w14:textId="77777777" w:rsidR="0039002B" w:rsidRPr="009E40D2" w:rsidRDefault="0039002B" w:rsidP="005B1448">
            <w:pPr>
              <w:jc w:val="center"/>
              <w:rPr>
                <w:color w:val="000000" w:themeColor="text1"/>
              </w:rPr>
            </w:pPr>
            <w:r>
              <w:rPr>
                <w:color w:val="000000" w:themeColor="text1"/>
              </w:rPr>
              <w:t>-0,000</w:t>
            </w:r>
          </w:p>
        </w:tc>
        <w:tc>
          <w:tcPr>
            <w:tcW w:w="1160" w:type="dxa"/>
            <w:tcBorders>
              <w:top w:val="nil"/>
              <w:left w:val="nil"/>
              <w:bottom w:val="nil"/>
              <w:right w:val="nil"/>
            </w:tcBorders>
            <w:shd w:val="clear" w:color="auto" w:fill="auto"/>
            <w:vAlign w:val="center"/>
          </w:tcPr>
          <w:p w14:paraId="6DBCC6BC" w14:textId="77777777" w:rsidR="0039002B" w:rsidRPr="009E40D2" w:rsidRDefault="0039002B" w:rsidP="005B1448">
            <w:pPr>
              <w:jc w:val="center"/>
              <w:rPr>
                <w:color w:val="000000" w:themeColor="text1"/>
              </w:rPr>
            </w:pPr>
            <w:r>
              <w:rPr>
                <w:color w:val="000000" w:themeColor="text1"/>
              </w:rPr>
              <w:t>0,007</w:t>
            </w:r>
          </w:p>
        </w:tc>
      </w:tr>
      <w:tr w:rsidR="0039002B" w:rsidRPr="009E40D2" w14:paraId="1AAB012B" w14:textId="77777777" w:rsidTr="005B1448">
        <w:trPr>
          <w:trHeight w:val="300"/>
          <w:jc w:val="center"/>
        </w:trPr>
        <w:tc>
          <w:tcPr>
            <w:tcW w:w="1584" w:type="dxa"/>
            <w:tcBorders>
              <w:top w:val="nil"/>
              <w:left w:val="nil"/>
              <w:bottom w:val="nil"/>
              <w:right w:val="nil"/>
            </w:tcBorders>
            <w:shd w:val="clear" w:color="auto" w:fill="auto"/>
            <w:vAlign w:val="center"/>
            <w:hideMark/>
          </w:tcPr>
          <w:p w14:paraId="55C9206B" w14:textId="77777777" w:rsidR="0039002B" w:rsidRPr="009E40D2" w:rsidRDefault="0039002B" w:rsidP="005B1448">
            <w:pPr>
              <w:jc w:val="both"/>
              <w:rPr>
                <w:color w:val="000000" w:themeColor="text1"/>
              </w:rPr>
            </w:pPr>
            <w:r w:rsidRPr="009E40D2">
              <w:rPr>
                <w:color w:val="000000" w:themeColor="text1"/>
              </w:rPr>
              <w:t>DUM L/P</w:t>
            </w:r>
          </w:p>
        </w:tc>
        <w:tc>
          <w:tcPr>
            <w:tcW w:w="1335" w:type="dxa"/>
            <w:tcBorders>
              <w:top w:val="nil"/>
              <w:left w:val="single" w:sz="4" w:space="0" w:color="auto"/>
              <w:bottom w:val="nil"/>
              <w:right w:val="nil"/>
            </w:tcBorders>
            <w:shd w:val="clear" w:color="auto" w:fill="auto"/>
            <w:vAlign w:val="center"/>
          </w:tcPr>
          <w:p w14:paraId="1FED851C" w14:textId="77777777" w:rsidR="0039002B" w:rsidRPr="009E40D2" w:rsidRDefault="0039002B" w:rsidP="005B1448">
            <w:pPr>
              <w:jc w:val="center"/>
              <w:rPr>
                <w:color w:val="000000" w:themeColor="text1"/>
              </w:rPr>
            </w:pPr>
            <w:r>
              <w:rPr>
                <w:color w:val="000000" w:themeColor="text1"/>
              </w:rPr>
              <w:t>-0,533</w:t>
            </w:r>
          </w:p>
        </w:tc>
        <w:tc>
          <w:tcPr>
            <w:tcW w:w="1160" w:type="dxa"/>
            <w:tcBorders>
              <w:top w:val="nil"/>
              <w:left w:val="nil"/>
              <w:bottom w:val="nil"/>
              <w:right w:val="single" w:sz="4" w:space="0" w:color="auto"/>
            </w:tcBorders>
            <w:shd w:val="clear" w:color="auto" w:fill="auto"/>
            <w:vAlign w:val="center"/>
          </w:tcPr>
          <w:p w14:paraId="76184DA6" w14:textId="77777777" w:rsidR="0039002B" w:rsidRPr="009E40D2" w:rsidRDefault="0039002B" w:rsidP="005B1448">
            <w:pPr>
              <w:jc w:val="center"/>
              <w:rPr>
                <w:color w:val="000000" w:themeColor="text1"/>
              </w:rPr>
            </w:pPr>
            <w:r>
              <w:rPr>
                <w:color w:val="000000" w:themeColor="text1"/>
              </w:rPr>
              <w:t>0,468</w:t>
            </w:r>
          </w:p>
        </w:tc>
        <w:tc>
          <w:tcPr>
            <w:tcW w:w="1336" w:type="dxa"/>
            <w:tcBorders>
              <w:top w:val="nil"/>
              <w:left w:val="nil"/>
              <w:bottom w:val="nil"/>
              <w:right w:val="nil"/>
            </w:tcBorders>
            <w:shd w:val="clear" w:color="auto" w:fill="auto"/>
            <w:vAlign w:val="center"/>
          </w:tcPr>
          <w:p w14:paraId="1D67C847" w14:textId="77777777" w:rsidR="0039002B" w:rsidRPr="009E40D2" w:rsidRDefault="0039002B" w:rsidP="005B1448">
            <w:pPr>
              <w:jc w:val="center"/>
              <w:rPr>
                <w:color w:val="000000" w:themeColor="text1"/>
              </w:rPr>
            </w:pPr>
            <w:r>
              <w:rPr>
                <w:color w:val="000000" w:themeColor="text1"/>
              </w:rPr>
              <w:t>0,018</w:t>
            </w:r>
          </w:p>
        </w:tc>
        <w:tc>
          <w:tcPr>
            <w:tcW w:w="1160" w:type="dxa"/>
            <w:tcBorders>
              <w:top w:val="nil"/>
              <w:left w:val="nil"/>
              <w:bottom w:val="nil"/>
              <w:right w:val="single" w:sz="4" w:space="0" w:color="auto"/>
            </w:tcBorders>
            <w:shd w:val="clear" w:color="auto" w:fill="auto"/>
            <w:vAlign w:val="center"/>
          </w:tcPr>
          <w:p w14:paraId="317AFFB8" w14:textId="77777777" w:rsidR="0039002B" w:rsidRPr="009E40D2" w:rsidRDefault="0039002B" w:rsidP="005B1448">
            <w:pPr>
              <w:jc w:val="center"/>
              <w:rPr>
                <w:color w:val="000000" w:themeColor="text1"/>
              </w:rPr>
            </w:pPr>
            <w:r>
              <w:rPr>
                <w:color w:val="000000" w:themeColor="text1"/>
              </w:rPr>
              <w:t>0,066</w:t>
            </w:r>
          </w:p>
        </w:tc>
        <w:tc>
          <w:tcPr>
            <w:tcW w:w="1336" w:type="dxa"/>
            <w:tcBorders>
              <w:top w:val="nil"/>
              <w:left w:val="nil"/>
              <w:bottom w:val="nil"/>
              <w:right w:val="nil"/>
            </w:tcBorders>
            <w:shd w:val="clear" w:color="auto" w:fill="auto"/>
            <w:vAlign w:val="center"/>
          </w:tcPr>
          <w:p w14:paraId="56B10AF6" w14:textId="77777777" w:rsidR="0039002B" w:rsidRPr="009E40D2" w:rsidRDefault="0039002B" w:rsidP="005B1448">
            <w:pPr>
              <w:jc w:val="center"/>
              <w:rPr>
                <w:color w:val="000000" w:themeColor="text1"/>
              </w:rPr>
            </w:pPr>
            <w:r>
              <w:rPr>
                <w:color w:val="000000" w:themeColor="text1"/>
              </w:rPr>
              <w:t>0,021</w:t>
            </w:r>
          </w:p>
        </w:tc>
        <w:tc>
          <w:tcPr>
            <w:tcW w:w="1160" w:type="dxa"/>
            <w:tcBorders>
              <w:top w:val="nil"/>
              <w:left w:val="nil"/>
              <w:bottom w:val="nil"/>
              <w:right w:val="nil"/>
            </w:tcBorders>
            <w:shd w:val="clear" w:color="auto" w:fill="auto"/>
            <w:vAlign w:val="center"/>
          </w:tcPr>
          <w:p w14:paraId="60FE6664" w14:textId="77777777" w:rsidR="0039002B" w:rsidRPr="009E40D2" w:rsidRDefault="0039002B" w:rsidP="005B1448">
            <w:pPr>
              <w:jc w:val="center"/>
              <w:rPr>
                <w:color w:val="000000" w:themeColor="text1"/>
              </w:rPr>
            </w:pPr>
            <w:r>
              <w:rPr>
                <w:color w:val="000000" w:themeColor="text1"/>
              </w:rPr>
              <w:t>0,069</w:t>
            </w:r>
          </w:p>
        </w:tc>
      </w:tr>
      <w:tr w:rsidR="0039002B" w:rsidRPr="009E40D2" w14:paraId="47094F73" w14:textId="77777777" w:rsidTr="005B1448">
        <w:trPr>
          <w:trHeight w:val="300"/>
          <w:jc w:val="center"/>
        </w:trPr>
        <w:tc>
          <w:tcPr>
            <w:tcW w:w="1584" w:type="dxa"/>
            <w:tcBorders>
              <w:top w:val="nil"/>
              <w:left w:val="nil"/>
              <w:bottom w:val="nil"/>
              <w:right w:val="nil"/>
            </w:tcBorders>
            <w:shd w:val="clear" w:color="auto" w:fill="auto"/>
            <w:vAlign w:val="center"/>
            <w:hideMark/>
          </w:tcPr>
          <w:p w14:paraId="2D58853F" w14:textId="77777777" w:rsidR="0039002B" w:rsidRPr="009E40D2" w:rsidRDefault="0039002B" w:rsidP="005B1448">
            <w:pPr>
              <w:jc w:val="both"/>
              <w:rPr>
                <w:color w:val="000000" w:themeColor="text1"/>
              </w:rPr>
            </w:pPr>
            <w:r>
              <w:rPr>
                <w:color w:val="000000" w:themeColor="text1"/>
              </w:rPr>
              <w:t>RISCO</w:t>
            </w:r>
          </w:p>
        </w:tc>
        <w:tc>
          <w:tcPr>
            <w:tcW w:w="1335" w:type="dxa"/>
            <w:tcBorders>
              <w:top w:val="nil"/>
              <w:left w:val="single" w:sz="4" w:space="0" w:color="auto"/>
              <w:bottom w:val="nil"/>
              <w:right w:val="nil"/>
            </w:tcBorders>
            <w:shd w:val="clear" w:color="auto" w:fill="auto"/>
            <w:vAlign w:val="center"/>
          </w:tcPr>
          <w:p w14:paraId="37FC8553" w14:textId="77777777" w:rsidR="0039002B" w:rsidRPr="009E40D2" w:rsidRDefault="0039002B" w:rsidP="005B1448">
            <w:pPr>
              <w:jc w:val="center"/>
              <w:rPr>
                <w:color w:val="000000" w:themeColor="text1"/>
              </w:rPr>
            </w:pPr>
            <w:r>
              <w:rPr>
                <w:color w:val="000000" w:themeColor="text1"/>
              </w:rPr>
              <w:t>0,300</w:t>
            </w:r>
          </w:p>
        </w:tc>
        <w:tc>
          <w:tcPr>
            <w:tcW w:w="1160" w:type="dxa"/>
            <w:tcBorders>
              <w:top w:val="nil"/>
              <w:left w:val="nil"/>
              <w:bottom w:val="nil"/>
              <w:right w:val="single" w:sz="4" w:space="0" w:color="auto"/>
            </w:tcBorders>
            <w:shd w:val="clear" w:color="auto" w:fill="auto"/>
            <w:vAlign w:val="center"/>
          </w:tcPr>
          <w:p w14:paraId="6D9386E8" w14:textId="77777777" w:rsidR="0039002B" w:rsidRPr="009E40D2" w:rsidRDefault="0039002B" w:rsidP="005B1448">
            <w:pPr>
              <w:jc w:val="center"/>
              <w:rPr>
                <w:color w:val="000000" w:themeColor="text1"/>
              </w:rPr>
            </w:pPr>
            <w:r>
              <w:rPr>
                <w:color w:val="000000" w:themeColor="text1"/>
              </w:rPr>
              <w:t>0,252</w:t>
            </w:r>
          </w:p>
        </w:tc>
        <w:tc>
          <w:tcPr>
            <w:tcW w:w="1336" w:type="dxa"/>
            <w:tcBorders>
              <w:top w:val="nil"/>
              <w:left w:val="nil"/>
              <w:bottom w:val="nil"/>
              <w:right w:val="nil"/>
            </w:tcBorders>
            <w:shd w:val="clear" w:color="auto" w:fill="auto"/>
            <w:vAlign w:val="center"/>
          </w:tcPr>
          <w:p w14:paraId="4FAB769B" w14:textId="77777777" w:rsidR="0039002B" w:rsidRPr="007B0580" w:rsidRDefault="0039002B" w:rsidP="005B1448">
            <w:pPr>
              <w:jc w:val="center"/>
              <w:rPr>
                <w:color w:val="000000" w:themeColor="text1"/>
              </w:rPr>
            </w:pPr>
            <w:r w:rsidRPr="007B0580">
              <w:rPr>
                <w:color w:val="000000" w:themeColor="text1"/>
              </w:rPr>
              <w:t>-0,030</w:t>
            </w:r>
          </w:p>
        </w:tc>
        <w:tc>
          <w:tcPr>
            <w:tcW w:w="1160" w:type="dxa"/>
            <w:tcBorders>
              <w:top w:val="nil"/>
              <w:left w:val="nil"/>
              <w:bottom w:val="nil"/>
              <w:right w:val="single" w:sz="4" w:space="0" w:color="auto"/>
            </w:tcBorders>
            <w:shd w:val="clear" w:color="auto" w:fill="auto"/>
            <w:vAlign w:val="center"/>
          </w:tcPr>
          <w:p w14:paraId="7FF1E9C1" w14:textId="77777777" w:rsidR="0039002B" w:rsidRPr="007B0580" w:rsidRDefault="0039002B" w:rsidP="005B1448">
            <w:pPr>
              <w:jc w:val="center"/>
              <w:rPr>
                <w:color w:val="000000" w:themeColor="text1"/>
              </w:rPr>
            </w:pPr>
            <w:r w:rsidRPr="007B0580">
              <w:rPr>
                <w:color w:val="000000" w:themeColor="text1"/>
              </w:rPr>
              <w:t>0,032</w:t>
            </w:r>
          </w:p>
        </w:tc>
        <w:tc>
          <w:tcPr>
            <w:tcW w:w="1336" w:type="dxa"/>
            <w:tcBorders>
              <w:top w:val="nil"/>
              <w:left w:val="nil"/>
              <w:bottom w:val="nil"/>
              <w:right w:val="nil"/>
            </w:tcBorders>
            <w:shd w:val="clear" w:color="auto" w:fill="auto"/>
            <w:vAlign w:val="center"/>
          </w:tcPr>
          <w:p w14:paraId="7EA17BF5" w14:textId="30B2E375" w:rsidR="0039002B" w:rsidRPr="009E40D2" w:rsidRDefault="0039002B" w:rsidP="005B1448">
            <w:pPr>
              <w:jc w:val="center"/>
              <w:rPr>
                <w:b/>
                <w:color w:val="000000" w:themeColor="text1"/>
              </w:rPr>
            </w:pPr>
            <w:r>
              <w:rPr>
                <w:b/>
                <w:color w:val="000000" w:themeColor="text1"/>
              </w:rPr>
              <w:t>-0,535*</w:t>
            </w:r>
          </w:p>
        </w:tc>
        <w:tc>
          <w:tcPr>
            <w:tcW w:w="1160" w:type="dxa"/>
            <w:tcBorders>
              <w:top w:val="nil"/>
              <w:left w:val="nil"/>
              <w:bottom w:val="nil"/>
              <w:right w:val="nil"/>
            </w:tcBorders>
            <w:shd w:val="clear" w:color="auto" w:fill="auto"/>
            <w:vAlign w:val="center"/>
          </w:tcPr>
          <w:p w14:paraId="141D671C" w14:textId="77777777" w:rsidR="0039002B" w:rsidRPr="009E40D2" w:rsidRDefault="0039002B" w:rsidP="005B1448">
            <w:pPr>
              <w:jc w:val="center"/>
              <w:rPr>
                <w:b/>
                <w:color w:val="000000" w:themeColor="text1"/>
              </w:rPr>
            </w:pPr>
            <w:r>
              <w:rPr>
                <w:b/>
                <w:color w:val="000000" w:themeColor="text1"/>
              </w:rPr>
              <w:t>0,032</w:t>
            </w:r>
          </w:p>
        </w:tc>
      </w:tr>
      <w:tr w:rsidR="0039002B" w:rsidRPr="009E40D2" w14:paraId="7DE0D676" w14:textId="77777777" w:rsidTr="005B1448">
        <w:trPr>
          <w:trHeight w:val="300"/>
          <w:jc w:val="center"/>
        </w:trPr>
        <w:tc>
          <w:tcPr>
            <w:tcW w:w="1584" w:type="dxa"/>
            <w:tcBorders>
              <w:top w:val="nil"/>
              <w:left w:val="nil"/>
              <w:bottom w:val="nil"/>
              <w:right w:val="nil"/>
            </w:tcBorders>
            <w:shd w:val="clear" w:color="auto" w:fill="auto"/>
            <w:vAlign w:val="center"/>
            <w:hideMark/>
          </w:tcPr>
          <w:p w14:paraId="4B39C40C" w14:textId="77777777" w:rsidR="0039002B" w:rsidRPr="009E40D2" w:rsidRDefault="0039002B" w:rsidP="005B1448">
            <w:pPr>
              <w:jc w:val="both"/>
              <w:rPr>
                <w:color w:val="000000" w:themeColor="text1"/>
              </w:rPr>
            </w:pPr>
            <w:r>
              <w:rPr>
                <w:color w:val="000000" w:themeColor="text1"/>
              </w:rPr>
              <w:t>LIQU</w:t>
            </w:r>
          </w:p>
        </w:tc>
        <w:tc>
          <w:tcPr>
            <w:tcW w:w="1335" w:type="dxa"/>
            <w:tcBorders>
              <w:top w:val="nil"/>
              <w:left w:val="single" w:sz="4" w:space="0" w:color="auto"/>
              <w:bottom w:val="nil"/>
              <w:right w:val="nil"/>
            </w:tcBorders>
            <w:shd w:val="clear" w:color="auto" w:fill="auto"/>
            <w:vAlign w:val="center"/>
          </w:tcPr>
          <w:p w14:paraId="0222CEF7" w14:textId="77777777" w:rsidR="0039002B" w:rsidRPr="00B95622" w:rsidRDefault="0039002B" w:rsidP="005B1448">
            <w:pPr>
              <w:jc w:val="center"/>
              <w:rPr>
                <w:color w:val="000000" w:themeColor="text1"/>
              </w:rPr>
            </w:pPr>
            <w:r>
              <w:rPr>
                <w:color w:val="000000" w:themeColor="text1"/>
              </w:rPr>
              <w:t>0,754</w:t>
            </w:r>
          </w:p>
        </w:tc>
        <w:tc>
          <w:tcPr>
            <w:tcW w:w="1160" w:type="dxa"/>
            <w:tcBorders>
              <w:top w:val="nil"/>
              <w:left w:val="nil"/>
              <w:bottom w:val="nil"/>
              <w:right w:val="single" w:sz="4" w:space="0" w:color="auto"/>
            </w:tcBorders>
            <w:shd w:val="clear" w:color="auto" w:fill="auto"/>
            <w:vAlign w:val="center"/>
          </w:tcPr>
          <w:p w14:paraId="0C6A7B9A" w14:textId="77777777" w:rsidR="0039002B" w:rsidRPr="00B95622" w:rsidRDefault="0039002B" w:rsidP="005B1448">
            <w:pPr>
              <w:jc w:val="center"/>
              <w:rPr>
                <w:color w:val="000000" w:themeColor="text1"/>
              </w:rPr>
            </w:pPr>
            <w:r w:rsidRPr="00B95622">
              <w:rPr>
                <w:color w:val="000000" w:themeColor="text1"/>
              </w:rPr>
              <w:t>0,784</w:t>
            </w:r>
          </w:p>
        </w:tc>
        <w:tc>
          <w:tcPr>
            <w:tcW w:w="1336" w:type="dxa"/>
            <w:tcBorders>
              <w:top w:val="nil"/>
              <w:left w:val="nil"/>
              <w:bottom w:val="nil"/>
              <w:right w:val="nil"/>
            </w:tcBorders>
            <w:shd w:val="clear" w:color="auto" w:fill="auto"/>
            <w:vAlign w:val="center"/>
          </w:tcPr>
          <w:p w14:paraId="6C147A51" w14:textId="77777777" w:rsidR="0039002B" w:rsidRPr="007B0580" w:rsidRDefault="0039002B" w:rsidP="005B1448">
            <w:pPr>
              <w:jc w:val="center"/>
              <w:rPr>
                <w:bCs/>
                <w:color w:val="000000" w:themeColor="text1"/>
              </w:rPr>
            </w:pPr>
            <w:r w:rsidRPr="007B0580">
              <w:rPr>
                <w:bCs/>
                <w:color w:val="000000" w:themeColor="text1"/>
              </w:rPr>
              <w:t>0,008</w:t>
            </w:r>
          </w:p>
        </w:tc>
        <w:tc>
          <w:tcPr>
            <w:tcW w:w="1160" w:type="dxa"/>
            <w:tcBorders>
              <w:top w:val="nil"/>
              <w:left w:val="nil"/>
              <w:bottom w:val="nil"/>
              <w:right w:val="single" w:sz="4" w:space="0" w:color="auto"/>
            </w:tcBorders>
            <w:shd w:val="clear" w:color="auto" w:fill="auto"/>
            <w:vAlign w:val="center"/>
          </w:tcPr>
          <w:p w14:paraId="68A56F2C" w14:textId="77777777" w:rsidR="0039002B" w:rsidRPr="007B0580" w:rsidRDefault="0039002B" w:rsidP="005B1448">
            <w:pPr>
              <w:jc w:val="center"/>
              <w:rPr>
                <w:color w:val="000000" w:themeColor="text1"/>
              </w:rPr>
            </w:pPr>
            <w:r w:rsidRPr="007B0580">
              <w:rPr>
                <w:color w:val="000000" w:themeColor="text1"/>
              </w:rPr>
              <w:t>0,120</w:t>
            </w:r>
          </w:p>
        </w:tc>
        <w:tc>
          <w:tcPr>
            <w:tcW w:w="1336" w:type="dxa"/>
            <w:tcBorders>
              <w:top w:val="nil"/>
              <w:left w:val="nil"/>
              <w:bottom w:val="nil"/>
              <w:right w:val="nil"/>
            </w:tcBorders>
            <w:shd w:val="clear" w:color="auto" w:fill="auto"/>
            <w:vAlign w:val="center"/>
          </w:tcPr>
          <w:p w14:paraId="2DA6E259" w14:textId="77777777" w:rsidR="0039002B" w:rsidRPr="00935F89" w:rsidRDefault="0039002B" w:rsidP="005B1448">
            <w:pPr>
              <w:jc w:val="center"/>
              <w:rPr>
                <w:bCs/>
                <w:color w:val="000000" w:themeColor="text1"/>
              </w:rPr>
            </w:pPr>
            <w:r>
              <w:rPr>
                <w:bCs/>
                <w:color w:val="000000" w:themeColor="text1"/>
              </w:rPr>
              <w:t>0,030</w:t>
            </w:r>
          </w:p>
        </w:tc>
        <w:tc>
          <w:tcPr>
            <w:tcW w:w="1160" w:type="dxa"/>
            <w:tcBorders>
              <w:top w:val="nil"/>
              <w:left w:val="nil"/>
              <w:bottom w:val="nil"/>
              <w:right w:val="nil"/>
            </w:tcBorders>
            <w:shd w:val="clear" w:color="auto" w:fill="auto"/>
            <w:vAlign w:val="center"/>
          </w:tcPr>
          <w:p w14:paraId="7646315E" w14:textId="77777777" w:rsidR="0039002B" w:rsidRPr="00935F89" w:rsidRDefault="0039002B" w:rsidP="005B1448">
            <w:pPr>
              <w:jc w:val="center"/>
              <w:rPr>
                <w:color w:val="000000" w:themeColor="text1"/>
              </w:rPr>
            </w:pPr>
            <w:r w:rsidRPr="00935F89">
              <w:rPr>
                <w:color w:val="000000" w:themeColor="text1"/>
              </w:rPr>
              <w:t>0,122</w:t>
            </w:r>
          </w:p>
        </w:tc>
      </w:tr>
      <w:tr w:rsidR="0039002B" w:rsidRPr="009E40D2" w14:paraId="3D93669E" w14:textId="77777777" w:rsidTr="005B1448">
        <w:trPr>
          <w:trHeight w:val="300"/>
          <w:jc w:val="center"/>
        </w:trPr>
        <w:tc>
          <w:tcPr>
            <w:tcW w:w="1584" w:type="dxa"/>
            <w:tcBorders>
              <w:top w:val="nil"/>
              <w:left w:val="nil"/>
              <w:bottom w:val="nil"/>
              <w:right w:val="nil"/>
            </w:tcBorders>
            <w:shd w:val="clear" w:color="auto" w:fill="auto"/>
            <w:vAlign w:val="center"/>
          </w:tcPr>
          <w:p w14:paraId="35905BB0" w14:textId="77777777" w:rsidR="0039002B" w:rsidRDefault="0039002B" w:rsidP="005B1448">
            <w:pPr>
              <w:jc w:val="both"/>
              <w:rPr>
                <w:color w:val="000000" w:themeColor="text1"/>
              </w:rPr>
            </w:pPr>
            <w:r>
              <w:rPr>
                <w:color w:val="000000" w:themeColor="text1"/>
              </w:rPr>
              <w:t>D_ANO10</w:t>
            </w:r>
          </w:p>
        </w:tc>
        <w:tc>
          <w:tcPr>
            <w:tcW w:w="1335" w:type="dxa"/>
            <w:tcBorders>
              <w:top w:val="nil"/>
              <w:left w:val="single" w:sz="4" w:space="0" w:color="auto"/>
              <w:bottom w:val="nil"/>
              <w:right w:val="nil"/>
            </w:tcBorders>
            <w:shd w:val="clear" w:color="auto" w:fill="auto"/>
            <w:vAlign w:val="center"/>
          </w:tcPr>
          <w:p w14:paraId="7E1A3B49" w14:textId="672AA58D" w:rsidR="0039002B" w:rsidRPr="009E40D2" w:rsidRDefault="0039002B" w:rsidP="005B1448">
            <w:pPr>
              <w:jc w:val="center"/>
              <w:rPr>
                <w:b/>
                <w:color w:val="000000" w:themeColor="text1"/>
              </w:rPr>
            </w:pPr>
            <w:r>
              <w:rPr>
                <w:b/>
                <w:color w:val="000000" w:themeColor="text1"/>
              </w:rPr>
              <w:t>-2,457*</w:t>
            </w:r>
            <w:r w:rsidR="00630F69">
              <w:rPr>
                <w:b/>
                <w:color w:val="000000" w:themeColor="text1"/>
              </w:rPr>
              <w:t>**</w:t>
            </w:r>
          </w:p>
        </w:tc>
        <w:tc>
          <w:tcPr>
            <w:tcW w:w="1160" w:type="dxa"/>
            <w:tcBorders>
              <w:top w:val="nil"/>
              <w:left w:val="nil"/>
              <w:bottom w:val="nil"/>
              <w:right w:val="single" w:sz="4" w:space="0" w:color="auto"/>
            </w:tcBorders>
            <w:shd w:val="clear" w:color="auto" w:fill="auto"/>
            <w:vAlign w:val="center"/>
          </w:tcPr>
          <w:p w14:paraId="4F61633E" w14:textId="77777777" w:rsidR="0039002B" w:rsidRPr="009E40D2" w:rsidRDefault="0039002B" w:rsidP="005B1448">
            <w:pPr>
              <w:jc w:val="center"/>
              <w:rPr>
                <w:b/>
                <w:color w:val="000000" w:themeColor="text1"/>
              </w:rPr>
            </w:pPr>
            <w:r>
              <w:rPr>
                <w:b/>
                <w:color w:val="000000" w:themeColor="text1"/>
              </w:rPr>
              <w:t>0,490</w:t>
            </w:r>
          </w:p>
        </w:tc>
        <w:tc>
          <w:tcPr>
            <w:tcW w:w="1336" w:type="dxa"/>
            <w:tcBorders>
              <w:top w:val="nil"/>
              <w:left w:val="nil"/>
              <w:bottom w:val="nil"/>
              <w:right w:val="nil"/>
            </w:tcBorders>
            <w:shd w:val="clear" w:color="auto" w:fill="auto"/>
            <w:vAlign w:val="center"/>
          </w:tcPr>
          <w:p w14:paraId="662927F3" w14:textId="122967BE" w:rsidR="0039002B" w:rsidRPr="009E40D2" w:rsidRDefault="0039002B" w:rsidP="005B1448">
            <w:pPr>
              <w:jc w:val="center"/>
              <w:rPr>
                <w:b/>
                <w:bCs/>
                <w:color w:val="000000" w:themeColor="text1"/>
              </w:rPr>
            </w:pPr>
            <w:r>
              <w:rPr>
                <w:b/>
                <w:bCs/>
                <w:color w:val="000000" w:themeColor="text1"/>
              </w:rPr>
              <w:t>0,791*</w:t>
            </w:r>
            <w:r w:rsidR="00630F69">
              <w:rPr>
                <w:b/>
                <w:bCs/>
                <w:color w:val="000000" w:themeColor="text1"/>
              </w:rPr>
              <w:t>**</w:t>
            </w:r>
          </w:p>
        </w:tc>
        <w:tc>
          <w:tcPr>
            <w:tcW w:w="1160" w:type="dxa"/>
            <w:tcBorders>
              <w:top w:val="nil"/>
              <w:left w:val="nil"/>
              <w:bottom w:val="nil"/>
              <w:right w:val="single" w:sz="4" w:space="0" w:color="auto"/>
            </w:tcBorders>
            <w:shd w:val="clear" w:color="auto" w:fill="auto"/>
            <w:vAlign w:val="center"/>
          </w:tcPr>
          <w:p w14:paraId="53EE7ABB" w14:textId="77777777" w:rsidR="0039002B" w:rsidRPr="009E40D2" w:rsidRDefault="0039002B" w:rsidP="005B1448">
            <w:pPr>
              <w:jc w:val="center"/>
              <w:rPr>
                <w:b/>
                <w:color w:val="000000" w:themeColor="text1"/>
              </w:rPr>
            </w:pPr>
            <w:r>
              <w:rPr>
                <w:b/>
                <w:color w:val="000000" w:themeColor="text1"/>
              </w:rPr>
              <w:t>0,060</w:t>
            </w:r>
          </w:p>
        </w:tc>
        <w:tc>
          <w:tcPr>
            <w:tcW w:w="1336" w:type="dxa"/>
            <w:tcBorders>
              <w:top w:val="nil"/>
              <w:left w:val="nil"/>
              <w:bottom w:val="nil"/>
              <w:right w:val="nil"/>
            </w:tcBorders>
            <w:shd w:val="clear" w:color="auto" w:fill="auto"/>
            <w:vAlign w:val="center"/>
          </w:tcPr>
          <w:p w14:paraId="7EE72F85" w14:textId="3669396C" w:rsidR="0039002B" w:rsidRPr="009E40D2" w:rsidRDefault="0039002B" w:rsidP="005B1448">
            <w:pPr>
              <w:jc w:val="center"/>
              <w:rPr>
                <w:b/>
                <w:bCs/>
                <w:color w:val="000000" w:themeColor="text1"/>
              </w:rPr>
            </w:pPr>
            <w:r>
              <w:rPr>
                <w:b/>
                <w:bCs/>
                <w:color w:val="000000" w:themeColor="text1"/>
              </w:rPr>
              <w:t>1,030*</w:t>
            </w:r>
            <w:r w:rsidR="00630F69">
              <w:rPr>
                <w:b/>
                <w:bCs/>
                <w:color w:val="000000" w:themeColor="text1"/>
              </w:rPr>
              <w:t>**</w:t>
            </w:r>
          </w:p>
        </w:tc>
        <w:tc>
          <w:tcPr>
            <w:tcW w:w="1160" w:type="dxa"/>
            <w:tcBorders>
              <w:top w:val="nil"/>
              <w:left w:val="nil"/>
              <w:bottom w:val="nil"/>
              <w:right w:val="nil"/>
            </w:tcBorders>
            <w:shd w:val="clear" w:color="auto" w:fill="auto"/>
            <w:vAlign w:val="center"/>
          </w:tcPr>
          <w:p w14:paraId="06170E7C" w14:textId="77777777" w:rsidR="0039002B" w:rsidRPr="009E40D2" w:rsidRDefault="0039002B" w:rsidP="005B1448">
            <w:pPr>
              <w:jc w:val="center"/>
              <w:rPr>
                <w:b/>
                <w:color w:val="000000" w:themeColor="text1"/>
              </w:rPr>
            </w:pPr>
            <w:r>
              <w:rPr>
                <w:b/>
                <w:color w:val="000000" w:themeColor="text1"/>
              </w:rPr>
              <w:t>0,065</w:t>
            </w:r>
          </w:p>
        </w:tc>
      </w:tr>
      <w:tr w:rsidR="0039002B" w:rsidRPr="009E40D2" w14:paraId="5D4138DD" w14:textId="77777777" w:rsidTr="005B1448">
        <w:trPr>
          <w:trHeight w:val="300"/>
          <w:jc w:val="center"/>
        </w:trPr>
        <w:tc>
          <w:tcPr>
            <w:tcW w:w="1584" w:type="dxa"/>
            <w:tcBorders>
              <w:top w:val="nil"/>
              <w:left w:val="nil"/>
              <w:bottom w:val="nil"/>
              <w:right w:val="nil"/>
            </w:tcBorders>
            <w:shd w:val="clear" w:color="auto" w:fill="auto"/>
            <w:vAlign w:val="center"/>
            <w:hideMark/>
          </w:tcPr>
          <w:p w14:paraId="5AD47E62" w14:textId="77777777" w:rsidR="0039002B" w:rsidRPr="009E40D2" w:rsidRDefault="0039002B" w:rsidP="005B1448">
            <w:pPr>
              <w:jc w:val="both"/>
              <w:rPr>
                <w:color w:val="000000" w:themeColor="text1"/>
              </w:rPr>
            </w:pPr>
            <w:r w:rsidRPr="009E40D2">
              <w:rPr>
                <w:color w:val="000000" w:themeColor="text1"/>
              </w:rPr>
              <w:t>D</w:t>
            </w:r>
            <w:r>
              <w:rPr>
                <w:color w:val="000000" w:themeColor="text1"/>
              </w:rPr>
              <w:t>_ANO</w:t>
            </w:r>
            <w:r w:rsidRPr="009E40D2">
              <w:rPr>
                <w:color w:val="000000" w:themeColor="text1"/>
              </w:rPr>
              <w:t>15</w:t>
            </w:r>
          </w:p>
        </w:tc>
        <w:tc>
          <w:tcPr>
            <w:tcW w:w="1335" w:type="dxa"/>
            <w:tcBorders>
              <w:top w:val="nil"/>
              <w:left w:val="single" w:sz="4" w:space="0" w:color="auto"/>
              <w:bottom w:val="nil"/>
              <w:right w:val="nil"/>
            </w:tcBorders>
            <w:shd w:val="clear" w:color="auto" w:fill="auto"/>
            <w:vAlign w:val="center"/>
          </w:tcPr>
          <w:p w14:paraId="25015E47" w14:textId="66935352" w:rsidR="0039002B" w:rsidRPr="009E40D2" w:rsidRDefault="0039002B" w:rsidP="005B1448">
            <w:pPr>
              <w:jc w:val="center"/>
              <w:rPr>
                <w:b/>
                <w:bCs/>
                <w:color w:val="000000" w:themeColor="text1"/>
              </w:rPr>
            </w:pPr>
            <w:r>
              <w:rPr>
                <w:b/>
                <w:bCs/>
                <w:color w:val="000000" w:themeColor="text1"/>
              </w:rPr>
              <w:t>-2,269*</w:t>
            </w:r>
            <w:r w:rsidR="00630F69">
              <w:rPr>
                <w:b/>
                <w:bCs/>
                <w:color w:val="000000" w:themeColor="text1"/>
              </w:rPr>
              <w:t>**</w:t>
            </w:r>
          </w:p>
        </w:tc>
        <w:tc>
          <w:tcPr>
            <w:tcW w:w="1160" w:type="dxa"/>
            <w:tcBorders>
              <w:top w:val="nil"/>
              <w:left w:val="nil"/>
              <w:bottom w:val="nil"/>
              <w:right w:val="single" w:sz="4" w:space="0" w:color="auto"/>
            </w:tcBorders>
            <w:shd w:val="clear" w:color="auto" w:fill="auto"/>
            <w:vAlign w:val="center"/>
          </w:tcPr>
          <w:p w14:paraId="408A9A1E" w14:textId="77777777" w:rsidR="0039002B" w:rsidRPr="009E40D2" w:rsidRDefault="0039002B" w:rsidP="005B1448">
            <w:pPr>
              <w:jc w:val="center"/>
              <w:rPr>
                <w:b/>
                <w:bCs/>
                <w:color w:val="000000" w:themeColor="text1"/>
              </w:rPr>
            </w:pPr>
            <w:r>
              <w:rPr>
                <w:b/>
                <w:bCs/>
                <w:color w:val="000000" w:themeColor="text1"/>
              </w:rPr>
              <w:t>0,489</w:t>
            </w:r>
          </w:p>
        </w:tc>
        <w:tc>
          <w:tcPr>
            <w:tcW w:w="1336" w:type="dxa"/>
            <w:tcBorders>
              <w:top w:val="nil"/>
              <w:left w:val="nil"/>
              <w:bottom w:val="nil"/>
              <w:right w:val="nil"/>
            </w:tcBorders>
            <w:shd w:val="clear" w:color="auto" w:fill="auto"/>
            <w:vAlign w:val="center"/>
          </w:tcPr>
          <w:p w14:paraId="20473FF3" w14:textId="7BCEF466" w:rsidR="0039002B" w:rsidRPr="009E40D2" w:rsidRDefault="0039002B" w:rsidP="005B1448">
            <w:pPr>
              <w:jc w:val="center"/>
              <w:rPr>
                <w:b/>
                <w:color w:val="000000" w:themeColor="text1"/>
              </w:rPr>
            </w:pPr>
            <w:r>
              <w:rPr>
                <w:b/>
                <w:color w:val="000000" w:themeColor="text1"/>
              </w:rPr>
              <w:t>0,574*</w:t>
            </w:r>
            <w:r w:rsidR="00630F69">
              <w:rPr>
                <w:b/>
                <w:color w:val="000000" w:themeColor="text1"/>
              </w:rPr>
              <w:t>**</w:t>
            </w:r>
          </w:p>
        </w:tc>
        <w:tc>
          <w:tcPr>
            <w:tcW w:w="1160" w:type="dxa"/>
            <w:tcBorders>
              <w:top w:val="nil"/>
              <w:left w:val="nil"/>
              <w:bottom w:val="nil"/>
              <w:right w:val="single" w:sz="4" w:space="0" w:color="auto"/>
            </w:tcBorders>
            <w:shd w:val="clear" w:color="auto" w:fill="auto"/>
            <w:vAlign w:val="center"/>
          </w:tcPr>
          <w:p w14:paraId="686D18F4" w14:textId="77777777" w:rsidR="0039002B" w:rsidRPr="009E40D2" w:rsidRDefault="0039002B" w:rsidP="005B1448">
            <w:pPr>
              <w:jc w:val="center"/>
              <w:rPr>
                <w:b/>
                <w:color w:val="000000" w:themeColor="text1"/>
              </w:rPr>
            </w:pPr>
            <w:r>
              <w:rPr>
                <w:b/>
                <w:color w:val="000000" w:themeColor="text1"/>
              </w:rPr>
              <w:t>0,591</w:t>
            </w:r>
          </w:p>
        </w:tc>
        <w:tc>
          <w:tcPr>
            <w:tcW w:w="1336" w:type="dxa"/>
            <w:tcBorders>
              <w:top w:val="nil"/>
              <w:left w:val="nil"/>
              <w:bottom w:val="nil"/>
              <w:right w:val="nil"/>
            </w:tcBorders>
            <w:shd w:val="clear" w:color="auto" w:fill="auto"/>
            <w:vAlign w:val="center"/>
          </w:tcPr>
          <w:p w14:paraId="3C633403" w14:textId="75B56291" w:rsidR="0039002B" w:rsidRPr="009E40D2" w:rsidRDefault="0039002B" w:rsidP="005B1448">
            <w:pPr>
              <w:jc w:val="center"/>
              <w:rPr>
                <w:b/>
                <w:color w:val="000000" w:themeColor="text1"/>
              </w:rPr>
            </w:pPr>
            <w:r>
              <w:rPr>
                <w:b/>
                <w:color w:val="000000" w:themeColor="text1"/>
              </w:rPr>
              <w:t>0,859*</w:t>
            </w:r>
            <w:r w:rsidR="00630F69">
              <w:rPr>
                <w:b/>
                <w:color w:val="000000" w:themeColor="text1"/>
              </w:rPr>
              <w:t>**</w:t>
            </w:r>
          </w:p>
        </w:tc>
        <w:tc>
          <w:tcPr>
            <w:tcW w:w="1160" w:type="dxa"/>
            <w:tcBorders>
              <w:top w:val="nil"/>
              <w:left w:val="nil"/>
              <w:bottom w:val="nil"/>
              <w:right w:val="nil"/>
            </w:tcBorders>
            <w:shd w:val="clear" w:color="auto" w:fill="auto"/>
            <w:vAlign w:val="center"/>
          </w:tcPr>
          <w:p w14:paraId="44CF3C18" w14:textId="77777777" w:rsidR="0039002B" w:rsidRPr="009E40D2" w:rsidRDefault="0039002B" w:rsidP="005B1448">
            <w:pPr>
              <w:jc w:val="center"/>
              <w:rPr>
                <w:b/>
                <w:color w:val="000000" w:themeColor="text1"/>
              </w:rPr>
            </w:pPr>
            <w:r>
              <w:rPr>
                <w:b/>
                <w:color w:val="000000" w:themeColor="text1"/>
              </w:rPr>
              <w:t>0,065</w:t>
            </w:r>
          </w:p>
        </w:tc>
      </w:tr>
      <w:tr w:rsidR="0039002B" w:rsidRPr="009E40D2" w14:paraId="76016B97" w14:textId="77777777" w:rsidTr="005B1448">
        <w:trPr>
          <w:trHeight w:val="315"/>
          <w:jc w:val="center"/>
        </w:trPr>
        <w:tc>
          <w:tcPr>
            <w:tcW w:w="1584" w:type="dxa"/>
            <w:tcBorders>
              <w:top w:val="nil"/>
              <w:left w:val="nil"/>
              <w:bottom w:val="nil"/>
              <w:right w:val="nil"/>
            </w:tcBorders>
            <w:shd w:val="clear" w:color="auto" w:fill="auto"/>
            <w:vAlign w:val="center"/>
            <w:hideMark/>
          </w:tcPr>
          <w:p w14:paraId="2A2F4F74" w14:textId="77777777" w:rsidR="0039002B" w:rsidRPr="009E40D2" w:rsidRDefault="0039002B" w:rsidP="005B1448">
            <w:pPr>
              <w:jc w:val="both"/>
              <w:rPr>
                <w:color w:val="000000" w:themeColor="text1"/>
              </w:rPr>
            </w:pPr>
            <w:r w:rsidRPr="009E40D2">
              <w:rPr>
                <w:color w:val="000000" w:themeColor="text1"/>
              </w:rPr>
              <w:t>CONST</w:t>
            </w:r>
          </w:p>
        </w:tc>
        <w:tc>
          <w:tcPr>
            <w:tcW w:w="1335" w:type="dxa"/>
            <w:tcBorders>
              <w:top w:val="nil"/>
              <w:left w:val="single" w:sz="4" w:space="0" w:color="auto"/>
              <w:bottom w:val="nil"/>
              <w:right w:val="nil"/>
            </w:tcBorders>
            <w:shd w:val="clear" w:color="auto" w:fill="auto"/>
            <w:vAlign w:val="center"/>
          </w:tcPr>
          <w:p w14:paraId="7407CE75" w14:textId="67A8AB70" w:rsidR="0039002B" w:rsidRPr="009E40D2" w:rsidRDefault="0039002B" w:rsidP="005B1448">
            <w:pPr>
              <w:jc w:val="center"/>
              <w:rPr>
                <w:color w:val="000000" w:themeColor="text1"/>
              </w:rPr>
            </w:pPr>
            <w:r>
              <w:rPr>
                <w:color w:val="000000" w:themeColor="text1"/>
              </w:rPr>
              <w:t>21,043*</w:t>
            </w:r>
            <w:r w:rsidR="00630F69">
              <w:rPr>
                <w:color w:val="000000" w:themeColor="text1"/>
              </w:rPr>
              <w:t>**</w:t>
            </w:r>
          </w:p>
        </w:tc>
        <w:tc>
          <w:tcPr>
            <w:tcW w:w="1160" w:type="dxa"/>
            <w:tcBorders>
              <w:top w:val="nil"/>
              <w:left w:val="nil"/>
              <w:bottom w:val="nil"/>
              <w:right w:val="single" w:sz="4" w:space="0" w:color="auto"/>
            </w:tcBorders>
            <w:shd w:val="clear" w:color="auto" w:fill="auto"/>
            <w:vAlign w:val="center"/>
          </w:tcPr>
          <w:p w14:paraId="6A885CFB" w14:textId="77777777" w:rsidR="0039002B" w:rsidRPr="009E40D2" w:rsidRDefault="0039002B" w:rsidP="005B1448">
            <w:pPr>
              <w:jc w:val="center"/>
              <w:rPr>
                <w:color w:val="000000" w:themeColor="text1"/>
              </w:rPr>
            </w:pPr>
            <w:r>
              <w:rPr>
                <w:color w:val="000000" w:themeColor="text1"/>
              </w:rPr>
              <w:t>1,457</w:t>
            </w:r>
          </w:p>
        </w:tc>
        <w:tc>
          <w:tcPr>
            <w:tcW w:w="1336" w:type="dxa"/>
            <w:tcBorders>
              <w:top w:val="nil"/>
              <w:left w:val="nil"/>
              <w:bottom w:val="nil"/>
              <w:right w:val="nil"/>
            </w:tcBorders>
            <w:shd w:val="clear" w:color="auto" w:fill="auto"/>
            <w:vAlign w:val="center"/>
          </w:tcPr>
          <w:p w14:paraId="0C63FA67" w14:textId="78109D47" w:rsidR="0039002B" w:rsidRPr="009E40D2" w:rsidRDefault="0039002B" w:rsidP="005B1448">
            <w:pPr>
              <w:jc w:val="center"/>
              <w:rPr>
                <w:bCs/>
                <w:color w:val="000000" w:themeColor="text1"/>
              </w:rPr>
            </w:pPr>
            <w:r>
              <w:rPr>
                <w:bCs/>
                <w:color w:val="000000" w:themeColor="text1"/>
              </w:rPr>
              <w:t>-0,502*</w:t>
            </w:r>
            <w:r w:rsidR="00630F69">
              <w:rPr>
                <w:bCs/>
                <w:color w:val="000000" w:themeColor="text1"/>
              </w:rPr>
              <w:t>**</w:t>
            </w:r>
          </w:p>
        </w:tc>
        <w:tc>
          <w:tcPr>
            <w:tcW w:w="1160" w:type="dxa"/>
            <w:tcBorders>
              <w:top w:val="nil"/>
              <w:left w:val="nil"/>
              <w:bottom w:val="nil"/>
              <w:right w:val="single" w:sz="4" w:space="0" w:color="auto"/>
            </w:tcBorders>
            <w:shd w:val="clear" w:color="auto" w:fill="auto"/>
            <w:vAlign w:val="center"/>
          </w:tcPr>
          <w:p w14:paraId="728A0680" w14:textId="77777777" w:rsidR="0039002B" w:rsidRPr="009E40D2" w:rsidRDefault="0039002B" w:rsidP="005B1448">
            <w:pPr>
              <w:jc w:val="center"/>
              <w:rPr>
                <w:color w:val="000000" w:themeColor="text1"/>
              </w:rPr>
            </w:pPr>
            <w:r>
              <w:rPr>
                <w:color w:val="000000" w:themeColor="text1"/>
              </w:rPr>
              <w:t>0,154</w:t>
            </w:r>
          </w:p>
        </w:tc>
        <w:tc>
          <w:tcPr>
            <w:tcW w:w="1336" w:type="dxa"/>
            <w:tcBorders>
              <w:top w:val="nil"/>
              <w:left w:val="nil"/>
              <w:bottom w:val="nil"/>
              <w:right w:val="nil"/>
            </w:tcBorders>
            <w:shd w:val="clear" w:color="auto" w:fill="auto"/>
            <w:vAlign w:val="center"/>
          </w:tcPr>
          <w:p w14:paraId="34284879" w14:textId="231D4518" w:rsidR="0039002B" w:rsidRPr="009E40D2" w:rsidRDefault="0039002B" w:rsidP="005B1448">
            <w:pPr>
              <w:jc w:val="center"/>
              <w:rPr>
                <w:color w:val="000000" w:themeColor="text1"/>
              </w:rPr>
            </w:pPr>
            <w:r>
              <w:rPr>
                <w:color w:val="000000" w:themeColor="text1"/>
              </w:rPr>
              <w:t>4,514*</w:t>
            </w:r>
            <w:r w:rsidR="00630F69">
              <w:rPr>
                <w:color w:val="000000" w:themeColor="text1"/>
              </w:rPr>
              <w:t>**</w:t>
            </w:r>
          </w:p>
        </w:tc>
        <w:tc>
          <w:tcPr>
            <w:tcW w:w="1160" w:type="dxa"/>
            <w:tcBorders>
              <w:top w:val="nil"/>
              <w:left w:val="nil"/>
              <w:bottom w:val="nil"/>
              <w:right w:val="nil"/>
            </w:tcBorders>
            <w:shd w:val="clear" w:color="auto" w:fill="auto"/>
            <w:vAlign w:val="center"/>
          </w:tcPr>
          <w:p w14:paraId="08711A0F" w14:textId="77777777" w:rsidR="0039002B" w:rsidRPr="009E40D2" w:rsidRDefault="0039002B" w:rsidP="005B1448">
            <w:pPr>
              <w:jc w:val="center"/>
              <w:rPr>
                <w:color w:val="000000" w:themeColor="text1"/>
              </w:rPr>
            </w:pPr>
            <w:r>
              <w:rPr>
                <w:color w:val="000000" w:themeColor="text1"/>
              </w:rPr>
              <w:t>0,171</w:t>
            </w:r>
          </w:p>
        </w:tc>
      </w:tr>
      <w:tr w:rsidR="0039002B" w:rsidRPr="009E40D2" w14:paraId="48BD944D" w14:textId="77777777" w:rsidTr="005B1448">
        <w:trPr>
          <w:trHeight w:val="315"/>
          <w:jc w:val="center"/>
        </w:trPr>
        <w:tc>
          <w:tcPr>
            <w:tcW w:w="9071" w:type="dxa"/>
            <w:gridSpan w:val="7"/>
            <w:tcBorders>
              <w:top w:val="single" w:sz="8" w:space="0" w:color="auto"/>
              <w:left w:val="nil"/>
              <w:bottom w:val="single" w:sz="8" w:space="0" w:color="auto"/>
              <w:right w:val="nil"/>
            </w:tcBorders>
            <w:shd w:val="clear" w:color="auto" w:fill="auto"/>
            <w:vAlign w:val="center"/>
            <w:hideMark/>
          </w:tcPr>
          <w:p w14:paraId="2F897E43" w14:textId="77777777" w:rsidR="0039002B" w:rsidRPr="009E40D2" w:rsidRDefault="0039002B" w:rsidP="005B1448">
            <w:pPr>
              <w:ind w:firstLine="709"/>
              <w:jc w:val="center"/>
              <w:rPr>
                <w:color w:val="000000" w:themeColor="text1"/>
              </w:rPr>
            </w:pPr>
            <w:r w:rsidRPr="009E40D2">
              <w:rPr>
                <w:color w:val="000000" w:themeColor="text1"/>
              </w:rPr>
              <w:t>Painel B: Estatísticas dos Modelos</w:t>
            </w:r>
          </w:p>
        </w:tc>
      </w:tr>
      <w:tr w:rsidR="0039002B" w:rsidRPr="009E40D2" w14:paraId="428BF8E9" w14:textId="77777777" w:rsidTr="005B1448">
        <w:trPr>
          <w:trHeight w:val="300"/>
          <w:jc w:val="center"/>
        </w:trPr>
        <w:tc>
          <w:tcPr>
            <w:tcW w:w="1584" w:type="dxa"/>
            <w:tcBorders>
              <w:top w:val="nil"/>
              <w:left w:val="nil"/>
              <w:bottom w:val="nil"/>
              <w:right w:val="nil"/>
            </w:tcBorders>
            <w:shd w:val="clear" w:color="auto" w:fill="auto"/>
            <w:vAlign w:val="center"/>
            <w:hideMark/>
          </w:tcPr>
          <w:p w14:paraId="2BEF1E26" w14:textId="77777777" w:rsidR="0039002B" w:rsidRPr="009E40D2" w:rsidRDefault="0039002B" w:rsidP="00D07B67">
            <w:pPr>
              <w:rPr>
                <w:color w:val="000000" w:themeColor="text1"/>
              </w:rPr>
            </w:pPr>
            <w:r w:rsidRPr="009E40D2">
              <w:rPr>
                <w:color w:val="000000" w:themeColor="text1"/>
              </w:rPr>
              <w:t>R</w:t>
            </w:r>
            <w:r w:rsidRPr="009E40D2">
              <w:rPr>
                <w:color w:val="000000" w:themeColor="text1"/>
                <w:vertAlign w:val="superscript"/>
              </w:rPr>
              <w:t>2</w:t>
            </w:r>
            <w:r w:rsidRPr="009E40D2">
              <w:rPr>
                <w:color w:val="000000" w:themeColor="text1"/>
              </w:rPr>
              <w:t xml:space="preserve"> Ajust.</w:t>
            </w:r>
          </w:p>
        </w:tc>
        <w:tc>
          <w:tcPr>
            <w:tcW w:w="2495" w:type="dxa"/>
            <w:gridSpan w:val="2"/>
            <w:tcBorders>
              <w:top w:val="single" w:sz="8" w:space="0" w:color="auto"/>
              <w:left w:val="single" w:sz="4" w:space="0" w:color="auto"/>
              <w:bottom w:val="nil"/>
              <w:right w:val="single" w:sz="4" w:space="0" w:color="000000"/>
            </w:tcBorders>
            <w:shd w:val="clear" w:color="auto" w:fill="auto"/>
            <w:vAlign w:val="center"/>
          </w:tcPr>
          <w:p w14:paraId="0F6458EC" w14:textId="77777777" w:rsidR="0039002B" w:rsidRPr="009E40D2" w:rsidRDefault="0039002B" w:rsidP="005B1448">
            <w:pPr>
              <w:ind w:firstLine="709"/>
              <w:jc w:val="center"/>
              <w:rPr>
                <w:color w:val="000000" w:themeColor="text1"/>
              </w:rPr>
            </w:pPr>
            <w:r>
              <w:rPr>
                <w:color w:val="000000" w:themeColor="text1"/>
              </w:rPr>
              <w:t>10,20%</w:t>
            </w:r>
          </w:p>
        </w:tc>
        <w:tc>
          <w:tcPr>
            <w:tcW w:w="2496" w:type="dxa"/>
            <w:gridSpan w:val="2"/>
            <w:tcBorders>
              <w:top w:val="single" w:sz="8" w:space="0" w:color="auto"/>
              <w:left w:val="nil"/>
              <w:bottom w:val="nil"/>
              <w:right w:val="single" w:sz="4" w:space="0" w:color="auto"/>
            </w:tcBorders>
            <w:shd w:val="clear" w:color="auto" w:fill="auto"/>
            <w:vAlign w:val="center"/>
          </w:tcPr>
          <w:p w14:paraId="17B4034B" w14:textId="77777777" w:rsidR="0039002B" w:rsidRPr="009E40D2" w:rsidRDefault="0039002B" w:rsidP="005B1448">
            <w:pPr>
              <w:ind w:firstLine="709"/>
              <w:jc w:val="center"/>
              <w:rPr>
                <w:color w:val="000000" w:themeColor="text1"/>
              </w:rPr>
            </w:pPr>
            <w:r>
              <w:rPr>
                <w:color w:val="000000" w:themeColor="text1"/>
              </w:rPr>
              <w:t>68,60%</w:t>
            </w:r>
          </w:p>
        </w:tc>
        <w:tc>
          <w:tcPr>
            <w:tcW w:w="2496" w:type="dxa"/>
            <w:gridSpan w:val="2"/>
            <w:tcBorders>
              <w:top w:val="single" w:sz="8" w:space="0" w:color="auto"/>
              <w:left w:val="nil"/>
              <w:bottom w:val="nil"/>
            </w:tcBorders>
            <w:shd w:val="clear" w:color="auto" w:fill="auto"/>
            <w:vAlign w:val="center"/>
          </w:tcPr>
          <w:p w14:paraId="6FEF1881" w14:textId="77777777" w:rsidR="0039002B" w:rsidRPr="009E40D2" w:rsidRDefault="0039002B" w:rsidP="005B1448">
            <w:pPr>
              <w:ind w:firstLine="709"/>
              <w:jc w:val="center"/>
              <w:rPr>
                <w:color w:val="000000" w:themeColor="text1"/>
              </w:rPr>
            </w:pPr>
            <w:r>
              <w:rPr>
                <w:color w:val="000000" w:themeColor="text1"/>
              </w:rPr>
              <w:t>73,84%</w:t>
            </w:r>
          </w:p>
        </w:tc>
      </w:tr>
      <w:tr w:rsidR="0039002B" w:rsidRPr="009E40D2" w14:paraId="7EF7EAA5" w14:textId="77777777" w:rsidTr="005B1448">
        <w:trPr>
          <w:trHeight w:val="300"/>
          <w:jc w:val="center"/>
        </w:trPr>
        <w:tc>
          <w:tcPr>
            <w:tcW w:w="1584" w:type="dxa"/>
            <w:tcBorders>
              <w:top w:val="nil"/>
              <w:left w:val="nil"/>
              <w:bottom w:val="nil"/>
              <w:right w:val="nil"/>
            </w:tcBorders>
            <w:shd w:val="clear" w:color="auto" w:fill="auto"/>
            <w:vAlign w:val="center"/>
            <w:hideMark/>
          </w:tcPr>
          <w:p w14:paraId="0ED8D9CA" w14:textId="77777777" w:rsidR="0039002B" w:rsidRPr="009E40D2" w:rsidRDefault="0039002B" w:rsidP="00D07B67">
            <w:pPr>
              <w:rPr>
                <w:color w:val="000000" w:themeColor="text1"/>
              </w:rPr>
            </w:pPr>
            <w:r w:rsidRPr="009E40D2">
              <w:rPr>
                <w:color w:val="000000" w:themeColor="text1"/>
              </w:rPr>
              <w:t>Estat. F</w:t>
            </w:r>
          </w:p>
        </w:tc>
        <w:tc>
          <w:tcPr>
            <w:tcW w:w="2495" w:type="dxa"/>
            <w:gridSpan w:val="2"/>
            <w:tcBorders>
              <w:top w:val="nil"/>
              <w:left w:val="single" w:sz="4" w:space="0" w:color="auto"/>
              <w:bottom w:val="nil"/>
              <w:right w:val="single" w:sz="4" w:space="0" w:color="000000"/>
            </w:tcBorders>
            <w:shd w:val="clear" w:color="auto" w:fill="auto"/>
            <w:vAlign w:val="center"/>
          </w:tcPr>
          <w:p w14:paraId="3027D760" w14:textId="77777777" w:rsidR="0039002B" w:rsidRPr="009E40D2" w:rsidRDefault="0039002B" w:rsidP="005B1448">
            <w:pPr>
              <w:ind w:firstLine="709"/>
              <w:jc w:val="center"/>
              <w:rPr>
                <w:color w:val="000000" w:themeColor="text1"/>
              </w:rPr>
            </w:pPr>
            <w:r>
              <w:rPr>
                <w:color w:val="000000" w:themeColor="text1"/>
              </w:rPr>
              <w:t>5,43</w:t>
            </w:r>
          </w:p>
        </w:tc>
        <w:tc>
          <w:tcPr>
            <w:tcW w:w="2496" w:type="dxa"/>
            <w:gridSpan w:val="2"/>
            <w:tcBorders>
              <w:top w:val="nil"/>
              <w:left w:val="nil"/>
              <w:bottom w:val="nil"/>
              <w:right w:val="single" w:sz="4" w:space="0" w:color="auto"/>
            </w:tcBorders>
            <w:shd w:val="clear" w:color="auto" w:fill="auto"/>
            <w:vAlign w:val="center"/>
          </w:tcPr>
          <w:p w14:paraId="037E522C" w14:textId="77777777" w:rsidR="0039002B" w:rsidRPr="009E40D2" w:rsidRDefault="0039002B" w:rsidP="005B1448">
            <w:pPr>
              <w:ind w:firstLine="709"/>
              <w:jc w:val="center"/>
              <w:rPr>
                <w:color w:val="000000" w:themeColor="text1"/>
              </w:rPr>
            </w:pPr>
            <w:r>
              <w:rPr>
                <w:color w:val="000000" w:themeColor="text1"/>
              </w:rPr>
              <w:t>139,97</w:t>
            </w:r>
          </w:p>
        </w:tc>
        <w:tc>
          <w:tcPr>
            <w:tcW w:w="2496" w:type="dxa"/>
            <w:gridSpan w:val="2"/>
            <w:tcBorders>
              <w:top w:val="nil"/>
              <w:left w:val="nil"/>
              <w:bottom w:val="nil"/>
            </w:tcBorders>
            <w:shd w:val="clear" w:color="auto" w:fill="auto"/>
            <w:vAlign w:val="center"/>
          </w:tcPr>
          <w:p w14:paraId="202322BA" w14:textId="77777777" w:rsidR="0039002B" w:rsidRPr="009E40D2" w:rsidRDefault="0039002B" w:rsidP="005B1448">
            <w:pPr>
              <w:ind w:firstLine="709"/>
              <w:jc w:val="center"/>
              <w:rPr>
                <w:color w:val="000000" w:themeColor="text1"/>
              </w:rPr>
            </w:pPr>
            <w:r>
              <w:rPr>
                <w:color w:val="000000" w:themeColor="text1"/>
              </w:rPr>
              <w:t>173,26</w:t>
            </w:r>
          </w:p>
        </w:tc>
      </w:tr>
      <w:tr w:rsidR="0039002B" w:rsidRPr="009E40D2" w14:paraId="1EEF7C84" w14:textId="77777777" w:rsidTr="005B1448">
        <w:trPr>
          <w:trHeight w:val="300"/>
          <w:jc w:val="center"/>
        </w:trPr>
        <w:tc>
          <w:tcPr>
            <w:tcW w:w="1584" w:type="dxa"/>
            <w:tcBorders>
              <w:top w:val="nil"/>
              <w:left w:val="nil"/>
              <w:bottom w:val="nil"/>
              <w:right w:val="nil"/>
            </w:tcBorders>
            <w:shd w:val="clear" w:color="auto" w:fill="auto"/>
            <w:vAlign w:val="center"/>
            <w:hideMark/>
          </w:tcPr>
          <w:p w14:paraId="07F1BB2C" w14:textId="77777777" w:rsidR="0039002B" w:rsidRPr="009E40D2" w:rsidRDefault="0039002B" w:rsidP="00D07B67">
            <w:pPr>
              <w:rPr>
                <w:color w:val="000000" w:themeColor="text1"/>
              </w:rPr>
            </w:pPr>
            <w:r w:rsidRPr="009E40D2">
              <w:rPr>
                <w:color w:val="000000" w:themeColor="text1"/>
              </w:rPr>
              <w:t>Prob. F</w:t>
            </w:r>
          </w:p>
        </w:tc>
        <w:tc>
          <w:tcPr>
            <w:tcW w:w="2495" w:type="dxa"/>
            <w:gridSpan w:val="2"/>
            <w:tcBorders>
              <w:top w:val="nil"/>
              <w:left w:val="single" w:sz="4" w:space="0" w:color="auto"/>
              <w:bottom w:val="nil"/>
              <w:right w:val="single" w:sz="4" w:space="0" w:color="000000"/>
            </w:tcBorders>
            <w:shd w:val="clear" w:color="auto" w:fill="auto"/>
            <w:vAlign w:val="center"/>
          </w:tcPr>
          <w:p w14:paraId="5FA64AF1" w14:textId="77777777" w:rsidR="0039002B" w:rsidRPr="009E40D2" w:rsidRDefault="0039002B" w:rsidP="005B1448">
            <w:pPr>
              <w:ind w:firstLine="709"/>
              <w:jc w:val="center"/>
              <w:rPr>
                <w:color w:val="000000" w:themeColor="text1"/>
              </w:rPr>
            </w:pPr>
            <w:r>
              <w:rPr>
                <w:color w:val="000000" w:themeColor="text1"/>
              </w:rPr>
              <w:t>0,00</w:t>
            </w:r>
          </w:p>
        </w:tc>
        <w:tc>
          <w:tcPr>
            <w:tcW w:w="2496" w:type="dxa"/>
            <w:gridSpan w:val="2"/>
            <w:tcBorders>
              <w:top w:val="nil"/>
              <w:left w:val="nil"/>
              <w:bottom w:val="nil"/>
              <w:right w:val="single" w:sz="4" w:space="0" w:color="auto"/>
            </w:tcBorders>
            <w:shd w:val="clear" w:color="auto" w:fill="auto"/>
            <w:vAlign w:val="center"/>
          </w:tcPr>
          <w:p w14:paraId="0995F617" w14:textId="77777777" w:rsidR="0039002B" w:rsidRPr="009E40D2" w:rsidRDefault="0039002B" w:rsidP="005B1448">
            <w:pPr>
              <w:ind w:firstLine="709"/>
              <w:jc w:val="center"/>
              <w:rPr>
                <w:color w:val="000000" w:themeColor="text1"/>
              </w:rPr>
            </w:pPr>
            <w:r>
              <w:rPr>
                <w:color w:val="000000" w:themeColor="text1"/>
              </w:rPr>
              <w:t>0,00</w:t>
            </w:r>
          </w:p>
        </w:tc>
        <w:tc>
          <w:tcPr>
            <w:tcW w:w="2496" w:type="dxa"/>
            <w:gridSpan w:val="2"/>
            <w:tcBorders>
              <w:top w:val="nil"/>
              <w:left w:val="nil"/>
              <w:bottom w:val="nil"/>
            </w:tcBorders>
            <w:shd w:val="clear" w:color="auto" w:fill="auto"/>
            <w:vAlign w:val="center"/>
          </w:tcPr>
          <w:p w14:paraId="590E9178" w14:textId="77777777" w:rsidR="0039002B" w:rsidRPr="009E40D2" w:rsidRDefault="0039002B" w:rsidP="005B1448">
            <w:pPr>
              <w:ind w:firstLine="709"/>
              <w:jc w:val="center"/>
              <w:rPr>
                <w:color w:val="000000" w:themeColor="text1"/>
              </w:rPr>
            </w:pPr>
            <w:r>
              <w:rPr>
                <w:color w:val="000000" w:themeColor="text1"/>
              </w:rPr>
              <w:t>0,00</w:t>
            </w:r>
          </w:p>
        </w:tc>
      </w:tr>
      <w:tr w:rsidR="0039002B" w:rsidRPr="009E40D2" w14:paraId="63C49428" w14:textId="77777777" w:rsidTr="005B1448">
        <w:trPr>
          <w:trHeight w:val="300"/>
          <w:jc w:val="center"/>
        </w:trPr>
        <w:tc>
          <w:tcPr>
            <w:tcW w:w="1584" w:type="dxa"/>
            <w:tcBorders>
              <w:top w:val="nil"/>
              <w:left w:val="nil"/>
              <w:bottom w:val="nil"/>
              <w:right w:val="nil"/>
            </w:tcBorders>
            <w:shd w:val="clear" w:color="auto" w:fill="auto"/>
            <w:vAlign w:val="center"/>
            <w:hideMark/>
          </w:tcPr>
          <w:p w14:paraId="64889836" w14:textId="77777777" w:rsidR="0039002B" w:rsidRPr="009E40D2" w:rsidRDefault="0039002B" w:rsidP="00D07B67">
            <w:pPr>
              <w:rPr>
                <w:color w:val="000000" w:themeColor="text1"/>
              </w:rPr>
            </w:pPr>
            <w:r w:rsidRPr="009E40D2">
              <w:rPr>
                <w:color w:val="000000" w:themeColor="text1"/>
              </w:rPr>
              <w:t>Nº Obs.</w:t>
            </w:r>
          </w:p>
        </w:tc>
        <w:tc>
          <w:tcPr>
            <w:tcW w:w="2495" w:type="dxa"/>
            <w:gridSpan w:val="2"/>
            <w:tcBorders>
              <w:top w:val="nil"/>
              <w:left w:val="single" w:sz="4" w:space="0" w:color="auto"/>
              <w:bottom w:val="nil"/>
              <w:right w:val="single" w:sz="4" w:space="0" w:color="000000"/>
            </w:tcBorders>
            <w:shd w:val="clear" w:color="auto" w:fill="auto"/>
            <w:vAlign w:val="center"/>
          </w:tcPr>
          <w:p w14:paraId="67443BA9" w14:textId="77777777" w:rsidR="0039002B" w:rsidRPr="009E40D2" w:rsidRDefault="0039002B" w:rsidP="005B1448">
            <w:pPr>
              <w:ind w:firstLine="709"/>
              <w:jc w:val="center"/>
              <w:rPr>
                <w:color w:val="000000" w:themeColor="text1"/>
              </w:rPr>
            </w:pPr>
            <w:r>
              <w:rPr>
                <w:color w:val="000000" w:themeColor="text1"/>
              </w:rPr>
              <w:t>492</w:t>
            </w:r>
          </w:p>
        </w:tc>
        <w:tc>
          <w:tcPr>
            <w:tcW w:w="2496" w:type="dxa"/>
            <w:gridSpan w:val="2"/>
            <w:tcBorders>
              <w:top w:val="nil"/>
              <w:left w:val="nil"/>
              <w:bottom w:val="nil"/>
              <w:right w:val="single" w:sz="4" w:space="0" w:color="auto"/>
            </w:tcBorders>
            <w:shd w:val="clear" w:color="auto" w:fill="auto"/>
            <w:vAlign w:val="center"/>
          </w:tcPr>
          <w:p w14:paraId="3FB1BFC0" w14:textId="77777777" w:rsidR="0039002B" w:rsidRPr="009E40D2" w:rsidRDefault="0039002B" w:rsidP="005B1448">
            <w:pPr>
              <w:ind w:firstLine="709"/>
              <w:jc w:val="center"/>
              <w:rPr>
                <w:color w:val="000000" w:themeColor="text1"/>
              </w:rPr>
            </w:pPr>
            <w:r>
              <w:rPr>
                <w:color w:val="000000" w:themeColor="text1"/>
              </w:rPr>
              <w:t>492</w:t>
            </w:r>
          </w:p>
        </w:tc>
        <w:tc>
          <w:tcPr>
            <w:tcW w:w="2496" w:type="dxa"/>
            <w:gridSpan w:val="2"/>
            <w:tcBorders>
              <w:top w:val="nil"/>
              <w:left w:val="nil"/>
              <w:bottom w:val="nil"/>
            </w:tcBorders>
            <w:shd w:val="clear" w:color="auto" w:fill="auto"/>
            <w:vAlign w:val="center"/>
          </w:tcPr>
          <w:p w14:paraId="2115FE2C" w14:textId="77777777" w:rsidR="0039002B" w:rsidRPr="009E40D2" w:rsidRDefault="0039002B" w:rsidP="005B1448">
            <w:pPr>
              <w:ind w:firstLine="709"/>
              <w:jc w:val="center"/>
              <w:rPr>
                <w:color w:val="000000" w:themeColor="text1"/>
              </w:rPr>
            </w:pPr>
            <w:r>
              <w:rPr>
                <w:color w:val="000000" w:themeColor="text1"/>
              </w:rPr>
              <w:t>492</w:t>
            </w:r>
          </w:p>
        </w:tc>
      </w:tr>
      <w:tr w:rsidR="0039002B" w:rsidRPr="009E40D2" w14:paraId="17BEAFE2" w14:textId="77777777" w:rsidTr="005B1448">
        <w:trPr>
          <w:trHeight w:val="315"/>
          <w:jc w:val="center"/>
        </w:trPr>
        <w:tc>
          <w:tcPr>
            <w:tcW w:w="1584" w:type="dxa"/>
            <w:tcBorders>
              <w:top w:val="nil"/>
              <w:left w:val="nil"/>
              <w:bottom w:val="single" w:sz="8" w:space="0" w:color="auto"/>
              <w:right w:val="nil"/>
            </w:tcBorders>
            <w:shd w:val="clear" w:color="auto" w:fill="auto"/>
            <w:vAlign w:val="center"/>
            <w:hideMark/>
          </w:tcPr>
          <w:p w14:paraId="0774A8E3" w14:textId="77777777" w:rsidR="0039002B" w:rsidRPr="009E40D2" w:rsidRDefault="0039002B" w:rsidP="00D07B67">
            <w:pPr>
              <w:rPr>
                <w:color w:val="000000" w:themeColor="text1"/>
              </w:rPr>
            </w:pPr>
            <w:r w:rsidRPr="009E40D2">
              <w:rPr>
                <w:color w:val="000000" w:themeColor="text1"/>
              </w:rPr>
              <w:t>VIF médio</w:t>
            </w:r>
          </w:p>
        </w:tc>
        <w:tc>
          <w:tcPr>
            <w:tcW w:w="2495" w:type="dxa"/>
            <w:gridSpan w:val="2"/>
            <w:tcBorders>
              <w:top w:val="nil"/>
              <w:left w:val="single" w:sz="4" w:space="0" w:color="auto"/>
              <w:bottom w:val="single" w:sz="8" w:space="0" w:color="auto"/>
              <w:right w:val="single" w:sz="4" w:space="0" w:color="000000"/>
            </w:tcBorders>
            <w:shd w:val="clear" w:color="auto" w:fill="auto"/>
            <w:vAlign w:val="center"/>
          </w:tcPr>
          <w:p w14:paraId="217FC497" w14:textId="77777777" w:rsidR="0039002B" w:rsidRPr="009E40D2" w:rsidRDefault="0039002B" w:rsidP="005B1448">
            <w:pPr>
              <w:ind w:firstLine="709"/>
              <w:jc w:val="center"/>
              <w:rPr>
                <w:color w:val="000000" w:themeColor="text1"/>
              </w:rPr>
            </w:pPr>
            <w:r>
              <w:rPr>
                <w:color w:val="000000" w:themeColor="text1"/>
              </w:rPr>
              <w:t>1,28</w:t>
            </w:r>
          </w:p>
        </w:tc>
        <w:tc>
          <w:tcPr>
            <w:tcW w:w="2496" w:type="dxa"/>
            <w:gridSpan w:val="2"/>
            <w:tcBorders>
              <w:top w:val="nil"/>
              <w:left w:val="nil"/>
              <w:bottom w:val="single" w:sz="8" w:space="0" w:color="auto"/>
              <w:right w:val="single" w:sz="4" w:space="0" w:color="auto"/>
            </w:tcBorders>
            <w:shd w:val="clear" w:color="auto" w:fill="auto"/>
            <w:vAlign w:val="center"/>
          </w:tcPr>
          <w:p w14:paraId="3DA58A34" w14:textId="77777777" w:rsidR="0039002B" w:rsidRPr="009E40D2" w:rsidRDefault="0039002B" w:rsidP="005B1448">
            <w:pPr>
              <w:ind w:firstLine="709"/>
              <w:jc w:val="center"/>
              <w:rPr>
                <w:color w:val="000000" w:themeColor="text1"/>
              </w:rPr>
            </w:pPr>
            <w:r>
              <w:rPr>
                <w:color w:val="000000" w:themeColor="text1"/>
              </w:rPr>
              <w:t>1,28</w:t>
            </w:r>
          </w:p>
        </w:tc>
        <w:tc>
          <w:tcPr>
            <w:tcW w:w="2496" w:type="dxa"/>
            <w:gridSpan w:val="2"/>
            <w:tcBorders>
              <w:top w:val="nil"/>
              <w:left w:val="nil"/>
              <w:bottom w:val="single" w:sz="8" w:space="0" w:color="auto"/>
              <w:right w:val="nil"/>
            </w:tcBorders>
            <w:shd w:val="clear" w:color="auto" w:fill="auto"/>
            <w:vAlign w:val="center"/>
          </w:tcPr>
          <w:p w14:paraId="12B3D352" w14:textId="77777777" w:rsidR="0039002B" w:rsidRPr="009E40D2" w:rsidRDefault="0039002B" w:rsidP="005B1448">
            <w:pPr>
              <w:ind w:firstLine="709"/>
              <w:jc w:val="center"/>
              <w:rPr>
                <w:color w:val="000000" w:themeColor="text1"/>
              </w:rPr>
            </w:pPr>
            <w:r>
              <w:rPr>
                <w:color w:val="000000" w:themeColor="text1"/>
              </w:rPr>
              <w:t>1,28</w:t>
            </w:r>
          </w:p>
        </w:tc>
      </w:tr>
    </w:tbl>
    <w:p w14:paraId="096E2255" w14:textId="2FD33106" w:rsidR="0039002B" w:rsidRPr="007C5EBD" w:rsidRDefault="00630F69" w:rsidP="0039002B">
      <w:pPr>
        <w:autoSpaceDE w:val="0"/>
        <w:autoSpaceDN w:val="0"/>
        <w:adjustRightInd w:val="0"/>
        <w:jc w:val="both"/>
        <w:rPr>
          <w:color w:val="000000" w:themeColor="text1"/>
          <w:szCs w:val="24"/>
        </w:rPr>
      </w:pPr>
      <w:r>
        <w:rPr>
          <w:color w:val="000000" w:themeColor="text1"/>
          <w:szCs w:val="24"/>
        </w:rPr>
        <w:t>Nota: *, ** e *** indicam significância estatística a 10%, 5% e 1%, respectivamente.</w:t>
      </w:r>
      <w:r w:rsidR="0039002B">
        <w:rPr>
          <w:color w:val="000000" w:themeColor="text1"/>
          <w:szCs w:val="24"/>
        </w:rPr>
        <w:t xml:space="preserve"> </w:t>
      </w:r>
    </w:p>
    <w:p w14:paraId="6127D751" w14:textId="6D173EE4" w:rsidR="0039002B" w:rsidRPr="007C5EBD" w:rsidRDefault="0039002B" w:rsidP="0039002B">
      <w:pPr>
        <w:tabs>
          <w:tab w:val="left" w:pos="5147"/>
        </w:tabs>
        <w:autoSpaceDE w:val="0"/>
        <w:autoSpaceDN w:val="0"/>
        <w:adjustRightInd w:val="0"/>
        <w:ind w:firstLine="709"/>
        <w:jc w:val="both"/>
        <w:rPr>
          <w:color w:val="000000" w:themeColor="text1"/>
          <w:sz w:val="24"/>
          <w:szCs w:val="24"/>
        </w:rPr>
      </w:pPr>
      <w:r w:rsidRPr="007C5EBD">
        <w:rPr>
          <w:color w:val="000000" w:themeColor="text1"/>
          <w:sz w:val="24"/>
          <w:szCs w:val="24"/>
        </w:rPr>
        <w:t>Por meio da tabela 5</w:t>
      </w:r>
      <w:r w:rsidR="00630F69">
        <w:rPr>
          <w:color w:val="000000" w:themeColor="text1"/>
          <w:sz w:val="24"/>
          <w:szCs w:val="24"/>
        </w:rPr>
        <w:t>,</w:t>
      </w:r>
      <w:r w:rsidRPr="007C5EBD">
        <w:rPr>
          <w:color w:val="000000" w:themeColor="text1"/>
          <w:sz w:val="24"/>
          <w:szCs w:val="24"/>
        </w:rPr>
        <w:t xml:space="preserve"> pode-se perceber que a</w:t>
      </w:r>
      <w:r>
        <w:rPr>
          <w:color w:val="000000" w:themeColor="text1"/>
          <w:sz w:val="24"/>
          <w:szCs w:val="24"/>
        </w:rPr>
        <w:t>s</w:t>
      </w:r>
      <w:r w:rsidRPr="007C5EBD">
        <w:rPr>
          <w:color w:val="000000" w:themeColor="text1"/>
          <w:sz w:val="24"/>
          <w:szCs w:val="24"/>
        </w:rPr>
        <w:t xml:space="preserve"> </w:t>
      </w:r>
      <w:r>
        <w:rPr>
          <w:color w:val="000000" w:themeColor="text1"/>
          <w:sz w:val="24"/>
          <w:szCs w:val="24"/>
        </w:rPr>
        <w:t xml:space="preserve">variáveis </w:t>
      </w:r>
      <w:r w:rsidRPr="007C5EBD">
        <w:rPr>
          <w:color w:val="000000" w:themeColor="text1"/>
          <w:sz w:val="24"/>
          <w:szCs w:val="24"/>
        </w:rPr>
        <w:t>D</w:t>
      </w:r>
      <w:r>
        <w:rPr>
          <w:color w:val="000000" w:themeColor="text1"/>
          <w:sz w:val="24"/>
          <w:szCs w:val="24"/>
        </w:rPr>
        <w:t>_ANO</w:t>
      </w:r>
      <w:r w:rsidRPr="007C5EBD">
        <w:rPr>
          <w:color w:val="000000" w:themeColor="text1"/>
          <w:sz w:val="24"/>
          <w:szCs w:val="24"/>
        </w:rPr>
        <w:t>1</w:t>
      </w:r>
      <w:r>
        <w:rPr>
          <w:color w:val="000000" w:themeColor="text1"/>
          <w:sz w:val="24"/>
          <w:szCs w:val="24"/>
        </w:rPr>
        <w:t>0 e D_ANO1</w:t>
      </w:r>
      <w:r w:rsidRPr="007C5EBD">
        <w:rPr>
          <w:color w:val="000000" w:themeColor="text1"/>
          <w:sz w:val="24"/>
          <w:szCs w:val="24"/>
        </w:rPr>
        <w:t>5</w:t>
      </w:r>
      <w:r>
        <w:rPr>
          <w:color w:val="000000" w:themeColor="text1"/>
          <w:sz w:val="24"/>
          <w:szCs w:val="24"/>
        </w:rPr>
        <w:t xml:space="preserve">, apresentaram </w:t>
      </w:r>
      <w:r w:rsidRPr="007C5EBD">
        <w:rPr>
          <w:color w:val="000000" w:themeColor="text1"/>
          <w:sz w:val="24"/>
          <w:szCs w:val="24"/>
        </w:rPr>
        <w:t>significância estatística ao nível de 1% em todos os três modelos. Tal resultado corrobora o anteriormente exposto de que há diferença entre as métricas de legibilidade nos períodos analisados</w:t>
      </w:r>
      <w:r>
        <w:rPr>
          <w:color w:val="000000" w:themeColor="text1"/>
          <w:sz w:val="24"/>
          <w:szCs w:val="24"/>
        </w:rPr>
        <w:t xml:space="preserve"> e o coeficiente maior para o ano de 2010 indica seu maior impacto</w:t>
      </w:r>
      <w:r w:rsidRPr="007C5EBD">
        <w:rPr>
          <w:color w:val="000000" w:themeColor="text1"/>
          <w:sz w:val="24"/>
          <w:szCs w:val="24"/>
        </w:rPr>
        <w:t>. O sinal negativo para o modelo 1 indica que houve um acréscimo de dificuldade na leitura das notas explicativas no</w:t>
      </w:r>
      <w:r>
        <w:rPr>
          <w:color w:val="000000" w:themeColor="text1"/>
          <w:sz w:val="24"/>
          <w:szCs w:val="24"/>
        </w:rPr>
        <w:t>s</w:t>
      </w:r>
      <w:r w:rsidRPr="007C5EBD">
        <w:rPr>
          <w:color w:val="000000" w:themeColor="text1"/>
          <w:sz w:val="24"/>
          <w:szCs w:val="24"/>
        </w:rPr>
        <w:t xml:space="preserve"> </w:t>
      </w:r>
      <w:r>
        <w:rPr>
          <w:color w:val="000000" w:themeColor="text1"/>
          <w:sz w:val="24"/>
          <w:szCs w:val="24"/>
        </w:rPr>
        <w:t>anos</w:t>
      </w:r>
      <w:r w:rsidRPr="007C5EBD">
        <w:rPr>
          <w:color w:val="000000" w:themeColor="text1"/>
          <w:sz w:val="24"/>
          <w:szCs w:val="24"/>
        </w:rPr>
        <w:t xml:space="preserve"> de </w:t>
      </w:r>
      <w:r>
        <w:rPr>
          <w:color w:val="000000" w:themeColor="text1"/>
          <w:sz w:val="24"/>
          <w:szCs w:val="24"/>
        </w:rPr>
        <w:t xml:space="preserve">2010 e </w:t>
      </w:r>
      <w:r w:rsidRPr="007C5EBD">
        <w:rPr>
          <w:color w:val="000000" w:themeColor="text1"/>
          <w:sz w:val="24"/>
          <w:szCs w:val="24"/>
        </w:rPr>
        <w:t xml:space="preserve">2015. E os sinais positivos da variável para os modelos 2 e 3 indicam que os relatórios em </w:t>
      </w:r>
      <w:r>
        <w:rPr>
          <w:color w:val="000000" w:themeColor="text1"/>
          <w:sz w:val="24"/>
          <w:szCs w:val="24"/>
        </w:rPr>
        <w:t xml:space="preserve">2010 e </w:t>
      </w:r>
      <w:r w:rsidRPr="007C5EBD">
        <w:rPr>
          <w:color w:val="000000" w:themeColor="text1"/>
          <w:sz w:val="24"/>
          <w:szCs w:val="24"/>
        </w:rPr>
        <w:t>201</w:t>
      </w:r>
      <w:r>
        <w:rPr>
          <w:color w:val="000000" w:themeColor="text1"/>
          <w:sz w:val="24"/>
          <w:szCs w:val="24"/>
        </w:rPr>
        <w:t xml:space="preserve">5 passam a ter maiores tamanhos, implicando em maior dificuldade de leitura. </w:t>
      </w:r>
    </w:p>
    <w:p w14:paraId="507C205B" w14:textId="7ED5DE24" w:rsidR="0039002B" w:rsidRPr="007C5EBD" w:rsidRDefault="0039002B" w:rsidP="0039002B">
      <w:pPr>
        <w:tabs>
          <w:tab w:val="left" w:pos="5147"/>
        </w:tabs>
        <w:autoSpaceDE w:val="0"/>
        <w:autoSpaceDN w:val="0"/>
        <w:adjustRightInd w:val="0"/>
        <w:ind w:firstLine="709"/>
        <w:jc w:val="both"/>
        <w:rPr>
          <w:color w:val="000000" w:themeColor="text1"/>
          <w:sz w:val="24"/>
          <w:szCs w:val="24"/>
        </w:rPr>
      </w:pPr>
      <w:r w:rsidRPr="007C5EBD">
        <w:rPr>
          <w:color w:val="000000" w:themeColor="text1"/>
          <w:sz w:val="24"/>
          <w:szCs w:val="24"/>
        </w:rPr>
        <w:lastRenderedPageBreak/>
        <w:t>A variável tamanho apresentou significância estatística, ao nível de 1%, nos três modelos apresentados, corroborando com a tese de que empresas maiores possuem relatórios mais complexos e elaborados</w:t>
      </w:r>
      <w:r>
        <w:rPr>
          <w:color w:val="000000" w:themeColor="text1"/>
          <w:sz w:val="24"/>
          <w:szCs w:val="24"/>
        </w:rPr>
        <w:t>,</w:t>
      </w:r>
      <w:r w:rsidRPr="007C5EBD">
        <w:rPr>
          <w:color w:val="000000" w:themeColor="text1"/>
          <w:sz w:val="24"/>
          <w:szCs w:val="24"/>
        </w:rPr>
        <w:t xml:space="preserve"> conforme preconizado por Li (2008). O sinal negativo para o modelo 1 indica que quanto maior for a empresa menor será a legibilidade de suas NEs. Já o sinal positivo da variável para os modelos 2 e 3 indicam que quanto maiores as empresas, maior será o volume produzido de relatório e</w:t>
      </w:r>
      <w:r w:rsidR="00630F69">
        <w:rPr>
          <w:color w:val="000000" w:themeColor="text1"/>
          <w:sz w:val="24"/>
          <w:szCs w:val="24"/>
        </w:rPr>
        <w:t>,</w:t>
      </w:r>
      <w:r w:rsidRPr="007C5EBD">
        <w:rPr>
          <w:color w:val="000000" w:themeColor="text1"/>
          <w:sz w:val="24"/>
          <w:szCs w:val="24"/>
        </w:rPr>
        <w:t xml:space="preserve"> assim sendo, um relatório maior tende a ser menos legível. </w:t>
      </w:r>
      <w:r w:rsidR="00630F69">
        <w:rPr>
          <w:color w:val="000000" w:themeColor="text1"/>
          <w:sz w:val="24"/>
          <w:szCs w:val="24"/>
        </w:rPr>
        <w:t>Com isso,</w:t>
      </w:r>
      <w:r>
        <w:rPr>
          <w:color w:val="000000" w:themeColor="text1"/>
          <w:sz w:val="24"/>
          <w:szCs w:val="24"/>
        </w:rPr>
        <w:t xml:space="preserve"> a hipótese H3 não é rejeitada. </w:t>
      </w:r>
    </w:p>
    <w:p w14:paraId="44F22C68" w14:textId="76F372A3" w:rsidR="0039002B" w:rsidRPr="007C5EBD" w:rsidRDefault="0039002B" w:rsidP="0039002B">
      <w:pPr>
        <w:autoSpaceDE w:val="0"/>
        <w:autoSpaceDN w:val="0"/>
        <w:adjustRightInd w:val="0"/>
        <w:ind w:firstLine="709"/>
        <w:jc w:val="both"/>
        <w:rPr>
          <w:color w:val="000000" w:themeColor="text1"/>
          <w:sz w:val="24"/>
          <w:szCs w:val="24"/>
        </w:rPr>
      </w:pPr>
      <w:r>
        <w:rPr>
          <w:color w:val="000000" w:themeColor="text1"/>
          <w:sz w:val="24"/>
          <w:szCs w:val="24"/>
        </w:rPr>
        <w:t>O desempenho avaliado pelo</w:t>
      </w:r>
      <w:r w:rsidRPr="007C5EBD">
        <w:rPr>
          <w:color w:val="000000" w:themeColor="text1"/>
          <w:sz w:val="24"/>
          <w:szCs w:val="24"/>
        </w:rPr>
        <w:t xml:space="preserve"> ROA apresentou significância estatística para os</w:t>
      </w:r>
      <w:r>
        <w:rPr>
          <w:color w:val="000000" w:themeColor="text1"/>
          <w:sz w:val="24"/>
          <w:szCs w:val="24"/>
        </w:rPr>
        <w:t xml:space="preserve"> 3</w:t>
      </w:r>
      <w:r w:rsidRPr="007C5EBD">
        <w:rPr>
          <w:color w:val="000000" w:themeColor="text1"/>
          <w:sz w:val="24"/>
          <w:szCs w:val="24"/>
        </w:rPr>
        <w:t xml:space="preserve"> modelos</w:t>
      </w:r>
      <w:r>
        <w:rPr>
          <w:color w:val="000000" w:themeColor="text1"/>
          <w:sz w:val="24"/>
          <w:szCs w:val="24"/>
        </w:rPr>
        <w:t xml:space="preserve">, ao nível de significância de 1%. No modelo 1 o sinal positivo indica que quanto melhor o desempenho melhor a legibilidade do relatório. Já o sinal negativo nos modelos 2 e 3 </w:t>
      </w:r>
      <w:r w:rsidRPr="007C5EBD">
        <w:rPr>
          <w:color w:val="000000" w:themeColor="text1"/>
          <w:sz w:val="24"/>
          <w:szCs w:val="24"/>
        </w:rPr>
        <w:t>indica que quanto melhor o desempenho m</w:t>
      </w:r>
      <w:r>
        <w:rPr>
          <w:color w:val="000000" w:themeColor="text1"/>
          <w:sz w:val="24"/>
          <w:szCs w:val="24"/>
        </w:rPr>
        <w:t>aior</w:t>
      </w:r>
      <w:r w:rsidRPr="007C5EBD">
        <w:rPr>
          <w:color w:val="000000" w:themeColor="text1"/>
          <w:sz w:val="24"/>
          <w:szCs w:val="24"/>
        </w:rPr>
        <w:t xml:space="preserve"> a legibilidade por meio de relatórios </w:t>
      </w:r>
      <w:r>
        <w:rPr>
          <w:color w:val="000000" w:themeColor="text1"/>
          <w:sz w:val="24"/>
          <w:szCs w:val="24"/>
        </w:rPr>
        <w:t>menores</w:t>
      </w:r>
      <w:r w:rsidRPr="007C5EBD">
        <w:rPr>
          <w:color w:val="000000" w:themeColor="text1"/>
          <w:sz w:val="24"/>
          <w:szCs w:val="24"/>
        </w:rPr>
        <w:t>.</w:t>
      </w:r>
      <w:r>
        <w:rPr>
          <w:color w:val="000000" w:themeColor="text1"/>
          <w:sz w:val="24"/>
          <w:szCs w:val="24"/>
        </w:rPr>
        <w:t xml:space="preserve"> </w:t>
      </w:r>
      <w:r w:rsidRPr="007C5EBD">
        <w:rPr>
          <w:color w:val="000000" w:themeColor="text1"/>
          <w:sz w:val="24"/>
          <w:szCs w:val="24"/>
        </w:rPr>
        <w:t xml:space="preserve">As variáveis variação de lucro líquido e </w:t>
      </w:r>
      <w:r w:rsidRPr="007C5EBD">
        <w:rPr>
          <w:i/>
          <w:color w:val="000000" w:themeColor="text1"/>
          <w:sz w:val="24"/>
          <w:szCs w:val="24"/>
        </w:rPr>
        <w:t>dummy</w:t>
      </w:r>
      <w:r w:rsidRPr="007C5EBD">
        <w:rPr>
          <w:color w:val="000000" w:themeColor="text1"/>
          <w:sz w:val="24"/>
          <w:szCs w:val="24"/>
        </w:rPr>
        <w:t xml:space="preserve"> indicativa de lucro e prejuízo não apresentaram significância estatística, não </w:t>
      </w:r>
      <w:r w:rsidR="00630F69">
        <w:rPr>
          <w:color w:val="000000" w:themeColor="text1"/>
          <w:sz w:val="24"/>
          <w:szCs w:val="24"/>
        </w:rPr>
        <w:t>sendo</w:t>
      </w:r>
      <w:r w:rsidRPr="007C5EBD">
        <w:rPr>
          <w:color w:val="000000" w:themeColor="text1"/>
          <w:sz w:val="24"/>
          <w:szCs w:val="24"/>
        </w:rPr>
        <w:t xml:space="preserve"> possível inferir acerca da influência do resultado do período nas métricas de legibilidade das empresas. </w:t>
      </w:r>
      <w:r>
        <w:rPr>
          <w:color w:val="000000" w:themeColor="text1"/>
          <w:sz w:val="24"/>
          <w:szCs w:val="24"/>
        </w:rPr>
        <w:t xml:space="preserve">Embora o desempenho seja medido por mais de uma variável, os resultados obtidos permitem inferir, que ao menos o retorno dos ativos é um determinante de legibilidade das NEs e a hipótese H4 não pode ser rejeitada. </w:t>
      </w:r>
    </w:p>
    <w:p w14:paraId="199E7A75" w14:textId="307A805A"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Em relação ao risco</w:t>
      </w:r>
      <w:r>
        <w:rPr>
          <w:color w:val="000000" w:themeColor="text1"/>
          <w:sz w:val="24"/>
          <w:szCs w:val="24"/>
        </w:rPr>
        <w:t>,</w:t>
      </w:r>
      <w:r w:rsidRPr="007C5EBD">
        <w:rPr>
          <w:color w:val="000000" w:themeColor="text1"/>
          <w:sz w:val="24"/>
          <w:szCs w:val="24"/>
        </w:rPr>
        <w:t xml:space="preserve"> medido por meio do endividamento, pode-se perceber que a variável possui significância estatística </w:t>
      </w:r>
      <w:r>
        <w:rPr>
          <w:color w:val="000000" w:themeColor="text1"/>
          <w:sz w:val="24"/>
          <w:szCs w:val="24"/>
        </w:rPr>
        <w:t xml:space="preserve">apenas </w:t>
      </w:r>
      <w:r w:rsidRPr="007C5EBD">
        <w:rPr>
          <w:color w:val="000000" w:themeColor="text1"/>
          <w:sz w:val="24"/>
          <w:szCs w:val="24"/>
        </w:rPr>
        <w:t xml:space="preserve">modelo 3, sendo o sinal </w:t>
      </w:r>
      <w:r>
        <w:rPr>
          <w:color w:val="000000" w:themeColor="text1"/>
          <w:sz w:val="24"/>
          <w:szCs w:val="24"/>
        </w:rPr>
        <w:t>negativo</w:t>
      </w:r>
      <w:r w:rsidRPr="007C5EBD">
        <w:rPr>
          <w:color w:val="000000" w:themeColor="text1"/>
          <w:sz w:val="24"/>
          <w:szCs w:val="24"/>
        </w:rPr>
        <w:t xml:space="preserve">, indicando que empresas mais endividadas tendem a ter relatórios </w:t>
      </w:r>
      <w:r>
        <w:rPr>
          <w:color w:val="000000" w:themeColor="text1"/>
          <w:sz w:val="24"/>
          <w:szCs w:val="24"/>
        </w:rPr>
        <w:t xml:space="preserve">menos </w:t>
      </w:r>
      <w:r w:rsidRPr="007C5EBD">
        <w:rPr>
          <w:color w:val="000000" w:themeColor="text1"/>
          <w:sz w:val="24"/>
          <w:szCs w:val="24"/>
        </w:rPr>
        <w:t>completos e extensos,</w:t>
      </w:r>
      <w:r>
        <w:rPr>
          <w:color w:val="000000" w:themeColor="text1"/>
          <w:sz w:val="24"/>
          <w:szCs w:val="24"/>
        </w:rPr>
        <w:t xml:space="preserve"> não</w:t>
      </w:r>
      <w:r w:rsidRPr="007C5EBD">
        <w:rPr>
          <w:color w:val="000000" w:themeColor="text1"/>
          <w:sz w:val="24"/>
          <w:szCs w:val="24"/>
        </w:rPr>
        <w:t xml:space="preserve"> suportando a hipótese de risco de litigio e receio de restrição de crédito </w:t>
      </w:r>
      <w:r>
        <w:rPr>
          <w:color w:val="000000" w:themeColor="text1"/>
          <w:sz w:val="24"/>
          <w:szCs w:val="24"/>
        </w:rPr>
        <w:t xml:space="preserve">conforme sugerido por Solomon, et al (2000). No entanto, este resultado se alinha ao de </w:t>
      </w:r>
      <w:r w:rsidRPr="007C5EBD">
        <w:rPr>
          <w:bCs/>
          <w:color w:val="000000" w:themeColor="text1"/>
          <w:sz w:val="24"/>
          <w:szCs w:val="24"/>
        </w:rPr>
        <w:t>Rutherford (2003),</w:t>
      </w:r>
      <w:r>
        <w:rPr>
          <w:bCs/>
          <w:color w:val="000000" w:themeColor="text1"/>
          <w:sz w:val="24"/>
          <w:szCs w:val="24"/>
        </w:rPr>
        <w:t xml:space="preserve"> que também não encontra fortes evidências de associação entre risco e legibilidade, </w:t>
      </w:r>
      <w:r w:rsidR="00376211">
        <w:rPr>
          <w:bCs/>
          <w:color w:val="000000" w:themeColor="text1"/>
          <w:sz w:val="24"/>
          <w:szCs w:val="24"/>
        </w:rPr>
        <w:t>levando-se a rejeição d</w:t>
      </w:r>
      <w:r>
        <w:rPr>
          <w:bCs/>
          <w:color w:val="000000" w:themeColor="text1"/>
          <w:sz w:val="24"/>
          <w:szCs w:val="24"/>
        </w:rPr>
        <w:t xml:space="preserve">a hipótese H5. </w:t>
      </w:r>
    </w:p>
    <w:p w14:paraId="2D52D5B9" w14:textId="5A8A3572" w:rsidR="00A15C0A" w:rsidRDefault="0039002B" w:rsidP="00A15C0A">
      <w:pPr>
        <w:autoSpaceDE w:val="0"/>
        <w:autoSpaceDN w:val="0"/>
        <w:adjustRightInd w:val="0"/>
        <w:ind w:firstLine="709"/>
        <w:jc w:val="both"/>
        <w:rPr>
          <w:color w:val="000000" w:themeColor="text1"/>
          <w:sz w:val="24"/>
          <w:szCs w:val="24"/>
        </w:rPr>
      </w:pPr>
      <w:r w:rsidRPr="007C5EBD">
        <w:rPr>
          <w:color w:val="000000" w:themeColor="text1"/>
          <w:sz w:val="24"/>
          <w:szCs w:val="24"/>
        </w:rPr>
        <w:t>Por fim</w:t>
      </w:r>
      <w:r>
        <w:rPr>
          <w:color w:val="000000" w:themeColor="text1"/>
          <w:sz w:val="24"/>
          <w:szCs w:val="24"/>
        </w:rPr>
        <w:t>,</w:t>
      </w:r>
      <w:r w:rsidRPr="007C5EBD">
        <w:rPr>
          <w:color w:val="000000" w:themeColor="text1"/>
          <w:sz w:val="24"/>
          <w:szCs w:val="24"/>
        </w:rPr>
        <w:t xml:space="preserve"> a variável liquidez </w:t>
      </w:r>
      <w:r>
        <w:rPr>
          <w:color w:val="000000" w:themeColor="text1"/>
          <w:sz w:val="24"/>
          <w:szCs w:val="24"/>
        </w:rPr>
        <w:t xml:space="preserve">não </w:t>
      </w:r>
      <w:r w:rsidRPr="007C5EBD">
        <w:rPr>
          <w:color w:val="000000" w:themeColor="text1"/>
          <w:sz w:val="24"/>
          <w:szCs w:val="24"/>
        </w:rPr>
        <w:t xml:space="preserve">apresentou significância estatística nos </w:t>
      </w:r>
      <w:r>
        <w:rPr>
          <w:color w:val="000000" w:themeColor="text1"/>
          <w:sz w:val="24"/>
          <w:szCs w:val="24"/>
        </w:rPr>
        <w:t>3</w:t>
      </w:r>
      <w:r w:rsidRPr="007C5EBD">
        <w:rPr>
          <w:color w:val="000000" w:themeColor="text1"/>
          <w:sz w:val="24"/>
          <w:szCs w:val="24"/>
        </w:rPr>
        <w:t xml:space="preserve"> modelos propostos,</w:t>
      </w:r>
      <w:r>
        <w:rPr>
          <w:color w:val="000000" w:themeColor="text1"/>
          <w:sz w:val="24"/>
          <w:szCs w:val="24"/>
        </w:rPr>
        <w:t xml:space="preserve"> não sendo possível inferir sobre a relação entre legibilidade e liquidez de mercado, </w:t>
      </w:r>
      <w:r w:rsidR="00376211">
        <w:rPr>
          <w:color w:val="000000" w:themeColor="text1"/>
          <w:sz w:val="24"/>
          <w:szCs w:val="24"/>
        </w:rPr>
        <w:t>sendo</w:t>
      </w:r>
      <w:r>
        <w:rPr>
          <w:color w:val="000000" w:themeColor="text1"/>
          <w:sz w:val="24"/>
          <w:szCs w:val="24"/>
        </w:rPr>
        <w:t xml:space="preserve"> a hipótese H6 rejeitada. </w:t>
      </w:r>
    </w:p>
    <w:p w14:paraId="661EE910" w14:textId="1090C53D" w:rsidR="00A15C0A" w:rsidRDefault="00A15C0A" w:rsidP="00A15C0A">
      <w:pPr>
        <w:autoSpaceDE w:val="0"/>
        <w:autoSpaceDN w:val="0"/>
        <w:adjustRightInd w:val="0"/>
        <w:ind w:firstLine="709"/>
        <w:jc w:val="both"/>
        <w:rPr>
          <w:color w:val="000000" w:themeColor="text1"/>
          <w:sz w:val="24"/>
          <w:szCs w:val="24"/>
        </w:rPr>
      </w:pPr>
      <w:r>
        <w:rPr>
          <w:color w:val="000000" w:themeColor="text1"/>
          <w:sz w:val="24"/>
          <w:szCs w:val="24"/>
        </w:rPr>
        <w:t xml:space="preserve">Como há possibilidade de existirem diferenças entre os setores, como por exemplo o de energia elétrica, que possuem regulação além da própria CVM, realizou-se as análises dos modelos anteriores com a inserção de </w:t>
      </w:r>
      <w:r w:rsidRPr="00977F4F">
        <w:rPr>
          <w:i/>
          <w:color w:val="000000" w:themeColor="text1"/>
          <w:sz w:val="24"/>
          <w:szCs w:val="24"/>
        </w:rPr>
        <w:t>dummies</w:t>
      </w:r>
      <w:r>
        <w:rPr>
          <w:color w:val="000000" w:themeColor="text1"/>
          <w:sz w:val="24"/>
          <w:szCs w:val="24"/>
        </w:rPr>
        <w:t xml:space="preserve"> para o controle por setor, a fim de eliminar possíveis impactos decorrentes dos mesmos. </w:t>
      </w:r>
      <w:r w:rsidRPr="007C5EBD">
        <w:rPr>
          <w:color w:val="000000" w:themeColor="text1"/>
          <w:sz w:val="24"/>
          <w:szCs w:val="24"/>
        </w:rPr>
        <w:t xml:space="preserve">As estatísticas do modelos e variáveis estão expressas na tabela </w:t>
      </w:r>
      <w:r>
        <w:rPr>
          <w:color w:val="000000" w:themeColor="text1"/>
          <w:sz w:val="24"/>
          <w:szCs w:val="24"/>
        </w:rPr>
        <w:t>6</w:t>
      </w:r>
      <w:r w:rsidRPr="007C5EBD">
        <w:rPr>
          <w:color w:val="000000" w:themeColor="text1"/>
          <w:sz w:val="24"/>
          <w:szCs w:val="24"/>
        </w:rPr>
        <w:t xml:space="preserve">. </w:t>
      </w:r>
      <w:r>
        <w:rPr>
          <w:color w:val="000000" w:themeColor="text1"/>
          <w:sz w:val="24"/>
          <w:szCs w:val="24"/>
        </w:rPr>
        <w:t xml:space="preserve">Com exceção do resultado para a variável risco, que deixou de ser estatisticamente significativa no modelo 3, os demais resultados obtidos por meio da análise com a inclusão dos setores permaneceram inalterados. </w:t>
      </w:r>
    </w:p>
    <w:p w14:paraId="0442DE6D" w14:textId="1CEB65F1" w:rsidR="00376211" w:rsidRDefault="00A15C0A" w:rsidP="00A15C0A">
      <w:pPr>
        <w:tabs>
          <w:tab w:val="left" w:pos="5147"/>
        </w:tabs>
        <w:autoSpaceDE w:val="0"/>
        <w:autoSpaceDN w:val="0"/>
        <w:adjustRightInd w:val="0"/>
        <w:ind w:firstLine="709"/>
        <w:jc w:val="both"/>
        <w:rPr>
          <w:color w:val="000000" w:themeColor="text1"/>
          <w:sz w:val="24"/>
          <w:szCs w:val="24"/>
        </w:rPr>
      </w:pPr>
      <w:r w:rsidRPr="007C5EBD">
        <w:rPr>
          <w:color w:val="000000" w:themeColor="text1"/>
          <w:sz w:val="24"/>
          <w:szCs w:val="24"/>
        </w:rPr>
        <w:t>Em relação aos setores</w:t>
      </w:r>
      <w:r w:rsidR="00376211">
        <w:rPr>
          <w:color w:val="000000" w:themeColor="text1"/>
          <w:sz w:val="24"/>
          <w:szCs w:val="24"/>
        </w:rPr>
        <w:t>,</w:t>
      </w:r>
      <w:r w:rsidRPr="007C5EBD">
        <w:rPr>
          <w:color w:val="000000" w:themeColor="text1"/>
          <w:sz w:val="24"/>
          <w:szCs w:val="24"/>
        </w:rPr>
        <w:t xml:space="preserve"> pode-se perceber que </w:t>
      </w:r>
      <w:r w:rsidR="00376211">
        <w:rPr>
          <w:color w:val="000000" w:themeColor="text1"/>
          <w:sz w:val="24"/>
          <w:szCs w:val="24"/>
        </w:rPr>
        <w:t>su</w:t>
      </w:r>
      <w:r w:rsidRPr="007C5EBD">
        <w:rPr>
          <w:color w:val="000000" w:themeColor="text1"/>
          <w:sz w:val="24"/>
          <w:szCs w:val="24"/>
        </w:rPr>
        <w:t>as particularidades tornam, em geral, as N</w:t>
      </w:r>
      <w:r>
        <w:rPr>
          <w:color w:val="000000" w:themeColor="text1"/>
          <w:sz w:val="24"/>
          <w:szCs w:val="24"/>
        </w:rPr>
        <w:t xml:space="preserve">Es mais difíceis de serem lidas, </w:t>
      </w:r>
      <w:r w:rsidRPr="007C5EBD">
        <w:rPr>
          <w:color w:val="000000" w:themeColor="text1"/>
          <w:sz w:val="24"/>
          <w:szCs w:val="24"/>
        </w:rPr>
        <w:t xml:space="preserve">sendo que os setores que apresentaram significância estatística, </w:t>
      </w:r>
      <w:r>
        <w:rPr>
          <w:color w:val="000000" w:themeColor="text1"/>
          <w:sz w:val="24"/>
          <w:szCs w:val="24"/>
        </w:rPr>
        <w:t>em geral</w:t>
      </w:r>
      <w:r w:rsidR="00376211">
        <w:rPr>
          <w:color w:val="000000" w:themeColor="text1"/>
          <w:sz w:val="24"/>
          <w:szCs w:val="24"/>
        </w:rPr>
        <w:t>,</w:t>
      </w:r>
      <w:r>
        <w:rPr>
          <w:color w:val="000000" w:themeColor="text1"/>
          <w:sz w:val="24"/>
          <w:szCs w:val="24"/>
        </w:rPr>
        <w:t xml:space="preserve"> </w:t>
      </w:r>
      <w:r w:rsidRPr="007C5EBD">
        <w:rPr>
          <w:color w:val="000000" w:themeColor="text1"/>
          <w:sz w:val="24"/>
          <w:szCs w:val="24"/>
        </w:rPr>
        <w:t>possuíam coeficientes com sinal negativos</w:t>
      </w:r>
      <w:r>
        <w:rPr>
          <w:color w:val="000000" w:themeColor="text1"/>
          <w:sz w:val="24"/>
          <w:szCs w:val="24"/>
        </w:rPr>
        <w:t xml:space="preserve"> para a métrica FLF e sinais positivos para as métricas LNPAG e LNPAL, com ênfase para o setor de energia elétrica que é o segundo setor mais representativo da amostra (17% das observações) permanecendo atrás apenas do setor outros (20%). </w:t>
      </w:r>
    </w:p>
    <w:p w14:paraId="4ADFF0F0" w14:textId="7A9453EA" w:rsidR="00A15C0A" w:rsidRDefault="00A15C0A" w:rsidP="00A15C0A">
      <w:pPr>
        <w:tabs>
          <w:tab w:val="left" w:pos="5147"/>
        </w:tabs>
        <w:autoSpaceDE w:val="0"/>
        <w:autoSpaceDN w:val="0"/>
        <w:adjustRightInd w:val="0"/>
        <w:ind w:firstLine="709"/>
        <w:jc w:val="both"/>
        <w:rPr>
          <w:bCs/>
          <w:color w:val="000000" w:themeColor="text1"/>
          <w:sz w:val="24"/>
          <w:szCs w:val="24"/>
        </w:rPr>
      </w:pPr>
      <w:r w:rsidRPr="007C5EBD">
        <w:rPr>
          <w:color w:val="000000" w:themeColor="text1"/>
          <w:sz w:val="24"/>
          <w:szCs w:val="24"/>
        </w:rPr>
        <w:t>Como não foram realizadas análises qualitativas dos textos</w:t>
      </w:r>
      <w:r>
        <w:rPr>
          <w:color w:val="000000" w:themeColor="text1"/>
          <w:sz w:val="24"/>
          <w:szCs w:val="24"/>
        </w:rPr>
        <w:t>,</w:t>
      </w:r>
      <w:r w:rsidRPr="007C5EBD">
        <w:rPr>
          <w:color w:val="000000" w:themeColor="text1"/>
          <w:sz w:val="24"/>
          <w:szCs w:val="24"/>
        </w:rPr>
        <w:t xml:space="preserve"> ainda </w:t>
      </w:r>
      <w:r w:rsidR="00376211">
        <w:rPr>
          <w:color w:val="000000" w:themeColor="text1"/>
          <w:sz w:val="24"/>
          <w:szCs w:val="24"/>
        </w:rPr>
        <w:t>são necessárias pesquisas para</w:t>
      </w:r>
      <w:r w:rsidRPr="007C5EBD">
        <w:rPr>
          <w:color w:val="000000" w:themeColor="text1"/>
          <w:sz w:val="24"/>
          <w:szCs w:val="24"/>
        </w:rPr>
        <w:t xml:space="preserve"> investiga</w:t>
      </w:r>
      <w:r>
        <w:rPr>
          <w:color w:val="000000" w:themeColor="text1"/>
          <w:sz w:val="24"/>
          <w:szCs w:val="24"/>
        </w:rPr>
        <w:t xml:space="preserve">r </w:t>
      </w:r>
      <w:r w:rsidRPr="007C5EBD">
        <w:rPr>
          <w:color w:val="000000" w:themeColor="text1"/>
          <w:sz w:val="24"/>
          <w:szCs w:val="24"/>
        </w:rPr>
        <w:t>os motivos para as diferenças de legibilidade considerando os setores, mas dentre as possibilidades de hipóteses se encontram a complexidade de determinados ramos de negócio, a regulação de determinados setores</w:t>
      </w:r>
      <w:r w:rsidR="00376211">
        <w:rPr>
          <w:color w:val="000000" w:themeColor="text1"/>
          <w:sz w:val="24"/>
          <w:szCs w:val="24"/>
        </w:rPr>
        <w:t xml:space="preserve"> e</w:t>
      </w:r>
      <w:r w:rsidRPr="007C5EBD">
        <w:rPr>
          <w:color w:val="000000" w:themeColor="text1"/>
          <w:sz w:val="24"/>
          <w:szCs w:val="24"/>
        </w:rPr>
        <w:t xml:space="preserve"> o possível </w:t>
      </w:r>
      <w:r w:rsidRPr="007C5EBD">
        <w:rPr>
          <w:bCs/>
          <w:i/>
          <w:color w:val="000000" w:themeColor="text1"/>
          <w:sz w:val="24"/>
          <w:szCs w:val="24"/>
        </w:rPr>
        <w:t>benchmarking</w:t>
      </w:r>
      <w:r w:rsidRPr="007C5EBD">
        <w:rPr>
          <w:bCs/>
          <w:color w:val="000000" w:themeColor="text1"/>
          <w:sz w:val="24"/>
          <w:szCs w:val="24"/>
        </w:rPr>
        <w:t xml:space="preserve"> das NEs entre as empresas. </w:t>
      </w:r>
    </w:p>
    <w:p w14:paraId="4C922444" w14:textId="77777777" w:rsidR="00A15C0A" w:rsidRDefault="00A15C0A" w:rsidP="00A15C0A">
      <w:pPr>
        <w:tabs>
          <w:tab w:val="left" w:pos="5147"/>
        </w:tabs>
        <w:autoSpaceDE w:val="0"/>
        <w:autoSpaceDN w:val="0"/>
        <w:adjustRightInd w:val="0"/>
        <w:ind w:firstLine="709"/>
        <w:jc w:val="both"/>
        <w:rPr>
          <w:bCs/>
          <w:color w:val="000000" w:themeColor="text1"/>
          <w:sz w:val="24"/>
          <w:szCs w:val="24"/>
        </w:rPr>
      </w:pPr>
    </w:p>
    <w:p w14:paraId="356887B9" w14:textId="77777777" w:rsidR="006F12C1" w:rsidRDefault="006F12C1" w:rsidP="00A15C0A">
      <w:pPr>
        <w:tabs>
          <w:tab w:val="left" w:pos="5147"/>
        </w:tabs>
        <w:autoSpaceDE w:val="0"/>
        <w:autoSpaceDN w:val="0"/>
        <w:adjustRightInd w:val="0"/>
        <w:ind w:firstLine="709"/>
        <w:jc w:val="both"/>
        <w:rPr>
          <w:bCs/>
          <w:color w:val="000000" w:themeColor="text1"/>
          <w:sz w:val="24"/>
          <w:szCs w:val="24"/>
        </w:rPr>
      </w:pPr>
    </w:p>
    <w:p w14:paraId="59E23765" w14:textId="77777777" w:rsidR="008A18FE" w:rsidRDefault="008A18FE" w:rsidP="00A15C0A">
      <w:pPr>
        <w:tabs>
          <w:tab w:val="left" w:pos="5147"/>
        </w:tabs>
        <w:autoSpaceDE w:val="0"/>
        <w:autoSpaceDN w:val="0"/>
        <w:adjustRightInd w:val="0"/>
        <w:ind w:firstLine="709"/>
        <w:jc w:val="both"/>
        <w:rPr>
          <w:bCs/>
          <w:color w:val="000000" w:themeColor="text1"/>
          <w:sz w:val="24"/>
          <w:szCs w:val="24"/>
        </w:rPr>
      </w:pPr>
    </w:p>
    <w:p w14:paraId="7F367B72" w14:textId="77777777" w:rsidR="002A34B3" w:rsidRDefault="002A34B3" w:rsidP="00A15C0A">
      <w:pPr>
        <w:tabs>
          <w:tab w:val="left" w:pos="5147"/>
        </w:tabs>
        <w:autoSpaceDE w:val="0"/>
        <w:autoSpaceDN w:val="0"/>
        <w:adjustRightInd w:val="0"/>
        <w:ind w:firstLine="709"/>
        <w:jc w:val="both"/>
        <w:rPr>
          <w:bCs/>
          <w:color w:val="000000" w:themeColor="text1"/>
          <w:sz w:val="24"/>
          <w:szCs w:val="24"/>
        </w:rPr>
      </w:pPr>
    </w:p>
    <w:p w14:paraId="194ECCC9" w14:textId="77777777" w:rsidR="007A3189" w:rsidRDefault="007A3189" w:rsidP="00A15C0A">
      <w:pPr>
        <w:tabs>
          <w:tab w:val="left" w:pos="5147"/>
        </w:tabs>
        <w:autoSpaceDE w:val="0"/>
        <w:autoSpaceDN w:val="0"/>
        <w:adjustRightInd w:val="0"/>
        <w:ind w:firstLine="709"/>
        <w:jc w:val="both"/>
        <w:rPr>
          <w:bCs/>
          <w:color w:val="000000" w:themeColor="text1"/>
          <w:sz w:val="24"/>
          <w:szCs w:val="24"/>
        </w:rPr>
      </w:pPr>
    </w:p>
    <w:p w14:paraId="4C584CA0" w14:textId="77777777" w:rsidR="002A34B3" w:rsidRDefault="002A34B3" w:rsidP="0039002B">
      <w:pPr>
        <w:tabs>
          <w:tab w:val="left" w:pos="5147"/>
        </w:tabs>
        <w:autoSpaceDE w:val="0"/>
        <w:autoSpaceDN w:val="0"/>
        <w:adjustRightInd w:val="0"/>
        <w:jc w:val="center"/>
        <w:rPr>
          <w:color w:val="000000" w:themeColor="text1"/>
        </w:rPr>
      </w:pPr>
    </w:p>
    <w:p w14:paraId="5E7E8491" w14:textId="61D93214" w:rsidR="0039002B" w:rsidRPr="007404E0" w:rsidRDefault="0039002B" w:rsidP="0039002B">
      <w:pPr>
        <w:tabs>
          <w:tab w:val="left" w:pos="5147"/>
        </w:tabs>
        <w:autoSpaceDE w:val="0"/>
        <w:autoSpaceDN w:val="0"/>
        <w:adjustRightInd w:val="0"/>
        <w:jc w:val="center"/>
        <w:rPr>
          <w:color w:val="000000" w:themeColor="text1"/>
        </w:rPr>
      </w:pPr>
      <w:r>
        <w:rPr>
          <w:color w:val="000000" w:themeColor="text1"/>
        </w:rPr>
        <w:lastRenderedPageBreak/>
        <w:t xml:space="preserve">Tabela </w:t>
      </w:r>
      <w:r w:rsidR="0044177A">
        <w:rPr>
          <w:color w:val="000000" w:themeColor="text1"/>
        </w:rPr>
        <w:t>6</w:t>
      </w:r>
      <w:r w:rsidRPr="007C5EBD">
        <w:rPr>
          <w:color w:val="000000" w:themeColor="text1"/>
        </w:rPr>
        <w:t>: Resultados regressão múltipla determinantes de legibilidade</w:t>
      </w:r>
      <w:r>
        <w:rPr>
          <w:color w:val="000000" w:themeColor="text1"/>
        </w:rPr>
        <w:t xml:space="preserve"> controle por setor</w:t>
      </w:r>
      <w:r w:rsidRPr="007C5EBD">
        <w:rPr>
          <w:color w:val="000000" w:themeColor="text1"/>
        </w:rPr>
        <w:t xml:space="preserve"> </w:t>
      </w:r>
      <w:r w:rsidRPr="007404E0">
        <w:rPr>
          <w:color w:val="000000" w:themeColor="text1"/>
        </w:rPr>
        <w:fldChar w:fldCharType="begin"/>
      </w:r>
      <w:r w:rsidRPr="007404E0">
        <w:rPr>
          <w:color w:val="000000" w:themeColor="text1"/>
        </w:rPr>
        <w:instrText xml:space="preserve"> LINK Excel.Sheet.12 "D:\\DOUTORADO UFRJ\\TEORIA AVANÇADA EM CONTABILIDADE\\PROJETO DE ARTIGO TAC\\ESTATISTICAS DESCRITIVAS VARIAVEIS OMITIDAS.xlsx" "Y = flf!L15C2:L34C8" \a \f 4 \h  \* MERGEFORMAT </w:instrText>
      </w:r>
      <w:r w:rsidRPr="007404E0">
        <w:rPr>
          <w:color w:val="000000" w:themeColor="text1"/>
        </w:rPr>
        <w:fldChar w:fldCharType="separate"/>
      </w:r>
    </w:p>
    <w:tbl>
      <w:tblPr>
        <w:tblW w:w="9071" w:type="dxa"/>
        <w:jc w:val="center"/>
        <w:tblCellMar>
          <w:left w:w="70" w:type="dxa"/>
          <w:right w:w="70" w:type="dxa"/>
        </w:tblCellMar>
        <w:tblLook w:val="04A0" w:firstRow="1" w:lastRow="0" w:firstColumn="1" w:lastColumn="0" w:noHBand="0" w:noVBand="1"/>
      </w:tblPr>
      <w:tblGrid>
        <w:gridCol w:w="1600"/>
        <w:gridCol w:w="1260"/>
        <w:gridCol w:w="1171"/>
        <w:gridCol w:w="1349"/>
        <w:gridCol w:w="1171"/>
        <w:gridCol w:w="1349"/>
        <w:gridCol w:w="1171"/>
      </w:tblGrid>
      <w:tr w:rsidR="0039002B" w:rsidRPr="007404E0" w14:paraId="3265A898" w14:textId="77777777" w:rsidTr="005B1448">
        <w:trPr>
          <w:trHeight w:val="315"/>
          <w:jc w:val="center"/>
        </w:trPr>
        <w:tc>
          <w:tcPr>
            <w:tcW w:w="9071" w:type="dxa"/>
            <w:gridSpan w:val="7"/>
            <w:tcBorders>
              <w:top w:val="single" w:sz="8" w:space="0" w:color="auto"/>
              <w:left w:val="nil"/>
              <w:bottom w:val="single" w:sz="8" w:space="0" w:color="auto"/>
              <w:right w:val="nil"/>
            </w:tcBorders>
            <w:shd w:val="clear" w:color="auto" w:fill="auto"/>
            <w:vAlign w:val="center"/>
            <w:hideMark/>
          </w:tcPr>
          <w:p w14:paraId="36B0A98F" w14:textId="77777777" w:rsidR="0039002B" w:rsidRPr="007404E0" w:rsidRDefault="0039002B" w:rsidP="005B1448">
            <w:pPr>
              <w:jc w:val="center"/>
              <w:rPr>
                <w:color w:val="000000" w:themeColor="text1"/>
              </w:rPr>
            </w:pPr>
            <w:r w:rsidRPr="007404E0">
              <w:rPr>
                <w:color w:val="000000" w:themeColor="text1"/>
              </w:rPr>
              <w:t>Variável Dependente – medidas de legibilidade</w:t>
            </w:r>
          </w:p>
        </w:tc>
      </w:tr>
      <w:tr w:rsidR="0039002B" w:rsidRPr="007404E0" w14:paraId="35892F99" w14:textId="77777777" w:rsidTr="005B1448">
        <w:trPr>
          <w:trHeight w:val="315"/>
          <w:jc w:val="center"/>
        </w:trPr>
        <w:tc>
          <w:tcPr>
            <w:tcW w:w="9071" w:type="dxa"/>
            <w:gridSpan w:val="7"/>
            <w:tcBorders>
              <w:top w:val="single" w:sz="8" w:space="0" w:color="auto"/>
              <w:left w:val="nil"/>
              <w:bottom w:val="single" w:sz="8" w:space="0" w:color="auto"/>
              <w:right w:val="nil"/>
            </w:tcBorders>
            <w:shd w:val="clear" w:color="auto" w:fill="auto"/>
            <w:vAlign w:val="center"/>
          </w:tcPr>
          <w:p w14:paraId="01019A4D" w14:textId="77777777" w:rsidR="0039002B" w:rsidRPr="007404E0" w:rsidRDefault="00A40C61" w:rsidP="005B1448">
            <w:pPr>
              <w:jc w:val="center"/>
              <w:rPr>
                <w:color w:val="000000" w:themeColor="text1"/>
              </w:rPr>
            </w:pPr>
            <m:oMathPara>
              <m:oMathParaPr>
                <m:jc m:val="center"/>
              </m:oMathParaPr>
              <m:oMath>
                <m:sSub>
                  <m:sSubPr>
                    <m:ctrlPr>
                      <w:rPr>
                        <w:rFonts w:ascii="Cambria Math" w:hAnsi="Cambria Math"/>
                        <w:i/>
                        <w:color w:val="000000" w:themeColor="text1"/>
                      </w:rPr>
                    </m:ctrlPr>
                  </m:sSubPr>
                  <m:e>
                    <m:r>
                      <m:rPr>
                        <m:sty m:val="p"/>
                      </m:rPr>
                      <w:rPr>
                        <w:rFonts w:ascii="Cambria Math" w:hAnsi="Cambria Math"/>
                        <w:color w:val="000000" w:themeColor="text1"/>
                      </w:rPr>
                      <m:t>Y</m:t>
                    </m:r>
                  </m:e>
                  <m:sub>
                    <m:r>
                      <m:rPr>
                        <m:sty m:val="p"/>
                      </m:rPr>
                      <w:rPr>
                        <w:rFonts w:ascii="Cambria Math" w:hAnsi="Cambria Math"/>
                        <w:color w:val="000000" w:themeColor="text1"/>
                      </w:rPr>
                      <m:t>i,t</m:t>
                    </m:r>
                  </m:sub>
                </m:sSub>
                <m:r>
                  <m:rPr>
                    <m:sty m:val="p"/>
                  </m:rPr>
                  <w:rPr>
                    <w:rFonts w:ascii="Cambria Math" w:hAnsi="Cambria Math"/>
                    <w:color w:val="000000" w:themeColor="text1"/>
                  </w:rPr>
                  <m:t xml:space="preserve">= </m:t>
                </m:r>
                <m:sSub>
                  <m:sSubPr>
                    <m:ctrlPr>
                      <w:rPr>
                        <w:rFonts w:ascii="Cambria Math" w:hAnsi="Cambria Math"/>
                        <w:i/>
                        <w:color w:val="000000" w:themeColor="text1"/>
                      </w:rPr>
                    </m:ctrlPr>
                  </m:sSubPr>
                  <m:e>
                    <m:r>
                      <m:rPr>
                        <m:sty m:val="p"/>
                      </m:rPr>
                      <w:rPr>
                        <w:rFonts w:ascii="Cambria Math" w:hAnsi="Cambria Math"/>
                        <w:color w:val="000000" w:themeColor="text1"/>
                      </w:rPr>
                      <m:t>β</m:t>
                    </m:r>
                  </m:e>
                  <m:sub>
                    <m:r>
                      <m:rPr>
                        <m:sty m:val="p"/>
                      </m:rPr>
                      <w:rPr>
                        <w:rFonts w:ascii="Cambria Math" w:hAnsi="Cambria Math"/>
                        <w:color w:val="000000" w:themeColor="text1"/>
                      </w:rPr>
                      <m:t>0</m:t>
                    </m:r>
                  </m:sub>
                </m:sSub>
                <m:r>
                  <m:rPr>
                    <m:sty m:val="p"/>
                  </m:rPr>
                  <w:rPr>
                    <w:rFonts w:ascii="Cambria Math" w:hAnsi="Cambria Math"/>
                    <w:color w:val="000000" w:themeColor="text1"/>
                  </w:rPr>
                  <m:t xml:space="preserve">+ </m:t>
                </m:r>
                <m:sSub>
                  <m:sSubPr>
                    <m:ctrlPr>
                      <w:rPr>
                        <w:rFonts w:ascii="Cambria Math" w:hAnsi="Cambria Math"/>
                        <w:i/>
                        <w:color w:val="000000" w:themeColor="text1"/>
                      </w:rPr>
                    </m:ctrlPr>
                  </m:sSubPr>
                  <m:e>
                    <m:r>
                      <m:rPr>
                        <m:sty m:val="p"/>
                      </m:rPr>
                      <w:rPr>
                        <w:rFonts w:ascii="Cambria Math" w:hAnsi="Cambria Math"/>
                        <w:color w:val="000000" w:themeColor="text1"/>
                      </w:rPr>
                      <m:t>β</m:t>
                    </m:r>
                  </m:e>
                  <m:sub>
                    <m:r>
                      <m:rPr>
                        <m:sty m:val="p"/>
                      </m:rPr>
                      <w:rPr>
                        <w:rFonts w:ascii="Cambria Math" w:hAnsi="Cambria Math"/>
                        <w:color w:val="000000" w:themeColor="text1"/>
                      </w:rPr>
                      <m:t>1</m:t>
                    </m:r>
                  </m:sub>
                </m:sSub>
                <m:sSub>
                  <m:sSubPr>
                    <m:ctrlPr>
                      <w:rPr>
                        <w:rFonts w:ascii="Cambria Math" w:hAnsi="Cambria Math"/>
                        <w:i/>
                        <w:color w:val="000000" w:themeColor="text1"/>
                      </w:rPr>
                    </m:ctrlPr>
                  </m:sSubPr>
                  <m:e>
                    <m:r>
                      <m:rPr>
                        <m:sty m:val="p"/>
                      </m:rPr>
                      <w:rPr>
                        <w:rFonts w:ascii="Cambria Math" w:hAnsi="Cambria Math"/>
                        <w:color w:val="000000" w:themeColor="text1"/>
                      </w:rPr>
                      <m:t>TAM</m:t>
                    </m:r>
                  </m:e>
                  <m:sub>
                    <m:r>
                      <m:rPr>
                        <m:sty m:val="p"/>
                      </m:rPr>
                      <w:rPr>
                        <w:rFonts w:ascii="Cambria Math" w:hAnsi="Cambria Math"/>
                        <w:color w:val="000000" w:themeColor="text1"/>
                      </w:rPr>
                      <m:t>i,t</m:t>
                    </m:r>
                  </m:sub>
                </m:sSub>
                <m:r>
                  <m:rPr>
                    <m:sty m:val="p"/>
                  </m:rPr>
                  <w:rPr>
                    <w:rFonts w:ascii="Cambria Math" w:hAnsi="Cambria Math"/>
                    <w:color w:val="000000" w:themeColor="text1"/>
                  </w:rPr>
                  <m:t xml:space="preserve">+  </m:t>
                </m:r>
                <m:sSub>
                  <m:sSubPr>
                    <m:ctrlPr>
                      <w:rPr>
                        <w:rFonts w:ascii="Cambria Math" w:hAnsi="Cambria Math"/>
                        <w:i/>
                        <w:color w:val="000000" w:themeColor="text1"/>
                      </w:rPr>
                    </m:ctrlPr>
                  </m:sSubPr>
                  <m:e>
                    <m:r>
                      <m:rPr>
                        <m:sty m:val="p"/>
                      </m:rPr>
                      <w:rPr>
                        <w:rFonts w:ascii="Cambria Math" w:hAnsi="Cambria Math"/>
                        <w:color w:val="000000" w:themeColor="text1"/>
                      </w:rPr>
                      <m:t>β</m:t>
                    </m:r>
                  </m:e>
                  <m:sub>
                    <m:r>
                      <m:rPr>
                        <m:sty m:val="p"/>
                      </m:rPr>
                      <w:rPr>
                        <w:rFonts w:ascii="Cambria Math" w:hAnsi="Cambria Math"/>
                        <w:color w:val="000000" w:themeColor="text1"/>
                      </w:rPr>
                      <m:t>2</m:t>
                    </m:r>
                  </m:sub>
                </m:sSub>
                <m:sSub>
                  <m:sSubPr>
                    <m:ctrlPr>
                      <w:rPr>
                        <w:rFonts w:ascii="Cambria Math" w:hAnsi="Cambria Math"/>
                        <w:i/>
                        <w:color w:val="000000" w:themeColor="text1"/>
                      </w:rPr>
                    </m:ctrlPr>
                  </m:sSubPr>
                  <m:e>
                    <m:r>
                      <m:rPr>
                        <m:sty m:val="p"/>
                      </m:rPr>
                      <w:rPr>
                        <w:rFonts w:ascii="Cambria Math" w:hAnsi="Cambria Math"/>
                        <w:color w:val="000000" w:themeColor="text1"/>
                      </w:rPr>
                      <m:t>DESEMP</m:t>
                    </m:r>
                  </m:e>
                  <m:sub>
                    <m:r>
                      <m:rPr>
                        <m:sty m:val="p"/>
                      </m:rPr>
                      <w:rPr>
                        <w:rFonts w:ascii="Cambria Math" w:hAnsi="Cambria Math"/>
                        <w:color w:val="000000" w:themeColor="text1"/>
                      </w:rPr>
                      <m:t>j,i,t</m:t>
                    </m:r>
                  </m:sub>
                </m:sSub>
                <m:r>
                  <m:rPr>
                    <m:sty m:val="p"/>
                  </m:rPr>
                  <w:rPr>
                    <w:rFonts w:ascii="Cambria Math" w:hAnsi="Cambria Math"/>
                    <w:color w:val="000000" w:themeColor="text1"/>
                  </w:rPr>
                  <m:t xml:space="preserve">+  </m:t>
                </m:r>
                <m:sSub>
                  <m:sSubPr>
                    <m:ctrlPr>
                      <w:rPr>
                        <w:rFonts w:ascii="Cambria Math" w:hAnsi="Cambria Math"/>
                        <w:i/>
                        <w:color w:val="000000" w:themeColor="text1"/>
                      </w:rPr>
                    </m:ctrlPr>
                  </m:sSubPr>
                  <m:e>
                    <m:r>
                      <m:rPr>
                        <m:sty m:val="p"/>
                      </m:rPr>
                      <w:rPr>
                        <w:rFonts w:ascii="Cambria Math" w:hAnsi="Cambria Math"/>
                        <w:color w:val="000000" w:themeColor="text1"/>
                      </w:rPr>
                      <m:t>β</m:t>
                    </m:r>
                  </m:e>
                  <m:sub>
                    <m:r>
                      <m:rPr>
                        <m:sty m:val="p"/>
                      </m:rPr>
                      <w:rPr>
                        <w:rFonts w:ascii="Cambria Math" w:hAnsi="Cambria Math"/>
                        <w:color w:val="000000" w:themeColor="text1"/>
                      </w:rPr>
                      <m:t>3</m:t>
                    </m:r>
                  </m:sub>
                </m:sSub>
                <m:sSub>
                  <m:sSubPr>
                    <m:ctrlPr>
                      <w:rPr>
                        <w:rFonts w:ascii="Cambria Math" w:hAnsi="Cambria Math"/>
                        <w:i/>
                        <w:color w:val="000000" w:themeColor="text1"/>
                      </w:rPr>
                    </m:ctrlPr>
                  </m:sSubPr>
                  <m:e>
                    <m:r>
                      <m:rPr>
                        <m:sty m:val="p"/>
                      </m:rPr>
                      <w:rPr>
                        <w:rFonts w:ascii="Cambria Math" w:hAnsi="Cambria Math"/>
                        <w:color w:val="000000" w:themeColor="text1"/>
                      </w:rPr>
                      <m:t>RISCO</m:t>
                    </m:r>
                  </m:e>
                  <m:sub>
                    <m:r>
                      <m:rPr>
                        <m:sty m:val="p"/>
                      </m:rPr>
                      <w:rPr>
                        <w:rFonts w:ascii="Cambria Math" w:hAnsi="Cambria Math"/>
                        <w:color w:val="000000" w:themeColor="text1"/>
                      </w:rPr>
                      <m:t>i,t</m:t>
                    </m:r>
                  </m:sub>
                </m:sSub>
                <m:r>
                  <m:rPr>
                    <m:sty m:val="p"/>
                  </m:rPr>
                  <w:rPr>
                    <w:rFonts w:ascii="Cambria Math" w:hAnsi="Cambria Math"/>
                    <w:color w:val="000000" w:themeColor="text1"/>
                  </w:rPr>
                  <m:t xml:space="preserve">+  </m:t>
                </m:r>
                <m:sSub>
                  <m:sSubPr>
                    <m:ctrlPr>
                      <w:rPr>
                        <w:rFonts w:ascii="Cambria Math" w:hAnsi="Cambria Math"/>
                        <w:i/>
                        <w:color w:val="000000" w:themeColor="text1"/>
                      </w:rPr>
                    </m:ctrlPr>
                  </m:sSubPr>
                  <m:e>
                    <m:r>
                      <m:rPr>
                        <m:sty m:val="p"/>
                      </m:rPr>
                      <w:rPr>
                        <w:rFonts w:ascii="Cambria Math" w:hAnsi="Cambria Math"/>
                        <w:color w:val="000000" w:themeColor="text1"/>
                      </w:rPr>
                      <m:t>β</m:t>
                    </m:r>
                  </m:e>
                  <m:sub>
                    <m:r>
                      <m:rPr>
                        <m:sty m:val="p"/>
                      </m:rPr>
                      <w:rPr>
                        <w:rFonts w:ascii="Cambria Math" w:hAnsi="Cambria Math"/>
                        <w:color w:val="000000" w:themeColor="text1"/>
                      </w:rPr>
                      <m:t>4</m:t>
                    </m:r>
                  </m:sub>
                </m:sSub>
                <m:sSub>
                  <m:sSubPr>
                    <m:ctrlPr>
                      <w:rPr>
                        <w:rFonts w:ascii="Cambria Math" w:hAnsi="Cambria Math"/>
                        <w:i/>
                        <w:color w:val="000000" w:themeColor="text1"/>
                      </w:rPr>
                    </m:ctrlPr>
                  </m:sSubPr>
                  <m:e>
                    <m:r>
                      <m:rPr>
                        <m:sty m:val="p"/>
                      </m:rPr>
                      <w:rPr>
                        <w:rFonts w:ascii="Cambria Math" w:hAnsi="Cambria Math"/>
                        <w:color w:val="000000" w:themeColor="text1"/>
                      </w:rPr>
                      <m:t>LIQUI</m:t>
                    </m:r>
                  </m:e>
                  <m:sub>
                    <m:r>
                      <m:rPr>
                        <m:sty m:val="p"/>
                      </m:rPr>
                      <w:rPr>
                        <w:rFonts w:ascii="Cambria Math" w:hAnsi="Cambria Math"/>
                        <w:color w:val="000000" w:themeColor="text1"/>
                      </w:rPr>
                      <m:t>i,t</m:t>
                    </m:r>
                  </m:sub>
                </m:sSub>
                <m:r>
                  <m:rPr>
                    <m:sty m:val="p"/>
                  </m:rPr>
                  <w:rPr>
                    <w:rFonts w:ascii="Cambria Math" w:hAnsi="Cambria Math"/>
                    <w:color w:val="000000" w:themeColor="text1"/>
                  </w:rPr>
                  <m:t xml:space="preserve">+  </m:t>
                </m:r>
                <m:sSub>
                  <m:sSubPr>
                    <m:ctrlPr>
                      <w:rPr>
                        <w:rFonts w:ascii="Cambria Math" w:hAnsi="Cambria Math"/>
                        <w:i/>
                        <w:color w:val="000000" w:themeColor="text1"/>
                      </w:rPr>
                    </m:ctrlPr>
                  </m:sSubPr>
                  <m:e>
                    <m:r>
                      <m:rPr>
                        <m:sty m:val="p"/>
                      </m:rPr>
                      <w:rPr>
                        <w:rFonts w:ascii="Cambria Math" w:hAnsi="Cambria Math"/>
                        <w:color w:val="000000" w:themeColor="text1"/>
                      </w:rPr>
                      <m:t>β</m:t>
                    </m:r>
                  </m:e>
                  <m:sub>
                    <m:r>
                      <m:rPr>
                        <m:sty m:val="p"/>
                      </m:rPr>
                      <w:rPr>
                        <w:rFonts w:ascii="Cambria Math" w:hAnsi="Cambria Math"/>
                        <w:color w:val="000000" w:themeColor="text1"/>
                      </w:rPr>
                      <m:t>5</m:t>
                    </m:r>
                  </m:sub>
                </m:sSub>
                <m:sSub>
                  <m:sSubPr>
                    <m:ctrlPr>
                      <w:rPr>
                        <w:rFonts w:ascii="Cambria Math" w:hAnsi="Cambria Math"/>
                        <w:i/>
                        <w:color w:val="000000" w:themeColor="text1"/>
                      </w:rPr>
                    </m:ctrlPr>
                  </m:sSubPr>
                  <m:e>
                    <m:r>
                      <m:rPr>
                        <m:sty m:val="p"/>
                      </m:rPr>
                      <w:rPr>
                        <w:rFonts w:ascii="Cambria Math" w:hAnsi="Cambria Math"/>
                        <w:color w:val="000000" w:themeColor="text1"/>
                      </w:rPr>
                      <m:t>D_ANO10</m:t>
                    </m:r>
                  </m:e>
                  <m:sub>
                    <m:r>
                      <m:rPr>
                        <m:sty m:val="p"/>
                      </m:rPr>
                      <w:rPr>
                        <w:rFonts w:ascii="Cambria Math" w:hAnsi="Cambria Math"/>
                        <w:color w:val="000000" w:themeColor="text1"/>
                      </w:rPr>
                      <m:t>i,t</m:t>
                    </m:r>
                  </m:sub>
                </m:sSub>
                <m:r>
                  <m:rPr>
                    <m:sty m:val="p"/>
                  </m:rPr>
                  <w:rPr>
                    <w:rFonts w:ascii="Cambria Math" w:hAnsi="Cambria Math"/>
                    <w:color w:val="000000" w:themeColor="text1"/>
                  </w:rPr>
                  <m:t xml:space="preserve">+ </m:t>
                </m:r>
                <m:sSub>
                  <m:sSubPr>
                    <m:ctrlPr>
                      <w:rPr>
                        <w:rFonts w:ascii="Cambria Math" w:hAnsi="Cambria Math"/>
                        <w:i/>
                        <w:color w:val="000000" w:themeColor="text1"/>
                      </w:rPr>
                    </m:ctrlPr>
                  </m:sSubPr>
                  <m:e>
                    <m:r>
                      <m:rPr>
                        <m:sty m:val="p"/>
                      </m:rPr>
                      <w:rPr>
                        <w:rFonts w:ascii="Cambria Math" w:hAnsi="Cambria Math"/>
                        <w:color w:val="000000" w:themeColor="text1"/>
                      </w:rPr>
                      <m:t>β</m:t>
                    </m:r>
                  </m:e>
                  <m:sub>
                    <m:r>
                      <m:rPr>
                        <m:sty m:val="p"/>
                      </m:rPr>
                      <w:rPr>
                        <w:rFonts w:ascii="Cambria Math" w:hAnsi="Cambria Math"/>
                        <w:color w:val="000000" w:themeColor="text1"/>
                      </w:rPr>
                      <m:t>5</m:t>
                    </m:r>
                  </m:sub>
                </m:sSub>
                <m:sSub>
                  <m:sSubPr>
                    <m:ctrlPr>
                      <w:rPr>
                        <w:rFonts w:ascii="Cambria Math" w:hAnsi="Cambria Math"/>
                        <w:i/>
                        <w:color w:val="000000" w:themeColor="text1"/>
                      </w:rPr>
                    </m:ctrlPr>
                  </m:sSubPr>
                  <m:e>
                    <m:r>
                      <m:rPr>
                        <m:sty m:val="p"/>
                      </m:rPr>
                      <w:rPr>
                        <w:rFonts w:ascii="Cambria Math" w:hAnsi="Cambria Math"/>
                        <w:color w:val="000000" w:themeColor="text1"/>
                      </w:rPr>
                      <m:t>D_ANO15</m:t>
                    </m:r>
                  </m:e>
                  <m:sub>
                    <m:r>
                      <m:rPr>
                        <m:sty m:val="p"/>
                      </m:rPr>
                      <w:rPr>
                        <w:rFonts w:ascii="Cambria Math" w:hAnsi="Cambria Math"/>
                        <w:color w:val="000000" w:themeColor="text1"/>
                      </w:rPr>
                      <m:t>i,t</m:t>
                    </m:r>
                  </m:sub>
                </m:sSub>
                <m:r>
                  <m:rPr>
                    <m:sty m:val="p"/>
                  </m:rPr>
                  <w:rPr>
                    <w:rFonts w:ascii="Cambria Math" w:hAnsi="Cambria Math"/>
                    <w:color w:val="000000" w:themeColor="text1"/>
                  </w:rPr>
                  <m:t xml:space="preserve">+ </m:t>
                </m:r>
                <m:nary>
                  <m:naryPr>
                    <m:chr m:val="∑"/>
                    <m:limLoc m:val="undOvr"/>
                    <m:ctrlPr>
                      <w:rPr>
                        <w:rFonts w:ascii="Cambria Math" w:hAnsi="Cambria Math"/>
                        <w:i/>
                        <w:color w:val="000000" w:themeColor="text1"/>
                      </w:rPr>
                    </m:ctrlPr>
                  </m:naryPr>
                  <m:sub>
                    <m:r>
                      <m:rPr>
                        <m:sty m:val="p"/>
                      </m:rPr>
                      <w:rPr>
                        <w:rFonts w:ascii="Cambria Math" w:hAnsi="Cambria Math"/>
                        <w:color w:val="000000" w:themeColor="text1"/>
                      </w:rPr>
                      <m:t>s=2</m:t>
                    </m:r>
                  </m:sub>
                  <m:sup>
                    <m:r>
                      <m:rPr>
                        <m:sty m:val="p"/>
                      </m:rPr>
                      <w:rPr>
                        <w:rFonts w:ascii="Cambria Math" w:hAnsi="Cambria Math"/>
                        <w:color w:val="000000" w:themeColor="text1"/>
                      </w:rPr>
                      <m:t>19</m:t>
                    </m:r>
                  </m:sup>
                  <m:e>
                    <m:sSub>
                      <m:sSubPr>
                        <m:ctrlPr>
                          <w:rPr>
                            <w:rFonts w:ascii="Cambria Math" w:hAnsi="Cambria Math"/>
                            <w:i/>
                            <w:color w:val="000000" w:themeColor="text1"/>
                          </w:rPr>
                        </m:ctrlPr>
                      </m:sSubPr>
                      <m:e>
                        <m:r>
                          <m:rPr>
                            <m:sty m:val="p"/>
                          </m:rPr>
                          <w:rPr>
                            <w:rFonts w:ascii="Cambria Math" w:hAnsi="Cambria Math"/>
                            <w:color w:val="000000" w:themeColor="text1"/>
                          </w:rPr>
                          <m:t>φ</m:t>
                        </m:r>
                      </m:e>
                      <m:sub>
                        <m:r>
                          <m:rPr>
                            <m:sty m:val="p"/>
                          </m:rPr>
                          <w:rPr>
                            <w:rFonts w:ascii="Cambria Math" w:hAnsi="Cambria Math"/>
                            <w:color w:val="000000" w:themeColor="text1"/>
                          </w:rPr>
                          <m:t>s</m:t>
                        </m:r>
                      </m:sub>
                    </m:sSub>
                  </m:e>
                </m:nary>
                <m:sSub>
                  <m:sSubPr>
                    <m:ctrlPr>
                      <w:rPr>
                        <w:rFonts w:ascii="Cambria Math" w:hAnsi="Cambria Math"/>
                        <w:i/>
                        <w:color w:val="000000" w:themeColor="text1"/>
                      </w:rPr>
                    </m:ctrlPr>
                  </m:sSubPr>
                  <m:e>
                    <m:r>
                      <m:rPr>
                        <m:sty m:val="p"/>
                      </m:rPr>
                      <w:rPr>
                        <w:rFonts w:ascii="Cambria Math" w:hAnsi="Cambria Math"/>
                        <w:color w:val="000000" w:themeColor="text1"/>
                      </w:rPr>
                      <m:t>S</m:t>
                    </m:r>
                  </m:e>
                  <m:sub>
                    <m:r>
                      <m:rPr>
                        <m:sty m:val="p"/>
                      </m:rPr>
                      <w:rPr>
                        <w:rFonts w:ascii="Cambria Math" w:hAnsi="Cambria Math"/>
                        <w:color w:val="000000" w:themeColor="text1"/>
                      </w:rPr>
                      <m:t>i,t</m:t>
                    </m:r>
                  </m:sub>
                </m:sSub>
                <m:r>
                  <m:rPr>
                    <m:sty m:val="p"/>
                  </m:rP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ε</m:t>
                    </m:r>
                  </m:e>
                  <m:sub>
                    <m:r>
                      <m:rPr>
                        <m:sty m:val="p"/>
                      </m:rPr>
                      <w:rPr>
                        <w:rFonts w:ascii="Cambria Math" w:hAnsi="Cambria Math"/>
                        <w:color w:val="000000" w:themeColor="text1"/>
                      </w:rPr>
                      <m:t>i,t</m:t>
                    </m:r>
                  </m:sub>
                </m:sSub>
                <m:r>
                  <m:rPr>
                    <m:sty m:val="p"/>
                  </m:rPr>
                  <w:rPr>
                    <w:rFonts w:ascii="Cambria Math" w:hAnsi="Cambria Math"/>
                    <w:color w:val="000000" w:themeColor="text1"/>
                  </w:rPr>
                  <m:t xml:space="preserve">             </m:t>
                </m:r>
              </m:oMath>
            </m:oMathPara>
          </w:p>
        </w:tc>
      </w:tr>
      <w:tr w:rsidR="0039002B" w:rsidRPr="007404E0" w14:paraId="28EC946A" w14:textId="77777777" w:rsidTr="005B1448">
        <w:trPr>
          <w:trHeight w:val="315"/>
          <w:jc w:val="center"/>
        </w:trPr>
        <w:tc>
          <w:tcPr>
            <w:tcW w:w="9071" w:type="dxa"/>
            <w:gridSpan w:val="7"/>
            <w:tcBorders>
              <w:top w:val="single" w:sz="8" w:space="0" w:color="auto"/>
              <w:left w:val="nil"/>
              <w:bottom w:val="single" w:sz="8" w:space="0" w:color="auto"/>
              <w:right w:val="nil"/>
            </w:tcBorders>
            <w:shd w:val="clear" w:color="auto" w:fill="auto"/>
            <w:vAlign w:val="center"/>
            <w:hideMark/>
          </w:tcPr>
          <w:p w14:paraId="6AF3E030" w14:textId="77777777" w:rsidR="0039002B" w:rsidRPr="007404E0" w:rsidRDefault="0039002B" w:rsidP="005B1448">
            <w:pPr>
              <w:rPr>
                <w:color w:val="000000" w:themeColor="text1"/>
              </w:rPr>
            </w:pPr>
            <w:r w:rsidRPr="007404E0">
              <w:rPr>
                <w:color w:val="000000" w:themeColor="text1"/>
              </w:rPr>
              <w:t>Painel A: Estatísticas das Variáveis</w:t>
            </w:r>
          </w:p>
        </w:tc>
      </w:tr>
      <w:tr w:rsidR="0039002B" w:rsidRPr="007404E0" w14:paraId="1395C53F" w14:textId="77777777" w:rsidTr="005B1448">
        <w:trPr>
          <w:trHeight w:val="300"/>
          <w:jc w:val="center"/>
        </w:trPr>
        <w:tc>
          <w:tcPr>
            <w:tcW w:w="1600" w:type="dxa"/>
            <w:vMerge w:val="restart"/>
            <w:tcBorders>
              <w:top w:val="nil"/>
              <w:left w:val="nil"/>
              <w:bottom w:val="single" w:sz="8" w:space="0" w:color="000000"/>
              <w:right w:val="nil"/>
            </w:tcBorders>
            <w:shd w:val="clear" w:color="auto" w:fill="auto"/>
            <w:vAlign w:val="center"/>
            <w:hideMark/>
          </w:tcPr>
          <w:p w14:paraId="17066D78" w14:textId="77777777" w:rsidR="0039002B" w:rsidRPr="007404E0" w:rsidRDefault="0039002B" w:rsidP="005B1448">
            <w:pPr>
              <w:jc w:val="both"/>
              <w:rPr>
                <w:color w:val="000000" w:themeColor="text1"/>
              </w:rPr>
            </w:pPr>
            <w:r w:rsidRPr="007404E0">
              <w:rPr>
                <w:color w:val="000000" w:themeColor="text1"/>
              </w:rPr>
              <w:t> </w:t>
            </w:r>
          </w:p>
        </w:tc>
        <w:tc>
          <w:tcPr>
            <w:tcW w:w="2431" w:type="dxa"/>
            <w:gridSpan w:val="2"/>
            <w:tcBorders>
              <w:top w:val="single" w:sz="8" w:space="0" w:color="auto"/>
              <w:left w:val="single" w:sz="4" w:space="0" w:color="auto"/>
              <w:bottom w:val="nil"/>
              <w:right w:val="single" w:sz="4" w:space="0" w:color="000000"/>
            </w:tcBorders>
            <w:shd w:val="clear" w:color="auto" w:fill="auto"/>
            <w:vAlign w:val="center"/>
            <w:hideMark/>
          </w:tcPr>
          <w:p w14:paraId="6CA24897" w14:textId="5811218B" w:rsidR="0039002B" w:rsidRPr="007404E0" w:rsidRDefault="0039002B" w:rsidP="002A34B3">
            <w:pPr>
              <w:jc w:val="center"/>
              <w:rPr>
                <w:color w:val="000000" w:themeColor="text1"/>
              </w:rPr>
            </w:pPr>
            <w:r w:rsidRPr="007404E0">
              <w:rPr>
                <w:color w:val="000000" w:themeColor="text1"/>
              </w:rPr>
              <w:t>Modelo 1</w:t>
            </w:r>
          </w:p>
        </w:tc>
        <w:tc>
          <w:tcPr>
            <w:tcW w:w="2520" w:type="dxa"/>
            <w:gridSpan w:val="2"/>
            <w:tcBorders>
              <w:top w:val="single" w:sz="8" w:space="0" w:color="auto"/>
              <w:left w:val="nil"/>
              <w:bottom w:val="nil"/>
              <w:right w:val="single" w:sz="4" w:space="0" w:color="000000"/>
            </w:tcBorders>
            <w:shd w:val="clear" w:color="auto" w:fill="auto"/>
            <w:vAlign w:val="center"/>
            <w:hideMark/>
          </w:tcPr>
          <w:p w14:paraId="28C7CB4F" w14:textId="158CD31C" w:rsidR="0039002B" w:rsidRPr="007404E0" w:rsidRDefault="0039002B" w:rsidP="002A34B3">
            <w:pPr>
              <w:jc w:val="center"/>
              <w:rPr>
                <w:color w:val="000000" w:themeColor="text1"/>
              </w:rPr>
            </w:pPr>
            <w:r w:rsidRPr="007404E0">
              <w:rPr>
                <w:color w:val="000000" w:themeColor="text1"/>
              </w:rPr>
              <w:t>Modelo 2</w:t>
            </w:r>
          </w:p>
        </w:tc>
        <w:tc>
          <w:tcPr>
            <w:tcW w:w="2520" w:type="dxa"/>
            <w:gridSpan w:val="2"/>
            <w:tcBorders>
              <w:top w:val="single" w:sz="8" w:space="0" w:color="auto"/>
              <w:left w:val="nil"/>
              <w:bottom w:val="nil"/>
              <w:right w:val="nil"/>
            </w:tcBorders>
            <w:shd w:val="clear" w:color="auto" w:fill="auto"/>
            <w:vAlign w:val="center"/>
            <w:hideMark/>
          </w:tcPr>
          <w:p w14:paraId="13CF5252" w14:textId="217B3A64" w:rsidR="0039002B" w:rsidRPr="007404E0" w:rsidRDefault="0039002B" w:rsidP="002A34B3">
            <w:pPr>
              <w:jc w:val="center"/>
              <w:rPr>
                <w:color w:val="000000" w:themeColor="text1"/>
              </w:rPr>
            </w:pPr>
            <w:r w:rsidRPr="007404E0">
              <w:rPr>
                <w:color w:val="000000" w:themeColor="text1"/>
              </w:rPr>
              <w:t>Modelo 3</w:t>
            </w:r>
            <w:r w:rsidR="00021663">
              <w:rPr>
                <w:color w:val="000000" w:themeColor="text1"/>
              </w:rPr>
              <w:t xml:space="preserve"> </w:t>
            </w:r>
          </w:p>
        </w:tc>
      </w:tr>
      <w:tr w:rsidR="0039002B" w:rsidRPr="007404E0" w14:paraId="6B572443" w14:textId="77777777" w:rsidTr="004836A1">
        <w:trPr>
          <w:trHeight w:val="67"/>
          <w:jc w:val="center"/>
        </w:trPr>
        <w:tc>
          <w:tcPr>
            <w:tcW w:w="1600" w:type="dxa"/>
            <w:vMerge/>
            <w:tcBorders>
              <w:top w:val="nil"/>
              <w:left w:val="nil"/>
              <w:bottom w:val="single" w:sz="8" w:space="0" w:color="000000"/>
              <w:right w:val="nil"/>
            </w:tcBorders>
            <w:vAlign w:val="center"/>
            <w:hideMark/>
          </w:tcPr>
          <w:p w14:paraId="73BCB0DD" w14:textId="6BBDEDFD" w:rsidR="0039002B" w:rsidRPr="007404E0" w:rsidRDefault="0039002B" w:rsidP="005B1448">
            <w:pPr>
              <w:rPr>
                <w:color w:val="000000" w:themeColor="text1"/>
              </w:rPr>
            </w:pPr>
          </w:p>
        </w:tc>
        <w:tc>
          <w:tcPr>
            <w:tcW w:w="2431" w:type="dxa"/>
            <w:gridSpan w:val="2"/>
            <w:tcBorders>
              <w:top w:val="nil"/>
              <w:left w:val="single" w:sz="4" w:space="0" w:color="auto"/>
              <w:bottom w:val="single" w:sz="8" w:space="0" w:color="auto"/>
              <w:right w:val="single" w:sz="4" w:space="0" w:color="000000"/>
            </w:tcBorders>
            <w:shd w:val="clear" w:color="auto" w:fill="auto"/>
            <w:vAlign w:val="center"/>
          </w:tcPr>
          <w:p w14:paraId="28DA0A38" w14:textId="18427A26" w:rsidR="0039002B" w:rsidRPr="007404E0" w:rsidRDefault="002A34B3" w:rsidP="002A34B3">
            <w:pPr>
              <w:jc w:val="center"/>
              <w:rPr>
                <w:color w:val="000000" w:themeColor="text1"/>
              </w:rPr>
            </w:pPr>
            <w:r>
              <w:rPr>
                <w:color w:val="000000" w:themeColor="text1"/>
              </w:rPr>
              <w:t>Y = FLF</w:t>
            </w:r>
          </w:p>
        </w:tc>
        <w:tc>
          <w:tcPr>
            <w:tcW w:w="2520" w:type="dxa"/>
            <w:gridSpan w:val="2"/>
            <w:tcBorders>
              <w:top w:val="nil"/>
              <w:left w:val="nil"/>
              <w:bottom w:val="single" w:sz="8" w:space="0" w:color="auto"/>
              <w:right w:val="single" w:sz="4" w:space="0" w:color="000000"/>
            </w:tcBorders>
            <w:shd w:val="clear" w:color="auto" w:fill="auto"/>
            <w:vAlign w:val="center"/>
          </w:tcPr>
          <w:p w14:paraId="4FC6CA9A" w14:textId="292545B0" w:rsidR="0039002B" w:rsidRPr="007404E0" w:rsidRDefault="002A34B3" w:rsidP="005B1448">
            <w:pPr>
              <w:jc w:val="center"/>
              <w:rPr>
                <w:color w:val="000000" w:themeColor="text1"/>
              </w:rPr>
            </w:pPr>
            <w:r>
              <w:rPr>
                <w:color w:val="000000" w:themeColor="text1"/>
              </w:rPr>
              <w:t>Y = LNPAG</w:t>
            </w:r>
          </w:p>
        </w:tc>
        <w:tc>
          <w:tcPr>
            <w:tcW w:w="2520" w:type="dxa"/>
            <w:gridSpan w:val="2"/>
            <w:tcBorders>
              <w:top w:val="nil"/>
              <w:left w:val="nil"/>
              <w:bottom w:val="single" w:sz="8" w:space="0" w:color="auto"/>
              <w:right w:val="nil"/>
            </w:tcBorders>
            <w:shd w:val="clear" w:color="auto" w:fill="auto"/>
            <w:vAlign w:val="center"/>
          </w:tcPr>
          <w:p w14:paraId="185761FF" w14:textId="0F7BDC1B" w:rsidR="0039002B" w:rsidRPr="007404E0" w:rsidRDefault="002A34B3" w:rsidP="005B1448">
            <w:pPr>
              <w:jc w:val="center"/>
              <w:rPr>
                <w:color w:val="000000" w:themeColor="text1"/>
              </w:rPr>
            </w:pPr>
            <w:r>
              <w:rPr>
                <w:color w:val="000000" w:themeColor="text1"/>
              </w:rPr>
              <w:t>Y = LNPAL</w:t>
            </w:r>
          </w:p>
        </w:tc>
      </w:tr>
      <w:tr w:rsidR="0039002B" w:rsidRPr="007404E0" w14:paraId="78E3454C" w14:textId="77777777" w:rsidTr="005B1448">
        <w:trPr>
          <w:trHeight w:val="315"/>
          <w:jc w:val="center"/>
        </w:trPr>
        <w:tc>
          <w:tcPr>
            <w:tcW w:w="1600" w:type="dxa"/>
            <w:tcBorders>
              <w:top w:val="nil"/>
              <w:left w:val="nil"/>
              <w:bottom w:val="nil"/>
              <w:right w:val="nil"/>
            </w:tcBorders>
            <w:shd w:val="clear" w:color="auto" w:fill="auto"/>
            <w:vAlign w:val="center"/>
            <w:hideMark/>
          </w:tcPr>
          <w:p w14:paraId="09171A20" w14:textId="77777777" w:rsidR="0039002B" w:rsidRPr="007404E0" w:rsidRDefault="0039002B" w:rsidP="005B1448">
            <w:pPr>
              <w:jc w:val="both"/>
              <w:rPr>
                <w:color w:val="000000" w:themeColor="text1"/>
              </w:rPr>
            </w:pPr>
            <w:r w:rsidRPr="007404E0">
              <w:rPr>
                <w:color w:val="000000" w:themeColor="text1"/>
              </w:rPr>
              <w:t>Variáveis</w:t>
            </w:r>
          </w:p>
        </w:tc>
        <w:tc>
          <w:tcPr>
            <w:tcW w:w="1260" w:type="dxa"/>
            <w:tcBorders>
              <w:top w:val="nil"/>
              <w:left w:val="single" w:sz="4" w:space="0" w:color="auto"/>
              <w:bottom w:val="nil"/>
              <w:right w:val="nil"/>
            </w:tcBorders>
            <w:shd w:val="clear" w:color="auto" w:fill="auto"/>
            <w:vAlign w:val="center"/>
            <w:hideMark/>
          </w:tcPr>
          <w:p w14:paraId="5651F3CC" w14:textId="77777777" w:rsidR="0039002B" w:rsidRPr="007404E0" w:rsidRDefault="0039002B" w:rsidP="005B1448">
            <w:pPr>
              <w:jc w:val="center"/>
              <w:rPr>
                <w:color w:val="000000" w:themeColor="text1"/>
              </w:rPr>
            </w:pPr>
            <w:r w:rsidRPr="007404E0">
              <w:rPr>
                <w:color w:val="000000" w:themeColor="text1"/>
              </w:rPr>
              <w:t>Coef.</w:t>
            </w:r>
          </w:p>
        </w:tc>
        <w:tc>
          <w:tcPr>
            <w:tcW w:w="1171" w:type="dxa"/>
            <w:tcBorders>
              <w:top w:val="nil"/>
              <w:left w:val="nil"/>
              <w:bottom w:val="nil"/>
              <w:right w:val="single" w:sz="4" w:space="0" w:color="auto"/>
            </w:tcBorders>
            <w:shd w:val="clear" w:color="auto" w:fill="auto"/>
            <w:vAlign w:val="center"/>
            <w:hideMark/>
          </w:tcPr>
          <w:p w14:paraId="2102BF77" w14:textId="77777777" w:rsidR="0039002B" w:rsidRPr="007404E0" w:rsidRDefault="0039002B" w:rsidP="005B1448">
            <w:pPr>
              <w:jc w:val="center"/>
              <w:rPr>
                <w:color w:val="000000" w:themeColor="text1"/>
              </w:rPr>
            </w:pPr>
            <w:r w:rsidRPr="007404E0">
              <w:rPr>
                <w:color w:val="000000" w:themeColor="text1"/>
              </w:rPr>
              <w:t>EPR</w:t>
            </w:r>
          </w:p>
        </w:tc>
        <w:tc>
          <w:tcPr>
            <w:tcW w:w="1349" w:type="dxa"/>
            <w:tcBorders>
              <w:top w:val="nil"/>
              <w:left w:val="nil"/>
              <w:bottom w:val="nil"/>
              <w:right w:val="nil"/>
            </w:tcBorders>
            <w:shd w:val="clear" w:color="auto" w:fill="auto"/>
            <w:vAlign w:val="center"/>
            <w:hideMark/>
          </w:tcPr>
          <w:p w14:paraId="0177F05B" w14:textId="77777777" w:rsidR="0039002B" w:rsidRPr="007404E0" w:rsidRDefault="0039002B" w:rsidP="005B1448">
            <w:pPr>
              <w:jc w:val="center"/>
              <w:rPr>
                <w:color w:val="000000" w:themeColor="text1"/>
              </w:rPr>
            </w:pPr>
            <w:r w:rsidRPr="007404E0">
              <w:rPr>
                <w:color w:val="000000" w:themeColor="text1"/>
              </w:rPr>
              <w:t>Coef.</w:t>
            </w:r>
          </w:p>
        </w:tc>
        <w:tc>
          <w:tcPr>
            <w:tcW w:w="1171" w:type="dxa"/>
            <w:tcBorders>
              <w:top w:val="nil"/>
              <w:left w:val="nil"/>
              <w:bottom w:val="nil"/>
              <w:right w:val="single" w:sz="4" w:space="0" w:color="auto"/>
            </w:tcBorders>
            <w:shd w:val="clear" w:color="auto" w:fill="auto"/>
            <w:vAlign w:val="center"/>
            <w:hideMark/>
          </w:tcPr>
          <w:p w14:paraId="714C8868" w14:textId="77777777" w:rsidR="0039002B" w:rsidRPr="007404E0" w:rsidRDefault="0039002B" w:rsidP="005B1448">
            <w:pPr>
              <w:jc w:val="center"/>
              <w:rPr>
                <w:color w:val="000000" w:themeColor="text1"/>
              </w:rPr>
            </w:pPr>
            <w:r w:rsidRPr="007404E0">
              <w:rPr>
                <w:color w:val="000000" w:themeColor="text1"/>
              </w:rPr>
              <w:t>EPR</w:t>
            </w:r>
          </w:p>
        </w:tc>
        <w:tc>
          <w:tcPr>
            <w:tcW w:w="1349" w:type="dxa"/>
            <w:tcBorders>
              <w:top w:val="nil"/>
              <w:left w:val="nil"/>
              <w:bottom w:val="nil"/>
              <w:right w:val="nil"/>
            </w:tcBorders>
            <w:shd w:val="clear" w:color="auto" w:fill="auto"/>
            <w:vAlign w:val="center"/>
            <w:hideMark/>
          </w:tcPr>
          <w:p w14:paraId="2019E436" w14:textId="77777777" w:rsidR="0039002B" w:rsidRPr="007404E0" w:rsidRDefault="0039002B" w:rsidP="005B1448">
            <w:pPr>
              <w:jc w:val="center"/>
              <w:rPr>
                <w:color w:val="000000" w:themeColor="text1"/>
              </w:rPr>
            </w:pPr>
            <w:r w:rsidRPr="007404E0">
              <w:rPr>
                <w:color w:val="000000" w:themeColor="text1"/>
              </w:rPr>
              <w:t>Coef.</w:t>
            </w:r>
          </w:p>
        </w:tc>
        <w:tc>
          <w:tcPr>
            <w:tcW w:w="1171" w:type="dxa"/>
            <w:tcBorders>
              <w:top w:val="nil"/>
              <w:left w:val="nil"/>
              <w:bottom w:val="single" w:sz="8" w:space="0" w:color="auto"/>
              <w:right w:val="nil"/>
            </w:tcBorders>
            <w:shd w:val="clear" w:color="auto" w:fill="auto"/>
            <w:vAlign w:val="center"/>
            <w:hideMark/>
          </w:tcPr>
          <w:p w14:paraId="1C54B653" w14:textId="77777777" w:rsidR="0039002B" w:rsidRPr="007404E0" w:rsidRDefault="0039002B" w:rsidP="005B1448">
            <w:pPr>
              <w:jc w:val="center"/>
              <w:rPr>
                <w:color w:val="000000" w:themeColor="text1"/>
              </w:rPr>
            </w:pPr>
            <w:r w:rsidRPr="007404E0">
              <w:rPr>
                <w:color w:val="000000" w:themeColor="text1"/>
              </w:rPr>
              <w:t>EPR</w:t>
            </w:r>
          </w:p>
        </w:tc>
      </w:tr>
      <w:tr w:rsidR="0039002B" w:rsidRPr="007404E0" w14:paraId="679D9B5C" w14:textId="77777777" w:rsidTr="005B1448">
        <w:trPr>
          <w:trHeight w:val="300"/>
          <w:jc w:val="center"/>
        </w:trPr>
        <w:tc>
          <w:tcPr>
            <w:tcW w:w="1600" w:type="dxa"/>
            <w:tcBorders>
              <w:top w:val="single" w:sz="8" w:space="0" w:color="auto"/>
              <w:left w:val="nil"/>
              <w:bottom w:val="nil"/>
              <w:right w:val="nil"/>
            </w:tcBorders>
            <w:shd w:val="clear" w:color="auto" w:fill="auto"/>
            <w:vAlign w:val="center"/>
            <w:hideMark/>
          </w:tcPr>
          <w:p w14:paraId="41E668D3" w14:textId="77777777" w:rsidR="0039002B" w:rsidRPr="007404E0" w:rsidRDefault="0039002B" w:rsidP="005B1448">
            <w:pPr>
              <w:jc w:val="both"/>
              <w:rPr>
                <w:color w:val="000000" w:themeColor="text1"/>
              </w:rPr>
            </w:pPr>
            <w:r w:rsidRPr="007404E0">
              <w:rPr>
                <w:color w:val="000000" w:themeColor="text1"/>
              </w:rPr>
              <w:t>TAM</w:t>
            </w:r>
          </w:p>
        </w:tc>
        <w:tc>
          <w:tcPr>
            <w:tcW w:w="1260" w:type="dxa"/>
            <w:tcBorders>
              <w:top w:val="single" w:sz="8" w:space="0" w:color="auto"/>
              <w:left w:val="single" w:sz="4" w:space="0" w:color="auto"/>
              <w:bottom w:val="nil"/>
              <w:right w:val="nil"/>
            </w:tcBorders>
            <w:shd w:val="clear" w:color="auto" w:fill="auto"/>
            <w:vAlign w:val="center"/>
          </w:tcPr>
          <w:p w14:paraId="3F503600" w14:textId="0840A6A0" w:rsidR="0039002B" w:rsidRPr="007404E0" w:rsidRDefault="0039002B" w:rsidP="005B1448">
            <w:pPr>
              <w:jc w:val="center"/>
              <w:rPr>
                <w:b/>
                <w:bCs/>
                <w:color w:val="000000" w:themeColor="text1"/>
              </w:rPr>
            </w:pPr>
            <w:r>
              <w:rPr>
                <w:b/>
                <w:bCs/>
                <w:color w:val="000000" w:themeColor="text1"/>
              </w:rPr>
              <w:t>-0,183*</w:t>
            </w:r>
          </w:p>
        </w:tc>
        <w:tc>
          <w:tcPr>
            <w:tcW w:w="1171" w:type="dxa"/>
            <w:tcBorders>
              <w:top w:val="single" w:sz="8" w:space="0" w:color="auto"/>
              <w:left w:val="nil"/>
              <w:bottom w:val="nil"/>
              <w:right w:val="single" w:sz="4" w:space="0" w:color="auto"/>
            </w:tcBorders>
            <w:shd w:val="clear" w:color="auto" w:fill="auto"/>
            <w:vAlign w:val="center"/>
          </w:tcPr>
          <w:p w14:paraId="0334858E" w14:textId="77777777" w:rsidR="0039002B" w:rsidRPr="007404E0" w:rsidRDefault="0039002B" w:rsidP="005B1448">
            <w:pPr>
              <w:jc w:val="center"/>
              <w:rPr>
                <w:b/>
                <w:color w:val="000000" w:themeColor="text1"/>
              </w:rPr>
            </w:pPr>
            <w:r>
              <w:rPr>
                <w:b/>
                <w:color w:val="000000" w:themeColor="text1"/>
              </w:rPr>
              <w:t>0,098</w:t>
            </w:r>
          </w:p>
        </w:tc>
        <w:tc>
          <w:tcPr>
            <w:tcW w:w="1349" w:type="dxa"/>
            <w:tcBorders>
              <w:top w:val="single" w:sz="8" w:space="0" w:color="auto"/>
              <w:left w:val="nil"/>
              <w:bottom w:val="nil"/>
              <w:right w:val="nil"/>
            </w:tcBorders>
            <w:shd w:val="clear" w:color="auto" w:fill="auto"/>
            <w:vAlign w:val="center"/>
          </w:tcPr>
          <w:p w14:paraId="10F44D1D" w14:textId="3A582D07" w:rsidR="0039002B" w:rsidRPr="007404E0" w:rsidRDefault="0039002B" w:rsidP="005B1448">
            <w:pPr>
              <w:jc w:val="center"/>
              <w:rPr>
                <w:b/>
                <w:color w:val="000000" w:themeColor="text1"/>
              </w:rPr>
            </w:pPr>
            <w:r>
              <w:rPr>
                <w:b/>
                <w:color w:val="000000" w:themeColor="text1"/>
              </w:rPr>
              <w:t>0,254*</w:t>
            </w:r>
            <w:r w:rsidR="00376211">
              <w:rPr>
                <w:b/>
                <w:color w:val="000000" w:themeColor="text1"/>
              </w:rPr>
              <w:t>**</w:t>
            </w:r>
          </w:p>
        </w:tc>
        <w:tc>
          <w:tcPr>
            <w:tcW w:w="1171" w:type="dxa"/>
            <w:tcBorders>
              <w:top w:val="single" w:sz="8" w:space="0" w:color="auto"/>
              <w:left w:val="nil"/>
              <w:bottom w:val="nil"/>
              <w:right w:val="single" w:sz="4" w:space="0" w:color="auto"/>
            </w:tcBorders>
            <w:shd w:val="clear" w:color="auto" w:fill="auto"/>
            <w:vAlign w:val="center"/>
          </w:tcPr>
          <w:p w14:paraId="073F11AE" w14:textId="77777777" w:rsidR="0039002B" w:rsidRPr="007404E0" w:rsidRDefault="0039002B" w:rsidP="005B1448">
            <w:pPr>
              <w:jc w:val="center"/>
              <w:rPr>
                <w:b/>
                <w:color w:val="000000" w:themeColor="text1"/>
              </w:rPr>
            </w:pPr>
            <w:r>
              <w:rPr>
                <w:b/>
                <w:color w:val="000000" w:themeColor="text1"/>
              </w:rPr>
              <w:t>0,009</w:t>
            </w:r>
          </w:p>
        </w:tc>
        <w:tc>
          <w:tcPr>
            <w:tcW w:w="1349" w:type="dxa"/>
            <w:tcBorders>
              <w:top w:val="single" w:sz="8" w:space="0" w:color="auto"/>
              <w:left w:val="nil"/>
              <w:bottom w:val="nil"/>
              <w:right w:val="nil"/>
            </w:tcBorders>
            <w:shd w:val="clear" w:color="auto" w:fill="auto"/>
            <w:vAlign w:val="center"/>
          </w:tcPr>
          <w:p w14:paraId="1995F6E9" w14:textId="3E61F539" w:rsidR="0039002B" w:rsidRPr="007404E0" w:rsidRDefault="0039002B" w:rsidP="005B1448">
            <w:pPr>
              <w:jc w:val="center"/>
              <w:rPr>
                <w:b/>
                <w:color w:val="000000" w:themeColor="text1"/>
              </w:rPr>
            </w:pPr>
            <w:r>
              <w:rPr>
                <w:b/>
                <w:color w:val="000000" w:themeColor="text1"/>
              </w:rPr>
              <w:t>0,292*</w:t>
            </w:r>
            <w:r w:rsidR="00376211">
              <w:rPr>
                <w:b/>
                <w:color w:val="000000" w:themeColor="text1"/>
              </w:rPr>
              <w:t>**</w:t>
            </w:r>
          </w:p>
        </w:tc>
        <w:tc>
          <w:tcPr>
            <w:tcW w:w="1171" w:type="dxa"/>
            <w:tcBorders>
              <w:top w:val="nil"/>
              <w:left w:val="nil"/>
              <w:bottom w:val="nil"/>
              <w:right w:val="nil"/>
            </w:tcBorders>
            <w:shd w:val="clear" w:color="auto" w:fill="auto"/>
            <w:vAlign w:val="center"/>
          </w:tcPr>
          <w:p w14:paraId="292E130D" w14:textId="77777777" w:rsidR="0039002B" w:rsidRPr="007404E0" w:rsidRDefault="0039002B" w:rsidP="005B1448">
            <w:pPr>
              <w:jc w:val="center"/>
              <w:rPr>
                <w:b/>
                <w:color w:val="000000" w:themeColor="text1"/>
              </w:rPr>
            </w:pPr>
            <w:r>
              <w:rPr>
                <w:b/>
                <w:color w:val="000000" w:themeColor="text1"/>
              </w:rPr>
              <w:t>0,011</w:t>
            </w:r>
          </w:p>
        </w:tc>
      </w:tr>
      <w:tr w:rsidR="0039002B" w:rsidRPr="007404E0" w14:paraId="4794414A" w14:textId="77777777" w:rsidTr="005B1448">
        <w:trPr>
          <w:trHeight w:val="300"/>
          <w:jc w:val="center"/>
        </w:trPr>
        <w:tc>
          <w:tcPr>
            <w:tcW w:w="1600" w:type="dxa"/>
            <w:tcBorders>
              <w:top w:val="nil"/>
              <w:left w:val="nil"/>
              <w:bottom w:val="nil"/>
              <w:right w:val="nil"/>
            </w:tcBorders>
            <w:shd w:val="clear" w:color="auto" w:fill="auto"/>
            <w:vAlign w:val="center"/>
            <w:hideMark/>
          </w:tcPr>
          <w:p w14:paraId="245DF6C2" w14:textId="77777777" w:rsidR="0039002B" w:rsidRPr="007404E0" w:rsidRDefault="0039002B" w:rsidP="005B1448">
            <w:pPr>
              <w:jc w:val="both"/>
              <w:rPr>
                <w:color w:val="000000" w:themeColor="text1"/>
              </w:rPr>
            </w:pPr>
            <w:r w:rsidRPr="007404E0">
              <w:rPr>
                <w:color w:val="000000" w:themeColor="text1"/>
              </w:rPr>
              <w:t>ROA</w:t>
            </w:r>
          </w:p>
        </w:tc>
        <w:tc>
          <w:tcPr>
            <w:tcW w:w="1260" w:type="dxa"/>
            <w:tcBorders>
              <w:top w:val="nil"/>
              <w:left w:val="single" w:sz="4" w:space="0" w:color="auto"/>
              <w:bottom w:val="nil"/>
              <w:right w:val="nil"/>
            </w:tcBorders>
            <w:shd w:val="clear" w:color="auto" w:fill="auto"/>
            <w:vAlign w:val="center"/>
          </w:tcPr>
          <w:p w14:paraId="43D03E41" w14:textId="46B1B455" w:rsidR="0039002B" w:rsidRPr="00047CB2" w:rsidRDefault="0039002B" w:rsidP="005B1448">
            <w:pPr>
              <w:jc w:val="center"/>
              <w:rPr>
                <w:b/>
                <w:color w:val="000000" w:themeColor="text1"/>
              </w:rPr>
            </w:pPr>
            <w:r w:rsidRPr="00047CB2">
              <w:rPr>
                <w:b/>
                <w:color w:val="000000" w:themeColor="text1"/>
              </w:rPr>
              <w:t>0,950*</w:t>
            </w:r>
            <w:r w:rsidR="00376211">
              <w:rPr>
                <w:b/>
                <w:color w:val="000000" w:themeColor="text1"/>
              </w:rPr>
              <w:t>**</w:t>
            </w:r>
          </w:p>
        </w:tc>
        <w:tc>
          <w:tcPr>
            <w:tcW w:w="1171" w:type="dxa"/>
            <w:tcBorders>
              <w:top w:val="nil"/>
              <w:left w:val="nil"/>
              <w:bottom w:val="nil"/>
              <w:right w:val="single" w:sz="4" w:space="0" w:color="auto"/>
            </w:tcBorders>
            <w:shd w:val="clear" w:color="auto" w:fill="auto"/>
            <w:vAlign w:val="center"/>
          </w:tcPr>
          <w:p w14:paraId="26F10BEC" w14:textId="77777777" w:rsidR="0039002B" w:rsidRPr="00047CB2" w:rsidRDefault="0039002B" w:rsidP="005B1448">
            <w:pPr>
              <w:jc w:val="center"/>
              <w:rPr>
                <w:b/>
                <w:color w:val="000000" w:themeColor="text1"/>
              </w:rPr>
            </w:pPr>
            <w:r w:rsidRPr="00047CB2">
              <w:rPr>
                <w:b/>
                <w:color w:val="000000" w:themeColor="text1"/>
              </w:rPr>
              <w:t>0,311</w:t>
            </w:r>
          </w:p>
        </w:tc>
        <w:tc>
          <w:tcPr>
            <w:tcW w:w="1349" w:type="dxa"/>
            <w:tcBorders>
              <w:top w:val="nil"/>
              <w:left w:val="nil"/>
              <w:bottom w:val="nil"/>
              <w:right w:val="nil"/>
            </w:tcBorders>
            <w:shd w:val="clear" w:color="auto" w:fill="auto"/>
            <w:vAlign w:val="center"/>
          </w:tcPr>
          <w:p w14:paraId="08631B14" w14:textId="6098384D" w:rsidR="0039002B" w:rsidRPr="007404E0" w:rsidRDefault="0039002B" w:rsidP="005B1448">
            <w:pPr>
              <w:jc w:val="center"/>
              <w:rPr>
                <w:b/>
                <w:color w:val="000000" w:themeColor="text1"/>
              </w:rPr>
            </w:pPr>
            <w:r>
              <w:rPr>
                <w:b/>
                <w:color w:val="000000" w:themeColor="text1"/>
              </w:rPr>
              <w:t>-0,171*</w:t>
            </w:r>
            <w:r w:rsidR="00376211">
              <w:rPr>
                <w:b/>
                <w:color w:val="000000" w:themeColor="text1"/>
              </w:rPr>
              <w:t>**</w:t>
            </w:r>
          </w:p>
        </w:tc>
        <w:tc>
          <w:tcPr>
            <w:tcW w:w="1171" w:type="dxa"/>
            <w:tcBorders>
              <w:top w:val="nil"/>
              <w:left w:val="nil"/>
              <w:bottom w:val="nil"/>
              <w:right w:val="single" w:sz="4" w:space="0" w:color="auto"/>
            </w:tcBorders>
            <w:shd w:val="clear" w:color="auto" w:fill="auto"/>
            <w:vAlign w:val="center"/>
          </w:tcPr>
          <w:p w14:paraId="5D128689" w14:textId="77777777" w:rsidR="0039002B" w:rsidRPr="007404E0" w:rsidRDefault="0039002B" w:rsidP="005B1448">
            <w:pPr>
              <w:jc w:val="center"/>
              <w:rPr>
                <w:b/>
                <w:color w:val="000000" w:themeColor="text1"/>
              </w:rPr>
            </w:pPr>
            <w:r>
              <w:rPr>
                <w:b/>
                <w:color w:val="000000" w:themeColor="text1"/>
              </w:rPr>
              <w:t>0,047</w:t>
            </w:r>
          </w:p>
        </w:tc>
        <w:tc>
          <w:tcPr>
            <w:tcW w:w="1349" w:type="dxa"/>
            <w:tcBorders>
              <w:top w:val="nil"/>
              <w:left w:val="nil"/>
              <w:bottom w:val="nil"/>
              <w:right w:val="nil"/>
            </w:tcBorders>
            <w:shd w:val="clear" w:color="auto" w:fill="auto"/>
            <w:vAlign w:val="center"/>
          </w:tcPr>
          <w:p w14:paraId="2AC01F6C" w14:textId="14BCEB3E" w:rsidR="0039002B" w:rsidRPr="007404E0" w:rsidRDefault="0039002B" w:rsidP="005B1448">
            <w:pPr>
              <w:jc w:val="center"/>
              <w:rPr>
                <w:b/>
                <w:color w:val="000000" w:themeColor="text1"/>
              </w:rPr>
            </w:pPr>
            <w:r>
              <w:rPr>
                <w:b/>
                <w:color w:val="000000" w:themeColor="text1"/>
              </w:rPr>
              <w:t>-0,167*</w:t>
            </w:r>
            <w:r w:rsidR="00376211">
              <w:rPr>
                <w:b/>
                <w:color w:val="000000" w:themeColor="text1"/>
              </w:rPr>
              <w:t>**</w:t>
            </w:r>
          </w:p>
        </w:tc>
        <w:tc>
          <w:tcPr>
            <w:tcW w:w="1171" w:type="dxa"/>
            <w:tcBorders>
              <w:top w:val="nil"/>
              <w:left w:val="nil"/>
              <w:bottom w:val="nil"/>
              <w:right w:val="nil"/>
            </w:tcBorders>
            <w:shd w:val="clear" w:color="auto" w:fill="auto"/>
            <w:vAlign w:val="center"/>
          </w:tcPr>
          <w:p w14:paraId="27822A0F" w14:textId="77777777" w:rsidR="0039002B" w:rsidRPr="007404E0" w:rsidRDefault="0039002B" w:rsidP="005B1448">
            <w:pPr>
              <w:jc w:val="center"/>
              <w:rPr>
                <w:b/>
                <w:color w:val="000000" w:themeColor="text1"/>
              </w:rPr>
            </w:pPr>
            <w:r>
              <w:rPr>
                <w:b/>
                <w:color w:val="000000" w:themeColor="text1"/>
              </w:rPr>
              <w:t>0,062</w:t>
            </w:r>
          </w:p>
        </w:tc>
      </w:tr>
      <w:tr w:rsidR="0039002B" w:rsidRPr="007404E0" w14:paraId="4C2D221E" w14:textId="77777777" w:rsidTr="005B1448">
        <w:trPr>
          <w:trHeight w:val="300"/>
          <w:jc w:val="center"/>
        </w:trPr>
        <w:tc>
          <w:tcPr>
            <w:tcW w:w="1600" w:type="dxa"/>
            <w:tcBorders>
              <w:top w:val="nil"/>
              <w:left w:val="nil"/>
              <w:bottom w:val="nil"/>
              <w:right w:val="nil"/>
            </w:tcBorders>
            <w:shd w:val="clear" w:color="auto" w:fill="auto"/>
            <w:vAlign w:val="center"/>
            <w:hideMark/>
          </w:tcPr>
          <w:p w14:paraId="1D99846F" w14:textId="77777777" w:rsidR="0039002B" w:rsidRPr="007404E0" w:rsidRDefault="0039002B" w:rsidP="005B1448">
            <w:pPr>
              <w:jc w:val="both"/>
              <w:rPr>
                <w:color w:val="000000" w:themeColor="text1"/>
              </w:rPr>
            </w:pPr>
            <w:r w:rsidRPr="007404E0">
              <w:rPr>
                <w:color w:val="000000" w:themeColor="text1"/>
              </w:rPr>
              <w:t>ΔLL %</w:t>
            </w:r>
          </w:p>
        </w:tc>
        <w:tc>
          <w:tcPr>
            <w:tcW w:w="1260" w:type="dxa"/>
            <w:tcBorders>
              <w:top w:val="nil"/>
              <w:left w:val="single" w:sz="4" w:space="0" w:color="auto"/>
              <w:bottom w:val="nil"/>
              <w:right w:val="nil"/>
            </w:tcBorders>
            <w:shd w:val="clear" w:color="auto" w:fill="auto"/>
            <w:vAlign w:val="center"/>
          </w:tcPr>
          <w:p w14:paraId="257A53EB" w14:textId="77777777" w:rsidR="0039002B" w:rsidRPr="007404E0" w:rsidRDefault="0039002B" w:rsidP="005B1448">
            <w:pPr>
              <w:jc w:val="center"/>
              <w:rPr>
                <w:color w:val="000000" w:themeColor="text1"/>
              </w:rPr>
            </w:pPr>
            <w:r>
              <w:rPr>
                <w:color w:val="000000" w:themeColor="text1"/>
              </w:rPr>
              <w:t>-0,008</w:t>
            </w:r>
          </w:p>
        </w:tc>
        <w:tc>
          <w:tcPr>
            <w:tcW w:w="1171" w:type="dxa"/>
            <w:tcBorders>
              <w:top w:val="nil"/>
              <w:left w:val="nil"/>
              <w:bottom w:val="nil"/>
              <w:right w:val="single" w:sz="4" w:space="0" w:color="auto"/>
            </w:tcBorders>
            <w:shd w:val="clear" w:color="auto" w:fill="auto"/>
            <w:vAlign w:val="center"/>
          </w:tcPr>
          <w:p w14:paraId="60F21DAF" w14:textId="77777777" w:rsidR="0039002B" w:rsidRPr="007404E0" w:rsidRDefault="0039002B" w:rsidP="005B1448">
            <w:pPr>
              <w:jc w:val="center"/>
              <w:rPr>
                <w:color w:val="000000" w:themeColor="text1"/>
              </w:rPr>
            </w:pPr>
            <w:r>
              <w:rPr>
                <w:color w:val="000000" w:themeColor="text1"/>
              </w:rPr>
              <w:t>0,027</w:t>
            </w:r>
          </w:p>
        </w:tc>
        <w:tc>
          <w:tcPr>
            <w:tcW w:w="1349" w:type="dxa"/>
            <w:tcBorders>
              <w:top w:val="nil"/>
              <w:left w:val="nil"/>
              <w:bottom w:val="nil"/>
              <w:right w:val="nil"/>
            </w:tcBorders>
            <w:shd w:val="clear" w:color="auto" w:fill="auto"/>
            <w:vAlign w:val="center"/>
          </w:tcPr>
          <w:p w14:paraId="4369AF12" w14:textId="77777777" w:rsidR="0039002B" w:rsidRPr="007404E0" w:rsidRDefault="0039002B" w:rsidP="005B1448">
            <w:pPr>
              <w:jc w:val="center"/>
              <w:rPr>
                <w:color w:val="000000" w:themeColor="text1"/>
              </w:rPr>
            </w:pPr>
            <w:r>
              <w:rPr>
                <w:color w:val="000000" w:themeColor="text1"/>
              </w:rPr>
              <w:t>0,004</w:t>
            </w:r>
          </w:p>
        </w:tc>
        <w:tc>
          <w:tcPr>
            <w:tcW w:w="1171" w:type="dxa"/>
            <w:tcBorders>
              <w:top w:val="nil"/>
              <w:left w:val="nil"/>
              <w:bottom w:val="nil"/>
              <w:right w:val="single" w:sz="4" w:space="0" w:color="auto"/>
            </w:tcBorders>
            <w:shd w:val="clear" w:color="auto" w:fill="auto"/>
            <w:vAlign w:val="center"/>
          </w:tcPr>
          <w:p w14:paraId="486E1FFA" w14:textId="77777777" w:rsidR="0039002B" w:rsidRPr="007404E0" w:rsidRDefault="0039002B" w:rsidP="005B1448">
            <w:pPr>
              <w:jc w:val="center"/>
              <w:rPr>
                <w:color w:val="000000" w:themeColor="text1"/>
              </w:rPr>
            </w:pPr>
            <w:r>
              <w:rPr>
                <w:color w:val="000000" w:themeColor="text1"/>
              </w:rPr>
              <w:t>0,006</w:t>
            </w:r>
          </w:p>
        </w:tc>
        <w:tc>
          <w:tcPr>
            <w:tcW w:w="1349" w:type="dxa"/>
            <w:tcBorders>
              <w:top w:val="nil"/>
              <w:left w:val="nil"/>
              <w:bottom w:val="nil"/>
              <w:right w:val="nil"/>
            </w:tcBorders>
            <w:shd w:val="clear" w:color="auto" w:fill="auto"/>
            <w:vAlign w:val="center"/>
          </w:tcPr>
          <w:p w14:paraId="43CD9CE0" w14:textId="77777777" w:rsidR="0039002B" w:rsidRPr="007404E0" w:rsidRDefault="0039002B" w:rsidP="005B1448">
            <w:pPr>
              <w:jc w:val="center"/>
              <w:rPr>
                <w:color w:val="000000" w:themeColor="text1"/>
              </w:rPr>
            </w:pPr>
            <w:r>
              <w:rPr>
                <w:color w:val="000000" w:themeColor="text1"/>
              </w:rPr>
              <w:t>0,005</w:t>
            </w:r>
          </w:p>
        </w:tc>
        <w:tc>
          <w:tcPr>
            <w:tcW w:w="1171" w:type="dxa"/>
            <w:tcBorders>
              <w:top w:val="nil"/>
              <w:left w:val="nil"/>
              <w:bottom w:val="nil"/>
              <w:right w:val="nil"/>
            </w:tcBorders>
            <w:shd w:val="clear" w:color="auto" w:fill="auto"/>
            <w:vAlign w:val="center"/>
          </w:tcPr>
          <w:p w14:paraId="42081C29" w14:textId="77777777" w:rsidR="0039002B" w:rsidRPr="007404E0" w:rsidRDefault="0039002B" w:rsidP="005B1448">
            <w:pPr>
              <w:jc w:val="center"/>
              <w:rPr>
                <w:color w:val="000000" w:themeColor="text1"/>
              </w:rPr>
            </w:pPr>
            <w:r>
              <w:rPr>
                <w:color w:val="000000" w:themeColor="text1"/>
              </w:rPr>
              <w:t>0,006</w:t>
            </w:r>
          </w:p>
        </w:tc>
      </w:tr>
      <w:tr w:rsidR="0039002B" w:rsidRPr="007404E0" w14:paraId="2572BDF9" w14:textId="77777777" w:rsidTr="005B1448">
        <w:trPr>
          <w:trHeight w:val="300"/>
          <w:jc w:val="center"/>
        </w:trPr>
        <w:tc>
          <w:tcPr>
            <w:tcW w:w="1600" w:type="dxa"/>
            <w:tcBorders>
              <w:top w:val="nil"/>
              <w:left w:val="nil"/>
              <w:bottom w:val="nil"/>
              <w:right w:val="nil"/>
            </w:tcBorders>
            <w:shd w:val="clear" w:color="auto" w:fill="auto"/>
            <w:vAlign w:val="center"/>
            <w:hideMark/>
          </w:tcPr>
          <w:p w14:paraId="7A82AED7" w14:textId="77777777" w:rsidR="0039002B" w:rsidRPr="007404E0" w:rsidRDefault="0039002B" w:rsidP="005B1448">
            <w:pPr>
              <w:jc w:val="both"/>
              <w:rPr>
                <w:color w:val="000000" w:themeColor="text1"/>
              </w:rPr>
            </w:pPr>
            <w:r w:rsidRPr="007404E0">
              <w:rPr>
                <w:color w:val="000000" w:themeColor="text1"/>
              </w:rPr>
              <w:t>DUM L/P</w:t>
            </w:r>
          </w:p>
        </w:tc>
        <w:tc>
          <w:tcPr>
            <w:tcW w:w="1260" w:type="dxa"/>
            <w:tcBorders>
              <w:top w:val="nil"/>
              <w:left w:val="single" w:sz="4" w:space="0" w:color="auto"/>
              <w:bottom w:val="nil"/>
              <w:right w:val="nil"/>
            </w:tcBorders>
            <w:shd w:val="clear" w:color="auto" w:fill="auto"/>
            <w:vAlign w:val="center"/>
          </w:tcPr>
          <w:p w14:paraId="027A5510" w14:textId="77777777" w:rsidR="0039002B" w:rsidRPr="007404E0" w:rsidRDefault="0039002B" w:rsidP="005B1448">
            <w:pPr>
              <w:jc w:val="center"/>
              <w:rPr>
                <w:color w:val="000000" w:themeColor="text1"/>
              </w:rPr>
            </w:pPr>
            <w:r>
              <w:rPr>
                <w:color w:val="000000" w:themeColor="text1"/>
              </w:rPr>
              <w:t>-0,454</w:t>
            </w:r>
          </w:p>
        </w:tc>
        <w:tc>
          <w:tcPr>
            <w:tcW w:w="1171" w:type="dxa"/>
            <w:tcBorders>
              <w:top w:val="nil"/>
              <w:left w:val="nil"/>
              <w:bottom w:val="nil"/>
              <w:right w:val="single" w:sz="4" w:space="0" w:color="auto"/>
            </w:tcBorders>
            <w:shd w:val="clear" w:color="auto" w:fill="auto"/>
            <w:vAlign w:val="center"/>
          </w:tcPr>
          <w:p w14:paraId="2A1DEA1B" w14:textId="77777777" w:rsidR="0039002B" w:rsidRPr="007404E0" w:rsidRDefault="0039002B" w:rsidP="005B1448">
            <w:pPr>
              <w:jc w:val="center"/>
              <w:rPr>
                <w:color w:val="000000" w:themeColor="text1"/>
              </w:rPr>
            </w:pPr>
            <w:r>
              <w:rPr>
                <w:color w:val="000000" w:themeColor="text1"/>
              </w:rPr>
              <w:t>0,486</w:t>
            </w:r>
          </w:p>
        </w:tc>
        <w:tc>
          <w:tcPr>
            <w:tcW w:w="1349" w:type="dxa"/>
            <w:tcBorders>
              <w:top w:val="nil"/>
              <w:left w:val="nil"/>
              <w:bottom w:val="nil"/>
              <w:right w:val="nil"/>
            </w:tcBorders>
            <w:shd w:val="clear" w:color="auto" w:fill="auto"/>
            <w:vAlign w:val="center"/>
          </w:tcPr>
          <w:p w14:paraId="58AAD67D" w14:textId="77777777" w:rsidR="0039002B" w:rsidRPr="00B77AF7" w:rsidRDefault="0039002B" w:rsidP="005B1448">
            <w:pPr>
              <w:jc w:val="center"/>
              <w:rPr>
                <w:bCs/>
                <w:color w:val="000000" w:themeColor="text1"/>
              </w:rPr>
            </w:pPr>
            <w:r w:rsidRPr="00B77AF7">
              <w:rPr>
                <w:bCs/>
                <w:color w:val="000000" w:themeColor="text1"/>
              </w:rPr>
              <w:t>-0,050</w:t>
            </w:r>
          </w:p>
        </w:tc>
        <w:tc>
          <w:tcPr>
            <w:tcW w:w="1171" w:type="dxa"/>
            <w:tcBorders>
              <w:top w:val="nil"/>
              <w:left w:val="nil"/>
              <w:bottom w:val="nil"/>
              <w:right w:val="single" w:sz="4" w:space="0" w:color="auto"/>
            </w:tcBorders>
            <w:shd w:val="clear" w:color="auto" w:fill="auto"/>
            <w:vAlign w:val="center"/>
          </w:tcPr>
          <w:p w14:paraId="2CF37199" w14:textId="77777777" w:rsidR="0039002B" w:rsidRPr="00B77AF7" w:rsidRDefault="0039002B" w:rsidP="005B1448">
            <w:pPr>
              <w:jc w:val="center"/>
              <w:rPr>
                <w:color w:val="000000" w:themeColor="text1"/>
              </w:rPr>
            </w:pPr>
            <w:r w:rsidRPr="00B77AF7">
              <w:rPr>
                <w:color w:val="000000" w:themeColor="text1"/>
              </w:rPr>
              <w:t>0,058</w:t>
            </w:r>
          </w:p>
        </w:tc>
        <w:tc>
          <w:tcPr>
            <w:tcW w:w="1349" w:type="dxa"/>
            <w:tcBorders>
              <w:top w:val="nil"/>
              <w:left w:val="nil"/>
              <w:bottom w:val="nil"/>
              <w:right w:val="nil"/>
            </w:tcBorders>
            <w:shd w:val="clear" w:color="auto" w:fill="auto"/>
            <w:vAlign w:val="center"/>
          </w:tcPr>
          <w:p w14:paraId="1259BB8C" w14:textId="77777777" w:rsidR="0039002B" w:rsidRPr="00B77AF7" w:rsidRDefault="0039002B" w:rsidP="005B1448">
            <w:pPr>
              <w:jc w:val="center"/>
              <w:rPr>
                <w:bCs/>
                <w:color w:val="000000" w:themeColor="text1"/>
              </w:rPr>
            </w:pPr>
            <w:r w:rsidRPr="00B77AF7">
              <w:rPr>
                <w:bCs/>
                <w:color w:val="000000" w:themeColor="text1"/>
              </w:rPr>
              <w:t>-0,043</w:t>
            </w:r>
          </w:p>
        </w:tc>
        <w:tc>
          <w:tcPr>
            <w:tcW w:w="1171" w:type="dxa"/>
            <w:tcBorders>
              <w:top w:val="nil"/>
              <w:left w:val="nil"/>
              <w:bottom w:val="nil"/>
              <w:right w:val="nil"/>
            </w:tcBorders>
            <w:shd w:val="clear" w:color="auto" w:fill="auto"/>
            <w:vAlign w:val="center"/>
          </w:tcPr>
          <w:p w14:paraId="177CAFD8" w14:textId="77777777" w:rsidR="0039002B" w:rsidRPr="00B77AF7" w:rsidRDefault="0039002B" w:rsidP="005B1448">
            <w:pPr>
              <w:jc w:val="center"/>
              <w:rPr>
                <w:color w:val="000000" w:themeColor="text1"/>
              </w:rPr>
            </w:pPr>
            <w:r w:rsidRPr="00B77AF7">
              <w:rPr>
                <w:color w:val="000000" w:themeColor="text1"/>
              </w:rPr>
              <w:t>0,0625</w:t>
            </w:r>
          </w:p>
        </w:tc>
      </w:tr>
      <w:tr w:rsidR="0039002B" w:rsidRPr="007404E0" w14:paraId="25A68119" w14:textId="77777777" w:rsidTr="005B1448">
        <w:trPr>
          <w:trHeight w:val="300"/>
          <w:jc w:val="center"/>
        </w:trPr>
        <w:tc>
          <w:tcPr>
            <w:tcW w:w="1600" w:type="dxa"/>
            <w:tcBorders>
              <w:top w:val="nil"/>
              <w:left w:val="nil"/>
              <w:bottom w:val="nil"/>
              <w:right w:val="nil"/>
            </w:tcBorders>
            <w:shd w:val="clear" w:color="auto" w:fill="auto"/>
            <w:vAlign w:val="center"/>
            <w:hideMark/>
          </w:tcPr>
          <w:p w14:paraId="3DEEBE64" w14:textId="77777777" w:rsidR="0039002B" w:rsidRPr="007404E0" w:rsidRDefault="0039002B" w:rsidP="005B1448">
            <w:pPr>
              <w:jc w:val="both"/>
              <w:rPr>
                <w:color w:val="000000" w:themeColor="text1"/>
              </w:rPr>
            </w:pPr>
            <w:r>
              <w:rPr>
                <w:color w:val="000000" w:themeColor="text1"/>
              </w:rPr>
              <w:t>RISCO</w:t>
            </w:r>
          </w:p>
        </w:tc>
        <w:tc>
          <w:tcPr>
            <w:tcW w:w="1260" w:type="dxa"/>
            <w:tcBorders>
              <w:top w:val="nil"/>
              <w:left w:val="single" w:sz="4" w:space="0" w:color="auto"/>
              <w:bottom w:val="nil"/>
              <w:right w:val="nil"/>
            </w:tcBorders>
            <w:shd w:val="clear" w:color="auto" w:fill="auto"/>
            <w:vAlign w:val="center"/>
          </w:tcPr>
          <w:p w14:paraId="0B0AE05E" w14:textId="77777777" w:rsidR="0039002B" w:rsidRPr="007404E0" w:rsidRDefault="0039002B" w:rsidP="005B1448">
            <w:pPr>
              <w:jc w:val="center"/>
              <w:rPr>
                <w:color w:val="000000" w:themeColor="text1"/>
              </w:rPr>
            </w:pPr>
            <w:r>
              <w:rPr>
                <w:color w:val="000000" w:themeColor="text1"/>
              </w:rPr>
              <w:t>0,222</w:t>
            </w:r>
          </w:p>
        </w:tc>
        <w:tc>
          <w:tcPr>
            <w:tcW w:w="1171" w:type="dxa"/>
            <w:tcBorders>
              <w:top w:val="nil"/>
              <w:left w:val="nil"/>
              <w:bottom w:val="nil"/>
              <w:right w:val="single" w:sz="4" w:space="0" w:color="auto"/>
            </w:tcBorders>
            <w:shd w:val="clear" w:color="auto" w:fill="auto"/>
            <w:vAlign w:val="center"/>
          </w:tcPr>
          <w:p w14:paraId="3B4E280D" w14:textId="77777777" w:rsidR="0039002B" w:rsidRPr="007404E0" w:rsidRDefault="0039002B" w:rsidP="005B1448">
            <w:pPr>
              <w:jc w:val="center"/>
              <w:rPr>
                <w:color w:val="000000" w:themeColor="text1"/>
              </w:rPr>
            </w:pPr>
            <w:r>
              <w:rPr>
                <w:color w:val="000000" w:themeColor="text1"/>
              </w:rPr>
              <w:t>0,281</w:t>
            </w:r>
          </w:p>
        </w:tc>
        <w:tc>
          <w:tcPr>
            <w:tcW w:w="1349" w:type="dxa"/>
            <w:tcBorders>
              <w:top w:val="nil"/>
              <w:left w:val="nil"/>
              <w:bottom w:val="nil"/>
              <w:right w:val="nil"/>
            </w:tcBorders>
            <w:shd w:val="clear" w:color="auto" w:fill="auto"/>
            <w:vAlign w:val="center"/>
          </w:tcPr>
          <w:p w14:paraId="40635383" w14:textId="77777777" w:rsidR="0039002B" w:rsidRPr="007404E0" w:rsidRDefault="0039002B" w:rsidP="005B1448">
            <w:pPr>
              <w:jc w:val="center"/>
              <w:rPr>
                <w:color w:val="000000" w:themeColor="text1"/>
              </w:rPr>
            </w:pPr>
            <w:r>
              <w:rPr>
                <w:color w:val="000000" w:themeColor="text1"/>
              </w:rPr>
              <w:t>-0,017</w:t>
            </w:r>
          </w:p>
        </w:tc>
        <w:tc>
          <w:tcPr>
            <w:tcW w:w="1171" w:type="dxa"/>
            <w:tcBorders>
              <w:top w:val="nil"/>
              <w:left w:val="nil"/>
              <w:bottom w:val="nil"/>
              <w:right w:val="single" w:sz="4" w:space="0" w:color="auto"/>
            </w:tcBorders>
            <w:shd w:val="clear" w:color="auto" w:fill="auto"/>
            <w:vAlign w:val="center"/>
          </w:tcPr>
          <w:p w14:paraId="3D87ABCC" w14:textId="77777777" w:rsidR="0039002B" w:rsidRPr="007404E0" w:rsidRDefault="0039002B" w:rsidP="005B1448">
            <w:pPr>
              <w:jc w:val="center"/>
              <w:rPr>
                <w:color w:val="000000" w:themeColor="text1"/>
              </w:rPr>
            </w:pPr>
            <w:r>
              <w:rPr>
                <w:color w:val="000000" w:themeColor="text1"/>
              </w:rPr>
              <w:t>0,026</w:t>
            </w:r>
          </w:p>
        </w:tc>
        <w:tc>
          <w:tcPr>
            <w:tcW w:w="1349" w:type="dxa"/>
            <w:tcBorders>
              <w:top w:val="nil"/>
              <w:left w:val="nil"/>
              <w:bottom w:val="nil"/>
              <w:right w:val="nil"/>
            </w:tcBorders>
            <w:shd w:val="clear" w:color="auto" w:fill="auto"/>
            <w:vAlign w:val="center"/>
          </w:tcPr>
          <w:p w14:paraId="18D67778" w14:textId="77777777" w:rsidR="0039002B" w:rsidRPr="00B77AF7" w:rsidRDefault="0039002B" w:rsidP="005B1448">
            <w:pPr>
              <w:jc w:val="center"/>
              <w:rPr>
                <w:color w:val="000000" w:themeColor="text1"/>
              </w:rPr>
            </w:pPr>
            <w:r w:rsidRPr="00B77AF7">
              <w:rPr>
                <w:color w:val="000000" w:themeColor="text1"/>
              </w:rPr>
              <w:t>-0,039</w:t>
            </w:r>
          </w:p>
        </w:tc>
        <w:tc>
          <w:tcPr>
            <w:tcW w:w="1171" w:type="dxa"/>
            <w:tcBorders>
              <w:top w:val="nil"/>
              <w:left w:val="nil"/>
              <w:bottom w:val="nil"/>
              <w:right w:val="nil"/>
            </w:tcBorders>
            <w:shd w:val="clear" w:color="auto" w:fill="auto"/>
            <w:vAlign w:val="center"/>
          </w:tcPr>
          <w:p w14:paraId="76B1FF92" w14:textId="77777777" w:rsidR="0039002B" w:rsidRPr="00B77AF7" w:rsidRDefault="0039002B" w:rsidP="005B1448">
            <w:pPr>
              <w:jc w:val="center"/>
              <w:rPr>
                <w:color w:val="000000" w:themeColor="text1"/>
              </w:rPr>
            </w:pPr>
            <w:r w:rsidRPr="00B77AF7">
              <w:rPr>
                <w:color w:val="000000" w:themeColor="text1"/>
              </w:rPr>
              <w:t>0,029</w:t>
            </w:r>
          </w:p>
        </w:tc>
      </w:tr>
      <w:tr w:rsidR="0039002B" w:rsidRPr="007404E0" w14:paraId="6950D93C" w14:textId="77777777" w:rsidTr="005B1448">
        <w:trPr>
          <w:trHeight w:val="300"/>
          <w:jc w:val="center"/>
        </w:trPr>
        <w:tc>
          <w:tcPr>
            <w:tcW w:w="1600" w:type="dxa"/>
            <w:tcBorders>
              <w:top w:val="nil"/>
              <w:left w:val="nil"/>
              <w:bottom w:val="nil"/>
              <w:right w:val="nil"/>
            </w:tcBorders>
            <w:shd w:val="clear" w:color="auto" w:fill="auto"/>
            <w:vAlign w:val="center"/>
            <w:hideMark/>
          </w:tcPr>
          <w:p w14:paraId="7FB355B3" w14:textId="77777777" w:rsidR="0039002B" w:rsidRPr="007404E0" w:rsidRDefault="0039002B" w:rsidP="005B1448">
            <w:pPr>
              <w:jc w:val="both"/>
              <w:rPr>
                <w:color w:val="000000" w:themeColor="text1"/>
              </w:rPr>
            </w:pPr>
            <w:r w:rsidRPr="007404E0">
              <w:rPr>
                <w:color w:val="000000" w:themeColor="text1"/>
              </w:rPr>
              <w:t xml:space="preserve">LIQUI </w:t>
            </w:r>
          </w:p>
        </w:tc>
        <w:tc>
          <w:tcPr>
            <w:tcW w:w="1260" w:type="dxa"/>
            <w:tcBorders>
              <w:top w:val="nil"/>
              <w:left w:val="single" w:sz="4" w:space="0" w:color="auto"/>
              <w:bottom w:val="nil"/>
              <w:right w:val="nil"/>
            </w:tcBorders>
            <w:shd w:val="clear" w:color="auto" w:fill="auto"/>
            <w:vAlign w:val="center"/>
          </w:tcPr>
          <w:p w14:paraId="1DEBA805" w14:textId="77777777" w:rsidR="0039002B" w:rsidRPr="007404E0" w:rsidRDefault="0039002B" w:rsidP="005B1448">
            <w:pPr>
              <w:jc w:val="center"/>
              <w:rPr>
                <w:color w:val="000000" w:themeColor="text1"/>
              </w:rPr>
            </w:pPr>
            <w:r>
              <w:rPr>
                <w:color w:val="000000" w:themeColor="text1"/>
              </w:rPr>
              <w:t>0,220</w:t>
            </w:r>
          </w:p>
        </w:tc>
        <w:tc>
          <w:tcPr>
            <w:tcW w:w="1171" w:type="dxa"/>
            <w:tcBorders>
              <w:top w:val="nil"/>
              <w:left w:val="nil"/>
              <w:bottom w:val="nil"/>
              <w:right w:val="single" w:sz="4" w:space="0" w:color="auto"/>
            </w:tcBorders>
            <w:shd w:val="clear" w:color="auto" w:fill="auto"/>
            <w:vAlign w:val="center"/>
          </w:tcPr>
          <w:p w14:paraId="7499822F" w14:textId="77777777" w:rsidR="0039002B" w:rsidRPr="007404E0" w:rsidRDefault="0039002B" w:rsidP="005B1448">
            <w:pPr>
              <w:jc w:val="center"/>
              <w:rPr>
                <w:color w:val="000000" w:themeColor="text1"/>
              </w:rPr>
            </w:pPr>
            <w:r>
              <w:rPr>
                <w:color w:val="000000" w:themeColor="text1"/>
              </w:rPr>
              <w:t>0,729</w:t>
            </w:r>
          </w:p>
        </w:tc>
        <w:tc>
          <w:tcPr>
            <w:tcW w:w="1349" w:type="dxa"/>
            <w:tcBorders>
              <w:top w:val="nil"/>
              <w:left w:val="nil"/>
              <w:bottom w:val="nil"/>
              <w:right w:val="nil"/>
            </w:tcBorders>
            <w:shd w:val="clear" w:color="auto" w:fill="auto"/>
            <w:vAlign w:val="center"/>
          </w:tcPr>
          <w:p w14:paraId="40243205" w14:textId="77777777" w:rsidR="0039002B" w:rsidRPr="007404E0" w:rsidRDefault="0039002B" w:rsidP="005B1448">
            <w:pPr>
              <w:jc w:val="center"/>
              <w:rPr>
                <w:color w:val="000000" w:themeColor="text1"/>
              </w:rPr>
            </w:pPr>
            <w:r>
              <w:rPr>
                <w:color w:val="000000" w:themeColor="text1"/>
              </w:rPr>
              <w:t>0,072</w:t>
            </w:r>
          </w:p>
        </w:tc>
        <w:tc>
          <w:tcPr>
            <w:tcW w:w="1171" w:type="dxa"/>
            <w:tcBorders>
              <w:top w:val="nil"/>
              <w:left w:val="nil"/>
              <w:bottom w:val="nil"/>
              <w:right w:val="single" w:sz="4" w:space="0" w:color="auto"/>
            </w:tcBorders>
            <w:shd w:val="clear" w:color="auto" w:fill="auto"/>
            <w:vAlign w:val="center"/>
          </w:tcPr>
          <w:p w14:paraId="479FC7DA" w14:textId="77777777" w:rsidR="0039002B" w:rsidRPr="007404E0" w:rsidRDefault="0039002B" w:rsidP="005B1448">
            <w:pPr>
              <w:jc w:val="center"/>
              <w:rPr>
                <w:color w:val="000000" w:themeColor="text1"/>
              </w:rPr>
            </w:pPr>
            <w:r>
              <w:rPr>
                <w:color w:val="000000" w:themeColor="text1"/>
              </w:rPr>
              <w:t>0,146</w:t>
            </w:r>
          </w:p>
        </w:tc>
        <w:tc>
          <w:tcPr>
            <w:tcW w:w="1349" w:type="dxa"/>
            <w:tcBorders>
              <w:top w:val="nil"/>
              <w:left w:val="nil"/>
              <w:bottom w:val="nil"/>
              <w:right w:val="nil"/>
            </w:tcBorders>
            <w:shd w:val="clear" w:color="auto" w:fill="auto"/>
            <w:vAlign w:val="center"/>
          </w:tcPr>
          <w:p w14:paraId="57C2CE76" w14:textId="77777777" w:rsidR="0039002B" w:rsidRPr="00B77AF7" w:rsidRDefault="0039002B" w:rsidP="005B1448">
            <w:pPr>
              <w:jc w:val="center"/>
              <w:rPr>
                <w:color w:val="000000" w:themeColor="text1"/>
              </w:rPr>
            </w:pPr>
            <w:r>
              <w:rPr>
                <w:color w:val="000000" w:themeColor="text1"/>
              </w:rPr>
              <w:t>0,100</w:t>
            </w:r>
          </w:p>
        </w:tc>
        <w:tc>
          <w:tcPr>
            <w:tcW w:w="1171" w:type="dxa"/>
            <w:tcBorders>
              <w:top w:val="nil"/>
              <w:left w:val="nil"/>
              <w:bottom w:val="nil"/>
              <w:right w:val="nil"/>
            </w:tcBorders>
            <w:shd w:val="clear" w:color="auto" w:fill="auto"/>
            <w:vAlign w:val="center"/>
          </w:tcPr>
          <w:p w14:paraId="67775DA8" w14:textId="77777777" w:rsidR="0039002B" w:rsidRPr="00B77AF7" w:rsidRDefault="0039002B" w:rsidP="005B1448">
            <w:pPr>
              <w:jc w:val="center"/>
              <w:rPr>
                <w:color w:val="000000" w:themeColor="text1"/>
              </w:rPr>
            </w:pPr>
            <w:r>
              <w:rPr>
                <w:color w:val="000000" w:themeColor="text1"/>
              </w:rPr>
              <w:t>0,151</w:t>
            </w:r>
          </w:p>
        </w:tc>
      </w:tr>
      <w:tr w:rsidR="0039002B" w:rsidRPr="007404E0" w14:paraId="0E1203F9" w14:textId="77777777" w:rsidTr="005B1448">
        <w:trPr>
          <w:trHeight w:val="300"/>
          <w:jc w:val="center"/>
        </w:trPr>
        <w:tc>
          <w:tcPr>
            <w:tcW w:w="1600" w:type="dxa"/>
            <w:tcBorders>
              <w:top w:val="nil"/>
              <w:left w:val="nil"/>
              <w:bottom w:val="nil"/>
              <w:right w:val="nil"/>
            </w:tcBorders>
            <w:shd w:val="clear" w:color="auto" w:fill="auto"/>
            <w:vAlign w:val="center"/>
          </w:tcPr>
          <w:p w14:paraId="5DAABF84" w14:textId="77777777" w:rsidR="0039002B" w:rsidRPr="007404E0" w:rsidRDefault="0039002B" w:rsidP="005B1448">
            <w:pPr>
              <w:jc w:val="both"/>
              <w:rPr>
                <w:color w:val="000000" w:themeColor="text1"/>
              </w:rPr>
            </w:pPr>
            <w:r>
              <w:rPr>
                <w:color w:val="000000" w:themeColor="text1"/>
              </w:rPr>
              <w:t>D_ANO10</w:t>
            </w:r>
          </w:p>
        </w:tc>
        <w:tc>
          <w:tcPr>
            <w:tcW w:w="1260" w:type="dxa"/>
            <w:tcBorders>
              <w:top w:val="nil"/>
              <w:left w:val="single" w:sz="4" w:space="0" w:color="auto"/>
              <w:bottom w:val="nil"/>
              <w:right w:val="nil"/>
            </w:tcBorders>
            <w:shd w:val="clear" w:color="auto" w:fill="auto"/>
            <w:vAlign w:val="center"/>
          </w:tcPr>
          <w:p w14:paraId="7A821A4B" w14:textId="6F000636" w:rsidR="0039002B" w:rsidRPr="00047CB2" w:rsidRDefault="0039002B" w:rsidP="005B1448">
            <w:pPr>
              <w:jc w:val="center"/>
              <w:rPr>
                <w:b/>
                <w:color w:val="000000" w:themeColor="text1"/>
              </w:rPr>
            </w:pPr>
            <w:r w:rsidRPr="00047CB2">
              <w:rPr>
                <w:b/>
                <w:color w:val="000000" w:themeColor="text1"/>
              </w:rPr>
              <w:t>-2,472*</w:t>
            </w:r>
            <w:r w:rsidR="00376211">
              <w:rPr>
                <w:b/>
                <w:color w:val="000000" w:themeColor="text1"/>
              </w:rPr>
              <w:t>**</w:t>
            </w:r>
          </w:p>
        </w:tc>
        <w:tc>
          <w:tcPr>
            <w:tcW w:w="1171" w:type="dxa"/>
            <w:tcBorders>
              <w:top w:val="nil"/>
              <w:left w:val="nil"/>
              <w:bottom w:val="nil"/>
              <w:right w:val="single" w:sz="4" w:space="0" w:color="auto"/>
            </w:tcBorders>
            <w:shd w:val="clear" w:color="auto" w:fill="auto"/>
            <w:vAlign w:val="center"/>
          </w:tcPr>
          <w:p w14:paraId="6C37AC4D" w14:textId="77777777" w:rsidR="0039002B" w:rsidRPr="00047CB2" w:rsidRDefault="0039002B" w:rsidP="005B1448">
            <w:pPr>
              <w:jc w:val="center"/>
              <w:rPr>
                <w:b/>
                <w:color w:val="000000" w:themeColor="text1"/>
              </w:rPr>
            </w:pPr>
            <w:r>
              <w:rPr>
                <w:b/>
                <w:color w:val="000000" w:themeColor="text1"/>
              </w:rPr>
              <w:t>0,481</w:t>
            </w:r>
          </w:p>
        </w:tc>
        <w:tc>
          <w:tcPr>
            <w:tcW w:w="1349" w:type="dxa"/>
            <w:tcBorders>
              <w:top w:val="nil"/>
              <w:left w:val="nil"/>
              <w:bottom w:val="nil"/>
              <w:right w:val="nil"/>
            </w:tcBorders>
            <w:shd w:val="clear" w:color="auto" w:fill="auto"/>
            <w:vAlign w:val="center"/>
          </w:tcPr>
          <w:p w14:paraId="2ED9E5F5" w14:textId="311B2EE4" w:rsidR="0039002B" w:rsidRPr="00B77AF7" w:rsidRDefault="0039002B" w:rsidP="005B1448">
            <w:pPr>
              <w:jc w:val="center"/>
              <w:rPr>
                <w:b/>
                <w:color w:val="000000" w:themeColor="text1"/>
              </w:rPr>
            </w:pPr>
            <w:r w:rsidRPr="00B77AF7">
              <w:rPr>
                <w:b/>
                <w:color w:val="000000" w:themeColor="text1"/>
              </w:rPr>
              <w:t>0,796*</w:t>
            </w:r>
            <w:r w:rsidR="00376211">
              <w:rPr>
                <w:b/>
                <w:color w:val="000000" w:themeColor="text1"/>
              </w:rPr>
              <w:t>**</w:t>
            </w:r>
          </w:p>
        </w:tc>
        <w:tc>
          <w:tcPr>
            <w:tcW w:w="1171" w:type="dxa"/>
            <w:tcBorders>
              <w:top w:val="nil"/>
              <w:left w:val="nil"/>
              <w:bottom w:val="nil"/>
              <w:right w:val="single" w:sz="4" w:space="0" w:color="auto"/>
            </w:tcBorders>
            <w:shd w:val="clear" w:color="auto" w:fill="auto"/>
            <w:vAlign w:val="center"/>
          </w:tcPr>
          <w:p w14:paraId="7857B5B4" w14:textId="77777777" w:rsidR="0039002B" w:rsidRPr="00B77AF7" w:rsidRDefault="0039002B" w:rsidP="005B1448">
            <w:pPr>
              <w:jc w:val="center"/>
              <w:rPr>
                <w:b/>
                <w:color w:val="000000" w:themeColor="text1"/>
              </w:rPr>
            </w:pPr>
            <w:r w:rsidRPr="00B77AF7">
              <w:rPr>
                <w:b/>
                <w:color w:val="000000" w:themeColor="text1"/>
              </w:rPr>
              <w:t>0,058</w:t>
            </w:r>
          </w:p>
        </w:tc>
        <w:tc>
          <w:tcPr>
            <w:tcW w:w="1349" w:type="dxa"/>
            <w:tcBorders>
              <w:top w:val="nil"/>
              <w:left w:val="nil"/>
              <w:bottom w:val="nil"/>
              <w:right w:val="nil"/>
            </w:tcBorders>
            <w:shd w:val="clear" w:color="auto" w:fill="auto"/>
            <w:vAlign w:val="center"/>
          </w:tcPr>
          <w:p w14:paraId="57E2A217" w14:textId="7EFAEC1A" w:rsidR="0039002B" w:rsidRPr="00B77AF7" w:rsidRDefault="0039002B" w:rsidP="005B1448">
            <w:pPr>
              <w:jc w:val="center"/>
              <w:rPr>
                <w:b/>
                <w:color w:val="000000" w:themeColor="text1"/>
              </w:rPr>
            </w:pPr>
            <w:r>
              <w:rPr>
                <w:b/>
                <w:color w:val="000000" w:themeColor="text1"/>
              </w:rPr>
              <w:t>1,033*</w:t>
            </w:r>
            <w:r w:rsidR="00376211">
              <w:rPr>
                <w:b/>
                <w:color w:val="000000" w:themeColor="text1"/>
              </w:rPr>
              <w:t>**</w:t>
            </w:r>
          </w:p>
        </w:tc>
        <w:tc>
          <w:tcPr>
            <w:tcW w:w="1171" w:type="dxa"/>
            <w:tcBorders>
              <w:top w:val="nil"/>
              <w:left w:val="nil"/>
              <w:bottom w:val="nil"/>
              <w:right w:val="nil"/>
            </w:tcBorders>
            <w:shd w:val="clear" w:color="auto" w:fill="auto"/>
            <w:vAlign w:val="center"/>
          </w:tcPr>
          <w:p w14:paraId="2C71352F" w14:textId="77777777" w:rsidR="0039002B" w:rsidRPr="00B77AF7" w:rsidRDefault="0039002B" w:rsidP="005B1448">
            <w:pPr>
              <w:jc w:val="center"/>
              <w:rPr>
                <w:b/>
                <w:color w:val="000000" w:themeColor="text1"/>
              </w:rPr>
            </w:pPr>
            <w:r>
              <w:rPr>
                <w:b/>
                <w:color w:val="000000" w:themeColor="text1"/>
              </w:rPr>
              <w:t>0,062</w:t>
            </w:r>
          </w:p>
        </w:tc>
      </w:tr>
      <w:tr w:rsidR="0039002B" w:rsidRPr="007404E0" w14:paraId="70CEB63D" w14:textId="77777777" w:rsidTr="005B1448">
        <w:trPr>
          <w:trHeight w:val="300"/>
          <w:jc w:val="center"/>
        </w:trPr>
        <w:tc>
          <w:tcPr>
            <w:tcW w:w="1600" w:type="dxa"/>
            <w:tcBorders>
              <w:top w:val="nil"/>
              <w:left w:val="nil"/>
              <w:bottom w:val="nil"/>
              <w:right w:val="nil"/>
            </w:tcBorders>
            <w:shd w:val="clear" w:color="auto" w:fill="auto"/>
            <w:vAlign w:val="center"/>
            <w:hideMark/>
          </w:tcPr>
          <w:p w14:paraId="642F2E43" w14:textId="77777777" w:rsidR="0039002B" w:rsidRPr="007404E0" w:rsidRDefault="0039002B" w:rsidP="005B1448">
            <w:pPr>
              <w:jc w:val="both"/>
              <w:rPr>
                <w:color w:val="000000" w:themeColor="text1"/>
              </w:rPr>
            </w:pPr>
            <w:r w:rsidRPr="007404E0">
              <w:rPr>
                <w:color w:val="000000" w:themeColor="text1"/>
              </w:rPr>
              <w:t>D</w:t>
            </w:r>
            <w:r>
              <w:rPr>
                <w:color w:val="000000" w:themeColor="text1"/>
              </w:rPr>
              <w:t>_ANO</w:t>
            </w:r>
            <w:r w:rsidRPr="007404E0">
              <w:rPr>
                <w:color w:val="000000" w:themeColor="text1"/>
              </w:rPr>
              <w:t>15</w:t>
            </w:r>
          </w:p>
        </w:tc>
        <w:tc>
          <w:tcPr>
            <w:tcW w:w="1260" w:type="dxa"/>
            <w:tcBorders>
              <w:top w:val="nil"/>
              <w:left w:val="single" w:sz="4" w:space="0" w:color="auto"/>
              <w:bottom w:val="nil"/>
              <w:right w:val="nil"/>
            </w:tcBorders>
            <w:shd w:val="clear" w:color="auto" w:fill="auto"/>
            <w:vAlign w:val="center"/>
          </w:tcPr>
          <w:p w14:paraId="010EB322" w14:textId="3F614FC2" w:rsidR="0039002B" w:rsidRPr="007404E0" w:rsidRDefault="0039002B" w:rsidP="005B1448">
            <w:pPr>
              <w:jc w:val="center"/>
              <w:rPr>
                <w:b/>
                <w:bCs/>
                <w:color w:val="000000" w:themeColor="text1"/>
              </w:rPr>
            </w:pPr>
            <w:r>
              <w:rPr>
                <w:b/>
                <w:bCs/>
                <w:color w:val="000000" w:themeColor="text1"/>
              </w:rPr>
              <w:t>-2,286*</w:t>
            </w:r>
            <w:r w:rsidR="00376211">
              <w:rPr>
                <w:b/>
                <w:bCs/>
                <w:color w:val="000000" w:themeColor="text1"/>
              </w:rPr>
              <w:t>**</w:t>
            </w:r>
          </w:p>
        </w:tc>
        <w:tc>
          <w:tcPr>
            <w:tcW w:w="1171" w:type="dxa"/>
            <w:tcBorders>
              <w:top w:val="nil"/>
              <w:left w:val="nil"/>
              <w:bottom w:val="nil"/>
              <w:right w:val="single" w:sz="4" w:space="0" w:color="auto"/>
            </w:tcBorders>
            <w:shd w:val="clear" w:color="auto" w:fill="auto"/>
            <w:vAlign w:val="center"/>
          </w:tcPr>
          <w:p w14:paraId="2BFADD52" w14:textId="77777777" w:rsidR="0039002B" w:rsidRPr="007404E0" w:rsidRDefault="0039002B" w:rsidP="005B1448">
            <w:pPr>
              <w:jc w:val="center"/>
              <w:rPr>
                <w:b/>
                <w:bCs/>
                <w:color w:val="000000" w:themeColor="text1"/>
              </w:rPr>
            </w:pPr>
            <w:r>
              <w:rPr>
                <w:b/>
                <w:bCs/>
                <w:color w:val="000000" w:themeColor="text1"/>
              </w:rPr>
              <w:t>0,480</w:t>
            </w:r>
          </w:p>
        </w:tc>
        <w:tc>
          <w:tcPr>
            <w:tcW w:w="1349" w:type="dxa"/>
            <w:tcBorders>
              <w:top w:val="nil"/>
              <w:left w:val="nil"/>
              <w:bottom w:val="nil"/>
              <w:right w:val="nil"/>
            </w:tcBorders>
            <w:shd w:val="clear" w:color="auto" w:fill="auto"/>
            <w:vAlign w:val="center"/>
          </w:tcPr>
          <w:p w14:paraId="52094E95" w14:textId="1DC568D7" w:rsidR="0039002B" w:rsidRPr="007404E0" w:rsidRDefault="0039002B" w:rsidP="005B1448">
            <w:pPr>
              <w:jc w:val="center"/>
              <w:rPr>
                <w:b/>
                <w:color w:val="000000" w:themeColor="text1"/>
              </w:rPr>
            </w:pPr>
            <w:r>
              <w:rPr>
                <w:b/>
                <w:color w:val="000000" w:themeColor="text1"/>
              </w:rPr>
              <w:t>0,563*</w:t>
            </w:r>
            <w:r w:rsidR="00376211">
              <w:rPr>
                <w:b/>
                <w:color w:val="000000" w:themeColor="text1"/>
              </w:rPr>
              <w:t>**</w:t>
            </w:r>
          </w:p>
        </w:tc>
        <w:tc>
          <w:tcPr>
            <w:tcW w:w="1171" w:type="dxa"/>
            <w:tcBorders>
              <w:top w:val="nil"/>
              <w:left w:val="nil"/>
              <w:bottom w:val="nil"/>
              <w:right w:val="single" w:sz="4" w:space="0" w:color="auto"/>
            </w:tcBorders>
            <w:shd w:val="clear" w:color="auto" w:fill="auto"/>
            <w:vAlign w:val="center"/>
          </w:tcPr>
          <w:p w14:paraId="4A188D85" w14:textId="77777777" w:rsidR="0039002B" w:rsidRPr="007404E0" w:rsidRDefault="0039002B" w:rsidP="005B1448">
            <w:pPr>
              <w:jc w:val="center"/>
              <w:rPr>
                <w:b/>
                <w:color w:val="000000" w:themeColor="text1"/>
              </w:rPr>
            </w:pPr>
            <w:r>
              <w:rPr>
                <w:b/>
                <w:color w:val="000000" w:themeColor="text1"/>
              </w:rPr>
              <w:t>0,058</w:t>
            </w:r>
          </w:p>
        </w:tc>
        <w:tc>
          <w:tcPr>
            <w:tcW w:w="1349" w:type="dxa"/>
            <w:tcBorders>
              <w:top w:val="nil"/>
              <w:left w:val="nil"/>
              <w:bottom w:val="nil"/>
              <w:right w:val="nil"/>
            </w:tcBorders>
            <w:shd w:val="clear" w:color="auto" w:fill="auto"/>
            <w:vAlign w:val="center"/>
          </w:tcPr>
          <w:p w14:paraId="2AFA1251" w14:textId="3EE95029" w:rsidR="0039002B" w:rsidRPr="007404E0" w:rsidRDefault="0039002B" w:rsidP="005B1448">
            <w:pPr>
              <w:jc w:val="center"/>
              <w:rPr>
                <w:b/>
                <w:color w:val="000000" w:themeColor="text1"/>
              </w:rPr>
            </w:pPr>
            <w:r>
              <w:rPr>
                <w:b/>
                <w:color w:val="000000" w:themeColor="text1"/>
              </w:rPr>
              <w:t>0,849*</w:t>
            </w:r>
            <w:r w:rsidR="00376211">
              <w:rPr>
                <w:b/>
                <w:color w:val="000000" w:themeColor="text1"/>
              </w:rPr>
              <w:t>**</w:t>
            </w:r>
          </w:p>
        </w:tc>
        <w:tc>
          <w:tcPr>
            <w:tcW w:w="1171" w:type="dxa"/>
            <w:tcBorders>
              <w:top w:val="nil"/>
              <w:left w:val="nil"/>
              <w:bottom w:val="nil"/>
              <w:right w:val="nil"/>
            </w:tcBorders>
            <w:shd w:val="clear" w:color="auto" w:fill="auto"/>
            <w:vAlign w:val="center"/>
          </w:tcPr>
          <w:p w14:paraId="569D6F96" w14:textId="77777777" w:rsidR="0039002B" w:rsidRPr="007404E0" w:rsidRDefault="0039002B" w:rsidP="005B1448">
            <w:pPr>
              <w:jc w:val="center"/>
              <w:rPr>
                <w:b/>
                <w:color w:val="000000" w:themeColor="text1"/>
              </w:rPr>
            </w:pPr>
            <w:r>
              <w:rPr>
                <w:b/>
                <w:color w:val="000000" w:themeColor="text1"/>
              </w:rPr>
              <w:t>0,063</w:t>
            </w:r>
          </w:p>
        </w:tc>
      </w:tr>
      <w:tr w:rsidR="0039002B" w:rsidRPr="007404E0" w14:paraId="250FA745" w14:textId="77777777" w:rsidTr="005B1448">
        <w:trPr>
          <w:trHeight w:val="315"/>
          <w:jc w:val="center"/>
        </w:trPr>
        <w:tc>
          <w:tcPr>
            <w:tcW w:w="1600" w:type="dxa"/>
            <w:tcBorders>
              <w:top w:val="nil"/>
              <w:left w:val="nil"/>
              <w:bottom w:val="nil"/>
              <w:right w:val="nil"/>
            </w:tcBorders>
            <w:shd w:val="clear" w:color="auto" w:fill="auto"/>
            <w:vAlign w:val="center"/>
            <w:hideMark/>
          </w:tcPr>
          <w:p w14:paraId="45323FD1" w14:textId="77777777" w:rsidR="0039002B" w:rsidRPr="007404E0" w:rsidRDefault="0039002B" w:rsidP="005B1448">
            <w:pPr>
              <w:jc w:val="both"/>
              <w:rPr>
                <w:color w:val="000000" w:themeColor="text1"/>
              </w:rPr>
            </w:pPr>
            <w:r w:rsidRPr="007404E0">
              <w:rPr>
                <w:color w:val="000000" w:themeColor="text1"/>
              </w:rPr>
              <w:t>CONST</w:t>
            </w:r>
          </w:p>
        </w:tc>
        <w:tc>
          <w:tcPr>
            <w:tcW w:w="1260" w:type="dxa"/>
            <w:tcBorders>
              <w:top w:val="nil"/>
              <w:left w:val="single" w:sz="4" w:space="0" w:color="auto"/>
              <w:bottom w:val="nil"/>
              <w:right w:val="nil"/>
            </w:tcBorders>
            <w:shd w:val="clear" w:color="auto" w:fill="auto"/>
            <w:vAlign w:val="center"/>
          </w:tcPr>
          <w:p w14:paraId="33C6FFEE" w14:textId="6FA77F57" w:rsidR="0039002B" w:rsidRPr="007404E0" w:rsidRDefault="0039002B" w:rsidP="005B1448">
            <w:pPr>
              <w:jc w:val="center"/>
              <w:rPr>
                <w:color w:val="000000" w:themeColor="text1"/>
              </w:rPr>
            </w:pPr>
            <w:r>
              <w:rPr>
                <w:color w:val="000000" w:themeColor="text1"/>
              </w:rPr>
              <w:t>20,634*</w:t>
            </w:r>
            <w:r w:rsidR="00376211">
              <w:rPr>
                <w:color w:val="000000" w:themeColor="text1"/>
              </w:rPr>
              <w:t>**</w:t>
            </w:r>
          </w:p>
        </w:tc>
        <w:tc>
          <w:tcPr>
            <w:tcW w:w="1171" w:type="dxa"/>
            <w:tcBorders>
              <w:top w:val="nil"/>
              <w:left w:val="nil"/>
              <w:bottom w:val="nil"/>
              <w:right w:val="single" w:sz="4" w:space="0" w:color="auto"/>
            </w:tcBorders>
            <w:shd w:val="clear" w:color="auto" w:fill="auto"/>
            <w:vAlign w:val="center"/>
          </w:tcPr>
          <w:p w14:paraId="7455207B" w14:textId="77777777" w:rsidR="0039002B" w:rsidRPr="007404E0" w:rsidRDefault="0039002B" w:rsidP="005B1448">
            <w:pPr>
              <w:jc w:val="center"/>
              <w:rPr>
                <w:color w:val="000000" w:themeColor="text1"/>
              </w:rPr>
            </w:pPr>
            <w:r>
              <w:rPr>
                <w:color w:val="000000" w:themeColor="text1"/>
              </w:rPr>
              <w:t>1,507</w:t>
            </w:r>
          </w:p>
        </w:tc>
        <w:tc>
          <w:tcPr>
            <w:tcW w:w="1349" w:type="dxa"/>
            <w:tcBorders>
              <w:top w:val="nil"/>
              <w:left w:val="nil"/>
              <w:bottom w:val="nil"/>
              <w:right w:val="nil"/>
            </w:tcBorders>
            <w:shd w:val="clear" w:color="auto" w:fill="auto"/>
            <w:vAlign w:val="center"/>
          </w:tcPr>
          <w:p w14:paraId="00CBF26B" w14:textId="4A22F7DD" w:rsidR="0039002B" w:rsidRPr="007404E0" w:rsidRDefault="0039002B" w:rsidP="005B1448">
            <w:pPr>
              <w:jc w:val="center"/>
              <w:rPr>
                <w:color w:val="000000" w:themeColor="text1"/>
              </w:rPr>
            </w:pPr>
            <w:r>
              <w:rPr>
                <w:color w:val="000000" w:themeColor="text1"/>
              </w:rPr>
              <w:t>-0,507*</w:t>
            </w:r>
            <w:r w:rsidR="00376211">
              <w:rPr>
                <w:color w:val="000000" w:themeColor="text1"/>
              </w:rPr>
              <w:t>**</w:t>
            </w:r>
          </w:p>
        </w:tc>
        <w:tc>
          <w:tcPr>
            <w:tcW w:w="1171" w:type="dxa"/>
            <w:tcBorders>
              <w:top w:val="nil"/>
              <w:left w:val="nil"/>
              <w:bottom w:val="nil"/>
              <w:right w:val="single" w:sz="4" w:space="0" w:color="auto"/>
            </w:tcBorders>
            <w:shd w:val="clear" w:color="auto" w:fill="auto"/>
            <w:vAlign w:val="center"/>
          </w:tcPr>
          <w:p w14:paraId="2B1F9D5B" w14:textId="77777777" w:rsidR="0039002B" w:rsidRPr="007404E0" w:rsidRDefault="0039002B" w:rsidP="005B1448">
            <w:pPr>
              <w:jc w:val="center"/>
              <w:rPr>
                <w:color w:val="000000" w:themeColor="text1"/>
              </w:rPr>
            </w:pPr>
            <w:r>
              <w:rPr>
                <w:color w:val="000000" w:themeColor="text1"/>
              </w:rPr>
              <w:t>0,155</w:t>
            </w:r>
          </w:p>
        </w:tc>
        <w:tc>
          <w:tcPr>
            <w:tcW w:w="1349" w:type="dxa"/>
            <w:tcBorders>
              <w:top w:val="nil"/>
              <w:left w:val="nil"/>
              <w:bottom w:val="nil"/>
              <w:right w:val="nil"/>
            </w:tcBorders>
            <w:shd w:val="clear" w:color="auto" w:fill="auto"/>
            <w:vAlign w:val="center"/>
          </w:tcPr>
          <w:p w14:paraId="76E48585" w14:textId="15BB70AA" w:rsidR="0039002B" w:rsidRPr="007404E0" w:rsidRDefault="0039002B" w:rsidP="005B1448">
            <w:pPr>
              <w:jc w:val="center"/>
              <w:rPr>
                <w:color w:val="000000" w:themeColor="text1"/>
              </w:rPr>
            </w:pPr>
            <w:r>
              <w:rPr>
                <w:color w:val="000000" w:themeColor="text1"/>
              </w:rPr>
              <w:t>4,509*</w:t>
            </w:r>
            <w:r w:rsidR="00376211">
              <w:rPr>
                <w:color w:val="000000" w:themeColor="text1"/>
              </w:rPr>
              <w:t>**</w:t>
            </w:r>
          </w:p>
        </w:tc>
        <w:tc>
          <w:tcPr>
            <w:tcW w:w="1171" w:type="dxa"/>
            <w:tcBorders>
              <w:top w:val="nil"/>
              <w:left w:val="nil"/>
              <w:bottom w:val="nil"/>
              <w:right w:val="nil"/>
            </w:tcBorders>
            <w:shd w:val="clear" w:color="auto" w:fill="auto"/>
            <w:vAlign w:val="center"/>
          </w:tcPr>
          <w:p w14:paraId="37E34660" w14:textId="77777777" w:rsidR="0039002B" w:rsidRPr="007404E0" w:rsidRDefault="0039002B" w:rsidP="005B1448">
            <w:pPr>
              <w:jc w:val="center"/>
              <w:rPr>
                <w:color w:val="000000" w:themeColor="text1"/>
              </w:rPr>
            </w:pPr>
            <w:r>
              <w:rPr>
                <w:color w:val="000000" w:themeColor="text1"/>
              </w:rPr>
              <w:t>0,175</w:t>
            </w:r>
          </w:p>
        </w:tc>
      </w:tr>
      <w:tr w:rsidR="0039002B" w:rsidRPr="007404E0" w14:paraId="210CAA97" w14:textId="77777777" w:rsidTr="005B1448">
        <w:trPr>
          <w:trHeight w:val="315"/>
          <w:jc w:val="center"/>
        </w:trPr>
        <w:tc>
          <w:tcPr>
            <w:tcW w:w="9071" w:type="dxa"/>
            <w:gridSpan w:val="7"/>
            <w:tcBorders>
              <w:top w:val="single" w:sz="8" w:space="0" w:color="auto"/>
              <w:left w:val="nil"/>
              <w:bottom w:val="single" w:sz="8" w:space="0" w:color="auto"/>
              <w:right w:val="nil"/>
            </w:tcBorders>
            <w:shd w:val="clear" w:color="auto" w:fill="auto"/>
            <w:vAlign w:val="center"/>
            <w:hideMark/>
          </w:tcPr>
          <w:p w14:paraId="6490C619" w14:textId="77777777" w:rsidR="0039002B" w:rsidRPr="007404E0" w:rsidRDefault="0039002B" w:rsidP="005B1448">
            <w:pPr>
              <w:jc w:val="both"/>
              <w:rPr>
                <w:color w:val="000000" w:themeColor="text1"/>
              </w:rPr>
            </w:pPr>
            <w:r w:rsidRPr="007404E0">
              <w:rPr>
                <w:color w:val="000000" w:themeColor="text1"/>
              </w:rPr>
              <w:t>Painel B: Estatísticas dos Modelos</w:t>
            </w:r>
          </w:p>
        </w:tc>
      </w:tr>
      <w:tr w:rsidR="0039002B" w:rsidRPr="007404E0" w14:paraId="55DCFED8" w14:textId="77777777" w:rsidTr="005B1448">
        <w:trPr>
          <w:trHeight w:val="300"/>
          <w:jc w:val="center"/>
        </w:trPr>
        <w:tc>
          <w:tcPr>
            <w:tcW w:w="1600" w:type="dxa"/>
            <w:tcBorders>
              <w:top w:val="nil"/>
              <w:left w:val="nil"/>
              <w:bottom w:val="nil"/>
              <w:right w:val="nil"/>
            </w:tcBorders>
            <w:shd w:val="clear" w:color="auto" w:fill="auto"/>
            <w:vAlign w:val="center"/>
            <w:hideMark/>
          </w:tcPr>
          <w:p w14:paraId="7DF91FD8" w14:textId="77777777" w:rsidR="0039002B" w:rsidRPr="007404E0" w:rsidRDefault="0039002B" w:rsidP="005B1448">
            <w:pPr>
              <w:jc w:val="both"/>
              <w:rPr>
                <w:color w:val="000000" w:themeColor="text1"/>
              </w:rPr>
            </w:pPr>
            <w:r w:rsidRPr="007404E0">
              <w:rPr>
                <w:color w:val="000000" w:themeColor="text1"/>
              </w:rPr>
              <w:t>R2 Ajust.</w:t>
            </w:r>
          </w:p>
        </w:tc>
        <w:tc>
          <w:tcPr>
            <w:tcW w:w="2431" w:type="dxa"/>
            <w:gridSpan w:val="2"/>
            <w:tcBorders>
              <w:top w:val="single" w:sz="8" w:space="0" w:color="auto"/>
              <w:left w:val="single" w:sz="4" w:space="0" w:color="auto"/>
              <w:bottom w:val="nil"/>
              <w:right w:val="single" w:sz="4" w:space="0" w:color="000000"/>
            </w:tcBorders>
            <w:shd w:val="clear" w:color="auto" w:fill="auto"/>
            <w:vAlign w:val="center"/>
          </w:tcPr>
          <w:p w14:paraId="59479C20" w14:textId="77777777" w:rsidR="0039002B" w:rsidRPr="007404E0" w:rsidRDefault="0039002B" w:rsidP="005B1448">
            <w:pPr>
              <w:jc w:val="center"/>
              <w:rPr>
                <w:color w:val="000000" w:themeColor="text1"/>
              </w:rPr>
            </w:pPr>
            <w:r>
              <w:rPr>
                <w:color w:val="000000" w:themeColor="text1"/>
              </w:rPr>
              <w:t>15,93%</w:t>
            </w:r>
          </w:p>
        </w:tc>
        <w:tc>
          <w:tcPr>
            <w:tcW w:w="2520" w:type="dxa"/>
            <w:gridSpan w:val="2"/>
            <w:tcBorders>
              <w:top w:val="single" w:sz="8" w:space="0" w:color="auto"/>
              <w:left w:val="nil"/>
              <w:bottom w:val="nil"/>
              <w:right w:val="single" w:sz="4" w:space="0" w:color="auto"/>
            </w:tcBorders>
            <w:shd w:val="clear" w:color="auto" w:fill="auto"/>
            <w:vAlign w:val="center"/>
          </w:tcPr>
          <w:p w14:paraId="2B3D5ECE" w14:textId="77777777" w:rsidR="0039002B" w:rsidRPr="007404E0" w:rsidRDefault="0039002B" w:rsidP="005B1448">
            <w:pPr>
              <w:jc w:val="center"/>
              <w:rPr>
                <w:color w:val="000000" w:themeColor="text1"/>
              </w:rPr>
            </w:pPr>
            <w:r>
              <w:rPr>
                <w:color w:val="000000" w:themeColor="text1"/>
              </w:rPr>
              <w:t>73,09%</w:t>
            </w:r>
          </w:p>
        </w:tc>
        <w:tc>
          <w:tcPr>
            <w:tcW w:w="2520" w:type="dxa"/>
            <w:gridSpan w:val="2"/>
            <w:tcBorders>
              <w:top w:val="single" w:sz="8" w:space="0" w:color="auto"/>
              <w:left w:val="nil"/>
              <w:bottom w:val="nil"/>
            </w:tcBorders>
            <w:shd w:val="clear" w:color="auto" w:fill="auto"/>
            <w:vAlign w:val="center"/>
          </w:tcPr>
          <w:p w14:paraId="6C6ABCE1" w14:textId="77777777" w:rsidR="0039002B" w:rsidRPr="007404E0" w:rsidRDefault="0039002B" w:rsidP="005B1448">
            <w:pPr>
              <w:jc w:val="center"/>
              <w:rPr>
                <w:color w:val="000000" w:themeColor="text1"/>
              </w:rPr>
            </w:pPr>
            <w:r>
              <w:rPr>
                <w:color w:val="000000" w:themeColor="text1"/>
              </w:rPr>
              <w:t>77,33%</w:t>
            </w:r>
          </w:p>
        </w:tc>
      </w:tr>
      <w:tr w:rsidR="0039002B" w:rsidRPr="007404E0" w14:paraId="5422A8D9" w14:textId="77777777" w:rsidTr="005B1448">
        <w:trPr>
          <w:trHeight w:val="300"/>
          <w:jc w:val="center"/>
        </w:trPr>
        <w:tc>
          <w:tcPr>
            <w:tcW w:w="1600" w:type="dxa"/>
            <w:tcBorders>
              <w:top w:val="nil"/>
              <w:left w:val="nil"/>
              <w:bottom w:val="nil"/>
              <w:right w:val="nil"/>
            </w:tcBorders>
            <w:shd w:val="clear" w:color="auto" w:fill="auto"/>
            <w:vAlign w:val="center"/>
            <w:hideMark/>
          </w:tcPr>
          <w:p w14:paraId="1A298F18" w14:textId="77777777" w:rsidR="0039002B" w:rsidRPr="007404E0" w:rsidRDefault="0039002B" w:rsidP="005B1448">
            <w:pPr>
              <w:jc w:val="both"/>
              <w:rPr>
                <w:color w:val="000000" w:themeColor="text1"/>
              </w:rPr>
            </w:pPr>
            <w:r w:rsidRPr="007404E0">
              <w:rPr>
                <w:color w:val="000000" w:themeColor="text1"/>
              </w:rPr>
              <w:t>Estat. F</w:t>
            </w:r>
          </w:p>
        </w:tc>
        <w:tc>
          <w:tcPr>
            <w:tcW w:w="2431" w:type="dxa"/>
            <w:gridSpan w:val="2"/>
            <w:tcBorders>
              <w:top w:val="nil"/>
              <w:left w:val="single" w:sz="4" w:space="0" w:color="auto"/>
              <w:bottom w:val="nil"/>
              <w:right w:val="single" w:sz="4" w:space="0" w:color="000000"/>
            </w:tcBorders>
            <w:shd w:val="clear" w:color="auto" w:fill="auto"/>
            <w:vAlign w:val="center"/>
          </w:tcPr>
          <w:p w14:paraId="47635167" w14:textId="77777777" w:rsidR="0039002B" w:rsidRPr="007404E0" w:rsidRDefault="0039002B" w:rsidP="005B1448">
            <w:pPr>
              <w:jc w:val="center"/>
              <w:rPr>
                <w:color w:val="000000" w:themeColor="text1"/>
              </w:rPr>
            </w:pPr>
            <w:r>
              <w:rPr>
                <w:color w:val="000000" w:themeColor="text1"/>
              </w:rPr>
              <w:t>3,49</w:t>
            </w:r>
          </w:p>
        </w:tc>
        <w:tc>
          <w:tcPr>
            <w:tcW w:w="2520" w:type="dxa"/>
            <w:gridSpan w:val="2"/>
            <w:tcBorders>
              <w:top w:val="nil"/>
              <w:left w:val="nil"/>
              <w:bottom w:val="nil"/>
              <w:right w:val="single" w:sz="4" w:space="0" w:color="auto"/>
            </w:tcBorders>
            <w:shd w:val="clear" w:color="auto" w:fill="auto"/>
            <w:vAlign w:val="center"/>
          </w:tcPr>
          <w:p w14:paraId="4836B369" w14:textId="77777777" w:rsidR="0039002B" w:rsidRPr="007404E0" w:rsidRDefault="0039002B" w:rsidP="005B1448">
            <w:pPr>
              <w:jc w:val="center"/>
              <w:rPr>
                <w:color w:val="000000" w:themeColor="text1"/>
              </w:rPr>
            </w:pPr>
            <w:r>
              <w:rPr>
                <w:color w:val="000000" w:themeColor="text1"/>
              </w:rPr>
              <w:t>57,92</w:t>
            </w:r>
          </w:p>
        </w:tc>
        <w:tc>
          <w:tcPr>
            <w:tcW w:w="2520" w:type="dxa"/>
            <w:gridSpan w:val="2"/>
            <w:tcBorders>
              <w:top w:val="nil"/>
              <w:left w:val="nil"/>
              <w:bottom w:val="nil"/>
            </w:tcBorders>
            <w:shd w:val="clear" w:color="auto" w:fill="auto"/>
            <w:vAlign w:val="center"/>
          </w:tcPr>
          <w:p w14:paraId="758D988F" w14:textId="77777777" w:rsidR="0039002B" w:rsidRPr="007404E0" w:rsidRDefault="0039002B" w:rsidP="005B1448">
            <w:pPr>
              <w:jc w:val="center"/>
              <w:rPr>
                <w:color w:val="000000" w:themeColor="text1"/>
              </w:rPr>
            </w:pPr>
            <w:r>
              <w:rPr>
                <w:color w:val="000000" w:themeColor="text1"/>
              </w:rPr>
              <w:t>67,51</w:t>
            </w:r>
          </w:p>
        </w:tc>
      </w:tr>
      <w:tr w:rsidR="0039002B" w:rsidRPr="007404E0" w14:paraId="3DF8AB1D" w14:textId="77777777" w:rsidTr="005B1448">
        <w:trPr>
          <w:trHeight w:val="300"/>
          <w:jc w:val="center"/>
        </w:trPr>
        <w:tc>
          <w:tcPr>
            <w:tcW w:w="1600" w:type="dxa"/>
            <w:tcBorders>
              <w:top w:val="nil"/>
              <w:left w:val="nil"/>
              <w:bottom w:val="nil"/>
              <w:right w:val="nil"/>
            </w:tcBorders>
            <w:shd w:val="clear" w:color="auto" w:fill="auto"/>
            <w:vAlign w:val="center"/>
            <w:hideMark/>
          </w:tcPr>
          <w:p w14:paraId="50B47342" w14:textId="77777777" w:rsidR="0039002B" w:rsidRPr="007404E0" w:rsidRDefault="0039002B" w:rsidP="005B1448">
            <w:pPr>
              <w:jc w:val="both"/>
              <w:rPr>
                <w:color w:val="000000" w:themeColor="text1"/>
              </w:rPr>
            </w:pPr>
            <w:r w:rsidRPr="007404E0">
              <w:rPr>
                <w:color w:val="000000" w:themeColor="text1"/>
              </w:rPr>
              <w:t>Prob. F</w:t>
            </w:r>
          </w:p>
        </w:tc>
        <w:tc>
          <w:tcPr>
            <w:tcW w:w="2431" w:type="dxa"/>
            <w:gridSpan w:val="2"/>
            <w:tcBorders>
              <w:top w:val="nil"/>
              <w:left w:val="single" w:sz="4" w:space="0" w:color="auto"/>
              <w:bottom w:val="nil"/>
              <w:right w:val="single" w:sz="4" w:space="0" w:color="000000"/>
            </w:tcBorders>
            <w:shd w:val="clear" w:color="auto" w:fill="auto"/>
            <w:vAlign w:val="center"/>
          </w:tcPr>
          <w:p w14:paraId="35B6906E" w14:textId="77777777" w:rsidR="0039002B" w:rsidRPr="007404E0" w:rsidRDefault="0039002B" w:rsidP="005B1448">
            <w:pPr>
              <w:jc w:val="center"/>
              <w:rPr>
                <w:color w:val="000000" w:themeColor="text1"/>
              </w:rPr>
            </w:pPr>
            <w:r>
              <w:rPr>
                <w:color w:val="000000" w:themeColor="text1"/>
              </w:rPr>
              <w:t>0,00</w:t>
            </w:r>
          </w:p>
        </w:tc>
        <w:tc>
          <w:tcPr>
            <w:tcW w:w="2520" w:type="dxa"/>
            <w:gridSpan w:val="2"/>
            <w:tcBorders>
              <w:top w:val="nil"/>
              <w:left w:val="nil"/>
              <w:bottom w:val="nil"/>
              <w:right w:val="single" w:sz="4" w:space="0" w:color="auto"/>
            </w:tcBorders>
            <w:shd w:val="clear" w:color="auto" w:fill="auto"/>
            <w:vAlign w:val="center"/>
          </w:tcPr>
          <w:p w14:paraId="37CFA38E" w14:textId="77777777" w:rsidR="0039002B" w:rsidRPr="007404E0" w:rsidRDefault="0039002B" w:rsidP="005B1448">
            <w:pPr>
              <w:jc w:val="center"/>
              <w:rPr>
                <w:color w:val="000000" w:themeColor="text1"/>
              </w:rPr>
            </w:pPr>
            <w:r>
              <w:rPr>
                <w:color w:val="000000" w:themeColor="text1"/>
              </w:rPr>
              <w:t>0,00</w:t>
            </w:r>
          </w:p>
        </w:tc>
        <w:tc>
          <w:tcPr>
            <w:tcW w:w="2520" w:type="dxa"/>
            <w:gridSpan w:val="2"/>
            <w:tcBorders>
              <w:top w:val="nil"/>
              <w:left w:val="nil"/>
              <w:bottom w:val="nil"/>
            </w:tcBorders>
            <w:shd w:val="clear" w:color="auto" w:fill="auto"/>
            <w:vAlign w:val="center"/>
          </w:tcPr>
          <w:p w14:paraId="33C23F06" w14:textId="77777777" w:rsidR="0039002B" w:rsidRPr="007404E0" w:rsidRDefault="0039002B" w:rsidP="005B1448">
            <w:pPr>
              <w:jc w:val="center"/>
              <w:rPr>
                <w:color w:val="000000" w:themeColor="text1"/>
              </w:rPr>
            </w:pPr>
            <w:r>
              <w:rPr>
                <w:color w:val="000000" w:themeColor="text1"/>
              </w:rPr>
              <w:t>0,00</w:t>
            </w:r>
          </w:p>
        </w:tc>
      </w:tr>
      <w:tr w:rsidR="0039002B" w:rsidRPr="007404E0" w14:paraId="71CCC687" w14:textId="77777777" w:rsidTr="005B1448">
        <w:trPr>
          <w:trHeight w:val="300"/>
          <w:jc w:val="center"/>
        </w:trPr>
        <w:tc>
          <w:tcPr>
            <w:tcW w:w="1600" w:type="dxa"/>
            <w:tcBorders>
              <w:top w:val="nil"/>
              <w:left w:val="nil"/>
              <w:bottom w:val="nil"/>
              <w:right w:val="nil"/>
            </w:tcBorders>
            <w:shd w:val="clear" w:color="auto" w:fill="auto"/>
            <w:vAlign w:val="center"/>
            <w:hideMark/>
          </w:tcPr>
          <w:p w14:paraId="07C93A86" w14:textId="77777777" w:rsidR="0039002B" w:rsidRPr="007404E0" w:rsidRDefault="0039002B" w:rsidP="005B1448">
            <w:pPr>
              <w:jc w:val="both"/>
              <w:rPr>
                <w:color w:val="000000" w:themeColor="text1"/>
              </w:rPr>
            </w:pPr>
            <w:r w:rsidRPr="007404E0">
              <w:rPr>
                <w:color w:val="000000" w:themeColor="text1"/>
              </w:rPr>
              <w:t xml:space="preserve">Nº Obs. </w:t>
            </w:r>
          </w:p>
        </w:tc>
        <w:tc>
          <w:tcPr>
            <w:tcW w:w="2431" w:type="dxa"/>
            <w:gridSpan w:val="2"/>
            <w:tcBorders>
              <w:top w:val="nil"/>
              <w:left w:val="single" w:sz="4" w:space="0" w:color="auto"/>
              <w:bottom w:val="nil"/>
              <w:right w:val="single" w:sz="4" w:space="0" w:color="000000"/>
            </w:tcBorders>
            <w:shd w:val="clear" w:color="auto" w:fill="auto"/>
            <w:vAlign w:val="center"/>
          </w:tcPr>
          <w:p w14:paraId="4DD6E8FE" w14:textId="77777777" w:rsidR="0039002B" w:rsidRPr="007404E0" w:rsidRDefault="0039002B" w:rsidP="005B1448">
            <w:pPr>
              <w:jc w:val="center"/>
              <w:rPr>
                <w:color w:val="000000" w:themeColor="text1"/>
              </w:rPr>
            </w:pPr>
            <w:r>
              <w:rPr>
                <w:color w:val="000000" w:themeColor="text1"/>
              </w:rPr>
              <w:t>492</w:t>
            </w:r>
          </w:p>
        </w:tc>
        <w:tc>
          <w:tcPr>
            <w:tcW w:w="2520" w:type="dxa"/>
            <w:gridSpan w:val="2"/>
            <w:tcBorders>
              <w:top w:val="nil"/>
              <w:left w:val="nil"/>
              <w:bottom w:val="nil"/>
              <w:right w:val="single" w:sz="4" w:space="0" w:color="auto"/>
            </w:tcBorders>
            <w:shd w:val="clear" w:color="auto" w:fill="auto"/>
            <w:vAlign w:val="center"/>
          </w:tcPr>
          <w:p w14:paraId="48B52899" w14:textId="77777777" w:rsidR="0039002B" w:rsidRPr="007404E0" w:rsidRDefault="0039002B" w:rsidP="005B1448">
            <w:pPr>
              <w:jc w:val="center"/>
              <w:rPr>
                <w:color w:val="000000" w:themeColor="text1"/>
              </w:rPr>
            </w:pPr>
            <w:r>
              <w:rPr>
                <w:color w:val="000000" w:themeColor="text1"/>
              </w:rPr>
              <w:t>492</w:t>
            </w:r>
          </w:p>
        </w:tc>
        <w:tc>
          <w:tcPr>
            <w:tcW w:w="2520" w:type="dxa"/>
            <w:gridSpan w:val="2"/>
            <w:tcBorders>
              <w:top w:val="nil"/>
              <w:left w:val="nil"/>
              <w:bottom w:val="nil"/>
            </w:tcBorders>
            <w:shd w:val="clear" w:color="auto" w:fill="auto"/>
            <w:vAlign w:val="center"/>
          </w:tcPr>
          <w:p w14:paraId="68E344A1" w14:textId="77777777" w:rsidR="0039002B" w:rsidRPr="007404E0" w:rsidRDefault="0039002B" w:rsidP="005B1448">
            <w:pPr>
              <w:jc w:val="center"/>
              <w:rPr>
                <w:color w:val="000000" w:themeColor="text1"/>
              </w:rPr>
            </w:pPr>
            <w:r>
              <w:rPr>
                <w:color w:val="000000" w:themeColor="text1"/>
              </w:rPr>
              <w:t>492</w:t>
            </w:r>
          </w:p>
        </w:tc>
      </w:tr>
      <w:tr w:rsidR="0039002B" w:rsidRPr="007404E0" w14:paraId="3549C3C1" w14:textId="77777777" w:rsidTr="00021663">
        <w:trPr>
          <w:trHeight w:val="301"/>
          <w:jc w:val="center"/>
        </w:trPr>
        <w:tc>
          <w:tcPr>
            <w:tcW w:w="1600" w:type="dxa"/>
            <w:tcBorders>
              <w:top w:val="nil"/>
              <w:left w:val="nil"/>
              <w:bottom w:val="single" w:sz="8" w:space="0" w:color="auto"/>
              <w:right w:val="nil"/>
            </w:tcBorders>
            <w:shd w:val="clear" w:color="auto" w:fill="auto"/>
            <w:vAlign w:val="center"/>
            <w:hideMark/>
          </w:tcPr>
          <w:p w14:paraId="57E9146A" w14:textId="77777777" w:rsidR="0039002B" w:rsidRPr="007404E0" w:rsidRDefault="0039002B" w:rsidP="005B1448">
            <w:pPr>
              <w:jc w:val="both"/>
              <w:rPr>
                <w:color w:val="000000" w:themeColor="text1"/>
              </w:rPr>
            </w:pPr>
            <w:r w:rsidRPr="007404E0">
              <w:rPr>
                <w:color w:val="000000" w:themeColor="text1"/>
              </w:rPr>
              <w:t xml:space="preserve">controle por setor </w:t>
            </w:r>
          </w:p>
        </w:tc>
        <w:tc>
          <w:tcPr>
            <w:tcW w:w="2431" w:type="dxa"/>
            <w:gridSpan w:val="2"/>
            <w:tcBorders>
              <w:top w:val="nil"/>
              <w:left w:val="single" w:sz="4" w:space="0" w:color="auto"/>
              <w:bottom w:val="single" w:sz="8" w:space="0" w:color="auto"/>
              <w:right w:val="single" w:sz="4" w:space="0" w:color="000000"/>
            </w:tcBorders>
            <w:shd w:val="clear" w:color="auto" w:fill="auto"/>
            <w:vAlign w:val="center"/>
            <w:hideMark/>
          </w:tcPr>
          <w:p w14:paraId="23C10B97" w14:textId="77777777" w:rsidR="0039002B" w:rsidRPr="007404E0" w:rsidRDefault="0039002B" w:rsidP="005B1448">
            <w:pPr>
              <w:jc w:val="center"/>
              <w:rPr>
                <w:color w:val="000000" w:themeColor="text1"/>
              </w:rPr>
            </w:pPr>
            <w:r w:rsidRPr="007404E0">
              <w:rPr>
                <w:color w:val="000000" w:themeColor="text1"/>
              </w:rPr>
              <w:t>sim</w:t>
            </w:r>
          </w:p>
        </w:tc>
        <w:tc>
          <w:tcPr>
            <w:tcW w:w="2520" w:type="dxa"/>
            <w:gridSpan w:val="2"/>
            <w:tcBorders>
              <w:top w:val="nil"/>
              <w:left w:val="nil"/>
              <w:bottom w:val="single" w:sz="8" w:space="0" w:color="auto"/>
              <w:right w:val="single" w:sz="4" w:space="0" w:color="auto"/>
            </w:tcBorders>
            <w:shd w:val="clear" w:color="auto" w:fill="auto"/>
            <w:vAlign w:val="center"/>
            <w:hideMark/>
          </w:tcPr>
          <w:p w14:paraId="3FE6549B" w14:textId="77777777" w:rsidR="0039002B" w:rsidRPr="007404E0" w:rsidRDefault="0039002B" w:rsidP="005B1448">
            <w:pPr>
              <w:jc w:val="center"/>
              <w:rPr>
                <w:color w:val="000000" w:themeColor="text1"/>
              </w:rPr>
            </w:pPr>
            <w:r w:rsidRPr="007404E0">
              <w:rPr>
                <w:color w:val="000000" w:themeColor="text1"/>
              </w:rPr>
              <w:t>sim</w:t>
            </w:r>
          </w:p>
        </w:tc>
        <w:tc>
          <w:tcPr>
            <w:tcW w:w="2520" w:type="dxa"/>
            <w:gridSpan w:val="2"/>
            <w:tcBorders>
              <w:top w:val="nil"/>
              <w:left w:val="nil"/>
              <w:bottom w:val="single" w:sz="8" w:space="0" w:color="auto"/>
              <w:right w:val="nil"/>
            </w:tcBorders>
            <w:shd w:val="clear" w:color="auto" w:fill="auto"/>
            <w:vAlign w:val="center"/>
            <w:hideMark/>
          </w:tcPr>
          <w:p w14:paraId="0248935B" w14:textId="77777777" w:rsidR="0039002B" w:rsidRPr="007404E0" w:rsidRDefault="0039002B" w:rsidP="005B1448">
            <w:pPr>
              <w:jc w:val="center"/>
              <w:rPr>
                <w:color w:val="000000" w:themeColor="text1"/>
              </w:rPr>
            </w:pPr>
            <w:r w:rsidRPr="007404E0">
              <w:rPr>
                <w:color w:val="000000" w:themeColor="text1"/>
              </w:rPr>
              <w:t>sim</w:t>
            </w:r>
          </w:p>
        </w:tc>
      </w:tr>
    </w:tbl>
    <w:p w14:paraId="69E797B5" w14:textId="0CAC6EE2" w:rsidR="0039002B" w:rsidRDefault="0039002B" w:rsidP="0039002B">
      <w:pPr>
        <w:autoSpaceDE w:val="0"/>
        <w:autoSpaceDN w:val="0"/>
        <w:adjustRightInd w:val="0"/>
        <w:jc w:val="both"/>
        <w:rPr>
          <w:color w:val="000000" w:themeColor="text1"/>
          <w:sz w:val="24"/>
          <w:szCs w:val="24"/>
        </w:rPr>
      </w:pPr>
      <w:r w:rsidRPr="007404E0">
        <w:rPr>
          <w:color w:val="000000" w:themeColor="text1"/>
        </w:rPr>
        <w:fldChar w:fldCharType="end"/>
      </w:r>
      <w:r w:rsidR="00376211" w:rsidRPr="00376211">
        <w:rPr>
          <w:color w:val="000000" w:themeColor="text1"/>
          <w:szCs w:val="24"/>
        </w:rPr>
        <w:t xml:space="preserve"> </w:t>
      </w:r>
      <w:r w:rsidR="00376211">
        <w:rPr>
          <w:color w:val="000000" w:themeColor="text1"/>
          <w:szCs w:val="24"/>
        </w:rPr>
        <w:t>Nota: *, ** e *** indicam significância estatística a 10%, 5% e 1%, respectivamente.</w:t>
      </w:r>
      <w:r w:rsidRPr="007C5EBD">
        <w:rPr>
          <w:color w:val="000000" w:themeColor="text1"/>
          <w:sz w:val="24"/>
          <w:szCs w:val="24"/>
        </w:rPr>
        <w:tab/>
      </w:r>
    </w:p>
    <w:p w14:paraId="74B3EE5E" w14:textId="77777777" w:rsidR="0039002B" w:rsidRPr="007C5EBD" w:rsidRDefault="0039002B" w:rsidP="0039002B">
      <w:pPr>
        <w:tabs>
          <w:tab w:val="left" w:pos="8647"/>
        </w:tabs>
        <w:autoSpaceDE w:val="0"/>
        <w:autoSpaceDN w:val="0"/>
        <w:adjustRightInd w:val="0"/>
        <w:spacing w:before="120"/>
        <w:jc w:val="both"/>
        <w:rPr>
          <w:b/>
          <w:color w:val="000000" w:themeColor="text1"/>
          <w:sz w:val="24"/>
          <w:szCs w:val="24"/>
        </w:rPr>
      </w:pPr>
      <w:r w:rsidRPr="007C5EBD">
        <w:rPr>
          <w:b/>
          <w:color w:val="000000" w:themeColor="text1"/>
          <w:sz w:val="24"/>
          <w:szCs w:val="24"/>
        </w:rPr>
        <w:t>5. Considerações Finais.</w:t>
      </w:r>
    </w:p>
    <w:p w14:paraId="35CC7067" w14:textId="4E26925E"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 xml:space="preserve">Foram objetivos deste estudo a determinação do índice de legibilidade, medido pelo Índice de Facilidade de Leitura de Flesh (FLF), comprimento e tamanho do arquivo, das NEs das empresas brasileiras listadas na </w:t>
      </w:r>
      <w:r w:rsidR="00646B9A">
        <w:rPr>
          <w:color w:val="000000" w:themeColor="text1"/>
          <w:sz w:val="24"/>
          <w:szCs w:val="24"/>
        </w:rPr>
        <w:t>B3</w:t>
      </w:r>
      <w:r w:rsidRPr="007C5EBD">
        <w:rPr>
          <w:color w:val="000000" w:themeColor="text1"/>
          <w:sz w:val="24"/>
          <w:szCs w:val="24"/>
        </w:rPr>
        <w:t xml:space="preserve">, a verificação de diferenças entre as métricas de legibilidade das NEs antes e depois da adoção das IFRS e, por fim, a identificação de determinantes que impactem na legibilidade das NEs. </w:t>
      </w:r>
    </w:p>
    <w:p w14:paraId="7F00FAC1" w14:textId="38C9F7D1"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Para cumprir com os objetivos propostos foi realizado um estudo quantitativo, com as empresas de capital aberto, referente aos anos de 2005</w:t>
      </w:r>
      <w:r>
        <w:rPr>
          <w:color w:val="000000" w:themeColor="text1"/>
          <w:sz w:val="24"/>
          <w:szCs w:val="24"/>
        </w:rPr>
        <w:t>, 2010</w:t>
      </w:r>
      <w:r w:rsidRPr="007C5EBD">
        <w:rPr>
          <w:color w:val="000000" w:themeColor="text1"/>
          <w:sz w:val="24"/>
          <w:szCs w:val="24"/>
        </w:rPr>
        <w:t xml:space="preserve"> e 2015. Por meio dos testes estatísticos pode-se verificar que no Brasil, assim como em outros países, as NEs são relatórios muito difíceis de ler, medido pelo índice de facilidade de leitura de Flesh (FLF). Comprovou-se por meio de testes estatísticos univariados que as NEs em </w:t>
      </w:r>
      <w:r>
        <w:rPr>
          <w:color w:val="000000" w:themeColor="text1"/>
          <w:sz w:val="24"/>
          <w:szCs w:val="24"/>
        </w:rPr>
        <w:t xml:space="preserve">2010 e </w:t>
      </w:r>
      <w:r w:rsidRPr="007C5EBD">
        <w:rPr>
          <w:color w:val="000000" w:themeColor="text1"/>
          <w:sz w:val="24"/>
          <w:szCs w:val="24"/>
        </w:rPr>
        <w:t xml:space="preserve">2015 possuem menor legibilidade em </w:t>
      </w:r>
      <w:r>
        <w:rPr>
          <w:color w:val="000000" w:themeColor="text1"/>
          <w:sz w:val="24"/>
          <w:szCs w:val="24"/>
        </w:rPr>
        <w:t xml:space="preserve">relação </w:t>
      </w:r>
      <w:r w:rsidRPr="007C5EBD">
        <w:rPr>
          <w:color w:val="000000" w:themeColor="text1"/>
          <w:sz w:val="24"/>
          <w:szCs w:val="24"/>
        </w:rPr>
        <w:t>2005</w:t>
      </w:r>
      <w:r w:rsidR="00376211">
        <w:rPr>
          <w:color w:val="000000" w:themeColor="text1"/>
          <w:sz w:val="24"/>
          <w:szCs w:val="24"/>
        </w:rPr>
        <w:t>, d</w:t>
      </w:r>
      <w:r w:rsidRPr="007C5EBD">
        <w:rPr>
          <w:color w:val="000000" w:themeColor="text1"/>
          <w:sz w:val="24"/>
          <w:szCs w:val="24"/>
        </w:rPr>
        <w:t>espertando a atenção para as desvantagens das NEs conforme anunciado por Hendriksen &amp; Van Breda (2009).</w:t>
      </w:r>
    </w:p>
    <w:p w14:paraId="63A0A80F" w14:textId="7C17883D" w:rsidR="0039002B" w:rsidRPr="007C5EBD" w:rsidRDefault="0039002B" w:rsidP="0039002B">
      <w:pPr>
        <w:autoSpaceDE w:val="0"/>
        <w:autoSpaceDN w:val="0"/>
        <w:adjustRightInd w:val="0"/>
        <w:ind w:firstLine="709"/>
        <w:jc w:val="both"/>
        <w:rPr>
          <w:color w:val="000000" w:themeColor="text1"/>
          <w:sz w:val="24"/>
          <w:szCs w:val="24"/>
        </w:rPr>
      </w:pPr>
      <w:r w:rsidRPr="007C5EBD">
        <w:rPr>
          <w:color w:val="000000" w:themeColor="text1"/>
          <w:sz w:val="24"/>
          <w:szCs w:val="24"/>
        </w:rPr>
        <w:t>Em relação aos determinantes</w:t>
      </w:r>
      <w:r w:rsidR="00376211">
        <w:rPr>
          <w:color w:val="000000" w:themeColor="text1"/>
          <w:sz w:val="24"/>
          <w:szCs w:val="24"/>
        </w:rPr>
        <w:t>,</w:t>
      </w:r>
      <w:r w:rsidRPr="007C5EBD">
        <w:rPr>
          <w:color w:val="000000" w:themeColor="text1"/>
          <w:sz w:val="24"/>
          <w:szCs w:val="24"/>
        </w:rPr>
        <w:t xml:space="preserve"> pode-se evidenciar que o tamanho da empresa</w:t>
      </w:r>
      <w:r>
        <w:rPr>
          <w:color w:val="000000" w:themeColor="text1"/>
          <w:sz w:val="24"/>
          <w:szCs w:val="24"/>
        </w:rPr>
        <w:t xml:space="preserve"> e </w:t>
      </w:r>
      <w:r w:rsidR="00376211">
        <w:rPr>
          <w:color w:val="000000" w:themeColor="text1"/>
          <w:sz w:val="24"/>
          <w:szCs w:val="24"/>
        </w:rPr>
        <w:t xml:space="preserve">o </w:t>
      </w:r>
      <w:r>
        <w:rPr>
          <w:color w:val="000000" w:themeColor="text1"/>
          <w:sz w:val="24"/>
          <w:szCs w:val="24"/>
        </w:rPr>
        <w:t xml:space="preserve">desempenho </w:t>
      </w:r>
      <w:r w:rsidRPr="007C5EBD">
        <w:rPr>
          <w:color w:val="000000" w:themeColor="text1"/>
          <w:sz w:val="24"/>
          <w:szCs w:val="24"/>
        </w:rPr>
        <w:t>impacta</w:t>
      </w:r>
      <w:r>
        <w:rPr>
          <w:color w:val="000000" w:themeColor="text1"/>
          <w:sz w:val="24"/>
          <w:szCs w:val="24"/>
        </w:rPr>
        <w:t>m</w:t>
      </w:r>
      <w:r w:rsidRPr="007C5EBD">
        <w:rPr>
          <w:color w:val="000000" w:themeColor="text1"/>
          <w:sz w:val="24"/>
          <w:szCs w:val="24"/>
        </w:rPr>
        <w:t xml:space="preserve"> na legibilidade das NEs. Cumpre ressaltar as considerações de Bloomfield (2008) que afirma que podem haver motivos diversos para a complexidade dos relatórios emitidos pelas entidades, inclusive a necessidade de se emitir informações mais detalhadas. </w:t>
      </w:r>
      <w:r>
        <w:rPr>
          <w:color w:val="000000" w:themeColor="text1"/>
          <w:sz w:val="24"/>
          <w:szCs w:val="24"/>
        </w:rPr>
        <w:t>As hipóteses de que risco e liquidez podem ser determinantes de legibilidade não puderam ser estatisticamente comprovadas.</w:t>
      </w:r>
    </w:p>
    <w:p w14:paraId="0A8A380A" w14:textId="77777777" w:rsidR="008A18FE" w:rsidRDefault="008A18FE" w:rsidP="008A18FE">
      <w:pPr>
        <w:suppressAutoHyphens w:val="0"/>
        <w:autoSpaceDE w:val="0"/>
        <w:autoSpaceDN w:val="0"/>
        <w:adjustRightInd w:val="0"/>
        <w:jc w:val="both"/>
        <w:rPr>
          <w:color w:val="000000" w:themeColor="text1"/>
          <w:sz w:val="24"/>
          <w:szCs w:val="24"/>
        </w:rPr>
      </w:pPr>
      <w:r>
        <w:rPr>
          <w:color w:val="000000" w:themeColor="text1"/>
          <w:sz w:val="24"/>
          <w:szCs w:val="24"/>
        </w:rPr>
        <w:tab/>
      </w:r>
    </w:p>
    <w:p w14:paraId="255C41A9" w14:textId="1DFB9A27" w:rsidR="0039002B" w:rsidRPr="007C5EBD" w:rsidRDefault="008A18FE" w:rsidP="008A18FE">
      <w:pPr>
        <w:suppressAutoHyphens w:val="0"/>
        <w:autoSpaceDE w:val="0"/>
        <w:autoSpaceDN w:val="0"/>
        <w:adjustRightInd w:val="0"/>
        <w:spacing w:before="120"/>
        <w:jc w:val="both"/>
        <w:rPr>
          <w:color w:val="000000" w:themeColor="text1"/>
          <w:sz w:val="24"/>
          <w:szCs w:val="24"/>
        </w:rPr>
      </w:pPr>
      <w:r>
        <w:rPr>
          <w:color w:val="000000" w:themeColor="text1"/>
          <w:sz w:val="24"/>
          <w:szCs w:val="24"/>
        </w:rPr>
        <w:lastRenderedPageBreak/>
        <w:tab/>
      </w:r>
      <w:r w:rsidR="0039002B" w:rsidRPr="007C5EBD">
        <w:rPr>
          <w:color w:val="000000" w:themeColor="text1"/>
          <w:sz w:val="24"/>
          <w:szCs w:val="24"/>
        </w:rPr>
        <w:t>Registra-se ainda que o estudo da legibilidade permite compreender a fluidez da leitura das narrativas contábeis, contudo, a partir dela</w:t>
      </w:r>
      <w:r w:rsidR="00376211">
        <w:rPr>
          <w:color w:val="000000" w:themeColor="text1"/>
          <w:sz w:val="24"/>
          <w:szCs w:val="24"/>
        </w:rPr>
        <w:t>,</w:t>
      </w:r>
      <w:r w:rsidR="0039002B" w:rsidRPr="007C5EBD">
        <w:rPr>
          <w:color w:val="000000" w:themeColor="text1"/>
          <w:sz w:val="24"/>
          <w:szCs w:val="24"/>
        </w:rPr>
        <w:t xml:space="preserve"> não é possível determinar o nível de compreensão das mesmas. Como sugestão de estudos futuros recomenda-se explorar, para além da legibilidade, o uso de medidas alternativas de compreensão em textos contábeis, incluindo o </w:t>
      </w:r>
      <w:r w:rsidRPr="008A18FE">
        <w:rPr>
          <w:i/>
          <w:color w:val="000000" w:themeColor="text1"/>
          <w:sz w:val="24"/>
          <w:szCs w:val="24"/>
        </w:rPr>
        <w:t>meaning identification test</w:t>
      </w:r>
      <w:r w:rsidR="004836A1">
        <w:rPr>
          <w:color w:val="000000" w:themeColor="text1"/>
          <w:sz w:val="24"/>
          <w:szCs w:val="24"/>
        </w:rPr>
        <w:t xml:space="preserve"> </w:t>
      </w:r>
      <w:r w:rsidR="004836A1" w:rsidRPr="004836A1">
        <w:rPr>
          <w:color w:val="000000" w:themeColor="text1"/>
          <w:sz w:val="24"/>
          <w:szCs w:val="24"/>
        </w:rPr>
        <w:t>(</w:t>
      </w:r>
      <w:r w:rsidR="0039002B" w:rsidRPr="007C5EBD">
        <w:rPr>
          <w:color w:val="000000" w:themeColor="text1"/>
          <w:sz w:val="24"/>
          <w:szCs w:val="24"/>
        </w:rPr>
        <w:t xml:space="preserve">MIT) e a </w:t>
      </w:r>
      <w:r w:rsidR="004836A1" w:rsidRPr="004836A1">
        <w:rPr>
          <w:i/>
          <w:color w:val="000000" w:themeColor="text1"/>
          <w:sz w:val="24"/>
          <w:szCs w:val="24"/>
        </w:rPr>
        <w:t>s</w:t>
      </w:r>
      <w:r w:rsidRPr="008A18FE">
        <w:rPr>
          <w:i/>
          <w:color w:val="000000" w:themeColor="text1"/>
          <w:sz w:val="24"/>
          <w:szCs w:val="24"/>
        </w:rPr>
        <w:t>entence verification</w:t>
      </w:r>
      <w:r>
        <w:rPr>
          <w:i/>
          <w:color w:val="000000" w:themeColor="text1"/>
          <w:sz w:val="24"/>
          <w:szCs w:val="24"/>
        </w:rPr>
        <w:t xml:space="preserve"> </w:t>
      </w:r>
      <w:r w:rsidR="004836A1">
        <w:rPr>
          <w:i/>
          <w:color w:val="000000" w:themeColor="text1"/>
          <w:sz w:val="24"/>
          <w:szCs w:val="24"/>
        </w:rPr>
        <w:t xml:space="preserve">technique </w:t>
      </w:r>
      <w:r w:rsidR="004836A1" w:rsidRPr="004836A1">
        <w:rPr>
          <w:color w:val="000000" w:themeColor="text1"/>
          <w:sz w:val="24"/>
          <w:szCs w:val="24"/>
        </w:rPr>
        <w:t>(</w:t>
      </w:r>
      <w:r w:rsidR="0039002B" w:rsidRPr="007C5EBD">
        <w:rPr>
          <w:color w:val="000000" w:themeColor="text1"/>
          <w:sz w:val="24"/>
          <w:szCs w:val="24"/>
        </w:rPr>
        <w:t xml:space="preserve">SVT) conforme Jones e Smith (2014), bem como, a exemplo de Li (2008), estudar a qualidade dos lucros, tal como persistência, associadas a legibilidade das NEs. </w:t>
      </w:r>
    </w:p>
    <w:p w14:paraId="0EC702BF" w14:textId="77777777" w:rsidR="0039002B" w:rsidRPr="007C5EBD" w:rsidRDefault="0039002B" w:rsidP="00D07B67">
      <w:pPr>
        <w:autoSpaceDE w:val="0"/>
        <w:autoSpaceDN w:val="0"/>
        <w:adjustRightInd w:val="0"/>
        <w:spacing w:before="120"/>
        <w:rPr>
          <w:b/>
          <w:color w:val="000000" w:themeColor="text1"/>
          <w:sz w:val="24"/>
          <w:szCs w:val="24"/>
          <w:lang w:val="en-US"/>
        </w:rPr>
      </w:pPr>
      <w:r w:rsidRPr="007C5EBD">
        <w:rPr>
          <w:b/>
          <w:color w:val="000000" w:themeColor="text1"/>
          <w:sz w:val="24"/>
          <w:szCs w:val="24"/>
          <w:lang w:val="en-US"/>
        </w:rPr>
        <w:t>Referências</w:t>
      </w:r>
    </w:p>
    <w:p w14:paraId="03C109A5" w14:textId="77777777" w:rsidR="0039002B" w:rsidRPr="007C5EBD" w:rsidRDefault="0039002B" w:rsidP="00D07B67">
      <w:pPr>
        <w:autoSpaceDE w:val="0"/>
        <w:autoSpaceDN w:val="0"/>
        <w:adjustRightInd w:val="0"/>
        <w:jc w:val="both"/>
        <w:rPr>
          <w:bCs/>
          <w:color w:val="000000" w:themeColor="text1"/>
          <w:sz w:val="24"/>
          <w:szCs w:val="24"/>
          <w:lang w:val="en-US"/>
        </w:rPr>
      </w:pPr>
      <w:r w:rsidRPr="007C5EBD">
        <w:rPr>
          <w:bCs/>
          <w:color w:val="000000" w:themeColor="text1"/>
          <w:sz w:val="24"/>
          <w:szCs w:val="24"/>
          <w:lang w:val="en-US"/>
        </w:rPr>
        <w:t xml:space="preserve">Bartlett, S. A., &amp; Chandler, R. A. (1997). The corporate report and the private shareholder: Lee and tweedie twenty years on. </w:t>
      </w:r>
      <w:r w:rsidRPr="007C5EBD">
        <w:rPr>
          <w:bCs/>
          <w:i/>
          <w:color w:val="000000" w:themeColor="text1"/>
          <w:sz w:val="24"/>
          <w:szCs w:val="24"/>
          <w:lang w:val="en-US"/>
        </w:rPr>
        <w:t>The British Accounting Review,</w:t>
      </w:r>
      <w:r w:rsidRPr="007C5EBD">
        <w:rPr>
          <w:bCs/>
          <w:color w:val="000000" w:themeColor="text1"/>
          <w:sz w:val="24"/>
          <w:szCs w:val="24"/>
          <w:lang w:val="en-US"/>
        </w:rPr>
        <w:t xml:space="preserve"> 29, pp. 245–261.</w:t>
      </w:r>
    </w:p>
    <w:p w14:paraId="1F9BB185" w14:textId="77777777" w:rsidR="0039002B" w:rsidRPr="006F12C1" w:rsidRDefault="0039002B" w:rsidP="00D07B67">
      <w:pPr>
        <w:autoSpaceDE w:val="0"/>
        <w:autoSpaceDN w:val="0"/>
        <w:adjustRightInd w:val="0"/>
        <w:jc w:val="both"/>
        <w:rPr>
          <w:bCs/>
          <w:color w:val="000000" w:themeColor="text1"/>
          <w:sz w:val="24"/>
          <w:szCs w:val="24"/>
          <w:lang w:val="en-US"/>
        </w:rPr>
      </w:pPr>
      <w:r w:rsidRPr="007C5EBD">
        <w:rPr>
          <w:bCs/>
          <w:color w:val="000000" w:themeColor="text1"/>
          <w:sz w:val="24"/>
          <w:szCs w:val="24"/>
          <w:lang w:val="en-US"/>
        </w:rPr>
        <w:t xml:space="preserve">Bayerlein, L., &amp; Davidson, P. (2011). The influence of connotation on readability and obfuscation in Australian chairman addresses. </w:t>
      </w:r>
      <w:r w:rsidRPr="006F12C1">
        <w:rPr>
          <w:bCs/>
          <w:i/>
          <w:color w:val="000000" w:themeColor="text1"/>
          <w:sz w:val="24"/>
          <w:szCs w:val="24"/>
          <w:lang w:val="en-US"/>
        </w:rPr>
        <w:t>Managerial Auditing Journal</w:t>
      </w:r>
      <w:r w:rsidRPr="006F12C1">
        <w:rPr>
          <w:bCs/>
          <w:color w:val="000000" w:themeColor="text1"/>
          <w:sz w:val="24"/>
          <w:szCs w:val="24"/>
          <w:lang w:val="en-US"/>
        </w:rPr>
        <w:t>. 27(2). pp. 175-198.</w:t>
      </w:r>
    </w:p>
    <w:p w14:paraId="32F60619" w14:textId="77777777" w:rsidR="0039002B" w:rsidRPr="007C5EBD" w:rsidRDefault="0039002B" w:rsidP="00D07B67">
      <w:pPr>
        <w:autoSpaceDE w:val="0"/>
        <w:autoSpaceDN w:val="0"/>
        <w:adjustRightInd w:val="0"/>
        <w:jc w:val="both"/>
        <w:rPr>
          <w:color w:val="000000" w:themeColor="text1"/>
          <w:sz w:val="24"/>
          <w:szCs w:val="24"/>
          <w:shd w:val="clear" w:color="auto" w:fill="FFFFFF"/>
          <w:lang w:val="en-US"/>
        </w:rPr>
      </w:pPr>
      <w:r w:rsidRPr="007C5EBD">
        <w:rPr>
          <w:color w:val="000000" w:themeColor="text1"/>
          <w:sz w:val="24"/>
          <w:szCs w:val="24"/>
          <w:shd w:val="clear" w:color="auto" w:fill="FFFFFF"/>
          <w:lang w:val="en-US"/>
        </w:rPr>
        <w:t xml:space="preserve">Beretta, S. &amp; Bozzolan, S. (2008). </w:t>
      </w:r>
      <w:hyperlink r:id="rId10" w:tgtFrame="_blank" w:history="1">
        <w:r w:rsidRPr="007C5EBD">
          <w:rPr>
            <w:color w:val="000000" w:themeColor="text1"/>
            <w:sz w:val="24"/>
            <w:szCs w:val="24"/>
            <w:shd w:val="clear" w:color="auto" w:fill="FFFFFF"/>
            <w:lang w:val="en-US"/>
          </w:rPr>
          <w:t>Quality versus quantity: The case of forward-looking disclosure</w:t>
        </w:r>
      </w:hyperlink>
      <w:r w:rsidRPr="007C5EBD">
        <w:rPr>
          <w:color w:val="000000" w:themeColor="text1"/>
          <w:sz w:val="24"/>
          <w:szCs w:val="24"/>
          <w:shd w:val="clear" w:color="auto" w:fill="FFFFFF"/>
          <w:lang w:val="en-US"/>
        </w:rPr>
        <w:t xml:space="preserve">. </w:t>
      </w:r>
      <w:r w:rsidRPr="007C5EBD">
        <w:rPr>
          <w:i/>
          <w:color w:val="000000" w:themeColor="text1"/>
          <w:sz w:val="24"/>
          <w:szCs w:val="24"/>
          <w:shd w:val="clear" w:color="auto" w:fill="FFFFFF"/>
          <w:lang w:val="en-US"/>
        </w:rPr>
        <w:t>Journal of Accounting, Auditing and Finance.</w:t>
      </w:r>
      <w:r w:rsidRPr="007C5EBD">
        <w:rPr>
          <w:color w:val="000000" w:themeColor="text1"/>
          <w:sz w:val="24"/>
          <w:szCs w:val="24"/>
          <w:shd w:val="clear" w:color="auto" w:fill="FFFFFF"/>
          <w:lang w:val="en-US"/>
        </w:rPr>
        <w:t xml:space="preserve"> 23(3). pp.333 – 375.</w:t>
      </w:r>
    </w:p>
    <w:p w14:paraId="2354AB33" w14:textId="77777777" w:rsidR="0039002B" w:rsidRPr="007C5EBD" w:rsidRDefault="0039002B" w:rsidP="00D07B67">
      <w:pPr>
        <w:autoSpaceDE w:val="0"/>
        <w:autoSpaceDN w:val="0"/>
        <w:adjustRightInd w:val="0"/>
        <w:jc w:val="both"/>
        <w:rPr>
          <w:bCs/>
          <w:color w:val="000000" w:themeColor="text1"/>
          <w:sz w:val="24"/>
          <w:szCs w:val="24"/>
          <w:lang w:val="en-US"/>
        </w:rPr>
      </w:pPr>
      <w:r w:rsidRPr="007C5EBD">
        <w:rPr>
          <w:bCs/>
          <w:color w:val="000000" w:themeColor="text1"/>
          <w:sz w:val="24"/>
          <w:szCs w:val="24"/>
          <w:lang w:val="en-US"/>
        </w:rPr>
        <w:t xml:space="preserve">Beyer, A., Cohen, D. A., Lys, T. Z., &amp; Walther, B. R. (2010) The financial reporting environment: Review of the recent literature. </w:t>
      </w:r>
      <w:r w:rsidRPr="007C5EBD">
        <w:rPr>
          <w:bCs/>
          <w:i/>
          <w:color w:val="000000" w:themeColor="text1"/>
          <w:sz w:val="24"/>
          <w:szCs w:val="24"/>
          <w:lang w:val="en-US"/>
        </w:rPr>
        <w:t>Journal of Accounting and Economics.</w:t>
      </w:r>
      <w:r w:rsidRPr="007C5EBD">
        <w:rPr>
          <w:bCs/>
          <w:color w:val="000000" w:themeColor="text1"/>
          <w:sz w:val="24"/>
          <w:szCs w:val="24"/>
          <w:lang w:val="en-US"/>
        </w:rPr>
        <w:t xml:space="preserve"> 50. pp. 296-343.</w:t>
      </w:r>
    </w:p>
    <w:p w14:paraId="02388D43" w14:textId="77777777" w:rsidR="0039002B" w:rsidRPr="007C5EBD" w:rsidRDefault="0039002B" w:rsidP="00D07B67">
      <w:pPr>
        <w:autoSpaceDE w:val="0"/>
        <w:autoSpaceDN w:val="0"/>
        <w:adjustRightInd w:val="0"/>
        <w:jc w:val="both"/>
        <w:rPr>
          <w:color w:val="000000" w:themeColor="text1"/>
          <w:sz w:val="24"/>
          <w:szCs w:val="24"/>
          <w:lang w:val="en-US"/>
        </w:rPr>
      </w:pPr>
      <w:r w:rsidRPr="007C5EBD">
        <w:rPr>
          <w:color w:val="000000" w:themeColor="text1"/>
          <w:sz w:val="24"/>
          <w:szCs w:val="24"/>
          <w:lang w:val="en-US"/>
        </w:rPr>
        <w:t>Bloomfield, R. (2008).</w:t>
      </w:r>
      <w:r w:rsidRPr="007C5EBD">
        <w:rPr>
          <w:color w:val="000000" w:themeColor="text1"/>
          <w:sz w:val="21"/>
          <w:szCs w:val="21"/>
          <w:lang w:val="en-US"/>
        </w:rPr>
        <w:t xml:space="preserve"> </w:t>
      </w:r>
      <w:r w:rsidRPr="007C5EBD">
        <w:rPr>
          <w:color w:val="000000" w:themeColor="text1"/>
          <w:sz w:val="24"/>
          <w:szCs w:val="24"/>
          <w:lang w:val="en-US"/>
        </w:rPr>
        <w:t xml:space="preserve">Discussion of ‘‘Annual report readability, current earnings, and earnings persistence’’. </w:t>
      </w:r>
      <w:r w:rsidRPr="007C5EBD">
        <w:rPr>
          <w:i/>
          <w:color w:val="000000" w:themeColor="text1"/>
          <w:sz w:val="24"/>
          <w:szCs w:val="24"/>
          <w:lang w:val="en-US"/>
        </w:rPr>
        <w:t>Journal of Accounting and Economics</w:t>
      </w:r>
      <w:r w:rsidRPr="007C5EBD">
        <w:rPr>
          <w:color w:val="000000" w:themeColor="text1"/>
          <w:sz w:val="24"/>
          <w:szCs w:val="24"/>
          <w:lang w:val="en-US"/>
        </w:rPr>
        <w:t>. 45. pp. 248– 252.</w:t>
      </w:r>
    </w:p>
    <w:p w14:paraId="4E8FECA0" w14:textId="77777777" w:rsidR="0039002B" w:rsidRPr="007C5EBD" w:rsidRDefault="0039002B" w:rsidP="00D07B67">
      <w:pPr>
        <w:autoSpaceDE w:val="0"/>
        <w:autoSpaceDN w:val="0"/>
        <w:adjustRightInd w:val="0"/>
        <w:jc w:val="both"/>
        <w:rPr>
          <w:color w:val="000000" w:themeColor="text1"/>
          <w:sz w:val="24"/>
          <w:szCs w:val="24"/>
          <w:lang w:val="en-US"/>
        </w:rPr>
      </w:pPr>
      <w:r w:rsidRPr="007C5EBD">
        <w:rPr>
          <w:color w:val="000000" w:themeColor="text1"/>
          <w:sz w:val="24"/>
          <w:szCs w:val="24"/>
          <w:lang w:val="en-US"/>
        </w:rPr>
        <w:t xml:space="preserve">Bravo. F. (2016) Forward-looking disclosure and corporate reputation as mechanisms to reduce stock return volatility. </w:t>
      </w:r>
      <w:r w:rsidRPr="007C5EBD">
        <w:rPr>
          <w:i/>
          <w:iCs/>
          <w:color w:val="000000" w:themeColor="text1"/>
          <w:sz w:val="24"/>
          <w:szCs w:val="24"/>
          <w:lang w:val="en-US"/>
        </w:rPr>
        <w:t>Revista de Contabilidad</w:t>
      </w:r>
      <w:r w:rsidRPr="007C5EBD">
        <w:rPr>
          <w:color w:val="000000" w:themeColor="text1"/>
          <w:sz w:val="24"/>
          <w:szCs w:val="24"/>
          <w:lang w:val="en-US"/>
        </w:rPr>
        <w:t>, 19, (1), pp. 122-131</w:t>
      </w:r>
    </w:p>
    <w:p w14:paraId="02759331" w14:textId="77777777" w:rsidR="0039002B" w:rsidRPr="007C5EBD" w:rsidRDefault="0039002B" w:rsidP="00D07B67">
      <w:pPr>
        <w:autoSpaceDE w:val="0"/>
        <w:autoSpaceDN w:val="0"/>
        <w:adjustRightInd w:val="0"/>
        <w:jc w:val="both"/>
        <w:rPr>
          <w:bCs/>
          <w:color w:val="000000" w:themeColor="text1"/>
          <w:sz w:val="24"/>
          <w:szCs w:val="24"/>
          <w:lang w:val="en-US"/>
        </w:rPr>
      </w:pPr>
      <w:r w:rsidRPr="007C5EBD">
        <w:rPr>
          <w:bCs/>
          <w:color w:val="000000" w:themeColor="text1"/>
          <w:sz w:val="24"/>
          <w:szCs w:val="24"/>
          <w:lang w:val="en-US"/>
        </w:rPr>
        <w:t xml:space="preserve">Courtis, J. K. (1995). Readability of annual reports: Western versus Asia evidence. </w:t>
      </w:r>
      <w:r w:rsidRPr="007C5EBD">
        <w:rPr>
          <w:bCs/>
          <w:i/>
          <w:color w:val="000000" w:themeColor="text1"/>
          <w:sz w:val="24"/>
          <w:szCs w:val="24"/>
          <w:lang w:val="en-US"/>
        </w:rPr>
        <w:t>Accounting, Auditing and Accountability Journal.</w:t>
      </w:r>
      <w:r w:rsidRPr="007C5EBD">
        <w:rPr>
          <w:bCs/>
          <w:color w:val="000000" w:themeColor="text1"/>
          <w:sz w:val="24"/>
          <w:szCs w:val="24"/>
          <w:lang w:val="en-US"/>
        </w:rPr>
        <w:t xml:space="preserve"> 8(2). pp. 4–17.</w:t>
      </w:r>
    </w:p>
    <w:p w14:paraId="739C79D7" w14:textId="77777777" w:rsidR="0039002B" w:rsidRPr="007C5EBD" w:rsidRDefault="0039002B" w:rsidP="00D07B67">
      <w:pPr>
        <w:autoSpaceDE w:val="0"/>
        <w:autoSpaceDN w:val="0"/>
        <w:adjustRightInd w:val="0"/>
        <w:jc w:val="both"/>
        <w:rPr>
          <w:color w:val="000000" w:themeColor="text1"/>
          <w:sz w:val="24"/>
          <w:szCs w:val="24"/>
          <w:lang w:val="en-US"/>
        </w:rPr>
      </w:pPr>
      <w:r w:rsidRPr="006F12C1">
        <w:rPr>
          <w:bCs/>
          <w:color w:val="000000" w:themeColor="text1"/>
          <w:sz w:val="24"/>
          <w:szCs w:val="24"/>
          <w:lang w:val="en-US"/>
        </w:rPr>
        <w:t xml:space="preserve">De Franco, G., Hope, O.-K. Vyas D. &amp; Zhou Y. (2015). </w:t>
      </w:r>
      <w:r w:rsidRPr="007C5EBD">
        <w:rPr>
          <w:bCs/>
          <w:color w:val="000000" w:themeColor="text1"/>
          <w:sz w:val="24"/>
          <w:szCs w:val="24"/>
          <w:lang w:val="en-US"/>
        </w:rPr>
        <w:t xml:space="preserve">Analyst report readability, </w:t>
      </w:r>
      <w:r w:rsidRPr="007C5EBD">
        <w:rPr>
          <w:bCs/>
          <w:i/>
          <w:color w:val="000000" w:themeColor="text1"/>
          <w:sz w:val="24"/>
          <w:szCs w:val="24"/>
          <w:lang w:val="en-US"/>
        </w:rPr>
        <w:t xml:space="preserve">Contemporary Accounting Research. </w:t>
      </w:r>
      <w:r w:rsidRPr="007C5EBD">
        <w:rPr>
          <w:bCs/>
          <w:color w:val="000000" w:themeColor="text1"/>
          <w:sz w:val="24"/>
          <w:szCs w:val="24"/>
          <w:lang w:val="en-US"/>
        </w:rPr>
        <w:t>32(1). Spring. pp. 76-104.</w:t>
      </w:r>
    </w:p>
    <w:p w14:paraId="54FB3267" w14:textId="77777777" w:rsidR="0039002B" w:rsidRPr="007C5EBD" w:rsidRDefault="0039002B" w:rsidP="00D07B67">
      <w:pPr>
        <w:autoSpaceDE w:val="0"/>
        <w:autoSpaceDN w:val="0"/>
        <w:adjustRightInd w:val="0"/>
        <w:jc w:val="both"/>
        <w:rPr>
          <w:color w:val="000000" w:themeColor="text1"/>
          <w:sz w:val="24"/>
          <w:szCs w:val="24"/>
          <w:lang w:val="en-US"/>
        </w:rPr>
      </w:pPr>
      <w:r w:rsidRPr="007C5EBD">
        <w:rPr>
          <w:color w:val="000000" w:themeColor="text1"/>
          <w:sz w:val="24"/>
          <w:szCs w:val="24"/>
          <w:lang w:val="en-US"/>
        </w:rPr>
        <w:t xml:space="preserve">Dempsey, S. J., Harrison, D. M., Luchtenberg, K. F., &amp; Seiler, M. J. (2012). Financial Opacity and Firm Performance: The Readability of REIT Annual Reports. </w:t>
      </w:r>
      <w:r w:rsidRPr="007C5EBD">
        <w:rPr>
          <w:i/>
          <w:color w:val="000000" w:themeColor="text1"/>
          <w:sz w:val="24"/>
          <w:szCs w:val="24"/>
          <w:lang w:val="en-US"/>
        </w:rPr>
        <w:t>The Journal of Real Estate Finance and Economics</w:t>
      </w:r>
      <w:r w:rsidRPr="007C5EBD">
        <w:rPr>
          <w:color w:val="000000" w:themeColor="text1"/>
          <w:sz w:val="24"/>
          <w:szCs w:val="24"/>
          <w:lang w:val="en-US"/>
        </w:rPr>
        <w:t>. 45. pp. 450–470.</w:t>
      </w:r>
    </w:p>
    <w:p w14:paraId="43C98F94" w14:textId="77777777" w:rsidR="0039002B" w:rsidRPr="007C5EBD" w:rsidRDefault="0039002B" w:rsidP="00D07B67">
      <w:pPr>
        <w:autoSpaceDE w:val="0"/>
        <w:autoSpaceDN w:val="0"/>
        <w:adjustRightInd w:val="0"/>
        <w:jc w:val="both"/>
        <w:rPr>
          <w:color w:val="000000" w:themeColor="text1"/>
          <w:sz w:val="24"/>
          <w:szCs w:val="24"/>
          <w:shd w:val="clear" w:color="auto" w:fill="FFFFFF"/>
          <w:lang w:val="en-US"/>
        </w:rPr>
      </w:pPr>
      <w:r w:rsidRPr="007C5EBD">
        <w:rPr>
          <w:color w:val="000000" w:themeColor="text1"/>
          <w:sz w:val="24"/>
          <w:szCs w:val="24"/>
          <w:shd w:val="clear" w:color="auto" w:fill="FFFFFF"/>
          <w:lang w:val="en-US"/>
        </w:rPr>
        <w:t>Devalle, A., Rizzato, F., &amp; Busso, D. (2016). Disclosure indexes and compliance with mandatory disclosure:The case of intangible assets in the Italian Market. Advances in Accounting. 35. pp. 8-25.</w:t>
      </w:r>
    </w:p>
    <w:p w14:paraId="654E205D" w14:textId="246BBABC" w:rsidR="0039002B" w:rsidRPr="007C5EBD" w:rsidRDefault="0039002B" w:rsidP="00D07B67">
      <w:pPr>
        <w:autoSpaceDE w:val="0"/>
        <w:autoSpaceDN w:val="0"/>
        <w:adjustRightInd w:val="0"/>
        <w:jc w:val="both"/>
        <w:rPr>
          <w:color w:val="000000" w:themeColor="text1"/>
          <w:sz w:val="24"/>
          <w:szCs w:val="24"/>
          <w:lang w:val="en-US"/>
        </w:rPr>
      </w:pPr>
      <w:bookmarkStart w:id="2" w:name="_Hlk495843885"/>
      <w:r w:rsidRPr="007C5EBD">
        <w:rPr>
          <w:color w:val="000000" w:themeColor="text1"/>
          <w:sz w:val="24"/>
          <w:szCs w:val="24"/>
          <w:lang w:val="en-US"/>
        </w:rPr>
        <w:t xml:space="preserve">Greco, G. (2012). The management's reaction to new mandatory risk disclosure. </w:t>
      </w:r>
      <w:r w:rsidRPr="007C5EBD">
        <w:rPr>
          <w:i/>
          <w:color w:val="000000" w:themeColor="text1"/>
          <w:sz w:val="24"/>
          <w:szCs w:val="24"/>
          <w:lang w:val="en-US"/>
        </w:rPr>
        <w:t>Corporate Communications: An International Journal</w:t>
      </w:r>
      <w:r w:rsidRPr="007C5EBD">
        <w:rPr>
          <w:color w:val="000000" w:themeColor="text1"/>
          <w:sz w:val="24"/>
          <w:szCs w:val="24"/>
          <w:lang w:val="en-US"/>
        </w:rPr>
        <w:t>. 17(2)</w:t>
      </w:r>
      <w:r w:rsidR="00376211">
        <w:rPr>
          <w:color w:val="000000" w:themeColor="text1"/>
          <w:sz w:val="24"/>
          <w:szCs w:val="24"/>
          <w:lang w:val="en-US"/>
        </w:rPr>
        <w:t>.</w:t>
      </w:r>
      <w:r w:rsidRPr="007C5EBD">
        <w:rPr>
          <w:color w:val="000000" w:themeColor="text1"/>
          <w:sz w:val="24"/>
          <w:szCs w:val="24"/>
          <w:lang w:val="en-US"/>
        </w:rPr>
        <w:t xml:space="preserve"> pp. 113-137. </w:t>
      </w:r>
    </w:p>
    <w:p w14:paraId="013C788A" w14:textId="77777777" w:rsidR="0039002B" w:rsidRPr="007C5EBD" w:rsidRDefault="0039002B" w:rsidP="00D07B67">
      <w:pPr>
        <w:autoSpaceDE w:val="0"/>
        <w:autoSpaceDN w:val="0"/>
        <w:adjustRightInd w:val="0"/>
        <w:jc w:val="both"/>
        <w:rPr>
          <w:bCs/>
          <w:color w:val="000000" w:themeColor="text1"/>
          <w:sz w:val="24"/>
          <w:szCs w:val="24"/>
          <w:lang w:val="en-US"/>
        </w:rPr>
      </w:pPr>
      <w:r w:rsidRPr="007C5EBD">
        <w:rPr>
          <w:bCs/>
          <w:color w:val="000000" w:themeColor="text1"/>
          <w:sz w:val="24"/>
          <w:szCs w:val="24"/>
          <w:lang w:val="en-US"/>
        </w:rPr>
        <w:t>Heath, R. L., &amp; Phelps, G. (1984). Annual reports II: Readability of reports vs. business press. </w:t>
      </w:r>
      <w:r w:rsidRPr="007C5EBD">
        <w:rPr>
          <w:bCs/>
          <w:i/>
          <w:color w:val="000000" w:themeColor="text1"/>
          <w:sz w:val="24"/>
          <w:szCs w:val="24"/>
          <w:lang w:val="en-US"/>
        </w:rPr>
        <w:t>Public Relations Review</w:t>
      </w:r>
      <w:r w:rsidRPr="007C5EBD">
        <w:rPr>
          <w:bCs/>
          <w:color w:val="000000" w:themeColor="text1"/>
          <w:sz w:val="24"/>
          <w:szCs w:val="24"/>
          <w:lang w:val="en-US"/>
        </w:rPr>
        <w:t>. 10(2). pp. 56-62.</w:t>
      </w:r>
    </w:p>
    <w:p w14:paraId="07E8F711" w14:textId="77777777" w:rsidR="0039002B" w:rsidRPr="006F12C1" w:rsidRDefault="0039002B" w:rsidP="00D07B67">
      <w:pPr>
        <w:autoSpaceDE w:val="0"/>
        <w:autoSpaceDN w:val="0"/>
        <w:adjustRightInd w:val="0"/>
        <w:jc w:val="both"/>
        <w:rPr>
          <w:color w:val="000000" w:themeColor="text1"/>
          <w:sz w:val="24"/>
          <w:szCs w:val="24"/>
          <w:lang w:val="es-ES"/>
        </w:rPr>
      </w:pPr>
      <w:r w:rsidRPr="007C5EBD">
        <w:rPr>
          <w:color w:val="000000" w:themeColor="text1"/>
          <w:sz w:val="24"/>
          <w:szCs w:val="24"/>
          <w:lang w:val="en-US"/>
        </w:rPr>
        <w:t xml:space="preserve">Heflin, F., Shaw, K. W., &amp; Wild, J. J. (2000). Disclosure quality and market liquidity. </w:t>
      </w:r>
      <w:r w:rsidRPr="006F12C1">
        <w:rPr>
          <w:color w:val="000000" w:themeColor="text1"/>
          <w:sz w:val="24"/>
          <w:szCs w:val="24"/>
          <w:lang w:val="es-ES"/>
        </w:rPr>
        <w:t xml:space="preserve">Recuperado de </w:t>
      </w:r>
      <w:hyperlink r:id="rId11" w:tgtFrame="_blank" w:history="1">
        <w:r w:rsidRPr="006F12C1">
          <w:rPr>
            <w:color w:val="000000" w:themeColor="text1"/>
            <w:sz w:val="24"/>
            <w:szCs w:val="24"/>
            <w:lang w:val="es-ES"/>
          </w:rPr>
          <w:t>https://ssrn.com/abstract=251849</w:t>
        </w:r>
      </w:hyperlink>
      <w:r w:rsidRPr="006F12C1">
        <w:rPr>
          <w:color w:val="000000" w:themeColor="text1"/>
          <w:sz w:val="24"/>
          <w:szCs w:val="24"/>
          <w:lang w:val="es-ES"/>
        </w:rPr>
        <w:t>&gt;.</w:t>
      </w:r>
    </w:p>
    <w:p w14:paraId="0F5AEBBF" w14:textId="77777777" w:rsidR="0039002B" w:rsidRPr="007C5EBD" w:rsidRDefault="0039002B" w:rsidP="00D07B67">
      <w:pPr>
        <w:autoSpaceDE w:val="0"/>
        <w:autoSpaceDN w:val="0"/>
        <w:adjustRightInd w:val="0"/>
        <w:jc w:val="both"/>
        <w:rPr>
          <w:color w:val="000000" w:themeColor="text1"/>
          <w:sz w:val="24"/>
          <w:szCs w:val="24"/>
          <w:shd w:val="clear" w:color="auto" w:fill="FFFFFF"/>
        </w:rPr>
      </w:pPr>
      <w:r w:rsidRPr="006F12C1">
        <w:rPr>
          <w:color w:val="000000" w:themeColor="text1"/>
          <w:sz w:val="24"/>
          <w:szCs w:val="24"/>
          <w:shd w:val="clear" w:color="auto" w:fill="FFFFFF"/>
          <w:lang w:val="es-ES"/>
        </w:rPr>
        <w:t xml:space="preserve">Hendriksen, E.S., &amp; Van Breda, M.F. (2009). </w:t>
      </w:r>
      <w:r w:rsidRPr="007C5EBD">
        <w:rPr>
          <w:color w:val="000000" w:themeColor="text1"/>
          <w:sz w:val="24"/>
          <w:szCs w:val="24"/>
          <w:shd w:val="clear" w:color="auto" w:fill="FFFFFF"/>
        </w:rPr>
        <w:t xml:space="preserve">Teoria da Contabilidade. São Paulo: Atlas. </w:t>
      </w:r>
    </w:p>
    <w:p w14:paraId="2E12AF94" w14:textId="1DDEE2A5" w:rsidR="0039002B" w:rsidRPr="007C5EBD" w:rsidRDefault="0039002B" w:rsidP="00D07B67">
      <w:pPr>
        <w:autoSpaceDE w:val="0"/>
        <w:autoSpaceDN w:val="0"/>
        <w:adjustRightInd w:val="0"/>
        <w:jc w:val="both"/>
        <w:rPr>
          <w:bCs/>
          <w:color w:val="000000" w:themeColor="text1"/>
          <w:sz w:val="24"/>
          <w:szCs w:val="24"/>
          <w:lang w:val="en-US"/>
        </w:rPr>
      </w:pPr>
      <w:r w:rsidRPr="007C5EBD">
        <w:rPr>
          <w:bCs/>
          <w:color w:val="000000" w:themeColor="text1"/>
          <w:sz w:val="24"/>
          <w:szCs w:val="24"/>
          <w:lang w:val="en-US"/>
        </w:rPr>
        <w:t xml:space="preserve">Jones, M. J. (1988). A longitudinal study of the readability of chairman’s narratives in the corporate reports of a UK company. </w:t>
      </w:r>
      <w:r w:rsidRPr="007C5EBD">
        <w:rPr>
          <w:bCs/>
          <w:i/>
          <w:color w:val="000000" w:themeColor="text1"/>
          <w:sz w:val="24"/>
          <w:szCs w:val="24"/>
          <w:lang w:val="en-US"/>
        </w:rPr>
        <w:t>Accounting and Business Research</w:t>
      </w:r>
      <w:r w:rsidRPr="007C5EBD">
        <w:rPr>
          <w:bCs/>
          <w:color w:val="000000" w:themeColor="text1"/>
          <w:sz w:val="24"/>
          <w:szCs w:val="24"/>
          <w:lang w:val="en-US"/>
        </w:rPr>
        <w:t>,</w:t>
      </w:r>
      <w:r w:rsidR="00376211">
        <w:rPr>
          <w:bCs/>
          <w:color w:val="000000" w:themeColor="text1"/>
          <w:sz w:val="24"/>
          <w:szCs w:val="24"/>
          <w:lang w:val="en-US"/>
        </w:rPr>
        <w:t xml:space="preserve"> </w:t>
      </w:r>
      <w:r w:rsidRPr="007C5EBD">
        <w:rPr>
          <w:bCs/>
          <w:color w:val="000000" w:themeColor="text1"/>
          <w:sz w:val="24"/>
          <w:szCs w:val="24"/>
          <w:lang w:val="en-US"/>
        </w:rPr>
        <w:t>18, pp. 297–305.</w:t>
      </w:r>
    </w:p>
    <w:bookmarkEnd w:id="2"/>
    <w:p w14:paraId="1DE690E7" w14:textId="77623DF9" w:rsidR="0039002B" w:rsidRPr="007C5EBD" w:rsidRDefault="0039002B" w:rsidP="00D07B67">
      <w:pPr>
        <w:autoSpaceDE w:val="0"/>
        <w:autoSpaceDN w:val="0"/>
        <w:adjustRightInd w:val="0"/>
        <w:jc w:val="both"/>
        <w:rPr>
          <w:bCs/>
          <w:color w:val="000000" w:themeColor="text1"/>
          <w:sz w:val="24"/>
          <w:szCs w:val="24"/>
          <w:lang w:val="en-US"/>
        </w:rPr>
      </w:pPr>
      <w:r w:rsidRPr="007C5EBD">
        <w:rPr>
          <w:bCs/>
          <w:color w:val="000000" w:themeColor="text1"/>
          <w:sz w:val="24"/>
          <w:szCs w:val="24"/>
          <w:lang w:val="en-US"/>
        </w:rPr>
        <w:t xml:space="preserve">Jones, M. J. (1996). Readability of annual reports: Western versus asian evidence </w:t>
      </w:r>
      <w:r w:rsidRPr="007C5EBD">
        <w:rPr>
          <w:rFonts w:ascii="Cambria Math" w:hAnsi="Cambria Math" w:cs="Cambria Math"/>
          <w:bCs/>
          <w:color w:val="000000" w:themeColor="text1"/>
          <w:sz w:val="24"/>
          <w:szCs w:val="24"/>
          <w:lang w:val="en-US"/>
        </w:rPr>
        <w:t>‐</w:t>
      </w:r>
      <w:r w:rsidRPr="007C5EBD">
        <w:rPr>
          <w:bCs/>
          <w:color w:val="000000" w:themeColor="text1"/>
          <w:sz w:val="24"/>
          <w:szCs w:val="24"/>
          <w:lang w:val="en-US"/>
        </w:rPr>
        <w:t xml:space="preserve"> a comment to contextualize. </w:t>
      </w:r>
      <w:r w:rsidRPr="007C5EBD">
        <w:rPr>
          <w:bCs/>
          <w:i/>
          <w:color w:val="000000" w:themeColor="text1"/>
          <w:sz w:val="24"/>
          <w:szCs w:val="24"/>
          <w:lang w:val="en-US"/>
        </w:rPr>
        <w:t>Accounting, Auditing &amp; Accountability Journal</w:t>
      </w:r>
      <w:r w:rsidRPr="007C5EBD">
        <w:rPr>
          <w:bCs/>
          <w:color w:val="000000" w:themeColor="text1"/>
          <w:sz w:val="24"/>
          <w:szCs w:val="24"/>
          <w:lang w:val="en-US"/>
        </w:rPr>
        <w:t>. 9(2). pp.</w:t>
      </w:r>
      <w:r w:rsidR="00376211">
        <w:rPr>
          <w:bCs/>
          <w:color w:val="000000" w:themeColor="text1"/>
          <w:sz w:val="24"/>
          <w:szCs w:val="24"/>
          <w:lang w:val="en-US"/>
        </w:rPr>
        <w:t xml:space="preserve"> </w:t>
      </w:r>
      <w:r w:rsidRPr="007C5EBD">
        <w:rPr>
          <w:bCs/>
          <w:color w:val="000000" w:themeColor="text1"/>
          <w:sz w:val="24"/>
          <w:szCs w:val="24"/>
          <w:lang w:val="en-US"/>
        </w:rPr>
        <w:t>86-91.</w:t>
      </w:r>
    </w:p>
    <w:p w14:paraId="3151BEBB" w14:textId="189B332F" w:rsidR="0039002B" w:rsidRPr="007C5EBD" w:rsidRDefault="0039002B" w:rsidP="00D07B67">
      <w:pPr>
        <w:autoSpaceDE w:val="0"/>
        <w:autoSpaceDN w:val="0"/>
        <w:adjustRightInd w:val="0"/>
        <w:jc w:val="both"/>
        <w:rPr>
          <w:color w:val="000000" w:themeColor="text1"/>
          <w:sz w:val="24"/>
          <w:szCs w:val="24"/>
          <w:lang w:val="en-US"/>
        </w:rPr>
      </w:pPr>
      <w:r w:rsidRPr="007C5EBD">
        <w:rPr>
          <w:color w:val="000000" w:themeColor="text1"/>
          <w:sz w:val="24"/>
          <w:szCs w:val="24"/>
          <w:lang w:val="en-US"/>
        </w:rPr>
        <w:t xml:space="preserve">Jones, M., &amp; Smith, M. (2014). Traditional and alternative methods of measuring the understandability of accounting narratives. </w:t>
      </w:r>
      <w:r w:rsidRPr="007C5EBD">
        <w:rPr>
          <w:i/>
          <w:color w:val="000000" w:themeColor="text1"/>
          <w:sz w:val="24"/>
          <w:szCs w:val="24"/>
          <w:lang w:val="en-US"/>
        </w:rPr>
        <w:t>Accounting, Auditing &amp; Accountability Journal</w:t>
      </w:r>
      <w:r w:rsidRPr="007C5EBD">
        <w:rPr>
          <w:color w:val="000000" w:themeColor="text1"/>
          <w:sz w:val="24"/>
          <w:szCs w:val="24"/>
          <w:lang w:val="en-US"/>
        </w:rPr>
        <w:t>. 27(1). pp.</w:t>
      </w:r>
      <w:r w:rsidR="00376211">
        <w:rPr>
          <w:color w:val="000000" w:themeColor="text1"/>
          <w:sz w:val="24"/>
          <w:szCs w:val="24"/>
          <w:lang w:val="en-US"/>
        </w:rPr>
        <w:t xml:space="preserve"> </w:t>
      </w:r>
      <w:r w:rsidRPr="007C5EBD">
        <w:rPr>
          <w:color w:val="000000" w:themeColor="text1"/>
          <w:sz w:val="24"/>
          <w:szCs w:val="24"/>
          <w:lang w:val="en-US"/>
        </w:rPr>
        <w:t>183-208.</w:t>
      </w:r>
    </w:p>
    <w:p w14:paraId="280ECEBC" w14:textId="77777777" w:rsidR="0039002B" w:rsidRPr="007C5EBD" w:rsidRDefault="0039002B" w:rsidP="00D07B67">
      <w:pPr>
        <w:autoSpaceDE w:val="0"/>
        <w:autoSpaceDN w:val="0"/>
        <w:adjustRightInd w:val="0"/>
        <w:jc w:val="both"/>
        <w:rPr>
          <w:bCs/>
          <w:color w:val="000000" w:themeColor="text1"/>
          <w:sz w:val="24"/>
          <w:szCs w:val="24"/>
          <w:lang w:val="en-US"/>
        </w:rPr>
      </w:pPr>
      <w:r w:rsidRPr="007C5EBD">
        <w:rPr>
          <w:bCs/>
          <w:color w:val="000000" w:themeColor="text1"/>
          <w:sz w:val="24"/>
          <w:szCs w:val="24"/>
          <w:lang w:val="en-US"/>
        </w:rPr>
        <w:t xml:space="preserve">Kothary, S.P, Ramanna, K, &amp; Skinner, D. J. (2010). Implications for GAAP from an analysis of positive research in accounting. </w:t>
      </w:r>
      <w:r w:rsidRPr="007C5EBD">
        <w:rPr>
          <w:bCs/>
          <w:i/>
          <w:color w:val="000000" w:themeColor="text1"/>
          <w:sz w:val="24"/>
          <w:szCs w:val="24"/>
          <w:lang w:val="en-US"/>
        </w:rPr>
        <w:t>Journal of Accounting and Economics</w:t>
      </w:r>
      <w:r w:rsidRPr="007C5EBD">
        <w:rPr>
          <w:bCs/>
          <w:color w:val="000000" w:themeColor="text1"/>
          <w:sz w:val="24"/>
          <w:szCs w:val="24"/>
          <w:lang w:val="en-US"/>
        </w:rPr>
        <w:t>. 50(2–3). pp. 246-286.</w:t>
      </w:r>
    </w:p>
    <w:p w14:paraId="5B1DC65E" w14:textId="7C4EC8BE" w:rsidR="0039002B" w:rsidRPr="007C5EBD" w:rsidRDefault="0039002B" w:rsidP="00D07B67">
      <w:pPr>
        <w:autoSpaceDE w:val="0"/>
        <w:autoSpaceDN w:val="0"/>
        <w:adjustRightInd w:val="0"/>
        <w:jc w:val="both"/>
        <w:rPr>
          <w:bCs/>
          <w:color w:val="000000" w:themeColor="text1"/>
          <w:sz w:val="24"/>
          <w:szCs w:val="24"/>
          <w:lang w:val="en-US"/>
        </w:rPr>
      </w:pPr>
      <w:r w:rsidRPr="007C5EBD">
        <w:rPr>
          <w:bCs/>
          <w:color w:val="000000" w:themeColor="text1"/>
          <w:sz w:val="24"/>
          <w:szCs w:val="24"/>
          <w:lang w:val="en-US"/>
        </w:rPr>
        <w:lastRenderedPageBreak/>
        <w:t xml:space="preserve">Laksmana, I., Tietz, W., &amp; Yang, Y. W. (2012). Compensation discussion and analysis (CD&amp;A): Readability and management obfuscation. </w:t>
      </w:r>
      <w:r w:rsidRPr="007C5EBD">
        <w:rPr>
          <w:bCs/>
          <w:i/>
          <w:color w:val="000000" w:themeColor="text1"/>
          <w:sz w:val="24"/>
          <w:szCs w:val="24"/>
          <w:lang w:val="en-US"/>
        </w:rPr>
        <w:t>Journal of Accounting Public Policy</w:t>
      </w:r>
      <w:r w:rsidRPr="007C5EBD">
        <w:rPr>
          <w:bCs/>
          <w:color w:val="000000" w:themeColor="text1"/>
          <w:sz w:val="24"/>
          <w:szCs w:val="24"/>
          <w:lang w:val="en-US"/>
        </w:rPr>
        <w:t>. 31. pp. 185–203.</w:t>
      </w:r>
    </w:p>
    <w:p w14:paraId="204FF1F5" w14:textId="77777777" w:rsidR="0039002B" w:rsidRPr="007C5EBD" w:rsidRDefault="0039002B" w:rsidP="00D07B67">
      <w:pPr>
        <w:autoSpaceDE w:val="0"/>
        <w:autoSpaceDN w:val="0"/>
        <w:adjustRightInd w:val="0"/>
        <w:jc w:val="both"/>
        <w:rPr>
          <w:color w:val="000000" w:themeColor="text1"/>
          <w:sz w:val="24"/>
          <w:szCs w:val="24"/>
          <w:lang w:val="en-US"/>
        </w:rPr>
      </w:pPr>
      <w:r w:rsidRPr="007C5EBD">
        <w:rPr>
          <w:bCs/>
          <w:color w:val="000000" w:themeColor="text1"/>
          <w:sz w:val="24"/>
          <w:szCs w:val="24"/>
          <w:lang w:val="en-US"/>
        </w:rPr>
        <w:t>Lang, M., &amp; Stice-Lawrence, L. (2015). Textual analysis and international financial reporting: Large sample evidence. </w:t>
      </w:r>
      <w:r w:rsidRPr="007C5EBD">
        <w:rPr>
          <w:bCs/>
          <w:i/>
          <w:color w:val="000000" w:themeColor="text1"/>
          <w:sz w:val="24"/>
          <w:szCs w:val="24"/>
          <w:lang w:val="en-US"/>
        </w:rPr>
        <w:t>Journal of Accounting and Economics.</w:t>
      </w:r>
      <w:r w:rsidRPr="007C5EBD">
        <w:rPr>
          <w:bCs/>
          <w:color w:val="000000" w:themeColor="text1"/>
          <w:sz w:val="24"/>
          <w:szCs w:val="24"/>
          <w:lang w:val="en-US"/>
        </w:rPr>
        <w:t xml:space="preserve"> 60(2). pp. 110-135.</w:t>
      </w:r>
      <w:r w:rsidRPr="007C5EBD">
        <w:rPr>
          <w:color w:val="000000" w:themeColor="text1"/>
          <w:sz w:val="24"/>
          <w:szCs w:val="24"/>
          <w:lang w:val="en-US"/>
        </w:rPr>
        <w:t xml:space="preserve"> </w:t>
      </w:r>
    </w:p>
    <w:p w14:paraId="36021215" w14:textId="77777777" w:rsidR="0039002B" w:rsidRPr="007C5EBD" w:rsidRDefault="0039002B" w:rsidP="00D07B67">
      <w:pPr>
        <w:autoSpaceDE w:val="0"/>
        <w:autoSpaceDN w:val="0"/>
        <w:adjustRightInd w:val="0"/>
        <w:jc w:val="both"/>
        <w:rPr>
          <w:color w:val="000000" w:themeColor="text1"/>
          <w:sz w:val="24"/>
          <w:szCs w:val="24"/>
          <w:lang w:val="en-US"/>
        </w:rPr>
      </w:pPr>
      <w:r w:rsidRPr="007C5EBD">
        <w:rPr>
          <w:color w:val="000000" w:themeColor="text1"/>
          <w:sz w:val="24"/>
          <w:szCs w:val="24"/>
          <w:lang w:val="en-US"/>
        </w:rPr>
        <w:t xml:space="preserve">Lawrence, A. (2013). Individual investors and financial disclosure, </w:t>
      </w:r>
      <w:r w:rsidRPr="007C5EBD">
        <w:rPr>
          <w:i/>
          <w:color w:val="000000" w:themeColor="text1"/>
          <w:sz w:val="24"/>
          <w:szCs w:val="24"/>
          <w:lang w:val="en-US"/>
        </w:rPr>
        <w:t xml:space="preserve">Journal of Accounting &amp; Economics. </w:t>
      </w:r>
      <w:r w:rsidRPr="007C5EBD">
        <w:rPr>
          <w:color w:val="000000" w:themeColor="text1"/>
          <w:sz w:val="24"/>
          <w:szCs w:val="24"/>
          <w:lang w:val="en-US"/>
        </w:rPr>
        <w:t>56. pp.130–147.</w:t>
      </w:r>
    </w:p>
    <w:p w14:paraId="087C6D73" w14:textId="77777777" w:rsidR="0039002B" w:rsidRPr="006F12C1" w:rsidRDefault="0039002B" w:rsidP="00D07B67">
      <w:pPr>
        <w:autoSpaceDE w:val="0"/>
        <w:autoSpaceDN w:val="0"/>
        <w:adjustRightInd w:val="0"/>
        <w:jc w:val="both"/>
        <w:rPr>
          <w:color w:val="000000" w:themeColor="text1"/>
          <w:sz w:val="24"/>
          <w:szCs w:val="24"/>
        </w:rPr>
      </w:pPr>
      <w:r w:rsidRPr="007C5EBD">
        <w:rPr>
          <w:color w:val="000000" w:themeColor="text1"/>
          <w:sz w:val="24"/>
          <w:szCs w:val="24"/>
          <w:lang w:val="en-US"/>
        </w:rPr>
        <w:t xml:space="preserve">Lehavy, R., Li, F. &amp; Merkley, K. (2011). The effect of annual report readability on analyst following and the properties of their earnings forecasts. </w:t>
      </w:r>
      <w:r w:rsidRPr="006F12C1">
        <w:rPr>
          <w:i/>
          <w:color w:val="000000" w:themeColor="text1"/>
          <w:sz w:val="24"/>
          <w:szCs w:val="24"/>
        </w:rPr>
        <w:t>The Accounting Review,</w:t>
      </w:r>
      <w:r w:rsidRPr="006F12C1">
        <w:rPr>
          <w:color w:val="000000" w:themeColor="text1"/>
          <w:sz w:val="24"/>
          <w:szCs w:val="24"/>
        </w:rPr>
        <w:t xml:space="preserve"> 86, pp. 1087–1115.</w:t>
      </w:r>
    </w:p>
    <w:p w14:paraId="287F82A3" w14:textId="19582595" w:rsidR="0039002B" w:rsidRPr="006F12C1" w:rsidRDefault="0039002B" w:rsidP="00D07B67">
      <w:pPr>
        <w:autoSpaceDE w:val="0"/>
        <w:autoSpaceDN w:val="0"/>
        <w:adjustRightInd w:val="0"/>
        <w:jc w:val="both"/>
        <w:rPr>
          <w:color w:val="000000" w:themeColor="text1"/>
          <w:sz w:val="24"/>
          <w:szCs w:val="24"/>
          <w:shd w:val="clear" w:color="auto" w:fill="FFFFFF"/>
        </w:rPr>
      </w:pPr>
      <w:r w:rsidRPr="007C5EBD">
        <w:rPr>
          <w:i/>
          <w:color w:val="000000" w:themeColor="text1"/>
          <w:sz w:val="24"/>
          <w:szCs w:val="24"/>
          <w:shd w:val="clear" w:color="auto" w:fill="FFFFFF"/>
        </w:rPr>
        <w:t>Lei 6.404, de 15 de dezembro de 1976</w:t>
      </w:r>
      <w:r w:rsidRPr="007C5EBD">
        <w:rPr>
          <w:color w:val="000000" w:themeColor="text1"/>
          <w:sz w:val="24"/>
          <w:szCs w:val="24"/>
          <w:shd w:val="clear" w:color="auto" w:fill="FFFFFF"/>
        </w:rPr>
        <w:t xml:space="preserve">. Dispõe sobre as sociedades por ações. Recuperado de &lt;http://www.planalto.gov.br/ccivil_03/leis/L6404compilada.htm&gt;. </w:t>
      </w:r>
      <w:r w:rsidRPr="006F12C1">
        <w:rPr>
          <w:color w:val="000000" w:themeColor="text1"/>
          <w:sz w:val="24"/>
          <w:szCs w:val="24"/>
          <w:shd w:val="clear" w:color="auto" w:fill="FFFFFF"/>
        </w:rPr>
        <w:t>Acesso em: 01 de novembro de 201</w:t>
      </w:r>
      <w:r w:rsidR="005C16EC" w:rsidRPr="006F12C1">
        <w:rPr>
          <w:color w:val="000000" w:themeColor="text1"/>
          <w:sz w:val="24"/>
          <w:szCs w:val="24"/>
          <w:shd w:val="clear" w:color="auto" w:fill="FFFFFF"/>
        </w:rPr>
        <w:t>7</w:t>
      </w:r>
      <w:r w:rsidRPr="006F12C1">
        <w:rPr>
          <w:color w:val="000000" w:themeColor="text1"/>
          <w:sz w:val="24"/>
          <w:szCs w:val="24"/>
          <w:shd w:val="clear" w:color="auto" w:fill="FFFFFF"/>
        </w:rPr>
        <w:t>.</w:t>
      </w:r>
    </w:p>
    <w:p w14:paraId="3EC360FC" w14:textId="77777777" w:rsidR="0039002B" w:rsidRPr="007C5EBD" w:rsidRDefault="0039002B" w:rsidP="00D07B67">
      <w:pPr>
        <w:autoSpaceDE w:val="0"/>
        <w:autoSpaceDN w:val="0"/>
        <w:adjustRightInd w:val="0"/>
        <w:jc w:val="both"/>
        <w:rPr>
          <w:bCs/>
          <w:color w:val="000000" w:themeColor="text1"/>
          <w:sz w:val="24"/>
          <w:szCs w:val="24"/>
          <w:lang w:val="en-US"/>
        </w:rPr>
      </w:pPr>
      <w:r w:rsidRPr="007C5EBD">
        <w:rPr>
          <w:bCs/>
          <w:color w:val="000000" w:themeColor="text1"/>
          <w:sz w:val="24"/>
          <w:szCs w:val="24"/>
          <w:lang w:val="en-US"/>
        </w:rPr>
        <w:t xml:space="preserve">Li, F. (2008). Annual report readability, current earnings, and earnings persistence. </w:t>
      </w:r>
      <w:r w:rsidRPr="007C5EBD">
        <w:rPr>
          <w:bCs/>
          <w:i/>
          <w:color w:val="000000" w:themeColor="text1"/>
          <w:sz w:val="24"/>
          <w:szCs w:val="24"/>
          <w:lang w:val="en-US"/>
        </w:rPr>
        <w:t>Journal of Accounting and Economics</w:t>
      </w:r>
      <w:r w:rsidRPr="007C5EBD">
        <w:rPr>
          <w:bCs/>
          <w:color w:val="000000" w:themeColor="text1"/>
          <w:sz w:val="24"/>
          <w:szCs w:val="24"/>
          <w:lang w:val="en-US"/>
        </w:rPr>
        <w:t>. 45. pp. 221-247.</w:t>
      </w:r>
    </w:p>
    <w:p w14:paraId="686C7F1B" w14:textId="77777777" w:rsidR="0039002B" w:rsidRPr="007C5EBD" w:rsidRDefault="0039002B" w:rsidP="00D07B67">
      <w:pPr>
        <w:autoSpaceDE w:val="0"/>
        <w:autoSpaceDN w:val="0"/>
        <w:adjustRightInd w:val="0"/>
        <w:jc w:val="both"/>
        <w:rPr>
          <w:color w:val="000000" w:themeColor="text1"/>
          <w:sz w:val="24"/>
          <w:szCs w:val="24"/>
          <w:lang w:val="en-US"/>
        </w:rPr>
      </w:pPr>
      <w:r w:rsidRPr="007C5EBD">
        <w:rPr>
          <w:color w:val="000000" w:themeColor="text1"/>
          <w:sz w:val="24"/>
          <w:szCs w:val="24"/>
          <w:lang w:val="en-US"/>
        </w:rPr>
        <w:t xml:space="preserve">Loughran, T., &amp; Mcdonald, B. (2014). Measuring readability in financial disclosures. </w:t>
      </w:r>
      <w:r w:rsidRPr="007C5EBD">
        <w:rPr>
          <w:i/>
          <w:color w:val="000000" w:themeColor="text1"/>
          <w:sz w:val="24"/>
          <w:szCs w:val="24"/>
          <w:lang w:val="en-US"/>
        </w:rPr>
        <w:t>Journal of Finance</w:t>
      </w:r>
      <w:r w:rsidRPr="007C5EBD">
        <w:rPr>
          <w:color w:val="000000" w:themeColor="text1"/>
          <w:sz w:val="24"/>
          <w:szCs w:val="24"/>
          <w:lang w:val="en-US"/>
        </w:rPr>
        <w:t>, 69, pp. 1643–1671.</w:t>
      </w:r>
    </w:p>
    <w:p w14:paraId="25552DAA" w14:textId="77777777" w:rsidR="0039002B" w:rsidRPr="007C5EBD" w:rsidRDefault="0039002B" w:rsidP="00D07B67">
      <w:pPr>
        <w:autoSpaceDE w:val="0"/>
        <w:autoSpaceDN w:val="0"/>
        <w:adjustRightInd w:val="0"/>
        <w:jc w:val="both"/>
        <w:rPr>
          <w:color w:val="000000" w:themeColor="text1"/>
          <w:sz w:val="24"/>
          <w:szCs w:val="24"/>
          <w:lang w:val="en-US"/>
        </w:rPr>
      </w:pPr>
      <w:bookmarkStart w:id="3" w:name="_Hlk495844029"/>
      <w:r w:rsidRPr="007C5EBD">
        <w:rPr>
          <w:color w:val="000000" w:themeColor="text1"/>
          <w:sz w:val="24"/>
          <w:szCs w:val="24"/>
        </w:rPr>
        <w:t xml:space="preserve">Martins, T. B. F., Ghiraldelo, C. M., Nunes, M. G. V., &amp; Oliveira, O. N., Jr. </w:t>
      </w:r>
      <w:r w:rsidRPr="007C5EBD">
        <w:rPr>
          <w:color w:val="000000" w:themeColor="text1"/>
          <w:sz w:val="24"/>
          <w:szCs w:val="24"/>
          <w:lang w:val="en-US"/>
        </w:rPr>
        <w:t xml:space="preserve">(1996). </w:t>
      </w:r>
      <w:bookmarkEnd w:id="3"/>
      <w:r w:rsidRPr="007C5EBD">
        <w:rPr>
          <w:i/>
          <w:iCs/>
          <w:color w:val="000000" w:themeColor="text1"/>
          <w:sz w:val="24"/>
          <w:szCs w:val="24"/>
          <w:lang w:val="en-US"/>
        </w:rPr>
        <w:t xml:space="preserve">Readability formulas applied to textbooks in brazilian portuguese. </w:t>
      </w:r>
      <w:r w:rsidRPr="007C5EBD">
        <w:rPr>
          <w:color w:val="000000" w:themeColor="text1"/>
          <w:sz w:val="24"/>
          <w:szCs w:val="24"/>
          <w:lang w:val="en-US"/>
        </w:rPr>
        <w:t>Notas do ICMC-USP, Série Computação.</w:t>
      </w:r>
    </w:p>
    <w:p w14:paraId="6AB53B32" w14:textId="77777777" w:rsidR="0039002B" w:rsidRPr="007C5EBD" w:rsidRDefault="0039002B" w:rsidP="00D07B67">
      <w:pPr>
        <w:autoSpaceDE w:val="0"/>
        <w:autoSpaceDN w:val="0"/>
        <w:adjustRightInd w:val="0"/>
        <w:jc w:val="both"/>
        <w:rPr>
          <w:color w:val="000000" w:themeColor="text1"/>
          <w:sz w:val="24"/>
          <w:szCs w:val="24"/>
          <w:lang w:val="en-US"/>
        </w:rPr>
      </w:pPr>
      <w:r w:rsidRPr="007C5EBD">
        <w:rPr>
          <w:color w:val="000000" w:themeColor="text1"/>
          <w:sz w:val="24"/>
          <w:szCs w:val="24"/>
          <w:lang w:val="en-US"/>
        </w:rPr>
        <w:t xml:space="preserve">Miller, B. (2010). The effects of reporting complexity on small and large investor trading. </w:t>
      </w:r>
      <w:r w:rsidRPr="007C5EBD">
        <w:rPr>
          <w:i/>
          <w:color w:val="000000" w:themeColor="text1"/>
          <w:sz w:val="24"/>
          <w:szCs w:val="24"/>
          <w:lang w:val="en-US"/>
        </w:rPr>
        <w:t>The</w:t>
      </w:r>
      <w:r w:rsidRPr="007C5EBD">
        <w:rPr>
          <w:color w:val="000000" w:themeColor="text1"/>
          <w:sz w:val="24"/>
          <w:szCs w:val="24"/>
          <w:lang w:val="en-US"/>
        </w:rPr>
        <w:t xml:space="preserve"> </w:t>
      </w:r>
      <w:r w:rsidRPr="007C5EBD">
        <w:rPr>
          <w:i/>
          <w:color w:val="000000" w:themeColor="text1"/>
          <w:sz w:val="24"/>
          <w:szCs w:val="24"/>
          <w:lang w:val="en-US"/>
        </w:rPr>
        <w:t>Accounting Review</w:t>
      </w:r>
      <w:r w:rsidRPr="007C5EBD">
        <w:rPr>
          <w:color w:val="000000" w:themeColor="text1"/>
          <w:sz w:val="24"/>
          <w:szCs w:val="24"/>
          <w:lang w:val="en-US"/>
        </w:rPr>
        <w:t>, 85, pp. 2107–2143.</w:t>
      </w:r>
    </w:p>
    <w:p w14:paraId="45ACDB02" w14:textId="77777777" w:rsidR="0039002B" w:rsidRPr="006F12C1" w:rsidRDefault="0039002B" w:rsidP="00D07B67">
      <w:pPr>
        <w:autoSpaceDE w:val="0"/>
        <w:autoSpaceDN w:val="0"/>
        <w:adjustRightInd w:val="0"/>
        <w:jc w:val="both"/>
        <w:rPr>
          <w:color w:val="000000" w:themeColor="text1"/>
          <w:sz w:val="24"/>
          <w:szCs w:val="24"/>
          <w:shd w:val="clear" w:color="auto" w:fill="FFFFFF"/>
          <w:lang w:val="en-US"/>
        </w:rPr>
      </w:pPr>
      <w:r w:rsidRPr="007C5EBD">
        <w:rPr>
          <w:color w:val="000000" w:themeColor="text1"/>
          <w:sz w:val="24"/>
          <w:szCs w:val="24"/>
          <w:shd w:val="clear" w:color="auto" w:fill="FFFFFF"/>
          <w:lang w:val="en-US"/>
        </w:rPr>
        <w:t xml:space="preserve">Moreno, A. &amp; Casasola, A. (2016). A readability evolution of narratives in annual reports: A longitudinal study of two Spanish companies. </w:t>
      </w:r>
      <w:r w:rsidRPr="006F12C1">
        <w:rPr>
          <w:i/>
          <w:color w:val="000000" w:themeColor="text1"/>
          <w:sz w:val="24"/>
          <w:szCs w:val="24"/>
          <w:shd w:val="clear" w:color="auto" w:fill="FFFFFF"/>
          <w:lang w:val="en-US"/>
        </w:rPr>
        <w:t>Journal of Business and Technical Communication</w:t>
      </w:r>
      <w:r w:rsidRPr="006F12C1">
        <w:rPr>
          <w:color w:val="000000" w:themeColor="text1"/>
          <w:sz w:val="24"/>
          <w:szCs w:val="24"/>
          <w:shd w:val="clear" w:color="auto" w:fill="FFFFFF"/>
          <w:lang w:val="en-US"/>
        </w:rPr>
        <w:t>. 30(2). pp. 202-235.</w:t>
      </w:r>
    </w:p>
    <w:p w14:paraId="135AC082" w14:textId="77777777" w:rsidR="0039002B" w:rsidRPr="007C5EBD" w:rsidRDefault="0039002B" w:rsidP="00D07B67">
      <w:pPr>
        <w:autoSpaceDE w:val="0"/>
        <w:autoSpaceDN w:val="0"/>
        <w:adjustRightInd w:val="0"/>
        <w:jc w:val="both"/>
        <w:rPr>
          <w:color w:val="000000" w:themeColor="text1"/>
          <w:sz w:val="24"/>
          <w:szCs w:val="24"/>
          <w:lang w:val="en-US"/>
        </w:rPr>
      </w:pPr>
      <w:r w:rsidRPr="007C5EBD">
        <w:rPr>
          <w:color w:val="000000" w:themeColor="text1"/>
          <w:sz w:val="24"/>
          <w:szCs w:val="24"/>
          <w:lang w:val="en-US"/>
        </w:rPr>
        <w:t xml:space="preserve">Pashalian, S., &amp; Crissy, W.J. E. (1950). How readable are corporate annual reports? </w:t>
      </w:r>
      <w:r w:rsidRPr="007C5EBD">
        <w:rPr>
          <w:i/>
          <w:color w:val="000000" w:themeColor="text1"/>
          <w:sz w:val="24"/>
          <w:szCs w:val="24"/>
          <w:lang w:val="en-US"/>
        </w:rPr>
        <w:t>Journal of Applied Psychology</w:t>
      </w:r>
      <w:r w:rsidRPr="007C5EBD">
        <w:rPr>
          <w:color w:val="000000" w:themeColor="text1"/>
          <w:sz w:val="24"/>
          <w:szCs w:val="24"/>
          <w:lang w:val="en-US"/>
        </w:rPr>
        <w:t xml:space="preserve">. 34(4). pp. 244-248. </w:t>
      </w:r>
    </w:p>
    <w:p w14:paraId="1B97FA78" w14:textId="77777777" w:rsidR="0039002B" w:rsidRPr="007C5EBD" w:rsidRDefault="0039002B" w:rsidP="00D07B67">
      <w:pPr>
        <w:autoSpaceDE w:val="0"/>
        <w:autoSpaceDN w:val="0"/>
        <w:adjustRightInd w:val="0"/>
        <w:jc w:val="both"/>
        <w:rPr>
          <w:color w:val="000000" w:themeColor="text1"/>
          <w:sz w:val="24"/>
          <w:szCs w:val="24"/>
          <w:lang w:val="en-US"/>
        </w:rPr>
      </w:pPr>
      <w:r w:rsidRPr="007C5EBD">
        <w:rPr>
          <w:color w:val="000000" w:themeColor="text1"/>
          <w:sz w:val="24"/>
          <w:szCs w:val="24"/>
          <w:lang w:val="en-US"/>
        </w:rPr>
        <w:t xml:space="preserve">Rennekamp, K. (2012). Processing fluency and investors’ reactions to disclosure readability. </w:t>
      </w:r>
      <w:r w:rsidRPr="007C5EBD">
        <w:rPr>
          <w:i/>
          <w:color w:val="000000" w:themeColor="text1"/>
          <w:sz w:val="24"/>
          <w:szCs w:val="24"/>
          <w:lang w:val="en-US"/>
        </w:rPr>
        <w:t>Journal of Accounting Research</w:t>
      </w:r>
      <w:r w:rsidRPr="007C5EBD">
        <w:rPr>
          <w:color w:val="000000" w:themeColor="text1"/>
          <w:sz w:val="24"/>
          <w:szCs w:val="24"/>
          <w:lang w:val="en-US"/>
        </w:rPr>
        <w:t>. 50(5).</w:t>
      </w:r>
    </w:p>
    <w:p w14:paraId="30708CC2" w14:textId="77777777" w:rsidR="0039002B" w:rsidRPr="007C5EBD" w:rsidRDefault="0039002B" w:rsidP="00D07B67">
      <w:pPr>
        <w:autoSpaceDE w:val="0"/>
        <w:autoSpaceDN w:val="0"/>
        <w:adjustRightInd w:val="0"/>
        <w:jc w:val="both"/>
        <w:rPr>
          <w:color w:val="000000" w:themeColor="text1"/>
          <w:sz w:val="24"/>
          <w:szCs w:val="24"/>
          <w:lang w:val="en-US"/>
        </w:rPr>
      </w:pPr>
      <w:r w:rsidRPr="005C16EC">
        <w:rPr>
          <w:color w:val="000000" w:themeColor="text1"/>
          <w:sz w:val="24"/>
          <w:szCs w:val="24"/>
          <w:lang w:val="en-US"/>
        </w:rPr>
        <w:t>Rutherford</w:t>
      </w:r>
      <w:r w:rsidRPr="007C5EBD">
        <w:rPr>
          <w:color w:val="000000" w:themeColor="text1"/>
          <w:sz w:val="24"/>
          <w:szCs w:val="24"/>
          <w:lang w:val="en-US"/>
        </w:rPr>
        <w:t xml:space="preserve">, B. A. (2003). Obfuscation, textual complexity and the role of regulated narrative accounting disclosure in corporate governance. </w:t>
      </w:r>
      <w:r w:rsidRPr="007C5EBD">
        <w:rPr>
          <w:i/>
          <w:color w:val="000000" w:themeColor="text1"/>
          <w:sz w:val="24"/>
          <w:szCs w:val="24"/>
          <w:lang w:val="en-US"/>
        </w:rPr>
        <w:t>Journal of Management and Governance</w:t>
      </w:r>
      <w:r w:rsidRPr="007C5EBD">
        <w:rPr>
          <w:color w:val="000000" w:themeColor="text1"/>
          <w:sz w:val="24"/>
          <w:szCs w:val="24"/>
          <w:lang w:val="en-US"/>
        </w:rPr>
        <w:t>. 7. pp. 187–210.</w:t>
      </w:r>
    </w:p>
    <w:p w14:paraId="68D4CD09" w14:textId="77777777" w:rsidR="0039002B" w:rsidRPr="006F12C1" w:rsidRDefault="0039002B" w:rsidP="00D07B67">
      <w:pPr>
        <w:autoSpaceDE w:val="0"/>
        <w:autoSpaceDN w:val="0"/>
        <w:adjustRightInd w:val="0"/>
        <w:jc w:val="both"/>
        <w:rPr>
          <w:color w:val="000000" w:themeColor="text1"/>
          <w:sz w:val="24"/>
          <w:szCs w:val="24"/>
        </w:rPr>
      </w:pPr>
      <w:r w:rsidRPr="007C5EBD">
        <w:rPr>
          <w:color w:val="000000" w:themeColor="text1"/>
          <w:sz w:val="24"/>
          <w:szCs w:val="24"/>
          <w:lang w:val="en-US"/>
        </w:rPr>
        <w:t>Sheikh, A., Bakar, A., &amp; Ameer, R. (2011). Readability of corporate social responsibility communication in Malaysia. </w:t>
      </w:r>
      <w:r w:rsidRPr="006F12C1">
        <w:rPr>
          <w:i/>
          <w:color w:val="000000" w:themeColor="text1"/>
          <w:sz w:val="24"/>
          <w:szCs w:val="24"/>
        </w:rPr>
        <w:t>Corporate Social Responsibility and Environmental Management.</w:t>
      </w:r>
      <w:r w:rsidRPr="006F12C1">
        <w:rPr>
          <w:color w:val="000000" w:themeColor="text1"/>
          <w:sz w:val="24"/>
          <w:szCs w:val="24"/>
        </w:rPr>
        <w:t xml:space="preserve"> 18(1). pp. 50-60.</w:t>
      </w:r>
    </w:p>
    <w:p w14:paraId="46CAB4F3" w14:textId="77777777" w:rsidR="0039002B" w:rsidRPr="006F12C1" w:rsidRDefault="0039002B" w:rsidP="00D07B67">
      <w:pPr>
        <w:autoSpaceDE w:val="0"/>
        <w:autoSpaceDN w:val="0"/>
        <w:adjustRightInd w:val="0"/>
        <w:jc w:val="both"/>
        <w:rPr>
          <w:color w:val="000000" w:themeColor="text1"/>
          <w:sz w:val="24"/>
          <w:szCs w:val="24"/>
        </w:rPr>
      </w:pPr>
      <w:r w:rsidRPr="007C5EBD">
        <w:rPr>
          <w:color w:val="000000" w:themeColor="text1"/>
          <w:sz w:val="24"/>
          <w:szCs w:val="24"/>
        </w:rPr>
        <w:t xml:space="preserve">Silva, C.A.T., &amp; Fernandes, J.L.T. (2009). Legibilidade dos fatos relevantes no Brasil. </w:t>
      </w:r>
      <w:r w:rsidRPr="006F12C1">
        <w:rPr>
          <w:i/>
          <w:color w:val="000000" w:themeColor="text1"/>
          <w:sz w:val="24"/>
          <w:szCs w:val="24"/>
        </w:rPr>
        <w:t>RAC-Eletrônica</w:t>
      </w:r>
      <w:r w:rsidRPr="006F12C1">
        <w:rPr>
          <w:color w:val="000000" w:themeColor="text1"/>
          <w:sz w:val="24"/>
          <w:szCs w:val="24"/>
        </w:rPr>
        <w:t>. 3(1). pp. 142-158.</w:t>
      </w:r>
    </w:p>
    <w:p w14:paraId="698CB095" w14:textId="41A6EA2F" w:rsidR="0039002B" w:rsidRPr="007C5EBD" w:rsidRDefault="0039002B" w:rsidP="00D07B67">
      <w:pPr>
        <w:autoSpaceDE w:val="0"/>
        <w:autoSpaceDN w:val="0"/>
        <w:adjustRightInd w:val="0"/>
        <w:jc w:val="both"/>
        <w:rPr>
          <w:color w:val="000000" w:themeColor="text1"/>
          <w:sz w:val="24"/>
          <w:szCs w:val="24"/>
          <w:lang w:val="en-US"/>
        </w:rPr>
      </w:pPr>
      <w:r w:rsidRPr="006F12C1">
        <w:rPr>
          <w:color w:val="000000" w:themeColor="text1"/>
          <w:sz w:val="24"/>
          <w:szCs w:val="24"/>
        </w:rPr>
        <w:t xml:space="preserve">Smith, M., Jamil, A., Johari, Y. C., &amp; Ahmad, S. A. (2006). </w:t>
      </w:r>
      <w:r w:rsidRPr="007C5EBD">
        <w:rPr>
          <w:color w:val="000000" w:themeColor="text1"/>
          <w:sz w:val="24"/>
          <w:szCs w:val="24"/>
          <w:lang w:val="en-US"/>
        </w:rPr>
        <w:t>The chairman's statement in Malaysian companies: A test of the obfuscation hypothesis. </w:t>
      </w:r>
      <w:r w:rsidRPr="007C5EBD">
        <w:rPr>
          <w:i/>
          <w:color w:val="000000" w:themeColor="text1"/>
          <w:sz w:val="24"/>
          <w:szCs w:val="24"/>
          <w:lang w:val="en-US"/>
        </w:rPr>
        <w:t>Asian Review of Accounting.</w:t>
      </w:r>
      <w:r w:rsidRPr="007C5EBD">
        <w:rPr>
          <w:color w:val="000000" w:themeColor="text1"/>
          <w:sz w:val="24"/>
          <w:szCs w:val="24"/>
          <w:lang w:val="en-US"/>
        </w:rPr>
        <w:t xml:space="preserve"> 14(1/2). pp.</w:t>
      </w:r>
      <w:r w:rsidR="00376211">
        <w:rPr>
          <w:color w:val="000000" w:themeColor="text1"/>
          <w:sz w:val="24"/>
          <w:szCs w:val="24"/>
          <w:lang w:val="en-US"/>
        </w:rPr>
        <w:t xml:space="preserve"> </w:t>
      </w:r>
      <w:r w:rsidRPr="007C5EBD">
        <w:rPr>
          <w:color w:val="000000" w:themeColor="text1"/>
          <w:sz w:val="24"/>
          <w:szCs w:val="24"/>
          <w:lang w:val="en-US"/>
        </w:rPr>
        <w:t>49-65.</w:t>
      </w:r>
    </w:p>
    <w:p w14:paraId="555F29F5" w14:textId="77777777" w:rsidR="0039002B" w:rsidRPr="007C5EBD" w:rsidRDefault="0039002B" w:rsidP="00D07B67">
      <w:pPr>
        <w:autoSpaceDE w:val="0"/>
        <w:autoSpaceDN w:val="0"/>
        <w:adjustRightInd w:val="0"/>
        <w:jc w:val="both"/>
        <w:rPr>
          <w:color w:val="000000" w:themeColor="text1"/>
          <w:sz w:val="24"/>
          <w:szCs w:val="24"/>
          <w:shd w:val="clear" w:color="auto" w:fill="FFFFFF"/>
          <w:lang w:val="en-US"/>
        </w:rPr>
      </w:pPr>
      <w:r w:rsidRPr="007C5EBD">
        <w:rPr>
          <w:color w:val="000000" w:themeColor="text1"/>
          <w:sz w:val="24"/>
          <w:szCs w:val="24"/>
          <w:shd w:val="clear" w:color="auto" w:fill="FFFFFF"/>
          <w:lang w:val="en-US"/>
        </w:rPr>
        <w:t xml:space="preserve">Solomon, J. F., </w:t>
      </w:r>
      <w:bookmarkStart w:id="4" w:name="baep-author-id2"/>
      <w:r w:rsidRPr="007C5EBD">
        <w:rPr>
          <w:color w:val="000000" w:themeColor="text1"/>
          <w:sz w:val="24"/>
          <w:szCs w:val="24"/>
          <w:shd w:val="clear" w:color="auto" w:fill="FFFFFF"/>
          <w:lang w:val="en-US"/>
        </w:rPr>
        <w:t>Solomon</w:t>
      </w:r>
      <w:bookmarkStart w:id="5" w:name="baep-author-id3"/>
      <w:bookmarkEnd w:id="4"/>
      <w:r w:rsidRPr="007C5EBD">
        <w:rPr>
          <w:color w:val="000000" w:themeColor="text1"/>
          <w:sz w:val="24"/>
          <w:szCs w:val="24"/>
          <w:shd w:val="clear" w:color="auto" w:fill="FFFFFF"/>
          <w:lang w:val="en-US"/>
        </w:rPr>
        <w:t>, A., Norton, S. D.</w:t>
      </w:r>
      <w:bookmarkStart w:id="6" w:name="baep-author-id4"/>
      <w:bookmarkEnd w:id="5"/>
      <w:r w:rsidRPr="007C5EBD">
        <w:rPr>
          <w:color w:val="000000" w:themeColor="text1"/>
          <w:sz w:val="24"/>
          <w:szCs w:val="24"/>
          <w:shd w:val="clear" w:color="auto" w:fill="FFFFFF"/>
          <w:lang w:val="en-US"/>
        </w:rPr>
        <w:t>, &amp; Joseph, N. L.</w:t>
      </w:r>
      <w:bookmarkEnd w:id="6"/>
      <w:r w:rsidRPr="007C5EBD">
        <w:rPr>
          <w:color w:val="000000" w:themeColor="text1"/>
          <w:sz w:val="24"/>
          <w:szCs w:val="24"/>
          <w:shd w:val="clear" w:color="auto" w:fill="FFFFFF"/>
          <w:lang w:val="en-US"/>
        </w:rPr>
        <w:t xml:space="preserve"> (2000). A conceptual framework for corporate risk disclosure emerging from the agenda for corporate governance reform. </w:t>
      </w:r>
      <w:r w:rsidRPr="007C5EBD">
        <w:rPr>
          <w:i/>
          <w:color w:val="000000" w:themeColor="text1"/>
          <w:sz w:val="24"/>
          <w:szCs w:val="24"/>
          <w:shd w:val="clear" w:color="auto" w:fill="FFFFFF"/>
          <w:lang w:val="en-US"/>
        </w:rPr>
        <w:t>The British Accounting Review</w:t>
      </w:r>
      <w:r w:rsidRPr="007C5EBD">
        <w:rPr>
          <w:color w:val="000000" w:themeColor="text1"/>
          <w:sz w:val="24"/>
          <w:szCs w:val="24"/>
          <w:shd w:val="clear" w:color="auto" w:fill="FFFFFF"/>
          <w:lang w:val="en-US"/>
        </w:rPr>
        <w:t>. 32(4). pp. 447-478.</w:t>
      </w:r>
    </w:p>
    <w:p w14:paraId="3ED97013" w14:textId="77777777" w:rsidR="0039002B" w:rsidRPr="007C5EBD" w:rsidRDefault="0039002B" w:rsidP="00D07B67">
      <w:pPr>
        <w:autoSpaceDE w:val="0"/>
        <w:autoSpaceDN w:val="0"/>
        <w:adjustRightInd w:val="0"/>
        <w:jc w:val="both"/>
        <w:rPr>
          <w:color w:val="000000" w:themeColor="text1"/>
          <w:sz w:val="24"/>
          <w:szCs w:val="24"/>
          <w:lang w:val="en-US"/>
        </w:rPr>
      </w:pPr>
      <w:r w:rsidRPr="007C5EBD">
        <w:rPr>
          <w:color w:val="000000" w:themeColor="text1"/>
          <w:sz w:val="24"/>
          <w:szCs w:val="24"/>
          <w:lang w:val="en-US"/>
        </w:rPr>
        <w:t xml:space="preserve">Stone, G., &amp; Parker, L. D. (2013). Developing the Flesch reading ease formula for the contemporary accounting communications landscape. </w:t>
      </w:r>
      <w:r w:rsidRPr="007C5EBD">
        <w:rPr>
          <w:i/>
          <w:color w:val="000000" w:themeColor="text1"/>
          <w:sz w:val="24"/>
          <w:szCs w:val="24"/>
          <w:lang w:val="en-US"/>
        </w:rPr>
        <w:t>Qualitative Research in Accounting &amp; Management</w:t>
      </w:r>
      <w:r w:rsidRPr="007C5EBD">
        <w:rPr>
          <w:color w:val="000000" w:themeColor="text1"/>
          <w:sz w:val="24"/>
          <w:szCs w:val="24"/>
          <w:lang w:val="en-US"/>
        </w:rPr>
        <w:t>. 10(1). pp. 31-59.</w:t>
      </w:r>
    </w:p>
    <w:p w14:paraId="36AD5B19" w14:textId="77777777" w:rsidR="0039002B" w:rsidRPr="007C5EBD" w:rsidRDefault="0039002B" w:rsidP="00D07B67">
      <w:pPr>
        <w:autoSpaceDE w:val="0"/>
        <w:autoSpaceDN w:val="0"/>
        <w:adjustRightInd w:val="0"/>
        <w:jc w:val="both"/>
        <w:rPr>
          <w:bCs/>
          <w:color w:val="000000" w:themeColor="text1"/>
          <w:sz w:val="24"/>
          <w:szCs w:val="24"/>
          <w:lang w:val="en-US"/>
        </w:rPr>
      </w:pPr>
      <w:r w:rsidRPr="007C5EBD">
        <w:rPr>
          <w:bCs/>
          <w:color w:val="000000" w:themeColor="text1"/>
          <w:sz w:val="24"/>
          <w:szCs w:val="24"/>
          <w:lang w:val="en-US"/>
        </w:rPr>
        <w:t xml:space="preserve">Stone, G.W. (2011). Readability of accountants’ communications with small business – some Australian evidence. </w:t>
      </w:r>
      <w:r w:rsidRPr="007C5EBD">
        <w:rPr>
          <w:bCs/>
          <w:i/>
          <w:color w:val="000000" w:themeColor="text1"/>
          <w:sz w:val="24"/>
          <w:szCs w:val="24"/>
          <w:lang w:val="en-US"/>
        </w:rPr>
        <w:t>Accounting Forum</w:t>
      </w:r>
      <w:r w:rsidRPr="007C5EBD">
        <w:rPr>
          <w:bCs/>
          <w:color w:val="000000" w:themeColor="text1"/>
          <w:sz w:val="24"/>
          <w:szCs w:val="24"/>
          <w:lang w:val="en-US"/>
        </w:rPr>
        <w:t>. 35(4). pp. 247-261.</w:t>
      </w:r>
    </w:p>
    <w:p w14:paraId="0B26F9FD" w14:textId="39529D3D" w:rsidR="00E6136F" w:rsidRDefault="0039002B" w:rsidP="00D07B67">
      <w:pPr>
        <w:autoSpaceDE w:val="0"/>
        <w:autoSpaceDN w:val="0"/>
        <w:adjustRightInd w:val="0"/>
      </w:pPr>
      <w:r w:rsidRPr="007C5EBD">
        <w:rPr>
          <w:color w:val="000000" w:themeColor="text1"/>
          <w:spacing w:val="5"/>
          <w:shd w:val="clear" w:color="auto" w:fill="FFFFFF"/>
          <w:lang w:val="en-US"/>
        </w:rPr>
        <w:br/>
      </w:r>
    </w:p>
    <w:sectPr w:rsidR="00E6136F" w:rsidSect="0039002B">
      <w:headerReference w:type="even" r:id="rId12"/>
      <w:headerReference w:type="default" r:id="rId13"/>
      <w:footerReference w:type="even" r:id="rId14"/>
      <w:footerReference w:type="default" r:id="rId15"/>
      <w:headerReference w:type="first" r:id="rId16"/>
      <w:footerReference w:type="first" r:id="rId17"/>
      <w:pgSz w:w="11900" w:h="16840"/>
      <w:pgMar w:top="1701" w:right="1134" w:bottom="1134" w:left="1701" w:header="0"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9B8501" w16cid:durableId="1E86355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D29AE" w14:textId="77777777" w:rsidR="00A40C61" w:rsidRDefault="00A40C61" w:rsidP="008A5824">
      <w:r>
        <w:separator/>
      </w:r>
    </w:p>
  </w:endnote>
  <w:endnote w:type="continuationSeparator" w:id="0">
    <w:p w14:paraId="26BD780A" w14:textId="77777777" w:rsidR="00A40C61" w:rsidRDefault="00A40C61"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0F40" w14:textId="77777777" w:rsidR="001A0BDD" w:rsidRDefault="001A0BDD">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758764"/>
      <w:docPartObj>
        <w:docPartGallery w:val="Page Numbers (Bottom of Page)"/>
        <w:docPartUnique/>
      </w:docPartObj>
    </w:sdtPr>
    <w:sdtEndPr/>
    <w:sdtContent>
      <w:p w14:paraId="685BBEB8" w14:textId="1F4DAEF9" w:rsidR="00157216" w:rsidRDefault="00157216">
        <w:pPr>
          <w:pStyle w:val="Rodap"/>
          <w:jc w:val="right"/>
        </w:pPr>
        <w:r>
          <w:fldChar w:fldCharType="begin"/>
        </w:r>
        <w:r>
          <w:instrText>PAGE   \* MERGEFORMAT</w:instrText>
        </w:r>
        <w:r>
          <w:fldChar w:fldCharType="separate"/>
        </w:r>
        <w:r w:rsidR="00D227B8">
          <w:rPr>
            <w:noProof/>
          </w:rPr>
          <w:t>2</w:t>
        </w:r>
        <w:r>
          <w:fldChar w:fldCharType="end"/>
        </w:r>
      </w:p>
    </w:sdtContent>
  </w:sdt>
  <w:p w14:paraId="1DE39BEB" w14:textId="49A209B8" w:rsidR="00157216" w:rsidRDefault="0015721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8E808" w14:textId="77777777" w:rsidR="001A0BDD" w:rsidRDefault="001A0BD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3645B" w14:textId="77777777" w:rsidR="00A40C61" w:rsidRDefault="00A40C61" w:rsidP="008A5824">
      <w:r>
        <w:separator/>
      </w:r>
    </w:p>
  </w:footnote>
  <w:footnote w:type="continuationSeparator" w:id="0">
    <w:p w14:paraId="2FAABD3D" w14:textId="77777777" w:rsidR="00A40C61" w:rsidRDefault="00A40C61"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31E7A" w14:textId="77777777" w:rsidR="001A0BDD" w:rsidRDefault="001A0BD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E78CC" w14:textId="293C39C3" w:rsidR="00157216" w:rsidRPr="00E361F4" w:rsidRDefault="00157216" w:rsidP="00E361F4">
    <w:pPr>
      <w:pStyle w:val="Cabealho"/>
    </w:pPr>
    <w:r>
      <w:rPr>
        <w:noProof/>
        <w:lang w:eastAsia="pt-BR"/>
      </w:rPr>
      <w:drawing>
        <wp:inline distT="0" distB="0" distL="0" distR="0" wp14:anchorId="0680C3C9" wp14:editId="2D2F0FB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D023F" w14:textId="77777777" w:rsidR="001A0BDD" w:rsidRDefault="001A0BD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51EB"/>
    <w:multiLevelType w:val="hybridMultilevel"/>
    <w:tmpl w:val="B0FADEA2"/>
    <w:lvl w:ilvl="0" w:tplc="0416000F">
      <w:start w:val="3"/>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AE155BA"/>
    <w:multiLevelType w:val="hybridMultilevel"/>
    <w:tmpl w:val="00DC798E"/>
    <w:lvl w:ilvl="0" w:tplc="C820EC26">
      <w:start w:val="3"/>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53B7252"/>
    <w:multiLevelType w:val="multilevel"/>
    <w:tmpl w:val="9470F7E4"/>
    <w:lvl w:ilvl="0">
      <w:start w:val="3"/>
      <w:numFmt w:val="decimal"/>
      <w:lvlText w:val="%1."/>
      <w:lvlJc w:val="left"/>
      <w:pPr>
        <w:ind w:left="360" w:hanging="360"/>
      </w:pPr>
      <w:rPr>
        <w:rFonts w:hint="default"/>
      </w:rPr>
    </w:lvl>
    <w:lvl w:ilvl="1">
      <w:start w:val="4"/>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7B26F60"/>
    <w:multiLevelType w:val="hybridMultilevel"/>
    <w:tmpl w:val="835277A6"/>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7ADD4FBF"/>
    <w:multiLevelType w:val="multilevel"/>
    <w:tmpl w:val="394C7F46"/>
    <w:lvl w:ilvl="0">
      <w:start w:val="3"/>
      <w:numFmt w:val="decimal"/>
      <w:lvlText w:val="%1"/>
      <w:lvlJc w:val="left"/>
      <w:pPr>
        <w:ind w:left="360" w:hanging="360"/>
      </w:pPr>
      <w:rPr>
        <w:rFonts w:hint="default"/>
      </w:rPr>
    </w:lvl>
    <w:lvl w:ilvl="1">
      <w:start w:val="3"/>
      <w:numFmt w:val="decimal"/>
      <w:lvlText w:val="%1.%2"/>
      <w:lvlJc w:val="left"/>
      <w:pPr>
        <w:ind w:left="1474" w:hanging="360"/>
      </w:pPr>
      <w:rPr>
        <w:rFonts w:hint="default"/>
      </w:rPr>
    </w:lvl>
    <w:lvl w:ilvl="2">
      <w:start w:val="1"/>
      <w:numFmt w:val="decimal"/>
      <w:lvlText w:val="%1.%2.%3"/>
      <w:lvlJc w:val="left"/>
      <w:pPr>
        <w:ind w:left="2948" w:hanging="720"/>
      </w:pPr>
      <w:rPr>
        <w:rFonts w:hint="default"/>
      </w:rPr>
    </w:lvl>
    <w:lvl w:ilvl="3">
      <w:start w:val="1"/>
      <w:numFmt w:val="decimal"/>
      <w:lvlText w:val="%1.%2.%3.%4"/>
      <w:lvlJc w:val="left"/>
      <w:pPr>
        <w:ind w:left="4062" w:hanging="720"/>
      </w:pPr>
      <w:rPr>
        <w:rFonts w:hint="default"/>
      </w:rPr>
    </w:lvl>
    <w:lvl w:ilvl="4">
      <w:start w:val="1"/>
      <w:numFmt w:val="decimal"/>
      <w:lvlText w:val="%1.%2.%3.%4.%5"/>
      <w:lvlJc w:val="left"/>
      <w:pPr>
        <w:ind w:left="5536" w:hanging="1080"/>
      </w:pPr>
      <w:rPr>
        <w:rFonts w:hint="default"/>
      </w:rPr>
    </w:lvl>
    <w:lvl w:ilvl="5">
      <w:start w:val="1"/>
      <w:numFmt w:val="decimal"/>
      <w:lvlText w:val="%1.%2.%3.%4.%5.%6"/>
      <w:lvlJc w:val="left"/>
      <w:pPr>
        <w:ind w:left="6650" w:hanging="1080"/>
      </w:pPr>
      <w:rPr>
        <w:rFonts w:hint="default"/>
      </w:rPr>
    </w:lvl>
    <w:lvl w:ilvl="6">
      <w:start w:val="1"/>
      <w:numFmt w:val="decimal"/>
      <w:lvlText w:val="%1.%2.%3.%4.%5.%6.%7"/>
      <w:lvlJc w:val="left"/>
      <w:pPr>
        <w:ind w:left="8124" w:hanging="1440"/>
      </w:pPr>
      <w:rPr>
        <w:rFonts w:hint="default"/>
      </w:rPr>
    </w:lvl>
    <w:lvl w:ilvl="7">
      <w:start w:val="1"/>
      <w:numFmt w:val="decimal"/>
      <w:lvlText w:val="%1.%2.%3.%4.%5.%6.%7.%8"/>
      <w:lvlJc w:val="left"/>
      <w:pPr>
        <w:ind w:left="9238" w:hanging="1440"/>
      </w:pPr>
      <w:rPr>
        <w:rFonts w:hint="default"/>
      </w:rPr>
    </w:lvl>
    <w:lvl w:ilvl="8">
      <w:start w:val="1"/>
      <w:numFmt w:val="decimal"/>
      <w:lvlText w:val="%1.%2.%3.%4.%5.%6.%7.%8.%9"/>
      <w:lvlJc w:val="left"/>
      <w:pPr>
        <w:ind w:left="10712" w:hanging="1800"/>
      </w:pPr>
      <w:rPr>
        <w:rFont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21663"/>
    <w:rsid w:val="0002599B"/>
    <w:rsid w:val="000763AC"/>
    <w:rsid w:val="000B32EE"/>
    <w:rsid w:val="001206A7"/>
    <w:rsid w:val="00157216"/>
    <w:rsid w:val="0016220D"/>
    <w:rsid w:val="00164E8F"/>
    <w:rsid w:val="001935DD"/>
    <w:rsid w:val="00194BA9"/>
    <w:rsid w:val="001A0BDD"/>
    <w:rsid w:val="001A4423"/>
    <w:rsid w:val="001C328B"/>
    <w:rsid w:val="001F6A6D"/>
    <w:rsid w:val="00213BB5"/>
    <w:rsid w:val="00214078"/>
    <w:rsid w:val="002A34B3"/>
    <w:rsid w:val="002B0015"/>
    <w:rsid w:val="002B0F1C"/>
    <w:rsid w:val="002B2B78"/>
    <w:rsid w:val="002B79EF"/>
    <w:rsid w:val="0036377D"/>
    <w:rsid w:val="00376211"/>
    <w:rsid w:val="0038579D"/>
    <w:rsid w:val="0039002B"/>
    <w:rsid w:val="003C7920"/>
    <w:rsid w:val="003E0F6D"/>
    <w:rsid w:val="003E3BBF"/>
    <w:rsid w:val="003F0F22"/>
    <w:rsid w:val="004020EB"/>
    <w:rsid w:val="0044177A"/>
    <w:rsid w:val="00473887"/>
    <w:rsid w:val="004836A1"/>
    <w:rsid w:val="00491708"/>
    <w:rsid w:val="004B34ED"/>
    <w:rsid w:val="004F44B8"/>
    <w:rsid w:val="00505F43"/>
    <w:rsid w:val="0052512C"/>
    <w:rsid w:val="0058200E"/>
    <w:rsid w:val="00583440"/>
    <w:rsid w:val="00590ED5"/>
    <w:rsid w:val="005B1448"/>
    <w:rsid w:val="005B782A"/>
    <w:rsid w:val="005C16EC"/>
    <w:rsid w:val="005C1AD1"/>
    <w:rsid w:val="00630F69"/>
    <w:rsid w:val="00631DCF"/>
    <w:rsid w:val="006402B7"/>
    <w:rsid w:val="00646B9A"/>
    <w:rsid w:val="00686527"/>
    <w:rsid w:val="0069680B"/>
    <w:rsid w:val="006B2B0B"/>
    <w:rsid w:val="006F12C1"/>
    <w:rsid w:val="0072578D"/>
    <w:rsid w:val="007302A9"/>
    <w:rsid w:val="00747C45"/>
    <w:rsid w:val="007A3189"/>
    <w:rsid w:val="007B6710"/>
    <w:rsid w:val="007C267A"/>
    <w:rsid w:val="007D207D"/>
    <w:rsid w:val="007D546B"/>
    <w:rsid w:val="00804928"/>
    <w:rsid w:val="00860B20"/>
    <w:rsid w:val="008A18FE"/>
    <w:rsid w:val="008A5824"/>
    <w:rsid w:val="008A7C57"/>
    <w:rsid w:val="008C3FDF"/>
    <w:rsid w:val="008D4058"/>
    <w:rsid w:val="008D4F05"/>
    <w:rsid w:val="00903C23"/>
    <w:rsid w:val="00907D7C"/>
    <w:rsid w:val="009153AC"/>
    <w:rsid w:val="00946B4F"/>
    <w:rsid w:val="009833D5"/>
    <w:rsid w:val="00A15C0A"/>
    <w:rsid w:val="00A31F35"/>
    <w:rsid w:val="00A40C61"/>
    <w:rsid w:val="00A4602D"/>
    <w:rsid w:val="00A821DD"/>
    <w:rsid w:val="00AE0E75"/>
    <w:rsid w:val="00B32719"/>
    <w:rsid w:val="00B41130"/>
    <w:rsid w:val="00B41AC1"/>
    <w:rsid w:val="00B41CAF"/>
    <w:rsid w:val="00B62948"/>
    <w:rsid w:val="00B75EBD"/>
    <w:rsid w:val="00BB02B3"/>
    <w:rsid w:val="00BD0F13"/>
    <w:rsid w:val="00BF7045"/>
    <w:rsid w:val="00C13989"/>
    <w:rsid w:val="00C22723"/>
    <w:rsid w:val="00C30374"/>
    <w:rsid w:val="00C70185"/>
    <w:rsid w:val="00C747CE"/>
    <w:rsid w:val="00CA2367"/>
    <w:rsid w:val="00CA25AA"/>
    <w:rsid w:val="00CA62EF"/>
    <w:rsid w:val="00CC6DCC"/>
    <w:rsid w:val="00CE5296"/>
    <w:rsid w:val="00CF645C"/>
    <w:rsid w:val="00D07B67"/>
    <w:rsid w:val="00D227B8"/>
    <w:rsid w:val="00D27601"/>
    <w:rsid w:val="00D40A23"/>
    <w:rsid w:val="00D55D19"/>
    <w:rsid w:val="00D647BA"/>
    <w:rsid w:val="00D6518D"/>
    <w:rsid w:val="00D76D06"/>
    <w:rsid w:val="00DD2595"/>
    <w:rsid w:val="00DE6981"/>
    <w:rsid w:val="00DE7410"/>
    <w:rsid w:val="00DF13D6"/>
    <w:rsid w:val="00E21768"/>
    <w:rsid w:val="00E361F4"/>
    <w:rsid w:val="00E573A4"/>
    <w:rsid w:val="00E6136F"/>
    <w:rsid w:val="00E82819"/>
    <w:rsid w:val="00E9147F"/>
    <w:rsid w:val="00EA6196"/>
    <w:rsid w:val="00EE45C0"/>
    <w:rsid w:val="00EE4A5F"/>
    <w:rsid w:val="00F84958"/>
    <w:rsid w:val="00FB1284"/>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D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link w:val="Ttulo1Char"/>
    <w:qFormat/>
    <w:rsid w:val="00E21768"/>
    <w:pPr>
      <w:suppressAutoHyphens w:val="0"/>
      <w:spacing w:before="100" w:beforeAutospacing="1" w:after="100" w:afterAutospacing="1"/>
      <w:outlineLvl w:val="0"/>
    </w:pPr>
    <w:rPr>
      <w:b/>
      <w:bCs/>
      <w:kern w:val="36"/>
      <w:sz w:val="48"/>
      <w:szCs w:val="48"/>
    </w:rPr>
  </w:style>
  <w:style w:type="paragraph" w:styleId="Ttulo2">
    <w:name w:val="heading 2"/>
    <w:basedOn w:val="Normal"/>
    <w:next w:val="Normal"/>
    <w:link w:val="Ttulo2Char"/>
    <w:qFormat/>
    <w:rsid w:val="0039002B"/>
    <w:pPr>
      <w:keepNext/>
      <w:suppressAutoHyphens w:val="0"/>
      <w:spacing w:before="240" w:after="60"/>
      <w:outlineLvl w:val="1"/>
    </w:pPr>
    <w:rPr>
      <w:rFonts w:ascii="Arial" w:hAnsi="Arial" w:cs="Arial"/>
      <w:bCs/>
      <w:i/>
      <w:iCs/>
      <w:sz w:val="22"/>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customStyle="1" w:styleId="Ttulo1Char">
    <w:name w:val="Título 1 Char"/>
    <w:basedOn w:val="Fontepargpadro"/>
    <w:link w:val="Ttulo1"/>
    <w:rsid w:val="00E21768"/>
    <w:rPr>
      <w:rFonts w:ascii="Times New Roman" w:eastAsia="Times New Roman" w:hAnsi="Times New Roman" w:cs="Times New Roman"/>
      <w:b/>
      <w:bCs/>
      <w:kern w:val="36"/>
      <w:sz w:val="48"/>
      <w:szCs w:val="48"/>
      <w:lang w:eastAsia="pt-BR"/>
    </w:rPr>
  </w:style>
  <w:style w:type="character" w:styleId="Forte">
    <w:name w:val="Strong"/>
    <w:basedOn w:val="Fontepargpadro"/>
    <w:uiPriority w:val="22"/>
    <w:qFormat/>
    <w:rsid w:val="00E21768"/>
    <w:rPr>
      <w:b/>
      <w:bCs/>
    </w:rPr>
  </w:style>
  <w:style w:type="character" w:styleId="Hyperlink">
    <w:name w:val="Hyperlink"/>
    <w:basedOn w:val="Fontepargpadro"/>
    <w:uiPriority w:val="99"/>
    <w:unhideWhenUsed/>
    <w:rsid w:val="00E21768"/>
    <w:rPr>
      <w:color w:val="0000FF"/>
      <w:u w:val="single"/>
    </w:rPr>
  </w:style>
  <w:style w:type="character" w:customStyle="1" w:styleId="Ttulo2Char">
    <w:name w:val="Título 2 Char"/>
    <w:basedOn w:val="Fontepargpadro"/>
    <w:link w:val="Ttulo2"/>
    <w:rsid w:val="0039002B"/>
    <w:rPr>
      <w:rFonts w:ascii="Arial" w:eastAsia="Times New Roman" w:hAnsi="Arial" w:cs="Arial"/>
      <w:bCs/>
      <w:i/>
      <w:iCs/>
      <w:sz w:val="22"/>
      <w:szCs w:val="28"/>
      <w:lang w:eastAsia="pt-BR"/>
    </w:rPr>
  </w:style>
  <w:style w:type="paragraph" w:customStyle="1" w:styleId="Default">
    <w:name w:val="Default"/>
    <w:rsid w:val="0039002B"/>
    <w:pPr>
      <w:autoSpaceDE w:val="0"/>
      <w:autoSpaceDN w:val="0"/>
      <w:adjustRightInd w:val="0"/>
    </w:pPr>
    <w:rPr>
      <w:rFonts w:ascii="Arial" w:hAnsi="Arial" w:cs="Arial"/>
      <w:color w:val="000000"/>
    </w:rPr>
  </w:style>
  <w:style w:type="character" w:customStyle="1" w:styleId="artauthors">
    <w:name w:val="art_authors"/>
    <w:basedOn w:val="Fontepargpadro"/>
    <w:rsid w:val="0039002B"/>
  </w:style>
  <w:style w:type="character" w:customStyle="1" w:styleId="apple-converted-space">
    <w:name w:val="apple-converted-space"/>
    <w:basedOn w:val="Fontepargpadro"/>
    <w:rsid w:val="0039002B"/>
  </w:style>
  <w:style w:type="character" w:customStyle="1" w:styleId="year">
    <w:name w:val="year"/>
    <w:basedOn w:val="Fontepargpadro"/>
    <w:rsid w:val="0039002B"/>
  </w:style>
  <w:style w:type="character" w:customStyle="1" w:styleId="arttitle">
    <w:name w:val="art_title"/>
    <w:basedOn w:val="Fontepargpadro"/>
    <w:rsid w:val="0039002B"/>
  </w:style>
  <w:style w:type="character" w:customStyle="1" w:styleId="journalname">
    <w:name w:val="journalname"/>
    <w:basedOn w:val="Fontepargpadro"/>
    <w:rsid w:val="0039002B"/>
  </w:style>
  <w:style w:type="character" w:customStyle="1" w:styleId="volume">
    <w:name w:val="volume"/>
    <w:basedOn w:val="Fontepargpadro"/>
    <w:rsid w:val="0039002B"/>
  </w:style>
  <w:style w:type="character" w:customStyle="1" w:styleId="issue">
    <w:name w:val="issue"/>
    <w:basedOn w:val="Fontepargpadro"/>
    <w:rsid w:val="0039002B"/>
  </w:style>
  <w:style w:type="character" w:customStyle="1" w:styleId="notranslate">
    <w:name w:val="notranslate"/>
    <w:basedOn w:val="Fontepargpadro"/>
    <w:rsid w:val="0039002B"/>
  </w:style>
  <w:style w:type="character" w:styleId="Refdecomentrio">
    <w:name w:val="annotation reference"/>
    <w:basedOn w:val="Fontepargpadro"/>
    <w:uiPriority w:val="99"/>
    <w:semiHidden/>
    <w:unhideWhenUsed/>
    <w:rsid w:val="0039002B"/>
    <w:rPr>
      <w:sz w:val="16"/>
      <w:szCs w:val="16"/>
    </w:rPr>
  </w:style>
  <w:style w:type="paragraph" w:styleId="Textodecomentrio">
    <w:name w:val="annotation text"/>
    <w:basedOn w:val="Normal"/>
    <w:link w:val="TextodecomentrioChar"/>
    <w:uiPriority w:val="99"/>
    <w:semiHidden/>
    <w:unhideWhenUsed/>
    <w:rsid w:val="0039002B"/>
    <w:pPr>
      <w:suppressAutoHyphens w:val="0"/>
      <w:spacing w:after="20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
    <w:uiPriority w:val="99"/>
    <w:semiHidden/>
    <w:rsid w:val="0039002B"/>
    <w:rPr>
      <w:sz w:val="20"/>
      <w:szCs w:val="20"/>
    </w:rPr>
  </w:style>
  <w:style w:type="paragraph" w:styleId="Assuntodocomentrio">
    <w:name w:val="annotation subject"/>
    <w:basedOn w:val="Textodecomentrio"/>
    <w:next w:val="Textodecomentrio"/>
    <w:link w:val="AssuntodocomentrioChar"/>
    <w:uiPriority w:val="99"/>
    <w:semiHidden/>
    <w:unhideWhenUsed/>
    <w:rsid w:val="0039002B"/>
    <w:rPr>
      <w:b/>
      <w:bCs/>
    </w:rPr>
  </w:style>
  <w:style w:type="character" w:customStyle="1" w:styleId="AssuntodocomentrioChar">
    <w:name w:val="Assunto do comentário Char"/>
    <w:basedOn w:val="TextodecomentrioChar"/>
    <w:link w:val="Assuntodocomentrio"/>
    <w:uiPriority w:val="99"/>
    <w:semiHidden/>
    <w:rsid w:val="0039002B"/>
    <w:rPr>
      <w:b/>
      <w:bCs/>
      <w:sz w:val="20"/>
      <w:szCs w:val="20"/>
    </w:rPr>
  </w:style>
  <w:style w:type="table" w:styleId="Tabelacomgrade">
    <w:name w:val="Table Grid"/>
    <w:basedOn w:val="Tabelanormal"/>
    <w:uiPriority w:val="59"/>
    <w:rsid w:val="00390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39002B"/>
    <w:rPr>
      <w:color w:val="954F72" w:themeColor="followedHyperlink"/>
      <w:u w:val="single"/>
    </w:rPr>
  </w:style>
  <w:style w:type="character" w:styleId="nfase">
    <w:name w:val="Emphasis"/>
    <w:basedOn w:val="Fontepargpadro"/>
    <w:uiPriority w:val="20"/>
    <w:qFormat/>
    <w:rsid w:val="0039002B"/>
    <w:rPr>
      <w:i/>
      <w:iCs/>
    </w:rPr>
  </w:style>
  <w:style w:type="paragraph" w:styleId="Reviso">
    <w:name w:val="Revision"/>
    <w:hidden/>
    <w:uiPriority w:val="99"/>
    <w:semiHidden/>
    <w:rsid w:val="0039002B"/>
    <w:rPr>
      <w:sz w:val="22"/>
      <w:szCs w:val="22"/>
    </w:rPr>
  </w:style>
  <w:style w:type="character" w:styleId="TextodoEspaoReservado">
    <w:name w:val="Placeholder Text"/>
    <w:basedOn w:val="Fontepargpadro"/>
    <w:uiPriority w:val="99"/>
    <w:semiHidden/>
    <w:rsid w:val="003900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88102">
      <w:bodyDiv w:val="1"/>
      <w:marLeft w:val="0"/>
      <w:marRight w:val="0"/>
      <w:marTop w:val="0"/>
      <w:marBottom w:val="0"/>
      <w:divBdr>
        <w:top w:val="none" w:sz="0" w:space="0" w:color="auto"/>
        <w:left w:val="none" w:sz="0" w:space="0" w:color="auto"/>
        <w:bottom w:val="none" w:sz="0" w:space="0" w:color="auto"/>
        <w:right w:val="none" w:sz="0" w:space="0" w:color="auto"/>
      </w:divBdr>
    </w:div>
    <w:div w:id="167527434">
      <w:bodyDiv w:val="1"/>
      <w:marLeft w:val="0"/>
      <w:marRight w:val="0"/>
      <w:marTop w:val="0"/>
      <w:marBottom w:val="0"/>
      <w:divBdr>
        <w:top w:val="none" w:sz="0" w:space="0" w:color="auto"/>
        <w:left w:val="none" w:sz="0" w:space="0" w:color="auto"/>
        <w:bottom w:val="none" w:sz="0" w:space="0" w:color="auto"/>
        <w:right w:val="none" w:sz="0" w:space="0" w:color="auto"/>
      </w:divBdr>
    </w:div>
    <w:div w:id="255478313">
      <w:bodyDiv w:val="1"/>
      <w:marLeft w:val="0"/>
      <w:marRight w:val="0"/>
      <w:marTop w:val="0"/>
      <w:marBottom w:val="0"/>
      <w:divBdr>
        <w:top w:val="none" w:sz="0" w:space="0" w:color="auto"/>
        <w:left w:val="none" w:sz="0" w:space="0" w:color="auto"/>
        <w:bottom w:val="none" w:sz="0" w:space="0" w:color="auto"/>
        <w:right w:val="none" w:sz="0" w:space="0" w:color="auto"/>
      </w:divBdr>
    </w:div>
    <w:div w:id="288781271">
      <w:bodyDiv w:val="1"/>
      <w:marLeft w:val="0"/>
      <w:marRight w:val="0"/>
      <w:marTop w:val="0"/>
      <w:marBottom w:val="0"/>
      <w:divBdr>
        <w:top w:val="none" w:sz="0" w:space="0" w:color="auto"/>
        <w:left w:val="none" w:sz="0" w:space="0" w:color="auto"/>
        <w:bottom w:val="none" w:sz="0" w:space="0" w:color="auto"/>
        <w:right w:val="none" w:sz="0" w:space="0" w:color="auto"/>
      </w:divBdr>
    </w:div>
    <w:div w:id="319778179">
      <w:bodyDiv w:val="1"/>
      <w:marLeft w:val="0"/>
      <w:marRight w:val="0"/>
      <w:marTop w:val="0"/>
      <w:marBottom w:val="0"/>
      <w:divBdr>
        <w:top w:val="none" w:sz="0" w:space="0" w:color="auto"/>
        <w:left w:val="none" w:sz="0" w:space="0" w:color="auto"/>
        <w:bottom w:val="none" w:sz="0" w:space="0" w:color="auto"/>
        <w:right w:val="none" w:sz="0" w:space="0" w:color="auto"/>
      </w:divBdr>
    </w:div>
    <w:div w:id="393314091">
      <w:bodyDiv w:val="1"/>
      <w:marLeft w:val="0"/>
      <w:marRight w:val="0"/>
      <w:marTop w:val="0"/>
      <w:marBottom w:val="0"/>
      <w:divBdr>
        <w:top w:val="none" w:sz="0" w:space="0" w:color="auto"/>
        <w:left w:val="none" w:sz="0" w:space="0" w:color="auto"/>
        <w:bottom w:val="none" w:sz="0" w:space="0" w:color="auto"/>
        <w:right w:val="none" w:sz="0" w:space="0" w:color="auto"/>
      </w:divBdr>
    </w:div>
    <w:div w:id="776683133">
      <w:bodyDiv w:val="1"/>
      <w:marLeft w:val="0"/>
      <w:marRight w:val="0"/>
      <w:marTop w:val="0"/>
      <w:marBottom w:val="0"/>
      <w:divBdr>
        <w:top w:val="none" w:sz="0" w:space="0" w:color="auto"/>
        <w:left w:val="none" w:sz="0" w:space="0" w:color="auto"/>
        <w:bottom w:val="none" w:sz="0" w:space="0" w:color="auto"/>
        <w:right w:val="none" w:sz="0" w:space="0" w:color="auto"/>
      </w:divBdr>
    </w:div>
    <w:div w:id="817768351">
      <w:bodyDiv w:val="1"/>
      <w:marLeft w:val="0"/>
      <w:marRight w:val="0"/>
      <w:marTop w:val="0"/>
      <w:marBottom w:val="0"/>
      <w:divBdr>
        <w:top w:val="none" w:sz="0" w:space="0" w:color="auto"/>
        <w:left w:val="none" w:sz="0" w:space="0" w:color="auto"/>
        <w:bottom w:val="none" w:sz="0" w:space="0" w:color="auto"/>
        <w:right w:val="none" w:sz="0" w:space="0" w:color="auto"/>
      </w:divBdr>
    </w:div>
    <w:div w:id="1088159925">
      <w:bodyDiv w:val="1"/>
      <w:marLeft w:val="0"/>
      <w:marRight w:val="0"/>
      <w:marTop w:val="0"/>
      <w:marBottom w:val="0"/>
      <w:divBdr>
        <w:top w:val="none" w:sz="0" w:space="0" w:color="auto"/>
        <w:left w:val="none" w:sz="0" w:space="0" w:color="auto"/>
        <w:bottom w:val="none" w:sz="0" w:space="0" w:color="auto"/>
        <w:right w:val="none" w:sz="0" w:space="0" w:color="auto"/>
      </w:divBdr>
    </w:div>
    <w:div w:id="1110247055">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729842816">
      <w:bodyDiv w:val="1"/>
      <w:marLeft w:val="0"/>
      <w:marRight w:val="0"/>
      <w:marTop w:val="0"/>
      <w:marBottom w:val="0"/>
      <w:divBdr>
        <w:top w:val="none" w:sz="0" w:space="0" w:color="auto"/>
        <w:left w:val="none" w:sz="0" w:space="0" w:color="auto"/>
        <w:bottom w:val="none" w:sz="0" w:space="0" w:color="auto"/>
        <w:right w:val="none" w:sz="0" w:space="0" w:color="auto"/>
      </w:divBdr>
    </w:div>
    <w:div w:id="1733776295">
      <w:bodyDiv w:val="1"/>
      <w:marLeft w:val="0"/>
      <w:marRight w:val="0"/>
      <w:marTop w:val="0"/>
      <w:marBottom w:val="0"/>
      <w:divBdr>
        <w:top w:val="none" w:sz="0" w:space="0" w:color="auto"/>
        <w:left w:val="none" w:sz="0" w:space="0" w:color="auto"/>
        <w:bottom w:val="none" w:sz="0" w:space="0" w:color="auto"/>
        <w:right w:val="none" w:sz="0" w:space="0" w:color="auto"/>
      </w:divBdr>
    </w:div>
    <w:div w:id="1745954110">
      <w:bodyDiv w:val="1"/>
      <w:marLeft w:val="0"/>
      <w:marRight w:val="0"/>
      <w:marTop w:val="0"/>
      <w:marBottom w:val="0"/>
      <w:divBdr>
        <w:top w:val="none" w:sz="0" w:space="0" w:color="auto"/>
        <w:left w:val="none" w:sz="0" w:space="0" w:color="auto"/>
        <w:bottom w:val="none" w:sz="0" w:space="0" w:color="auto"/>
        <w:right w:val="none" w:sz="0" w:space="0" w:color="auto"/>
      </w:divBdr>
    </w:div>
    <w:div w:id="2042047049">
      <w:bodyDiv w:val="1"/>
      <w:marLeft w:val="0"/>
      <w:marRight w:val="0"/>
      <w:marTop w:val="0"/>
      <w:marBottom w:val="0"/>
      <w:divBdr>
        <w:top w:val="none" w:sz="0" w:space="0" w:color="auto"/>
        <w:left w:val="none" w:sz="0" w:space="0" w:color="auto"/>
        <w:bottom w:val="none" w:sz="0" w:space="0" w:color="auto"/>
        <w:right w:val="none" w:sz="0" w:space="0" w:color="auto"/>
      </w:divBdr>
    </w:div>
    <w:div w:id="20980154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iana.holtz@ufjf.edu.b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srn.com/abstract=25184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link-periodicos-capes-gov-br.ez25.periodicos.capes.gov.br/sfxlcl41?frbrVersion=4&amp;ctx_ver=Z39.88-2004&amp;ctx_enc=info:ofi/enc:UTF-8&amp;ctx_tim=2016-11-11T11%3A12%3A06IST&amp;url_ver=Z39.88-2004&amp;url_ctx_fmt=infofi/fmt:kev:mtx:ctx&amp;rfr_id=info:sid/primo.exlibrisgroup.com:primo3-Article-scopus&amp;rft_val_fmt=info:ofi/fmt:kev:mtx:journal&amp;rft.genre=article&amp;rft.atitle=Quality%20versus%20quantity:%20The%20case%20of%20forward-looking%20disclosure&amp;rft.jtitle=Journal%20of%20Accounting,%20Auditing%20and%20Finance&amp;rft.btitle=&amp;rft.aulast=Beretta&amp;rft.auinit=S&amp;rft.auinit1=&amp;rft.auinitm=&amp;rft.ausuffix=&amp;rft.au=Beretta,%20S.&amp;rft.aucorp=&amp;rft.date=2008&amp;rft.volume=23&amp;rft.issue=3&amp;rft.part=&amp;rft.quarter=&amp;rft.ssn=&amp;rft.spage=333&amp;rft.epage=375&amp;rft.pages=333-375&amp;rft.artnum=&amp;rft.issn=0148558X&amp;rft.eissn=&amp;rft.isbn=&amp;rft.sici=&amp;rft.coden=&amp;rft_id=info:doi/&amp;rft.object_id=&amp;svc_val_fmt=info:ofi/fmt:kev:mtx:sch_svc&amp;rft.eisbn=&amp;rft_dat=%3Cscopus%3E2-s2.0-47949089060%3C/scopus%3E%3Cgrp_id%3E7525688044317041144%3C/grp_id%3E%3Coa%3E%3C/oa%3E%3Curl%3E%3C/url%3E&amp;rft_id=info:oai/&amp;svc.fulltext=yes&amp;req.language=po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rofodilanei@gmail.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01065-6F1F-4FF3-A809-A8B37967B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9380</Words>
  <Characters>50654</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2018-04-30T15:13:00Z</dcterms:created>
  <dcterms:modified xsi:type="dcterms:W3CDTF">2018-05-05T16:06:00Z</dcterms:modified>
</cp:coreProperties>
</file>