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3871E" w14:textId="4E6683AD" w:rsidR="0036377D" w:rsidRDefault="00F309CF" w:rsidP="00C04F45">
      <w:pPr>
        <w:widowControl w:val="0"/>
        <w:jc w:val="center"/>
        <w:rPr>
          <w:color w:val="999999"/>
        </w:rPr>
      </w:pPr>
      <w:r>
        <w:rPr>
          <w:b/>
          <w:sz w:val="24"/>
          <w:szCs w:val="24"/>
        </w:rPr>
        <w:t>Verificação</w:t>
      </w:r>
      <w:r w:rsidR="001C34CF" w:rsidRPr="00DE4C17">
        <w:rPr>
          <w:b/>
          <w:sz w:val="24"/>
          <w:szCs w:val="24"/>
        </w:rPr>
        <w:t xml:space="preserve"> </w:t>
      </w:r>
      <w:r w:rsidR="001C34CF">
        <w:rPr>
          <w:b/>
          <w:sz w:val="24"/>
          <w:szCs w:val="24"/>
        </w:rPr>
        <w:t>do</w:t>
      </w:r>
      <w:r>
        <w:rPr>
          <w:b/>
          <w:sz w:val="24"/>
          <w:szCs w:val="24"/>
        </w:rPr>
        <w:t xml:space="preserve"> conteúdo aplicado no</w:t>
      </w:r>
      <w:r w:rsidR="001C34CF">
        <w:rPr>
          <w:b/>
          <w:sz w:val="24"/>
          <w:szCs w:val="24"/>
        </w:rPr>
        <w:t xml:space="preserve"> Parágrafo d</w:t>
      </w:r>
      <w:r w:rsidR="001C34CF" w:rsidRPr="00DE4C17">
        <w:rPr>
          <w:b/>
          <w:sz w:val="24"/>
          <w:szCs w:val="24"/>
        </w:rPr>
        <w:t xml:space="preserve">e Ênfase </w:t>
      </w:r>
      <w:r w:rsidR="001C34CF">
        <w:rPr>
          <w:b/>
          <w:sz w:val="24"/>
          <w:szCs w:val="24"/>
        </w:rPr>
        <w:t>e</w:t>
      </w:r>
      <w:r w:rsidR="001C34CF" w:rsidRPr="00DE4C17">
        <w:rPr>
          <w:b/>
          <w:sz w:val="24"/>
          <w:szCs w:val="24"/>
        </w:rPr>
        <w:t xml:space="preserve"> </w:t>
      </w:r>
      <w:r w:rsidR="001C34CF">
        <w:rPr>
          <w:b/>
          <w:sz w:val="24"/>
          <w:szCs w:val="24"/>
        </w:rPr>
        <w:t>d</w:t>
      </w:r>
      <w:r w:rsidR="001C34CF" w:rsidRPr="00DE4C17">
        <w:rPr>
          <w:b/>
          <w:sz w:val="24"/>
          <w:szCs w:val="24"/>
        </w:rPr>
        <w:t xml:space="preserve">e Outros Assuntos </w:t>
      </w:r>
      <w:r w:rsidR="001C34CF">
        <w:rPr>
          <w:b/>
          <w:sz w:val="24"/>
          <w:szCs w:val="24"/>
        </w:rPr>
        <w:t>n</w:t>
      </w:r>
      <w:r w:rsidR="001C34CF" w:rsidRPr="00DE4C17">
        <w:rPr>
          <w:b/>
          <w:sz w:val="24"/>
          <w:szCs w:val="24"/>
        </w:rPr>
        <w:t xml:space="preserve">o Relatório </w:t>
      </w:r>
      <w:r w:rsidR="001C34CF">
        <w:rPr>
          <w:b/>
          <w:sz w:val="24"/>
          <w:szCs w:val="24"/>
        </w:rPr>
        <w:t>d</w:t>
      </w:r>
      <w:r w:rsidR="001C34CF" w:rsidRPr="00DE4C17">
        <w:rPr>
          <w:b/>
          <w:sz w:val="24"/>
          <w:szCs w:val="24"/>
        </w:rPr>
        <w:t xml:space="preserve">e Opinião </w:t>
      </w:r>
      <w:r>
        <w:rPr>
          <w:b/>
          <w:sz w:val="24"/>
          <w:szCs w:val="24"/>
        </w:rPr>
        <w:t xml:space="preserve">dos Auditores Independentes </w:t>
      </w:r>
      <w:r w:rsidR="001C34CF">
        <w:rPr>
          <w:b/>
          <w:sz w:val="24"/>
          <w:szCs w:val="24"/>
        </w:rPr>
        <w:t>em Companhias Listadas n</w:t>
      </w:r>
      <w:r w:rsidR="001C34CF" w:rsidRPr="00DE4C17">
        <w:rPr>
          <w:b/>
          <w:sz w:val="24"/>
          <w:szCs w:val="24"/>
        </w:rPr>
        <w:t>a BM&amp;FBOVESPA</w:t>
      </w:r>
    </w:p>
    <w:p w14:paraId="26335773" w14:textId="77777777" w:rsidR="0036377D" w:rsidRDefault="0036377D" w:rsidP="0036377D">
      <w:pPr>
        <w:jc w:val="center"/>
        <w:rPr>
          <w:color w:val="999999"/>
        </w:rPr>
      </w:pPr>
    </w:p>
    <w:p w14:paraId="5836F153" w14:textId="77777777" w:rsidR="008B699F" w:rsidRDefault="008B699F" w:rsidP="008B699F">
      <w:pPr>
        <w:widowControl w:val="0"/>
        <w:jc w:val="right"/>
        <w:rPr>
          <w:b/>
          <w:sz w:val="24"/>
          <w:szCs w:val="24"/>
        </w:rPr>
      </w:pPr>
      <w:r>
        <w:rPr>
          <w:b/>
          <w:sz w:val="24"/>
          <w:szCs w:val="24"/>
        </w:rPr>
        <w:t>Vanessa Ramos da Silva</w:t>
      </w:r>
    </w:p>
    <w:p w14:paraId="4ED4E18E" w14:textId="77777777" w:rsidR="008B699F" w:rsidRDefault="008B699F" w:rsidP="008B699F">
      <w:pPr>
        <w:widowControl w:val="0"/>
        <w:jc w:val="right"/>
        <w:rPr>
          <w:b/>
          <w:i/>
          <w:sz w:val="24"/>
          <w:szCs w:val="24"/>
        </w:rPr>
      </w:pPr>
      <w:r>
        <w:rPr>
          <w:b/>
          <w:sz w:val="24"/>
          <w:szCs w:val="24"/>
        </w:rPr>
        <w:t>Universidade Federal de Uberlândia (UFU)</w:t>
      </w:r>
    </w:p>
    <w:p w14:paraId="14AE0B27" w14:textId="77777777" w:rsidR="008B699F" w:rsidRDefault="008B699F" w:rsidP="008B699F">
      <w:pPr>
        <w:jc w:val="right"/>
        <w:rPr>
          <w:b/>
          <w:sz w:val="24"/>
          <w:szCs w:val="24"/>
        </w:rPr>
      </w:pPr>
      <w:r>
        <w:rPr>
          <w:b/>
          <w:i/>
          <w:sz w:val="24"/>
          <w:szCs w:val="24"/>
        </w:rPr>
        <w:t>E-mail: vanessaramossilva@hotmail.com</w:t>
      </w:r>
      <w:r w:rsidRPr="001C34CF">
        <w:rPr>
          <w:b/>
          <w:sz w:val="24"/>
          <w:szCs w:val="24"/>
        </w:rPr>
        <w:t xml:space="preserve"> </w:t>
      </w:r>
    </w:p>
    <w:p w14:paraId="25433FD5" w14:textId="77777777" w:rsidR="008B699F" w:rsidRDefault="008B699F" w:rsidP="008B699F">
      <w:pPr>
        <w:jc w:val="right"/>
        <w:rPr>
          <w:b/>
          <w:sz w:val="24"/>
          <w:szCs w:val="24"/>
        </w:rPr>
      </w:pPr>
    </w:p>
    <w:p w14:paraId="1AAEB08B" w14:textId="73EEA52A" w:rsidR="0036377D" w:rsidRDefault="001C34CF" w:rsidP="008B699F">
      <w:pPr>
        <w:jc w:val="right"/>
        <w:rPr>
          <w:b/>
          <w:sz w:val="24"/>
          <w:szCs w:val="24"/>
        </w:rPr>
      </w:pPr>
      <w:r w:rsidRPr="001C34CF">
        <w:rPr>
          <w:b/>
          <w:sz w:val="24"/>
          <w:szCs w:val="24"/>
        </w:rPr>
        <w:t>Danyella do Carmo Pena</w:t>
      </w:r>
    </w:p>
    <w:p w14:paraId="3AB78F33" w14:textId="77777777" w:rsidR="0036377D" w:rsidRDefault="001C34CF" w:rsidP="0036377D">
      <w:pPr>
        <w:jc w:val="right"/>
        <w:rPr>
          <w:b/>
          <w:i/>
          <w:sz w:val="24"/>
          <w:szCs w:val="24"/>
        </w:rPr>
      </w:pPr>
      <w:r w:rsidRPr="001C34CF">
        <w:rPr>
          <w:b/>
          <w:sz w:val="24"/>
          <w:szCs w:val="24"/>
        </w:rPr>
        <w:t xml:space="preserve">Fundação Carmelitana Mário Palmério </w:t>
      </w:r>
      <w:r w:rsidR="0036377D">
        <w:rPr>
          <w:b/>
          <w:sz w:val="24"/>
          <w:szCs w:val="24"/>
        </w:rPr>
        <w:t>(</w:t>
      </w:r>
      <w:r>
        <w:rPr>
          <w:b/>
          <w:sz w:val="24"/>
          <w:szCs w:val="24"/>
        </w:rPr>
        <w:t>FUCAMP</w:t>
      </w:r>
      <w:r w:rsidR="0036377D">
        <w:rPr>
          <w:b/>
          <w:sz w:val="24"/>
          <w:szCs w:val="24"/>
        </w:rPr>
        <w:t>)</w:t>
      </w:r>
    </w:p>
    <w:p w14:paraId="2EFD750A" w14:textId="77777777" w:rsidR="0036377D" w:rsidRDefault="00C04F45" w:rsidP="0036377D">
      <w:pPr>
        <w:jc w:val="right"/>
        <w:rPr>
          <w:b/>
          <w:sz w:val="24"/>
          <w:szCs w:val="24"/>
        </w:rPr>
      </w:pPr>
      <w:r>
        <w:rPr>
          <w:b/>
          <w:i/>
          <w:sz w:val="24"/>
          <w:szCs w:val="24"/>
        </w:rPr>
        <w:t>E</w:t>
      </w:r>
      <w:r w:rsidR="0036377D">
        <w:rPr>
          <w:b/>
          <w:i/>
          <w:sz w:val="24"/>
          <w:szCs w:val="24"/>
        </w:rPr>
        <w:t>-mail</w:t>
      </w:r>
      <w:r>
        <w:rPr>
          <w:b/>
          <w:i/>
          <w:sz w:val="24"/>
          <w:szCs w:val="24"/>
        </w:rPr>
        <w:t>:</w:t>
      </w:r>
      <w:r w:rsidR="001C34CF" w:rsidRPr="001C34CF">
        <w:t xml:space="preserve"> </w:t>
      </w:r>
      <w:r w:rsidR="001C34CF" w:rsidRPr="001C34CF">
        <w:rPr>
          <w:b/>
          <w:i/>
          <w:sz w:val="24"/>
          <w:szCs w:val="24"/>
        </w:rPr>
        <w:t>danyellapena2@gmail.com</w:t>
      </w:r>
    </w:p>
    <w:p w14:paraId="4C7FCE7C" w14:textId="77777777" w:rsidR="0036377D" w:rsidRDefault="0036377D" w:rsidP="0036377D">
      <w:pPr>
        <w:jc w:val="right"/>
        <w:rPr>
          <w:b/>
          <w:sz w:val="24"/>
          <w:szCs w:val="24"/>
        </w:rPr>
      </w:pPr>
    </w:p>
    <w:p w14:paraId="0170711A" w14:textId="77777777" w:rsidR="008B699F" w:rsidRDefault="008B699F" w:rsidP="008B699F">
      <w:pPr>
        <w:widowControl w:val="0"/>
        <w:jc w:val="right"/>
        <w:rPr>
          <w:b/>
          <w:sz w:val="24"/>
          <w:szCs w:val="24"/>
        </w:rPr>
      </w:pPr>
      <w:r>
        <w:rPr>
          <w:b/>
          <w:sz w:val="24"/>
          <w:szCs w:val="24"/>
        </w:rPr>
        <w:t>José Tarocco Filho</w:t>
      </w:r>
    </w:p>
    <w:p w14:paraId="51AFB3B5" w14:textId="77777777" w:rsidR="008B699F" w:rsidRDefault="008B699F" w:rsidP="008B699F">
      <w:pPr>
        <w:jc w:val="right"/>
        <w:rPr>
          <w:b/>
          <w:i/>
          <w:sz w:val="24"/>
          <w:szCs w:val="24"/>
        </w:rPr>
      </w:pPr>
      <w:r w:rsidRPr="001C34CF">
        <w:rPr>
          <w:b/>
          <w:sz w:val="24"/>
          <w:szCs w:val="24"/>
        </w:rPr>
        <w:t xml:space="preserve">Fundação Carmelitana Mário Palmério </w:t>
      </w:r>
      <w:r>
        <w:rPr>
          <w:b/>
          <w:sz w:val="24"/>
          <w:szCs w:val="24"/>
        </w:rPr>
        <w:t>(FUCAMP)</w:t>
      </w:r>
    </w:p>
    <w:p w14:paraId="0CE67DB0" w14:textId="5C8E089C" w:rsidR="008B699F" w:rsidRDefault="008B699F" w:rsidP="008B699F">
      <w:pPr>
        <w:jc w:val="right"/>
        <w:rPr>
          <w:b/>
          <w:sz w:val="24"/>
          <w:szCs w:val="24"/>
        </w:rPr>
      </w:pPr>
      <w:r>
        <w:rPr>
          <w:b/>
          <w:i/>
          <w:sz w:val="24"/>
          <w:szCs w:val="24"/>
        </w:rPr>
        <w:t xml:space="preserve">E-mail: </w:t>
      </w:r>
      <w:r w:rsidRPr="001624FD">
        <w:rPr>
          <w:b/>
          <w:i/>
          <w:sz w:val="24"/>
          <w:szCs w:val="24"/>
        </w:rPr>
        <w:t>jtarocco@hotmail.com</w:t>
      </w:r>
    </w:p>
    <w:p w14:paraId="4FED3684" w14:textId="77777777" w:rsidR="008B699F" w:rsidRDefault="008B699F" w:rsidP="00067126">
      <w:pPr>
        <w:widowControl w:val="0"/>
        <w:jc w:val="right"/>
        <w:rPr>
          <w:b/>
          <w:sz w:val="24"/>
          <w:szCs w:val="24"/>
        </w:rPr>
      </w:pPr>
    </w:p>
    <w:p w14:paraId="5E213A52" w14:textId="77777777" w:rsidR="0036377D" w:rsidRDefault="001C34CF" w:rsidP="00067126">
      <w:pPr>
        <w:widowControl w:val="0"/>
        <w:jc w:val="right"/>
        <w:rPr>
          <w:b/>
          <w:sz w:val="24"/>
          <w:szCs w:val="24"/>
        </w:rPr>
      </w:pPr>
      <w:r>
        <w:rPr>
          <w:b/>
          <w:sz w:val="24"/>
          <w:szCs w:val="24"/>
        </w:rPr>
        <w:t>Cassius Klay Silva Santos</w:t>
      </w:r>
    </w:p>
    <w:p w14:paraId="3BC73C5F" w14:textId="77777777" w:rsidR="0036377D" w:rsidRDefault="001C34CF" w:rsidP="00067126">
      <w:pPr>
        <w:widowControl w:val="0"/>
        <w:jc w:val="right"/>
        <w:rPr>
          <w:b/>
          <w:i/>
          <w:sz w:val="24"/>
          <w:szCs w:val="24"/>
        </w:rPr>
      </w:pPr>
      <w:r>
        <w:rPr>
          <w:b/>
          <w:sz w:val="24"/>
          <w:szCs w:val="24"/>
        </w:rPr>
        <w:t>Universidade Federal de Uberlândia (UFU</w:t>
      </w:r>
      <w:r w:rsidR="0036377D">
        <w:rPr>
          <w:b/>
          <w:sz w:val="24"/>
          <w:szCs w:val="24"/>
        </w:rPr>
        <w:t>)</w:t>
      </w:r>
    </w:p>
    <w:p w14:paraId="6563E785" w14:textId="77777777" w:rsidR="001C34CF" w:rsidRDefault="00C04F45" w:rsidP="001C34CF">
      <w:pPr>
        <w:jc w:val="right"/>
        <w:rPr>
          <w:b/>
          <w:sz w:val="24"/>
          <w:szCs w:val="24"/>
        </w:rPr>
      </w:pPr>
      <w:r>
        <w:rPr>
          <w:b/>
          <w:i/>
          <w:sz w:val="24"/>
          <w:szCs w:val="24"/>
        </w:rPr>
        <w:t>E</w:t>
      </w:r>
      <w:r w:rsidR="0036377D">
        <w:rPr>
          <w:b/>
          <w:i/>
          <w:sz w:val="24"/>
          <w:szCs w:val="24"/>
        </w:rPr>
        <w:t>-mail</w:t>
      </w:r>
      <w:r>
        <w:rPr>
          <w:b/>
          <w:i/>
          <w:sz w:val="24"/>
          <w:szCs w:val="24"/>
        </w:rPr>
        <w:t>:</w:t>
      </w:r>
      <w:r w:rsidR="001C34CF">
        <w:rPr>
          <w:b/>
          <w:i/>
          <w:sz w:val="24"/>
          <w:szCs w:val="24"/>
        </w:rPr>
        <w:t xml:space="preserve"> </w:t>
      </w:r>
      <w:r w:rsidR="001C34CF" w:rsidRPr="001C34CF">
        <w:rPr>
          <w:b/>
          <w:i/>
          <w:sz w:val="24"/>
          <w:szCs w:val="24"/>
        </w:rPr>
        <w:t>cassiusklay@gmail.com</w:t>
      </w:r>
      <w:r w:rsidR="001C34CF" w:rsidRPr="001C34CF">
        <w:rPr>
          <w:b/>
          <w:sz w:val="24"/>
          <w:szCs w:val="24"/>
        </w:rPr>
        <w:t xml:space="preserve"> </w:t>
      </w:r>
    </w:p>
    <w:p w14:paraId="212BFF14" w14:textId="4C84343D" w:rsidR="0036377D" w:rsidRDefault="0036377D" w:rsidP="001C34CF">
      <w:pPr>
        <w:widowControl w:val="0"/>
        <w:jc w:val="right"/>
        <w:rPr>
          <w:b/>
          <w:sz w:val="24"/>
          <w:szCs w:val="24"/>
        </w:rPr>
      </w:pPr>
    </w:p>
    <w:p w14:paraId="2FE5676D" w14:textId="77777777" w:rsidR="0036377D" w:rsidRDefault="0036377D" w:rsidP="00067126">
      <w:pPr>
        <w:widowControl w:val="0"/>
        <w:jc w:val="center"/>
        <w:rPr>
          <w:b/>
          <w:color w:val="999999"/>
        </w:rPr>
      </w:pPr>
    </w:p>
    <w:p w14:paraId="0EBD8D2D" w14:textId="1F0E7DC9" w:rsidR="00C04F45" w:rsidRDefault="0036377D" w:rsidP="00067126">
      <w:pPr>
        <w:widowControl w:val="0"/>
        <w:jc w:val="both"/>
        <w:rPr>
          <w:b/>
          <w:sz w:val="24"/>
          <w:szCs w:val="24"/>
        </w:rPr>
      </w:pPr>
      <w:r>
        <w:rPr>
          <w:b/>
          <w:sz w:val="24"/>
          <w:szCs w:val="24"/>
        </w:rPr>
        <w:t xml:space="preserve">Resumo </w:t>
      </w:r>
    </w:p>
    <w:p w14:paraId="18DDC341" w14:textId="046543FB" w:rsidR="0036377D" w:rsidRDefault="001C34CF" w:rsidP="00067126">
      <w:pPr>
        <w:widowControl w:val="0"/>
        <w:jc w:val="both"/>
        <w:rPr>
          <w:b/>
          <w:sz w:val="24"/>
          <w:szCs w:val="24"/>
        </w:rPr>
      </w:pPr>
      <w:r w:rsidRPr="001C34CF">
        <w:rPr>
          <w:sz w:val="24"/>
          <w:szCs w:val="24"/>
        </w:rPr>
        <w:t>O relatório de opinião possui conteúdo informacional de acordo com as Normas Brasileiras de Contabilidade – Técnicas de Auditoria Independente – (NBC TA), série 700. Nesta perspectiva, considerando as alterações nas NBC TA que passaram a serem aplicadas em 2016, esta pesquisa objetiva identificar e analisar as principais características relacionadas a quais conteúdos estão sendo abordados atualmente nos parágrafos de ênfase e nos parágrafos de outros assuntos nos relatórios de opinião emitidos para as companhias abertas listadas na BM&amp;FBOVESPA. Para tanto, realizou-se uma pesquisa descritiva e de conteúdo, sobressaindo-se o aspecto de estudo qualitativo. Foram acessados os relatórios dos auditores independentes do exercício social de 2016 de 391 empresas listadas na BM&amp;FBOVESPA. Os resultados encontrados permitiram identificar que a maior parte das empresas (64,94%) não possuem parágrafo de ênfase, contudo nas que possuem, o assunto com maior frequência de abordagem foi “Reapresentação das demonstrações financeiras/valores correspondentes”. Diferente desse comportamento, o parágrafo de outros assuntos foi abordado em aproximadamente 99% da amostra, sendo que o assunto” Demonstração do Valor Adicionado” estava presente em 87,73% dos relatórios. Com base nos resultados considerou-se que os auditores utilizam mais o parágrafo de outros assuntos do que de ênfase, justificado pelo fato de no parágrafo de outros assuntos pode ter um caráter mais informacional que o parágrafo de ênfase ou por ainda não estarem totalmente familiarizados com as novas técnicas que devem ser aplicadas na construção do relatório de opinião após as alterações a partir de 2016</w:t>
      </w:r>
      <w:r w:rsidR="0036377D">
        <w:rPr>
          <w:sz w:val="24"/>
          <w:szCs w:val="24"/>
        </w:rPr>
        <w:t xml:space="preserve">. </w:t>
      </w:r>
    </w:p>
    <w:p w14:paraId="0E98482B" w14:textId="77777777" w:rsidR="0036377D" w:rsidRDefault="0036377D" w:rsidP="00067126">
      <w:pPr>
        <w:widowControl w:val="0"/>
        <w:rPr>
          <w:b/>
          <w:sz w:val="24"/>
          <w:szCs w:val="24"/>
        </w:rPr>
      </w:pPr>
    </w:p>
    <w:p w14:paraId="03154BE7" w14:textId="77777777" w:rsidR="0036377D" w:rsidRDefault="0036377D" w:rsidP="00067126">
      <w:pPr>
        <w:widowControl w:val="0"/>
        <w:rPr>
          <w:sz w:val="24"/>
          <w:szCs w:val="24"/>
        </w:rPr>
      </w:pPr>
      <w:r>
        <w:rPr>
          <w:b/>
          <w:sz w:val="24"/>
          <w:szCs w:val="24"/>
        </w:rPr>
        <w:t xml:space="preserve">Palavras-chave: </w:t>
      </w:r>
      <w:r w:rsidR="001C34CF" w:rsidRPr="001C34CF">
        <w:rPr>
          <w:sz w:val="24"/>
          <w:szCs w:val="24"/>
        </w:rPr>
        <w:t xml:space="preserve">RELATÓRIOS DE AUDITORIA; PARÁGRAFO DE ÊNFASE; PARÁGRAFO DE OUTROS </w:t>
      </w:r>
      <w:r w:rsidR="001C34CF">
        <w:rPr>
          <w:sz w:val="24"/>
          <w:szCs w:val="24"/>
        </w:rPr>
        <w:t>ASSUNTOS</w:t>
      </w:r>
      <w:r>
        <w:rPr>
          <w:sz w:val="24"/>
          <w:szCs w:val="24"/>
        </w:rPr>
        <w:t>.</w:t>
      </w:r>
    </w:p>
    <w:p w14:paraId="630D8BD2" w14:textId="77777777" w:rsidR="0036377D" w:rsidRDefault="0036377D" w:rsidP="00067126">
      <w:pPr>
        <w:widowControl w:val="0"/>
        <w:rPr>
          <w:sz w:val="24"/>
          <w:szCs w:val="24"/>
        </w:rPr>
      </w:pPr>
    </w:p>
    <w:p w14:paraId="19B9EC42" w14:textId="3BED94EE" w:rsidR="001C34CF" w:rsidRDefault="0036377D" w:rsidP="00895992">
      <w:pPr>
        <w:widowControl w:val="0"/>
        <w:rPr>
          <w:sz w:val="24"/>
          <w:szCs w:val="24"/>
        </w:rPr>
      </w:pPr>
      <w:r>
        <w:rPr>
          <w:b/>
          <w:sz w:val="24"/>
          <w:szCs w:val="24"/>
        </w:rPr>
        <w:t xml:space="preserve">Linha Temática: </w:t>
      </w:r>
      <w:r w:rsidR="00F7203D" w:rsidRPr="00F7203D">
        <w:rPr>
          <w:sz w:val="24"/>
          <w:szCs w:val="24"/>
        </w:rPr>
        <w:t>Auditoria Contábil (interna e independente)</w:t>
      </w:r>
    </w:p>
    <w:p w14:paraId="0CA958DA" w14:textId="77777777" w:rsidR="00895992" w:rsidRDefault="00895992" w:rsidP="00895992">
      <w:pPr>
        <w:widowControl w:val="0"/>
        <w:rPr>
          <w:b/>
          <w:sz w:val="24"/>
          <w:szCs w:val="24"/>
        </w:rPr>
      </w:pPr>
    </w:p>
    <w:p w14:paraId="57C25180" w14:textId="77777777" w:rsidR="00E6136F" w:rsidRPr="00C04F45" w:rsidRDefault="001C328B" w:rsidP="00067126">
      <w:pPr>
        <w:widowControl w:val="0"/>
        <w:rPr>
          <w:b/>
          <w:sz w:val="24"/>
          <w:szCs w:val="24"/>
        </w:rPr>
      </w:pPr>
      <w:r w:rsidRPr="00C04F45">
        <w:rPr>
          <w:b/>
          <w:sz w:val="24"/>
          <w:szCs w:val="24"/>
        </w:rPr>
        <w:t>1 Introdução</w:t>
      </w:r>
    </w:p>
    <w:p w14:paraId="54BD7F14" w14:textId="77777777" w:rsidR="00895992" w:rsidRPr="00DE4C17" w:rsidRDefault="00895992" w:rsidP="00895992">
      <w:pPr>
        <w:ind w:firstLine="567"/>
        <w:jc w:val="both"/>
        <w:rPr>
          <w:sz w:val="24"/>
          <w:szCs w:val="24"/>
        </w:rPr>
      </w:pPr>
      <w:r w:rsidRPr="00DE4C17">
        <w:rPr>
          <w:sz w:val="24"/>
          <w:szCs w:val="24"/>
        </w:rPr>
        <w:t xml:space="preserve">A auditoria contábil tem um papel importante dentro das organizações, podendo trazer descobertas capazes de direcionar o trabalho da empresa à um nível diferenciado de qualidade e excelência acima daquilo que se prevê. Crepaldi (2013) caracteriza o processo de auditoria contábil como um conjunto de ferramentas e procedimentos que visam à emissão de relatório de opinião em consoante aos Princípios Fundamentais de Contabilidade e pertinente à legislação específica. </w:t>
      </w:r>
    </w:p>
    <w:p w14:paraId="04C10B78" w14:textId="77777777" w:rsidR="00895992" w:rsidRPr="00DE4C17" w:rsidRDefault="00895992" w:rsidP="00895992">
      <w:pPr>
        <w:ind w:firstLine="567"/>
        <w:jc w:val="both"/>
        <w:rPr>
          <w:sz w:val="24"/>
          <w:szCs w:val="24"/>
        </w:rPr>
      </w:pPr>
      <w:r w:rsidRPr="00DE4C17">
        <w:rPr>
          <w:sz w:val="24"/>
          <w:szCs w:val="24"/>
        </w:rPr>
        <w:t>O objetivo da auditoria é aumentar o grau de confiança nas demonstrações contábeis por parte dos usuários. Isso é alcançado mediante a expressão de uma opinião emitida pelo auditor por meio de um relatório sobre as demonstrações contábeis elaboradas, observando todos os aspectos relevantes e estando em conformidade com uma estrutura de relatório financeiro aplicável de acordo com a Normas Brasileiras de Contabilidade</w:t>
      </w:r>
      <w:r w:rsidRPr="00F85046">
        <w:rPr>
          <w:sz w:val="24"/>
          <w:szCs w:val="24"/>
        </w:rPr>
        <w:t xml:space="preserve"> </w:t>
      </w:r>
      <w:r>
        <w:rPr>
          <w:sz w:val="24"/>
          <w:szCs w:val="24"/>
        </w:rPr>
        <w:t>(NBC</w:t>
      </w:r>
      <w:r w:rsidRPr="00DE4C17">
        <w:rPr>
          <w:sz w:val="24"/>
          <w:szCs w:val="24"/>
        </w:rPr>
        <w:t>) TA 200 – Objetivos Gerais do Auditor Independente e a Condução da Auditoria em Conformidade com Normas de Auditoria.</w:t>
      </w:r>
    </w:p>
    <w:p w14:paraId="7CE1AEF7" w14:textId="77777777" w:rsidR="00895992" w:rsidRDefault="00895992" w:rsidP="00895992">
      <w:pPr>
        <w:ind w:firstLine="567"/>
        <w:jc w:val="both"/>
        <w:rPr>
          <w:sz w:val="24"/>
          <w:szCs w:val="24"/>
        </w:rPr>
      </w:pPr>
      <w:r w:rsidRPr="00DE4C17">
        <w:rPr>
          <w:sz w:val="24"/>
          <w:szCs w:val="24"/>
        </w:rPr>
        <w:t>Dessa forma, todas as empresas de capital aberto estão obrigadas a serem submetidas à auditoria independente conforme previsto na Lei 6.404 de 1976, Art.177 § 3</w:t>
      </w:r>
      <w:r>
        <w:rPr>
          <w:sz w:val="24"/>
          <w:szCs w:val="24"/>
        </w:rPr>
        <w:t>º</w:t>
      </w:r>
      <w:r w:rsidRPr="00DE4C17">
        <w:rPr>
          <w:sz w:val="24"/>
          <w:szCs w:val="24"/>
        </w:rPr>
        <w:t xml:space="preserve">, onde </w:t>
      </w:r>
      <w:r>
        <w:rPr>
          <w:sz w:val="24"/>
          <w:szCs w:val="24"/>
        </w:rPr>
        <w:t>é definido que “a</w:t>
      </w:r>
      <w:r w:rsidRPr="00DE4C17">
        <w:rPr>
          <w:sz w:val="24"/>
          <w:szCs w:val="24"/>
        </w:rPr>
        <w:t xml:space="preserve">s demonstrações financeiras das companhias abertas observarão, ainda, as normas expedidas pela Comissão de Valores Mobiliários (CVM) e serão obrigatoriamente submetidas à auditoria por auditores independentes nela registrados”. </w:t>
      </w:r>
      <w:r>
        <w:rPr>
          <w:sz w:val="24"/>
          <w:szCs w:val="24"/>
        </w:rPr>
        <w:t>Complementa-se</w:t>
      </w:r>
      <w:r w:rsidRPr="00DE4C17">
        <w:rPr>
          <w:sz w:val="24"/>
          <w:szCs w:val="24"/>
        </w:rPr>
        <w:t xml:space="preserve"> </w:t>
      </w:r>
      <w:r>
        <w:rPr>
          <w:sz w:val="24"/>
          <w:szCs w:val="24"/>
        </w:rPr>
        <w:t>a necessidade</w:t>
      </w:r>
      <w:r w:rsidRPr="00DE4C17">
        <w:rPr>
          <w:sz w:val="24"/>
          <w:szCs w:val="24"/>
        </w:rPr>
        <w:t xml:space="preserve"> que o relatório de opinião do auditor independente esteja em consoante com </w:t>
      </w:r>
      <w:r>
        <w:rPr>
          <w:sz w:val="24"/>
          <w:szCs w:val="24"/>
        </w:rPr>
        <w:t xml:space="preserve">as normas NBC TA. No ano de 2016 passou a ser aplicado um novo conjunto de NBC TA definido como Novo Relatório do Auditor Independente (NRA) conforme determinação do Conselho Federal de Contabilidade (CFC), tais ocorrem considerando o processo de conversão às normas internacionais de contabilidade. </w:t>
      </w:r>
    </w:p>
    <w:p w14:paraId="654479D8" w14:textId="66031945" w:rsidR="00895992" w:rsidRPr="00DE4C17" w:rsidRDefault="00895992" w:rsidP="00895992">
      <w:pPr>
        <w:ind w:firstLine="567"/>
        <w:jc w:val="both"/>
        <w:rPr>
          <w:sz w:val="24"/>
          <w:szCs w:val="24"/>
        </w:rPr>
      </w:pPr>
      <w:r w:rsidRPr="00DE4C17">
        <w:rPr>
          <w:sz w:val="24"/>
          <w:szCs w:val="24"/>
        </w:rPr>
        <w:t xml:space="preserve">Regulamentado de acordo com as diretrizes das NBC TA 700 (2016), o relatório de opinião do auditor independente possui conteúdo informacional organizado em várias subdivisões, em meio a eles, encontra-se os parágrafos de ênfases e de outros assuntos. O parágrafo de ênfase relata os assuntos que </w:t>
      </w:r>
      <w:r w:rsidR="00D06D8E" w:rsidRPr="00DE4C17">
        <w:rPr>
          <w:sz w:val="24"/>
          <w:szCs w:val="24"/>
        </w:rPr>
        <w:t>est</w:t>
      </w:r>
      <w:r w:rsidR="00D06D8E">
        <w:rPr>
          <w:sz w:val="24"/>
          <w:szCs w:val="24"/>
        </w:rPr>
        <w:t>ão</w:t>
      </w:r>
      <w:r w:rsidR="00D06D8E" w:rsidRPr="00DE4C17">
        <w:rPr>
          <w:sz w:val="24"/>
          <w:szCs w:val="24"/>
        </w:rPr>
        <w:t xml:space="preserve"> </w:t>
      </w:r>
      <w:r w:rsidRPr="00DE4C17">
        <w:rPr>
          <w:sz w:val="24"/>
          <w:szCs w:val="24"/>
        </w:rPr>
        <w:t>sendo exposto</w:t>
      </w:r>
      <w:r w:rsidR="00D06D8E">
        <w:rPr>
          <w:sz w:val="24"/>
          <w:szCs w:val="24"/>
        </w:rPr>
        <w:t>s</w:t>
      </w:r>
      <w:r w:rsidRPr="00DE4C17">
        <w:rPr>
          <w:sz w:val="24"/>
          <w:szCs w:val="24"/>
        </w:rPr>
        <w:t xml:space="preserve"> no conjunto das demonstrações financeiras, mas que o auditor aprecia como essencial para o entendimento das demonstrações. No parágrafo de outros assuntos, são inclusos aqueles assuntos que estão relacionados com o trabalho do auditor. </w:t>
      </w:r>
    </w:p>
    <w:p w14:paraId="0F033434" w14:textId="40125C8F" w:rsidR="00895992" w:rsidRPr="00DE4C17" w:rsidRDefault="00895992" w:rsidP="00895992">
      <w:pPr>
        <w:ind w:firstLine="567"/>
        <w:jc w:val="both"/>
        <w:rPr>
          <w:sz w:val="24"/>
          <w:szCs w:val="24"/>
        </w:rPr>
      </w:pPr>
      <w:r w:rsidRPr="00DE4C17">
        <w:rPr>
          <w:sz w:val="24"/>
          <w:szCs w:val="24"/>
        </w:rPr>
        <w:t xml:space="preserve">Observa-se então a relevância do processo de auditoria para as tomadas de decisões das empresas, visando à melhoria através dos resultados encontrados nos relatórios. As normas de auditoria estabelecem diretrizes a serem seguidas pelos profissionais, fornecendo orientações úteis em relação a sua capacidade profissional e aos aspectos requeridos para que seu trabalho seja executado com êxito. </w:t>
      </w:r>
    </w:p>
    <w:p w14:paraId="08F6757A" w14:textId="14466C5D" w:rsidR="00895992" w:rsidRDefault="00895992" w:rsidP="0071485C">
      <w:pPr>
        <w:ind w:firstLine="567"/>
        <w:jc w:val="both"/>
        <w:rPr>
          <w:sz w:val="24"/>
          <w:szCs w:val="24"/>
        </w:rPr>
      </w:pPr>
      <w:r w:rsidRPr="00DE4C17">
        <w:rPr>
          <w:sz w:val="24"/>
          <w:szCs w:val="24"/>
        </w:rPr>
        <w:t xml:space="preserve">Com base </w:t>
      </w:r>
      <w:r>
        <w:rPr>
          <w:sz w:val="24"/>
          <w:szCs w:val="24"/>
        </w:rPr>
        <w:t>nesse contexto</w:t>
      </w:r>
      <w:r w:rsidR="0071485C">
        <w:rPr>
          <w:sz w:val="24"/>
          <w:szCs w:val="24"/>
        </w:rPr>
        <w:t>,</w:t>
      </w:r>
      <w:r>
        <w:rPr>
          <w:sz w:val="24"/>
          <w:szCs w:val="24"/>
        </w:rPr>
        <w:t xml:space="preserve"> </w:t>
      </w:r>
      <w:r w:rsidR="0071485C">
        <w:rPr>
          <w:sz w:val="24"/>
          <w:szCs w:val="24"/>
        </w:rPr>
        <w:t xml:space="preserve">o problema que direciona esta pesquisa são quais os conteúdos informacionais presentes nos parágrafos de ênfase </w:t>
      </w:r>
      <w:r w:rsidR="0071485C" w:rsidRPr="0071485C">
        <w:rPr>
          <w:sz w:val="24"/>
          <w:szCs w:val="24"/>
        </w:rPr>
        <w:t xml:space="preserve">de </w:t>
      </w:r>
      <w:r w:rsidR="0071485C">
        <w:rPr>
          <w:sz w:val="24"/>
          <w:szCs w:val="24"/>
        </w:rPr>
        <w:t>o</w:t>
      </w:r>
      <w:r w:rsidR="0071485C" w:rsidRPr="0071485C">
        <w:rPr>
          <w:sz w:val="24"/>
          <w:szCs w:val="24"/>
        </w:rPr>
        <w:t xml:space="preserve">utros </w:t>
      </w:r>
      <w:r w:rsidR="0071485C">
        <w:rPr>
          <w:sz w:val="24"/>
          <w:szCs w:val="24"/>
        </w:rPr>
        <w:t>a</w:t>
      </w:r>
      <w:r w:rsidR="0071485C" w:rsidRPr="0071485C">
        <w:rPr>
          <w:sz w:val="24"/>
          <w:szCs w:val="24"/>
        </w:rPr>
        <w:t xml:space="preserve">ssuntos nos </w:t>
      </w:r>
      <w:r w:rsidR="0071485C">
        <w:rPr>
          <w:sz w:val="24"/>
          <w:szCs w:val="24"/>
        </w:rPr>
        <w:t>r</w:t>
      </w:r>
      <w:r w:rsidR="0071485C" w:rsidRPr="0071485C">
        <w:rPr>
          <w:sz w:val="24"/>
          <w:szCs w:val="24"/>
        </w:rPr>
        <w:t xml:space="preserve">elatórios de </w:t>
      </w:r>
      <w:r w:rsidR="0071485C">
        <w:rPr>
          <w:sz w:val="24"/>
          <w:szCs w:val="24"/>
        </w:rPr>
        <w:t>o</w:t>
      </w:r>
      <w:r w:rsidR="0071485C" w:rsidRPr="0071485C">
        <w:rPr>
          <w:sz w:val="24"/>
          <w:szCs w:val="24"/>
        </w:rPr>
        <w:t xml:space="preserve">pinião dos </w:t>
      </w:r>
      <w:r w:rsidR="0071485C">
        <w:rPr>
          <w:sz w:val="24"/>
          <w:szCs w:val="24"/>
        </w:rPr>
        <w:t>auditores em companhias l</w:t>
      </w:r>
      <w:r w:rsidR="0071485C" w:rsidRPr="0071485C">
        <w:rPr>
          <w:sz w:val="24"/>
          <w:szCs w:val="24"/>
        </w:rPr>
        <w:t>istadas na BM&amp;FBOVESPA</w:t>
      </w:r>
      <w:r w:rsidR="0071485C">
        <w:rPr>
          <w:sz w:val="24"/>
          <w:szCs w:val="24"/>
        </w:rPr>
        <w:t xml:space="preserve">? </w:t>
      </w:r>
      <w:r>
        <w:rPr>
          <w:sz w:val="24"/>
          <w:szCs w:val="24"/>
        </w:rPr>
        <w:t>Uma</w:t>
      </w:r>
      <w:r w:rsidRPr="00DE4C17">
        <w:rPr>
          <w:sz w:val="24"/>
          <w:szCs w:val="24"/>
        </w:rPr>
        <w:t xml:space="preserve"> </w:t>
      </w:r>
      <w:r>
        <w:rPr>
          <w:sz w:val="24"/>
          <w:szCs w:val="24"/>
        </w:rPr>
        <w:t>vez que as alterações realizadas pelo CFC nas NBC TA que passaram a ser aplicada nas atividades de auditoria no ano de 2016 pode trazer impactos tanto na forma de apresentação quanto no conteúdo apresentado nos relatórios de opinião emitidos pelos auditores independentes</w:t>
      </w:r>
      <w:r w:rsidR="006B69BF">
        <w:rPr>
          <w:sz w:val="24"/>
          <w:szCs w:val="24"/>
        </w:rPr>
        <w:t>, sendo selecionado este período por ser o disponível no momento da construção da pesquisa</w:t>
      </w:r>
      <w:r w:rsidRPr="00DE4C17">
        <w:rPr>
          <w:sz w:val="24"/>
          <w:szCs w:val="24"/>
        </w:rPr>
        <w:t>.</w:t>
      </w:r>
    </w:p>
    <w:p w14:paraId="451F0D8E" w14:textId="37221497" w:rsidR="0071485C" w:rsidRDefault="0071485C" w:rsidP="0071485C">
      <w:pPr>
        <w:ind w:firstLine="567"/>
        <w:jc w:val="both"/>
        <w:rPr>
          <w:sz w:val="24"/>
          <w:szCs w:val="24"/>
        </w:rPr>
      </w:pPr>
      <w:r>
        <w:rPr>
          <w:sz w:val="24"/>
          <w:szCs w:val="24"/>
        </w:rPr>
        <w:lastRenderedPageBreak/>
        <w:t>Com isso a presente pesquisa tem como objetivo principal</w:t>
      </w:r>
      <w:r w:rsidRPr="00DE4C17">
        <w:rPr>
          <w:sz w:val="24"/>
          <w:szCs w:val="24"/>
        </w:rPr>
        <w:t xml:space="preserve"> </w:t>
      </w:r>
      <w:r>
        <w:rPr>
          <w:sz w:val="24"/>
          <w:szCs w:val="24"/>
        </w:rPr>
        <w:t xml:space="preserve">identificar </w:t>
      </w:r>
      <w:r w:rsidR="0019738C">
        <w:rPr>
          <w:sz w:val="24"/>
          <w:szCs w:val="24"/>
        </w:rPr>
        <w:t>o</w:t>
      </w:r>
      <w:r>
        <w:rPr>
          <w:sz w:val="24"/>
          <w:szCs w:val="24"/>
        </w:rPr>
        <w:t xml:space="preserve">s principais </w:t>
      </w:r>
      <w:r w:rsidR="0019738C">
        <w:rPr>
          <w:sz w:val="24"/>
          <w:szCs w:val="24"/>
        </w:rPr>
        <w:t>traços</w:t>
      </w:r>
      <w:r w:rsidRPr="00DE4C17">
        <w:rPr>
          <w:sz w:val="24"/>
          <w:szCs w:val="24"/>
        </w:rPr>
        <w:t xml:space="preserve"> </w:t>
      </w:r>
      <w:r>
        <w:rPr>
          <w:sz w:val="24"/>
          <w:szCs w:val="24"/>
        </w:rPr>
        <w:t>presentes</w:t>
      </w:r>
      <w:r w:rsidRPr="00DE4C17">
        <w:rPr>
          <w:sz w:val="24"/>
          <w:szCs w:val="24"/>
        </w:rPr>
        <w:t xml:space="preserve"> </w:t>
      </w:r>
      <w:r>
        <w:rPr>
          <w:sz w:val="24"/>
          <w:szCs w:val="24"/>
        </w:rPr>
        <w:t>no</w:t>
      </w:r>
      <w:r w:rsidR="00F309CF">
        <w:rPr>
          <w:sz w:val="24"/>
          <w:szCs w:val="24"/>
        </w:rPr>
        <w:t>s</w:t>
      </w:r>
      <w:r w:rsidRPr="00DE4C17">
        <w:rPr>
          <w:sz w:val="24"/>
          <w:szCs w:val="24"/>
        </w:rPr>
        <w:t xml:space="preserve"> conteúdo</w:t>
      </w:r>
      <w:r w:rsidR="00F309CF">
        <w:rPr>
          <w:sz w:val="24"/>
          <w:szCs w:val="24"/>
        </w:rPr>
        <w:t>s</w:t>
      </w:r>
      <w:r w:rsidRPr="00DE4C17">
        <w:rPr>
          <w:sz w:val="24"/>
          <w:szCs w:val="24"/>
        </w:rPr>
        <w:t xml:space="preserve"> dos parágrafos de ênfase e de outros assuntos nos relatórios de opinião </w:t>
      </w:r>
      <w:r>
        <w:rPr>
          <w:sz w:val="24"/>
          <w:szCs w:val="24"/>
        </w:rPr>
        <w:t xml:space="preserve">referente as demonstrações contábeis divulgadas no exercício social </w:t>
      </w:r>
      <w:r w:rsidRPr="00DE4C17">
        <w:rPr>
          <w:sz w:val="24"/>
          <w:szCs w:val="24"/>
        </w:rPr>
        <w:t>de 2016 das companhias abertas listadas na BM&amp;FBOVESPA</w:t>
      </w:r>
      <w:r>
        <w:rPr>
          <w:sz w:val="24"/>
          <w:szCs w:val="24"/>
        </w:rPr>
        <w:t>.</w:t>
      </w:r>
    </w:p>
    <w:p w14:paraId="720580D7" w14:textId="10E5F106" w:rsidR="00895992" w:rsidRPr="00DE4C17" w:rsidRDefault="0071485C" w:rsidP="00895992">
      <w:pPr>
        <w:ind w:firstLine="567"/>
        <w:jc w:val="both"/>
        <w:rPr>
          <w:sz w:val="24"/>
          <w:szCs w:val="24"/>
        </w:rPr>
      </w:pPr>
      <w:r w:rsidRPr="00DE4C17">
        <w:rPr>
          <w:sz w:val="24"/>
          <w:szCs w:val="24"/>
        </w:rPr>
        <w:t>Observad</w:t>
      </w:r>
      <w:r>
        <w:rPr>
          <w:sz w:val="24"/>
          <w:szCs w:val="24"/>
        </w:rPr>
        <w:t>a relevância d</w:t>
      </w:r>
      <w:r w:rsidR="00895992" w:rsidRPr="00DE4C17">
        <w:rPr>
          <w:sz w:val="24"/>
          <w:szCs w:val="24"/>
        </w:rPr>
        <w:t xml:space="preserve">o papel desempenhado pelo auditor e pelo relatório de opinião emitido por ele, </w:t>
      </w:r>
      <w:r w:rsidR="00895992">
        <w:rPr>
          <w:sz w:val="24"/>
          <w:szCs w:val="24"/>
        </w:rPr>
        <w:t>esta</w:t>
      </w:r>
      <w:r w:rsidR="00895992" w:rsidRPr="00DE4C17">
        <w:rPr>
          <w:sz w:val="24"/>
          <w:szCs w:val="24"/>
        </w:rPr>
        <w:t xml:space="preserve"> pesquisa se justifica </w:t>
      </w:r>
      <w:r w:rsidR="00895992">
        <w:rPr>
          <w:sz w:val="24"/>
          <w:szCs w:val="24"/>
        </w:rPr>
        <w:t>na busca por proporcionar</w:t>
      </w:r>
      <w:r w:rsidR="00895992" w:rsidRPr="00DE4C17">
        <w:rPr>
          <w:sz w:val="24"/>
          <w:szCs w:val="24"/>
        </w:rPr>
        <w:t xml:space="preserve"> um melhor entendimento sobre os dados contidos no relatório de opinião e por examinar as principais características contidas nele, em que se espera </w:t>
      </w:r>
      <w:r w:rsidR="00895992">
        <w:rPr>
          <w:sz w:val="24"/>
          <w:szCs w:val="24"/>
        </w:rPr>
        <w:t>viabiliza</w:t>
      </w:r>
      <w:r w:rsidR="00895992" w:rsidRPr="00DE4C17">
        <w:rPr>
          <w:sz w:val="24"/>
          <w:szCs w:val="24"/>
        </w:rPr>
        <w:t>r uma maior confiabilidade e conhecimento sobre as informações que são geradas. Como contribuições, espera-se que este estudo apresente os aspectos ligados ao tema relatório de opinião e que possa servir como forma de entendimento sobre os principais dados que o mesmo contém, podendo este servir como base para o desenvolvimento de novas pesquisas nessa temática.</w:t>
      </w:r>
    </w:p>
    <w:p w14:paraId="582CA8CC" w14:textId="77777777" w:rsidR="00895992" w:rsidRPr="00DE4C17" w:rsidRDefault="00895992" w:rsidP="00895992">
      <w:pPr>
        <w:ind w:firstLine="851"/>
        <w:jc w:val="both"/>
        <w:rPr>
          <w:sz w:val="24"/>
          <w:szCs w:val="24"/>
        </w:rPr>
      </w:pPr>
    </w:p>
    <w:p w14:paraId="44547B24" w14:textId="77777777" w:rsidR="00895992" w:rsidRPr="00DE4C17" w:rsidRDefault="00895992" w:rsidP="00895992">
      <w:pPr>
        <w:jc w:val="both"/>
        <w:rPr>
          <w:b/>
          <w:sz w:val="24"/>
          <w:szCs w:val="24"/>
        </w:rPr>
      </w:pPr>
      <w:r w:rsidRPr="00C4392F">
        <w:rPr>
          <w:b/>
          <w:sz w:val="24"/>
          <w:szCs w:val="24"/>
        </w:rPr>
        <w:t>2 R</w:t>
      </w:r>
      <w:r w:rsidR="006B462B" w:rsidRPr="00C4392F">
        <w:rPr>
          <w:b/>
          <w:sz w:val="24"/>
          <w:szCs w:val="24"/>
        </w:rPr>
        <w:t>eferencial Teórico</w:t>
      </w:r>
    </w:p>
    <w:p w14:paraId="7172B32B" w14:textId="77777777" w:rsidR="00895992" w:rsidRPr="00DE4C17" w:rsidRDefault="00895992" w:rsidP="00895992">
      <w:pPr>
        <w:jc w:val="both"/>
        <w:rPr>
          <w:b/>
          <w:sz w:val="24"/>
          <w:szCs w:val="24"/>
        </w:rPr>
      </w:pPr>
      <w:r w:rsidRPr="00DE4C17">
        <w:rPr>
          <w:b/>
          <w:sz w:val="24"/>
          <w:szCs w:val="24"/>
        </w:rPr>
        <w:t>2.1 Papel da auditoria</w:t>
      </w:r>
    </w:p>
    <w:p w14:paraId="58506AE3" w14:textId="77777777" w:rsidR="00895992" w:rsidRPr="00DE4C17" w:rsidRDefault="00895992" w:rsidP="00895992">
      <w:pPr>
        <w:ind w:firstLine="567"/>
        <w:jc w:val="both"/>
        <w:rPr>
          <w:sz w:val="24"/>
          <w:szCs w:val="24"/>
        </w:rPr>
      </w:pPr>
      <w:r w:rsidRPr="00DE4C17">
        <w:rPr>
          <w:sz w:val="24"/>
          <w:szCs w:val="24"/>
        </w:rPr>
        <w:t xml:space="preserve">O exercício de auditoria no Brasil se faz presente há aproximadamente um século, ainda que em função das propriedades das leis do país, a prática de auditoria só foi regulamentada a partir do ano de 1965. O motivo principal se deu pela necessidade das grandes empresas realizarem a confirmação dos seus registros contábeis pelos auditores, principalmente pelo fato de agregação de valor a esses dados, ao tornar essas informações mais confiáveis aos usuários da informação por ter passado por uma análise externa (Ricardino &amp; Carvalho, 2004). </w:t>
      </w:r>
    </w:p>
    <w:p w14:paraId="20216075" w14:textId="77777777" w:rsidR="00895992" w:rsidRDefault="00895992" w:rsidP="00895992">
      <w:pPr>
        <w:ind w:firstLine="567"/>
        <w:jc w:val="both"/>
        <w:rPr>
          <w:sz w:val="24"/>
          <w:szCs w:val="24"/>
        </w:rPr>
      </w:pPr>
      <w:r w:rsidRPr="00DE4C17">
        <w:rPr>
          <w:sz w:val="24"/>
          <w:szCs w:val="24"/>
        </w:rPr>
        <w:t xml:space="preserve">A prática contábil foi uma das primeiras ferramentas a ser utilizada pelos gestores como forma de amparo no controle patrimonial das organizações e, por sua vez, a auditoria passou a ser a área responsável por confirmar e atestar os números contábeis das organizações (Amorim, Garcia &amp; Silva, 2011). Nesse contexto, surgiu a necessidade de confirmar aos usuários das informações contábeis a real situação econômica e financeira da empresa, assim como dar credibilidade e veracidade a tais informações. </w:t>
      </w:r>
    </w:p>
    <w:p w14:paraId="3B7E21C0" w14:textId="77777777" w:rsidR="00895992" w:rsidRPr="00DE4C17" w:rsidRDefault="00895992" w:rsidP="00895992">
      <w:pPr>
        <w:ind w:firstLine="567"/>
        <w:jc w:val="both"/>
        <w:rPr>
          <w:sz w:val="24"/>
          <w:szCs w:val="24"/>
        </w:rPr>
      </w:pPr>
      <w:r>
        <w:rPr>
          <w:sz w:val="24"/>
          <w:szCs w:val="24"/>
        </w:rPr>
        <w:t>Segundo a NBC TA 200 (2016) o objetivo principal da auditoria é atribuir maior confiança as informações divulgadas nas demonstrações contábeis pelas companhias. Sendo possível obter esse atestado de veracidade por meio da expressão de opinião de um auditor independente. Na concepção de</w:t>
      </w:r>
      <w:r w:rsidRPr="00DE4C17">
        <w:rPr>
          <w:sz w:val="24"/>
          <w:szCs w:val="24"/>
        </w:rPr>
        <w:t xml:space="preserve"> Sá (2002), a </w:t>
      </w:r>
      <w:r>
        <w:rPr>
          <w:sz w:val="24"/>
          <w:szCs w:val="24"/>
        </w:rPr>
        <w:t>a</w:t>
      </w:r>
      <w:r w:rsidRPr="00DE4C17">
        <w:rPr>
          <w:sz w:val="24"/>
          <w:szCs w:val="24"/>
        </w:rPr>
        <w:t>uditoria tem como objetivo a apreciação da situação patrimonial das organizações por meio de opinião e</w:t>
      </w:r>
      <w:r>
        <w:rPr>
          <w:sz w:val="24"/>
          <w:szCs w:val="24"/>
        </w:rPr>
        <w:t xml:space="preserve"> técnicas que proporcionam o exame de registros e informações contábeis que são realizadas e geradas pelas companhias em relaçã</w:t>
      </w:r>
      <w:r w:rsidRPr="00C4392F">
        <w:rPr>
          <w:sz w:val="24"/>
          <w:szCs w:val="24"/>
        </w:rPr>
        <w:t xml:space="preserve">o a sua riqueza e patrimônio. Attie (2010) complementa essa concepção ao definir que </w:t>
      </w:r>
      <w:r w:rsidRPr="00A06660">
        <w:rPr>
          <w:bCs/>
          <w:sz w:val="24"/>
          <w:szCs w:val="24"/>
        </w:rPr>
        <w:t xml:space="preserve">a auditoria é </w:t>
      </w:r>
      <w:r w:rsidRPr="00C4392F">
        <w:rPr>
          <w:sz w:val="24"/>
          <w:szCs w:val="24"/>
        </w:rPr>
        <w:t>uma especificação contábil com o principal objetivo de verificar e analisar a eficiência e eficácia do controle do patrimônio com a finalidade de emitir uma opinião por meio de documento.</w:t>
      </w:r>
    </w:p>
    <w:p w14:paraId="18F3AD88" w14:textId="470DB168" w:rsidR="00895992" w:rsidRDefault="00895992" w:rsidP="00895992">
      <w:pPr>
        <w:ind w:firstLine="567"/>
        <w:jc w:val="both"/>
        <w:rPr>
          <w:sz w:val="24"/>
          <w:szCs w:val="24"/>
        </w:rPr>
      </w:pPr>
      <w:r w:rsidRPr="00DE4C17">
        <w:rPr>
          <w:sz w:val="24"/>
          <w:szCs w:val="24"/>
        </w:rPr>
        <w:t>Attie (2009) afirma que a função exercida pelo auditor possui quatro pilares fundamentais: previsão, acompanhamento executivo, retrospecção executiva (exame a posterior) e avaliação rigorosa. Para o autor, tais trabalhos precisam ser planejados e o processo de executar deve acompanhar os acontecimentos que já ocorrerem e observar o que atualmente está ocorrendo. Pode-se afirmar que é possível ter ações projetadas e que seu cumprimento acompanha os acontecimentos da organização, assim como os eventos que já aconteceram.</w:t>
      </w:r>
      <w:r>
        <w:rPr>
          <w:sz w:val="24"/>
          <w:szCs w:val="24"/>
        </w:rPr>
        <w:t xml:space="preserve"> </w:t>
      </w:r>
      <w:r w:rsidRPr="00DE4C17">
        <w:rPr>
          <w:sz w:val="24"/>
          <w:szCs w:val="24"/>
        </w:rPr>
        <w:t xml:space="preserve">Corroborando </w:t>
      </w:r>
      <w:r>
        <w:rPr>
          <w:sz w:val="24"/>
          <w:szCs w:val="24"/>
        </w:rPr>
        <w:t>essa ideia</w:t>
      </w:r>
      <w:r w:rsidRPr="00DE4C17">
        <w:rPr>
          <w:sz w:val="24"/>
          <w:szCs w:val="24"/>
        </w:rPr>
        <w:t>, Crepaldi (2013, p. 31), faz uma explanação sobre esses quatro pilares:</w:t>
      </w:r>
    </w:p>
    <w:p w14:paraId="72D1AAC4" w14:textId="77777777" w:rsidR="00895992" w:rsidRPr="00DE4C17" w:rsidRDefault="00895992" w:rsidP="00895992">
      <w:pPr>
        <w:autoSpaceDE w:val="0"/>
        <w:autoSpaceDN w:val="0"/>
        <w:adjustRightInd w:val="0"/>
        <w:ind w:left="567"/>
        <w:jc w:val="both"/>
      </w:pPr>
      <w:r w:rsidRPr="00DE4C17">
        <w:rPr>
          <w:szCs w:val="24"/>
        </w:rPr>
        <w:t xml:space="preserve">Tecnicamente, o método orienta a execução do trabalho, dando-lhe, aproximadamente, as seguintes fases: levantamento de rotinas administrativa, financeira e contábil; planejamento da auditoria; obtenção das </w:t>
      </w:r>
      <w:r w:rsidRPr="00DE4C17">
        <w:rPr>
          <w:szCs w:val="24"/>
        </w:rPr>
        <w:lastRenderedPageBreak/>
        <w:t>provas; relatório de auditoria; certificados. Em cada uma dessas fases a técnica de auditoria fornece processos de execução. Constitui matéria e objeto de pesquisa e orientação profissional. A norma é exercer a verificação de fatos passados e em todas as verificações usar a decomposição de todos os elementos do fato, isto é, sua análise visando obter as evidências necessárias</w:t>
      </w:r>
      <w:r w:rsidRPr="00DE4C17">
        <w:t>.</w:t>
      </w:r>
    </w:p>
    <w:p w14:paraId="0B1D2022" w14:textId="77777777" w:rsidR="00895992" w:rsidRPr="00DE4C17" w:rsidRDefault="00895992" w:rsidP="00895992">
      <w:pPr>
        <w:ind w:firstLine="567"/>
        <w:jc w:val="both"/>
        <w:rPr>
          <w:sz w:val="24"/>
          <w:szCs w:val="24"/>
        </w:rPr>
      </w:pPr>
      <w:r w:rsidRPr="00DE4C17">
        <w:rPr>
          <w:sz w:val="24"/>
          <w:szCs w:val="24"/>
        </w:rPr>
        <w:t>Dessa forma, o principal objetivo do auditor é emitir a opinião sobre as demonstrações contábeis por meio do relatório. O processo de auditar torna as informações publicadas da empresa mais confiáveis e seguras para os usuários. Uma vez que o trabalho realizado pelo auditor externo se baseia nas informações expostas pela empresa como maneira de comprovação das informações contidas.</w:t>
      </w:r>
    </w:p>
    <w:p w14:paraId="77667FC1" w14:textId="77777777" w:rsidR="00895992" w:rsidRPr="00DE4C17" w:rsidRDefault="00895992" w:rsidP="00895992">
      <w:pPr>
        <w:ind w:firstLine="567"/>
        <w:jc w:val="both"/>
        <w:rPr>
          <w:sz w:val="24"/>
          <w:szCs w:val="24"/>
        </w:rPr>
      </w:pPr>
    </w:p>
    <w:p w14:paraId="3240134A" w14:textId="77777777" w:rsidR="00895992" w:rsidRPr="00DE4C17" w:rsidRDefault="00895992" w:rsidP="00895992">
      <w:pPr>
        <w:jc w:val="both"/>
        <w:rPr>
          <w:b/>
          <w:sz w:val="24"/>
          <w:szCs w:val="24"/>
        </w:rPr>
      </w:pPr>
      <w:r w:rsidRPr="00DE4C17">
        <w:rPr>
          <w:b/>
          <w:sz w:val="24"/>
          <w:szCs w:val="24"/>
        </w:rPr>
        <w:t xml:space="preserve">2.2 Relatório de opinião: estrutura e conteúdo </w:t>
      </w:r>
    </w:p>
    <w:p w14:paraId="6C724CAD" w14:textId="7EB0EF1E" w:rsidR="00895992" w:rsidRPr="00DE4C17" w:rsidRDefault="00895992" w:rsidP="00895992">
      <w:pPr>
        <w:ind w:firstLine="567"/>
        <w:jc w:val="both"/>
        <w:rPr>
          <w:sz w:val="24"/>
          <w:szCs w:val="24"/>
        </w:rPr>
      </w:pPr>
      <w:r w:rsidRPr="00DE4C17">
        <w:rPr>
          <w:sz w:val="24"/>
          <w:szCs w:val="24"/>
        </w:rPr>
        <w:t>De acordo com a NBC TA CFC Nº 700 de 17/06/2016 o “Relatório dos Auditores Independentes”, é a ferramenta mediante ao qual o auditor formaliza sua opinião de maneira clara e objetiva em relação às demonstrações contábeis nele indicadas.</w:t>
      </w:r>
      <w:r w:rsidR="00C4392F">
        <w:rPr>
          <w:sz w:val="24"/>
          <w:szCs w:val="24"/>
        </w:rPr>
        <w:t xml:space="preserve"> </w:t>
      </w:r>
      <w:r w:rsidRPr="00DE4C17">
        <w:rPr>
          <w:sz w:val="24"/>
          <w:szCs w:val="24"/>
        </w:rPr>
        <w:t>O propósito do auditor independente ao elaborar o relatório de auditoria é desenvolver um conceito por meio da análise sobre as demonstrações contábeis embasados no julgamento das conclusões abordadas pelos destaques observados e como consequência divulgar sua opinião por meio do relatório apresentando a base para a mencionada opinião (Santos, 2007).</w:t>
      </w:r>
    </w:p>
    <w:p w14:paraId="77F46AED" w14:textId="20D10654" w:rsidR="00895992" w:rsidRPr="00DE4C17" w:rsidRDefault="00895992" w:rsidP="00895992">
      <w:pPr>
        <w:ind w:firstLine="567"/>
        <w:jc w:val="both"/>
        <w:rPr>
          <w:sz w:val="24"/>
          <w:szCs w:val="24"/>
        </w:rPr>
      </w:pPr>
      <w:r w:rsidRPr="00DE4C17">
        <w:rPr>
          <w:sz w:val="24"/>
          <w:szCs w:val="24"/>
        </w:rPr>
        <w:t>O padrão do relatório normatizado segundo o pronunciamento técnico NBC T 11 (1997), antes da remodelação era composto basicamente por quatro parágrafos contendo: identificação da entidade e demonstrações contábeis auditadas, extensão dos exames e opinião do auditor. Por outro lado, o pronunciamento técnico NBC TA 700 (2009) referente a formação da opinião e emissão do relatório do auditor independente sobre as Demonstrações Contábeis contempla uma estrutura mais ampla em relação aos itens da NBC T 11 (1997). Contudo no ano de 2016 a NBC TA 700, passou por uma nova reestruturação em seu modelo de relatório, conforme se pode verificar na Tabela 1, referente ao modelo de relatório de auditoria.</w:t>
      </w:r>
    </w:p>
    <w:p w14:paraId="76B6FD75" w14:textId="77777777" w:rsidR="00895992" w:rsidRPr="00DE4C17" w:rsidRDefault="00895992" w:rsidP="00895992">
      <w:pPr>
        <w:ind w:firstLine="567"/>
        <w:jc w:val="both"/>
        <w:rPr>
          <w:sz w:val="24"/>
          <w:szCs w:val="24"/>
        </w:rPr>
      </w:pPr>
    </w:p>
    <w:p w14:paraId="652658FA" w14:textId="59FCEE82" w:rsidR="00895992" w:rsidRPr="00DE4C17" w:rsidRDefault="00895992" w:rsidP="00895992">
      <w:pPr>
        <w:ind w:left="170"/>
        <w:jc w:val="center"/>
      </w:pPr>
      <w:r w:rsidRPr="00DE4C17">
        <w:rPr>
          <w:bCs/>
        </w:rPr>
        <w:t>Tabela 1: Estrutura do relatório de auditoria independente segundo a</w:t>
      </w:r>
      <w:r w:rsidRPr="00DE4C17">
        <w:t xml:space="preserve"> NBC TA 700 antes e depois da atualização em 2016</w:t>
      </w:r>
    </w:p>
    <w:tbl>
      <w:tblPr>
        <w:tblW w:w="9275" w:type="dxa"/>
        <w:jc w:val="center"/>
        <w:tblBorders>
          <w:top w:val="single" w:sz="8" w:space="0" w:color="auto"/>
          <w:left w:val="single" w:sz="4" w:space="0" w:color="auto"/>
          <w:bottom w:val="single" w:sz="8" w:space="0" w:color="auto"/>
          <w:right w:val="single" w:sz="4"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4248"/>
        <w:gridCol w:w="5027"/>
      </w:tblGrid>
      <w:tr w:rsidR="00895992" w:rsidRPr="00DE4C17" w14:paraId="3AD8E31D" w14:textId="77777777" w:rsidTr="00A06660">
        <w:trPr>
          <w:trHeight w:val="20"/>
          <w:jc w:val="center"/>
        </w:trPr>
        <w:tc>
          <w:tcPr>
            <w:tcW w:w="4248" w:type="dxa"/>
            <w:shd w:val="clear" w:color="auto" w:fill="auto"/>
            <w:vAlign w:val="center"/>
            <w:hideMark/>
          </w:tcPr>
          <w:p w14:paraId="0B30692F" w14:textId="77777777" w:rsidR="00895992" w:rsidRPr="00DE4C17" w:rsidRDefault="00895992" w:rsidP="00A06660">
            <w:pPr>
              <w:jc w:val="center"/>
              <w:rPr>
                <w:b/>
                <w:bCs/>
              </w:rPr>
            </w:pPr>
            <w:r w:rsidRPr="00DE4C17">
              <w:rPr>
                <w:b/>
                <w:bCs/>
              </w:rPr>
              <w:t>Estrutura do relatório de auditoria de acordo com a NBC TA 700 (2009)</w:t>
            </w:r>
          </w:p>
        </w:tc>
        <w:tc>
          <w:tcPr>
            <w:tcW w:w="5027" w:type="dxa"/>
            <w:shd w:val="clear" w:color="auto" w:fill="auto"/>
            <w:vAlign w:val="center"/>
            <w:hideMark/>
          </w:tcPr>
          <w:p w14:paraId="5B3FD4F0" w14:textId="77777777" w:rsidR="00895992" w:rsidRPr="00DE4C17" w:rsidRDefault="00895992" w:rsidP="00A06660">
            <w:pPr>
              <w:jc w:val="center"/>
              <w:rPr>
                <w:b/>
                <w:bCs/>
              </w:rPr>
            </w:pPr>
            <w:r w:rsidRPr="00DE4C17">
              <w:rPr>
                <w:b/>
                <w:bCs/>
              </w:rPr>
              <w:t>Estrutura do relatório de auditoria de acordo com a NBC TA 700 (2016)</w:t>
            </w:r>
          </w:p>
        </w:tc>
      </w:tr>
      <w:tr w:rsidR="00895992" w:rsidRPr="00DE4C17" w14:paraId="37A6C2DC" w14:textId="77777777" w:rsidTr="00A06660">
        <w:trPr>
          <w:trHeight w:val="20"/>
          <w:jc w:val="center"/>
        </w:trPr>
        <w:tc>
          <w:tcPr>
            <w:tcW w:w="4248" w:type="dxa"/>
            <w:shd w:val="clear" w:color="auto" w:fill="auto"/>
            <w:vAlign w:val="center"/>
            <w:hideMark/>
          </w:tcPr>
          <w:p w14:paraId="2D8DA6E7" w14:textId="77777777" w:rsidR="00895992" w:rsidRPr="00DE4C17" w:rsidRDefault="00895992" w:rsidP="00A06660">
            <w:pPr>
              <w:rPr>
                <w:bCs/>
              </w:rPr>
            </w:pPr>
            <w:r w:rsidRPr="00DE4C17">
              <w:rPr>
                <w:bCs/>
              </w:rPr>
              <w:t>Título;</w:t>
            </w:r>
          </w:p>
        </w:tc>
        <w:tc>
          <w:tcPr>
            <w:tcW w:w="5027" w:type="dxa"/>
            <w:shd w:val="clear" w:color="auto" w:fill="auto"/>
            <w:vAlign w:val="center"/>
            <w:hideMark/>
          </w:tcPr>
          <w:p w14:paraId="2E48BDD1" w14:textId="77777777" w:rsidR="00895992" w:rsidRPr="00DE4C17" w:rsidRDefault="00895992" w:rsidP="00A06660">
            <w:pPr>
              <w:rPr>
                <w:bCs/>
              </w:rPr>
            </w:pPr>
            <w:r w:rsidRPr="00DE4C17">
              <w:rPr>
                <w:bCs/>
              </w:rPr>
              <w:t>Título</w:t>
            </w:r>
          </w:p>
        </w:tc>
      </w:tr>
      <w:tr w:rsidR="00895992" w:rsidRPr="00DE4C17" w14:paraId="3BF5A2F8" w14:textId="77777777" w:rsidTr="00A06660">
        <w:trPr>
          <w:trHeight w:val="20"/>
          <w:jc w:val="center"/>
        </w:trPr>
        <w:tc>
          <w:tcPr>
            <w:tcW w:w="4248" w:type="dxa"/>
            <w:shd w:val="clear" w:color="auto" w:fill="auto"/>
            <w:vAlign w:val="center"/>
            <w:hideMark/>
          </w:tcPr>
          <w:p w14:paraId="138E33C9" w14:textId="77777777" w:rsidR="00895992" w:rsidRPr="00DE4C17" w:rsidRDefault="00895992" w:rsidP="00A06660">
            <w:pPr>
              <w:rPr>
                <w:bCs/>
              </w:rPr>
            </w:pPr>
            <w:r w:rsidRPr="00DE4C17">
              <w:rPr>
                <w:bCs/>
              </w:rPr>
              <w:t>Destinatário;</w:t>
            </w:r>
          </w:p>
        </w:tc>
        <w:tc>
          <w:tcPr>
            <w:tcW w:w="5027" w:type="dxa"/>
            <w:shd w:val="clear" w:color="auto" w:fill="auto"/>
            <w:vAlign w:val="center"/>
            <w:hideMark/>
          </w:tcPr>
          <w:p w14:paraId="516572E5" w14:textId="77777777" w:rsidR="00895992" w:rsidRPr="00DE4C17" w:rsidRDefault="00895992" w:rsidP="00A06660">
            <w:pPr>
              <w:rPr>
                <w:bCs/>
              </w:rPr>
            </w:pPr>
            <w:r w:rsidRPr="00DE4C17">
              <w:rPr>
                <w:bCs/>
              </w:rPr>
              <w:t>Destinatário;</w:t>
            </w:r>
          </w:p>
        </w:tc>
      </w:tr>
      <w:tr w:rsidR="00895992" w:rsidRPr="00DE4C17" w14:paraId="7971AA78" w14:textId="77777777" w:rsidTr="00A06660">
        <w:trPr>
          <w:trHeight w:val="20"/>
          <w:jc w:val="center"/>
        </w:trPr>
        <w:tc>
          <w:tcPr>
            <w:tcW w:w="4248" w:type="dxa"/>
            <w:shd w:val="clear" w:color="auto" w:fill="auto"/>
            <w:vAlign w:val="center"/>
            <w:hideMark/>
          </w:tcPr>
          <w:p w14:paraId="5979CD86" w14:textId="64D23E3E" w:rsidR="00895992" w:rsidRPr="00DE4C17" w:rsidRDefault="00637642" w:rsidP="00A06660">
            <w:pPr>
              <w:rPr>
                <w:bCs/>
              </w:rPr>
            </w:pPr>
            <w:r w:rsidRPr="00DE4C17">
              <w:rPr>
                <w:bCs/>
              </w:rPr>
              <w:t>Parágrafo</w:t>
            </w:r>
            <w:r w:rsidR="00895992" w:rsidRPr="00DE4C17">
              <w:rPr>
                <w:bCs/>
              </w:rPr>
              <w:t xml:space="preserve"> introdutório;</w:t>
            </w:r>
          </w:p>
        </w:tc>
        <w:tc>
          <w:tcPr>
            <w:tcW w:w="5027" w:type="dxa"/>
            <w:shd w:val="clear" w:color="auto" w:fill="auto"/>
            <w:vAlign w:val="center"/>
            <w:hideMark/>
          </w:tcPr>
          <w:p w14:paraId="30CE67D2" w14:textId="77777777" w:rsidR="00895992" w:rsidRPr="00DE4C17" w:rsidRDefault="00895992" w:rsidP="00A06660">
            <w:pPr>
              <w:rPr>
                <w:bCs/>
              </w:rPr>
            </w:pPr>
            <w:r w:rsidRPr="00DE4C17">
              <w:rPr>
                <w:bCs/>
              </w:rPr>
              <w:t>Opinião do auditor;</w:t>
            </w:r>
          </w:p>
        </w:tc>
      </w:tr>
      <w:tr w:rsidR="00895992" w:rsidRPr="00DE4C17" w14:paraId="4A2392A0" w14:textId="77777777" w:rsidTr="00A06660">
        <w:trPr>
          <w:trHeight w:val="20"/>
          <w:jc w:val="center"/>
        </w:trPr>
        <w:tc>
          <w:tcPr>
            <w:tcW w:w="4248" w:type="dxa"/>
            <w:shd w:val="clear" w:color="auto" w:fill="auto"/>
            <w:vAlign w:val="center"/>
            <w:hideMark/>
          </w:tcPr>
          <w:p w14:paraId="18A5ACDD" w14:textId="77777777" w:rsidR="00895992" w:rsidRPr="00DE4C17" w:rsidRDefault="00895992" w:rsidP="00A06660">
            <w:pPr>
              <w:rPr>
                <w:bCs/>
              </w:rPr>
            </w:pPr>
            <w:r w:rsidRPr="00DE4C17">
              <w:rPr>
                <w:bCs/>
              </w:rPr>
              <w:t>Responsabilidade da administração sobre as demonstrações contábeis;</w:t>
            </w:r>
          </w:p>
        </w:tc>
        <w:tc>
          <w:tcPr>
            <w:tcW w:w="5027" w:type="dxa"/>
            <w:shd w:val="clear" w:color="auto" w:fill="auto"/>
            <w:vAlign w:val="center"/>
            <w:hideMark/>
          </w:tcPr>
          <w:p w14:paraId="26E56A16" w14:textId="77777777" w:rsidR="00895992" w:rsidRPr="00DE4C17" w:rsidRDefault="00895992" w:rsidP="00A06660">
            <w:pPr>
              <w:rPr>
                <w:bCs/>
              </w:rPr>
            </w:pPr>
            <w:r w:rsidRPr="00DE4C17">
              <w:rPr>
                <w:bCs/>
              </w:rPr>
              <w:t>Base de opinião;</w:t>
            </w:r>
          </w:p>
        </w:tc>
      </w:tr>
      <w:tr w:rsidR="00895992" w:rsidRPr="00DE4C17" w14:paraId="4F304160" w14:textId="77777777" w:rsidTr="00A06660">
        <w:trPr>
          <w:trHeight w:val="20"/>
          <w:jc w:val="center"/>
        </w:trPr>
        <w:tc>
          <w:tcPr>
            <w:tcW w:w="4248" w:type="dxa"/>
            <w:shd w:val="clear" w:color="auto" w:fill="auto"/>
            <w:vAlign w:val="center"/>
            <w:hideMark/>
          </w:tcPr>
          <w:p w14:paraId="51BCECA6" w14:textId="77777777" w:rsidR="00895992" w:rsidRPr="00DE4C17" w:rsidRDefault="00895992" w:rsidP="00A06660">
            <w:pPr>
              <w:rPr>
                <w:bCs/>
              </w:rPr>
            </w:pPr>
            <w:r w:rsidRPr="00DE4C17">
              <w:rPr>
                <w:bCs/>
              </w:rPr>
              <w:t>Responsabilidade do auditor;</w:t>
            </w:r>
          </w:p>
        </w:tc>
        <w:tc>
          <w:tcPr>
            <w:tcW w:w="5027" w:type="dxa"/>
            <w:shd w:val="clear" w:color="auto" w:fill="auto"/>
            <w:vAlign w:val="center"/>
            <w:hideMark/>
          </w:tcPr>
          <w:p w14:paraId="57CF850E" w14:textId="77777777" w:rsidR="00895992" w:rsidRPr="00DE4C17" w:rsidRDefault="00895992" w:rsidP="00A06660">
            <w:pPr>
              <w:rPr>
                <w:bCs/>
              </w:rPr>
            </w:pPr>
            <w:r w:rsidRPr="00DE4C17">
              <w:rPr>
                <w:bCs/>
              </w:rPr>
              <w:t>Continuidade operacional;</w:t>
            </w:r>
          </w:p>
        </w:tc>
      </w:tr>
      <w:tr w:rsidR="00895992" w:rsidRPr="00DE4C17" w14:paraId="3F641056" w14:textId="77777777" w:rsidTr="00A06660">
        <w:trPr>
          <w:trHeight w:val="20"/>
          <w:jc w:val="center"/>
        </w:trPr>
        <w:tc>
          <w:tcPr>
            <w:tcW w:w="4248" w:type="dxa"/>
            <w:shd w:val="clear" w:color="auto" w:fill="auto"/>
            <w:vAlign w:val="center"/>
            <w:hideMark/>
          </w:tcPr>
          <w:p w14:paraId="0948F12C" w14:textId="77777777" w:rsidR="00895992" w:rsidRPr="00DE4C17" w:rsidRDefault="00895992" w:rsidP="00A06660">
            <w:pPr>
              <w:rPr>
                <w:bCs/>
              </w:rPr>
            </w:pPr>
            <w:r w:rsidRPr="00DE4C17">
              <w:rPr>
                <w:bCs/>
              </w:rPr>
              <w:t>Opinião do auditor;</w:t>
            </w:r>
          </w:p>
        </w:tc>
        <w:tc>
          <w:tcPr>
            <w:tcW w:w="5027" w:type="dxa"/>
            <w:shd w:val="clear" w:color="auto" w:fill="auto"/>
            <w:vAlign w:val="center"/>
            <w:hideMark/>
          </w:tcPr>
          <w:p w14:paraId="4E58CAAC" w14:textId="77777777" w:rsidR="00895992" w:rsidRPr="00DE4C17" w:rsidRDefault="00895992" w:rsidP="00A06660">
            <w:pPr>
              <w:rPr>
                <w:bCs/>
              </w:rPr>
            </w:pPr>
            <w:r w:rsidRPr="00DE4C17">
              <w:rPr>
                <w:bCs/>
              </w:rPr>
              <w:t>Principais assuntos de auditoria;</w:t>
            </w:r>
          </w:p>
        </w:tc>
      </w:tr>
      <w:tr w:rsidR="00895992" w:rsidRPr="00DE4C17" w14:paraId="6C19B523" w14:textId="77777777" w:rsidTr="00A06660">
        <w:trPr>
          <w:trHeight w:val="20"/>
          <w:jc w:val="center"/>
        </w:trPr>
        <w:tc>
          <w:tcPr>
            <w:tcW w:w="4248" w:type="dxa"/>
            <w:shd w:val="clear" w:color="auto" w:fill="auto"/>
            <w:vAlign w:val="center"/>
            <w:hideMark/>
          </w:tcPr>
          <w:p w14:paraId="7CD383A3" w14:textId="77777777" w:rsidR="00895992" w:rsidRPr="00DE4C17" w:rsidRDefault="00895992" w:rsidP="00A06660">
            <w:pPr>
              <w:rPr>
                <w:bCs/>
              </w:rPr>
            </w:pPr>
            <w:r w:rsidRPr="00DE4C17">
              <w:rPr>
                <w:bCs/>
              </w:rPr>
              <w:t>Outras responsabilidades do relatório de auditoria;</w:t>
            </w:r>
          </w:p>
        </w:tc>
        <w:tc>
          <w:tcPr>
            <w:tcW w:w="5027" w:type="dxa"/>
            <w:shd w:val="clear" w:color="auto" w:fill="auto"/>
            <w:vAlign w:val="center"/>
            <w:hideMark/>
          </w:tcPr>
          <w:p w14:paraId="596E0098" w14:textId="77777777" w:rsidR="00895992" w:rsidRPr="00DE4C17" w:rsidRDefault="00895992" w:rsidP="00A06660">
            <w:pPr>
              <w:rPr>
                <w:bCs/>
              </w:rPr>
            </w:pPr>
            <w:r w:rsidRPr="00DE4C17">
              <w:rPr>
                <w:bCs/>
              </w:rPr>
              <w:t>Outras informações;</w:t>
            </w:r>
          </w:p>
        </w:tc>
      </w:tr>
      <w:tr w:rsidR="00895992" w:rsidRPr="00DE4C17" w14:paraId="5FC7CEF9" w14:textId="77777777" w:rsidTr="00A06660">
        <w:trPr>
          <w:trHeight w:val="20"/>
          <w:jc w:val="center"/>
        </w:trPr>
        <w:tc>
          <w:tcPr>
            <w:tcW w:w="4248" w:type="dxa"/>
            <w:shd w:val="clear" w:color="auto" w:fill="auto"/>
            <w:vAlign w:val="center"/>
            <w:hideMark/>
          </w:tcPr>
          <w:p w14:paraId="3146EB77" w14:textId="77777777" w:rsidR="00895992" w:rsidRPr="00DE4C17" w:rsidRDefault="00895992" w:rsidP="00A06660">
            <w:pPr>
              <w:rPr>
                <w:bCs/>
              </w:rPr>
            </w:pPr>
            <w:r w:rsidRPr="00DE4C17">
              <w:rPr>
                <w:bCs/>
              </w:rPr>
              <w:t>Assinatura do auditor;</w:t>
            </w:r>
          </w:p>
        </w:tc>
        <w:tc>
          <w:tcPr>
            <w:tcW w:w="5027" w:type="dxa"/>
            <w:shd w:val="clear" w:color="auto" w:fill="auto"/>
            <w:vAlign w:val="center"/>
            <w:hideMark/>
          </w:tcPr>
          <w:p w14:paraId="08C3EF81" w14:textId="77777777" w:rsidR="00895992" w:rsidRPr="00DE4C17" w:rsidRDefault="00895992" w:rsidP="00A06660">
            <w:pPr>
              <w:rPr>
                <w:bCs/>
              </w:rPr>
            </w:pPr>
            <w:r w:rsidRPr="00DE4C17">
              <w:rPr>
                <w:bCs/>
              </w:rPr>
              <w:t>Responsabilidade da Administração Contábeis;</w:t>
            </w:r>
          </w:p>
        </w:tc>
      </w:tr>
      <w:tr w:rsidR="00895992" w:rsidRPr="00DE4C17" w14:paraId="14F5CAD9" w14:textId="77777777" w:rsidTr="00A06660">
        <w:trPr>
          <w:trHeight w:val="20"/>
          <w:jc w:val="center"/>
        </w:trPr>
        <w:tc>
          <w:tcPr>
            <w:tcW w:w="4248" w:type="dxa"/>
            <w:shd w:val="clear" w:color="auto" w:fill="auto"/>
            <w:vAlign w:val="center"/>
            <w:hideMark/>
          </w:tcPr>
          <w:p w14:paraId="0F5C1F9F" w14:textId="77777777" w:rsidR="00895992" w:rsidRPr="00DE4C17" w:rsidRDefault="00895992" w:rsidP="00A06660">
            <w:pPr>
              <w:rPr>
                <w:bCs/>
              </w:rPr>
            </w:pPr>
            <w:r w:rsidRPr="00DE4C17">
              <w:rPr>
                <w:bCs/>
              </w:rPr>
              <w:t>Data do relatório do auditor independente;</w:t>
            </w:r>
          </w:p>
        </w:tc>
        <w:tc>
          <w:tcPr>
            <w:tcW w:w="5027" w:type="dxa"/>
            <w:shd w:val="clear" w:color="auto" w:fill="auto"/>
            <w:vAlign w:val="center"/>
            <w:hideMark/>
          </w:tcPr>
          <w:p w14:paraId="5C35BF39" w14:textId="77777777" w:rsidR="00895992" w:rsidRPr="00DE4C17" w:rsidRDefault="00895992" w:rsidP="00A06660">
            <w:pPr>
              <w:rPr>
                <w:bCs/>
              </w:rPr>
            </w:pPr>
            <w:r w:rsidRPr="00DE4C17">
              <w:rPr>
                <w:bCs/>
              </w:rPr>
              <w:t>Responsabilidades do auditor independente pela auditoria das demonstrações contábeis;</w:t>
            </w:r>
          </w:p>
        </w:tc>
      </w:tr>
      <w:tr w:rsidR="00895992" w:rsidRPr="00DE4C17" w14:paraId="5C614A41" w14:textId="77777777" w:rsidTr="00A06660">
        <w:trPr>
          <w:trHeight w:val="20"/>
          <w:jc w:val="center"/>
        </w:trPr>
        <w:tc>
          <w:tcPr>
            <w:tcW w:w="4248" w:type="dxa"/>
            <w:shd w:val="clear" w:color="auto" w:fill="auto"/>
            <w:vAlign w:val="center"/>
            <w:hideMark/>
          </w:tcPr>
          <w:p w14:paraId="347391D8" w14:textId="77777777" w:rsidR="00895992" w:rsidRPr="00DE4C17" w:rsidRDefault="00895992" w:rsidP="00A06660">
            <w:pPr>
              <w:rPr>
                <w:bCs/>
              </w:rPr>
            </w:pPr>
            <w:r w:rsidRPr="00DE4C17">
              <w:rPr>
                <w:bCs/>
              </w:rPr>
              <w:t>Endereço do auditor independente.</w:t>
            </w:r>
          </w:p>
        </w:tc>
        <w:tc>
          <w:tcPr>
            <w:tcW w:w="5027" w:type="dxa"/>
            <w:shd w:val="clear" w:color="auto" w:fill="auto"/>
            <w:vAlign w:val="center"/>
            <w:hideMark/>
          </w:tcPr>
          <w:p w14:paraId="50AEC8FC" w14:textId="77777777" w:rsidR="00895992" w:rsidRPr="00DE4C17" w:rsidRDefault="00895992" w:rsidP="00A06660">
            <w:pPr>
              <w:rPr>
                <w:bCs/>
              </w:rPr>
            </w:pPr>
            <w:r w:rsidRPr="00DE4C17">
              <w:rPr>
                <w:bCs/>
              </w:rPr>
              <w:t>Localização da descrição das responsabilidades do auditor independente pela auditoria das demonstrações contábeis;</w:t>
            </w:r>
          </w:p>
        </w:tc>
      </w:tr>
      <w:tr w:rsidR="00895992" w:rsidRPr="00DE4C17" w14:paraId="4D424BB7" w14:textId="77777777" w:rsidTr="00A06660">
        <w:trPr>
          <w:trHeight w:val="20"/>
          <w:jc w:val="center"/>
        </w:trPr>
        <w:tc>
          <w:tcPr>
            <w:tcW w:w="4248" w:type="dxa"/>
            <w:shd w:val="clear" w:color="auto" w:fill="auto"/>
            <w:vAlign w:val="center"/>
            <w:hideMark/>
          </w:tcPr>
          <w:p w14:paraId="1B6A903C" w14:textId="77777777" w:rsidR="00895992" w:rsidRPr="00DE4C17" w:rsidRDefault="00895992" w:rsidP="00A06660">
            <w:pPr>
              <w:rPr>
                <w:bCs/>
              </w:rPr>
            </w:pPr>
            <w:r w:rsidRPr="00DE4C17">
              <w:rPr>
                <w:bCs/>
              </w:rPr>
              <w:t> </w:t>
            </w:r>
          </w:p>
        </w:tc>
        <w:tc>
          <w:tcPr>
            <w:tcW w:w="5027" w:type="dxa"/>
            <w:shd w:val="clear" w:color="auto" w:fill="auto"/>
            <w:vAlign w:val="center"/>
            <w:hideMark/>
          </w:tcPr>
          <w:p w14:paraId="622C017F" w14:textId="77777777" w:rsidR="00895992" w:rsidRPr="00DE4C17" w:rsidRDefault="00895992" w:rsidP="00A06660">
            <w:pPr>
              <w:rPr>
                <w:bCs/>
              </w:rPr>
            </w:pPr>
            <w:r w:rsidRPr="00DE4C17">
              <w:rPr>
                <w:bCs/>
              </w:rPr>
              <w:t>Nome do sócio ou responsável técnico;</w:t>
            </w:r>
          </w:p>
        </w:tc>
      </w:tr>
      <w:tr w:rsidR="00895992" w:rsidRPr="00DE4C17" w14:paraId="6A6708F3" w14:textId="77777777" w:rsidTr="00A06660">
        <w:trPr>
          <w:trHeight w:val="20"/>
          <w:jc w:val="center"/>
        </w:trPr>
        <w:tc>
          <w:tcPr>
            <w:tcW w:w="4248" w:type="dxa"/>
            <w:shd w:val="clear" w:color="auto" w:fill="auto"/>
            <w:vAlign w:val="center"/>
            <w:hideMark/>
          </w:tcPr>
          <w:p w14:paraId="035F7883" w14:textId="77777777" w:rsidR="00895992" w:rsidRPr="00DE4C17" w:rsidRDefault="00895992" w:rsidP="00A06660">
            <w:pPr>
              <w:rPr>
                <w:bCs/>
              </w:rPr>
            </w:pPr>
            <w:r w:rsidRPr="00DE4C17">
              <w:rPr>
                <w:bCs/>
              </w:rPr>
              <w:t> </w:t>
            </w:r>
          </w:p>
        </w:tc>
        <w:tc>
          <w:tcPr>
            <w:tcW w:w="5027" w:type="dxa"/>
            <w:shd w:val="clear" w:color="auto" w:fill="auto"/>
            <w:vAlign w:val="center"/>
            <w:hideMark/>
          </w:tcPr>
          <w:p w14:paraId="009EE294" w14:textId="77777777" w:rsidR="00895992" w:rsidRPr="00DE4C17" w:rsidRDefault="00895992" w:rsidP="00A06660">
            <w:pPr>
              <w:rPr>
                <w:bCs/>
              </w:rPr>
            </w:pPr>
            <w:r w:rsidRPr="00DE4C17">
              <w:rPr>
                <w:bCs/>
              </w:rPr>
              <w:t>Assinatura do auditor;</w:t>
            </w:r>
          </w:p>
        </w:tc>
      </w:tr>
      <w:tr w:rsidR="00895992" w:rsidRPr="00DE4C17" w14:paraId="37D7B522" w14:textId="77777777" w:rsidTr="00A06660">
        <w:trPr>
          <w:trHeight w:val="20"/>
          <w:jc w:val="center"/>
        </w:trPr>
        <w:tc>
          <w:tcPr>
            <w:tcW w:w="4248" w:type="dxa"/>
            <w:shd w:val="clear" w:color="auto" w:fill="auto"/>
            <w:vAlign w:val="center"/>
            <w:hideMark/>
          </w:tcPr>
          <w:p w14:paraId="0DCF5388" w14:textId="77777777" w:rsidR="00895992" w:rsidRPr="00DE4C17" w:rsidRDefault="00895992" w:rsidP="00A06660">
            <w:pPr>
              <w:rPr>
                <w:bCs/>
              </w:rPr>
            </w:pPr>
            <w:r w:rsidRPr="00DE4C17">
              <w:rPr>
                <w:bCs/>
              </w:rPr>
              <w:t> </w:t>
            </w:r>
          </w:p>
        </w:tc>
        <w:tc>
          <w:tcPr>
            <w:tcW w:w="5027" w:type="dxa"/>
            <w:shd w:val="clear" w:color="auto" w:fill="auto"/>
            <w:vAlign w:val="center"/>
            <w:hideMark/>
          </w:tcPr>
          <w:p w14:paraId="65C45402" w14:textId="77777777" w:rsidR="00895992" w:rsidRPr="00DE4C17" w:rsidRDefault="00895992" w:rsidP="00A06660">
            <w:pPr>
              <w:rPr>
                <w:bCs/>
              </w:rPr>
            </w:pPr>
            <w:r w:rsidRPr="00DE4C17">
              <w:rPr>
                <w:bCs/>
              </w:rPr>
              <w:t>Endereço do auditor independente;</w:t>
            </w:r>
          </w:p>
        </w:tc>
      </w:tr>
      <w:tr w:rsidR="00895992" w:rsidRPr="00DE4C17" w14:paraId="1D300506" w14:textId="77777777" w:rsidTr="00A06660">
        <w:trPr>
          <w:trHeight w:val="20"/>
          <w:jc w:val="center"/>
        </w:trPr>
        <w:tc>
          <w:tcPr>
            <w:tcW w:w="4248" w:type="dxa"/>
            <w:shd w:val="clear" w:color="auto" w:fill="auto"/>
            <w:vAlign w:val="center"/>
            <w:hideMark/>
          </w:tcPr>
          <w:p w14:paraId="694C9C1C" w14:textId="77777777" w:rsidR="00895992" w:rsidRPr="00DE4C17" w:rsidRDefault="00895992" w:rsidP="00A06660">
            <w:pPr>
              <w:rPr>
                <w:bCs/>
              </w:rPr>
            </w:pPr>
            <w:r w:rsidRPr="00DE4C17">
              <w:rPr>
                <w:bCs/>
              </w:rPr>
              <w:t> </w:t>
            </w:r>
          </w:p>
        </w:tc>
        <w:tc>
          <w:tcPr>
            <w:tcW w:w="5027" w:type="dxa"/>
            <w:shd w:val="clear" w:color="auto" w:fill="auto"/>
            <w:vAlign w:val="center"/>
            <w:hideMark/>
          </w:tcPr>
          <w:p w14:paraId="3B0DD84E" w14:textId="77777777" w:rsidR="00895992" w:rsidRPr="00DE4C17" w:rsidRDefault="00895992" w:rsidP="00A06660">
            <w:pPr>
              <w:rPr>
                <w:bCs/>
              </w:rPr>
            </w:pPr>
            <w:r w:rsidRPr="00DE4C17">
              <w:rPr>
                <w:bCs/>
              </w:rPr>
              <w:t>Data do relatório do auditor.</w:t>
            </w:r>
          </w:p>
        </w:tc>
      </w:tr>
    </w:tbl>
    <w:p w14:paraId="563D851B" w14:textId="621C5800" w:rsidR="00895992" w:rsidRPr="00DE4C17" w:rsidRDefault="00895992" w:rsidP="00895992">
      <w:pPr>
        <w:jc w:val="center"/>
        <w:rPr>
          <w:bCs/>
          <w:iCs/>
        </w:rPr>
      </w:pPr>
      <w:r w:rsidRPr="00DE4C17">
        <w:lastRenderedPageBreak/>
        <w:t xml:space="preserve">Fonte: elaborado </w:t>
      </w:r>
      <w:r w:rsidR="00637642" w:rsidRPr="00DE4C17">
        <w:t>pel</w:t>
      </w:r>
      <w:r w:rsidR="00637642">
        <w:t>os</w:t>
      </w:r>
      <w:r w:rsidR="00637642" w:rsidRPr="00DE4C17">
        <w:t xml:space="preserve"> autor</w:t>
      </w:r>
      <w:r w:rsidR="00637642">
        <w:t>es</w:t>
      </w:r>
      <w:r w:rsidR="00637642" w:rsidRPr="00DE4C17">
        <w:t xml:space="preserve"> </w:t>
      </w:r>
      <w:r w:rsidRPr="00DE4C17">
        <w:t>com base na NBC TA 700 (2009) e NBC TA (2016).</w:t>
      </w:r>
    </w:p>
    <w:p w14:paraId="1128330E" w14:textId="77777777" w:rsidR="00895992" w:rsidRPr="00DE4C17" w:rsidRDefault="00895992" w:rsidP="00895992">
      <w:pPr>
        <w:ind w:firstLine="567"/>
        <w:jc w:val="both"/>
        <w:rPr>
          <w:sz w:val="24"/>
          <w:szCs w:val="24"/>
        </w:rPr>
      </w:pPr>
    </w:p>
    <w:p w14:paraId="4E3B562F" w14:textId="79713B49" w:rsidR="00895992" w:rsidRDefault="00895992" w:rsidP="00895992">
      <w:pPr>
        <w:ind w:firstLine="567"/>
        <w:jc w:val="both"/>
        <w:rPr>
          <w:sz w:val="24"/>
          <w:szCs w:val="24"/>
        </w:rPr>
      </w:pPr>
      <w:r w:rsidRPr="00DE4C17">
        <w:rPr>
          <w:sz w:val="24"/>
          <w:szCs w:val="24"/>
        </w:rPr>
        <w:t xml:space="preserve">Com base na Tabela 1, percebe-se que a NBC TA 700, com a mudança de 2016, apresenta uma estrutura mais detalhada, justificada principalmente pela intenção de padronização com as normas internacionais de auditoria. </w:t>
      </w:r>
      <w:r>
        <w:rPr>
          <w:sz w:val="24"/>
          <w:szCs w:val="24"/>
        </w:rPr>
        <w:t>A</w:t>
      </w:r>
      <w:r w:rsidRPr="00DE4C17">
        <w:rPr>
          <w:sz w:val="24"/>
          <w:szCs w:val="24"/>
        </w:rPr>
        <w:t>ntes da modificação na normativa ocorrida no ano de 2016, Almeida (2012)</w:t>
      </w:r>
      <w:r>
        <w:rPr>
          <w:sz w:val="24"/>
          <w:szCs w:val="24"/>
        </w:rPr>
        <w:t xml:space="preserve"> definia que</w:t>
      </w:r>
      <w:r w:rsidRPr="00DE4C17">
        <w:rPr>
          <w:sz w:val="24"/>
          <w:szCs w:val="24"/>
        </w:rPr>
        <w:t xml:space="preserve"> o relatório precisa conter no mínimo quatro parágrafos, demonstrar a identificação da entidade, as demonstrações auditadas, período em que foi realizada a auditoria, responsabilidade da administração sobre as demonstrações financeiras, reponsabilidade dos auditores sobre as demonstrações contábeis e opinião dos auditores independentes sobre as demonstrações financeiras.</w:t>
      </w:r>
      <w:r>
        <w:rPr>
          <w:sz w:val="24"/>
          <w:szCs w:val="24"/>
        </w:rPr>
        <w:t xml:space="preserve"> </w:t>
      </w:r>
    </w:p>
    <w:p w14:paraId="55662875" w14:textId="02ADCFB8" w:rsidR="00895992" w:rsidRPr="00DE4C17" w:rsidRDefault="00895992" w:rsidP="00895992">
      <w:pPr>
        <w:ind w:firstLine="567"/>
        <w:jc w:val="both"/>
        <w:rPr>
          <w:sz w:val="24"/>
          <w:szCs w:val="24"/>
        </w:rPr>
      </w:pPr>
      <w:r>
        <w:rPr>
          <w:sz w:val="24"/>
          <w:szCs w:val="24"/>
        </w:rPr>
        <w:t xml:space="preserve">Após a mudança pode-se dizer que o </w:t>
      </w:r>
      <w:r w:rsidRPr="00DE4C17">
        <w:rPr>
          <w:sz w:val="24"/>
          <w:szCs w:val="24"/>
        </w:rPr>
        <w:t>relatório de opinião do auditor passa a ter um conteúdo mais amplo, contendo mais parágrafos informacionais, principalmente para um melhor entendimento por parte dos investidores e outros interessados.</w:t>
      </w:r>
      <w:r>
        <w:rPr>
          <w:sz w:val="24"/>
          <w:szCs w:val="24"/>
        </w:rPr>
        <w:t xml:space="preserve"> No entanto</w:t>
      </w:r>
      <w:r w:rsidR="00637642">
        <w:rPr>
          <w:sz w:val="24"/>
          <w:szCs w:val="24"/>
        </w:rPr>
        <w:t>,</w:t>
      </w:r>
      <w:r>
        <w:rPr>
          <w:sz w:val="24"/>
          <w:szCs w:val="24"/>
        </w:rPr>
        <w:t xml:space="preserve"> as informações abordadas n</w:t>
      </w:r>
      <w:r w:rsidRPr="00DE4C17">
        <w:rPr>
          <w:sz w:val="24"/>
          <w:szCs w:val="24"/>
        </w:rPr>
        <w:t xml:space="preserve">o relatório de opinião </w:t>
      </w:r>
      <w:r>
        <w:rPr>
          <w:sz w:val="24"/>
          <w:szCs w:val="24"/>
        </w:rPr>
        <w:t>emitido</w:t>
      </w:r>
      <w:r w:rsidRPr="00DE4C17">
        <w:rPr>
          <w:sz w:val="24"/>
          <w:szCs w:val="24"/>
        </w:rPr>
        <w:t xml:space="preserve"> pelo auditor ao fim do seu estudo, deve estar embasado em fatos reais da empresa possíveis de comprovação,</w:t>
      </w:r>
      <w:r>
        <w:rPr>
          <w:sz w:val="24"/>
          <w:szCs w:val="24"/>
        </w:rPr>
        <w:t xml:space="preserve"> Souza e Pereira (2004)</w:t>
      </w:r>
      <w:r w:rsidRPr="00DE4C17">
        <w:rPr>
          <w:sz w:val="24"/>
          <w:szCs w:val="24"/>
        </w:rPr>
        <w:t xml:space="preserve"> </w:t>
      </w:r>
      <w:r>
        <w:rPr>
          <w:sz w:val="24"/>
          <w:szCs w:val="24"/>
        </w:rPr>
        <w:t>argumentam que isso pode ser possível utilizando os próprios demonstrativos investigados</w:t>
      </w:r>
      <w:r w:rsidRPr="00DE4C17">
        <w:rPr>
          <w:sz w:val="24"/>
          <w:szCs w:val="24"/>
        </w:rPr>
        <w:t xml:space="preserve"> e em concordância com a análise dos fatos</w:t>
      </w:r>
      <w:r>
        <w:rPr>
          <w:sz w:val="24"/>
          <w:szCs w:val="24"/>
        </w:rPr>
        <w:t xml:space="preserve"> presentes</w:t>
      </w:r>
      <w:r w:rsidRPr="00DE4C17">
        <w:rPr>
          <w:sz w:val="24"/>
          <w:szCs w:val="24"/>
        </w:rPr>
        <w:t xml:space="preserve">, </w:t>
      </w:r>
      <w:r>
        <w:rPr>
          <w:sz w:val="24"/>
          <w:szCs w:val="24"/>
        </w:rPr>
        <w:t>dessa maneira obtendo</w:t>
      </w:r>
      <w:r w:rsidRPr="00DE4C17">
        <w:rPr>
          <w:sz w:val="24"/>
          <w:szCs w:val="24"/>
        </w:rPr>
        <w:t xml:space="preserve"> imparcialidade e independência.</w:t>
      </w:r>
    </w:p>
    <w:p w14:paraId="4B2AF31C" w14:textId="6413E02C" w:rsidR="00895992" w:rsidRPr="00DE4C17" w:rsidRDefault="00895992" w:rsidP="00895992">
      <w:pPr>
        <w:ind w:firstLine="567"/>
        <w:jc w:val="both"/>
        <w:rPr>
          <w:sz w:val="24"/>
          <w:szCs w:val="24"/>
        </w:rPr>
      </w:pPr>
      <w:r w:rsidRPr="00DE4C17">
        <w:rPr>
          <w:sz w:val="24"/>
          <w:szCs w:val="24"/>
        </w:rPr>
        <w:t>Para Almeida (2012), os relatórios emitidos pelos Auditores Independentes são classificados de acordo com a natureza das informações que ele possui. Dessa forma, pode-se classifica-los em opinião sem ressalva, opinião com ressalva, opinião adversa e opinião com abstenção/negativa de opinião. Podendo estes relatórios de opinião ser</w:t>
      </w:r>
      <w:r w:rsidR="00637642">
        <w:rPr>
          <w:sz w:val="24"/>
          <w:szCs w:val="24"/>
        </w:rPr>
        <w:t>em</w:t>
      </w:r>
      <w:r w:rsidRPr="00DE4C17">
        <w:rPr>
          <w:sz w:val="24"/>
          <w:szCs w:val="24"/>
        </w:rPr>
        <w:t xml:space="preserve"> emitidos com parágrafo de ênfase e com parágrafo de outros assuntos. Tais modelos de relatórios são classificados de acordo com a natureza das informações que ele possui. </w:t>
      </w:r>
    </w:p>
    <w:p w14:paraId="49BD5482" w14:textId="77777777" w:rsidR="00895992" w:rsidRPr="00DE4C17" w:rsidRDefault="00895992" w:rsidP="00895992">
      <w:pPr>
        <w:ind w:firstLine="567"/>
        <w:jc w:val="both"/>
        <w:rPr>
          <w:sz w:val="24"/>
          <w:szCs w:val="24"/>
        </w:rPr>
      </w:pPr>
      <w:r w:rsidRPr="00DE4C17">
        <w:rPr>
          <w:sz w:val="24"/>
          <w:szCs w:val="24"/>
        </w:rPr>
        <w:t>Na Tabela 2 é exposto de maneira resumida os tipos de relatórios de opinião e as características que cada modelo possui ao ser emitido pelo auditor, bem como quando deverá ser emitido o relatório com os parágrafos de ênfase e de outros assuntos.</w:t>
      </w:r>
    </w:p>
    <w:p w14:paraId="7F5FE92C" w14:textId="77777777" w:rsidR="00895992" w:rsidRPr="00DE4C17" w:rsidRDefault="00895992" w:rsidP="00895992">
      <w:pPr>
        <w:ind w:firstLine="567"/>
        <w:jc w:val="both"/>
        <w:rPr>
          <w:sz w:val="24"/>
          <w:szCs w:val="24"/>
        </w:rPr>
      </w:pPr>
    </w:p>
    <w:p w14:paraId="1D81370C" w14:textId="77777777" w:rsidR="00895992" w:rsidRPr="00DE4C17" w:rsidRDefault="00895992" w:rsidP="00895992">
      <w:pPr>
        <w:tabs>
          <w:tab w:val="center" w:pos="4535"/>
        </w:tabs>
        <w:ind w:left="170" w:firstLine="170"/>
        <w:jc w:val="center"/>
      </w:pPr>
      <w:r w:rsidRPr="00DE4C17">
        <w:t>Tabela 2: Tipos de relatórios de auditoria</w:t>
      </w:r>
    </w:p>
    <w:tbl>
      <w:tblPr>
        <w:tblW w:w="9182" w:type="dxa"/>
        <w:tblInd w:w="55" w:type="dxa"/>
        <w:tblCellMar>
          <w:left w:w="70" w:type="dxa"/>
          <w:right w:w="70" w:type="dxa"/>
        </w:tblCellMar>
        <w:tblLook w:val="04A0" w:firstRow="1" w:lastRow="0" w:firstColumn="1" w:lastColumn="0" w:noHBand="0" w:noVBand="1"/>
      </w:tblPr>
      <w:tblGrid>
        <w:gridCol w:w="2912"/>
        <w:gridCol w:w="6270"/>
      </w:tblGrid>
      <w:tr w:rsidR="00895992" w:rsidRPr="00DE4C17" w14:paraId="6FE5A6CD" w14:textId="77777777" w:rsidTr="00A06660">
        <w:trPr>
          <w:trHeight w:val="227"/>
        </w:trPr>
        <w:tc>
          <w:tcPr>
            <w:tcW w:w="2912" w:type="dxa"/>
            <w:tcBorders>
              <w:top w:val="single" w:sz="8" w:space="0" w:color="auto"/>
              <w:left w:val="single" w:sz="8" w:space="0" w:color="auto"/>
              <w:bottom w:val="single" w:sz="8" w:space="0" w:color="auto"/>
              <w:right w:val="nil"/>
            </w:tcBorders>
            <w:shd w:val="clear" w:color="auto" w:fill="auto"/>
            <w:vAlign w:val="center"/>
            <w:hideMark/>
          </w:tcPr>
          <w:p w14:paraId="012976CB" w14:textId="77777777" w:rsidR="00895992" w:rsidRPr="00DE4C17" w:rsidRDefault="00895992" w:rsidP="0071485C">
            <w:pPr>
              <w:jc w:val="center"/>
              <w:rPr>
                <w:b/>
                <w:bCs/>
              </w:rPr>
            </w:pPr>
            <w:r w:rsidRPr="00DE4C17">
              <w:rPr>
                <w:b/>
                <w:bCs/>
              </w:rPr>
              <w:t>Relatório de Opinião</w:t>
            </w:r>
          </w:p>
        </w:tc>
        <w:tc>
          <w:tcPr>
            <w:tcW w:w="62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BEFC66" w14:textId="77777777" w:rsidR="00895992" w:rsidRPr="00DE4C17" w:rsidRDefault="00895992" w:rsidP="0071485C">
            <w:pPr>
              <w:jc w:val="center"/>
              <w:rPr>
                <w:b/>
                <w:bCs/>
              </w:rPr>
            </w:pPr>
            <w:r w:rsidRPr="00DE4C17">
              <w:rPr>
                <w:b/>
                <w:bCs/>
              </w:rPr>
              <w:t>Descrição</w:t>
            </w:r>
          </w:p>
        </w:tc>
      </w:tr>
      <w:tr w:rsidR="00895992" w:rsidRPr="00DE4C17" w14:paraId="1413A654" w14:textId="77777777" w:rsidTr="00A06660">
        <w:trPr>
          <w:trHeight w:val="227"/>
        </w:trPr>
        <w:tc>
          <w:tcPr>
            <w:tcW w:w="2912" w:type="dxa"/>
            <w:tcBorders>
              <w:top w:val="nil"/>
              <w:left w:val="single" w:sz="8" w:space="0" w:color="auto"/>
              <w:bottom w:val="single" w:sz="8" w:space="0" w:color="auto"/>
              <w:right w:val="single" w:sz="8" w:space="0" w:color="auto"/>
            </w:tcBorders>
            <w:shd w:val="clear" w:color="auto" w:fill="auto"/>
            <w:vAlign w:val="center"/>
            <w:hideMark/>
          </w:tcPr>
          <w:p w14:paraId="583CF255" w14:textId="77777777" w:rsidR="00895992" w:rsidRPr="00DE4C17" w:rsidRDefault="00895992" w:rsidP="0071485C">
            <w:pPr>
              <w:jc w:val="both"/>
            </w:pPr>
            <w:r w:rsidRPr="00DE4C17">
              <w:t>Limpo, não modificado e também sem ressalvas</w:t>
            </w:r>
          </w:p>
        </w:tc>
        <w:tc>
          <w:tcPr>
            <w:tcW w:w="6270" w:type="dxa"/>
            <w:tcBorders>
              <w:top w:val="nil"/>
              <w:left w:val="nil"/>
              <w:bottom w:val="single" w:sz="8" w:space="0" w:color="auto"/>
              <w:right w:val="single" w:sz="8" w:space="0" w:color="auto"/>
            </w:tcBorders>
            <w:shd w:val="clear" w:color="auto" w:fill="auto"/>
            <w:vAlign w:val="center"/>
            <w:hideMark/>
          </w:tcPr>
          <w:p w14:paraId="35297FAB" w14:textId="77777777" w:rsidR="00895992" w:rsidRPr="00DE4C17" w:rsidRDefault="00895992" w:rsidP="0071485C">
            <w:pPr>
              <w:jc w:val="both"/>
            </w:pPr>
            <w:r w:rsidRPr="00DE4C17">
              <w:t>A opinião sem ressalva é o denominado como limpo, ou seja, sem exceção ou qualquer parágrafo adicional. Indica que o auditor está convencido de que as demonstrações contábeis foram elaboradas consoantes à legislação específica, em todos os aspectos relevantes.</w:t>
            </w:r>
          </w:p>
        </w:tc>
      </w:tr>
      <w:tr w:rsidR="00895992" w:rsidRPr="00DE4C17" w14:paraId="1034A5C1" w14:textId="77777777" w:rsidTr="00A06660">
        <w:trPr>
          <w:trHeight w:val="227"/>
        </w:trPr>
        <w:tc>
          <w:tcPr>
            <w:tcW w:w="2912" w:type="dxa"/>
            <w:tcBorders>
              <w:top w:val="nil"/>
              <w:left w:val="single" w:sz="8" w:space="0" w:color="auto"/>
              <w:bottom w:val="single" w:sz="8" w:space="0" w:color="auto"/>
              <w:right w:val="single" w:sz="8" w:space="0" w:color="auto"/>
            </w:tcBorders>
            <w:shd w:val="clear" w:color="auto" w:fill="auto"/>
            <w:vAlign w:val="center"/>
            <w:hideMark/>
          </w:tcPr>
          <w:p w14:paraId="50E0AADF" w14:textId="77777777" w:rsidR="00895992" w:rsidRPr="00DE4C17" w:rsidRDefault="00895992" w:rsidP="0071485C">
            <w:pPr>
              <w:jc w:val="both"/>
            </w:pPr>
            <w:r w:rsidRPr="00DE4C17">
              <w:t>Com ressalva</w:t>
            </w:r>
          </w:p>
        </w:tc>
        <w:tc>
          <w:tcPr>
            <w:tcW w:w="6270" w:type="dxa"/>
            <w:tcBorders>
              <w:top w:val="nil"/>
              <w:left w:val="nil"/>
              <w:bottom w:val="single" w:sz="8" w:space="0" w:color="auto"/>
              <w:right w:val="single" w:sz="8" w:space="0" w:color="auto"/>
            </w:tcBorders>
            <w:shd w:val="clear" w:color="auto" w:fill="auto"/>
            <w:vAlign w:val="center"/>
            <w:hideMark/>
          </w:tcPr>
          <w:p w14:paraId="56081C5B" w14:textId="77777777" w:rsidR="00895992" w:rsidRPr="00DE4C17" w:rsidRDefault="00895992" w:rsidP="0071485C">
            <w:pPr>
              <w:jc w:val="both"/>
            </w:pPr>
            <w:r w:rsidRPr="00DE4C17">
              <w:t>É emitido quando o auditor obtém evidências apropriadas, concluindo que há distorções, individualmente ou em conjunto relevantes, mas não generalizadas. ' Ou quando não obtém evidências apropriadas para suportar sua opinião, mas conclui que seus efeitos de distorções não detectadas, poderiam ser relevantes, mas não generalizadas.</w:t>
            </w:r>
          </w:p>
        </w:tc>
      </w:tr>
      <w:tr w:rsidR="00895992" w:rsidRPr="00DE4C17" w14:paraId="3E350F94" w14:textId="77777777" w:rsidTr="00A06660">
        <w:trPr>
          <w:trHeight w:val="227"/>
        </w:trPr>
        <w:tc>
          <w:tcPr>
            <w:tcW w:w="2912" w:type="dxa"/>
            <w:tcBorders>
              <w:top w:val="nil"/>
              <w:left w:val="single" w:sz="8" w:space="0" w:color="auto"/>
              <w:bottom w:val="single" w:sz="8" w:space="0" w:color="auto"/>
              <w:right w:val="single" w:sz="8" w:space="0" w:color="auto"/>
            </w:tcBorders>
            <w:shd w:val="clear" w:color="auto" w:fill="auto"/>
            <w:vAlign w:val="center"/>
            <w:hideMark/>
          </w:tcPr>
          <w:p w14:paraId="4EC796A8" w14:textId="77777777" w:rsidR="00895992" w:rsidRPr="00DE4C17" w:rsidRDefault="00895992" w:rsidP="0071485C">
            <w:pPr>
              <w:jc w:val="both"/>
            </w:pPr>
            <w:r w:rsidRPr="00DE4C17">
              <w:t>Adverso</w:t>
            </w:r>
          </w:p>
        </w:tc>
        <w:tc>
          <w:tcPr>
            <w:tcW w:w="6270" w:type="dxa"/>
            <w:tcBorders>
              <w:top w:val="nil"/>
              <w:left w:val="nil"/>
              <w:bottom w:val="single" w:sz="8" w:space="0" w:color="auto"/>
              <w:right w:val="single" w:sz="8" w:space="0" w:color="auto"/>
            </w:tcBorders>
            <w:shd w:val="clear" w:color="auto" w:fill="auto"/>
            <w:vAlign w:val="center"/>
            <w:hideMark/>
          </w:tcPr>
          <w:p w14:paraId="59EB980D" w14:textId="77777777" w:rsidR="00895992" w:rsidRPr="00DE4C17" w:rsidRDefault="00895992" w:rsidP="0071485C">
            <w:pPr>
              <w:jc w:val="both"/>
            </w:pPr>
            <w:r w:rsidRPr="00DE4C17">
              <w:t>É emitido pelo auditor para expressar adversidade de opinião, tendo como base evidências de auditoria suficientes para que as distorções individuais ou em grupo sejam relevantes e generalizadas.</w:t>
            </w:r>
          </w:p>
        </w:tc>
      </w:tr>
      <w:tr w:rsidR="00895992" w:rsidRPr="00DE4C17" w14:paraId="6048E038" w14:textId="77777777" w:rsidTr="00A06660">
        <w:trPr>
          <w:trHeight w:val="227"/>
        </w:trPr>
        <w:tc>
          <w:tcPr>
            <w:tcW w:w="2912" w:type="dxa"/>
            <w:tcBorders>
              <w:top w:val="nil"/>
              <w:left w:val="single" w:sz="8" w:space="0" w:color="auto"/>
              <w:bottom w:val="single" w:sz="8" w:space="0" w:color="auto"/>
              <w:right w:val="single" w:sz="8" w:space="0" w:color="auto"/>
            </w:tcBorders>
            <w:shd w:val="clear" w:color="auto" w:fill="auto"/>
            <w:vAlign w:val="center"/>
            <w:hideMark/>
          </w:tcPr>
          <w:p w14:paraId="14A366FA" w14:textId="77777777" w:rsidR="00895992" w:rsidRPr="00DE4C17" w:rsidRDefault="00895992" w:rsidP="0071485C">
            <w:pPr>
              <w:jc w:val="both"/>
            </w:pPr>
            <w:r w:rsidRPr="00DE4C17">
              <w:t>Com abstenção de opinião ou Negativo de opinião</w:t>
            </w:r>
          </w:p>
        </w:tc>
        <w:tc>
          <w:tcPr>
            <w:tcW w:w="6270" w:type="dxa"/>
            <w:tcBorders>
              <w:top w:val="nil"/>
              <w:left w:val="nil"/>
              <w:bottom w:val="single" w:sz="8" w:space="0" w:color="auto"/>
              <w:right w:val="single" w:sz="8" w:space="0" w:color="auto"/>
            </w:tcBorders>
            <w:shd w:val="clear" w:color="auto" w:fill="auto"/>
            <w:vAlign w:val="center"/>
            <w:hideMark/>
          </w:tcPr>
          <w:p w14:paraId="5BB23FDD" w14:textId="77777777" w:rsidR="00895992" w:rsidRPr="00DE4C17" w:rsidRDefault="00895992" w:rsidP="0071485C">
            <w:pPr>
              <w:jc w:val="both"/>
            </w:pPr>
            <w:r w:rsidRPr="00DE4C17">
              <w:t>Quando o auditor não expressa sua opinião, pois que não conseguiu obter evidências suficientes para embasar sua opinião, e ele conclui que essas possíveis distorções poderiam ser importantes e generalizadas.</w:t>
            </w:r>
          </w:p>
        </w:tc>
      </w:tr>
    </w:tbl>
    <w:p w14:paraId="66CEA380" w14:textId="77777777" w:rsidR="00895992" w:rsidRPr="00DE4C17" w:rsidRDefault="00895992" w:rsidP="00895992">
      <w:pPr>
        <w:tabs>
          <w:tab w:val="center" w:pos="4535"/>
        </w:tabs>
        <w:ind w:left="170" w:firstLine="170"/>
        <w:jc w:val="center"/>
      </w:pPr>
      <w:r w:rsidRPr="00DE4C17">
        <w:t>Fonte: Adaptado de Almeida (2012).</w:t>
      </w:r>
    </w:p>
    <w:p w14:paraId="20635991" w14:textId="77777777" w:rsidR="00895992" w:rsidRPr="00DE4C17" w:rsidRDefault="00895992" w:rsidP="00895992">
      <w:pPr>
        <w:ind w:firstLine="567"/>
        <w:jc w:val="both"/>
        <w:rPr>
          <w:sz w:val="24"/>
          <w:szCs w:val="24"/>
        </w:rPr>
      </w:pPr>
    </w:p>
    <w:p w14:paraId="42B248EA" w14:textId="60AEEA17" w:rsidR="00895992" w:rsidRPr="00DE4C17" w:rsidRDefault="00895992" w:rsidP="00895992">
      <w:pPr>
        <w:ind w:firstLine="567"/>
        <w:jc w:val="both"/>
        <w:rPr>
          <w:sz w:val="24"/>
          <w:szCs w:val="24"/>
        </w:rPr>
      </w:pPr>
      <w:r w:rsidRPr="00DE4C17">
        <w:rPr>
          <w:sz w:val="24"/>
          <w:szCs w:val="24"/>
        </w:rPr>
        <w:lastRenderedPageBreak/>
        <w:t>Segundo Yoshitake (2012) o modelo mais comum de relatório emitido pelo auditor é o sem ressalva, no qual se dá mediante a conclusão de que as demonstrações contábeis são apropriadas e válidas e estão em concordância com as normas vigorantes e não exibem transformações nos princípios fundamentais de contabilidade.</w:t>
      </w:r>
      <w:r w:rsidR="003B07FC">
        <w:rPr>
          <w:sz w:val="24"/>
          <w:szCs w:val="24"/>
        </w:rPr>
        <w:t xml:space="preserve"> </w:t>
      </w:r>
      <w:r w:rsidR="00951B7D" w:rsidRPr="00951B7D">
        <w:rPr>
          <w:sz w:val="24"/>
          <w:szCs w:val="24"/>
        </w:rPr>
        <w:t>Tal fato é corroborado pelo estudo de Cunha, Beuren e Pereira (2009), no qual identificaram que, em companhias de Santa Catarina registradas na CVM, 75,76% das companhias avaliadas apresentaram relatórios publicados sem ressalvas.</w:t>
      </w:r>
    </w:p>
    <w:p w14:paraId="4CA41744" w14:textId="26964959" w:rsidR="00895992" w:rsidRPr="00DE4C17" w:rsidRDefault="00895992" w:rsidP="00895992">
      <w:pPr>
        <w:ind w:firstLine="567"/>
        <w:jc w:val="both"/>
        <w:rPr>
          <w:sz w:val="24"/>
          <w:szCs w:val="24"/>
        </w:rPr>
      </w:pPr>
      <w:r w:rsidRPr="00DE4C17">
        <w:rPr>
          <w:sz w:val="24"/>
          <w:szCs w:val="24"/>
        </w:rPr>
        <w:t>A atividade desempenhada pelos auditores é fundamental para emissão de sua opinião em relação à condição dos documentos contábeis aos usuários da informação e interessados na posição econômica e financeira da empresa. Muito embora, a opinião do auditor esteja sujeita a aspectos subjetivos, a noção de um usuário da informação é de que a opinião da auditoria independente promulga confiança em relação aos dados econômicos e financeiros da organização auditada e para tanto dentro do seu relatório de opinião, o mesmo pode expressar as informações adicionais por meio do parágrafo de Ênfase e do de Outros Assuntos.</w:t>
      </w:r>
    </w:p>
    <w:p w14:paraId="4E1D78E0" w14:textId="77777777" w:rsidR="00895992" w:rsidRPr="00DE4C17" w:rsidRDefault="00895992" w:rsidP="00895992">
      <w:pPr>
        <w:ind w:firstLine="567"/>
        <w:jc w:val="both"/>
        <w:rPr>
          <w:sz w:val="24"/>
          <w:szCs w:val="24"/>
        </w:rPr>
      </w:pPr>
    </w:p>
    <w:p w14:paraId="5BB2F5CD" w14:textId="77777777" w:rsidR="00895992" w:rsidRPr="00DE4C17" w:rsidRDefault="00895992" w:rsidP="00895992">
      <w:pPr>
        <w:jc w:val="both"/>
        <w:rPr>
          <w:b/>
          <w:sz w:val="24"/>
          <w:szCs w:val="24"/>
        </w:rPr>
      </w:pPr>
      <w:r w:rsidRPr="00DE4C17">
        <w:rPr>
          <w:b/>
          <w:sz w:val="24"/>
          <w:szCs w:val="24"/>
        </w:rPr>
        <w:t xml:space="preserve">2.3 Informações adicionais: Parágrafo de Ênfase e Parágrafo de Outros Assuntos </w:t>
      </w:r>
    </w:p>
    <w:p w14:paraId="7B8C9DCC" w14:textId="77777777" w:rsidR="00895992" w:rsidRPr="00DE4C17" w:rsidRDefault="00895992" w:rsidP="00895992">
      <w:pPr>
        <w:ind w:firstLine="567"/>
        <w:jc w:val="both"/>
        <w:rPr>
          <w:sz w:val="24"/>
          <w:szCs w:val="24"/>
        </w:rPr>
      </w:pPr>
      <w:r w:rsidRPr="00DE4C17">
        <w:rPr>
          <w:sz w:val="24"/>
          <w:szCs w:val="24"/>
        </w:rPr>
        <w:t xml:space="preserve">A Resolução CFC nº 1.233, de 27 de dezembro de 2009, aprovou a NBC TA 706 que aborda o parágrafo de </w:t>
      </w:r>
      <w:r>
        <w:rPr>
          <w:sz w:val="24"/>
          <w:szCs w:val="24"/>
        </w:rPr>
        <w:t>ê</w:t>
      </w:r>
      <w:r w:rsidRPr="00DE4C17">
        <w:rPr>
          <w:sz w:val="24"/>
          <w:szCs w:val="24"/>
        </w:rPr>
        <w:t xml:space="preserve">nfase e o de </w:t>
      </w:r>
      <w:r>
        <w:rPr>
          <w:sz w:val="24"/>
          <w:szCs w:val="24"/>
        </w:rPr>
        <w:t>outros a</w:t>
      </w:r>
      <w:r w:rsidRPr="00DE4C17">
        <w:rPr>
          <w:sz w:val="24"/>
          <w:szCs w:val="24"/>
        </w:rPr>
        <w:t>ssuntos, dentro do relatório dos auditores independentes. A introdução dos mencionados parágrafos ocorre logo após a alínea de opinião do auditor, e seu conteúdo deve ser citado no momento em que o auditor tenha formado sua opinião sobre a demonstração analisada e quando se tratar de uma informação que ele julgar necessária para as tomadas de decisões (Silva, Aires &amp; Almeida, 2014).</w:t>
      </w:r>
    </w:p>
    <w:p w14:paraId="5C8EA3A1" w14:textId="77777777" w:rsidR="00895992" w:rsidRPr="00DE4C17" w:rsidRDefault="00895992" w:rsidP="00895992">
      <w:pPr>
        <w:ind w:firstLine="567"/>
        <w:jc w:val="both"/>
        <w:rPr>
          <w:sz w:val="24"/>
          <w:szCs w:val="24"/>
        </w:rPr>
      </w:pPr>
      <w:r w:rsidRPr="00DE4C17">
        <w:rPr>
          <w:sz w:val="24"/>
          <w:szCs w:val="24"/>
        </w:rPr>
        <w:t xml:space="preserve">Embora no ano de 2016, a NBC TA 706 </w:t>
      </w:r>
      <w:r>
        <w:rPr>
          <w:sz w:val="24"/>
          <w:szCs w:val="24"/>
        </w:rPr>
        <w:t>tenha tido</w:t>
      </w:r>
      <w:r w:rsidRPr="00DE4C17">
        <w:rPr>
          <w:sz w:val="24"/>
          <w:szCs w:val="24"/>
        </w:rPr>
        <w:t xml:space="preserve"> alterações, os mencionados parágrafos ainda permanecem </w:t>
      </w:r>
      <w:r>
        <w:rPr>
          <w:sz w:val="24"/>
          <w:szCs w:val="24"/>
        </w:rPr>
        <w:t>na mesma sequência</w:t>
      </w:r>
      <w:r w:rsidRPr="00DE4C17">
        <w:rPr>
          <w:sz w:val="24"/>
          <w:szCs w:val="24"/>
        </w:rPr>
        <w:t xml:space="preserve"> </w:t>
      </w:r>
      <w:r>
        <w:rPr>
          <w:sz w:val="24"/>
          <w:szCs w:val="24"/>
        </w:rPr>
        <w:t>dentro da</w:t>
      </w:r>
      <w:r w:rsidRPr="00DE4C17">
        <w:rPr>
          <w:sz w:val="24"/>
          <w:szCs w:val="24"/>
        </w:rPr>
        <w:t xml:space="preserve"> estrutura do relatório. Vale ressaltar que o principal objetivo dessa alteração foi trazer uma maior transparência do resultado dos trabalhos que o auditor executa e quais foram as principais áreas de riscos e de importância em seu trabalho, que anteriormente ficavam restritas a discussões internas e que com </w:t>
      </w:r>
      <w:r>
        <w:rPr>
          <w:sz w:val="24"/>
          <w:szCs w:val="24"/>
        </w:rPr>
        <w:t>o NRA</w:t>
      </w:r>
      <w:r w:rsidRPr="00DE4C17">
        <w:rPr>
          <w:sz w:val="24"/>
          <w:szCs w:val="24"/>
        </w:rPr>
        <w:t xml:space="preserve"> ganham uma maior visibilidade e transparência. Para tanto se torna indispensável o uso do parágrafo de ênfase ou de outros assuntos quando houver necessidade.</w:t>
      </w:r>
    </w:p>
    <w:p w14:paraId="0BB4384B" w14:textId="77777777" w:rsidR="00895992" w:rsidRPr="00DE4C17" w:rsidRDefault="00895992" w:rsidP="00895992">
      <w:pPr>
        <w:ind w:firstLine="567"/>
        <w:jc w:val="both"/>
        <w:rPr>
          <w:sz w:val="24"/>
          <w:szCs w:val="24"/>
        </w:rPr>
      </w:pPr>
      <w:r w:rsidRPr="00DE4C17">
        <w:rPr>
          <w:sz w:val="24"/>
          <w:szCs w:val="24"/>
        </w:rPr>
        <w:t>No parágrafo de outros assuntos, de acordo com a NBC TA 706 (2009), são inclusos aqueles assuntos que estão relacionados com trabalho do auditor. “O auditor consegue determinar quais assuntos devem ter uma atenção maior levando em consideração a área que está sendo avaliada, os julgamentos que apresentam maior incerteza, a avaliação da administração, contando que este seja um parecer significativo” (NBC TA 706 de 2016, A1).</w:t>
      </w:r>
    </w:p>
    <w:p w14:paraId="1BE05E74" w14:textId="77777777" w:rsidR="00895992" w:rsidRPr="00DE4C17" w:rsidRDefault="00895992" w:rsidP="00895992">
      <w:pPr>
        <w:ind w:firstLine="567"/>
        <w:jc w:val="both"/>
        <w:rPr>
          <w:sz w:val="24"/>
          <w:szCs w:val="24"/>
        </w:rPr>
      </w:pPr>
      <w:r w:rsidRPr="00DE4C17">
        <w:rPr>
          <w:sz w:val="24"/>
          <w:szCs w:val="24"/>
        </w:rPr>
        <w:t>O parágrafo de ênfase aparece como um método extra de comunicação entre o auditor e os usuários do seu relatório que, conforme o item 1 (a) e item 4 (a) da NBC TA 706 (2016) - Parágrafos de Ênfase e Parágrafos de Outros Assuntos no Relatório do Auditor Independente, a intenção da  a inserção desse parágrafo é que depois de ter formado opinião sobre as demonstrações contábeis, o auditor por meio dele irá chamar a atenção dos usuários, quando necessário, por meio de comunicação adicional clara no relatório. É essencial que seja feita a compreensão das demonstrações por parte dos usuários da informação.</w:t>
      </w:r>
    </w:p>
    <w:p w14:paraId="09944D61" w14:textId="60525E2D" w:rsidR="00895992" w:rsidRPr="00DE4C17" w:rsidRDefault="00895992" w:rsidP="00895992">
      <w:pPr>
        <w:ind w:firstLine="567"/>
        <w:jc w:val="both"/>
        <w:rPr>
          <w:sz w:val="24"/>
          <w:szCs w:val="24"/>
        </w:rPr>
      </w:pPr>
      <w:r w:rsidRPr="00DE4C17">
        <w:rPr>
          <w:sz w:val="24"/>
          <w:szCs w:val="24"/>
        </w:rPr>
        <w:t xml:space="preserve">Em relação à eficácia do parágrafo de Ênfase no relatório de auditoria, o estudo de Damascena (2013) concluiu que ocorrências que possuem relação com a continuidade da organização têm sido apontadas de maneira repetitiva no parágrafo de ênfase, indicando que existem prováveis problemas que precisariam ser ajustados, mas que em alguns casos não o </w:t>
      </w:r>
      <w:r w:rsidRPr="00DE4C17">
        <w:rPr>
          <w:sz w:val="24"/>
          <w:szCs w:val="24"/>
        </w:rPr>
        <w:lastRenderedPageBreak/>
        <w:t xml:space="preserve">foram podendo apontar que futuramente pode vir a gerar a descontinuidade. Sendo tal </w:t>
      </w:r>
      <w:r w:rsidR="00975AA6" w:rsidRPr="00DE4C17">
        <w:rPr>
          <w:sz w:val="24"/>
          <w:szCs w:val="24"/>
        </w:rPr>
        <w:t>parágrafo</w:t>
      </w:r>
      <w:r w:rsidRPr="00DE4C17">
        <w:rPr>
          <w:sz w:val="24"/>
          <w:szCs w:val="24"/>
        </w:rPr>
        <w:t xml:space="preserve"> extremamente importante dentro do relatório do auditor. </w:t>
      </w:r>
    </w:p>
    <w:p w14:paraId="19692F6C" w14:textId="77777777" w:rsidR="00895992" w:rsidRPr="00DE4C17" w:rsidRDefault="00895992" w:rsidP="00895992">
      <w:pPr>
        <w:ind w:firstLine="567"/>
        <w:jc w:val="both"/>
        <w:rPr>
          <w:sz w:val="24"/>
          <w:szCs w:val="24"/>
        </w:rPr>
      </w:pPr>
      <w:r w:rsidRPr="00DE4C17">
        <w:rPr>
          <w:sz w:val="24"/>
          <w:szCs w:val="24"/>
        </w:rPr>
        <w:t xml:space="preserve">Para Longo (2011), os </w:t>
      </w:r>
      <w:r>
        <w:rPr>
          <w:sz w:val="24"/>
          <w:szCs w:val="24"/>
        </w:rPr>
        <w:t>p</w:t>
      </w:r>
      <w:r w:rsidRPr="00DE4C17">
        <w:rPr>
          <w:sz w:val="24"/>
          <w:szCs w:val="24"/>
        </w:rPr>
        <w:t xml:space="preserve">arágrafos de </w:t>
      </w:r>
      <w:r>
        <w:rPr>
          <w:sz w:val="24"/>
          <w:szCs w:val="24"/>
        </w:rPr>
        <w:t>ê</w:t>
      </w:r>
      <w:r w:rsidRPr="00DE4C17">
        <w:rPr>
          <w:sz w:val="24"/>
          <w:szCs w:val="24"/>
        </w:rPr>
        <w:t xml:space="preserve">nfase se diferenciam do de </w:t>
      </w:r>
      <w:r>
        <w:rPr>
          <w:sz w:val="24"/>
          <w:szCs w:val="24"/>
        </w:rPr>
        <w:t>o</w:t>
      </w:r>
      <w:r w:rsidRPr="00DE4C17">
        <w:rPr>
          <w:sz w:val="24"/>
          <w:szCs w:val="24"/>
        </w:rPr>
        <w:t xml:space="preserve">utros </w:t>
      </w:r>
      <w:r>
        <w:rPr>
          <w:sz w:val="24"/>
          <w:szCs w:val="24"/>
        </w:rPr>
        <w:t>a</w:t>
      </w:r>
      <w:r w:rsidRPr="00DE4C17">
        <w:rPr>
          <w:sz w:val="24"/>
          <w:szCs w:val="24"/>
        </w:rPr>
        <w:t xml:space="preserve">ssuntos pelo fato de que </w:t>
      </w:r>
      <w:r>
        <w:rPr>
          <w:sz w:val="24"/>
          <w:szCs w:val="24"/>
        </w:rPr>
        <w:t>a informação abordada</w:t>
      </w:r>
      <w:r w:rsidRPr="00DE4C17">
        <w:rPr>
          <w:sz w:val="24"/>
          <w:szCs w:val="24"/>
        </w:rPr>
        <w:t xml:space="preserve"> no parágrafo de outros assuntos não é publicad</w:t>
      </w:r>
      <w:r>
        <w:rPr>
          <w:sz w:val="24"/>
          <w:szCs w:val="24"/>
        </w:rPr>
        <w:t>a</w:t>
      </w:r>
      <w:r w:rsidRPr="00DE4C17">
        <w:rPr>
          <w:sz w:val="24"/>
          <w:szCs w:val="24"/>
        </w:rPr>
        <w:t xml:space="preserve"> nas demonstrações financeiras, pois está conexo com o trabalho</w:t>
      </w:r>
      <w:r>
        <w:rPr>
          <w:sz w:val="24"/>
          <w:szCs w:val="24"/>
        </w:rPr>
        <w:t xml:space="preserve"> do auditor</w:t>
      </w:r>
      <w:r w:rsidRPr="00DE4C17">
        <w:rPr>
          <w:sz w:val="24"/>
          <w:szCs w:val="24"/>
        </w:rPr>
        <w:t xml:space="preserve"> e não com as demonstrações financeiras da empresa propriamente dita.</w:t>
      </w:r>
    </w:p>
    <w:p w14:paraId="734D0A03" w14:textId="77777777" w:rsidR="00895992" w:rsidRPr="00DE4C17" w:rsidRDefault="00895992" w:rsidP="00895992">
      <w:pPr>
        <w:ind w:firstLine="567"/>
        <w:jc w:val="both"/>
        <w:rPr>
          <w:sz w:val="24"/>
          <w:szCs w:val="24"/>
        </w:rPr>
      </w:pPr>
      <w:r w:rsidRPr="00DE4C17">
        <w:rPr>
          <w:sz w:val="24"/>
          <w:szCs w:val="24"/>
        </w:rPr>
        <w:t xml:space="preserve">Na norma NBC TA 706 (2016), ressalta-se ainda em quais situações deve ser usado o parágrafo de outros assuntos. Podendo este, ser utilizado em eventos nos quais é imprescindível o entendimento por parte dos usuários, situações relevantes onde há a necessidade do conhecimento da responsabilidade do auditor ou do seu relatório, emissão de relatório de mais de um conjunto de demonstrações contábeis, restrição à distribuição ou do uso relatório de auditoria. </w:t>
      </w:r>
    </w:p>
    <w:p w14:paraId="4BFCEF37" w14:textId="77777777" w:rsidR="00895992" w:rsidRPr="00DE4C17" w:rsidRDefault="00895992" w:rsidP="00895992">
      <w:pPr>
        <w:autoSpaceDE w:val="0"/>
        <w:autoSpaceDN w:val="0"/>
        <w:adjustRightInd w:val="0"/>
        <w:ind w:left="567"/>
        <w:jc w:val="both"/>
      </w:pPr>
      <w:r w:rsidRPr="00DE4C17">
        <w:t>Se o auditor considera necessário comunicar outro assunto, não apresentado nem divulgado nas demonstrações contábeis, e que de acordo com seu julgamento é relevante para o entendimento, pelos usuários, da auditoria, da responsabilidade do auditor ou do relatório de auditoria, e não for proibido por lei ou regulamento, ele deve fazê-lo em um parágrafo no relatório de auditoria, com o título “Outros assuntos” ou outro título apropriado. O auditor deve incluir esse parágrafo imediatamente após o parágrafo de opinião e de qualquer parágrafo de ênfase, ou em outra parte do relatório, se o conteúdo do parágrafo de outros assuntos for relevante para a seção Outras Responsabilidades de Relatório (NBC TA 706, 2016, item 8-9).</w:t>
      </w:r>
    </w:p>
    <w:p w14:paraId="4D52690B" w14:textId="77777777" w:rsidR="00895992" w:rsidRPr="00DE4C17" w:rsidRDefault="00895992" w:rsidP="00895992">
      <w:pPr>
        <w:ind w:firstLine="567"/>
        <w:jc w:val="both"/>
        <w:rPr>
          <w:sz w:val="24"/>
          <w:szCs w:val="24"/>
        </w:rPr>
      </w:pPr>
      <w:r w:rsidRPr="00DE4C17">
        <w:rPr>
          <w:sz w:val="24"/>
          <w:szCs w:val="24"/>
        </w:rPr>
        <w:t>Na Tabela 3 são expostas as normas de auditoria que possui situações que demandam a inserção do parágrafo de outros assuntos.</w:t>
      </w:r>
    </w:p>
    <w:p w14:paraId="6D94A43C" w14:textId="77777777" w:rsidR="00895992" w:rsidRPr="00DE4C17" w:rsidRDefault="00895992" w:rsidP="00895992">
      <w:pPr>
        <w:ind w:firstLine="567"/>
        <w:jc w:val="both"/>
        <w:rPr>
          <w:sz w:val="24"/>
          <w:szCs w:val="24"/>
        </w:rPr>
      </w:pPr>
    </w:p>
    <w:p w14:paraId="7A6D7872" w14:textId="77777777" w:rsidR="00895992" w:rsidRPr="00DE4C17" w:rsidRDefault="00895992" w:rsidP="00895992">
      <w:pPr>
        <w:tabs>
          <w:tab w:val="center" w:pos="4535"/>
        </w:tabs>
        <w:ind w:left="170" w:firstLine="170"/>
        <w:jc w:val="center"/>
      </w:pPr>
      <w:r w:rsidRPr="00DE4C17">
        <w:t>Tabela 3: NBC TA’s que exigem inclusão do parágrafo de outros assuntos</w:t>
      </w:r>
    </w:p>
    <w:tbl>
      <w:tblPr>
        <w:tblW w:w="9131" w:type="dxa"/>
        <w:jc w:val="center"/>
        <w:tblCellMar>
          <w:left w:w="70" w:type="dxa"/>
          <w:right w:w="70" w:type="dxa"/>
        </w:tblCellMar>
        <w:tblLook w:val="04A0" w:firstRow="1" w:lastRow="0" w:firstColumn="1" w:lastColumn="0" w:noHBand="0" w:noVBand="1"/>
      </w:tblPr>
      <w:tblGrid>
        <w:gridCol w:w="2972"/>
        <w:gridCol w:w="6159"/>
      </w:tblGrid>
      <w:tr w:rsidR="00895992" w:rsidRPr="00DE4C17" w14:paraId="2249F41C" w14:textId="77777777" w:rsidTr="00A06660">
        <w:trPr>
          <w:trHeight w:val="20"/>
          <w:jc w:val="center"/>
        </w:trPr>
        <w:tc>
          <w:tcPr>
            <w:tcW w:w="2972" w:type="dxa"/>
            <w:tcBorders>
              <w:top w:val="single" w:sz="4" w:space="0" w:color="auto"/>
              <w:left w:val="single" w:sz="4" w:space="0" w:color="auto"/>
              <w:bottom w:val="nil"/>
              <w:right w:val="single" w:sz="4" w:space="0" w:color="auto"/>
            </w:tcBorders>
            <w:vAlign w:val="center"/>
            <w:hideMark/>
          </w:tcPr>
          <w:p w14:paraId="54B2A7EC" w14:textId="77777777" w:rsidR="00895992" w:rsidRPr="00DE4C17" w:rsidRDefault="00895992" w:rsidP="00A06660">
            <w:pPr>
              <w:jc w:val="center"/>
              <w:rPr>
                <w:b/>
              </w:rPr>
            </w:pPr>
            <w:r w:rsidRPr="00DE4C17">
              <w:rPr>
                <w:b/>
              </w:rPr>
              <w:t>Normas</w:t>
            </w:r>
          </w:p>
        </w:tc>
        <w:tc>
          <w:tcPr>
            <w:tcW w:w="6159" w:type="dxa"/>
            <w:tcBorders>
              <w:top w:val="single" w:sz="4" w:space="0" w:color="auto"/>
              <w:left w:val="nil"/>
              <w:bottom w:val="nil"/>
              <w:right w:val="single" w:sz="4" w:space="0" w:color="auto"/>
            </w:tcBorders>
            <w:vAlign w:val="center"/>
            <w:hideMark/>
          </w:tcPr>
          <w:p w14:paraId="64E0E1F9" w14:textId="77777777" w:rsidR="00895992" w:rsidRPr="00DE4C17" w:rsidRDefault="00895992" w:rsidP="00A06660">
            <w:pPr>
              <w:jc w:val="center"/>
              <w:rPr>
                <w:b/>
              </w:rPr>
            </w:pPr>
            <w:r w:rsidRPr="00DE4C17">
              <w:rPr>
                <w:b/>
              </w:rPr>
              <w:t>Casos que devem ser utilizados o Parágrafo de Outros Assuntos</w:t>
            </w:r>
          </w:p>
        </w:tc>
      </w:tr>
      <w:tr w:rsidR="00895992" w:rsidRPr="00DE4C17" w14:paraId="25EFB2C2" w14:textId="77777777" w:rsidTr="00A06660">
        <w:trPr>
          <w:trHeight w:val="20"/>
          <w:jc w:val="center"/>
        </w:trPr>
        <w:tc>
          <w:tcPr>
            <w:tcW w:w="2972" w:type="dxa"/>
            <w:tcBorders>
              <w:top w:val="single" w:sz="4" w:space="0" w:color="auto"/>
              <w:left w:val="single" w:sz="4" w:space="0" w:color="auto"/>
              <w:bottom w:val="nil"/>
              <w:right w:val="single" w:sz="4" w:space="0" w:color="auto"/>
            </w:tcBorders>
            <w:noWrap/>
            <w:vAlign w:val="center"/>
            <w:hideMark/>
          </w:tcPr>
          <w:p w14:paraId="0A26AA2C" w14:textId="77777777" w:rsidR="00895992" w:rsidRPr="00DE4C17" w:rsidRDefault="00895992" w:rsidP="00A06660">
            <w:pPr>
              <w:jc w:val="both"/>
            </w:pPr>
            <w:r w:rsidRPr="00DE4C17">
              <w:t>NBC TA 560 – item 12(b) e 16</w:t>
            </w:r>
          </w:p>
        </w:tc>
        <w:tc>
          <w:tcPr>
            <w:tcW w:w="6159" w:type="dxa"/>
            <w:tcBorders>
              <w:top w:val="single" w:sz="4" w:space="0" w:color="auto"/>
              <w:left w:val="nil"/>
              <w:bottom w:val="single" w:sz="4" w:space="0" w:color="auto"/>
              <w:right w:val="single" w:sz="4" w:space="0" w:color="auto"/>
            </w:tcBorders>
            <w:vAlign w:val="center"/>
            <w:hideMark/>
          </w:tcPr>
          <w:p w14:paraId="085AFEDA" w14:textId="77777777" w:rsidR="00895992" w:rsidRPr="00DE4C17" w:rsidRDefault="00895992" w:rsidP="00A06660">
            <w:pPr>
              <w:jc w:val="both"/>
            </w:pPr>
            <w:r w:rsidRPr="00DE4C17">
              <w:t>Eventos Subsequentes - Existência de mudanças nas demonstrações contábeis</w:t>
            </w:r>
          </w:p>
        </w:tc>
      </w:tr>
      <w:tr w:rsidR="00895992" w:rsidRPr="00DE4C17" w14:paraId="0250B929" w14:textId="77777777" w:rsidTr="00A06660">
        <w:trPr>
          <w:trHeight w:val="20"/>
          <w:jc w:val="center"/>
        </w:trPr>
        <w:tc>
          <w:tcPr>
            <w:tcW w:w="2972" w:type="dxa"/>
            <w:tcBorders>
              <w:top w:val="single" w:sz="4" w:space="0" w:color="auto"/>
              <w:left w:val="single" w:sz="4" w:space="0" w:color="auto"/>
              <w:bottom w:val="single" w:sz="4" w:space="0" w:color="auto"/>
              <w:right w:val="single" w:sz="4" w:space="0" w:color="auto"/>
            </w:tcBorders>
            <w:noWrap/>
            <w:vAlign w:val="center"/>
            <w:hideMark/>
          </w:tcPr>
          <w:p w14:paraId="77A993D7" w14:textId="77777777" w:rsidR="00895992" w:rsidRPr="00DE4C17" w:rsidRDefault="00895992" w:rsidP="00A06660">
            <w:pPr>
              <w:jc w:val="both"/>
            </w:pPr>
            <w:r w:rsidRPr="00DE4C17">
              <w:t>NBC TA 710</w:t>
            </w:r>
          </w:p>
        </w:tc>
        <w:tc>
          <w:tcPr>
            <w:tcW w:w="6159" w:type="dxa"/>
            <w:tcBorders>
              <w:top w:val="nil"/>
              <w:left w:val="nil"/>
              <w:bottom w:val="single" w:sz="4" w:space="0" w:color="auto"/>
              <w:right w:val="single" w:sz="4" w:space="0" w:color="auto"/>
            </w:tcBorders>
            <w:vAlign w:val="center"/>
            <w:hideMark/>
          </w:tcPr>
          <w:p w14:paraId="3F99975E" w14:textId="77777777" w:rsidR="00895992" w:rsidRPr="00DE4C17" w:rsidRDefault="00895992" w:rsidP="00A06660">
            <w:pPr>
              <w:jc w:val="both"/>
            </w:pPr>
            <w:r w:rsidRPr="00DE4C17">
              <w:t>Informações Comparativas – Valores Correspondentes e Demonstrações Contábeis Comparativas, itens 13, 14, 16, 17 e 19.</w:t>
            </w:r>
          </w:p>
        </w:tc>
      </w:tr>
      <w:tr w:rsidR="00895992" w:rsidRPr="00DE4C17" w14:paraId="19EB614A" w14:textId="77777777" w:rsidTr="00A06660">
        <w:trPr>
          <w:trHeight w:val="20"/>
          <w:jc w:val="center"/>
        </w:trPr>
        <w:tc>
          <w:tcPr>
            <w:tcW w:w="2972" w:type="dxa"/>
            <w:tcBorders>
              <w:top w:val="nil"/>
              <w:left w:val="single" w:sz="4" w:space="0" w:color="auto"/>
              <w:bottom w:val="single" w:sz="4" w:space="0" w:color="auto"/>
              <w:right w:val="single" w:sz="4" w:space="0" w:color="auto"/>
            </w:tcBorders>
            <w:noWrap/>
            <w:vAlign w:val="center"/>
            <w:hideMark/>
          </w:tcPr>
          <w:p w14:paraId="6DDBFC5C" w14:textId="77777777" w:rsidR="00895992" w:rsidRPr="00DE4C17" w:rsidRDefault="00895992" w:rsidP="00A06660">
            <w:pPr>
              <w:jc w:val="both"/>
            </w:pPr>
            <w:r w:rsidRPr="00DE4C17">
              <w:t>NBC TA 720</w:t>
            </w:r>
          </w:p>
        </w:tc>
        <w:tc>
          <w:tcPr>
            <w:tcW w:w="6159" w:type="dxa"/>
            <w:tcBorders>
              <w:top w:val="nil"/>
              <w:left w:val="nil"/>
              <w:bottom w:val="single" w:sz="4" w:space="0" w:color="auto"/>
              <w:right w:val="single" w:sz="4" w:space="0" w:color="auto"/>
            </w:tcBorders>
            <w:vAlign w:val="center"/>
            <w:hideMark/>
          </w:tcPr>
          <w:p w14:paraId="2B6D448B" w14:textId="77777777" w:rsidR="00895992" w:rsidRPr="00DE4C17" w:rsidRDefault="00895992" w:rsidP="00A06660">
            <w:pPr>
              <w:jc w:val="both"/>
            </w:pPr>
            <w:r w:rsidRPr="00DE4C17">
              <w:t>Responsabilidade do Auditor em Relação a Outras Informações Incluídas em Documentos que Contenham Demonstrações Contábeis Auditadas, item 10(a).</w:t>
            </w:r>
          </w:p>
        </w:tc>
      </w:tr>
    </w:tbl>
    <w:p w14:paraId="760010B9" w14:textId="77777777" w:rsidR="00895992" w:rsidRPr="00DE4C17" w:rsidRDefault="00895992" w:rsidP="00895992">
      <w:pPr>
        <w:jc w:val="center"/>
        <w:rPr>
          <w:bCs/>
          <w:iCs/>
        </w:rPr>
      </w:pPr>
      <w:r w:rsidRPr="00DE4C17">
        <w:t>Fonte: estudo de Silva, Aires e Almeida</w:t>
      </w:r>
      <w:r w:rsidRPr="00DE4C17">
        <w:rPr>
          <w:bCs/>
          <w:iCs/>
        </w:rPr>
        <w:t xml:space="preserve"> (2014, p. 39).</w:t>
      </w:r>
    </w:p>
    <w:p w14:paraId="7B8E75ED" w14:textId="77777777" w:rsidR="00895992" w:rsidRPr="00DE4C17" w:rsidRDefault="00895992" w:rsidP="00895992">
      <w:pPr>
        <w:ind w:firstLine="567"/>
        <w:jc w:val="both"/>
        <w:rPr>
          <w:sz w:val="24"/>
          <w:szCs w:val="24"/>
        </w:rPr>
      </w:pPr>
    </w:p>
    <w:p w14:paraId="234EF485" w14:textId="77777777" w:rsidR="00895992" w:rsidRPr="00DE4C17" w:rsidRDefault="00895992" w:rsidP="00895992">
      <w:pPr>
        <w:ind w:firstLine="567"/>
        <w:jc w:val="both"/>
        <w:rPr>
          <w:sz w:val="24"/>
          <w:szCs w:val="24"/>
        </w:rPr>
      </w:pPr>
      <w:r w:rsidRPr="00DE4C17">
        <w:rPr>
          <w:sz w:val="24"/>
          <w:szCs w:val="24"/>
        </w:rPr>
        <w:t>Com base na Tabela 3, observa-se que na leitura da NBC TA 560 (2009), principalmente no item 16, faz citação específica do parágrafo de ênfase, não prenunciando, o tratamento como parágrafo de outros assuntos. Pode-se concluir que tanto o parágrafo de outros assuntos quanto o de ênfase na maioria dos casos se refere a um assunto não apresentado ou não divulgado nas demonstrações contábeis e que, de acordo com o julgamento do auditor, é relevante para os usuários entenderem a auditoria ou o seu relatório.</w:t>
      </w:r>
    </w:p>
    <w:p w14:paraId="5DA2C7B1" w14:textId="77777777" w:rsidR="00895992" w:rsidRPr="00DE4C17" w:rsidRDefault="00895992" w:rsidP="00895992">
      <w:pPr>
        <w:ind w:firstLine="567"/>
        <w:jc w:val="both"/>
        <w:rPr>
          <w:sz w:val="24"/>
          <w:szCs w:val="24"/>
        </w:rPr>
      </w:pPr>
    </w:p>
    <w:p w14:paraId="48D3BA93" w14:textId="77777777" w:rsidR="00895992" w:rsidRPr="00DE4C17" w:rsidRDefault="00895992" w:rsidP="00895992">
      <w:pPr>
        <w:autoSpaceDE w:val="0"/>
        <w:autoSpaceDN w:val="0"/>
        <w:adjustRightInd w:val="0"/>
        <w:rPr>
          <w:b/>
          <w:bCs/>
          <w:sz w:val="24"/>
          <w:szCs w:val="24"/>
        </w:rPr>
      </w:pPr>
      <w:r w:rsidRPr="00DE4C17">
        <w:rPr>
          <w:b/>
          <w:bCs/>
          <w:sz w:val="24"/>
          <w:szCs w:val="24"/>
        </w:rPr>
        <w:t>3 P</w:t>
      </w:r>
      <w:r w:rsidR="006B462B" w:rsidRPr="00DE4C17">
        <w:rPr>
          <w:b/>
          <w:bCs/>
          <w:sz w:val="24"/>
          <w:szCs w:val="24"/>
        </w:rPr>
        <w:t xml:space="preserve">rocedimentos Metodológicos </w:t>
      </w:r>
    </w:p>
    <w:p w14:paraId="7DA97B1B" w14:textId="2B18F51B" w:rsidR="00895992" w:rsidRPr="00DE4C17" w:rsidRDefault="00895992" w:rsidP="00895992">
      <w:pPr>
        <w:ind w:firstLine="567"/>
        <w:jc w:val="both"/>
        <w:rPr>
          <w:sz w:val="24"/>
          <w:szCs w:val="24"/>
        </w:rPr>
      </w:pPr>
      <w:r w:rsidRPr="00DE4C17">
        <w:rPr>
          <w:sz w:val="24"/>
          <w:szCs w:val="24"/>
        </w:rPr>
        <w:t xml:space="preserve">Este estudo, pode ser classificado segundo Marion, Dias e Traldi (2002) como descritivo, uma vez que procura retratar as características e dados que tem como origem relatórios de opinião de auditoria. Para os autores, esse modelo de pesquisa, não altera nenhum dado coletado mais descreve as particularidades de uma determinada população. </w:t>
      </w:r>
    </w:p>
    <w:p w14:paraId="69E4B59D" w14:textId="1B802C50" w:rsidR="00895992" w:rsidRPr="00DE4C17" w:rsidRDefault="00895992" w:rsidP="00895992">
      <w:pPr>
        <w:ind w:firstLine="567"/>
        <w:jc w:val="both"/>
        <w:rPr>
          <w:sz w:val="24"/>
          <w:szCs w:val="24"/>
        </w:rPr>
      </w:pPr>
      <w:r w:rsidRPr="00DE4C17">
        <w:rPr>
          <w:sz w:val="24"/>
          <w:szCs w:val="24"/>
        </w:rPr>
        <w:t xml:space="preserve">Quanto aos procedimentos utilizados, </w:t>
      </w:r>
      <w:r>
        <w:rPr>
          <w:sz w:val="24"/>
          <w:szCs w:val="24"/>
        </w:rPr>
        <w:t xml:space="preserve">este </w:t>
      </w:r>
      <w:r w:rsidRPr="00DE4C17">
        <w:rPr>
          <w:sz w:val="24"/>
          <w:szCs w:val="24"/>
        </w:rPr>
        <w:t xml:space="preserve">estudo se classifica </w:t>
      </w:r>
      <w:r>
        <w:rPr>
          <w:sz w:val="24"/>
          <w:szCs w:val="24"/>
        </w:rPr>
        <w:t>avaliando o que é definido por</w:t>
      </w:r>
      <w:r w:rsidRPr="00DE4C17">
        <w:rPr>
          <w:sz w:val="24"/>
          <w:szCs w:val="24"/>
        </w:rPr>
        <w:t xml:space="preserve"> Gerhardt e Silveira (2009) como </w:t>
      </w:r>
      <w:r>
        <w:rPr>
          <w:sz w:val="24"/>
          <w:szCs w:val="24"/>
        </w:rPr>
        <w:t xml:space="preserve">uma </w:t>
      </w:r>
      <w:r w:rsidRPr="00DE4C17">
        <w:rPr>
          <w:sz w:val="24"/>
          <w:szCs w:val="24"/>
        </w:rPr>
        <w:t xml:space="preserve">pesquisa de caráter documental pelo fato de ter sido </w:t>
      </w:r>
      <w:r w:rsidRPr="00DE4C17">
        <w:rPr>
          <w:sz w:val="24"/>
          <w:szCs w:val="24"/>
        </w:rPr>
        <w:lastRenderedPageBreak/>
        <w:t>coletado os relatórios dos auditores independentes das empresas estudadas, que serão essenciais para a análise e por sua vez são considerados documentos.</w:t>
      </w:r>
      <w:r>
        <w:rPr>
          <w:sz w:val="24"/>
          <w:szCs w:val="24"/>
        </w:rPr>
        <w:t xml:space="preserve"> </w:t>
      </w:r>
      <w:r w:rsidRPr="00DE4C17">
        <w:rPr>
          <w:sz w:val="24"/>
          <w:szCs w:val="24"/>
        </w:rPr>
        <w:t>Já no aspecto da abordagem do problema, pode ser classificada, como qualitativa, tendo em vista que a obtenção dos dados sobre o relatório de opinião do auditor ocorreu mediante contato direto e interativo do pesquisador com a situação estudada, o que de acordo com Godoy (1995) é uma forma de melhor compreensão da variável pesquisada, visto demonstrar um perfil mais completo e real dos fatos que tendem a caracterizar a problemática analisada.</w:t>
      </w:r>
    </w:p>
    <w:p w14:paraId="06183D27" w14:textId="777FE54C" w:rsidR="00895992" w:rsidRDefault="00895992" w:rsidP="00895992">
      <w:pPr>
        <w:ind w:firstLine="567"/>
        <w:jc w:val="both"/>
        <w:rPr>
          <w:sz w:val="24"/>
          <w:szCs w:val="24"/>
        </w:rPr>
      </w:pPr>
      <w:r>
        <w:rPr>
          <w:sz w:val="24"/>
          <w:szCs w:val="24"/>
        </w:rPr>
        <w:t xml:space="preserve">Para realização da pesquisa foi necessário analisar todos os relatórios de opinião emitidos pelos auditores independentes em relação as demonstrações contábeis divulgadas referentes ao exercício social de 2016. A amostra de pesquisa foi composta por todas as companhias de capital aberto que apresentavam registro de participação na </w:t>
      </w:r>
      <w:r w:rsidRPr="00DE4C17">
        <w:rPr>
          <w:sz w:val="24"/>
          <w:szCs w:val="24"/>
        </w:rPr>
        <w:t>BM&amp;FBOVESPA</w:t>
      </w:r>
      <w:r>
        <w:rPr>
          <w:sz w:val="24"/>
          <w:szCs w:val="24"/>
        </w:rPr>
        <w:t xml:space="preserve"> no momento de consulta em setembro de 2017. Ao todo </w:t>
      </w:r>
      <w:r w:rsidR="007E1313">
        <w:rPr>
          <w:sz w:val="24"/>
          <w:szCs w:val="24"/>
        </w:rPr>
        <w:t xml:space="preserve">foram </w:t>
      </w:r>
      <w:r>
        <w:rPr>
          <w:sz w:val="24"/>
          <w:szCs w:val="24"/>
        </w:rPr>
        <w:t xml:space="preserve">identificadas 396 companhias com registro e ativas na comercialização de ações no mercado </w:t>
      </w:r>
      <w:r w:rsidRPr="00DE4C17">
        <w:rPr>
          <w:sz w:val="24"/>
          <w:szCs w:val="24"/>
        </w:rPr>
        <w:t>BM&amp;FBOVESPA</w:t>
      </w:r>
      <w:r>
        <w:rPr>
          <w:sz w:val="24"/>
          <w:szCs w:val="24"/>
        </w:rPr>
        <w:t>. Entretanto, a amostra final foi de 391 companhias, pois no momento de verificação das informações contábeis observou-se que cinco companhias que eram listadas estavam</w:t>
      </w:r>
      <w:r w:rsidRPr="00DE4C17">
        <w:rPr>
          <w:sz w:val="24"/>
          <w:szCs w:val="24"/>
        </w:rPr>
        <w:t xml:space="preserve"> com seus relatórios de opinião indisponíveis ou ainda não publicados</w:t>
      </w:r>
      <w:r>
        <w:rPr>
          <w:sz w:val="24"/>
          <w:szCs w:val="24"/>
        </w:rPr>
        <w:t>.</w:t>
      </w:r>
    </w:p>
    <w:p w14:paraId="6AEEB0F8" w14:textId="77777777" w:rsidR="00895992" w:rsidRDefault="00895992" w:rsidP="00895992">
      <w:pPr>
        <w:ind w:firstLine="567"/>
        <w:jc w:val="both"/>
        <w:rPr>
          <w:sz w:val="24"/>
          <w:szCs w:val="24"/>
        </w:rPr>
      </w:pPr>
      <w:r>
        <w:rPr>
          <w:sz w:val="24"/>
          <w:szCs w:val="24"/>
        </w:rPr>
        <w:t xml:space="preserve">Todas as demonstrações contábeis com seus respectivos relatórios de opinião referente ao exercício social de 2016 foram obtidos por meio do sitio da </w:t>
      </w:r>
      <w:r w:rsidRPr="00DE4C17">
        <w:rPr>
          <w:sz w:val="24"/>
          <w:szCs w:val="24"/>
        </w:rPr>
        <w:t>BM&amp;FBOVESPA</w:t>
      </w:r>
      <w:r>
        <w:rPr>
          <w:sz w:val="24"/>
          <w:szCs w:val="24"/>
        </w:rPr>
        <w:t xml:space="preserve"> ou então no site da CVM. As informações foram coletadas no mês de setembro de 2017. Na ocasião foram observados os relatórios referente apenas ao ano de 2016, por ser esse o primeiro exercício social no qual deveriam ser aplicáveis as diretrizes atualizadas do NRA no processo de auditoria das demonstrações contábeis publicadas. </w:t>
      </w:r>
    </w:p>
    <w:p w14:paraId="620815F3" w14:textId="77777777" w:rsidR="00895992" w:rsidRDefault="00895992" w:rsidP="00895992">
      <w:pPr>
        <w:ind w:firstLine="567"/>
        <w:jc w:val="both"/>
        <w:rPr>
          <w:sz w:val="24"/>
          <w:szCs w:val="24"/>
        </w:rPr>
      </w:pPr>
      <w:r>
        <w:rPr>
          <w:sz w:val="24"/>
          <w:szCs w:val="24"/>
        </w:rPr>
        <w:t>Após a coleta dos dados estes foram organizados com o auxílio de uma planilha eletrônica em duas categorias diferentes, a primeira relacionando as características das companhias, como i</w:t>
      </w:r>
      <w:r w:rsidRPr="00DE4C17">
        <w:rPr>
          <w:sz w:val="24"/>
          <w:szCs w:val="24"/>
        </w:rPr>
        <w:t>) nível de governança corporativa;</w:t>
      </w:r>
      <w:r>
        <w:rPr>
          <w:sz w:val="24"/>
          <w:szCs w:val="24"/>
        </w:rPr>
        <w:t xml:space="preserve"> </w:t>
      </w:r>
      <w:r w:rsidRPr="00DE4C17">
        <w:rPr>
          <w:sz w:val="24"/>
          <w:szCs w:val="24"/>
        </w:rPr>
        <w:t>ii) classificação setorial; i</w:t>
      </w:r>
      <w:r>
        <w:rPr>
          <w:sz w:val="24"/>
          <w:szCs w:val="24"/>
        </w:rPr>
        <w:t>ii</w:t>
      </w:r>
      <w:r w:rsidRPr="00DE4C17">
        <w:rPr>
          <w:sz w:val="24"/>
          <w:szCs w:val="24"/>
        </w:rPr>
        <w:t>) tipo de relatório de opinião; v) data da finalização do relatório; vi) auditoria independente que em</w:t>
      </w:r>
      <w:r>
        <w:rPr>
          <w:sz w:val="24"/>
          <w:szCs w:val="24"/>
        </w:rPr>
        <w:t xml:space="preserve">itiram os relatórios estudados. Por meio dos dados organizados foi possível aplicar </w:t>
      </w:r>
      <w:r w:rsidRPr="00DE4C17">
        <w:rPr>
          <w:sz w:val="24"/>
          <w:szCs w:val="24"/>
        </w:rPr>
        <w:t>a estatística descritiva uma vez que segundo Farias e Laurencel (2008), a estatística descritiva permite sintetizar, apresentar e compreender os dados de uma determinada realidade.</w:t>
      </w:r>
    </w:p>
    <w:p w14:paraId="6B3EEEDB" w14:textId="77777777" w:rsidR="00895992" w:rsidRPr="00DE4C17" w:rsidRDefault="00895992" w:rsidP="00895992">
      <w:pPr>
        <w:ind w:firstLine="567"/>
        <w:jc w:val="both"/>
        <w:rPr>
          <w:sz w:val="24"/>
          <w:szCs w:val="24"/>
        </w:rPr>
      </w:pPr>
      <w:r>
        <w:rPr>
          <w:sz w:val="24"/>
          <w:szCs w:val="24"/>
        </w:rPr>
        <w:t>Além disso também foram identificadas informações especificas no próprio relatório de opinião, sendo elas a</w:t>
      </w:r>
      <w:r w:rsidRPr="00DE4C17">
        <w:rPr>
          <w:sz w:val="24"/>
          <w:szCs w:val="24"/>
        </w:rPr>
        <w:t>) quantidade de</w:t>
      </w:r>
      <w:r>
        <w:rPr>
          <w:sz w:val="24"/>
          <w:szCs w:val="24"/>
        </w:rPr>
        <w:t xml:space="preserve"> empresas que emitiram </w:t>
      </w:r>
      <w:r w:rsidRPr="00DE4C17">
        <w:rPr>
          <w:sz w:val="24"/>
          <w:szCs w:val="24"/>
        </w:rPr>
        <w:t>o parágrafo de ênfase</w:t>
      </w:r>
      <w:r>
        <w:rPr>
          <w:sz w:val="24"/>
          <w:szCs w:val="24"/>
        </w:rPr>
        <w:t xml:space="preserve">; b) quantidade de assuntos abordados no </w:t>
      </w:r>
      <w:r w:rsidRPr="00DE4C17">
        <w:rPr>
          <w:sz w:val="24"/>
          <w:szCs w:val="24"/>
        </w:rPr>
        <w:t>parágrafo de ênfase</w:t>
      </w:r>
      <w:r>
        <w:rPr>
          <w:sz w:val="24"/>
          <w:szCs w:val="24"/>
        </w:rPr>
        <w:t xml:space="preserve">; c) </w:t>
      </w:r>
      <w:r w:rsidRPr="00DE4C17">
        <w:rPr>
          <w:sz w:val="24"/>
          <w:szCs w:val="24"/>
        </w:rPr>
        <w:t>c</w:t>
      </w:r>
      <w:r>
        <w:rPr>
          <w:sz w:val="24"/>
          <w:szCs w:val="24"/>
        </w:rPr>
        <w:t>onteúdo do parágrafo de ênfase;</w:t>
      </w:r>
      <w:r w:rsidRPr="00DE4C17">
        <w:rPr>
          <w:sz w:val="24"/>
          <w:szCs w:val="24"/>
        </w:rPr>
        <w:t xml:space="preserve"> </w:t>
      </w:r>
      <w:r>
        <w:rPr>
          <w:sz w:val="24"/>
          <w:szCs w:val="24"/>
        </w:rPr>
        <w:t>d</w:t>
      </w:r>
      <w:r w:rsidRPr="00DE4C17">
        <w:rPr>
          <w:sz w:val="24"/>
          <w:szCs w:val="24"/>
        </w:rPr>
        <w:t>) quantidade de</w:t>
      </w:r>
      <w:r>
        <w:rPr>
          <w:sz w:val="24"/>
          <w:szCs w:val="24"/>
        </w:rPr>
        <w:t xml:space="preserve"> empresas que emitiram</w:t>
      </w:r>
      <w:r w:rsidRPr="00DE4C17">
        <w:rPr>
          <w:sz w:val="24"/>
          <w:szCs w:val="24"/>
        </w:rPr>
        <w:t xml:space="preserve"> </w:t>
      </w:r>
      <w:r>
        <w:rPr>
          <w:sz w:val="24"/>
          <w:szCs w:val="24"/>
        </w:rPr>
        <w:t xml:space="preserve">o parágrafo de outros assuntos; e) quantidade de assuntos abordados no </w:t>
      </w:r>
      <w:r w:rsidRPr="00DE4C17">
        <w:rPr>
          <w:sz w:val="24"/>
          <w:szCs w:val="24"/>
        </w:rPr>
        <w:t xml:space="preserve">parágrafo de </w:t>
      </w:r>
      <w:r>
        <w:rPr>
          <w:sz w:val="24"/>
          <w:szCs w:val="24"/>
        </w:rPr>
        <w:t xml:space="preserve">outros assuntos; e f) </w:t>
      </w:r>
      <w:r w:rsidRPr="00DE4C17">
        <w:rPr>
          <w:sz w:val="24"/>
          <w:szCs w:val="24"/>
        </w:rPr>
        <w:t>c</w:t>
      </w:r>
      <w:r>
        <w:rPr>
          <w:sz w:val="24"/>
          <w:szCs w:val="24"/>
        </w:rPr>
        <w:t>onteúdo do parágrafo de outros assuntos.</w:t>
      </w:r>
      <w:r w:rsidRPr="00DE4C17">
        <w:rPr>
          <w:sz w:val="24"/>
          <w:szCs w:val="24"/>
        </w:rPr>
        <w:t xml:space="preserve"> </w:t>
      </w:r>
      <w:r>
        <w:rPr>
          <w:sz w:val="24"/>
          <w:szCs w:val="24"/>
        </w:rPr>
        <w:t xml:space="preserve">Nessas informações foi aplicado a técnica de análise de conteúdo com a intenção de identificar o tipo de informação que os auditores esperam transmitir para aqueles que tomem como base o relatório de opinião para melhor entendimento e conhecimento da forma de condução de elaboração e apresentação. </w:t>
      </w:r>
    </w:p>
    <w:p w14:paraId="685E30C1" w14:textId="77777777" w:rsidR="00895992" w:rsidRPr="00DE4C17" w:rsidRDefault="00895992" w:rsidP="00895992">
      <w:pPr>
        <w:ind w:firstLine="567"/>
        <w:jc w:val="both"/>
        <w:rPr>
          <w:sz w:val="24"/>
          <w:szCs w:val="24"/>
        </w:rPr>
      </w:pPr>
    </w:p>
    <w:p w14:paraId="00815D38" w14:textId="77777777" w:rsidR="00895992" w:rsidRPr="00DE4C17" w:rsidRDefault="00895992" w:rsidP="00895992">
      <w:pPr>
        <w:widowControl w:val="0"/>
        <w:rPr>
          <w:b/>
          <w:sz w:val="24"/>
          <w:szCs w:val="24"/>
        </w:rPr>
      </w:pPr>
      <w:r w:rsidRPr="00DE4C17">
        <w:rPr>
          <w:b/>
          <w:sz w:val="24"/>
          <w:szCs w:val="24"/>
        </w:rPr>
        <w:t>4 R</w:t>
      </w:r>
      <w:r w:rsidR="006B462B">
        <w:rPr>
          <w:b/>
          <w:sz w:val="24"/>
          <w:szCs w:val="24"/>
        </w:rPr>
        <w:t>esultados e</w:t>
      </w:r>
      <w:r w:rsidR="006B462B" w:rsidRPr="00DE4C17">
        <w:rPr>
          <w:b/>
          <w:sz w:val="24"/>
          <w:szCs w:val="24"/>
        </w:rPr>
        <w:t xml:space="preserve"> Discussões</w:t>
      </w:r>
    </w:p>
    <w:p w14:paraId="7DE1DF8B" w14:textId="4182EC8E" w:rsidR="00895992" w:rsidRPr="00DE4C17" w:rsidRDefault="00895992" w:rsidP="00895992">
      <w:pPr>
        <w:ind w:firstLine="567"/>
        <w:jc w:val="both"/>
        <w:rPr>
          <w:sz w:val="24"/>
          <w:szCs w:val="24"/>
        </w:rPr>
      </w:pPr>
      <w:r w:rsidRPr="00DE4C17">
        <w:rPr>
          <w:sz w:val="24"/>
          <w:szCs w:val="24"/>
        </w:rPr>
        <w:t>Nesta seção são apresentados</w:t>
      </w:r>
      <w:r w:rsidR="00873942">
        <w:rPr>
          <w:sz w:val="24"/>
          <w:szCs w:val="24"/>
        </w:rPr>
        <w:t xml:space="preserve">, </w:t>
      </w:r>
      <w:r w:rsidR="00873942" w:rsidRPr="00DE4C17">
        <w:rPr>
          <w:sz w:val="24"/>
          <w:szCs w:val="24"/>
        </w:rPr>
        <w:t>por meio de tabelas e gráficos</w:t>
      </w:r>
      <w:r w:rsidR="00873942">
        <w:rPr>
          <w:sz w:val="24"/>
          <w:szCs w:val="24"/>
        </w:rPr>
        <w:t>,</w:t>
      </w:r>
      <w:r w:rsidRPr="00DE4C17">
        <w:rPr>
          <w:sz w:val="24"/>
          <w:szCs w:val="24"/>
        </w:rPr>
        <w:t xml:space="preserve"> os resultados encontrados avaliando os dados coletados</w:t>
      </w:r>
      <w:r w:rsidR="00873942">
        <w:rPr>
          <w:sz w:val="24"/>
          <w:szCs w:val="24"/>
        </w:rPr>
        <w:t>.</w:t>
      </w:r>
    </w:p>
    <w:p w14:paraId="5D49CC29" w14:textId="32E6767A" w:rsidR="00895992" w:rsidRPr="00DE4C17" w:rsidRDefault="00895992" w:rsidP="00895992">
      <w:pPr>
        <w:ind w:firstLine="567"/>
        <w:jc w:val="both"/>
        <w:rPr>
          <w:sz w:val="24"/>
          <w:szCs w:val="24"/>
        </w:rPr>
      </w:pPr>
      <w:r w:rsidRPr="00DE4C17">
        <w:rPr>
          <w:sz w:val="24"/>
          <w:szCs w:val="24"/>
        </w:rPr>
        <w:t>Primeiramente</w:t>
      </w:r>
      <w:r w:rsidR="00873942">
        <w:rPr>
          <w:sz w:val="24"/>
          <w:szCs w:val="24"/>
        </w:rPr>
        <w:t xml:space="preserve"> utilizando da estatística descritiva</w:t>
      </w:r>
      <w:r w:rsidRPr="00DE4C17">
        <w:rPr>
          <w:sz w:val="24"/>
          <w:szCs w:val="24"/>
        </w:rPr>
        <w:t xml:space="preserve">, procurou-se identificar o perfil das empresas listadas que compõem a base de dados do estudo e apresentar as informações </w:t>
      </w:r>
      <w:r w:rsidRPr="00DE4C17">
        <w:rPr>
          <w:sz w:val="24"/>
          <w:szCs w:val="24"/>
        </w:rPr>
        <w:lastRenderedPageBreak/>
        <w:t xml:space="preserve">encontradas a respeito da amostra estudada, iniciando-se pelo segmento nos quais estão inseridas. </w:t>
      </w:r>
    </w:p>
    <w:p w14:paraId="7780EF42" w14:textId="6627C31E" w:rsidR="00895992" w:rsidRPr="00DE4C17" w:rsidRDefault="00AC7ED0" w:rsidP="00895992">
      <w:pPr>
        <w:ind w:firstLine="567"/>
        <w:jc w:val="both"/>
        <w:rPr>
          <w:sz w:val="24"/>
          <w:szCs w:val="24"/>
        </w:rPr>
      </w:pPr>
      <w:r w:rsidRPr="00DE4C17">
        <w:rPr>
          <w:sz w:val="24"/>
          <w:szCs w:val="24"/>
        </w:rPr>
        <w:t>Observ</w:t>
      </w:r>
      <w:r>
        <w:rPr>
          <w:sz w:val="24"/>
          <w:szCs w:val="24"/>
        </w:rPr>
        <w:t>ou</w:t>
      </w:r>
      <w:r w:rsidR="00895992" w:rsidRPr="00DE4C17">
        <w:rPr>
          <w:sz w:val="24"/>
          <w:szCs w:val="24"/>
        </w:rPr>
        <w:t>-se que é majoritári</w:t>
      </w:r>
      <w:r w:rsidR="00895992">
        <w:rPr>
          <w:sz w:val="24"/>
          <w:szCs w:val="24"/>
        </w:rPr>
        <w:t>a</w:t>
      </w:r>
      <w:r w:rsidR="00895992" w:rsidRPr="00DE4C17">
        <w:rPr>
          <w:sz w:val="24"/>
          <w:szCs w:val="24"/>
        </w:rPr>
        <w:t xml:space="preserve"> a participação das empresas no nível Tradicional Bovespa, com 50,64%</w:t>
      </w:r>
      <w:r w:rsidR="00951B7D">
        <w:rPr>
          <w:sz w:val="24"/>
          <w:szCs w:val="24"/>
        </w:rPr>
        <w:t xml:space="preserve"> (198)</w:t>
      </w:r>
      <w:r w:rsidR="00895992" w:rsidRPr="00DE4C17">
        <w:rPr>
          <w:sz w:val="24"/>
          <w:szCs w:val="24"/>
        </w:rPr>
        <w:t xml:space="preserve">, seguidas do Novo Mercado, com </w:t>
      </w:r>
      <w:r w:rsidR="00951B7D">
        <w:rPr>
          <w:sz w:val="24"/>
          <w:szCs w:val="24"/>
        </w:rPr>
        <w:t>130 (</w:t>
      </w:r>
      <w:r w:rsidR="00895992" w:rsidRPr="00DE4C17">
        <w:rPr>
          <w:sz w:val="24"/>
          <w:szCs w:val="24"/>
        </w:rPr>
        <w:t>33,25%</w:t>
      </w:r>
      <w:r w:rsidR="00951B7D">
        <w:rPr>
          <w:sz w:val="24"/>
          <w:szCs w:val="24"/>
        </w:rPr>
        <w:t>)</w:t>
      </w:r>
      <w:r w:rsidR="00811044">
        <w:rPr>
          <w:sz w:val="24"/>
          <w:szCs w:val="24"/>
        </w:rPr>
        <w:t>, as demais companhias (16,11%) são listadas em níveis de governança, como Nível 1, 2 e Bovespa Mais</w:t>
      </w:r>
      <w:r w:rsidR="00895992" w:rsidRPr="00DE4C17">
        <w:rPr>
          <w:sz w:val="24"/>
          <w:szCs w:val="24"/>
        </w:rPr>
        <w:t>. Acredita-se que mais de 50%</w:t>
      </w:r>
      <w:r w:rsidR="00951B7D">
        <w:rPr>
          <w:sz w:val="24"/>
          <w:szCs w:val="24"/>
        </w:rPr>
        <w:t xml:space="preserve"> </w:t>
      </w:r>
      <w:r w:rsidR="00895992" w:rsidRPr="00DE4C17">
        <w:rPr>
          <w:sz w:val="24"/>
          <w:szCs w:val="24"/>
        </w:rPr>
        <w:t xml:space="preserve">das empresas estudadas que estão listadas </w:t>
      </w:r>
      <w:r w:rsidR="00951B7D">
        <w:rPr>
          <w:sz w:val="24"/>
          <w:szCs w:val="24"/>
        </w:rPr>
        <w:t>optaram pelo</w:t>
      </w:r>
      <w:r w:rsidR="00895992" w:rsidRPr="00DE4C17">
        <w:rPr>
          <w:sz w:val="24"/>
          <w:szCs w:val="24"/>
        </w:rPr>
        <w:t xml:space="preserve"> nível Tradicional pelo fato de possuir regras mais simples de apresentação. Ao contrário do segmento Novo Mercado juntamente com os demais níveis propõe à comercialização de ações dadas por organizações que se empenham, de modo espontâneo, com a adoção de práticas de governança corporativa adicionais às previstas na legislação. </w:t>
      </w:r>
    </w:p>
    <w:p w14:paraId="28679DEE" w14:textId="77777777" w:rsidR="00895992" w:rsidRPr="00DE4C17" w:rsidRDefault="00895992" w:rsidP="00895992">
      <w:pPr>
        <w:ind w:firstLine="567"/>
        <w:jc w:val="both"/>
        <w:rPr>
          <w:sz w:val="24"/>
          <w:szCs w:val="24"/>
        </w:rPr>
      </w:pPr>
      <w:r w:rsidRPr="00DE4C17">
        <w:rPr>
          <w:sz w:val="24"/>
          <w:szCs w:val="24"/>
        </w:rPr>
        <w:t>Segundo a BM&amp;FBOVESPA (2017), exceto para o Tradicional, os demais segmentos de listagem prezam por regras de governança corporativas diferenciadas. Essas regras vão além das obrigações que as companhias têm perante a Lei das So</w:t>
      </w:r>
      <w:r>
        <w:rPr>
          <w:sz w:val="24"/>
          <w:szCs w:val="24"/>
        </w:rPr>
        <w:t>ciedades por Ações (Lei das S.A</w:t>
      </w:r>
      <w:r w:rsidRPr="00DE4C17">
        <w:rPr>
          <w:sz w:val="24"/>
          <w:szCs w:val="24"/>
        </w:rPr>
        <w:t xml:space="preserve">) e têm como objetivo melhorar a avaliação daquelas que decidem aderir, voluntariamente, a um desses segmentos de listagem. </w:t>
      </w:r>
    </w:p>
    <w:p w14:paraId="2A227D1E" w14:textId="1E7545C5" w:rsidR="00895992" w:rsidRPr="00DE4C17" w:rsidRDefault="00895992" w:rsidP="00895992">
      <w:pPr>
        <w:ind w:firstLine="567"/>
        <w:jc w:val="both"/>
        <w:rPr>
          <w:sz w:val="24"/>
          <w:szCs w:val="24"/>
        </w:rPr>
      </w:pPr>
      <w:r w:rsidRPr="00DE4C17">
        <w:rPr>
          <w:sz w:val="24"/>
          <w:szCs w:val="24"/>
        </w:rPr>
        <w:t xml:space="preserve">Na Tabela </w:t>
      </w:r>
      <w:r w:rsidR="00557849">
        <w:rPr>
          <w:sz w:val="24"/>
          <w:szCs w:val="24"/>
        </w:rPr>
        <w:t>4</w:t>
      </w:r>
      <w:r w:rsidR="00557849" w:rsidRPr="00DE4C17">
        <w:rPr>
          <w:sz w:val="24"/>
          <w:szCs w:val="24"/>
        </w:rPr>
        <w:t xml:space="preserve"> </w:t>
      </w:r>
      <w:r w:rsidRPr="00DE4C17">
        <w:rPr>
          <w:sz w:val="24"/>
          <w:szCs w:val="24"/>
        </w:rPr>
        <w:t>é demonstrado o modelo de emissão dos relatórios de opinião dos auditores e os respectivos níveis de governança.</w:t>
      </w:r>
    </w:p>
    <w:p w14:paraId="0826B095" w14:textId="77777777" w:rsidR="00895992" w:rsidRPr="00DE4C17" w:rsidRDefault="00895992" w:rsidP="00895992">
      <w:pPr>
        <w:ind w:firstLine="567"/>
        <w:jc w:val="both"/>
        <w:rPr>
          <w:sz w:val="24"/>
          <w:szCs w:val="24"/>
        </w:rPr>
      </w:pPr>
    </w:p>
    <w:p w14:paraId="4F50FEF2" w14:textId="14025150" w:rsidR="00895992" w:rsidRPr="00DE4C17" w:rsidRDefault="00895992" w:rsidP="00895992">
      <w:pPr>
        <w:jc w:val="center"/>
        <w:rPr>
          <w:b/>
        </w:rPr>
      </w:pPr>
      <w:r w:rsidRPr="00DE4C17">
        <w:rPr>
          <w:bCs/>
        </w:rPr>
        <w:t xml:space="preserve">Tabela </w:t>
      </w:r>
      <w:r w:rsidR="00557849">
        <w:rPr>
          <w:bCs/>
        </w:rPr>
        <w:t>4</w:t>
      </w:r>
      <w:r w:rsidRPr="00DE4C17">
        <w:rPr>
          <w:bCs/>
        </w:rPr>
        <w:t xml:space="preserve">: Modelos de relatórios de opinião emitidos </w:t>
      </w:r>
    </w:p>
    <w:tbl>
      <w:tblPr>
        <w:tblW w:w="9348" w:type="dxa"/>
        <w:jc w:val="center"/>
        <w:tblCellMar>
          <w:left w:w="70" w:type="dxa"/>
          <w:right w:w="70" w:type="dxa"/>
        </w:tblCellMar>
        <w:tblLook w:val="04A0" w:firstRow="1" w:lastRow="0" w:firstColumn="1" w:lastColumn="0" w:noHBand="0" w:noVBand="1"/>
      </w:tblPr>
      <w:tblGrid>
        <w:gridCol w:w="1931"/>
        <w:gridCol w:w="942"/>
        <w:gridCol w:w="885"/>
        <w:gridCol w:w="1185"/>
        <w:gridCol w:w="1166"/>
        <w:gridCol w:w="884"/>
        <w:gridCol w:w="736"/>
        <w:gridCol w:w="735"/>
        <w:gridCol w:w="884"/>
      </w:tblGrid>
      <w:tr w:rsidR="00895992" w:rsidRPr="00DE4C17" w14:paraId="4BE723D3" w14:textId="77777777" w:rsidTr="0071485C">
        <w:trPr>
          <w:trHeight w:val="20"/>
          <w:jc w:val="center"/>
        </w:trPr>
        <w:tc>
          <w:tcPr>
            <w:tcW w:w="1931" w:type="dxa"/>
            <w:tcBorders>
              <w:top w:val="single" w:sz="8" w:space="0" w:color="auto"/>
              <w:left w:val="nil"/>
              <w:bottom w:val="nil"/>
              <w:right w:val="single" w:sz="4" w:space="0" w:color="auto"/>
            </w:tcBorders>
            <w:shd w:val="clear" w:color="000000" w:fill="DDD9C4"/>
            <w:vAlign w:val="center"/>
            <w:hideMark/>
          </w:tcPr>
          <w:p w14:paraId="71517A4E" w14:textId="77777777" w:rsidR="00895992" w:rsidRPr="00DE4C17" w:rsidRDefault="00895992" w:rsidP="0071485C">
            <w:pPr>
              <w:jc w:val="center"/>
              <w:rPr>
                <w:b/>
                <w:bCs/>
              </w:rPr>
            </w:pPr>
            <w:r w:rsidRPr="00DE4C17">
              <w:rPr>
                <w:b/>
                <w:bCs/>
              </w:rPr>
              <w:t>Nível de Governança / Relatórios de opinião</w:t>
            </w:r>
          </w:p>
        </w:tc>
        <w:tc>
          <w:tcPr>
            <w:tcW w:w="942" w:type="dxa"/>
            <w:tcBorders>
              <w:top w:val="single" w:sz="8" w:space="0" w:color="auto"/>
              <w:left w:val="nil"/>
              <w:bottom w:val="nil"/>
              <w:right w:val="single" w:sz="4" w:space="0" w:color="auto"/>
            </w:tcBorders>
            <w:shd w:val="clear" w:color="000000" w:fill="DDD9C4"/>
            <w:vAlign w:val="center"/>
            <w:hideMark/>
          </w:tcPr>
          <w:p w14:paraId="5DCDEDDB" w14:textId="77777777" w:rsidR="00895992" w:rsidRPr="00DE4C17" w:rsidRDefault="00895992" w:rsidP="0071485C">
            <w:pPr>
              <w:jc w:val="center"/>
              <w:rPr>
                <w:b/>
                <w:bCs/>
              </w:rPr>
            </w:pPr>
            <w:r w:rsidRPr="00DE4C17">
              <w:rPr>
                <w:b/>
                <w:bCs/>
              </w:rPr>
              <w:t>Novo Mercado</w:t>
            </w:r>
          </w:p>
        </w:tc>
        <w:tc>
          <w:tcPr>
            <w:tcW w:w="885" w:type="dxa"/>
            <w:tcBorders>
              <w:top w:val="single" w:sz="8" w:space="0" w:color="auto"/>
              <w:left w:val="nil"/>
              <w:bottom w:val="nil"/>
              <w:right w:val="single" w:sz="4" w:space="0" w:color="auto"/>
            </w:tcBorders>
            <w:shd w:val="clear" w:color="000000" w:fill="DDD9C4"/>
            <w:vAlign w:val="center"/>
            <w:hideMark/>
          </w:tcPr>
          <w:p w14:paraId="402ADD93" w14:textId="77777777" w:rsidR="00895992" w:rsidRPr="00DE4C17" w:rsidRDefault="00895992" w:rsidP="0071485C">
            <w:pPr>
              <w:jc w:val="center"/>
              <w:rPr>
                <w:b/>
                <w:bCs/>
              </w:rPr>
            </w:pPr>
            <w:r w:rsidRPr="00DE4C17">
              <w:rPr>
                <w:b/>
                <w:bCs/>
              </w:rPr>
              <w:t>Bovespa Mais</w:t>
            </w:r>
          </w:p>
        </w:tc>
        <w:tc>
          <w:tcPr>
            <w:tcW w:w="1185" w:type="dxa"/>
            <w:tcBorders>
              <w:top w:val="single" w:sz="8" w:space="0" w:color="auto"/>
              <w:left w:val="nil"/>
              <w:bottom w:val="nil"/>
              <w:right w:val="single" w:sz="4" w:space="0" w:color="auto"/>
            </w:tcBorders>
            <w:shd w:val="clear" w:color="000000" w:fill="DDD9C4"/>
            <w:vAlign w:val="center"/>
            <w:hideMark/>
          </w:tcPr>
          <w:p w14:paraId="47832346" w14:textId="77777777" w:rsidR="00895992" w:rsidRPr="00DE4C17" w:rsidRDefault="00895992" w:rsidP="0071485C">
            <w:pPr>
              <w:jc w:val="center"/>
              <w:rPr>
                <w:b/>
                <w:bCs/>
              </w:rPr>
            </w:pPr>
            <w:r w:rsidRPr="00DE4C17">
              <w:rPr>
                <w:b/>
                <w:bCs/>
              </w:rPr>
              <w:t>Tradicional Bovespa</w:t>
            </w:r>
          </w:p>
        </w:tc>
        <w:tc>
          <w:tcPr>
            <w:tcW w:w="1166" w:type="dxa"/>
            <w:tcBorders>
              <w:top w:val="single" w:sz="8" w:space="0" w:color="auto"/>
              <w:left w:val="nil"/>
              <w:bottom w:val="nil"/>
              <w:right w:val="single" w:sz="4" w:space="0" w:color="auto"/>
            </w:tcBorders>
            <w:shd w:val="clear" w:color="000000" w:fill="DDD9C4"/>
            <w:vAlign w:val="center"/>
            <w:hideMark/>
          </w:tcPr>
          <w:p w14:paraId="0CED0A3A" w14:textId="77777777" w:rsidR="00895992" w:rsidRPr="00DE4C17" w:rsidRDefault="00895992" w:rsidP="0071485C">
            <w:pPr>
              <w:jc w:val="center"/>
              <w:rPr>
                <w:b/>
                <w:bCs/>
              </w:rPr>
            </w:pPr>
            <w:r w:rsidRPr="00DE4C17">
              <w:rPr>
                <w:b/>
                <w:bCs/>
              </w:rPr>
              <w:t>Bovespa Mais Nível 2</w:t>
            </w:r>
          </w:p>
        </w:tc>
        <w:tc>
          <w:tcPr>
            <w:tcW w:w="884" w:type="dxa"/>
            <w:tcBorders>
              <w:top w:val="single" w:sz="8" w:space="0" w:color="auto"/>
              <w:left w:val="nil"/>
              <w:bottom w:val="nil"/>
              <w:right w:val="single" w:sz="4" w:space="0" w:color="auto"/>
            </w:tcBorders>
            <w:shd w:val="clear" w:color="000000" w:fill="DDD9C4"/>
            <w:vAlign w:val="center"/>
            <w:hideMark/>
          </w:tcPr>
          <w:p w14:paraId="7CAE05B8" w14:textId="77777777" w:rsidR="00895992" w:rsidRPr="00DE4C17" w:rsidRDefault="00895992" w:rsidP="0071485C">
            <w:pPr>
              <w:jc w:val="center"/>
              <w:rPr>
                <w:b/>
                <w:bCs/>
              </w:rPr>
            </w:pPr>
            <w:r w:rsidRPr="00DE4C17">
              <w:rPr>
                <w:b/>
                <w:bCs/>
              </w:rPr>
              <w:t>Nível 1</w:t>
            </w:r>
          </w:p>
        </w:tc>
        <w:tc>
          <w:tcPr>
            <w:tcW w:w="736" w:type="dxa"/>
            <w:tcBorders>
              <w:top w:val="single" w:sz="8" w:space="0" w:color="auto"/>
              <w:left w:val="nil"/>
              <w:bottom w:val="nil"/>
              <w:right w:val="nil"/>
            </w:tcBorders>
            <w:shd w:val="clear" w:color="000000" w:fill="DDD9C4"/>
            <w:vAlign w:val="center"/>
            <w:hideMark/>
          </w:tcPr>
          <w:p w14:paraId="3B1E5BF4" w14:textId="77777777" w:rsidR="00895992" w:rsidRPr="00DE4C17" w:rsidRDefault="00895992" w:rsidP="0071485C">
            <w:pPr>
              <w:jc w:val="center"/>
              <w:rPr>
                <w:b/>
                <w:bCs/>
              </w:rPr>
            </w:pPr>
            <w:r w:rsidRPr="00DE4C17">
              <w:rPr>
                <w:b/>
                <w:bCs/>
              </w:rPr>
              <w:t>Nível 2</w:t>
            </w:r>
          </w:p>
        </w:tc>
        <w:tc>
          <w:tcPr>
            <w:tcW w:w="735" w:type="dxa"/>
            <w:tcBorders>
              <w:top w:val="single" w:sz="8" w:space="0" w:color="auto"/>
              <w:left w:val="single" w:sz="8" w:space="0" w:color="auto"/>
              <w:bottom w:val="nil"/>
              <w:right w:val="single" w:sz="4" w:space="0" w:color="auto"/>
            </w:tcBorders>
            <w:shd w:val="clear" w:color="000000" w:fill="DDD9C4"/>
            <w:vAlign w:val="center"/>
            <w:hideMark/>
          </w:tcPr>
          <w:p w14:paraId="16BA8014" w14:textId="77777777" w:rsidR="00895992" w:rsidRPr="00DE4C17" w:rsidRDefault="00895992" w:rsidP="0071485C">
            <w:pPr>
              <w:jc w:val="center"/>
              <w:rPr>
                <w:b/>
                <w:bCs/>
              </w:rPr>
            </w:pPr>
            <w:r w:rsidRPr="00DE4C17">
              <w:rPr>
                <w:b/>
                <w:bCs/>
              </w:rPr>
              <w:t>Total</w:t>
            </w:r>
          </w:p>
        </w:tc>
        <w:tc>
          <w:tcPr>
            <w:tcW w:w="884" w:type="dxa"/>
            <w:tcBorders>
              <w:top w:val="single" w:sz="8" w:space="0" w:color="auto"/>
              <w:left w:val="nil"/>
              <w:bottom w:val="nil"/>
              <w:right w:val="nil"/>
            </w:tcBorders>
            <w:shd w:val="clear" w:color="000000" w:fill="DDD9C4"/>
            <w:vAlign w:val="center"/>
            <w:hideMark/>
          </w:tcPr>
          <w:p w14:paraId="0BD029FA" w14:textId="77777777" w:rsidR="00895992" w:rsidRPr="00DE4C17" w:rsidRDefault="00895992" w:rsidP="0071485C">
            <w:pPr>
              <w:jc w:val="center"/>
              <w:rPr>
                <w:b/>
                <w:bCs/>
              </w:rPr>
            </w:pPr>
            <w:r w:rsidRPr="00DE4C17">
              <w:rPr>
                <w:b/>
                <w:bCs/>
              </w:rPr>
              <w:t>Freq (%)</w:t>
            </w:r>
          </w:p>
        </w:tc>
      </w:tr>
      <w:tr w:rsidR="00895992" w:rsidRPr="00DE4C17" w14:paraId="7CE62E44" w14:textId="77777777" w:rsidTr="00A06660">
        <w:trPr>
          <w:trHeight w:val="20"/>
          <w:jc w:val="center"/>
        </w:trPr>
        <w:tc>
          <w:tcPr>
            <w:tcW w:w="1931" w:type="dxa"/>
            <w:tcBorders>
              <w:top w:val="single" w:sz="8" w:space="0" w:color="auto"/>
              <w:left w:val="nil"/>
              <w:bottom w:val="single" w:sz="4" w:space="0" w:color="auto"/>
              <w:right w:val="single" w:sz="4" w:space="0" w:color="auto"/>
            </w:tcBorders>
            <w:shd w:val="clear" w:color="auto" w:fill="auto"/>
            <w:vAlign w:val="center"/>
            <w:hideMark/>
          </w:tcPr>
          <w:p w14:paraId="7D5644D8" w14:textId="77777777" w:rsidR="00895992" w:rsidRPr="00DE4C17" w:rsidRDefault="00895992" w:rsidP="0071485C">
            <w:r w:rsidRPr="00DE4C17">
              <w:t>Sem Ressalva</w:t>
            </w:r>
          </w:p>
        </w:tc>
        <w:tc>
          <w:tcPr>
            <w:tcW w:w="942" w:type="dxa"/>
            <w:tcBorders>
              <w:top w:val="single" w:sz="8" w:space="0" w:color="auto"/>
              <w:left w:val="nil"/>
              <w:bottom w:val="single" w:sz="4" w:space="0" w:color="auto"/>
              <w:right w:val="single" w:sz="4" w:space="0" w:color="auto"/>
            </w:tcBorders>
            <w:shd w:val="clear" w:color="auto" w:fill="auto"/>
            <w:vAlign w:val="center"/>
            <w:hideMark/>
          </w:tcPr>
          <w:p w14:paraId="719C0196" w14:textId="77777777" w:rsidR="00895992" w:rsidRPr="00DE4C17" w:rsidRDefault="00895992" w:rsidP="00A06660">
            <w:pPr>
              <w:jc w:val="center"/>
            </w:pPr>
            <w:r w:rsidRPr="00DE4C17">
              <w:t>125</w:t>
            </w:r>
          </w:p>
        </w:tc>
        <w:tc>
          <w:tcPr>
            <w:tcW w:w="885" w:type="dxa"/>
            <w:tcBorders>
              <w:top w:val="single" w:sz="8" w:space="0" w:color="auto"/>
              <w:left w:val="nil"/>
              <w:bottom w:val="single" w:sz="4" w:space="0" w:color="auto"/>
              <w:right w:val="single" w:sz="4" w:space="0" w:color="auto"/>
            </w:tcBorders>
            <w:shd w:val="clear" w:color="auto" w:fill="auto"/>
            <w:vAlign w:val="center"/>
            <w:hideMark/>
          </w:tcPr>
          <w:p w14:paraId="08F5BFB9" w14:textId="77777777" w:rsidR="00895992" w:rsidRPr="00DE4C17" w:rsidRDefault="00895992" w:rsidP="00A06660">
            <w:pPr>
              <w:jc w:val="center"/>
            </w:pPr>
            <w:r w:rsidRPr="00DE4C17">
              <w:t>13</w:t>
            </w:r>
          </w:p>
        </w:tc>
        <w:tc>
          <w:tcPr>
            <w:tcW w:w="1185" w:type="dxa"/>
            <w:tcBorders>
              <w:top w:val="single" w:sz="8" w:space="0" w:color="auto"/>
              <w:left w:val="nil"/>
              <w:bottom w:val="single" w:sz="4" w:space="0" w:color="auto"/>
              <w:right w:val="single" w:sz="4" w:space="0" w:color="auto"/>
            </w:tcBorders>
            <w:shd w:val="clear" w:color="auto" w:fill="auto"/>
            <w:vAlign w:val="center"/>
            <w:hideMark/>
          </w:tcPr>
          <w:p w14:paraId="56C8C2CB" w14:textId="77777777" w:rsidR="00895992" w:rsidRPr="00DE4C17" w:rsidRDefault="00895992" w:rsidP="00A06660">
            <w:pPr>
              <w:jc w:val="center"/>
            </w:pPr>
            <w:r w:rsidRPr="00DE4C17">
              <w:t>181</w:t>
            </w:r>
          </w:p>
        </w:tc>
        <w:tc>
          <w:tcPr>
            <w:tcW w:w="1166" w:type="dxa"/>
            <w:tcBorders>
              <w:top w:val="single" w:sz="8" w:space="0" w:color="auto"/>
              <w:left w:val="nil"/>
              <w:bottom w:val="single" w:sz="4" w:space="0" w:color="auto"/>
              <w:right w:val="single" w:sz="4" w:space="0" w:color="auto"/>
            </w:tcBorders>
            <w:shd w:val="clear" w:color="auto" w:fill="auto"/>
            <w:vAlign w:val="center"/>
            <w:hideMark/>
          </w:tcPr>
          <w:p w14:paraId="6EE5D47D" w14:textId="77777777" w:rsidR="00895992" w:rsidRPr="00DE4C17" w:rsidRDefault="00895992" w:rsidP="00A06660">
            <w:pPr>
              <w:jc w:val="center"/>
            </w:pPr>
            <w:r w:rsidRPr="00DE4C17">
              <w:t>2</w:t>
            </w:r>
          </w:p>
        </w:tc>
        <w:tc>
          <w:tcPr>
            <w:tcW w:w="884" w:type="dxa"/>
            <w:tcBorders>
              <w:top w:val="single" w:sz="8" w:space="0" w:color="auto"/>
              <w:left w:val="nil"/>
              <w:bottom w:val="single" w:sz="4" w:space="0" w:color="auto"/>
              <w:right w:val="single" w:sz="4" w:space="0" w:color="auto"/>
            </w:tcBorders>
            <w:shd w:val="clear" w:color="auto" w:fill="auto"/>
            <w:vAlign w:val="center"/>
            <w:hideMark/>
          </w:tcPr>
          <w:p w14:paraId="0215AB16" w14:textId="77777777" w:rsidR="00895992" w:rsidRPr="00DE4C17" w:rsidRDefault="00895992" w:rsidP="00A06660">
            <w:pPr>
              <w:jc w:val="center"/>
            </w:pPr>
            <w:r w:rsidRPr="00DE4C17">
              <w:t>27</w:t>
            </w:r>
          </w:p>
        </w:tc>
        <w:tc>
          <w:tcPr>
            <w:tcW w:w="736" w:type="dxa"/>
            <w:tcBorders>
              <w:top w:val="single" w:sz="8" w:space="0" w:color="auto"/>
              <w:left w:val="nil"/>
              <w:bottom w:val="single" w:sz="4" w:space="0" w:color="auto"/>
              <w:right w:val="nil"/>
            </w:tcBorders>
            <w:shd w:val="clear" w:color="auto" w:fill="auto"/>
            <w:vAlign w:val="center"/>
            <w:hideMark/>
          </w:tcPr>
          <w:p w14:paraId="14511F38" w14:textId="77777777" w:rsidR="00895992" w:rsidRPr="00DE4C17" w:rsidRDefault="00895992" w:rsidP="00A06660">
            <w:pPr>
              <w:jc w:val="center"/>
            </w:pPr>
            <w:r w:rsidRPr="00DE4C17">
              <w:t>20</w:t>
            </w:r>
          </w:p>
        </w:tc>
        <w:tc>
          <w:tcPr>
            <w:tcW w:w="735" w:type="dxa"/>
            <w:tcBorders>
              <w:top w:val="single" w:sz="8" w:space="0" w:color="auto"/>
              <w:left w:val="single" w:sz="8" w:space="0" w:color="auto"/>
              <w:bottom w:val="single" w:sz="4" w:space="0" w:color="auto"/>
              <w:right w:val="nil"/>
            </w:tcBorders>
            <w:shd w:val="clear" w:color="auto" w:fill="auto"/>
            <w:vAlign w:val="center"/>
            <w:hideMark/>
          </w:tcPr>
          <w:p w14:paraId="072771FA" w14:textId="77777777" w:rsidR="00895992" w:rsidRPr="00DE4C17" w:rsidRDefault="00895992" w:rsidP="00A06660">
            <w:pPr>
              <w:jc w:val="center"/>
            </w:pPr>
            <w:r w:rsidRPr="00DE4C17">
              <w:t>368</w:t>
            </w:r>
          </w:p>
        </w:tc>
        <w:tc>
          <w:tcPr>
            <w:tcW w:w="884" w:type="dxa"/>
            <w:tcBorders>
              <w:top w:val="single" w:sz="8" w:space="0" w:color="auto"/>
              <w:left w:val="single" w:sz="4" w:space="0" w:color="auto"/>
              <w:bottom w:val="single" w:sz="4" w:space="0" w:color="auto"/>
              <w:right w:val="nil"/>
            </w:tcBorders>
            <w:shd w:val="clear" w:color="auto" w:fill="auto"/>
            <w:vAlign w:val="center"/>
            <w:hideMark/>
          </w:tcPr>
          <w:p w14:paraId="0F4C4B01" w14:textId="77777777" w:rsidR="00895992" w:rsidRPr="00DE4C17" w:rsidRDefault="00895992" w:rsidP="00873942">
            <w:pPr>
              <w:jc w:val="center"/>
              <w:rPr>
                <w:b/>
                <w:bCs/>
              </w:rPr>
            </w:pPr>
            <w:r w:rsidRPr="00DE4C17">
              <w:rPr>
                <w:b/>
                <w:bCs/>
              </w:rPr>
              <w:t>94,12%</w:t>
            </w:r>
          </w:p>
        </w:tc>
      </w:tr>
      <w:tr w:rsidR="00895992" w:rsidRPr="00DE4C17" w14:paraId="3C9CFFC8" w14:textId="77777777" w:rsidTr="00A06660">
        <w:trPr>
          <w:trHeight w:val="20"/>
          <w:jc w:val="center"/>
        </w:trPr>
        <w:tc>
          <w:tcPr>
            <w:tcW w:w="1931" w:type="dxa"/>
            <w:tcBorders>
              <w:top w:val="nil"/>
              <w:left w:val="nil"/>
              <w:bottom w:val="single" w:sz="4" w:space="0" w:color="auto"/>
              <w:right w:val="single" w:sz="4" w:space="0" w:color="auto"/>
            </w:tcBorders>
            <w:shd w:val="clear" w:color="auto" w:fill="auto"/>
            <w:vAlign w:val="center"/>
            <w:hideMark/>
          </w:tcPr>
          <w:p w14:paraId="2589DCCB" w14:textId="77777777" w:rsidR="00895992" w:rsidRPr="00DE4C17" w:rsidRDefault="00895992" w:rsidP="0071485C">
            <w:r w:rsidRPr="00DE4C17">
              <w:t>Com Ressalva</w:t>
            </w:r>
          </w:p>
        </w:tc>
        <w:tc>
          <w:tcPr>
            <w:tcW w:w="942" w:type="dxa"/>
            <w:tcBorders>
              <w:top w:val="nil"/>
              <w:left w:val="nil"/>
              <w:bottom w:val="single" w:sz="4" w:space="0" w:color="auto"/>
              <w:right w:val="single" w:sz="4" w:space="0" w:color="auto"/>
            </w:tcBorders>
            <w:shd w:val="clear" w:color="auto" w:fill="auto"/>
            <w:vAlign w:val="center"/>
            <w:hideMark/>
          </w:tcPr>
          <w:p w14:paraId="34E8156A" w14:textId="77777777" w:rsidR="00895992" w:rsidRPr="00DE4C17" w:rsidRDefault="00895992" w:rsidP="00A06660">
            <w:pPr>
              <w:jc w:val="center"/>
            </w:pPr>
            <w:r w:rsidRPr="00DE4C17">
              <w:t>1</w:t>
            </w:r>
          </w:p>
        </w:tc>
        <w:tc>
          <w:tcPr>
            <w:tcW w:w="885" w:type="dxa"/>
            <w:tcBorders>
              <w:top w:val="nil"/>
              <w:left w:val="nil"/>
              <w:bottom w:val="single" w:sz="4" w:space="0" w:color="auto"/>
              <w:right w:val="single" w:sz="4" w:space="0" w:color="auto"/>
            </w:tcBorders>
            <w:shd w:val="clear" w:color="auto" w:fill="auto"/>
            <w:vAlign w:val="center"/>
            <w:hideMark/>
          </w:tcPr>
          <w:p w14:paraId="468A49CA" w14:textId="77777777" w:rsidR="00895992" w:rsidRPr="00DE4C17" w:rsidRDefault="00895992" w:rsidP="00A06660">
            <w:pPr>
              <w:jc w:val="center"/>
            </w:pPr>
            <w:r w:rsidRPr="00DE4C17">
              <w:t>0</w:t>
            </w:r>
          </w:p>
        </w:tc>
        <w:tc>
          <w:tcPr>
            <w:tcW w:w="1185" w:type="dxa"/>
            <w:tcBorders>
              <w:top w:val="nil"/>
              <w:left w:val="nil"/>
              <w:bottom w:val="single" w:sz="4" w:space="0" w:color="auto"/>
              <w:right w:val="single" w:sz="4" w:space="0" w:color="auto"/>
            </w:tcBorders>
            <w:shd w:val="clear" w:color="auto" w:fill="auto"/>
            <w:vAlign w:val="center"/>
            <w:hideMark/>
          </w:tcPr>
          <w:p w14:paraId="423DB2C2" w14:textId="77777777" w:rsidR="00895992" w:rsidRPr="00DE4C17" w:rsidRDefault="00895992" w:rsidP="00A06660">
            <w:pPr>
              <w:jc w:val="center"/>
            </w:pPr>
            <w:r w:rsidRPr="00DE4C17">
              <w:t>13</w:t>
            </w:r>
          </w:p>
        </w:tc>
        <w:tc>
          <w:tcPr>
            <w:tcW w:w="1166" w:type="dxa"/>
            <w:tcBorders>
              <w:top w:val="nil"/>
              <w:left w:val="nil"/>
              <w:bottom w:val="single" w:sz="4" w:space="0" w:color="auto"/>
              <w:right w:val="single" w:sz="4" w:space="0" w:color="auto"/>
            </w:tcBorders>
            <w:shd w:val="clear" w:color="auto" w:fill="auto"/>
            <w:vAlign w:val="center"/>
            <w:hideMark/>
          </w:tcPr>
          <w:p w14:paraId="53FF974A" w14:textId="77777777" w:rsidR="00895992" w:rsidRPr="00DE4C17" w:rsidRDefault="00895992" w:rsidP="00A06660">
            <w:pPr>
              <w:jc w:val="center"/>
            </w:pPr>
            <w:r w:rsidRPr="00DE4C17">
              <w:t>0</w:t>
            </w:r>
          </w:p>
        </w:tc>
        <w:tc>
          <w:tcPr>
            <w:tcW w:w="884" w:type="dxa"/>
            <w:tcBorders>
              <w:top w:val="nil"/>
              <w:left w:val="nil"/>
              <w:bottom w:val="single" w:sz="4" w:space="0" w:color="auto"/>
              <w:right w:val="single" w:sz="4" w:space="0" w:color="auto"/>
            </w:tcBorders>
            <w:shd w:val="clear" w:color="auto" w:fill="auto"/>
            <w:vAlign w:val="center"/>
            <w:hideMark/>
          </w:tcPr>
          <w:p w14:paraId="0F5BD16B" w14:textId="77777777" w:rsidR="00895992" w:rsidRPr="00DE4C17" w:rsidRDefault="00895992" w:rsidP="00A06660">
            <w:pPr>
              <w:jc w:val="center"/>
            </w:pPr>
            <w:r w:rsidRPr="00DE4C17">
              <w:t>0</w:t>
            </w:r>
          </w:p>
        </w:tc>
        <w:tc>
          <w:tcPr>
            <w:tcW w:w="736" w:type="dxa"/>
            <w:tcBorders>
              <w:top w:val="nil"/>
              <w:left w:val="nil"/>
              <w:bottom w:val="single" w:sz="4" w:space="0" w:color="auto"/>
              <w:right w:val="nil"/>
            </w:tcBorders>
            <w:shd w:val="clear" w:color="auto" w:fill="auto"/>
            <w:vAlign w:val="center"/>
            <w:hideMark/>
          </w:tcPr>
          <w:p w14:paraId="507DC00D" w14:textId="77777777" w:rsidR="00895992" w:rsidRPr="00DE4C17" w:rsidRDefault="00895992" w:rsidP="00A06660">
            <w:pPr>
              <w:jc w:val="center"/>
            </w:pPr>
            <w:r w:rsidRPr="00DE4C17">
              <w:t>0</w:t>
            </w:r>
          </w:p>
        </w:tc>
        <w:tc>
          <w:tcPr>
            <w:tcW w:w="735" w:type="dxa"/>
            <w:tcBorders>
              <w:top w:val="nil"/>
              <w:left w:val="single" w:sz="8" w:space="0" w:color="auto"/>
              <w:bottom w:val="single" w:sz="4" w:space="0" w:color="auto"/>
              <w:right w:val="nil"/>
            </w:tcBorders>
            <w:shd w:val="clear" w:color="auto" w:fill="auto"/>
            <w:vAlign w:val="center"/>
            <w:hideMark/>
          </w:tcPr>
          <w:p w14:paraId="033D85D2" w14:textId="77777777" w:rsidR="00895992" w:rsidRPr="00DE4C17" w:rsidRDefault="00895992" w:rsidP="00A06660">
            <w:pPr>
              <w:jc w:val="center"/>
            </w:pPr>
            <w:r w:rsidRPr="00DE4C17">
              <w:t>14</w:t>
            </w:r>
          </w:p>
        </w:tc>
        <w:tc>
          <w:tcPr>
            <w:tcW w:w="884" w:type="dxa"/>
            <w:tcBorders>
              <w:top w:val="nil"/>
              <w:left w:val="single" w:sz="4" w:space="0" w:color="auto"/>
              <w:bottom w:val="single" w:sz="4" w:space="0" w:color="auto"/>
              <w:right w:val="nil"/>
            </w:tcBorders>
            <w:shd w:val="clear" w:color="auto" w:fill="auto"/>
            <w:vAlign w:val="center"/>
            <w:hideMark/>
          </w:tcPr>
          <w:p w14:paraId="6A438D9F" w14:textId="77777777" w:rsidR="00895992" w:rsidRPr="00DE4C17" w:rsidRDefault="00895992" w:rsidP="00873942">
            <w:pPr>
              <w:jc w:val="center"/>
              <w:rPr>
                <w:b/>
                <w:bCs/>
              </w:rPr>
            </w:pPr>
            <w:r w:rsidRPr="00DE4C17">
              <w:rPr>
                <w:b/>
                <w:bCs/>
              </w:rPr>
              <w:t>3,58%</w:t>
            </w:r>
          </w:p>
        </w:tc>
      </w:tr>
      <w:tr w:rsidR="00895992" w:rsidRPr="00DE4C17" w14:paraId="114746FB" w14:textId="77777777" w:rsidTr="00A06660">
        <w:trPr>
          <w:trHeight w:val="20"/>
          <w:jc w:val="center"/>
        </w:trPr>
        <w:tc>
          <w:tcPr>
            <w:tcW w:w="1931" w:type="dxa"/>
            <w:tcBorders>
              <w:top w:val="nil"/>
              <w:left w:val="nil"/>
              <w:bottom w:val="single" w:sz="8" w:space="0" w:color="auto"/>
              <w:right w:val="single" w:sz="4" w:space="0" w:color="auto"/>
            </w:tcBorders>
            <w:shd w:val="clear" w:color="auto" w:fill="auto"/>
            <w:vAlign w:val="center"/>
            <w:hideMark/>
          </w:tcPr>
          <w:p w14:paraId="6E0D5F2A" w14:textId="77777777" w:rsidR="00895992" w:rsidRPr="00DE4C17" w:rsidRDefault="00895992" w:rsidP="0071485C">
            <w:r w:rsidRPr="00DE4C17">
              <w:t>Negativa de Opinião</w:t>
            </w:r>
          </w:p>
        </w:tc>
        <w:tc>
          <w:tcPr>
            <w:tcW w:w="942" w:type="dxa"/>
            <w:tcBorders>
              <w:top w:val="nil"/>
              <w:left w:val="nil"/>
              <w:bottom w:val="single" w:sz="8" w:space="0" w:color="auto"/>
              <w:right w:val="single" w:sz="4" w:space="0" w:color="auto"/>
            </w:tcBorders>
            <w:shd w:val="clear" w:color="auto" w:fill="auto"/>
            <w:vAlign w:val="center"/>
            <w:hideMark/>
          </w:tcPr>
          <w:p w14:paraId="1208C15A" w14:textId="77777777" w:rsidR="00895992" w:rsidRPr="00DE4C17" w:rsidRDefault="00895992" w:rsidP="00A06660">
            <w:pPr>
              <w:jc w:val="center"/>
            </w:pPr>
            <w:r w:rsidRPr="00DE4C17">
              <w:t>4</w:t>
            </w:r>
          </w:p>
        </w:tc>
        <w:tc>
          <w:tcPr>
            <w:tcW w:w="885" w:type="dxa"/>
            <w:tcBorders>
              <w:top w:val="nil"/>
              <w:left w:val="nil"/>
              <w:bottom w:val="single" w:sz="8" w:space="0" w:color="auto"/>
              <w:right w:val="single" w:sz="4" w:space="0" w:color="auto"/>
            </w:tcBorders>
            <w:shd w:val="clear" w:color="auto" w:fill="auto"/>
            <w:vAlign w:val="center"/>
            <w:hideMark/>
          </w:tcPr>
          <w:p w14:paraId="74EE4D2B" w14:textId="77777777" w:rsidR="00895992" w:rsidRPr="00DE4C17" w:rsidRDefault="00895992" w:rsidP="00A06660">
            <w:pPr>
              <w:jc w:val="center"/>
            </w:pPr>
            <w:r w:rsidRPr="00DE4C17">
              <w:t>0</w:t>
            </w:r>
          </w:p>
        </w:tc>
        <w:tc>
          <w:tcPr>
            <w:tcW w:w="1185" w:type="dxa"/>
            <w:tcBorders>
              <w:top w:val="nil"/>
              <w:left w:val="nil"/>
              <w:bottom w:val="single" w:sz="8" w:space="0" w:color="auto"/>
              <w:right w:val="single" w:sz="4" w:space="0" w:color="auto"/>
            </w:tcBorders>
            <w:shd w:val="clear" w:color="auto" w:fill="auto"/>
            <w:vAlign w:val="center"/>
            <w:hideMark/>
          </w:tcPr>
          <w:p w14:paraId="751362A7" w14:textId="77777777" w:rsidR="00895992" w:rsidRPr="00DE4C17" w:rsidRDefault="00895992" w:rsidP="00A06660">
            <w:pPr>
              <w:jc w:val="center"/>
            </w:pPr>
            <w:r w:rsidRPr="00DE4C17">
              <w:t>4</w:t>
            </w:r>
          </w:p>
        </w:tc>
        <w:tc>
          <w:tcPr>
            <w:tcW w:w="1166" w:type="dxa"/>
            <w:tcBorders>
              <w:top w:val="nil"/>
              <w:left w:val="nil"/>
              <w:bottom w:val="single" w:sz="8" w:space="0" w:color="auto"/>
              <w:right w:val="single" w:sz="4" w:space="0" w:color="auto"/>
            </w:tcBorders>
            <w:shd w:val="clear" w:color="auto" w:fill="auto"/>
            <w:vAlign w:val="center"/>
            <w:hideMark/>
          </w:tcPr>
          <w:p w14:paraId="03BCA093" w14:textId="77777777" w:rsidR="00895992" w:rsidRPr="00DE4C17" w:rsidRDefault="00895992" w:rsidP="00A06660">
            <w:pPr>
              <w:jc w:val="center"/>
            </w:pPr>
            <w:r w:rsidRPr="00DE4C17">
              <w:t>0</w:t>
            </w:r>
          </w:p>
        </w:tc>
        <w:tc>
          <w:tcPr>
            <w:tcW w:w="884" w:type="dxa"/>
            <w:tcBorders>
              <w:top w:val="nil"/>
              <w:left w:val="nil"/>
              <w:bottom w:val="single" w:sz="8" w:space="0" w:color="auto"/>
              <w:right w:val="single" w:sz="4" w:space="0" w:color="auto"/>
            </w:tcBorders>
            <w:shd w:val="clear" w:color="auto" w:fill="auto"/>
            <w:vAlign w:val="center"/>
            <w:hideMark/>
          </w:tcPr>
          <w:p w14:paraId="7668DD46" w14:textId="77777777" w:rsidR="00895992" w:rsidRPr="00DE4C17" w:rsidRDefault="00895992" w:rsidP="00A06660">
            <w:pPr>
              <w:jc w:val="center"/>
            </w:pPr>
            <w:r w:rsidRPr="00DE4C17">
              <w:t>1</w:t>
            </w:r>
          </w:p>
        </w:tc>
        <w:tc>
          <w:tcPr>
            <w:tcW w:w="736" w:type="dxa"/>
            <w:tcBorders>
              <w:top w:val="nil"/>
              <w:left w:val="nil"/>
              <w:bottom w:val="single" w:sz="8" w:space="0" w:color="auto"/>
              <w:right w:val="nil"/>
            </w:tcBorders>
            <w:shd w:val="clear" w:color="auto" w:fill="auto"/>
            <w:vAlign w:val="center"/>
            <w:hideMark/>
          </w:tcPr>
          <w:p w14:paraId="2FFDB746" w14:textId="77777777" w:rsidR="00895992" w:rsidRPr="00DE4C17" w:rsidRDefault="00895992" w:rsidP="00A06660">
            <w:pPr>
              <w:jc w:val="center"/>
            </w:pPr>
            <w:r w:rsidRPr="00DE4C17">
              <w:t>0</w:t>
            </w:r>
          </w:p>
        </w:tc>
        <w:tc>
          <w:tcPr>
            <w:tcW w:w="735" w:type="dxa"/>
            <w:tcBorders>
              <w:top w:val="nil"/>
              <w:left w:val="single" w:sz="8" w:space="0" w:color="auto"/>
              <w:bottom w:val="single" w:sz="8" w:space="0" w:color="auto"/>
              <w:right w:val="nil"/>
            </w:tcBorders>
            <w:shd w:val="clear" w:color="auto" w:fill="auto"/>
            <w:vAlign w:val="center"/>
            <w:hideMark/>
          </w:tcPr>
          <w:p w14:paraId="336CC130" w14:textId="77777777" w:rsidR="00895992" w:rsidRPr="00DE4C17" w:rsidRDefault="00895992" w:rsidP="00A06660">
            <w:pPr>
              <w:jc w:val="center"/>
            </w:pPr>
            <w:r w:rsidRPr="00DE4C17">
              <w:t>9</w:t>
            </w:r>
          </w:p>
        </w:tc>
        <w:tc>
          <w:tcPr>
            <w:tcW w:w="884" w:type="dxa"/>
            <w:tcBorders>
              <w:top w:val="nil"/>
              <w:left w:val="single" w:sz="4" w:space="0" w:color="auto"/>
              <w:bottom w:val="single" w:sz="8" w:space="0" w:color="auto"/>
              <w:right w:val="nil"/>
            </w:tcBorders>
            <w:shd w:val="clear" w:color="auto" w:fill="auto"/>
            <w:vAlign w:val="center"/>
            <w:hideMark/>
          </w:tcPr>
          <w:p w14:paraId="6E3C1039" w14:textId="77777777" w:rsidR="00895992" w:rsidRPr="00DE4C17" w:rsidRDefault="00895992" w:rsidP="00873942">
            <w:pPr>
              <w:jc w:val="center"/>
              <w:rPr>
                <w:b/>
                <w:bCs/>
              </w:rPr>
            </w:pPr>
            <w:r w:rsidRPr="00DE4C17">
              <w:rPr>
                <w:b/>
                <w:bCs/>
              </w:rPr>
              <w:t>2,30%</w:t>
            </w:r>
          </w:p>
        </w:tc>
      </w:tr>
    </w:tbl>
    <w:p w14:paraId="767AD0CA" w14:textId="4F0CA97C" w:rsidR="00895992" w:rsidRPr="00DE4C17" w:rsidRDefault="00895992" w:rsidP="00895992">
      <w:pPr>
        <w:jc w:val="center"/>
      </w:pPr>
      <w:r w:rsidRPr="00DE4C17">
        <w:t xml:space="preserve">Fonte: </w:t>
      </w:r>
      <w:r w:rsidR="00873942" w:rsidRPr="00DE4C17">
        <w:t>Elaborad</w:t>
      </w:r>
      <w:r w:rsidR="00873942">
        <w:t>a</w:t>
      </w:r>
      <w:r w:rsidR="00873942" w:rsidRPr="00DE4C17">
        <w:t xml:space="preserve"> pel</w:t>
      </w:r>
      <w:r w:rsidR="00873942">
        <w:t>os</w:t>
      </w:r>
      <w:r w:rsidR="00873942" w:rsidRPr="00DE4C17">
        <w:t xml:space="preserve"> autor</w:t>
      </w:r>
      <w:r w:rsidR="00873942">
        <w:t>es</w:t>
      </w:r>
      <w:r w:rsidR="00873942" w:rsidRPr="00DE4C17">
        <w:t xml:space="preserve"> </w:t>
      </w:r>
      <w:r w:rsidRPr="00DE4C17">
        <w:t>com base na coleta de dados</w:t>
      </w:r>
    </w:p>
    <w:p w14:paraId="60A8CBC5" w14:textId="77777777" w:rsidR="00895992" w:rsidRPr="00DE4C17" w:rsidRDefault="00895992" w:rsidP="00895992">
      <w:pPr>
        <w:ind w:firstLine="567"/>
        <w:jc w:val="both"/>
        <w:rPr>
          <w:sz w:val="24"/>
          <w:szCs w:val="24"/>
        </w:rPr>
      </w:pPr>
    </w:p>
    <w:p w14:paraId="469E1E1B" w14:textId="1F16CEFC" w:rsidR="00895992" w:rsidRPr="00DE4C17" w:rsidRDefault="00895992" w:rsidP="00895992">
      <w:pPr>
        <w:ind w:firstLine="567"/>
        <w:jc w:val="both"/>
        <w:rPr>
          <w:sz w:val="24"/>
          <w:szCs w:val="24"/>
        </w:rPr>
      </w:pPr>
      <w:r w:rsidRPr="00DE4C17">
        <w:rPr>
          <w:sz w:val="24"/>
          <w:szCs w:val="24"/>
        </w:rPr>
        <w:t xml:space="preserve">Em relação ao total de empresas analisadas, observa-se com base na Tabela </w:t>
      </w:r>
      <w:r w:rsidR="00557849">
        <w:rPr>
          <w:sz w:val="24"/>
          <w:szCs w:val="24"/>
        </w:rPr>
        <w:t>4</w:t>
      </w:r>
      <w:r w:rsidR="00557849" w:rsidRPr="00DE4C17">
        <w:rPr>
          <w:sz w:val="24"/>
          <w:szCs w:val="24"/>
        </w:rPr>
        <w:t xml:space="preserve"> </w:t>
      </w:r>
      <w:r w:rsidRPr="00DE4C17">
        <w:rPr>
          <w:sz w:val="24"/>
          <w:szCs w:val="24"/>
        </w:rPr>
        <w:t xml:space="preserve">que o maior número de relatórios de opinião emitidos, tiveram seus relatórios de opinião sem ressalva, sendo que o percentual de empresas nesse modelo foi de 94,12%. Neste sentido, afirma-se que a maioria das empresas as demonstrações financeiras e contábeis foram elaboradas conforme as normas de contabilidade e que se foi encontrado alguma distorção ela não foi relevante o suficiente para ser relatado. Tais resultados corroboram com os dados do estudo de Cunha, Beuren e Pereira (2009), segundo sua pesquisa, os autores constataram que 75,76% das empresas analisadas apresentaram o relatório de opinião sem ressalva, </w:t>
      </w:r>
      <w:r w:rsidR="005F4D63">
        <w:rPr>
          <w:sz w:val="24"/>
          <w:szCs w:val="24"/>
        </w:rPr>
        <w:t>com isso percebe-se que</w:t>
      </w:r>
      <w:r w:rsidRPr="00DE4C17">
        <w:rPr>
          <w:sz w:val="24"/>
          <w:szCs w:val="24"/>
        </w:rPr>
        <w:t xml:space="preserve"> a grande maioria dos relatórios de opinião emitidos pelos auditores independentes não possuem ressalva.</w:t>
      </w:r>
    </w:p>
    <w:p w14:paraId="3AF5CDF9" w14:textId="77777777" w:rsidR="00895992" w:rsidRPr="00DE4C17" w:rsidRDefault="00895992" w:rsidP="00895992">
      <w:pPr>
        <w:ind w:firstLine="567"/>
        <w:jc w:val="both"/>
        <w:rPr>
          <w:sz w:val="24"/>
          <w:szCs w:val="24"/>
        </w:rPr>
      </w:pPr>
      <w:r w:rsidRPr="00DE4C17">
        <w:rPr>
          <w:sz w:val="24"/>
          <w:szCs w:val="24"/>
        </w:rPr>
        <w:t>No que diz respeito às empresas que emitiram seus relatórios de opinião com ressalva, das empresas listadas apenas 14 emitiram nesse modelo, ou seja, apenas 3,58% do total de empresas. Pode-se afirmar que o auditor observou algum tipo de distorção relevante durante a análise das informações das empresas, mais que o efeito de qualquer discordância ou restrição na extensão dessas empresas não é generalizado a ponto de requerer um relatório adverso ou negativo de opinião.</w:t>
      </w:r>
    </w:p>
    <w:p w14:paraId="02EB8CF9" w14:textId="77777777" w:rsidR="00895992" w:rsidRPr="00DE4C17" w:rsidRDefault="00895992" w:rsidP="00895992">
      <w:pPr>
        <w:ind w:firstLine="567"/>
        <w:jc w:val="both"/>
        <w:rPr>
          <w:sz w:val="24"/>
          <w:szCs w:val="24"/>
        </w:rPr>
      </w:pPr>
      <w:r w:rsidRPr="00DE4C17">
        <w:rPr>
          <w:sz w:val="24"/>
          <w:szCs w:val="24"/>
        </w:rPr>
        <w:t xml:space="preserve">Quanto aos relatórios de opinião emitidos, foram identificadas nove empresas que correspondem a 2,30% das organizações listadas e todas foram emitidas como Negativa de Opinião. Sugere-se que nesses casos o auditor não conseguiu obter evidências suficientes para </w:t>
      </w:r>
      <w:r w:rsidRPr="00DE4C17">
        <w:rPr>
          <w:sz w:val="24"/>
          <w:szCs w:val="24"/>
        </w:rPr>
        <w:lastRenderedPageBreak/>
        <w:t>embasar sua opinião, e ele conclui que essas possíveis distorções poderiam ser importantes e merecem uma atenção especial, conforme previsto na NBC TA 705, item 07-15.</w:t>
      </w:r>
    </w:p>
    <w:p w14:paraId="218BD2D3" w14:textId="490F6C31" w:rsidR="00895992" w:rsidRPr="00DE4C17" w:rsidRDefault="00895992" w:rsidP="00895992">
      <w:pPr>
        <w:ind w:firstLine="567"/>
        <w:jc w:val="both"/>
        <w:rPr>
          <w:sz w:val="24"/>
          <w:szCs w:val="24"/>
        </w:rPr>
      </w:pPr>
      <w:r w:rsidRPr="00DE4C17">
        <w:rPr>
          <w:sz w:val="24"/>
          <w:szCs w:val="24"/>
        </w:rPr>
        <w:t xml:space="preserve">Por meio da Tabela </w:t>
      </w:r>
      <w:r w:rsidR="00557849">
        <w:rPr>
          <w:sz w:val="24"/>
          <w:szCs w:val="24"/>
        </w:rPr>
        <w:t>5</w:t>
      </w:r>
      <w:r w:rsidRPr="00DE4C17">
        <w:rPr>
          <w:sz w:val="24"/>
          <w:szCs w:val="24"/>
        </w:rPr>
        <w:t>, observa-se que o período de tempo compreendido entre o encerramento do exercício social da empresa auditada e a data de emissão do relatório do auditor independente. Salienta-se que em todas as empresas analisadas o exercício social foi encerrado em 31 de dezembro de 2016.</w:t>
      </w:r>
    </w:p>
    <w:p w14:paraId="4D2986AA" w14:textId="6FB67B0D" w:rsidR="00895992" w:rsidRPr="00DE4C17" w:rsidRDefault="00895992" w:rsidP="00895992">
      <w:pPr>
        <w:jc w:val="center"/>
        <w:rPr>
          <w:b/>
        </w:rPr>
      </w:pPr>
      <w:r w:rsidRPr="00DE4C17">
        <w:rPr>
          <w:bCs/>
        </w:rPr>
        <w:t xml:space="preserve">Tabela </w:t>
      </w:r>
      <w:r w:rsidR="00557849">
        <w:rPr>
          <w:bCs/>
        </w:rPr>
        <w:t>5</w:t>
      </w:r>
      <w:r w:rsidRPr="00DE4C17">
        <w:rPr>
          <w:bCs/>
        </w:rPr>
        <w:t xml:space="preserve">: Período em que foram publicados os relatórios de opinião </w:t>
      </w:r>
    </w:p>
    <w:tbl>
      <w:tblPr>
        <w:tblW w:w="5000" w:type="pct"/>
        <w:jc w:val="center"/>
        <w:tblCellMar>
          <w:left w:w="70" w:type="dxa"/>
          <w:right w:w="70" w:type="dxa"/>
        </w:tblCellMar>
        <w:tblLook w:val="04A0" w:firstRow="1" w:lastRow="0" w:firstColumn="1" w:lastColumn="0" w:noHBand="0" w:noVBand="1"/>
      </w:tblPr>
      <w:tblGrid>
        <w:gridCol w:w="5545"/>
        <w:gridCol w:w="1673"/>
        <w:gridCol w:w="1847"/>
      </w:tblGrid>
      <w:tr w:rsidR="00895992" w:rsidRPr="00DE4C17" w14:paraId="334C01D7" w14:textId="77777777" w:rsidTr="0071485C">
        <w:trPr>
          <w:trHeight w:val="20"/>
          <w:jc w:val="center"/>
        </w:trPr>
        <w:tc>
          <w:tcPr>
            <w:tcW w:w="3058" w:type="pct"/>
            <w:tcBorders>
              <w:top w:val="single" w:sz="8" w:space="0" w:color="auto"/>
              <w:left w:val="nil"/>
              <w:bottom w:val="single" w:sz="8" w:space="0" w:color="auto"/>
              <w:right w:val="single" w:sz="4" w:space="0" w:color="auto"/>
            </w:tcBorders>
            <w:shd w:val="clear" w:color="000000" w:fill="DDD9C4"/>
            <w:vAlign w:val="center"/>
            <w:hideMark/>
          </w:tcPr>
          <w:p w14:paraId="4D1FF815" w14:textId="77777777" w:rsidR="00895992" w:rsidRPr="00DE4C17" w:rsidRDefault="00895992" w:rsidP="0071485C">
            <w:pPr>
              <w:jc w:val="center"/>
              <w:rPr>
                <w:b/>
                <w:bCs/>
              </w:rPr>
            </w:pPr>
            <w:r w:rsidRPr="00DE4C17">
              <w:rPr>
                <w:b/>
                <w:bCs/>
              </w:rPr>
              <w:t>Período de publicação</w:t>
            </w:r>
          </w:p>
        </w:tc>
        <w:tc>
          <w:tcPr>
            <w:tcW w:w="923" w:type="pct"/>
            <w:tcBorders>
              <w:top w:val="single" w:sz="8" w:space="0" w:color="auto"/>
              <w:left w:val="nil"/>
              <w:bottom w:val="single" w:sz="8" w:space="0" w:color="auto"/>
              <w:right w:val="single" w:sz="4" w:space="0" w:color="auto"/>
            </w:tcBorders>
            <w:shd w:val="clear" w:color="000000" w:fill="DDD9C4"/>
            <w:vAlign w:val="center"/>
            <w:hideMark/>
          </w:tcPr>
          <w:p w14:paraId="5E7D0CAD" w14:textId="77777777" w:rsidR="00895992" w:rsidRPr="00DE4C17" w:rsidRDefault="00895992" w:rsidP="0071485C">
            <w:pPr>
              <w:jc w:val="center"/>
              <w:rPr>
                <w:b/>
                <w:bCs/>
              </w:rPr>
            </w:pPr>
            <w:r w:rsidRPr="00DE4C17">
              <w:rPr>
                <w:b/>
                <w:bCs/>
              </w:rPr>
              <w:t>Freq</w:t>
            </w:r>
          </w:p>
        </w:tc>
        <w:tc>
          <w:tcPr>
            <w:tcW w:w="1019" w:type="pct"/>
            <w:tcBorders>
              <w:top w:val="single" w:sz="8" w:space="0" w:color="auto"/>
              <w:left w:val="nil"/>
              <w:bottom w:val="single" w:sz="8" w:space="0" w:color="auto"/>
              <w:right w:val="nil"/>
            </w:tcBorders>
            <w:shd w:val="clear" w:color="000000" w:fill="DDD9C4"/>
            <w:vAlign w:val="center"/>
            <w:hideMark/>
          </w:tcPr>
          <w:p w14:paraId="7E5C3AE3" w14:textId="77777777" w:rsidR="00895992" w:rsidRPr="00DE4C17" w:rsidRDefault="00895992" w:rsidP="0071485C">
            <w:pPr>
              <w:jc w:val="center"/>
              <w:rPr>
                <w:b/>
                <w:bCs/>
              </w:rPr>
            </w:pPr>
            <w:r w:rsidRPr="00DE4C17">
              <w:rPr>
                <w:b/>
                <w:bCs/>
              </w:rPr>
              <w:t>%</w:t>
            </w:r>
          </w:p>
        </w:tc>
      </w:tr>
      <w:tr w:rsidR="00895992" w:rsidRPr="00DE4C17" w14:paraId="22140CED" w14:textId="77777777" w:rsidTr="0071485C">
        <w:trPr>
          <w:trHeight w:val="20"/>
          <w:jc w:val="center"/>
        </w:trPr>
        <w:tc>
          <w:tcPr>
            <w:tcW w:w="3058" w:type="pct"/>
            <w:tcBorders>
              <w:top w:val="nil"/>
              <w:left w:val="nil"/>
              <w:bottom w:val="single" w:sz="4" w:space="0" w:color="auto"/>
              <w:right w:val="single" w:sz="4" w:space="0" w:color="auto"/>
            </w:tcBorders>
            <w:shd w:val="clear" w:color="auto" w:fill="auto"/>
            <w:vAlign w:val="center"/>
            <w:hideMark/>
          </w:tcPr>
          <w:p w14:paraId="05EF53D3" w14:textId="77777777" w:rsidR="00895992" w:rsidRPr="00DE4C17" w:rsidRDefault="00895992" w:rsidP="0071485C">
            <w:r w:rsidRPr="00DE4C17">
              <w:t>1º mês subsequente ao exercício social</w:t>
            </w:r>
          </w:p>
        </w:tc>
        <w:tc>
          <w:tcPr>
            <w:tcW w:w="923" w:type="pct"/>
            <w:tcBorders>
              <w:top w:val="nil"/>
              <w:left w:val="nil"/>
              <w:bottom w:val="single" w:sz="4" w:space="0" w:color="auto"/>
              <w:right w:val="single" w:sz="4" w:space="0" w:color="auto"/>
            </w:tcBorders>
            <w:shd w:val="clear" w:color="auto" w:fill="auto"/>
            <w:vAlign w:val="center"/>
            <w:hideMark/>
          </w:tcPr>
          <w:p w14:paraId="496F7A67" w14:textId="77777777" w:rsidR="00895992" w:rsidRPr="00DE4C17" w:rsidRDefault="00895992" w:rsidP="0071485C">
            <w:pPr>
              <w:jc w:val="center"/>
            </w:pPr>
            <w:r w:rsidRPr="00DE4C17">
              <w:t>12</w:t>
            </w:r>
          </w:p>
        </w:tc>
        <w:tc>
          <w:tcPr>
            <w:tcW w:w="1019" w:type="pct"/>
            <w:tcBorders>
              <w:top w:val="nil"/>
              <w:left w:val="nil"/>
              <w:bottom w:val="single" w:sz="4" w:space="0" w:color="auto"/>
              <w:right w:val="nil"/>
            </w:tcBorders>
            <w:shd w:val="clear" w:color="auto" w:fill="auto"/>
            <w:vAlign w:val="center"/>
            <w:hideMark/>
          </w:tcPr>
          <w:p w14:paraId="54B79676" w14:textId="77777777" w:rsidR="00895992" w:rsidRPr="00DE4C17" w:rsidRDefault="00895992" w:rsidP="0071485C">
            <w:pPr>
              <w:jc w:val="center"/>
            </w:pPr>
            <w:r w:rsidRPr="00DE4C17">
              <w:t>3,07%</w:t>
            </w:r>
          </w:p>
        </w:tc>
      </w:tr>
      <w:tr w:rsidR="00895992" w:rsidRPr="00DE4C17" w14:paraId="50A66F18" w14:textId="77777777" w:rsidTr="0071485C">
        <w:trPr>
          <w:trHeight w:val="20"/>
          <w:jc w:val="center"/>
        </w:trPr>
        <w:tc>
          <w:tcPr>
            <w:tcW w:w="3058" w:type="pct"/>
            <w:tcBorders>
              <w:top w:val="nil"/>
              <w:left w:val="nil"/>
              <w:bottom w:val="single" w:sz="4" w:space="0" w:color="auto"/>
              <w:right w:val="single" w:sz="4" w:space="0" w:color="auto"/>
            </w:tcBorders>
            <w:shd w:val="clear" w:color="auto" w:fill="auto"/>
            <w:vAlign w:val="center"/>
            <w:hideMark/>
          </w:tcPr>
          <w:p w14:paraId="7640B4B0" w14:textId="77777777" w:rsidR="00895992" w:rsidRPr="00DE4C17" w:rsidRDefault="00895992" w:rsidP="0071485C">
            <w:r w:rsidRPr="00DE4C17">
              <w:t>2º mês subsequente ao exercício social</w:t>
            </w:r>
          </w:p>
        </w:tc>
        <w:tc>
          <w:tcPr>
            <w:tcW w:w="923" w:type="pct"/>
            <w:tcBorders>
              <w:top w:val="nil"/>
              <w:left w:val="nil"/>
              <w:bottom w:val="single" w:sz="4" w:space="0" w:color="auto"/>
              <w:right w:val="single" w:sz="4" w:space="0" w:color="auto"/>
            </w:tcBorders>
            <w:shd w:val="clear" w:color="auto" w:fill="auto"/>
            <w:vAlign w:val="center"/>
            <w:hideMark/>
          </w:tcPr>
          <w:p w14:paraId="2B60C6EA" w14:textId="77777777" w:rsidR="00895992" w:rsidRPr="00DE4C17" w:rsidRDefault="00895992" w:rsidP="0071485C">
            <w:pPr>
              <w:jc w:val="center"/>
            </w:pPr>
            <w:r w:rsidRPr="00DE4C17">
              <w:t>116</w:t>
            </w:r>
          </w:p>
        </w:tc>
        <w:tc>
          <w:tcPr>
            <w:tcW w:w="1019" w:type="pct"/>
            <w:tcBorders>
              <w:top w:val="nil"/>
              <w:left w:val="nil"/>
              <w:bottom w:val="single" w:sz="4" w:space="0" w:color="auto"/>
              <w:right w:val="nil"/>
            </w:tcBorders>
            <w:shd w:val="clear" w:color="auto" w:fill="auto"/>
            <w:vAlign w:val="center"/>
            <w:hideMark/>
          </w:tcPr>
          <w:p w14:paraId="3ABBC5F7" w14:textId="77777777" w:rsidR="00895992" w:rsidRPr="00DE4C17" w:rsidRDefault="00895992" w:rsidP="0071485C">
            <w:pPr>
              <w:jc w:val="center"/>
            </w:pPr>
            <w:r w:rsidRPr="00DE4C17">
              <w:t>29,67%</w:t>
            </w:r>
          </w:p>
        </w:tc>
      </w:tr>
      <w:tr w:rsidR="00895992" w:rsidRPr="00DE4C17" w14:paraId="68573579" w14:textId="77777777" w:rsidTr="0071485C">
        <w:trPr>
          <w:trHeight w:val="20"/>
          <w:jc w:val="center"/>
        </w:trPr>
        <w:tc>
          <w:tcPr>
            <w:tcW w:w="3058" w:type="pct"/>
            <w:tcBorders>
              <w:top w:val="nil"/>
              <w:left w:val="nil"/>
              <w:bottom w:val="single" w:sz="4" w:space="0" w:color="auto"/>
              <w:right w:val="single" w:sz="4" w:space="0" w:color="auto"/>
            </w:tcBorders>
            <w:shd w:val="clear" w:color="auto" w:fill="auto"/>
            <w:vAlign w:val="center"/>
            <w:hideMark/>
          </w:tcPr>
          <w:p w14:paraId="1C00C7CF" w14:textId="77777777" w:rsidR="00895992" w:rsidRPr="00DE4C17" w:rsidRDefault="00895992" w:rsidP="0071485C">
            <w:r w:rsidRPr="00DE4C17">
              <w:t>3º mês subsequente ao exercício social</w:t>
            </w:r>
          </w:p>
        </w:tc>
        <w:tc>
          <w:tcPr>
            <w:tcW w:w="923" w:type="pct"/>
            <w:tcBorders>
              <w:top w:val="nil"/>
              <w:left w:val="nil"/>
              <w:bottom w:val="single" w:sz="4" w:space="0" w:color="auto"/>
              <w:right w:val="single" w:sz="4" w:space="0" w:color="auto"/>
            </w:tcBorders>
            <w:shd w:val="clear" w:color="auto" w:fill="auto"/>
            <w:vAlign w:val="center"/>
            <w:hideMark/>
          </w:tcPr>
          <w:p w14:paraId="64FE0CBD" w14:textId="77777777" w:rsidR="00895992" w:rsidRPr="00DE4C17" w:rsidRDefault="00895992" w:rsidP="0071485C">
            <w:pPr>
              <w:jc w:val="center"/>
            </w:pPr>
            <w:r w:rsidRPr="00DE4C17">
              <w:t>230</w:t>
            </w:r>
          </w:p>
        </w:tc>
        <w:tc>
          <w:tcPr>
            <w:tcW w:w="1019" w:type="pct"/>
            <w:tcBorders>
              <w:top w:val="nil"/>
              <w:left w:val="nil"/>
              <w:bottom w:val="single" w:sz="4" w:space="0" w:color="auto"/>
              <w:right w:val="nil"/>
            </w:tcBorders>
            <w:shd w:val="clear" w:color="auto" w:fill="auto"/>
            <w:vAlign w:val="center"/>
            <w:hideMark/>
          </w:tcPr>
          <w:p w14:paraId="013BA5E0" w14:textId="77777777" w:rsidR="00895992" w:rsidRPr="00DE4C17" w:rsidRDefault="00895992" w:rsidP="0071485C">
            <w:pPr>
              <w:jc w:val="center"/>
            </w:pPr>
            <w:r w:rsidRPr="00DE4C17">
              <w:t>58,82%</w:t>
            </w:r>
          </w:p>
        </w:tc>
      </w:tr>
      <w:tr w:rsidR="00895992" w:rsidRPr="00DE4C17" w14:paraId="4565F00C" w14:textId="77777777" w:rsidTr="0071485C">
        <w:trPr>
          <w:trHeight w:val="20"/>
          <w:jc w:val="center"/>
        </w:trPr>
        <w:tc>
          <w:tcPr>
            <w:tcW w:w="3058" w:type="pct"/>
            <w:tcBorders>
              <w:top w:val="nil"/>
              <w:left w:val="nil"/>
              <w:bottom w:val="single" w:sz="4" w:space="0" w:color="auto"/>
              <w:right w:val="single" w:sz="4" w:space="0" w:color="auto"/>
            </w:tcBorders>
            <w:shd w:val="clear" w:color="auto" w:fill="auto"/>
            <w:vAlign w:val="center"/>
            <w:hideMark/>
          </w:tcPr>
          <w:p w14:paraId="74AB5E83" w14:textId="77777777" w:rsidR="00895992" w:rsidRPr="00DE4C17" w:rsidRDefault="00895992" w:rsidP="0071485C">
            <w:r w:rsidRPr="00DE4C17">
              <w:t>4º mês subsequente ao exercício social</w:t>
            </w:r>
          </w:p>
        </w:tc>
        <w:tc>
          <w:tcPr>
            <w:tcW w:w="923" w:type="pct"/>
            <w:tcBorders>
              <w:top w:val="nil"/>
              <w:left w:val="nil"/>
              <w:bottom w:val="single" w:sz="4" w:space="0" w:color="auto"/>
              <w:right w:val="single" w:sz="4" w:space="0" w:color="auto"/>
            </w:tcBorders>
            <w:shd w:val="clear" w:color="auto" w:fill="auto"/>
            <w:vAlign w:val="center"/>
            <w:hideMark/>
          </w:tcPr>
          <w:p w14:paraId="6D55C10C" w14:textId="77777777" w:rsidR="00895992" w:rsidRPr="00DE4C17" w:rsidRDefault="00895992" w:rsidP="0071485C">
            <w:pPr>
              <w:jc w:val="center"/>
            </w:pPr>
            <w:r w:rsidRPr="00DE4C17">
              <w:t>10</w:t>
            </w:r>
          </w:p>
        </w:tc>
        <w:tc>
          <w:tcPr>
            <w:tcW w:w="1019" w:type="pct"/>
            <w:tcBorders>
              <w:top w:val="nil"/>
              <w:left w:val="nil"/>
              <w:bottom w:val="single" w:sz="4" w:space="0" w:color="auto"/>
              <w:right w:val="nil"/>
            </w:tcBorders>
            <w:shd w:val="clear" w:color="auto" w:fill="auto"/>
            <w:vAlign w:val="center"/>
            <w:hideMark/>
          </w:tcPr>
          <w:p w14:paraId="0DDBD423" w14:textId="77777777" w:rsidR="00895992" w:rsidRPr="00DE4C17" w:rsidRDefault="00895992" w:rsidP="0071485C">
            <w:pPr>
              <w:jc w:val="center"/>
            </w:pPr>
            <w:r w:rsidRPr="00DE4C17">
              <w:t>2,56%</w:t>
            </w:r>
          </w:p>
        </w:tc>
      </w:tr>
      <w:tr w:rsidR="00895992" w:rsidRPr="00DE4C17" w14:paraId="25BDE751" w14:textId="77777777" w:rsidTr="0071485C">
        <w:trPr>
          <w:trHeight w:val="20"/>
          <w:jc w:val="center"/>
        </w:trPr>
        <w:tc>
          <w:tcPr>
            <w:tcW w:w="3058" w:type="pct"/>
            <w:tcBorders>
              <w:top w:val="nil"/>
              <w:left w:val="nil"/>
              <w:bottom w:val="single" w:sz="4" w:space="0" w:color="auto"/>
              <w:right w:val="single" w:sz="4" w:space="0" w:color="auto"/>
            </w:tcBorders>
            <w:shd w:val="clear" w:color="auto" w:fill="auto"/>
            <w:vAlign w:val="center"/>
            <w:hideMark/>
          </w:tcPr>
          <w:p w14:paraId="72B6D213" w14:textId="77777777" w:rsidR="00895992" w:rsidRPr="00DE4C17" w:rsidRDefault="00895992" w:rsidP="0071485C">
            <w:r w:rsidRPr="00DE4C17">
              <w:t>5º mês subsequente ao exercício social</w:t>
            </w:r>
          </w:p>
        </w:tc>
        <w:tc>
          <w:tcPr>
            <w:tcW w:w="923" w:type="pct"/>
            <w:tcBorders>
              <w:top w:val="nil"/>
              <w:left w:val="nil"/>
              <w:bottom w:val="single" w:sz="4" w:space="0" w:color="auto"/>
              <w:right w:val="single" w:sz="4" w:space="0" w:color="auto"/>
            </w:tcBorders>
            <w:shd w:val="clear" w:color="auto" w:fill="auto"/>
            <w:vAlign w:val="center"/>
            <w:hideMark/>
          </w:tcPr>
          <w:p w14:paraId="6AA61B4F" w14:textId="77777777" w:rsidR="00895992" w:rsidRPr="00DE4C17" w:rsidRDefault="00895992" w:rsidP="0071485C">
            <w:pPr>
              <w:jc w:val="center"/>
            </w:pPr>
            <w:r w:rsidRPr="00DE4C17">
              <w:t>8</w:t>
            </w:r>
          </w:p>
        </w:tc>
        <w:tc>
          <w:tcPr>
            <w:tcW w:w="1019" w:type="pct"/>
            <w:tcBorders>
              <w:top w:val="nil"/>
              <w:left w:val="nil"/>
              <w:bottom w:val="single" w:sz="4" w:space="0" w:color="auto"/>
              <w:right w:val="nil"/>
            </w:tcBorders>
            <w:shd w:val="clear" w:color="auto" w:fill="auto"/>
            <w:vAlign w:val="center"/>
            <w:hideMark/>
          </w:tcPr>
          <w:p w14:paraId="0172A202" w14:textId="77777777" w:rsidR="00895992" w:rsidRPr="00DE4C17" w:rsidRDefault="00895992" w:rsidP="0071485C">
            <w:pPr>
              <w:jc w:val="center"/>
            </w:pPr>
            <w:r w:rsidRPr="00DE4C17">
              <w:t>2,05%</w:t>
            </w:r>
          </w:p>
        </w:tc>
      </w:tr>
      <w:tr w:rsidR="00895992" w:rsidRPr="00DE4C17" w14:paraId="3ACA2272" w14:textId="77777777" w:rsidTr="0071485C">
        <w:trPr>
          <w:trHeight w:val="20"/>
          <w:jc w:val="center"/>
        </w:trPr>
        <w:tc>
          <w:tcPr>
            <w:tcW w:w="3058" w:type="pct"/>
            <w:tcBorders>
              <w:top w:val="nil"/>
              <w:left w:val="nil"/>
              <w:bottom w:val="single" w:sz="4" w:space="0" w:color="auto"/>
              <w:right w:val="single" w:sz="4" w:space="0" w:color="auto"/>
            </w:tcBorders>
            <w:shd w:val="clear" w:color="auto" w:fill="auto"/>
            <w:vAlign w:val="center"/>
            <w:hideMark/>
          </w:tcPr>
          <w:p w14:paraId="015FD7F0" w14:textId="77777777" w:rsidR="00895992" w:rsidRPr="00DE4C17" w:rsidRDefault="00895992" w:rsidP="0071485C">
            <w:r w:rsidRPr="00DE4C17">
              <w:t>6º mês subsequente ao exercício social</w:t>
            </w:r>
          </w:p>
        </w:tc>
        <w:tc>
          <w:tcPr>
            <w:tcW w:w="923" w:type="pct"/>
            <w:tcBorders>
              <w:top w:val="nil"/>
              <w:left w:val="nil"/>
              <w:bottom w:val="single" w:sz="4" w:space="0" w:color="auto"/>
              <w:right w:val="single" w:sz="4" w:space="0" w:color="auto"/>
            </w:tcBorders>
            <w:shd w:val="clear" w:color="auto" w:fill="auto"/>
            <w:vAlign w:val="center"/>
            <w:hideMark/>
          </w:tcPr>
          <w:p w14:paraId="54EBB212" w14:textId="77777777" w:rsidR="00895992" w:rsidRPr="00DE4C17" w:rsidRDefault="00895992" w:rsidP="0071485C">
            <w:pPr>
              <w:jc w:val="center"/>
            </w:pPr>
            <w:r w:rsidRPr="00DE4C17">
              <w:t>3</w:t>
            </w:r>
          </w:p>
        </w:tc>
        <w:tc>
          <w:tcPr>
            <w:tcW w:w="1019" w:type="pct"/>
            <w:tcBorders>
              <w:top w:val="nil"/>
              <w:left w:val="nil"/>
              <w:bottom w:val="single" w:sz="4" w:space="0" w:color="auto"/>
              <w:right w:val="nil"/>
            </w:tcBorders>
            <w:shd w:val="clear" w:color="auto" w:fill="auto"/>
            <w:vAlign w:val="center"/>
            <w:hideMark/>
          </w:tcPr>
          <w:p w14:paraId="711B2E3F" w14:textId="77777777" w:rsidR="00895992" w:rsidRPr="00DE4C17" w:rsidRDefault="00895992" w:rsidP="0071485C">
            <w:pPr>
              <w:jc w:val="center"/>
            </w:pPr>
            <w:r w:rsidRPr="00DE4C17">
              <w:t>0,77%</w:t>
            </w:r>
          </w:p>
        </w:tc>
      </w:tr>
      <w:tr w:rsidR="00895992" w:rsidRPr="00DE4C17" w14:paraId="73D0A0CC" w14:textId="77777777" w:rsidTr="0071485C">
        <w:trPr>
          <w:trHeight w:val="20"/>
          <w:jc w:val="center"/>
        </w:trPr>
        <w:tc>
          <w:tcPr>
            <w:tcW w:w="3058" w:type="pct"/>
            <w:tcBorders>
              <w:top w:val="nil"/>
              <w:left w:val="nil"/>
              <w:bottom w:val="single" w:sz="4" w:space="0" w:color="auto"/>
              <w:right w:val="single" w:sz="4" w:space="0" w:color="auto"/>
            </w:tcBorders>
            <w:shd w:val="clear" w:color="auto" w:fill="auto"/>
            <w:vAlign w:val="center"/>
            <w:hideMark/>
          </w:tcPr>
          <w:p w14:paraId="7798371E" w14:textId="77777777" w:rsidR="00895992" w:rsidRPr="00DE4C17" w:rsidRDefault="00895992" w:rsidP="0071485C">
            <w:r w:rsidRPr="00DE4C17">
              <w:t>7º mês subsequente ao exercício social</w:t>
            </w:r>
          </w:p>
        </w:tc>
        <w:tc>
          <w:tcPr>
            <w:tcW w:w="923" w:type="pct"/>
            <w:tcBorders>
              <w:top w:val="nil"/>
              <w:left w:val="nil"/>
              <w:bottom w:val="single" w:sz="4" w:space="0" w:color="auto"/>
              <w:right w:val="single" w:sz="4" w:space="0" w:color="auto"/>
            </w:tcBorders>
            <w:shd w:val="clear" w:color="auto" w:fill="auto"/>
            <w:vAlign w:val="center"/>
            <w:hideMark/>
          </w:tcPr>
          <w:p w14:paraId="25877395" w14:textId="77777777" w:rsidR="00895992" w:rsidRPr="00DE4C17" w:rsidRDefault="00895992" w:rsidP="0071485C">
            <w:pPr>
              <w:jc w:val="center"/>
            </w:pPr>
            <w:r w:rsidRPr="00DE4C17">
              <w:t>7</w:t>
            </w:r>
          </w:p>
        </w:tc>
        <w:tc>
          <w:tcPr>
            <w:tcW w:w="1019" w:type="pct"/>
            <w:tcBorders>
              <w:top w:val="nil"/>
              <w:left w:val="nil"/>
              <w:bottom w:val="single" w:sz="4" w:space="0" w:color="auto"/>
              <w:right w:val="nil"/>
            </w:tcBorders>
            <w:shd w:val="clear" w:color="auto" w:fill="auto"/>
            <w:vAlign w:val="center"/>
            <w:hideMark/>
          </w:tcPr>
          <w:p w14:paraId="5869F45E" w14:textId="77777777" w:rsidR="00895992" w:rsidRPr="00DE4C17" w:rsidRDefault="00895992" w:rsidP="0071485C">
            <w:pPr>
              <w:jc w:val="center"/>
            </w:pPr>
            <w:r w:rsidRPr="00DE4C17">
              <w:t>1,79%</w:t>
            </w:r>
          </w:p>
        </w:tc>
      </w:tr>
      <w:tr w:rsidR="00895992" w:rsidRPr="00DE4C17" w14:paraId="2AFE313D" w14:textId="77777777" w:rsidTr="0071485C">
        <w:trPr>
          <w:trHeight w:val="20"/>
          <w:jc w:val="center"/>
        </w:trPr>
        <w:tc>
          <w:tcPr>
            <w:tcW w:w="3058" w:type="pct"/>
            <w:tcBorders>
              <w:top w:val="nil"/>
              <w:left w:val="nil"/>
              <w:bottom w:val="single" w:sz="4" w:space="0" w:color="auto"/>
              <w:right w:val="single" w:sz="4" w:space="0" w:color="auto"/>
            </w:tcBorders>
            <w:shd w:val="clear" w:color="auto" w:fill="auto"/>
            <w:vAlign w:val="center"/>
            <w:hideMark/>
          </w:tcPr>
          <w:p w14:paraId="25B5AC78" w14:textId="77777777" w:rsidR="00895992" w:rsidRPr="00DE4C17" w:rsidRDefault="00895992" w:rsidP="0071485C">
            <w:r w:rsidRPr="00DE4C17">
              <w:t>8º mês subsequente ao exercício social</w:t>
            </w:r>
          </w:p>
        </w:tc>
        <w:tc>
          <w:tcPr>
            <w:tcW w:w="923" w:type="pct"/>
            <w:tcBorders>
              <w:top w:val="nil"/>
              <w:left w:val="nil"/>
              <w:bottom w:val="single" w:sz="4" w:space="0" w:color="auto"/>
              <w:right w:val="single" w:sz="4" w:space="0" w:color="auto"/>
            </w:tcBorders>
            <w:shd w:val="clear" w:color="auto" w:fill="auto"/>
            <w:vAlign w:val="center"/>
            <w:hideMark/>
          </w:tcPr>
          <w:p w14:paraId="45A642E6" w14:textId="77777777" w:rsidR="00895992" w:rsidRPr="00DE4C17" w:rsidRDefault="00895992" w:rsidP="0071485C">
            <w:pPr>
              <w:jc w:val="center"/>
            </w:pPr>
            <w:r w:rsidRPr="00DE4C17">
              <w:t>3</w:t>
            </w:r>
          </w:p>
        </w:tc>
        <w:tc>
          <w:tcPr>
            <w:tcW w:w="1019" w:type="pct"/>
            <w:tcBorders>
              <w:top w:val="nil"/>
              <w:left w:val="nil"/>
              <w:bottom w:val="single" w:sz="4" w:space="0" w:color="auto"/>
              <w:right w:val="nil"/>
            </w:tcBorders>
            <w:shd w:val="clear" w:color="auto" w:fill="auto"/>
            <w:vAlign w:val="center"/>
            <w:hideMark/>
          </w:tcPr>
          <w:p w14:paraId="16613A17" w14:textId="77777777" w:rsidR="00895992" w:rsidRPr="00DE4C17" w:rsidRDefault="00895992" w:rsidP="0071485C">
            <w:pPr>
              <w:jc w:val="center"/>
            </w:pPr>
            <w:r w:rsidRPr="00DE4C17">
              <w:t>0,77%</w:t>
            </w:r>
          </w:p>
        </w:tc>
      </w:tr>
      <w:tr w:rsidR="00895992" w:rsidRPr="00DE4C17" w14:paraId="182F6DFF" w14:textId="77777777" w:rsidTr="0071485C">
        <w:trPr>
          <w:trHeight w:val="20"/>
          <w:jc w:val="center"/>
        </w:trPr>
        <w:tc>
          <w:tcPr>
            <w:tcW w:w="3058" w:type="pct"/>
            <w:tcBorders>
              <w:top w:val="nil"/>
              <w:left w:val="nil"/>
              <w:bottom w:val="single" w:sz="4" w:space="0" w:color="auto"/>
              <w:right w:val="single" w:sz="4" w:space="0" w:color="auto"/>
            </w:tcBorders>
            <w:shd w:val="clear" w:color="auto" w:fill="auto"/>
            <w:vAlign w:val="center"/>
            <w:hideMark/>
          </w:tcPr>
          <w:p w14:paraId="74B3C36E" w14:textId="77777777" w:rsidR="00895992" w:rsidRPr="00DE4C17" w:rsidRDefault="00895992" w:rsidP="0071485C">
            <w:r w:rsidRPr="00DE4C17">
              <w:t>9º mês subsequente ao exercício social</w:t>
            </w:r>
          </w:p>
        </w:tc>
        <w:tc>
          <w:tcPr>
            <w:tcW w:w="923" w:type="pct"/>
            <w:tcBorders>
              <w:top w:val="nil"/>
              <w:left w:val="nil"/>
              <w:bottom w:val="single" w:sz="4" w:space="0" w:color="auto"/>
              <w:right w:val="single" w:sz="4" w:space="0" w:color="auto"/>
            </w:tcBorders>
            <w:shd w:val="clear" w:color="auto" w:fill="auto"/>
            <w:vAlign w:val="center"/>
            <w:hideMark/>
          </w:tcPr>
          <w:p w14:paraId="2F5D3DBC" w14:textId="77777777" w:rsidR="00895992" w:rsidRPr="00DE4C17" w:rsidRDefault="00895992" w:rsidP="0071485C">
            <w:pPr>
              <w:jc w:val="center"/>
            </w:pPr>
            <w:r w:rsidRPr="00DE4C17">
              <w:t>2</w:t>
            </w:r>
          </w:p>
        </w:tc>
        <w:tc>
          <w:tcPr>
            <w:tcW w:w="1019" w:type="pct"/>
            <w:tcBorders>
              <w:top w:val="nil"/>
              <w:left w:val="nil"/>
              <w:bottom w:val="single" w:sz="4" w:space="0" w:color="auto"/>
              <w:right w:val="nil"/>
            </w:tcBorders>
            <w:shd w:val="clear" w:color="auto" w:fill="auto"/>
            <w:vAlign w:val="center"/>
            <w:hideMark/>
          </w:tcPr>
          <w:p w14:paraId="271628FE" w14:textId="77777777" w:rsidR="00895992" w:rsidRPr="00DE4C17" w:rsidRDefault="00895992" w:rsidP="0071485C">
            <w:pPr>
              <w:jc w:val="center"/>
            </w:pPr>
            <w:r w:rsidRPr="00DE4C17">
              <w:t>0,51%</w:t>
            </w:r>
          </w:p>
        </w:tc>
      </w:tr>
      <w:tr w:rsidR="00895992" w:rsidRPr="00DE4C17" w14:paraId="13919DD3" w14:textId="77777777" w:rsidTr="0071485C">
        <w:trPr>
          <w:trHeight w:val="20"/>
          <w:jc w:val="center"/>
        </w:trPr>
        <w:tc>
          <w:tcPr>
            <w:tcW w:w="3058" w:type="pct"/>
            <w:tcBorders>
              <w:top w:val="nil"/>
              <w:left w:val="nil"/>
              <w:bottom w:val="single" w:sz="8" w:space="0" w:color="auto"/>
              <w:right w:val="single" w:sz="4" w:space="0" w:color="auto"/>
            </w:tcBorders>
            <w:shd w:val="clear" w:color="auto" w:fill="auto"/>
            <w:vAlign w:val="center"/>
            <w:hideMark/>
          </w:tcPr>
          <w:p w14:paraId="6E9B7B51" w14:textId="77777777" w:rsidR="00895992" w:rsidRPr="00DE4C17" w:rsidRDefault="00895992" w:rsidP="0071485C">
            <w:pPr>
              <w:rPr>
                <w:b/>
                <w:bCs/>
              </w:rPr>
            </w:pPr>
            <w:r w:rsidRPr="00DE4C17">
              <w:rPr>
                <w:b/>
                <w:bCs/>
              </w:rPr>
              <w:t>Total de relatórios</w:t>
            </w:r>
          </w:p>
        </w:tc>
        <w:tc>
          <w:tcPr>
            <w:tcW w:w="923" w:type="pct"/>
            <w:tcBorders>
              <w:top w:val="nil"/>
              <w:left w:val="nil"/>
              <w:bottom w:val="single" w:sz="8" w:space="0" w:color="auto"/>
              <w:right w:val="single" w:sz="4" w:space="0" w:color="auto"/>
            </w:tcBorders>
            <w:shd w:val="clear" w:color="auto" w:fill="auto"/>
            <w:vAlign w:val="center"/>
            <w:hideMark/>
          </w:tcPr>
          <w:p w14:paraId="5DD6CEA8" w14:textId="77777777" w:rsidR="00895992" w:rsidRPr="00DE4C17" w:rsidRDefault="00895992" w:rsidP="0071485C">
            <w:pPr>
              <w:jc w:val="center"/>
              <w:rPr>
                <w:b/>
                <w:bCs/>
              </w:rPr>
            </w:pPr>
            <w:r w:rsidRPr="00DE4C17">
              <w:rPr>
                <w:b/>
                <w:bCs/>
              </w:rPr>
              <w:t>391</w:t>
            </w:r>
          </w:p>
        </w:tc>
        <w:tc>
          <w:tcPr>
            <w:tcW w:w="1019" w:type="pct"/>
            <w:tcBorders>
              <w:top w:val="nil"/>
              <w:left w:val="nil"/>
              <w:bottom w:val="single" w:sz="8" w:space="0" w:color="auto"/>
              <w:right w:val="nil"/>
            </w:tcBorders>
            <w:shd w:val="clear" w:color="auto" w:fill="auto"/>
            <w:vAlign w:val="center"/>
            <w:hideMark/>
          </w:tcPr>
          <w:p w14:paraId="14C2E32B" w14:textId="77777777" w:rsidR="00895992" w:rsidRPr="00DE4C17" w:rsidRDefault="00895992" w:rsidP="0071485C">
            <w:pPr>
              <w:jc w:val="center"/>
              <w:rPr>
                <w:b/>
                <w:bCs/>
              </w:rPr>
            </w:pPr>
            <w:r w:rsidRPr="00DE4C17">
              <w:rPr>
                <w:b/>
                <w:bCs/>
              </w:rPr>
              <w:t>100,00%</w:t>
            </w:r>
          </w:p>
        </w:tc>
      </w:tr>
    </w:tbl>
    <w:p w14:paraId="546059C7" w14:textId="66F073F8" w:rsidR="00895992" w:rsidRPr="00DE4C17" w:rsidRDefault="00895992" w:rsidP="00895992">
      <w:pPr>
        <w:jc w:val="center"/>
      </w:pPr>
      <w:r w:rsidRPr="00DE4C17">
        <w:t xml:space="preserve">Fonte: </w:t>
      </w:r>
      <w:r w:rsidR="00873942" w:rsidRPr="00DE4C17">
        <w:t>Elaborad</w:t>
      </w:r>
      <w:r w:rsidR="00873942">
        <w:t>a</w:t>
      </w:r>
      <w:r w:rsidR="00873942" w:rsidRPr="00DE4C17">
        <w:t xml:space="preserve"> pel</w:t>
      </w:r>
      <w:r w:rsidR="00873942">
        <w:t>os</w:t>
      </w:r>
      <w:r w:rsidR="00873942" w:rsidRPr="00DE4C17">
        <w:t xml:space="preserve"> autor</w:t>
      </w:r>
      <w:r w:rsidR="00873942">
        <w:t>es</w:t>
      </w:r>
      <w:r w:rsidR="00873942" w:rsidRPr="00DE4C17">
        <w:t xml:space="preserve"> </w:t>
      </w:r>
      <w:r w:rsidRPr="00DE4C17">
        <w:t>com base na coleta de dados</w:t>
      </w:r>
    </w:p>
    <w:p w14:paraId="0F6114FE" w14:textId="77777777" w:rsidR="00895992" w:rsidRPr="00DE4C17" w:rsidRDefault="00895992" w:rsidP="00895992">
      <w:pPr>
        <w:ind w:firstLine="567"/>
        <w:jc w:val="both"/>
        <w:rPr>
          <w:sz w:val="24"/>
          <w:szCs w:val="24"/>
        </w:rPr>
      </w:pPr>
    </w:p>
    <w:p w14:paraId="1A6F04C1" w14:textId="319DCE88" w:rsidR="00895992" w:rsidRPr="00DE4C17" w:rsidRDefault="00895992" w:rsidP="00895992">
      <w:pPr>
        <w:ind w:firstLine="567"/>
        <w:jc w:val="both"/>
        <w:rPr>
          <w:sz w:val="24"/>
          <w:szCs w:val="24"/>
        </w:rPr>
      </w:pPr>
      <w:r w:rsidRPr="00DE4C17">
        <w:rPr>
          <w:sz w:val="24"/>
          <w:szCs w:val="24"/>
        </w:rPr>
        <w:t xml:space="preserve">Na Tabela </w:t>
      </w:r>
      <w:r w:rsidR="00557849">
        <w:rPr>
          <w:sz w:val="24"/>
          <w:szCs w:val="24"/>
        </w:rPr>
        <w:t>5</w:t>
      </w:r>
      <w:r w:rsidRPr="00DE4C17">
        <w:rPr>
          <w:sz w:val="24"/>
          <w:szCs w:val="24"/>
        </w:rPr>
        <w:t>, observa-se que mais de 3/4 das empresas apresentaram o seu relatório até no mês de março de 2017, ou seja, no 3º mês subsequente ao encerramento do exercício social de 2016, 91,56% das empresas analisadas já haviam apresentado seus relatórios de opinião, sendo que 58,82% (mais da metade) da amostra apresentaram no terceiro. Estes dados corroboram os resultados encontrados por Silva et al. (2014), que constataram que em 2010 cerca de 51,6% e em 2011 61,3%, da amostra analisada em seu estudo também apresentaram seus relatórios de opinião no terceiro mês após a finalização do exercício.  Dessa forma tais dados sugerem a importância da informação obtida o mais breve possível ao fim do exercício e a reflexão sobre a tempestividade do relatório do auditor como informação contábil, uma vez que esses dados auditados são fundamentais para tomada de decisões pelos investidores e para tanto quanto mais próximo possível for emitido do fim do último exercício social mais espelhado com a realidade o relatório estará.</w:t>
      </w:r>
    </w:p>
    <w:p w14:paraId="30162799" w14:textId="0E08FE4B" w:rsidR="00895992" w:rsidRPr="00DE4C17" w:rsidRDefault="00895992" w:rsidP="00895992">
      <w:pPr>
        <w:ind w:firstLine="567"/>
        <w:jc w:val="both"/>
        <w:rPr>
          <w:sz w:val="24"/>
          <w:szCs w:val="24"/>
        </w:rPr>
      </w:pPr>
      <w:r w:rsidRPr="00DE4C17">
        <w:rPr>
          <w:sz w:val="24"/>
          <w:szCs w:val="24"/>
        </w:rPr>
        <w:t xml:space="preserve">Na Tabela </w:t>
      </w:r>
      <w:r w:rsidR="00557849">
        <w:rPr>
          <w:sz w:val="24"/>
          <w:szCs w:val="24"/>
        </w:rPr>
        <w:t>6</w:t>
      </w:r>
      <w:r w:rsidR="00557849" w:rsidRPr="00DE4C17">
        <w:rPr>
          <w:sz w:val="24"/>
          <w:szCs w:val="24"/>
        </w:rPr>
        <w:t xml:space="preserve"> </w:t>
      </w:r>
      <w:r w:rsidRPr="00DE4C17">
        <w:rPr>
          <w:sz w:val="24"/>
          <w:szCs w:val="24"/>
        </w:rPr>
        <w:t>apresenta-se a quantidade de empresas de auditoria que emitiram os relatórios estudados. Observa-se que 74,68% dos relatórios analisados foram emitidos por alguma das Big Four (Deloitte Touche Tohmatsu, Ernst &amp; Young Terco, KPMG e Pricewaterhousecoopers), ou seja, às quatro maiores empresas contábeis especializadas em </w:t>
      </w:r>
      <w:hyperlink r:id="rId8" w:tooltip="Auditoria" w:history="1">
        <w:r w:rsidRPr="00DE4C17">
          <w:rPr>
            <w:sz w:val="24"/>
            <w:szCs w:val="24"/>
          </w:rPr>
          <w:t>auditoria</w:t>
        </w:r>
      </w:hyperlink>
      <w:r w:rsidRPr="00DE4C17">
        <w:rPr>
          <w:sz w:val="24"/>
          <w:szCs w:val="24"/>
        </w:rPr>
        <w:t> e </w:t>
      </w:r>
      <w:hyperlink r:id="rId9" w:tooltip="Consultoria" w:history="1">
        <w:r w:rsidRPr="00DE4C17">
          <w:rPr>
            <w:sz w:val="24"/>
            <w:szCs w:val="24"/>
          </w:rPr>
          <w:t>consultoria</w:t>
        </w:r>
      </w:hyperlink>
      <w:r w:rsidRPr="00DE4C17">
        <w:rPr>
          <w:sz w:val="24"/>
          <w:szCs w:val="24"/>
        </w:rPr>
        <w:t xml:space="preserve"> do mundo. </w:t>
      </w:r>
    </w:p>
    <w:p w14:paraId="77B9DA3D" w14:textId="0A103048" w:rsidR="00895992" w:rsidRPr="00DE4C17" w:rsidRDefault="00895992" w:rsidP="00895992">
      <w:pPr>
        <w:shd w:val="clear" w:color="auto" w:fill="FFFFFF"/>
        <w:jc w:val="center"/>
      </w:pPr>
      <w:r w:rsidRPr="00DE4C17">
        <w:rPr>
          <w:bCs/>
        </w:rPr>
        <w:t xml:space="preserve">Tabela </w:t>
      </w:r>
      <w:r w:rsidR="00557849">
        <w:rPr>
          <w:bCs/>
        </w:rPr>
        <w:t>6</w:t>
      </w:r>
      <w:r w:rsidRPr="00DE4C17">
        <w:rPr>
          <w:bCs/>
        </w:rPr>
        <w:t>: Quantidade de empresas de auditoria que emitiram os relatórios estudados</w:t>
      </w:r>
    </w:p>
    <w:tbl>
      <w:tblPr>
        <w:tblW w:w="5000" w:type="pct"/>
        <w:jc w:val="center"/>
        <w:tblCellMar>
          <w:left w:w="70" w:type="dxa"/>
          <w:right w:w="70" w:type="dxa"/>
        </w:tblCellMar>
        <w:tblLook w:val="04A0" w:firstRow="1" w:lastRow="0" w:firstColumn="1" w:lastColumn="0" w:noHBand="0" w:noVBand="1"/>
      </w:tblPr>
      <w:tblGrid>
        <w:gridCol w:w="6241"/>
        <w:gridCol w:w="1412"/>
        <w:gridCol w:w="1412"/>
      </w:tblGrid>
      <w:tr w:rsidR="00895992" w:rsidRPr="00DE4C17" w14:paraId="1C437520" w14:textId="77777777" w:rsidTr="0071485C">
        <w:trPr>
          <w:trHeight w:val="94"/>
          <w:jc w:val="center"/>
        </w:trPr>
        <w:tc>
          <w:tcPr>
            <w:tcW w:w="3441" w:type="pct"/>
            <w:tcBorders>
              <w:top w:val="single" w:sz="8" w:space="0" w:color="auto"/>
              <w:left w:val="nil"/>
              <w:bottom w:val="single" w:sz="8" w:space="0" w:color="auto"/>
              <w:right w:val="single" w:sz="4" w:space="0" w:color="auto"/>
            </w:tcBorders>
            <w:shd w:val="clear" w:color="000000" w:fill="DDD9C4"/>
            <w:vAlign w:val="center"/>
            <w:hideMark/>
          </w:tcPr>
          <w:p w14:paraId="2FF63BB0" w14:textId="77777777" w:rsidR="00895992" w:rsidRPr="00DE4C17" w:rsidRDefault="00895992" w:rsidP="0071485C">
            <w:pPr>
              <w:jc w:val="center"/>
              <w:rPr>
                <w:b/>
                <w:bCs/>
              </w:rPr>
            </w:pPr>
            <w:r w:rsidRPr="00DE4C17">
              <w:rPr>
                <w:b/>
                <w:bCs/>
              </w:rPr>
              <w:t>Auditoria</w:t>
            </w:r>
          </w:p>
        </w:tc>
        <w:tc>
          <w:tcPr>
            <w:tcW w:w="779" w:type="pct"/>
            <w:tcBorders>
              <w:top w:val="single" w:sz="8" w:space="0" w:color="auto"/>
              <w:left w:val="nil"/>
              <w:bottom w:val="single" w:sz="8" w:space="0" w:color="auto"/>
              <w:right w:val="single" w:sz="4" w:space="0" w:color="auto"/>
            </w:tcBorders>
            <w:shd w:val="clear" w:color="000000" w:fill="DDD9C4"/>
            <w:vAlign w:val="center"/>
            <w:hideMark/>
          </w:tcPr>
          <w:p w14:paraId="145CAD93" w14:textId="77777777" w:rsidR="00895992" w:rsidRPr="00DE4C17" w:rsidRDefault="00895992" w:rsidP="0071485C">
            <w:pPr>
              <w:jc w:val="center"/>
              <w:rPr>
                <w:b/>
                <w:bCs/>
              </w:rPr>
            </w:pPr>
            <w:r w:rsidRPr="00DE4C17">
              <w:rPr>
                <w:b/>
                <w:bCs/>
              </w:rPr>
              <w:t>Freq</w:t>
            </w:r>
          </w:p>
        </w:tc>
        <w:tc>
          <w:tcPr>
            <w:tcW w:w="779" w:type="pct"/>
            <w:tcBorders>
              <w:top w:val="single" w:sz="8" w:space="0" w:color="auto"/>
              <w:left w:val="nil"/>
              <w:bottom w:val="single" w:sz="8" w:space="0" w:color="auto"/>
              <w:right w:val="nil"/>
            </w:tcBorders>
            <w:shd w:val="clear" w:color="000000" w:fill="DDD9C4"/>
            <w:vAlign w:val="center"/>
            <w:hideMark/>
          </w:tcPr>
          <w:p w14:paraId="427BA3B0" w14:textId="77777777" w:rsidR="00895992" w:rsidRPr="00DE4C17" w:rsidRDefault="00895992" w:rsidP="0071485C">
            <w:pPr>
              <w:jc w:val="center"/>
              <w:rPr>
                <w:b/>
                <w:bCs/>
              </w:rPr>
            </w:pPr>
            <w:r w:rsidRPr="00DE4C17">
              <w:rPr>
                <w:b/>
                <w:bCs/>
              </w:rPr>
              <w:t>%</w:t>
            </w:r>
          </w:p>
        </w:tc>
      </w:tr>
      <w:tr w:rsidR="00895992" w:rsidRPr="00DE4C17" w14:paraId="7A943D90" w14:textId="77777777" w:rsidTr="0071485C">
        <w:trPr>
          <w:trHeight w:val="112"/>
          <w:jc w:val="center"/>
        </w:trPr>
        <w:tc>
          <w:tcPr>
            <w:tcW w:w="3441" w:type="pct"/>
            <w:tcBorders>
              <w:top w:val="nil"/>
              <w:left w:val="nil"/>
              <w:bottom w:val="single" w:sz="4" w:space="0" w:color="auto"/>
              <w:right w:val="single" w:sz="4" w:space="0" w:color="auto"/>
            </w:tcBorders>
            <w:shd w:val="clear" w:color="auto" w:fill="auto"/>
            <w:vAlign w:val="center"/>
            <w:hideMark/>
          </w:tcPr>
          <w:p w14:paraId="62F10C76" w14:textId="77777777" w:rsidR="00895992" w:rsidRPr="00DE4C17" w:rsidRDefault="00895992" w:rsidP="0071485C">
            <w:r w:rsidRPr="00DE4C17">
              <w:t xml:space="preserve">KPMG Auditores Independentes </w:t>
            </w:r>
          </w:p>
        </w:tc>
        <w:tc>
          <w:tcPr>
            <w:tcW w:w="779" w:type="pct"/>
            <w:tcBorders>
              <w:top w:val="nil"/>
              <w:left w:val="nil"/>
              <w:bottom w:val="single" w:sz="4" w:space="0" w:color="auto"/>
              <w:right w:val="single" w:sz="4" w:space="0" w:color="auto"/>
            </w:tcBorders>
            <w:shd w:val="clear" w:color="auto" w:fill="auto"/>
            <w:vAlign w:val="center"/>
            <w:hideMark/>
          </w:tcPr>
          <w:p w14:paraId="547801C7" w14:textId="77777777" w:rsidR="00895992" w:rsidRPr="00DE4C17" w:rsidRDefault="00895992" w:rsidP="0071485C">
            <w:pPr>
              <w:jc w:val="center"/>
            </w:pPr>
            <w:r w:rsidRPr="00DE4C17">
              <w:t>100</w:t>
            </w:r>
          </w:p>
        </w:tc>
        <w:tc>
          <w:tcPr>
            <w:tcW w:w="779" w:type="pct"/>
            <w:tcBorders>
              <w:top w:val="nil"/>
              <w:left w:val="nil"/>
              <w:bottom w:val="single" w:sz="4" w:space="0" w:color="auto"/>
              <w:right w:val="nil"/>
            </w:tcBorders>
            <w:shd w:val="clear" w:color="auto" w:fill="auto"/>
            <w:vAlign w:val="center"/>
            <w:hideMark/>
          </w:tcPr>
          <w:p w14:paraId="1AE91340" w14:textId="77777777" w:rsidR="00895992" w:rsidRPr="00DE4C17" w:rsidRDefault="00895992" w:rsidP="0071485C">
            <w:pPr>
              <w:jc w:val="center"/>
            </w:pPr>
            <w:r w:rsidRPr="00DE4C17">
              <w:t>25,58%</w:t>
            </w:r>
          </w:p>
        </w:tc>
      </w:tr>
      <w:tr w:rsidR="00895992" w:rsidRPr="00DE4C17" w14:paraId="6ED7A9D9" w14:textId="77777777" w:rsidTr="0071485C">
        <w:trPr>
          <w:trHeight w:val="140"/>
          <w:jc w:val="center"/>
        </w:trPr>
        <w:tc>
          <w:tcPr>
            <w:tcW w:w="3441" w:type="pct"/>
            <w:tcBorders>
              <w:top w:val="nil"/>
              <w:left w:val="nil"/>
              <w:bottom w:val="single" w:sz="4" w:space="0" w:color="auto"/>
              <w:right w:val="single" w:sz="4" w:space="0" w:color="auto"/>
            </w:tcBorders>
            <w:shd w:val="clear" w:color="auto" w:fill="auto"/>
            <w:vAlign w:val="center"/>
            <w:hideMark/>
          </w:tcPr>
          <w:p w14:paraId="240AA9D0" w14:textId="77777777" w:rsidR="00895992" w:rsidRPr="00DE4C17" w:rsidRDefault="00895992" w:rsidP="0071485C">
            <w:pPr>
              <w:rPr>
                <w:lang w:val="en-US"/>
              </w:rPr>
            </w:pPr>
            <w:r w:rsidRPr="00DE4C17">
              <w:rPr>
                <w:lang w:val="en-US"/>
              </w:rPr>
              <w:t>ERNST &amp; YOUNG Auditores Independentes S.S.</w:t>
            </w:r>
          </w:p>
        </w:tc>
        <w:tc>
          <w:tcPr>
            <w:tcW w:w="779" w:type="pct"/>
            <w:tcBorders>
              <w:top w:val="nil"/>
              <w:left w:val="nil"/>
              <w:bottom w:val="single" w:sz="4" w:space="0" w:color="auto"/>
              <w:right w:val="single" w:sz="4" w:space="0" w:color="auto"/>
            </w:tcBorders>
            <w:shd w:val="clear" w:color="auto" w:fill="auto"/>
            <w:vAlign w:val="center"/>
            <w:hideMark/>
          </w:tcPr>
          <w:p w14:paraId="482144A3" w14:textId="77777777" w:rsidR="00895992" w:rsidRPr="00DE4C17" w:rsidRDefault="00895992" w:rsidP="0071485C">
            <w:pPr>
              <w:jc w:val="center"/>
            </w:pPr>
            <w:r w:rsidRPr="00DE4C17">
              <w:t>70</w:t>
            </w:r>
          </w:p>
        </w:tc>
        <w:tc>
          <w:tcPr>
            <w:tcW w:w="779" w:type="pct"/>
            <w:tcBorders>
              <w:top w:val="nil"/>
              <w:left w:val="nil"/>
              <w:bottom w:val="single" w:sz="4" w:space="0" w:color="auto"/>
              <w:right w:val="nil"/>
            </w:tcBorders>
            <w:shd w:val="clear" w:color="auto" w:fill="auto"/>
            <w:vAlign w:val="center"/>
            <w:hideMark/>
          </w:tcPr>
          <w:p w14:paraId="3F530445" w14:textId="77777777" w:rsidR="00895992" w:rsidRPr="00DE4C17" w:rsidRDefault="00895992" w:rsidP="0071485C">
            <w:pPr>
              <w:jc w:val="center"/>
            </w:pPr>
            <w:r w:rsidRPr="00DE4C17">
              <w:t>17,90%</w:t>
            </w:r>
          </w:p>
        </w:tc>
      </w:tr>
      <w:tr w:rsidR="00895992" w:rsidRPr="00DE4C17" w14:paraId="6832CE75" w14:textId="77777777" w:rsidTr="0071485C">
        <w:trPr>
          <w:trHeight w:val="130"/>
          <w:jc w:val="center"/>
        </w:trPr>
        <w:tc>
          <w:tcPr>
            <w:tcW w:w="3441" w:type="pct"/>
            <w:tcBorders>
              <w:top w:val="nil"/>
              <w:left w:val="nil"/>
              <w:bottom w:val="single" w:sz="4" w:space="0" w:color="auto"/>
              <w:right w:val="single" w:sz="4" w:space="0" w:color="auto"/>
            </w:tcBorders>
            <w:shd w:val="clear" w:color="auto" w:fill="auto"/>
            <w:vAlign w:val="center"/>
            <w:hideMark/>
          </w:tcPr>
          <w:p w14:paraId="629BE16A" w14:textId="77777777" w:rsidR="00895992" w:rsidRPr="00DE4C17" w:rsidRDefault="00895992" w:rsidP="0071485C">
            <w:r w:rsidRPr="00DE4C17">
              <w:t>PricewaterhouseCoopers Auditores Independentes (PwC)</w:t>
            </w:r>
          </w:p>
        </w:tc>
        <w:tc>
          <w:tcPr>
            <w:tcW w:w="779" w:type="pct"/>
            <w:tcBorders>
              <w:top w:val="nil"/>
              <w:left w:val="nil"/>
              <w:bottom w:val="single" w:sz="4" w:space="0" w:color="auto"/>
              <w:right w:val="single" w:sz="4" w:space="0" w:color="auto"/>
            </w:tcBorders>
            <w:shd w:val="clear" w:color="auto" w:fill="auto"/>
            <w:vAlign w:val="center"/>
            <w:hideMark/>
          </w:tcPr>
          <w:p w14:paraId="11239BD1" w14:textId="77777777" w:rsidR="00895992" w:rsidRPr="00DE4C17" w:rsidRDefault="00895992" w:rsidP="0071485C">
            <w:pPr>
              <w:jc w:val="center"/>
            </w:pPr>
            <w:r w:rsidRPr="00DE4C17">
              <w:t>66</w:t>
            </w:r>
          </w:p>
        </w:tc>
        <w:tc>
          <w:tcPr>
            <w:tcW w:w="779" w:type="pct"/>
            <w:tcBorders>
              <w:top w:val="nil"/>
              <w:left w:val="nil"/>
              <w:bottom w:val="single" w:sz="4" w:space="0" w:color="auto"/>
              <w:right w:val="nil"/>
            </w:tcBorders>
            <w:shd w:val="clear" w:color="auto" w:fill="auto"/>
            <w:vAlign w:val="center"/>
            <w:hideMark/>
          </w:tcPr>
          <w:p w14:paraId="1E1D6184" w14:textId="77777777" w:rsidR="00895992" w:rsidRPr="00DE4C17" w:rsidRDefault="00895992" w:rsidP="0071485C">
            <w:pPr>
              <w:jc w:val="center"/>
            </w:pPr>
            <w:r w:rsidRPr="00DE4C17">
              <w:t>16,88%</w:t>
            </w:r>
          </w:p>
        </w:tc>
      </w:tr>
      <w:tr w:rsidR="00895992" w:rsidRPr="00DE4C17" w14:paraId="4B688760" w14:textId="77777777" w:rsidTr="0071485C">
        <w:trPr>
          <w:trHeight w:val="90"/>
          <w:jc w:val="center"/>
        </w:trPr>
        <w:tc>
          <w:tcPr>
            <w:tcW w:w="3441" w:type="pct"/>
            <w:tcBorders>
              <w:top w:val="nil"/>
              <w:left w:val="nil"/>
              <w:bottom w:val="single" w:sz="4" w:space="0" w:color="auto"/>
              <w:right w:val="single" w:sz="4" w:space="0" w:color="auto"/>
            </w:tcBorders>
            <w:shd w:val="clear" w:color="auto" w:fill="auto"/>
            <w:vAlign w:val="center"/>
            <w:hideMark/>
          </w:tcPr>
          <w:p w14:paraId="00273F9D" w14:textId="77777777" w:rsidR="00895992" w:rsidRPr="00DE4C17" w:rsidRDefault="00895992" w:rsidP="0071485C">
            <w:r w:rsidRPr="00DE4C17">
              <w:t xml:space="preserve">DELOITTE TOUCHE TOHMATSU </w:t>
            </w:r>
          </w:p>
        </w:tc>
        <w:tc>
          <w:tcPr>
            <w:tcW w:w="779" w:type="pct"/>
            <w:tcBorders>
              <w:top w:val="nil"/>
              <w:left w:val="nil"/>
              <w:bottom w:val="single" w:sz="4" w:space="0" w:color="auto"/>
              <w:right w:val="single" w:sz="4" w:space="0" w:color="auto"/>
            </w:tcBorders>
            <w:shd w:val="clear" w:color="auto" w:fill="auto"/>
            <w:vAlign w:val="center"/>
            <w:hideMark/>
          </w:tcPr>
          <w:p w14:paraId="7CC02D18" w14:textId="77777777" w:rsidR="00895992" w:rsidRPr="00DE4C17" w:rsidRDefault="00895992" w:rsidP="0071485C">
            <w:pPr>
              <w:jc w:val="center"/>
            </w:pPr>
            <w:r w:rsidRPr="00DE4C17">
              <w:t>56</w:t>
            </w:r>
          </w:p>
        </w:tc>
        <w:tc>
          <w:tcPr>
            <w:tcW w:w="779" w:type="pct"/>
            <w:tcBorders>
              <w:top w:val="nil"/>
              <w:left w:val="nil"/>
              <w:bottom w:val="single" w:sz="4" w:space="0" w:color="auto"/>
              <w:right w:val="nil"/>
            </w:tcBorders>
            <w:shd w:val="clear" w:color="auto" w:fill="auto"/>
            <w:vAlign w:val="center"/>
            <w:hideMark/>
          </w:tcPr>
          <w:p w14:paraId="738EE15C" w14:textId="77777777" w:rsidR="00895992" w:rsidRPr="00DE4C17" w:rsidRDefault="00895992" w:rsidP="0071485C">
            <w:pPr>
              <w:jc w:val="center"/>
            </w:pPr>
            <w:r w:rsidRPr="00DE4C17">
              <w:t>14,32%</w:t>
            </w:r>
          </w:p>
        </w:tc>
      </w:tr>
      <w:tr w:rsidR="00895992" w:rsidRPr="00DE4C17" w14:paraId="28695138" w14:textId="77777777" w:rsidTr="0071485C">
        <w:trPr>
          <w:trHeight w:val="238"/>
          <w:jc w:val="center"/>
        </w:trPr>
        <w:tc>
          <w:tcPr>
            <w:tcW w:w="3441" w:type="pct"/>
            <w:tcBorders>
              <w:top w:val="nil"/>
              <w:left w:val="nil"/>
              <w:bottom w:val="single" w:sz="4" w:space="0" w:color="auto"/>
              <w:right w:val="single" w:sz="4" w:space="0" w:color="auto"/>
            </w:tcBorders>
            <w:shd w:val="clear" w:color="auto" w:fill="auto"/>
            <w:vAlign w:val="center"/>
            <w:hideMark/>
          </w:tcPr>
          <w:p w14:paraId="041E3895" w14:textId="77777777" w:rsidR="00895992" w:rsidRPr="00DE4C17" w:rsidRDefault="00895992" w:rsidP="0071485C">
            <w:r w:rsidRPr="00DE4C17">
              <w:t>BDO RCS Auditores Independentes S.S.</w:t>
            </w:r>
          </w:p>
        </w:tc>
        <w:tc>
          <w:tcPr>
            <w:tcW w:w="779" w:type="pct"/>
            <w:tcBorders>
              <w:top w:val="nil"/>
              <w:left w:val="nil"/>
              <w:bottom w:val="single" w:sz="4" w:space="0" w:color="auto"/>
              <w:right w:val="single" w:sz="4" w:space="0" w:color="auto"/>
            </w:tcBorders>
            <w:shd w:val="clear" w:color="auto" w:fill="auto"/>
            <w:vAlign w:val="center"/>
            <w:hideMark/>
          </w:tcPr>
          <w:p w14:paraId="166D6347" w14:textId="77777777" w:rsidR="00895992" w:rsidRPr="00DE4C17" w:rsidRDefault="00895992" w:rsidP="0071485C">
            <w:pPr>
              <w:jc w:val="center"/>
            </w:pPr>
            <w:r w:rsidRPr="00DE4C17">
              <w:t>33</w:t>
            </w:r>
          </w:p>
        </w:tc>
        <w:tc>
          <w:tcPr>
            <w:tcW w:w="779" w:type="pct"/>
            <w:tcBorders>
              <w:top w:val="nil"/>
              <w:left w:val="nil"/>
              <w:bottom w:val="single" w:sz="4" w:space="0" w:color="auto"/>
              <w:right w:val="nil"/>
            </w:tcBorders>
            <w:shd w:val="clear" w:color="auto" w:fill="auto"/>
            <w:vAlign w:val="center"/>
            <w:hideMark/>
          </w:tcPr>
          <w:p w14:paraId="7D8668A4" w14:textId="77777777" w:rsidR="00895992" w:rsidRPr="00DE4C17" w:rsidRDefault="00895992" w:rsidP="0071485C">
            <w:pPr>
              <w:jc w:val="center"/>
            </w:pPr>
            <w:r w:rsidRPr="00DE4C17">
              <w:t>8,44%</w:t>
            </w:r>
          </w:p>
        </w:tc>
      </w:tr>
      <w:tr w:rsidR="00895992" w:rsidRPr="00DE4C17" w14:paraId="7F4D762B" w14:textId="77777777" w:rsidTr="0071485C">
        <w:trPr>
          <w:trHeight w:val="200"/>
          <w:jc w:val="center"/>
        </w:trPr>
        <w:tc>
          <w:tcPr>
            <w:tcW w:w="3441" w:type="pct"/>
            <w:tcBorders>
              <w:top w:val="nil"/>
              <w:left w:val="nil"/>
              <w:bottom w:val="single" w:sz="4" w:space="0" w:color="auto"/>
              <w:right w:val="single" w:sz="4" w:space="0" w:color="auto"/>
            </w:tcBorders>
            <w:shd w:val="clear" w:color="auto" w:fill="auto"/>
            <w:vAlign w:val="center"/>
            <w:hideMark/>
          </w:tcPr>
          <w:p w14:paraId="6B5D8BB6" w14:textId="77777777" w:rsidR="00895992" w:rsidRPr="00DE4C17" w:rsidRDefault="00895992" w:rsidP="0071485C">
            <w:r w:rsidRPr="00DE4C17">
              <w:t>Grant Thornton Auditores Independentes</w:t>
            </w:r>
          </w:p>
        </w:tc>
        <w:tc>
          <w:tcPr>
            <w:tcW w:w="779" w:type="pct"/>
            <w:tcBorders>
              <w:top w:val="nil"/>
              <w:left w:val="nil"/>
              <w:bottom w:val="single" w:sz="4" w:space="0" w:color="auto"/>
              <w:right w:val="single" w:sz="4" w:space="0" w:color="auto"/>
            </w:tcBorders>
            <w:shd w:val="clear" w:color="auto" w:fill="auto"/>
            <w:vAlign w:val="center"/>
            <w:hideMark/>
          </w:tcPr>
          <w:p w14:paraId="7EC5B20F" w14:textId="77777777" w:rsidR="00895992" w:rsidRPr="00DE4C17" w:rsidRDefault="00895992" w:rsidP="0071485C">
            <w:pPr>
              <w:jc w:val="center"/>
            </w:pPr>
            <w:r w:rsidRPr="00DE4C17">
              <w:t>13</w:t>
            </w:r>
          </w:p>
        </w:tc>
        <w:tc>
          <w:tcPr>
            <w:tcW w:w="779" w:type="pct"/>
            <w:tcBorders>
              <w:top w:val="nil"/>
              <w:left w:val="nil"/>
              <w:bottom w:val="single" w:sz="4" w:space="0" w:color="auto"/>
              <w:right w:val="nil"/>
            </w:tcBorders>
            <w:shd w:val="clear" w:color="auto" w:fill="auto"/>
            <w:vAlign w:val="center"/>
            <w:hideMark/>
          </w:tcPr>
          <w:p w14:paraId="014CEDDA" w14:textId="77777777" w:rsidR="00895992" w:rsidRPr="00DE4C17" w:rsidRDefault="00895992" w:rsidP="0071485C">
            <w:pPr>
              <w:jc w:val="center"/>
            </w:pPr>
            <w:r w:rsidRPr="00DE4C17">
              <w:t>3,32%</w:t>
            </w:r>
          </w:p>
        </w:tc>
      </w:tr>
      <w:tr w:rsidR="00895992" w:rsidRPr="00DE4C17" w14:paraId="770415E7" w14:textId="77777777" w:rsidTr="0071485C">
        <w:trPr>
          <w:trHeight w:val="90"/>
          <w:jc w:val="center"/>
        </w:trPr>
        <w:tc>
          <w:tcPr>
            <w:tcW w:w="3441" w:type="pct"/>
            <w:tcBorders>
              <w:top w:val="nil"/>
              <w:left w:val="nil"/>
              <w:bottom w:val="single" w:sz="4" w:space="0" w:color="auto"/>
              <w:right w:val="single" w:sz="4" w:space="0" w:color="auto"/>
            </w:tcBorders>
            <w:shd w:val="clear" w:color="auto" w:fill="auto"/>
            <w:vAlign w:val="center"/>
            <w:hideMark/>
          </w:tcPr>
          <w:p w14:paraId="59BB55BE" w14:textId="77777777" w:rsidR="00895992" w:rsidRPr="00DE4C17" w:rsidRDefault="00895992" w:rsidP="0071485C">
            <w:r>
              <w:t>Não indicou o nome da empresa responsável</w:t>
            </w:r>
          </w:p>
        </w:tc>
        <w:tc>
          <w:tcPr>
            <w:tcW w:w="779" w:type="pct"/>
            <w:tcBorders>
              <w:top w:val="nil"/>
              <w:left w:val="nil"/>
              <w:bottom w:val="single" w:sz="4" w:space="0" w:color="auto"/>
              <w:right w:val="single" w:sz="4" w:space="0" w:color="auto"/>
            </w:tcBorders>
            <w:shd w:val="clear" w:color="auto" w:fill="auto"/>
            <w:vAlign w:val="center"/>
            <w:hideMark/>
          </w:tcPr>
          <w:p w14:paraId="02D544A7" w14:textId="77777777" w:rsidR="00895992" w:rsidRPr="00DE4C17" w:rsidRDefault="00895992" w:rsidP="0071485C">
            <w:pPr>
              <w:jc w:val="center"/>
              <w:rPr>
                <w:bCs/>
              </w:rPr>
            </w:pPr>
            <w:r w:rsidRPr="00DE4C17">
              <w:rPr>
                <w:bCs/>
              </w:rPr>
              <w:t>1</w:t>
            </w:r>
          </w:p>
        </w:tc>
        <w:tc>
          <w:tcPr>
            <w:tcW w:w="779" w:type="pct"/>
            <w:tcBorders>
              <w:top w:val="nil"/>
              <w:left w:val="nil"/>
              <w:bottom w:val="single" w:sz="4" w:space="0" w:color="auto"/>
              <w:right w:val="nil"/>
            </w:tcBorders>
            <w:shd w:val="clear" w:color="auto" w:fill="auto"/>
            <w:vAlign w:val="center"/>
            <w:hideMark/>
          </w:tcPr>
          <w:p w14:paraId="4AB759FD" w14:textId="77777777" w:rsidR="00895992" w:rsidRPr="00DE4C17" w:rsidRDefault="00895992" w:rsidP="0071485C">
            <w:pPr>
              <w:jc w:val="center"/>
            </w:pPr>
            <w:r w:rsidRPr="00DE4C17">
              <w:t>0,26%</w:t>
            </w:r>
          </w:p>
        </w:tc>
      </w:tr>
      <w:tr w:rsidR="00895992" w:rsidRPr="00DE4C17" w14:paraId="4F8F4370" w14:textId="77777777" w:rsidTr="0071485C">
        <w:trPr>
          <w:trHeight w:val="136"/>
          <w:jc w:val="center"/>
        </w:trPr>
        <w:tc>
          <w:tcPr>
            <w:tcW w:w="3441" w:type="pct"/>
            <w:tcBorders>
              <w:top w:val="nil"/>
              <w:left w:val="nil"/>
              <w:bottom w:val="single" w:sz="8" w:space="0" w:color="auto"/>
              <w:right w:val="single" w:sz="4" w:space="0" w:color="auto"/>
            </w:tcBorders>
            <w:shd w:val="clear" w:color="auto" w:fill="auto"/>
            <w:vAlign w:val="center"/>
            <w:hideMark/>
          </w:tcPr>
          <w:p w14:paraId="72C92B56" w14:textId="77777777" w:rsidR="00895992" w:rsidRPr="00DE4C17" w:rsidRDefault="00895992" w:rsidP="0071485C">
            <w:r w:rsidRPr="00DE4C17">
              <w:t xml:space="preserve">Compõe 40 </w:t>
            </w:r>
            <w:r>
              <w:t>o</w:t>
            </w:r>
            <w:r w:rsidRPr="00DE4C17">
              <w:t xml:space="preserve">utras </w:t>
            </w:r>
            <w:r>
              <w:t>a</w:t>
            </w:r>
            <w:r w:rsidRPr="00DE4C17">
              <w:t xml:space="preserve">uditorias ou </w:t>
            </w:r>
            <w:r>
              <w:t>a</w:t>
            </w:r>
            <w:r w:rsidRPr="00DE4C17">
              <w:t>u</w:t>
            </w:r>
            <w:r>
              <w:t>ditores i</w:t>
            </w:r>
            <w:r w:rsidRPr="00DE4C17">
              <w:t>ndependentes</w:t>
            </w:r>
          </w:p>
        </w:tc>
        <w:tc>
          <w:tcPr>
            <w:tcW w:w="779" w:type="pct"/>
            <w:tcBorders>
              <w:top w:val="nil"/>
              <w:left w:val="nil"/>
              <w:bottom w:val="single" w:sz="8" w:space="0" w:color="auto"/>
              <w:right w:val="single" w:sz="4" w:space="0" w:color="auto"/>
            </w:tcBorders>
            <w:shd w:val="clear" w:color="auto" w:fill="auto"/>
            <w:vAlign w:val="center"/>
            <w:hideMark/>
          </w:tcPr>
          <w:p w14:paraId="2A907C27" w14:textId="77777777" w:rsidR="00895992" w:rsidRPr="00DE4C17" w:rsidRDefault="00895992" w:rsidP="0071485C">
            <w:pPr>
              <w:jc w:val="center"/>
            </w:pPr>
            <w:r w:rsidRPr="00DE4C17">
              <w:t>52</w:t>
            </w:r>
          </w:p>
        </w:tc>
        <w:tc>
          <w:tcPr>
            <w:tcW w:w="779" w:type="pct"/>
            <w:tcBorders>
              <w:top w:val="nil"/>
              <w:left w:val="nil"/>
              <w:bottom w:val="single" w:sz="8" w:space="0" w:color="auto"/>
              <w:right w:val="nil"/>
            </w:tcBorders>
            <w:shd w:val="clear" w:color="auto" w:fill="auto"/>
            <w:vAlign w:val="center"/>
            <w:hideMark/>
          </w:tcPr>
          <w:p w14:paraId="03F7AC07" w14:textId="77777777" w:rsidR="00895992" w:rsidRPr="00DE4C17" w:rsidRDefault="00895992" w:rsidP="0071485C">
            <w:pPr>
              <w:jc w:val="center"/>
            </w:pPr>
            <w:r w:rsidRPr="00DE4C17">
              <w:t>13,30%</w:t>
            </w:r>
          </w:p>
        </w:tc>
      </w:tr>
    </w:tbl>
    <w:p w14:paraId="461AF0AF" w14:textId="5E16E3C6" w:rsidR="00895992" w:rsidRPr="00DE4C17" w:rsidRDefault="00895992" w:rsidP="00895992">
      <w:pPr>
        <w:jc w:val="center"/>
      </w:pPr>
      <w:r w:rsidRPr="00DE4C17">
        <w:t xml:space="preserve">Fonte: </w:t>
      </w:r>
      <w:r w:rsidR="00873942" w:rsidRPr="00DE4C17">
        <w:t>Elaborad</w:t>
      </w:r>
      <w:r w:rsidR="00873942">
        <w:t>a</w:t>
      </w:r>
      <w:r w:rsidR="00873942" w:rsidRPr="00DE4C17">
        <w:t xml:space="preserve"> pel</w:t>
      </w:r>
      <w:r w:rsidR="00873942">
        <w:t>os</w:t>
      </w:r>
      <w:r w:rsidR="00873942" w:rsidRPr="00DE4C17">
        <w:t xml:space="preserve"> autor</w:t>
      </w:r>
      <w:r w:rsidR="00873942">
        <w:t>es</w:t>
      </w:r>
      <w:r w:rsidR="00873942" w:rsidRPr="00DE4C17">
        <w:t xml:space="preserve"> </w:t>
      </w:r>
      <w:r w:rsidRPr="00DE4C17">
        <w:t>com base na coleta de dados</w:t>
      </w:r>
    </w:p>
    <w:p w14:paraId="457F53C6" w14:textId="77777777" w:rsidR="00895992" w:rsidRPr="00DE4C17" w:rsidRDefault="00895992" w:rsidP="00895992">
      <w:pPr>
        <w:ind w:firstLine="567"/>
        <w:jc w:val="both"/>
        <w:rPr>
          <w:sz w:val="24"/>
          <w:szCs w:val="24"/>
        </w:rPr>
      </w:pPr>
      <w:r w:rsidRPr="00DE4C17">
        <w:rPr>
          <w:sz w:val="24"/>
          <w:szCs w:val="24"/>
        </w:rPr>
        <w:lastRenderedPageBreak/>
        <w:t xml:space="preserve">Dentre as empresas de auditoria, destaca-se a KPMG, por concentrar o maior número de auditorias realizadas, representando quase 26% dos relatórios analisados. Foi possível verificar também que, apesar do predomínio das Big Four, a quinta empresa que mais emitiu relatórios de opinião na amostra, encontra-se a BDO RCS Auditores Independentes S.S., com participação de 8,44% e vem sendo destaque em crescimento profissional no ramo de auditoria nos últimos anos. </w:t>
      </w:r>
    </w:p>
    <w:p w14:paraId="40BD9B50" w14:textId="77777777" w:rsidR="00895992" w:rsidRPr="00DE4C17" w:rsidRDefault="00895992" w:rsidP="00895992">
      <w:pPr>
        <w:ind w:firstLine="567"/>
        <w:jc w:val="both"/>
        <w:rPr>
          <w:sz w:val="24"/>
          <w:szCs w:val="24"/>
        </w:rPr>
      </w:pPr>
      <w:r w:rsidRPr="00DE4C17">
        <w:rPr>
          <w:sz w:val="24"/>
          <w:szCs w:val="24"/>
        </w:rPr>
        <w:t>Este resultado é convergente com o identificado por Silva et al. (2014), quando realizaram a análise de 31 relatórios de opinião de companhias referente aos anos de 2011 e 2012, no qual eles constataram que 96,8% desses relatórios foram emitidos pelas quatro maiores empresas de auditoria do mundo, que são as mesmas empresas listadas neste estudo.</w:t>
      </w:r>
    </w:p>
    <w:p w14:paraId="44FC115F" w14:textId="2F2D1100" w:rsidR="00895992" w:rsidRPr="00DE4C17" w:rsidRDefault="00895992" w:rsidP="00895992">
      <w:pPr>
        <w:ind w:firstLine="567"/>
        <w:jc w:val="both"/>
        <w:rPr>
          <w:sz w:val="24"/>
          <w:szCs w:val="24"/>
        </w:rPr>
      </w:pPr>
      <w:r w:rsidRPr="00DE4C17">
        <w:rPr>
          <w:sz w:val="24"/>
          <w:szCs w:val="24"/>
        </w:rPr>
        <w:t xml:space="preserve">Na Tabela </w:t>
      </w:r>
      <w:r w:rsidR="00557849">
        <w:rPr>
          <w:sz w:val="24"/>
          <w:szCs w:val="24"/>
        </w:rPr>
        <w:t>7</w:t>
      </w:r>
      <w:r w:rsidR="00557849" w:rsidRPr="00DE4C17">
        <w:rPr>
          <w:sz w:val="24"/>
          <w:szCs w:val="24"/>
        </w:rPr>
        <w:t xml:space="preserve"> </w:t>
      </w:r>
      <w:r w:rsidRPr="00DE4C17">
        <w:rPr>
          <w:sz w:val="24"/>
          <w:szCs w:val="24"/>
        </w:rPr>
        <w:t>é representada a quantidade de assuntos que são indicados no parágrafo de ênfase ao longo das empresas analisadas.</w:t>
      </w:r>
    </w:p>
    <w:p w14:paraId="15334407" w14:textId="77777777" w:rsidR="00895992" w:rsidRPr="00DE4C17" w:rsidRDefault="00895992" w:rsidP="00895992">
      <w:pPr>
        <w:ind w:firstLine="567"/>
        <w:jc w:val="both"/>
        <w:rPr>
          <w:sz w:val="24"/>
          <w:szCs w:val="24"/>
        </w:rPr>
      </w:pPr>
    </w:p>
    <w:p w14:paraId="6AC58433" w14:textId="6EF20051" w:rsidR="00895992" w:rsidRPr="00DE4C17" w:rsidRDefault="00895992" w:rsidP="00895992">
      <w:pPr>
        <w:shd w:val="clear" w:color="auto" w:fill="FFFFFF"/>
        <w:jc w:val="center"/>
      </w:pPr>
      <w:r w:rsidRPr="00DE4C17">
        <w:rPr>
          <w:bCs/>
        </w:rPr>
        <w:t xml:space="preserve">Tabela </w:t>
      </w:r>
      <w:r w:rsidR="00557849">
        <w:rPr>
          <w:bCs/>
        </w:rPr>
        <w:t>7</w:t>
      </w:r>
      <w:r w:rsidRPr="00DE4C17">
        <w:rPr>
          <w:bCs/>
        </w:rPr>
        <w:t>: Quantidade de assuntos abordados no parágrafo de ênfase</w:t>
      </w:r>
    </w:p>
    <w:tbl>
      <w:tblPr>
        <w:tblW w:w="5000" w:type="pct"/>
        <w:jc w:val="center"/>
        <w:tblCellMar>
          <w:left w:w="70" w:type="dxa"/>
          <w:right w:w="70" w:type="dxa"/>
        </w:tblCellMar>
        <w:tblLook w:val="04A0" w:firstRow="1" w:lastRow="0" w:firstColumn="1" w:lastColumn="0" w:noHBand="0" w:noVBand="1"/>
      </w:tblPr>
      <w:tblGrid>
        <w:gridCol w:w="5372"/>
        <w:gridCol w:w="1958"/>
        <w:gridCol w:w="1735"/>
      </w:tblGrid>
      <w:tr w:rsidR="00895992" w:rsidRPr="00DE4C17" w14:paraId="2C989544" w14:textId="77777777" w:rsidTr="0071485C">
        <w:trPr>
          <w:trHeight w:val="20"/>
          <w:jc w:val="center"/>
        </w:trPr>
        <w:tc>
          <w:tcPr>
            <w:tcW w:w="2963" w:type="pct"/>
            <w:tcBorders>
              <w:top w:val="single" w:sz="8" w:space="0" w:color="auto"/>
              <w:left w:val="nil"/>
              <w:bottom w:val="single" w:sz="8" w:space="0" w:color="auto"/>
              <w:right w:val="single" w:sz="4" w:space="0" w:color="auto"/>
            </w:tcBorders>
            <w:shd w:val="clear" w:color="000000" w:fill="DDD9C4"/>
            <w:vAlign w:val="center"/>
            <w:hideMark/>
          </w:tcPr>
          <w:p w14:paraId="366D998E" w14:textId="77777777" w:rsidR="00895992" w:rsidRPr="00DE4C17" w:rsidRDefault="00895992" w:rsidP="0071485C">
            <w:pPr>
              <w:jc w:val="center"/>
              <w:rPr>
                <w:b/>
                <w:bCs/>
              </w:rPr>
            </w:pPr>
            <w:r w:rsidRPr="00DE4C17">
              <w:rPr>
                <w:b/>
                <w:bCs/>
              </w:rPr>
              <w:t>Quantidade Assuntos Abordados</w:t>
            </w:r>
          </w:p>
        </w:tc>
        <w:tc>
          <w:tcPr>
            <w:tcW w:w="1080" w:type="pct"/>
            <w:tcBorders>
              <w:top w:val="single" w:sz="8" w:space="0" w:color="auto"/>
              <w:left w:val="nil"/>
              <w:bottom w:val="single" w:sz="8" w:space="0" w:color="auto"/>
              <w:right w:val="single" w:sz="4" w:space="0" w:color="auto"/>
            </w:tcBorders>
            <w:shd w:val="clear" w:color="000000" w:fill="DDD9C4"/>
            <w:vAlign w:val="center"/>
            <w:hideMark/>
          </w:tcPr>
          <w:p w14:paraId="25A8AE56" w14:textId="77777777" w:rsidR="00895992" w:rsidRPr="00DE4C17" w:rsidRDefault="00895992" w:rsidP="0071485C">
            <w:pPr>
              <w:jc w:val="center"/>
              <w:rPr>
                <w:b/>
                <w:bCs/>
              </w:rPr>
            </w:pPr>
            <w:r w:rsidRPr="00DE4C17">
              <w:rPr>
                <w:b/>
                <w:bCs/>
              </w:rPr>
              <w:t>Relatórios</w:t>
            </w:r>
          </w:p>
        </w:tc>
        <w:tc>
          <w:tcPr>
            <w:tcW w:w="957" w:type="pct"/>
            <w:tcBorders>
              <w:top w:val="single" w:sz="8" w:space="0" w:color="auto"/>
              <w:left w:val="nil"/>
              <w:bottom w:val="single" w:sz="8" w:space="0" w:color="auto"/>
              <w:right w:val="nil"/>
            </w:tcBorders>
            <w:shd w:val="clear" w:color="000000" w:fill="DDD9C4"/>
            <w:vAlign w:val="center"/>
            <w:hideMark/>
          </w:tcPr>
          <w:p w14:paraId="5334D33C" w14:textId="77777777" w:rsidR="00895992" w:rsidRPr="00DE4C17" w:rsidRDefault="00895992" w:rsidP="0071485C">
            <w:pPr>
              <w:jc w:val="center"/>
              <w:rPr>
                <w:b/>
                <w:bCs/>
              </w:rPr>
            </w:pPr>
            <w:r w:rsidRPr="00DE4C17">
              <w:rPr>
                <w:b/>
                <w:bCs/>
              </w:rPr>
              <w:t>Freq (%)</w:t>
            </w:r>
          </w:p>
        </w:tc>
      </w:tr>
      <w:tr w:rsidR="00895992" w:rsidRPr="00DE4C17" w14:paraId="23683815" w14:textId="77777777" w:rsidTr="0071485C">
        <w:trPr>
          <w:trHeight w:val="20"/>
          <w:jc w:val="center"/>
        </w:trPr>
        <w:tc>
          <w:tcPr>
            <w:tcW w:w="2963" w:type="pct"/>
            <w:tcBorders>
              <w:top w:val="nil"/>
              <w:left w:val="nil"/>
              <w:bottom w:val="single" w:sz="4" w:space="0" w:color="auto"/>
              <w:right w:val="single" w:sz="4" w:space="0" w:color="auto"/>
            </w:tcBorders>
            <w:shd w:val="clear" w:color="auto" w:fill="auto"/>
            <w:vAlign w:val="center"/>
            <w:hideMark/>
          </w:tcPr>
          <w:p w14:paraId="74A31DD4" w14:textId="77777777" w:rsidR="00895992" w:rsidRPr="00DE4C17" w:rsidRDefault="00895992" w:rsidP="0071485C">
            <w:r w:rsidRPr="00DE4C17">
              <w:t xml:space="preserve">Não possui </w:t>
            </w:r>
            <w:r w:rsidR="006B462B" w:rsidRPr="00DE4C17">
              <w:t>parágrafo</w:t>
            </w:r>
            <w:r w:rsidRPr="00DE4C17">
              <w:t xml:space="preserve"> de ênfase</w:t>
            </w:r>
          </w:p>
        </w:tc>
        <w:tc>
          <w:tcPr>
            <w:tcW w:w="1080" w:type="pct"/>
            <w:tcBorders>
              <w:top w:val="nil"/>
              <w:left w:val="nil"/>
              <w:bottom w:val="single" w:sz="4" w:space="0" w:color="auto"/>
              <w:right w:val="single" w:sz="4" w:space="0" w:color="auto"/>
            </w:tcBorders>
            <w:shd w:val="clear" w:color="auto" w:fill="auto"/>
            <w:vAlign w:val="center"/>
            <w:hideMark/>
          </w:tcPr>
          <w:p w14:paraId="30BC3CD6" w14:textId="77777777" w:rsidR="00895992" w:rsidRPr="00DE4C17" w:rsidRDefault="00895992" w:rsidP="0071485C">
            <w:pPr>
              <w:jc w:val="center"/>
            </w:pPr>
            <w:r w:rsidRPr="00DE4C17">
              <w:t>276</w:t>
            </w:r>
          </w:p>
        </w:tc>
        <w:tc>
          <w:tcPr>
            <w:tcW w:w="957" w:type="pct"/>
            <w:tcBorders>
              <w:top w:val="nil"/>
              <w:left w:val="nil"/>
              <w:bottom w:val="single" w:sz="4" w:space="0" w:color="auto"/>
              <w:right w:val="nil"/>
            </w:tcBorders>
            <w:shd w:val="clear" w:color="auto" w:fill="auto"/>
            <w:vAlign w:val="center"/>
            <w:hideMark/>
          </w:tcPr>
          <w:p w14:paraId="4076AA18" w14:textId="77777777" w:rsidR="00895992" w:rsidRPr="00DE4C17" w:rsidRDefault="00895992" w:rsidP="0071485C">
            <w:pPr>
              <w:jc w:val="center"/>
            </w:pPr>
            <w:r w:rsidRPr="00DE4C17">
              <w:t>70,59%</w:t>
            </w:r>
          </w:p>
        </w:tc>
      </w:tr>
      <w:tr w:rsidR="00895992" w:rsidRPr="00DE4C17" w14:paraId="6E744AC9" w14:textId="77777777" w:rsidTr="0071485C">
        <w:trPr>
          <w:trHeight w:val="20"/>
          <w:jc w:val="center"/>
        </w:trPr>
        <w:tc>
          <w:tcPr>
            <w:tcW w:w="2963" w:type="pct"/>
            <w:tcBorders>
              <w:top w:val="nil"/>
              <w:left w:val="nil"/>
              <w:bottom w:val="single" w:sz="4" w:space="0" w:color="auto"/>
              <w:right w:val="single" w:sz="4" w:space="0" w:color="auto"/>
            </w:tcBorders>
            <w:shd w:val="clear" w:color="auto" w:fill="auto"/>
            <w:vAlign w:val="center"/>
            <w:hideMark/>
          </w:tcPr>
          <w:p w14:paraId="703C3D8A" w14:textId="77777777" w:rsidR="00895992" w:rsidRPr="00DE4C17" w:rsidRDefault="00895992" w:rsidP="0071485C">
            <w:r w:rsidRPr="00DE4C17">
              <w:t>Um assunto</w:t>
            </w:r>
          </w:p>
        </w:tc>
        <w:tc>
          <w:tcPr>
            <w:tcW w:w="1080" w:type="pct"/>
            <w:tcBorders>
              <w:top w:val="nil"/>
              <w:left w:val="nil"/>
              <w:bottom w:val="single" w:sz="4" w:space="0" w:color="auto"/>
              <w:right w:val="single" w:sz="4" w:space="0" w:color="auto"/>
            </w:tcBorders>
            <w:shd w:val="clear" w:color="auto" w:fill="auto"/>
            <w:vAlign w:val="center"/>
            <w:hideMark/>
          </w:tcPr>
          <w:p w14:paraId="5211D503" w14:textId="77777777" w:rsidR="00895992" w:rsidRPr="00DE4C17" w:rsidRDefault="00895992" w:rsidP="0071485C">
            <w:pPr>
              <w:jc w:val="center"/>
            </w:pPr>
            <w:r w:rsidRPr="00DE4C17">
              <w:t>90</w:t>
            </w:r>
          </w:p>
        </w:tc>
        <w:tc>
          <w:tcPr>
            <w:tcW w:w="957" w:type="pct"/>
            <w:tcBorders>
              <w:top w:val="nil"/>
              <w:left w:val="nil"/>
              <w:bottom w:val="single" w:sz="4" w:space="0" w:color="auto"/>
              <w:right w:val="nil"/>
            </w:tcBorders>
            <w:shd w:val="clear" w:color="auto" w:fill="auto"/>
            <w:vAlign w:val="center"/>
            <w:hideMark/>
          </w:tcPr>
          <w:p w14:paraId="1125B3ED" w14:textId="77777777" w:rsidR="00895992" w:rsidRPr="00DE4C17" w:rsidRDefault="00895992" w:rsidP="0071485C">
            <w:pPr>
              <w:jc w:val="center"/>
            </w:pPr>
            <w:r w:rsidRPr="00DE4C17">
              <w:t>23,02%</w:t>
            </w:r>
          </w:p>
        </w:tc>
      </w:tr>
      <w:tr w:rsidR="00895992" w:rsidRPr="00DE4C17" w14:paraId="1CFAF49F" w14:textId="77777777" w:rsidTr="0071485C">
        <w:trPr>
          <w:trHeight w:val="20"/>
          <w:jc w:val="center"/>
        </w:trPr>
        <w:tc>
          <w:tcPr>
            <w:tcW w:w="2963" w:type="pct"/>
            <w:tcBorders>
              <w:top w:val="nil"/>
              <w:left w:val="nil"/>
              <w:bottom w:val="single" w:sz="4" w:space="0" w:color="auto"/>
              <w:right w:val="single" w:sz="4" w:space="0" w:color="auto"/>
            </w:tcBorders>
            <w:shd w:val="clear" w:color="auto" w:fill="auto"/>
            <w:vAlign w:val="center"/>
            <w:hideMark/>
          </w:tcPr>
          <w:p w14:paraId="7E65E9FE" w14:textId="77777777" w:rsidR="00895992" w:rsidRPr="00DE4C17" w:rsidRDefault="00895992" w:rsidP="0071485C">
            <w:r w:rsidRPr="00DE4C17">
              <w:t>Dois assuntos</w:t>
            </w:r>
          </w:p>
        </w:tc>
        <w:tc>
          <w:tcPr>
            <w:tcW w:w="1080" w:type="pct"/>
            <w:tcBorders>
              <w:top w:val="nil"/>
              <w:left w:val="nil"/>
              <w:bottom w:val="single" w:sz="4" w:space="0" w:color="auto"/>
              <w:right w:val="single" w:sz="4" w:space="0" w:color="auto"/>
            </w:tcBorders>
            <w:shd w:val="clear" w:color="auto" w:fill="auto"/>
            <w:vAlign w:val="center"/>
            <w:hideMark/>
          </w:tcPr>
          <w:p w14:paraId="26CEA18C" w14:textId="77777777" w:rsidR="00895992" w:rsidRPr="00DE4C17" w:rsidRDefault="00895992" w:rsidP="0071485C">
            <w:pPr>
              <w:jc w:val="center"/>
            </w:pPr>
            <w:r w:rsidRPr="00DE4C17">
              <w:t>16</w:t>
            </w:r>
          </w:p>
        </w:tc>
        <w:tc>
          <w:tcPr>
            <w:tcW w:w="957" w:type="pct"/>
            <w:tcBorders>
              <w:top w:val="nil"/>
              <w:left w:val="nil"/>
              <w:bottom w:val="single" w:sz="4" w:space="0" w:color="auto"/>
              <w:right w:val="nil"/>
            </w:tcBorders>
            <w:shd w:val="clear" w:color="auto" w:fill="auto"/>
            <w:vAlign w:val="center"/>
            <w:hideMark/>
          </w:tcPr>
          <w:p w14:paraId="60183D77" w14:textId="77777777" w:rsidR="00895992" w:rsidRPr="00DE4C17" w:rsidRDefault="00895992" w:rsidP="0071485C">
            <w:pPr>
              <w:jc w:val="center"/>
            </w:pPr>
            <w:r w:rsidRPr="00DE4C17">
              <w:t>4,09%</w:t>
            </w:r>
          </w:p>
        </w:tc>
      </w:tr>
      <w:tr w:rsidR="00895992" w:rsidRPr="00DE4C17" w14:paraId="4EAE7B0E" w14:textId="77777777" w:rsidTr="0071485C">
        <w:trPr>
          <w:trHeight w:val="20"/>
          <w:jc w:val="center"/>
        </w:trPr>
        <w:tc>
          <w:tcPr>
            <w:tcW w:w="2963" w:type="pct"/>
            <w:tcBorders>
              <w:top w:val="nil"/>
              <w:left w:val="nil"/>
              <w:bottom w:val="single" w:sz="4" w:space="0" w:color="auto"/>
              <w:right w:val="single" w:sz="4" w:space="0" w:color="auto"/>
            </w:tcBorders>
            <w:shd w:val="clear" w:color="auto" w:fill="auto"/>
            <w:vAlign w:val="center"/>
            <w:hideMark/>
          </w:tcPr>
          <w:p w14:paraId="62872AF0" w14:textId="77777777" w:rsidR="00895992" w:rsidRPr="00DE4C17" w:rsidRDefault="00895992" w:rsidP="0071485C">
            <w:r w:rsidRPr="00DE4C17">
              <w:t>Três assuntos</w:t>
            </w:r>
          </w:p>
        </w:tc>
        <w:tc>
          <w:tcPr>
            <w:tcW w:w="1080" w:type="pct"/>
            <w:tcBorders>
              <w:top w:val="nil"/>
              <w:left w:val="nil"/>
              <w:bottom w:val="single" w:sz="4" w:space="0" w:color="auto"/>
              <w:right w:val="single" w:sz="4" w:space="0" w:color="auto"/>
            </w:tcBorders>
            <w:shd w:val="clear" w:color="auto" w:fill="auto"/>
            <w:vAlign w:val="center"/>
            <w:hideMark/>
          </w:tcPr>
          <w:p w14:paraId="76871559" w14:textId="77777777" w:rsidR="00895992" w:rsidRPr="00DE4C17" w:rsidRDefault="00895992" w:rsidP="0071485C">
            <w:pPr>
              <w:jc w:val="center"/>
            </w:pPr>
            <w:r w:rsidRPr="00DE4C17">
              <w:t>6</w:t>
            </w:r>
          </w:p>
        </w:tc>
        <w:tc>
          <w:tcPr>
            <w:tcW w:w="957" w:type="pct"/>
            <w:tcBorders>
              <w:top w:val="nil"/>
              <w:left w:val="nil"/>
              <w:bottom w:val="single" w:sz="4" w:space="0" w:color="auto"/>
              <w:right w:val="nil"/>
            </w:tcBorders>
            <w:shd w:val="clear" w:color="auto" w:fill="auto"/>
            <w:vAlign w:val="center"/>
            <w:hideMark/>
          </w:tcPr>
          <w:p w14:paraId="374AE135" w14:textId="77777777" w:rsidR="00895992" w:rsidRPr="00DE4C17" w:rsidRDefault="00895992" w:rsidP="0071485C">
            <w:pPr>
              <w:jc w:val="center"/>
            </w:pPr>
            <w:r w:rsidRPr="00DE4C17">
              <w:t>1,53%</w:t>
            </w:r>
          </w:p>
        </w:tc>
      </w:tr>
      <w:tr w:rsidR="00895992" w:rsidRPr="00DE4C17" w14:paraId="6340B016" w14:textId="77777777" w:rsidTr="0071485C">
        <w:trPr>
          <w:trHeight w:val="20"/>
          <w:jc w:val="center"/>
        </w:trPr>
        <w:tc>
          <w:tcPr>
            <w:tcW w:w="2963" w:type="pct"/>
            <w:tcBorders>
              <w:top w:val="nil"/>
              <w:left w:val="nil"/>
              <w:bottom w:val="single" w:sz="4" w:space="0" w:color="auto"/>
              <w:right w:val="single" w:sz="4" w:space="0" w:color="auto"/>
            </w:tcBorders>
            <w:shd w:val="clear" w:color="auto" w:fill="auto"/>
            <w:vAlign w:val="center"/>
            <w:hideMark/>
          </w:tcPr>
          <w:p w14:paraId="16B3A8E5" w14:textId="77777777" w:rsidR="00895992" w:rsidRPr="00DE4C17" w:rsidRDefault="00895992" w:rsidP="0071485C">
            <w:r w:rsidRPr="00DE4C17">
              <w:t>Quatro Assuntos</w:t>
            </w:r>
          </w:p>
        </w:tc>
        <w:tc>
          <w:tcPr>
            <w:tcW w:w="1080" w:type="pct"/>
            <w:tcBorders>
              <w:top w:val="nil"/>
              <w:left w:val="nil"/>
              <w:bottom w:val="single" w:sz="4" w:space="0" w:color="auto"/>
              <w:right w:val="single" w:sz="4" w:space="0" w:color="auto"/>
            </w:tcBorders>
            <w:shd w:val="clear" w:color="auto" w:fill="auto"/>
            <w:vAlign w:val="center"/>
            <w:hideMark/>
          </w:tcPr>
          <w:p w14:paraId="056326BF" w14:textId="77777777" w:rsidR="00895992" w:rsidRPr="00DE4C17" w:rsidRDefault="00895992" w:rsidP="0071485C">
            <w:pPr>
              <w:jc w:val="center"/>
            </w:pPr>
            <w:r w:rsidRPr="00DE4C17">
              <w:t>2</w:t>
            </w:r>
          </w:p>
        </w:tc>
        <w:tc>
          <w:tcPr>
            <w:tcW w:w="957" w:type="pct"/>
            <w:tcBorders>
              <w:top w:val="nil"/>
              <w:left w:val="nil"/>
              <w:bottom w:val="single" w:sz="4" w:space="0" w:color="auto"/>
              <w:right w:val="nil"/>
            </w:tcBorders>
            <w:shd w:val="clear" w:color="auto" w:fill="auto"/>
            <w:vAlign w:val="center"/>
            <w:hideMark/>
          </w:tcPr>
          <w:p w14:paraId="47D220CA" w14:textId="77777777" w:rsidR="00895992" w:rsidRPr="00DE4C17" w:rsidRDefault="00895992" w:rsidP="0071485C">
            <w:pPr>
              <w:jc w:val="center"/>
            </w:pPr>
            <w:r w:rsidRPr="00DE4C17">
              <w:t>0,51%</w:t>
            </w:r>
          </w:p>
        </w:tc>
      </w:tr>
      <w:tr w:rsidR="00895992" w:rsidRPr="00DE4C17" w14:paraId="55D66AB2" w14:textId="77777777" w:rsidTr="0071485C">
        <w:trPr>
          <w:trHeight w:val="20"/>
          <w:jc w:val="center"/>
        </w:trPr>
        <w:tc>
          <w:tcPr>
            <w:tcW w:w="2963" w:type="pct"/>
            <w:tcBorders>
              <w:top w:val="nil"/>
              <w:left w:val="nil"/>
              <w:bottom w:val="single" w:sz="4" w:space="0" w:color="auto"/>
              <w:right w:val="single" w:sz="4" w:space="0" w:color="auto"/>
            </w:tcBorders>
            <w:shd w:val="clear" w:color="auto" w:fill="auto"/>
            <w:vAlign w:val="center"/>
            <w:hideMark/>
          </w:tcPr>
          <w:p w14:paraId="43B01981" w14:textId="77777777" w:rsidR="00895992" w:rsidRPr="00DE4C17" w:rsidRDefault="00895992" w:rsidP="0071485C">
            <w:r w:rsidRPr="00DE4C17">
              <w:t>Cinco Assuntos</w:t>
            </w:r>
          </w:p>
        </w:tc>
        <w:tc>
          <w:tcPr>
            <w:tcW w:w="1080" w:type="pct"/>
            <w:tcBorders>
              <w:top w:val="nil"/>
              <w:left w:val="nil"/>
              <w:bottom w:val="single" w:sz="4" w:space="0" w:color="auto"/>
              <w:right w:val="single" w:sz="4" w:space="0" w:color="auto"/>
            </w:tcBorders>
            <w:shd w:val="clear" w:color="auto" w:fill="auto"/>
            <w:vAlign w:val="center"/>
            <w:hideMark/>
          </w:tcPr>
          <w:p w14:paraId="55CF37B6" w14:textId="77777777" w:rsidR="00895992" w:rsidRPr="00DE4C17" w:rsidRDefault="00895992" w:rsidP="0071485C">
            <w:pPr>
              <w:jc w:val="center"/>
            </w:pPr>
            <w:r w:rsidRPr="00DE4C17">
              <w:t>1</w:t>
            </w:r>
          </w:p>
        </w:tc>
        <w:tc>
          <w:tcPr>
            <w:tcW w:w="957" w:type="pct"/>
            <w:tcBorders>
              <w:top w:val="nil"/>
              <w:left w:val="nil"/>
              <w:bottom w:val="single" w:sz="4" w:space="0" w:color="auto"/>
              <w:right w:val="nil"/>
            </w:tcBorders>
            <w:shd w:val="clear" w:color="auto" w:fill="auto"/>
            <w:vAlign w:val="center"/>
            <w:hideMark/>
          </w:tcPr>
          <w:p w14:paraId="099936C2" w14:textId="77777777" w:rsidR="00895992" w:rsidRPr="00DE4C17" w:rsidRDefault="00895992" w:rsidP="0071485C">
            <w:pPr>
              <w:jc w:val="center"/>
            </w:pPr>
            <w:r w:rsidRPr="00DE4C17">
              <w:t>0,26%</w:t>
            </w:r>
          </w:p>
        </w:tc>
      </w:tr>
      <w:tr w:rsidR="00895992" w:rsidRPr="00DE4C17" w14:paraId="239ECC1D" w14:textId="77777777" w:rsidTr="0071485C">
        <w:trPr>
          <w:trHeight w:val="20"/>
          <w:jc w:val="center"/>
        </w:trPr>
        <w:tc>
          <w:tcPr>
            <w:tcW w:w="2963" w:type="pct"/>
            <w:tcBorders>
              <w:top w:val="nil"/>
              <w:left w:val="nil"/>
              <w:bottom w:val="single" w:sz="8" w:space="0" w:color="auto"/>
              <w:right w:val="single" w:sz="4" w:space="0" w:color="auto"/>
            </w:tcBorders>
            <w:shd w:val="clear" w:color="auto" w:fill="auto"/>
            <w:vAlign w:val="center"/>
            <w:hideMark/>
          </w:tcPr>
          <w:p w14:paraId="1DC80DAD" w14:textId="77777777" w:rsidR="00895992" w:rsidRPr="00DE4C17" w:rsidRDefault="00895992" w:rsidP="0071485C">
            <w:pPr>
              <w:rPr>
                <w:b/>
                <w:bCs/>
              </w:rPr>
            </w:pPr>
            <w:r w:rsidRPr="00DE4C17">
              <w:rPr>
                <w:b/>
                <w:bCs/>
              </w:rPr>
              <w:t>Total de relatórios</w:t>
            </w:r>
          </w:p>
        </w:tc>
        <w:tc>
          <w:tcPr>
            <w:tcW w:w="1080" w:type="pct"/>
            <w:tcBorders>
              <w:top w:val="nil"/>
              <w:left w:val="nil"/>
              <w:bottom w:val="single" w:sz="8" w:space="0" w:color="auto"/>
              <w:right w:val="single" w:sz="4" w:space="0" w:color="auto"/>
            </w:tcBorders>
            <w:shd w:val="clear" w:color="auto" w:fill="auto"/>
            <w:vAlign w:val="center"/>
            <w:hideMark/>
          </w:tcPr>
          <w:p w14:paraId="1EC1659D" w14:textId="77777777" w:rsidR="00895992" w:rsidRPr="00DE4C17" w:rsidRDefault="00895992" w:rsidP="0071485C">
            <w:pPr>
              <w:jc w:val="center"/>
              <w:rPr>
                <w:b/>
                <w:bCs/>
              </w:rPr>
            </w:pPr>
            <w:r w:rsidRPr="00DE4C17">
              <w:rPr>
                <w:b/>
                <w:bCs/>
              </w:rPr>
              <w:t>391</w:t>
            </w:r>
          </w:p>
        </w:tc>
        <w:tc>
          <w:tcPr>
            <w:tcW w:w="957" w:type="pct"/>
            <w:tcBorders>
              <w:top w:val="nil"/>
              <w:left w:val="nil"/>
              <w:bottom w:val="single" w:sz="8" w:space="0" w:color="auto"/>
              <w:right w:val="nil"/>
            </w:tcBorders>
            <w:shd w:val="clear" w:color="auto" w:fill="auto"/>
            <w:vAlign w:val="center"/>
            <w:hideMark/>
          </w:tcPr>
          <w:p w14:paraId="7C64019D" w14:textId="77777777" w:rsidR="00895992" w:rsidRPr="00DE4C17" w:rsidRDefault="00895992" w:rsidP="0071485C">
            <w:pPr>
              <w:jc w:val="center"/>
              <w:rPr>
                <w:b/>
                <w:bCs/>
              </w:rPr>
            </w:pPr>
            <w:r w:rsidRPr="00DE4C17">
              <w:rPr>
                <w:b/>
                <w:bCs/>
              </w:rPr>
              <w:t>100,00%</w:t>
            </w:r>
          </w:p>
        </w:tc>
      </w:tr>
    </w:tbl>
    <w:p w14:paraId="1E09338D" w14:textId="2E87F408" w:rsidR="00895992" w:rsidRPr="00DE4C17" w:rsidRDefault="00895992" w:rsidP="00895992">
      <w:pPr>
        <w:jc w:val="center"/>
      </w:pPr>
      <w:r w:rsidRPr="00DE4C17">
        <w:t xml:space="preserve">Fonte: </w:t>
      </w:r>
      <w:r w:rsidR="00873942" w:rsidRPr="00DE4C17">
        <w:t>Elaborad</w:t>
      </w:r>
      <w:r w:rsidR="00873942">
        <w:t>a</w:t>
      </w:r>
      <w:r w:rsidR="00873942" w:rsidRPr="00DE4C17">
        <w:t xml:space="preserve"> pel</w:t>
      </w:r>
      <w:r w:rsidR="00873942">
        <w:t>os</w:t>
      </w:r>
      <w:r w:rsidR="00873942" w:rsidRPr="00DE4C17">
        <w:t xml:space="preserve"> autor</w:t>
      </w:r>
      <w:r w:rsidR="00873942">
        <w:t>es</w:t>
      </w:r>
      <w:r w:rsidR="00873942" w:rsidRPr="00DE4C17">
        <w:t xml:space="preserve"> </w:t>
      </w:r>
      <w:r w:rsidRPr="00DE4C17">
        <w:t>com base na coleta de dados</w:t>
      </w:r>
    </w:p>
    <w:p w14:paraId="620B78D8" w14:textId="77777777" w:rsidR="00895992" w:rsidRPr="00DE4C17" w:rsidRDefault="00895992" w:rsidP="00895992">
      <w:pPr>
        <w:ind w:firstLine="567"/>
        <w:jc w:val="both"/>
        <w:rPr>
          <w:sz w:val="24"/>
          <w:szCs w:val="24"/>
        </w:rPr>
      </w:pPr>
    </w:p>
    <w:p w14:paraId="6D27E164" w14:textId="17D7C0F5" w:rsidR="00895992" w:rsidRPr="00DE4C17" w:rsidRDefault="00895992" w:rsidP="00895992">
      <w:pPr>
        <w:ind w:firstLine="567"/>
        <w:jc w:val="both"/>
        <w:rPr>
          <w:sz w:val="24"/>
          <w:szCs w:val="24"/>
        </w:rPr>
      </w:pPr>
      <w:r w:rsidRPr="00DE4C17">
        <w:rPr>
          <w:sz w:val="24"/>
          <w:szCs w:val="24"/>
        </w:rPr>
        <w:t xml:space="preserve">Conforme abordado na Tabela </w:t>
      </w:r>
      <w:r w:rsidR="00557849">
        <w:rPr>
          <w:sz w:val="24"/>
          <w:szCs w:val="24"/>
        </w:rPr>
        <w:t>7</w:t>
      </w:r>
      <w:r w:rsidRPr="00DE4C17">
        <w:rPr>
          <w:sz w:val="24"/>
          <w:szCs w:val="24"/>
        </w:rPr>
        <w:t xml:space="preserve">, mais de 70% das empresas analisadas não possuem </w:t>
      </w:r>
      <w:r w:rsidR="006B462B" w:rsidRPr="00DE4C17">
        <w:rPr>
          <w:sz w:val="24"/>
          <w:szCs w:val="24"/>
        </w:rPr>
        <w:t>parágrafo</w:t>
      </w:r>
      <w:r w:rsidRPr="00DE4C17">
        <w:rPr>
          <w:sz w:val="24"/>
          <w:szCs w:val="24"/>
        </w:rPr>
        <w:t xml:space="preserve"> de ênfase, ou seja, as empresas que compõe esse percentual não possuem informações que o auditor aprecia como essenciais para o </w:t>
      </w:r>
      <w:r w:rsidR="0019738C">
        <w:rPr>
          <w:sz w:val="24"/>
          <w:szCs w:val="24"/>
        </w:rPr>
        <w:t>entendimento</w:t>
      </w:r>
      <w:r w:rsidR="0019738C" w:rsidRPr="00DE4C17">
        <w:rPr>
          <w:sz w:val="24"/>
          <w:szCs w:val="24"/>
        </w:rPr>
        <w:t xml:space="preserve"> </w:t>
      </w:r>
      <w:r w:rsidRPr="00DE4C17">
        <w:rPr>
          <w:sz w:val="24"/>
          <w:szCs w:val="24"/>
        </w:rPr>
        <w:t xml:space="preserve">das demonstrações a ponto de serem evidenciadas no parágrafo de ênfase. Contudo, em relação às empresas que possuem esse parágrafo em seus relatórios de opinião, constam que 23,02% abordam no parágrafo apenas um assunto, 4,09% abordam dois assuntos e 2,3% abordam entre três e cinco assuntos. Observa-se que a inserção de parágrafos de ênfases nos relatórios de auditoria independente não encontra limitações, cabendo ao auditor o julgamento do quanto de assunto ele irá abordar, quando houver a necessidade de abordar um assunto. Na Tabela </w:t>
      </w:r>
      <w:r w:rsidR="00557849">
        <w:rPr>
          <w:sz w:val="24"/>
          <w:szCs w:val="24"/>
        </w:rPr>
        <w:t>8</w:t>
      </w:r>
      <w:r w:rsidR="00557849" w:rsidRPr="00DE4C17">
        <w:rPr>
          <w:sz w:val="24"/>
          <w:szCs w:val="24"/>
        </w:rPr>
        <w:t xml:space="preserve"> </w:t>
      </w:r>
      <w:r w:rsidRPr="00DE4C17">
        <w:rPr>
          <w:sz w:val="24"/>
          <w:szCs w:val="24"/>
        </w:rPr>
        <w:t>observa-se os principais assuntos descritos nos parágrafos de ênfase dos relatórios de opinião analisados.</w:t>
      </w:r>
    </w:p>
    <w:p w14:paraId="2DFE9AE3" w14:textId="77777777" w:rsidR="00895992" w:rsidRPr="00DE4C17" w:rsidRDefault="00895992" w:rsidP="00895992">
      <w:pPr>
        <w:ind w:firstLine="567"/>
        <w:jc w:val="both"/>
        <w:rPr>
          <w:sz w:val="24"/>
          <w:szCs w:val="24"/>
        </w:rPr>
      </w:pPr>
    </w:p>
    <w:p w14:paraId="1B88BD20" w14:textId="4B12351E" w:rsidR="00895992" w:rsidRPr="00DE4C17" w:rsidRDefault="00895992" w:rsidP="00895992">
      <w:pPr>
        <w:shd w:val="clear" w:color="auto" w:fill="FFFFFF"/>
        <w:jc w:val="center"/>
      </w:pPr>
      <w:r w:rsidRPr="00DE4C17">
        <w:rPr>
          <w:bCs/>
        </w:rPr>
        <w:t xml:space="preserve">Tabela </w:t>
      </w:r>
      <w:r w:rsidR="00557849">
        <w:rPr>
          <w:bCs/>
        </w:rPr>
        <w:t>8</w:t>
      </w:r>
      <w:r w:rsidRPr="00DE4C17">
        <w:rPr>
          <w:bCs/>
        </w:rPr>
        <w:t>: Principais assuntos abordados no parágrafo de ênfase</w:t>
      </w:r>
    </w:p>
    <w:tbl>
      <w:tblPr>
        <w:tblW w:w="9198" w:type="dxa"/>
        <w:jc w:val="center"/>
        <w:tblCellMar>
          <w:left w:w="70" w:type="dxa"/>
          <w:right w:w="70" w:type="dxa"/>
        </w:tblCellMar>
        <w:tblLook w:val="04A0" w:firstRow="1" w:lastRow="0" w:firstColumn="1" w:lastColumn="0" w:noHBand="0" w:noVBand="1"/>
      </w:tblPr>
      <w:tblGrid>
        <w:gridCol w:w="6733"/>
        <w:gridCol w:w="1299"/>
        <w:gridCol w:w="1166"/>
      </w:tblGrid>
      <w:tr w:rsidR="00895992" w:rsidRPr="00DE4C17" w14:paraId="06BE61EB" w14:textId="77777777" w:rsidTr="0071485C">
        <w:trPr>
          <w:trHeight w:val="20"/>
          <w:jc w:val="center"/>
        </w:trPr>
        <w:tc>
          <w:tcPr>
            <w:tcW w:w="6733" w:type="dxa"/>
            <w:tcBorders>
              <w:top w:val="single" w:sz="8" w:space="0" w:color="auto"/>
              <w:left w:val="nil"/>
              <w:bottom w:val="single" w:sz="8" w:space="0" w:color="auto"/>
              <w:right w:val="single" w:sz="4" w:space="0" w:color="auto"/>
            </w:tcBorders>
            <w:shd w:val="clear" w:color="000000" w:fill="DDD9C4"/>
            <w:vAlign w:val="center"/>
            <w:hideMark/>
          </w:tcPr>
          <w:p w14:paraId="67CC331D" w14:textId="77777777" w:rsidR="00895992" w:rsidRPr="00DE4C17" w:rsidRDefault="00895992" w:rsidP="0071485C">
            <w:pPr>
              <w:jc w:val="center"/>
              <w:rPr>
                <w:b/>
                <w:bCs/>
              </w:rPr>
            </w:pPr>
            <w:r w:rsidRPr="00DE4C17">
              <w:rPr>
                <w:b/>
                <w:bCs/>
              </w:rPr>
              <w:t>Principais assuntos abordados no parágrafo de ênfase</w:t>
            </w:r>
          </w:p>
        </w:tc>
        <w:tc>
          <w:tcPr>
            <w:tcW w:w="1299" w:type="dxa"/>
            <w:tcBorders>
              <w:top w:val="single" w:sz="8" w:space="0" w:color="auto"/>
              <w:left w:val="nil"/>
              <w:bottom w:val="single" w:sz="8" w:space="0" w:color="auto"/>
              <w:right w:val="single" w:sz="4" w:space="0" w:color="auto"/>
            </w:tcBorders>
            <w:shd w:val="clear" w:color="000000" w:fill="DDD9C4"/>
            <w:vAlign w:val="center"/>
            <w:hideMark/>
          </w:tcPr>
          <w:p w14:paraId="1FD1CC1C" w14:textId="77777777" w:rsidR="00895992" w:rsidRPr="00DE4C17" w:rsidRDefault="00895992" w:rsidP="0071485C">
            <w:pPr>
              <w:jc w:val="center"/>
              <w:rPr>
                <w:b/>
                <w:bCs/>
              </w:rPr>
            </w:pPr>
            <w:r w:rsidRPr="00DE4C17">
              <w:rPr>
                <w:b/>
                <w:bCs/>
              </w:rPr>
              <w:t>Relatórios</w:t>
            </w:r>
          </w:p>
        </w:tc>
        <w:tc>
          <w:tcPr>
            <w:tcW w:w="1166" w:type="dxa"/>
            <w:tcBorders>
              <w:top w:val="single" w:sz="8" w:space="0" w:color="auto"/>
              <w:left w:val="nil"/>
              <w:bottom w:val="single" w:sz="8" w:space="0" w:color="auto"/>
              <w:right w:val="nil"/>
            </w:tcBorders>
            <w:shd w:val="clear" w:color="000000" w:fill="DDD9C4"/>
            <w:vAlign w:val="center"/>
            <w:hideMark/>
          </w:tcPr>
          <w:p w14:paraId="4E900937" w14:textId="77777777" w:rsidR="00895992" w:rsidRPr="00DE4C17" w:rsidRDefault="00895992" w:rsidP="0071485C">
            <w:pPr>
              <w:jc w:val="center"/>
              <w:rPr>
                <w:b/>
                <w:bCs/>
              </w:rPr>
            </w:pPr>
            <w:r w:rsidRPr="00DE4C17">
              <w:rPr>
                <w:b/>
                <w:bCs/>
              </w:rPr>
              <w:t>Freq (%)</w:t>
            </w:r>
          </w:p>
        </w:tc>
      </w:tr>
      <w:tr w:rsidR="00895992" w:rsidRPr="00DE4C17" w14:paraId="2F0FC93C" w14:textId="77777777" w:rsidTr="00A06660">
        <w:trPr>
          <w:trHeight w:val="20"/>
          <w:jc w:val="center"/>
        </w:trPr>
        <w:tc>
          <w:tcPr>
            <w:tcW w:w="6733" w:type="dxa"/>
            <w:tcBorders>
              <w:top w:val="nil"/>
              <w:left w:val="nil"/>
              <w:bottom w:val="single" w:sz="4" w:space="0" w:color="auto"/>
              <w:right w:val="single" w:sz="4" w:space="0" w:color="auto"/>
            </w:tcBorders>
            <w:shd w:val="clear" w:color="auto" w:fill="auto"/>
            <w:vAlign w:val="center"/>
            <w:hideMark/>
          </w:tcPr>
          <w:p w14:paraId="50BF2D2B" w14:textId="77777777" w:rsidR="00895992" w:rsidRPr="00DE4C17" w:rsidRDefault="00895992" w:rsidP="0071485C">
            <w:r w:rsidRPr="00DE4C17">
              <w:t>Reapresentação das demonstrações financeiras / valores correspondentes</w:t>
            </w:r>
          </w:p>
        </w:tc>
        <w:tc>
          <w:tcPr>
            <w:tcW w:w="1299" w:type="dxa"/>
            <w:tcBorders>
              <w:top w:val="nil"/>
              <w:left w:val="nil"/>
              <w:bottom w:val="single" w:sz="4" w:space="0" w:color="auto"/>
              <w:right w:val="single" w:sz="4" w:space="0" w:color="auto"/>
            </w:tcBorders>
            <w:shd w:val="clear" w:color="auto" w:fill="auto"/>
            <w:vAlign w:val="center"/>
            <w:hideMark/>
          </w:tcPr>
          <w:p w14:paraId="51349852" w14:textId="77777777" w:rsidR="00895992" w:rsidRPr="00DE4C17" w:rsidRDefault="00895992" w:rsidP="00A06660">
            <w:pPr>
              <w:jc w:val="center"/>
            </w:pPr>
            <w:r w:rsidRPr="00DE4C17">
              <w:t>27</w:t>
            </w:r>
          </w:p>
        </w:tc>
        <w:tc>
          <w:tcPr>
            <w:tcW w:w="1166" w:type="dxa"/>
            <w:tcBorders>
              <w:top w:val="nil"/>
              <w:left w:val="nil"/>
              <w:bottom w:val="single" w:sz="4" w:space="0" w:color="auto"/>
              <w:right w:val="nil"/>
            </w:tcBorders>
            <w:shd w:val="clear" w:color="auto" w:fill="auto"/>
            <w:vAlign w:val="center"/>
            <w:hideMark/>
          </w:tcPr>
          <w:p w14:paraId="69C4697D" w14:textId="77777777" w:rsidR="00895992" w:rsidRPr="00DE4C17" w:rsidRDefault="00895992" w:rsidP="00873942">
            <w:pPr>
              <w:jc w:val="center"/>
            </w:pPr>
            <w:r>
              <w:t>18,12</w:t>
            </w:r>
            <w:r w:rsidRPr="00DE4C17">
              <w:t>%</w:t>
            </w:r>
          </w:p>
        </w:tc>
      </w:tr>
      <w:tr w:rsidR="00895992" w:rsidRPr="00DE4C17" w14:paraId="75C35EBE" w14:textId="77777777" w:rsidTr="00A06660">
        <w:trPr>
          <w:trHeight w:val="20"/>
          <w:jc w:val="center"/>
        </w:trPr>
        <w:tc>
          <w:tcPr>
            <w:tcW w:w="6733" w:type="dxa"/>
            <w:tcBorders>
              <w:top w:val="nil"/>
              <w:left w:val="nil"/>
              <w:bottom w:val="single" w:sz="4" w:space="0" w:color="auto"/>
              <w:right w:val="single" w:sz="4" w:space="0" w:color="auto"/>
            </w:tcBorders>
            <w:shd w:val="clear" w:color="auto" w:fill="auto"/>
            <w:vAlign w:val="center"/>
            <w:hideMark/>
          </w:tcPr>
          <w:p w14:paraId="0BA7E10F" w14:textId="77777777" w:rsidR="00895992" w:rsidRPr="00DE4C17" w:rsidRDefault="00895992" w:rsidP="0071485C">
            <w:r w:rsidRPr="00DE4C17">
              <w:t>Incerteza de continuidade</w:t>
            </w:r>
          </w:p>
        </w:tc>
        <w:tc>
          <w:tcPr>
            <w:tcW w:w="1299" w:type="dxa"/>
            <w:tcBorders>
              <w:top w:val="nil"/>
              <w:left w:val="nil"/>
              <w:bottom w:val="single" w:sz="4" w:space="0" w:color="auto"/>
              <w:right w:val="single" w:sz="4" w:space="0" w:color="auto"/>
            </w:tcBorders>
            <w:shd w:val="clear" w:color="auto" w:fill="auto"/>
            <w:vAlign w:val="center"/>
            <w:hideMark/>
          </w:tcPr>
          <w:p w14:paraId="4271C342" w14:textId="77777777" w:rsidR="00895992" w:rsidRPr="00DE4C17" w:rsidRDefault="00895992" w:rsidP="00A06660">
            <w:pPr>
              <w:jc w:val="center"/>
            </w:pPr>
            <w:r w:rsidRPr="00DE4C17">
              <w:t>17</w:t>
            </w:r>
          </w:p>
        </w:tc>
        <w:tc>
          <w:tcPr>
            <w:tcW w:w="1166" w:type="dxa"/>
            <w:tcBorders>
              <w:top w:val="nil"/>
              <w:left w:val="nil"/>
              <w:bottom w:val="single" w:sz="4" w:space="0" w:color="auto"/>
              <w:right w:val="nil"/>
            </w:tcBorders>
            <w:shd w:val="clear" w:color="auto" w:fill="auto"/>
            <w:vAlign w:val="center"/>
            <w:hideMark/>
          </w:tcPr>
          <w:p w14:paraId="215C8768" w14:textId="77777777" w:rsidR="00895992" w:rsidRPr="00DE4C17" w:rsidRDefault="00895992" w:rsidP="00873942">
            <w:pPr>
              <w:jc w:val="center"/>
            </w:pPr>
            <w:r>
              <w:t>11,41</w:t>
            </w:r>
            <w:r w:rsidRPr="00DE4C17">
              <w:t>%</w:t>
            </w:r>
          </w:p>
        </w:tc>
      </w:tr>
      <w:tr w:rsidR="00895992" w:rsidRPr="00DE4C17" w14:paraId="3175422C" w14:textId="77777777" w:rsidTr="00A06660">
        <w:trPr>
          <w:trHeight w:val="20"/>
          <w:jc w:val="center"/>
        </w:trPr>
        <w:tc>
          <w:tcPr>
            <w:tcW w:w="6733" w:type="dxa"/>
            <w:tcBorders>
              <w:top w:val="nil"/>
              <w:left w:val="nil"/>
              <w:bottom w:val="single" w:sz="4" w:space="0" w:color="auto"/>
              <w:right w:val="single" w:sz="4" w:space="0" w:color="auto"/>
            </w:tcBorders>
            <w:shd w:val="clear" w:color="auto" w:fill="auto"/>
            <w:vAlign w:val="center"/>
            <w:hideMark/>
          </w:tcPr>
          <w:p w14:paraId="6316A78A" w14:textId="77777777" w:rsidR="00895992" w:rsidRPr="00DE4C17" w:rsidRDefault="00895992" w:rsidP="0071485C">
            <w:r w:rsidRPr="00DE4C17">
              <w:t>Orientação OCPC 04</w:t>
            </w:r>
          </w:p>
        </w:tc>
        <w:tc>
          <w:tcPr>
            <w:tcW w:w="1299" w:type="dxa"/>
            <w:tcBorders>
              <w:top w:val="nil"/>
              <w:left w:val="nil"/>
              <w:bottom w:val="single" w:sz="4" w:space="0" w:color="auto"/>
              <w:right w:val="single" w:sz="4" w:space="0" w:color="auto"/>
            </w:tcBorders>
            <w:shd w:val="clear" w:color="auto" w:fill="auto"/>
            <w:vAlign w:val="center"/>
            <w:hideMark/>
          </w:tcPr>
          <w:p w14:paraId="77265789" w14:textId="77777777" w:rsidR="00895992" w:rsidRPr="00DE4C17" w:rsidRDefault="00895992" w:rsidP="00A06660">
            <w:pPr>
              <w:jc w:val="center"/>
            </w:pPr>
            <w:r w:rsidRPr="00DE4C17">
              <w:t>11</w:t>
            </w:r>
          </w:p>
        </w:tc>
        <w:tc>
          <w:tcPr>
            <w:tcW w:w="1166" w:type="dxa"/>
            <w:tcBorders>
              <w:top w:val="nil"/>
              <w:left w:val="nil"/>
              <w:bottom w:val="single" w:sz="4" w:space="0" w:color="auto"/>
              <w:right w:val="nil"/>
            </w:tcBorders>
            <w:shd w:val="clear" w:color="auto" w:fill="auto"/>
            <w:vAlign w:val="center"/>
            <w:hideMark/>
          </w:tcPr>
          <w:p w14:paraId="14F90D05" w14:textId="77777777" w:rsidR="00895992" w:rsidRPr="00DE4C17" w:rsidRDefault="00895992" w:rsidP="00873942">
            <w:pPr>
              <w:jc w:val="center"/>
            </w:pPr>
            <w:r>
              <w:t>7,38</w:t>
            </w:r>
            <w:r w:rsidRPr="00DE4C17">
              <w:t>%</w:t>
            </w:r>
          </w:p>
        </w:tc>
      </w:tr>
      <w:tr w:rsidR="00895992" w:rsidRPr="00DE4C17" w14:paraId="6C282C9E" w14:textId="77777777" w:rsidTr="00A06660">
        <w:trPr>
          <w:trHeight w:val="20"/>
          <w:jc w:val="center"/>
        </w:trPr>
        <w:tc>
          <w:tcPr>
            <w:tcW w:w="6733" w:type="dxa"/>
            <w:tcBorders>
              <w:top w:val="nil"/>
              <w:left w:val="nil"/>
              <w:bottom w:val="single" w:sz="4" w:space="0" w:color="auto"/>
              <w:right w:val="single" w:sz="4" w:space="0" w:color="auto"/>
            </w:tcBorders>
            <w:shd w:val="clear" w:color="auto" w:fill="auto"/>
            <w:vAlign w:val="center"/>
            <w:hideMark/>
          </w:tcPr>
          <w:p w14:paraId="7A786527" w14:textId="77777777" w:rsidR="00895992" w:rsidRPr="00DE4C17" w:rsidRDefault="00895992" w:rsidP="0071485C">
            <w:r w:rsidRPr="00DE4C17">
              <w:t>Impostos</w:t>
            </w:r>
          </w:p>
        </w:tc>
        <w:tc>
          <w:tcPr>
            <w:tcW w:w="1299" w:type="dxa"/>
            <w:tcBorders>
              <w:top w:val="nil"/>
              <w:left w:val="nil"/>
              <w:bottom w:val="single" w:sz="4" w:space="0" w:color="auto"/>
              <w:right w:val="single" w:sz="4" w:space="0" w:color="auto"/>
            </w:tcBorders>
            <w:shd w:val="clear" w:color="auto" w:fill="auto"/>
            <w:vAlign w:val="center"/>
            <w:hideMark/>
          </w:tcPr>
          <w:p w14:paraId="77CD7AD5" w14:textId="77777777" w:rsidR="00895992" w:rsidRPr="00DE4C17" w:rsidRDefault="00895992" w:rsidP="00A06660">
            <w:pPr>
              <w:jc w:val="center"/>
            </w:pPr>
            <w:r w:rsidRPr="00DE4C17">
              <w:t>6</w:t>
            </w:r>
          </w:p>
        </w:tc>
        <w:tc>
          <w:tcPr>
            <w:tcW w:w="1166" w:type="dxa"/>
            <w:tcBorders>
              <w:top w:val="nil"/>
              <w:left w:val="nil"/>
              <w:bottom w:val="single" w:sz="4" w:space="0" w:color="auto"/>
              <w:right w:val="nil"/>
            </w:tcBorders>
            <w:shd w:val="clear" w:color="auto" w:fill="auto"/>
            <w:vAlign w:val="center"/>
            <w:hideMark/>
          </w:tcPr>
          <w:p w14:paraId="20EE2C5A" w14:textId="77777777" w:rsidR="00895992" w:rsidRPr="00DE4C17" w:rsidRDefault="00895992" w:rsidP="00873942">
            <w:pPr>
              <w:jc w:val="center"/>
            </w:pPr>
            <w:r>
              <w:t>4,03</w:t>
            </w:r>
            <w:r w:rsidRPr="00DE4C17">
              <w:t>%</w:t>
            </w:r>
          </w:p>
        </w:tc>
      </w:tr>
      <w:tr w:rsidR="00895992" w:rsidRPr="00DE4C17" w14:paraId="7A2B1ED5" w14:textId="77777777" w:rsidTr="00A06660">
        <w:trPr>
          <w:trHeight w:val="20"/>
          <w:jc w:val="center"/>
        </w:trPr>
        <w:tc>
          <w:tcPr>
            <w:tcW w:w="6733" w:type="dxa"/>
            <w:tcBorders>
              <w:top w:val="nil"/>
              <w:left w:val="nil"/>
              <w:bottom w:val="single" w:sz="4" w:space="0" w:color="auto"/>
              <w:right w:val="single" w:sz="4" w:space="0" w:color="auto"/>
            </w:tcBorders>
            <w:shd w:val="clear" w:color="auto" w:fill="auto"/>
            <w:vAlign w:val="center"/>
            <w:hideMark/>
          </w:tcPr>
          <w:p w14:paraId="5C44A4E1" w14:textId="77777777" w:rsidR="00895992" w:rsidRPr="00DE4C17" w:rsidRDefault="00895992" w:rsidP="0071485C">
            <w:r w:rsidRPr="00DE4C17">
              <w:t>Transações com partes relacionadas</w:t>
            </w:r>
          </w:p>
        </w:tc>
        <w:tc>
          <w:tcPr>
            <w:tcW w:w="1299" w:type="dxa"/>
            <w:tcBorders>
              <w:top w:val="nil"/>
              <w:left w:val="nil"/>
              <w:bottom w:val="single" w:sz="4" w:space="0" w:color="auto"/>
              <w:right w:val="single" w:sz="4" w:space="0" w:color="auto"/>
            </w:tcBorders>
            <w:shd w:val="clear" w:color="auto" w:fill="auto"/>
            <w:vAlign w:val="center"/>
            <w:hideMark/>
          </w:tcPr>
          <w:p w14:paraId="507632C4" w14:textId="77777777" w:rsidR="00895992" w:rsidRPr="00DE4C17" w:rsidRDefault="00895992" w:rsidP="00A06660">
            <w:pPr>
              <w:jc w:val="center"/>
            </w:pPr>
            <w:r w:rsidRPr="00DE4C17">
              <w:t>5</w:t>
            </w:r>
          </w:p>
        </w:tc>
        <w:tc>
          <w:tcPr>
            <w:tcW w:w="1166" w:type="dxa"/>
            <w:tcBorders>
              <w:top w:val="nil"/>
              <w:left w:val="nil"/>
              <w:bottom w:val="single" w:sz="4" w:space="0" w:color="auto"/>
              <w:right w:val="nil"/>
            </w:tcBorders>
            <w:shd w:val="clear" w:color="auto" w:fill="auto"/>
            <w:vAlign w:val="center"/>
            <w:hideMark/>
          </w:tcPr>
          <w:p w14:paraId="618659AD" w14:textId="77777777" w:rsidR="00895992" w:rsidRPr="00DE4C17" w:rsidRDefault="00895992" w:rsidP="00873942">
            <w:pPr>
              <w:jc w:val="center"/>
            </w:pPr>
            <w:r>
              <w:t>3,36</w:t>
            </w:r>
            <w:r w:rsidRPr="00DE4C17">
              <w:t>%</w:t>
            </w:r>
          </w:p>
        </w:tc>
      </w:tr>
      <w:tr w:rsidR="00895992" w:rsidRPr="00DE4C17" w14:paraId="1A0D0EE3" w14:textId="77777777" w:rsidTr="00A06660">
        <w:trPr>
          <w:trHeight w:val="20"/>
          <w:jc w:val="center"/>
        </w:trPr>
        <w:tc>
          <w:tcPr>
            <w:tcW w:w="6733" w:type="dxa"/>
            <w:tcBorders>
              <w:top w:val="nil"/>
              <w:left w:val="nil"/>
              <w:bottom w:val="single" w:sz="4" w:space="0" w:color="auto"/>
              <w:right w:val="single" w:sz="4" w:space="0" w:color="auto"/>
            </w:tcBorders>
            <w:shd w:val="clear" w:color="auto" w:fill="auto"/>
            <w:vAlign w:val="center"/>
            <w:hideMark/>
          </w:tcPr>
          <w:p w14:paraId="634ABB2D" w14:textId="77777777" w:rsidR="00895992" w:rsidRPr="00DE4C17" w:rsidRDefault="00895992" w:rsidP="0071485C">
            <w:r w:rsidRPr="00DE4C17">
              <w:t>Recuperação Judicial</w:t>
            </w:r>
          </w:p>
        </w:tc>
        <w:tc>
          <w:tcPr>
            <w:tcW w:w="1299" w:type="dxa"/>
            <w:tcBorders>
              <w:top w:val="nil"/>
              <w:left w:val="nil"/>
              <w:bottom w:val="single" w:sz="4" w:space="0" w:color="auto"/>
              <w:right w:val="single" w:sz="4" w:space="0" w:color="auto"/>
            </w:tcBorders>
            <w:shd w:val="clear" w:color="auto" w:fill="auto"/>
            <w:vAlign w:val="center"/>
            <w:hideMark/>
          </w:tcPr>
          <w:p w14:paraId="44FB9978" w14:textId="77777777" w:rsidR="00895992" w:rsidRPr="00DE4C17" w:rsidRDefault="00895992" w:rsidP="00A06660">
            <w:pPr>
              <w:jc w:val="center"/>
            </w:pPr>
            <w:r w:rsidRPr="00DE4C17">
              <w:t>4</w:t>
            </w:r>
          </w:p>
        </w:tc>
        <w:tc>
          <w:tcPr>
            <w:tcW w:w="1166" w:type="dxa"/>
            <w:tcBorders>
              <w:top w:val="nil"/>
              <w:left w:val="nil"/>
              <w:bottom w:val="single" w:sz="4" w:space="0" w:color="auto"/>
              <w:right w:val="nil"/>
            </w:tcBorders>
            <w:shd w:val="clear" w:color="auto" w:fill="auto"/>
            <w:vAlign w:val="center"/>
            <w:hideMark/>
          </w:tcPr>
          <w:p w14:paraId="033B6E8F" w14:textId="77777777" w:rsidR="00895992" w:rsidRPr="00DE4C17" w:rsidRDefault="00895992" w:rsidP="00873942">
            <w:pPr>
              <w:jc w:val="center"/>
            </w:pPr>
            <w:r>
              <w:t>2,68</w:t>
            </w:r>
            <w:r w:rsidRPr="00DE4C17">
              <w:t>%</w:t>
            </w:r>
          </w:p>
        </w:tc>
      </w:tr>
      <w:tr w:rsidR="00895992" w:rsidRPr="00DE4C17" w14:paraId="5062750E" w14:textId="77777777" w:rsidTr="00A06660">
        <w:trPr>
          <w:trHeight w:val="20"/>
          <w:jc w:val="center"/>
        </w:trPr>
        <w:tc>
          <w:tcPr>
            <w:tcW w:w="6733" w:type="dxa"/>
            <w:tcBorders>
              <w:top w:val="nil"/>
              <w:left w:val="nil"/>
              <w:bottom w:val="single" w:sz="4" w:space="0" w:color="auto"/>
              <w:right w:val="single" w:sz="4" w:space="0" w:color="auto"/>
            </w:tcBorders>
            <w:shd w:val="clear" w:color="auto" w:fill="auto"/>
            <w:vAlign w:val="center"/>
            <w:hideMark/>
          </w:tcPr>
          <w:p w14:paraId="0200D105" w14:textId="77777777" w:rsidR="00895992" w:rsidRPr="00DE4C17" w:rsidRDefault="00895992" w:rsidP="0071485C">
            <w:r w:rsidRPr="00DE4C17">
              <w:t>Investigação do Ministério Público</w:t>
            </w:r>
          </w:p>
        </w:tc>
        <w:tc>
          <w:tcPr>
            <w:tcW w:w="1299" w:type="dxa"/>
            <w:tcBorders>
              <w:top w:val="nil"/>
              <w:left w:val="nil"/>
              <w:bottom w:val="single" w:sz="4" w:space="0" w:color="auto"/>
              <w:right w:val="single" w:sz="4" w:space="0" w:color="auto"/>
            </w:tcBorders>
            <w:shd w:val="clear" w:color="auto" w:fill="auto"/>
            <w:vAlign w:val="center"/>
            <w:hideMark/>
          </w:tcPr>
          <w:p w14:paraId="745F59EC" w14:textId="77777777" w:rsidR="00895992" w:rsidRPr="00DE4C17" w:rsidRDefault="00895992" w:rsidP="00A06660">
            <w:pPr>
              <w:jc w:val="center"/>
            </w:pPr>
            <w:r w:rsidRPr="00DE4C17">
              <w:t>3</w:t>
            </w:r>
          </w:p>
        </w:tc>
        <w:tc>
          <w:tcPr>
            <w:tcW w:w="1166" w:type="dxa"/>
            <w:tcBorders>
              <w:top w:val="nil"/>
              <w:left w:val="nil"/>
              <w:bottom w:val="single" w:sz="4" w:space="0" w:color="auto"/>
              <w:right w:val="nil"/>
            </w:tcBorders>
            <w:shd w:val="clear" w:color="auto" w:fill="auto"/>
            <w:vAlign w:val="center"/>
            <w:hideMark/>
          </w:tcPr>
          <w:p w14:paraId="090999EB" w14:textId="77777777" w:rsidR="00895992" w:rsidRPr="00DE4C17" w:rsidRDefault="00895992" w:rsidP="00873942">
            <w:pPr>
              <w:jc w:val="center"/>
            </w:pPr>
            <w:r>
              <w:t>2.0</w:t>
            </w:r>
            <w:r w:rsidRPr="00DE4C17">
              <w:t>1%</w:t>
            </w:r>
          </w:p>
        </w:tc>
      </w:tr>
      <w:tr w:rsidR="00895992" w:rsidRPr="00DE4C17" w14:paraId="6758B897" w14:textId="77777777" w:rsidTr="00A06660">
        <w:trPr>
          <w:trHeight w:val="20"/>
          <w:jc w:val="center"/>
        </w:trPr>
        <w:tc>
          <w:tcPr>
            <w:tcW w:w="6733" w:type="dxa"/>
            <w:tcBorders>
              <w:top w:val="nil"/>
              <w:left w:val="nil"/>
              <w:bottom w:val="single" w:sz="4" w:space="0" w:color="auto"/>
              <w:right w:val="single" w:sz="4" w:space="0" w:color="auto"/>
            </w:tcBorders>
            <w:shd w:val="clear" w:color="auto" w:fill="auto"/>
            <w:vAlign w:val="center"/>
            <w:hideMark/>
          </w:tcPr>
          <w:p w14:paraId="6C318C20" w14:textId="77777777" w:rsidR="00895992" w:rsidRPr="00DE4C17" w:rsidRDefault="00895992" w:rsidP="0071485C">
            <w:r w:rsidRPr="00DE4C17">
              <w:t xml:space="preserve">Outros assuntos </w:t>
            </w:r>
          </w:p>
        </w:tc>
        <w:tc>
          <w:tcPr>
            <w:tcW w:w="1299" w:type="dxa"/>
            <w:tcBorders>
              <w:top w:val="nil"/>
              <w:left w:val="nil"/>
              <w:bottom w:val="single" w:sz="4" w:space="0" w:color="auto"/>
              <w:right w:val="single" w:sz="4" w:space="0" w:color="auto"/>
            </w:tcBorders>
            <w:shd w:val="clear" w:color="auto" w:fill="auto"/>
            <w:vAlign w:val="center"/>
            <w:hideMark/>
          </w:tcPr>
          <w:p w14:paraId="43D992FF" w14:textId="77777777" w:rsidR="00895992" w:rsidRPr="00DE4C17" w:rsidRDefault="00895992" w:rsidP="00A06660">
            <w:pPr>
              <w:jc w:val="center"/>
            </w:pPr>
            <w:r w:rsidRPr="00DE4C17">
              <w:t>76</w:t>
            </w:r>
          </w:p>
        </w:tc>
        <w:tc>
          <w:tcPr>
            <w:tcW w:w="1166" w:type="dxa"/>
            <w:tcBorders>
              <w:top w:val="nil"/>
              <w:left w:val="nil"/>
              <w:bottom w:val="single" w:sz="4" w:space="0" w:color="auto"/>
              <w:right w:val="nil"/>
            </w:tcBorders>
            <w:shd w:val="clear" w:color="auto" w:fill="auto"/>
            <w:vAlign w:val="center"/>
            <w:hideMark/>
          </w:tcPr>
          <w:p w14:paraId="0CE925B8" w14:textId="77777777" w:rsidR="00895992" w:rsidRPr="00DE4C17" w:rsidRDefault="00895992" w:rsidP="00873942">
            <w:pPr>
              <w:jc w:val="center"/>
            </w:pPr>
            <w:r>
              <w:t>51,01</w:t>
            </w:r>
            <w:r w:rsidRPr="00DE4C17">
              <w:t>%</w:t>
            </w:r>
          </w:p>
        </w:tc>
      </w:tr>
      <w:tr w:rsidR="00895992" w:rsidRPr="00DE4C17" w14:paraId="657243EA" w14:textId="77777777" w:rsidTr="00A06660">
        <w:trPr>
          <w:trHeight w:val="20"/>
          <w:jc w:val="center"/>
        </w:trPr>
        <w:tc>
          <w:tcPr>
            <w:tcW w:w="6733" w:type="dxa"/>
            <w:tcBorders>
              <w:top w:val="nil"/>
              <w:left w:val="nil"/>
              <w:bottom w:val="single" w:sz="8" w:space="0" w:color="auto"/>
              <w:right w:val="single" w:sz="4" w:space="0" w:color="auto"/>
            </w:tcBorders>
            <w:shd w:val="clear" w:color="auto" w:fill="auto"/>
            <w:vAlign w:val="center"/>
            <w:hideMark/>
          </w:tcPr>
          <w:p w14:paraId="51AE7443" w14:textId="77777777" w:rsidR="00895992" w:rsidRPr="00DE4C17" w:rsidRDefault="00895992" w:rsidP="0071485C">
            <w:pPr>
              <w:rPr>
                <w:b/>
                <w:bCs/>
              </w:rPr>
            </w:pPr>
            <w:r w:rsidRPr="00DE4C17">
              <w:rPr>
                <w:b/>
                <w:bCs/>
              </w:rPr>
              <w:t xml:space="preserve">Total </w:t>
            </w:r>
          </w:p>
        </w:tc>
        <w:tc>
          <w:tcPr>
            <w:tcW w:w="1299" w:type="dxa"/>
            <w:tcBorders>
              <w:top w:val="nil"/>
              <w:left w:val="nil"/>
              <w:bottom w:val="single" w:sz="8" w:space="0" w:color="auto"/>
              <w:right w:val="single" w:sz="4" w:space="0" w:color="auto"/>
            </w:tcBorders>
            <w:shd w:val="clear" w:color="auto" w:fill="auto"/>
            <w:vAlign w:val="center"/>
            <w:hideMark/>
          </w:tcPr>
          <w:p w14:paraId="2CAF0E66" w14:textId="77777777" w:rsidR="00895992" w:rsidRPr="00DE4C17" w:rsidRDefault="00895992" w:rsidP="00A06660">
            <w:pPr>
              <w:jc w:val="center"/>
              <w:rPr>
                <w:b/>
                <w:bCs/>
              </w:rPr>
            </w:pPr>
          </w:p>
        </w:tc>
        <w:tc>
          <w:tcPr>
            <w:tcW w:w="1166" w:type="dxa"/>
            <w:tcBorders>
              <w:top w:val="nil"/>
              <w:left w:val="nil"/>
              <w:bottom w:val="single" w:sz="8" w:space="0" w:color="auto"/>
              <w:right w:val="nil"/>
            </w:tcBorders>
            <w:shd w:val="clear" w:color="auto" w:fill="auto"/>
            <w:vAlign w:val="center"/>
            <w:hideMark/>
          </w:tcPr>
          <w:p w14:paraId="52C833A6" w14:textId="77777777" w:rsidR="00895992" w:rsidRPr="00DE4C17" w:rsidRDefault="00895992" w:rsidP="00873942">
            <w:pPr>
              <w:jc w:val="center"/>
              <w:rPr>
                <w:b/>
                <w:bCs/>
              </w:rPr>
            </w:pPr>
            <w:r w:rsidRPr="00DE4C17">
              <w:rPr>
                <w:b/>
                <w:bCs/>
              </w:rPr>
              <w:t>100,00%</w:t>
            </w:r>
          </w:p>
        </w:tc>
      </w:tr>
    </w:tbl>
    <w:p w14:paraId="6BA45553" w14:textId="1A6DA4CC" w:rsidR="00895992" w:rsidRPr="00DE4C17" w:rsidRDefault="00895992" w:rsidP="00895992">
      <w:pPr>
        <w:jc w:val="center"/>
      </w:pPr>
      <w:r w:rsidRPr="00DE4C17">
        <w:t xml:space="preserve">Fonte: </w:t>
      </w:r>
      <w:r w:rsidR="00873942" w:rsidRPr="00DE4C17">
        <w:t>Elaborad</w:t>
      </w:r>
      <w:r w:rsidR="00873942">
        <w:t>a</w:t>
      </w:r>
      <w:r w:rsidR="00873942" w:rsidRPr="00DE4C17">
        <w:t xml:space="preserve"> pel</w:t>
      </w:r>
      <w:r w:rsidR="00873942">
        <w:t>os</w:t>
      </w:r>
      <w:r w:rsidR="00873942" w:rsidRPr="00DE4C17">
        <w:t xml:space="preserve"> autor</w:t>
      </w:r>
      <w:r w:rsidR="00873942">
        <w:t>es</w:t>
      </w:r>
      <w:r w:rsidR="00873942" w:rsidRPr="00DE4C17">
        <w:t xml:space="preserve"> </w:t>
      </w:r>
      <w:r w:rsidRPr="00DE4C17">
        <w:t>com base na coleta de dados</w:t>
      </w:r>
    </w:p>
    <w:p w14:paraId="7BD400F9" w14:textId="7B57F0A9" w:rsidR="00895992" w:rsidRPr="00DE4C17" w:rsidRDefault="00895992" w:rsidP="00895992">
      <w:pPr>
        <w:ind w:firstLine="567"/>
        <w:jc w:val="both"/>
        <w:rPr>
          <w:sz w:val="24"/>
          <w:szCs w:val="24"/>
        </w:rPr>
      </w:pPr>
      <w:r w:rsidRPr="00DE4C17">
        <w:rPr>
          <w:sz w:val="24"/>
          <w:szCs w:val="24"/>
        </w:rPr>
        <w:lastRenderedPageBreak/>
        <w:t xml:space="preserve">Analisando a Tabela </w:t>
      </w:r>
      <w:r w:rsidR="00557849">
        <w:rPr>
          <w:sz w:val="24"/>
          <w:szCs w:val="24"/>
        </w:rPr>
        <w:t>8</w:t>
      </w:r>
      <w:r w:rsidRPr="00DE4C17">
        <w:rPr>
          <w:sz w:val="24"/>
          <w:szCs w:val="24"/>
        </w:rPr>
        <w:t xml:space="preserve">, vê-se que o parágrafo de ênfase ainda é pouco abordado dentro dos relatórios de opinião dos auditores, sendo que </w:t>
      </w:r>
      <w:r>
        <w:rPr>
          <w:sz w:val="24"/>
          <w:szCs w:val="24"/>
        </w:rPr>
        <w:t>276 empresas</w:t>
      </w:r>
      <w:r w:rsidRPr="00DE4C17">
        <w:rPr>
          <w:sz w:val="24"/>
          <w:szCs w:val="24"/>
        </w:rPr>
        <w:t xml:space="preserve"> da amostra estudada não contem esse parágrafo. Contudo, dentre as empresas que possuem o parágrafo de ênfase, </w:t>
      </w:r>
      <w:r>
        <w:rPr>
          <w:sz w:val="24"/>
          <w:szCs w:val="24"/>
        </w:rPr>
        <w:t>18,12</w:t>
      </w:r>
      <w:r w:rsidRPr="00DE4C17">
        <w:rPr>
          <w:sz w:val="24"/>
          <w:szCs w:val="24"/>
        </w:rPr>
        <w:t xml:space="preserve">% delas ou 27 empresas abordaram o tema </w:t>
      </w:r>
      <w:r>
        <w:rPr>
          <w:sz w:val="24"/>
          <w:szCs w:val="24"/>
        </w:rPr>
        <w:t>‘</w:t>
      </w:r>
      <w:r w:rsidRPr="00DE4C17">
        <w:rPr>
          <w:sz w:val="24"/>
          <w:szCs w:val="24"/>
        </w:rPr>
        <w:t>Reapresentação das Demonstrações Financeiras/Valores Correspondentes</w:t>
      </w:r>
      <w:r>
        <w:rPr>
          <w:sz w:val="24"/>
          <w:szCs w:val="24"/>
        </w:rPr>
        <w:t>’</w:t>
      </w:r>
      <w:r w:rsidRPr="00DE4C17">
        <w:rPr>
          <w:sz w:val="24"/>
          <w:szCs w:val="24"/>
        </w:rPr>
        <w:t xml:space="preserve">, isso significa que ocorreu algum erro de dados referente ao período anterior e que estes foram reapresentados com os valores corretos. </w:t>
      </w:r>
    </w:p>
    <w:p w14:paraId="0F36414D" w14:textId="77777777" w:rsidR="00895992" w:rsidRPr="00DE4C17" w:rsidRDefault="00895992" w:rsidP="00895992">
      <w:pPr>
        <w:ind w:firstLine="567"/>
        <w:jc w:val="both"/>
        <w:rPr>
          <w:sz w:val="24"/>
          <w:szCs w:val="24"/>
        </w:rPr>
      </w:pPr>
      <w:r w:rsidRPr="00DE4C17">
        <w:rPr>
          <w:sz w:val="24"/>
          <w:szCs w:val="24"/>
        </w:rPr>
        <w:t xml:space="preserve">O tema </w:t>
      </w:r>
      <w:r>
        <w:rPr>
          <w:sz w:val="24"/>
          <w:szCs w:val="24"/>
        </w:rPr>
        <w:t>‘</w:t>
      </w:r>
      <w:r w:rsidRPr="00DE4C17">
        <w:rPr>
          <w:sz w:val="24"/>
          <w:szCs w:val="24"/>
        </w:rPr>
        <w:t>Incerteza de continuidade</w:t>
      </w:r>
      <w:r>
        <w:rPr>
          <w:sz w:val="24"/>
          <w:szCs w:val="24"/>
        </w:rPr>
        <w:t>’</w:t>
      </w:r>
      <w:r w:rsidRPr="00DE4C17">
        <w:rPr>
          <w:sz w:val="24"/>
          <w:szCs w:val="24"/>
        </w:rPr>
        <w:t xml:space="preserve"> é o segundo mais abordado no respectivo parágrafo, sendo responsável por </w:t>
      </w:r>
      <w:r>
        <w:rPr>
          <w:sz w:val="24"/>
          <w:szCs w:val="24"/>
        </w:rPr>
        <w:t>11,41</w:t>
      </w:r>
      <w:r w:rsidRPr="00DE4C17">
        <w:rPr>
          <w:sz w:val="24"/>
          <w:szCs w:val="24"/>
        </w:rPr>
        <w:t>% dos assuntos. De acordo com “Ibracon” (2015), esse tema é um dos maiores desafios do profissional auditor no desenvolvimento do trabalho de auditoria por ser tratar de um reflexo da crise econômica em que o país atravessa, uma vez que o auditor na condução dos seus trabalhos não pode prever com precisão as condições que podem levar a entidade a interromper a sua continuidade.</w:t>
      </w:r>
    </w:p>
    <w:p w14:paraId="2F73EFBB" w14:textId="77777777" w:rsidR="00895992" w:rsidRPr="00DE4C17" w:rsidRDefault="00895992" w:rsidP="00895992">
      <w:pPr>
        <w:ind w:firstLine="567"/>
        <w:jc w:val="both"/>
        <w:rPr>
          <w:sz w:val="24"/>
          <w:szCs w:val="24"/>
        </w:rPr>
      </w:pPr>
      <w:r w:rsidRPr="00DE4C17">
        <w:rPr>
          <w:sz w:val="24"/>
          <w:szCs w:val="24"/>
        </w:rPr>
        <w:t xml:space="preserve">Já os demais temas como </w:t>
      </w:r>
      <w:r>
        <w:rPr>
          <w:sz w:val="24"/>
          <w:szCs w:val="24"/>
        </w:rPr>
        <w:t>‘</w:t>
      </w:r>
      <w:r w:rsidRPr="00DE4C17">
        <w:rPr>
          <w:sz w:val="24"/>
          <w:szCs w:val="24"/>
        </w:rPr>
        <w:t>Orientação OC</w:t>
      </w:r>
      <w:r>
        <w:rPr>
          <w:sz w:val="24"/>
          <w:szCs w:val="24"/>
        </w:rPr>
        <w:t>PC 04’, que foi evidenciando em 7,38</w:t>
      </w:r>
      <w:r w:rsidRPr="00DE4C17">
        <w:rPr>
          <w:sz w:val="24"/>
          <w:szCs w:val="24"/>
        </w:rPr>
        <w:t>% da amostra, é uma medida que tem por objetivo auxiliar na análise de se os contratos de construção se enquadram mais adequadamente no alcance do Pronunciamento Técnico CPC 17 – Contratos de Construção ou do Pronunciamento Técnico CPC 30 – Receitas e assim auxiliar na definição pelos preparadores das demonstrações contábeis do momento do reconhecimento da receita com a incorporação ou construção de imóveis. Ao utilizar o assunto Impostos em 4</w:t>
      </w:r>
      <w:r>
        <w:rPr>
          <w:sz w:val="24"/>
          <w:szCs w:val="24"/>
        </w:rPr>
        <w:t>,03</w:t>
      </w:r>
      <w:r w:rsidRPr="00DE4C17">
        <w:rPr>
          <w:sz w:val="24"/>
          <w:szCs w:val="24"/>
        </w:rPr>
        <w:t xml:space="preserve">% dos parágrafos dos relatórios de opinião, o auditor abrangeu assuntos como valores a recuperar, créditos de incentivo fiscal em aberto, refis e parcelamentos fiscais. </w:t>
      </w:r>
    </w:p>
    <w:p w14:paraId="0DC09AB9" w14:textId="77777777" w:rsidR="00895992" w:rsidRPr="00DE4C17" w:rsidRDefault="00895992" w:rsidP="00895992">
      <w:pPr>
        <w:ind w:firstLine="567"/>
        <w:jc w:val="both"/>
        <w:rPr>
          <w:sz w:val="24"/>
          <w:szCs w:val="24"/>
        </w:rPr>
      </w:pPr>
      <w:r>
        <w:rPr>
          <w:sz w:val="24"/>
          <w:szCs w:val="24"/>
        </w:rPr>
        <w:t>O assunto ‘</w:t>
      </w:r>
      <w:r w:rsidRPr="00DE4C17">
        <w:rPr>
          <w:sz w:val="24"/>
          <w:szCs w:val="24"/>
        </w:rPr>
        <w:t>tra</w:t>
      </w:r>
      <w:r>
        <w:rPr>
          <w:sz w:val="24"/>
          <w:szCs w:val="24"/>
        </w:rPr>
        <w:t>nsações com partes relacionadas’</w:t>
      </w:r>
      <w:r w:rsidRPr="00DE4C17">
        <w:rPr>
          <w:sz w:val="24"/>
          <w:szCs w:val="24"/>
        </w:rPr>
        <w:t xml:space="preserve"> foi apresentado em </w:t>
      </w:r>
      <w:r>
        <w:rPr>
          <w:sz w:val="24"/>
          <w:szCs w:val="24"/>
        </w:rPr>
        <w:t>3,36</w:t>
      </w:r>
      <w:r w:rsidRPr="00DE4C17">
        <w:rPr>
          <w:sz w:val="24"/>
          <w:szCs w:val="24"/>
        </w:rPr>
        <w:t>% da amostra. Tal assunto refere-se a movimentações entre empresas que mantem uma relação entre si, essas transações podem ser compras ou vendas de bens, locações transferências de pesquisa (acabados ou não acabados), cessão de uso de marcas e patentes ou licenças, entre outros.</w:t>
      </w:r>
    </w:p>
    <w:p w14:paraId="30FC711E" w14:textId="77777777" w:rsidR="00895992" w:rsidRPr="00DE4C17" w:rsidRDefault="00895992" w:rsidP="00895992">
      <w:pPr>
        <w:ind w:firstLine="567"/>
        <w:jc w:val="both"/>
        <w:rPr>
          <w:sz w:val="24"/>
          <w:szCs w:val="24"/>
        </w:rPr>
      </w:pPr>
      <w:r w:rsidRPr="00DE4C17">
        <w:rPr>
          <w:sz w:val="24"/>
          <w:szCs w:val="24"/>
        </w:rPr>
        <w:t xml:space="preserve">No assunto </w:t>
      </w:r>
      <w:r>
        <w:rPr>
          <w:sz w:val="24"/>
          <w:szCs w:val="24"/>
        </w:rPr>
        <w:t>‘</w:t>
      </w:r>
      <w:r w:rsidRPr="00DE4C17">
        <w:rPr>
          <w:sz w:val="24"/>
          <w:szCs w:val="24"/>
        </w:rPr>
        <w:t>Recup</w:t>
      </w:r>
      <w:r>
        <w:rPr>
          <w:sz w:val="24"/>
          <w:szCs w:val="24"/>
        </w:rPr>
        <w:t>eração Judicial’ apresentado em 2,68</w:t>
      </w:r>
      <w:r w:rsidRPr="00DE4C17">
        <w:rPr>
          <w:sz w:val="24"/>
          <w:szCs w:val="24"/>
        </w:rPr>
        <w:t xml:space="preserve">% das empresas da amostra, o auditor aborda as empresas que estão em processo de Recuperação Judicial, justificado possivelmente pela instabilidade da economia brasileira. Esse processo dá à empresa em dificuldades financeiras a vantagem de envolver todos os seus credores em um plano de recuperação financeira, negociando com todos de uma única vez, o que dará uma “folga” para a organização afim de que ela consiga alavancar e manter seu negócio no mercado, possibilitando a empresa de honrar seus compromissos financeiros. </w:t>
      </w:r>
    </w:p>
    <w:p w14:paraId="5F8C516E" w14:textId="77777777" w:rsidR="00895992" w:rsidRPr="00DE4C17" w:rsidRDefault="00895992" w:rsidP="00895992">
      <w:pPr>
        <w:ind w:firstLine="567"/>
        <w:jc w:val="both"/>
        <w:rPr>
          <w:sz w:val="24"/>
          <w:szCs w:val="24"/>
        </w:rPr>
      </w:pPr>
      <w:r w:rsidRPr="00DE4C17">
        <w:rPr>
          <w:sz w:val="24"/>
          <w:szCs w:val="24"/>
        </w:rPr>
        <w:t xml:space="preserve">O tema </w:t>
      </w:r>
      <w:r>
        <w:rPr>
          <w:sz w:val="24"/>
          <w:szCs w:val="24"/>
        </w:rPr>
        <w:t>‘</w:t>
      </w:r>
      <w:r w:rsidRPr="00DE4C17">
        <w:rPr>
          <w:sz w:val="24"/>
          <w:szCs w:val="24"/>
        </w:rPr>
        <w:t>Investigação do Ministério Público</w:t>
      </w:r>
      <w:r>
        <w:rPr>
          <w:sz w:val="24"/>
          <w:szCs w:val="24"/>
        </w:rPr>
        <w:t>’</w:t>
      </w:r>
      <w:r w:rsidRPr="00DE4C17">
        <w:rPr>
          <w:sz w:val="24"/>
          <w:szCs w:val="24"/>
        </w:rPr>
        <w:t xml:space="preserve"> que aparece em </w:t>
      </w:r>
      <w:r>
        <w:rPr>
          <w:sz w:val="24"/>
          <w:szCs w:val="24"/>
        </w:rPr>
        <w:t>2,0</w:t>
      </w:r>
      <w:r w:rsidRPr="00DE4C17">
        <w:rPr>
          <w:sz w:val="24"/>
          <w:szCs w:val="24"/>
        </w:rPr>
        <w:t>1% dos parágrafos de outros assuntos refere-se a aqueles que abordaram assuntos como Investigações do Ministério Público envolvendo a Controladora, acionistas da Controladora e partes relacionadas ou estão sendo investiga</w:t>
      </w:r>
      <w:r>
        <w:rPr>
          <w:sz w:val="24"/>
          <w:szCs w:val="24"/>
        </w:rPr>
        <w:t>das dentro da Operação Lava Jato</w:t>
      </w:r>
      <w:r w:rsidRPr="00DE4C17">
        <w:rPr>
          <w:sz w:val="24"/>
          <w:szCs w:val="24"/>
        </w:rPr>
        <w:t xml:space="preserve"> (operação Brasileira contra a corrupção). </w:t>
      </w:r>
    </w:p>
    <w:p w14:paraId="251CD862" w14:textId="77B87954" w:rsidR="00895992" w:rsidRPr="00DE4C17" w:rsidRDefault="00895992" w:rsidP="00895992">
      <w:pPr>
        <w:ind w:firstLine="567"/>
        <w:jc w:val="both"/>
        <w:rPr>
          <w:sz w:val="24"/>
          <w:szCs w:val="24"/>
        </w:rPr>
      </w:pPr>
      <w:r w:rsidRPr="00DE4C17">
        <w:rPr>
          <w:sz w:val="24"/>
          <w:szCs w:val="24"/>
        </w:rPr>
        <w:t xml:space="preserve">Na Tabela </w:t>
      </w:r>
      <w:r w:rsidR="00557849">
        <w:rPr>
          <w:sz w:val="24"/>
          <w:szCs w:val="24"/>
        </w:rPr>
        <w:t>9</w:t>
      </w:r>
      <w:r w:rsidR="00557849" w:rsidRPr="00DE4C17">
        <w:rPr>
          <w:sz w:val="24"/>
          <w:szCs w:val="24"/>
        </w:rPr>
        <w:t xml:space="preserve"> </w:t>
      </w:r>
      <w:r w:rsidRPr="00DE4C17">
        <w:rPr>
          <w:sz w:val="24"/>
          <w:szCs w:val="24"/>
        </w:rPr>
        <w:t>evidencia-se a quantidade de assuntos abordados nos parágrafos de outros assuntos nos relatórios de opinião analisados.</w:t>
      </w:r>
    </w:p>
    <w:p w14:paraId="1C64F958" w14:textId="7B13881E" w:rsidR="00895992" w:rsidRPr="00DE4C17" w:rsidRDefault="00895992" w:rsidP="00895992">
      <w:pPr>
        <w:shd w:val="clear" w:color="auto" w:fill="FFFFFF"/>
        <w:jc w:val="center"/>
      </w:pPr>
      <w:r w:rsidRPr="00DE4C17">
        <w:rPr>
          <w:bCs/>
        </w:rPr>
        <w:t xml:space="preserve">Tabela </w:t>
      </w:r>
      <w:r w:rsidR="00557849">
        <w:rPr>
          <w:bCs/>
        </w:rPr>
        <w:t>9</w:t>
      </w:r>
      <w:r w:rsidRPr="00DE4C17">
        <w:rPr>
          <w:bCs/>
        </w:rPr>
        <w:t>: Quantidade de assuntos abordados no parágrafo de outros assuntos</w:t>
      </w:r>
    </w:p>
    <w:tbl>
      <w:tblPr>
        <w:tblW w:w="5000" w:type="pct"/>
        <w:jc w:val="center"/>
        <w:tblCellMar>
          <w:left w:w="70" w:type="dxa"/>
          <w:right w:w="70" w:type="dxa"/>
        </w:tblCellMar>
        <w:tblLook w:val="04A0" w:firstRow="1" w:lastRow="0" w:firstColumn="1" w:lastColumn="0" w:noHBand="0" w:noVBand="1"/>
      </w:tblPr>
      <w:tblGrid>
        <w:gridCol w:w="5693"/>
        <w:gridCol w:w="1780"/>
        <w:gridCol w:w="1592"/>
      </w:tblGrid>
      <w:tr w:rsidR="00895992" w:rsidRPr="00DE4C17" w14:paraId="31C1CAE6" w14:textId="77777777" w:rsidTr="0071485C">
        <w:trPr>
          <w:trHeight w:val="20"/>
          <w:jc w:val="center"/>
        </w:trPr>
        <w:tc>
          <w:tcPr>
            <w:tcW w:w="3140" w:type="pct"/>
            <w:tcBorders>
              <w:top w:val="single" w:sz="8" w:space="0" w:color="auto"/>
              <w:left w:val="nil"/>
              <w:bottom w:val="single" w:sz="8" w:space="0" w:color="auto"/>
              <w:right w:val="single" w:sz="4" w:space="0" w:color="auto"/>
            </w:tcBorders>
            <w:shd w:val="clear" w:color="000000" w:fill="DDD9C4"/>
            <w:vAlign w:val="center"/>
            <w:hideMark/>
          </w:tcPr>
          <w:p w14:paraId="68BE6C00" w14:textId="77777777" w:rsidR="00895992" w:rsidRPr="00DE4C17" w:rsidRDefault="00895992" w:rsidP="0071485C">
            <w:pPr>
              <w:jc w:val="center"/>
              <w:rPr>
                <w:b/>
                <w:bCs/>
              </w:rPr>
            </w:pPr>
            <w:r w:rsidRPr="00DE4C17">
              <w:rPr>
                <w:b/>
                <w:bCs/>
              </w:rPr>
              <w:t>Quantidade Assuntos Abordados</w:t>
            </w:r>
          </w:p>
        </w:tc>
        <w:tc>
          <w:tcPr>
            <w:tcW w:w="982" w:type="pct"/>
            <w:tcBorders>
              <w:top w:val="single" w:sz="8" w:space="0" w:color="auto"/>
              <w:left w:val="nil"/>
              <w:bottom w:val="single" w:sz="8" w:space="0" w:color="auto"/>
              <w:right w:val="single" w:sz="4" w:space="0" w:color="auto"/>
            </w:tcBorders>
            <w:shd w:val="clear" w:color="000000" w:fill="DDD9C4"/>
            <w:vAlign w:val="center"/>
            <w:hideMark/>
          </w:tcPr>
          <w:p w14:paraId="6C421D54" w14:textId="77777777" w:rsidR="00895992" w:rsidRPr="00DE4C17" w:rsidRDefault="00895992" w:rsidP="0071485C">
            <w:pPr>
              <w:jc w:val="center"/>
              <w:rPr>
                <w:b/>
                <w:bCs/>
              </w:rPr>
            </w:pPr>
            <w:r w:rsidRPr="00DE4C17">
              <w:rPr>
                <w:b/>
                <w:bCs/>
              </w:rPr>
              <w:t>Relatórios</w:t>
            </w:r>
          </w:p>
        </w:tc>
        <w:tc>
          <w:tcPr>
            <w:tcW w:w="878" w:type="pct"/>
            <w:tcBorders>
              <w:top w:val="single" w:sz="8" w:space="0" w:color="auto"/>
              <w:left w:val="nil"/>
              <w:bottom w:val="single" w:sz="8" w:space="0" w:color="auto"/>
              <w:right w:val="nil"/>
            </w:tcBorders>
            <w:shd w:val="clear" w:color="000000" w:fill="DDD9C4"/>
            <w:vAlign w:val="center"/>
            <w:hideMark/>
          </w:tcPr>
          <w:p w14:paraId="3F6C1DD8" w14:textId="77777777" w:rsidR="00895992" w:rsidRPr="00DE4C17" w:rsidRDefault="00895992" w:rsidP="0071485C">
            <w:pPr>
              <w:jc w:val="center"/>
              <w:rPr>
                <w:b/>
                <w:bCs/>
              </w:rPr>
            </w:pPr>
            <w:r w:rsidRPr="00DE4C17">
              <w:rPr>
                <w:b/>
                <w:bCs/>
              </w:rPr>
              <w:t>Freq (%)</w:t>
            </w:r>
          </w:p>
        </w:tc>
      </w:tr>
      <w:tr w:rsidR="00895992" w:rsidRPr="00DE4C17" w14:paraId="3E18784C" w14:textId="77777777" w:rsidTr="0071485C">
        <w:trPr>
          <w:trHeight w:val="20"/>
          <w:jc w:val="center"/>
        </w:trPr>
        <w:tc>
          <w:tcPr>
            <w:tcW w:w="3140" w:type="pct"/>
            <w:tcBorders>
              <w:top w:val="nil"/>
              <w:left w:val="nil"/>
              <w:bottom w:val="single" w:sz="4" w:space="0" w:color="auto"/>
              <w:right w:val="single" w:sz="4" w:space="0" w:color="auto"/>
            </w:tcBorders>
            <w:shd w:val="clear" w:color="auto" w:fill="auto"/>
            <w:vAlign w:val="center"/>
            <w:hideMark/>
          </w:tcPr>
          <w:p w14:paraId="7291B4D1" w14:textId="77777777" w:rsidR="00895992" w:rsidRPr="00DE4C17" w:rsidRDefault="00895992" w:rsidP="0071485C">
            <w:r w:rsidRPr="00DE4C17">
              <w:t xml:space="preserve">Não possui </w:t>
            </w:r>
            <w:r w:rsidR="006B462B" w:rsidRPr="00DE4C17">
              <w:t>parágrafo</w:t>
            </w:r>
            <w:r w:rsidRPr="00DE4C17">
              <w:t xml:space="preserve"> de outros assuntos</w:t>
            </w:r>
          </w:p>
        </w:tc>
        <w:tc>
          <w:tcPr>
            <w:tcW w:w="982" w:type="pct"/>
            <w:tcBorders>
              <w:top w:val="nil"/>
              <w:left w:val="nil"/>
              <w:bottom w:val="single" w:sz="4" w:space="0" w:color="auto"/>
              <w:right w:val="single" w:sz="4" w:space="0" w:color="auto"/>
            </w:tcBorders>
            <w:shd w:val="clear" w:color="auto" w:fill="auto"/>
            <w:vAlign w:val="center"/>
            <w:hideMark/>
          </w:tcPr>
          <w:p w14:paraId="5AD298E8" w14:textId="77777777" w:rsidR="00895992" w:rsidRPr="00DE4C17" w:rsidRDefault="00895992" w:rsidP="0071485C">
            <w:pPr>
              <w:jc w:val="center"/>
            </w:pPr>
            <w:r w:rsidRPr="00DE4C17">
              <w:t>4</w:t>
            </w:r>
          </w:p>
        </w:tc>
        <w:tc>
          <w:tcPr>
            <w:tcW w:w="878" w:type="pct"/>
            <w:tcBorders>
              <w:top w:val="nil"/>
              <w:left w:val="nil"/>
              <w:bottom w:val="single" w:sz="4" w:space="0" w:color="auto"/>
              <w:right w:val="nil"/>
            </w:tcBorders>
            <w:shd w:val="clear" w:color="auto" w:fill="auto"/>
            <w:vAlign w:val="center"/>
            <w:hideMark/>
          </w:tcPr>
          <w:p w14:paraId="5C40D42C" w14:textId="77777777" w:rsidR="00895992" w:rsidRPr="00DE4C17" w:rsidRDefault="00895992" w:rsidP="0071485C">
            <w:pPr>
              <w:jc w:val="center"/>
            </w:pPr>
            <w:r w:rsidRPr="00DE4C17">
              <w:t>1,02%</w:t>
            </w:r>
          </w:p>
        </w:tc>
      </w:tr>
      <w:tr w:rsidR="00895992" w:rsidRPr="00DE4C17" w14:paraId="70502822" w14:textId="77777777" w:rsidTr="0071485C">
        <w:trPr>
          <w:trHeight w:val="20"/>
          <w:jc w:val="center"/>
        </w:trPr>
        <w:tc>
          <w:tcPr>
            <w:tcW w:w="3140" w:type="pct"/>
            <w:tcBorders>
              <w:top w:val="nil"/>
              <w:left w:val="nil"/>
              <w:bottom w:val="single" w:sz="4" w:space="0" w:color="auto"/>
              <w:right w:val="single" w:sz="4" w:space="0" w:color="auto"/>
            </w:tcBorders>
            <w:shd w:val="clear" w:color="auto" w:fill="auto"/>
            <w:vAlign w:val="center"/>
            <w:hideMark/>
          </w:tcPr>
          <w:p w14:paraId="4BCBCD0E" w14:textId="77777777" w:rsidR="00895992" w:rsidRPr="00DE4C17" w:rsidRDefault="00895992" w:rsidP="0071485C">
            <w:r w:rsidRPr="00DE4C17">
              <w:t>Um assunto</w:t>
            </w:r>
          </w:p>
        </w:tc>
        <w:tc>
          <w:tcPr>
            <w:tcW w:w="982" w:type="pct"/>
            <w:tcBorders>
              <w:top w:val="nil"/>
              <w:left w:val="nil"/>
              <w:bottom w:val="single" w:sz="4" w:space="0" w:color="auto"/>
              <w:right w:val="single" w:sz="4" w:space="0" w:color="auto"/>
            </w:tcBorders>
            <w:shd w:val="clear" w:color="auto" w:fill="auto"/>
            <w:vAlign w:val="center"/>
            <w:hideMark/>
          </w:tcPr>
          <w:p w14:paraId="64867CEF" w14:textId="77777777" w:rsidR="00895992" w:rsidRPr="00DE4C17" w:rsidRDefault="00895992" w:rsidP="0071485C">
            <w:pPr>
              <w:jc w:val="center"/>
            </w:pPr>
            <w:r w:rsidRPr="00DE4C17">
              <w:t>336</w:t>
            </w:r>
          </w:p>
        </w:tc>
        <w:tc>
          <w:tcPr>
            <w:tcW w:w="878" w:type="pct"/>
            <w:tcBorders>
              <w:top w:val="nil"/>
              <w:left w:val="nil"/>
              <w:bottom w:val="single" w:sz="4" w:space="0" w:color="auto"/>
              <w:right w:val="nil"/>
            </w:tcBorders>
            <w:shd w:val="clear" w:color="auto" w:fill="auto"/>
            <w:vAlign w:val="center"/>
            <w:hideMark/>
          </w:tcPr>
          <w:p w14:paraId="1673B76A" w14:textId="77777777" w:rsidR="00895992" w:rsidRPr="00DE4C17" w:rsidRDefault="00895992" w:rsidP="0071485C">
            <w:pPr>
              <w:jc w:val="center"/>
            </w:pPr>
            <w:r w:rsidRPr="00DE4C17">
              <w:t>85,93%</w:t>
            </w:r>
          </w:p>
        </w:tc>
      </w:tr>
      <w:tr w:rsidR="00895992" w:rsidRPr="00DE4C17" w14:paraId="3471EF58" w14:textId="77777777" w:rsidTr="0071485C">
        <w:trPr>
          <w:trHeight w:val="20"/>
          <w:jc w:val="center"/>
        </w:trPr>
        <w:tc>
          <w:tcPr>
            <w:tcW w:w="3140" w:type="pct"/>
            <w:tcBorders>
              <w:top w:val="nil"/>
              <w:left w:val="nil"/>
              <w:bottom w:val="single" w:sz="4" w:space="0" w:color="auto"/>
              <w:right w:val="single" w:sz="4" w:space="0" w:color="auto"/>
            </w:tcBorders>
            <w:shd w:val="clear" w:color="auto" w:fill="auto"/>
            <w:vAlign w:val="center"/>
            <w:hideMark/>
          </w:tcPr>
          <w:p w14:paraId="4E209D42" w14:textId="77777777" w:rsidR="00895992" w:rsidRPr="00DE4C17" w:rsidRDefault="00895992" w:rsidP="0071485C">
            <w:r w:rsidRPr="00DE4C17">
              <w:t>Dois assuntos</w:t>
            </w:r>
          </w:p>
        </w:tc>
        <w:tc>
          <w:tcPr>
            <w:tcW w:w="982" w:type="pct"/>
            <w:tcBorders>
              <w:top w:val="nil"/>
              <w:left w:val="nil"/>
              <w:bottom w:val="single" w:sz="4" w:space="0" w:color="auto"/>
              <w:right w:val="single" w:sz="4" w:space="0" w:color="auto"/>
            </w:tcBorders>
            <w:shd w:val="clear" w:color="auto" w:fill="auto"/>
            <w:vAlign w:val="center"/>
            <w:hideMark/>
          </w:tcPr>
          <w:p w14:paraId="543DBF06" w14:textId="77777777" w:rsidR="00895992" w:rsidRPr="00DE4C17" w:rsidRDefault="00895992" w:rsidP="0071485C">
            <w:pPr>
              <w:jc w:val="center"/>
            </w:pPr>
            <w:r w:rsidRPr="00DE4C17">
              <w:t>49</w:t>
            </w:r>
          </w:p>
        </w:tc>
        <w:tc>
          <w:tcPr>
            <w:tcW w:w="878" w:type="pct"/>
            <w:tcBorders>
              <w:top w:val="nil"/>
              <w:left w:val="nil"/>
              <w:bottom w:val="single" w:sz="4" w:space="0" w:color="auto"/>
              <w:right w:val="nil"/>
            </w:tcBorders>
            <w:shd w:val="clear" w:color="auto" w:fill="auto"/>
            <w:vAlign w:val="center"/>
            <w:hideMark/>
          </w:tcPr>
          <w:p w14:paraId="5FD61F0C" w14:textId="77777777" w:rsidR="00895992" w:rsidRPr="00DE4C17" w:rsidRDefault="00895992" w:rsidP="0071485C">
            <w:pPr>
              <w:jc w:val="center"/>
            </w:pPr>
            <w:r w:rsidRPr="00DE4C17">
              <w:t>12,53%</w:t>
            </w:r>
          </w:p>
        </w:tc>
      </w:tr>
      <w:tr w:rsidR="00895992" w:rsidRPr="00DE4C17" w14:paraId="6D8C32BD" w14:textId="77777777" w:rsidTr="0071485C">
        <w:trPr>
          <w:trHeight w:val="20"/>
          <w:jc w:val="center"/>
        </w:trPr>
        <w:tc>
          <w:tcPr>
            <w:tcW w:w="3140" w:type="pct"/>
            <w:tcBorders>
              <w:top w:val="nil"/>
              <w:left w:val="nil"/>
              <w:bottom w:val="single" w:sz="4" w:space="0" w:color="auto"/>
              <w:right w:val="single" w:sz="4" w:space="0" w:color="auto"/>
            </w:tcBorders>
            <w:shd w:val="clear" w:color="auto" w:fill="auto"/>
            <w:vAlign w:val="center"/>
            <w:hideMark/>
          </w:tcPr>
          <w:p w14:paraId="11F7D099" w14:textId="77777777" w:rsidR="00895992" w:rsidRPr="00DE4C17" w:rsidRDefault="00895992" w:rsidP="0071485C">
            <w:r w:rsidRPr="00DE4C17">
              <w:t>Três assuntos</w:t>
            </w:r>
          </w:p>
        </w:tc>
        <w:tc>
          <w:tcPr>
            <w:tcW w:w="982" w:type="pct"/>
            <w:tcBorders>
              <w:top w:val="nil"/>
              <w:left w:val="nil"/>
              <w:bottom w:val="single" w:sz="4" w:space="0" w:color="auto"/>
              <w:right w:val="single" w:sz="4" w:space="0" w:color="auto"/>
            </w:tcBorders>
            <w:shd w:val="clear" w:color="auto" w:fill="auto"/>
            <w:vAlign w:val="center"/>
            <w:hideMark/>
          </w:tcPr>
          <w:p w14:paraId="6B0A37F3" w14:textId="77777777" w:rsidR="00895992" w:rsidRPr="00DE4C17" w:rsidRDefault="00895992" w:rsidP="0071485C">
            <w:pPr>
              <w:jc w:val="center"/>
            </w:pPr>
            <w:r w:rsidRPr="00DE4C17">
              <w:t>2</w:t>
            </w:r>
          </w:p>
        </w:tc>
        <w:tc>
          <w:tcPr>
            <w:tcW w:w="878" w:type="pct"/>
            <w:tcBorders>
              <w:top w:val="nil"/>
              <w:left w:val="nil"/>
              <w:bottom w:val="single" w:sz="4" w:space="0" w:color="auto"/>
              <w:right w:val="nil"/>
            </w:tcBorders>
            <w:shd w:val="clear" w:color="auto" w:fill="auto"/>
            <w:vAlign w:val="center"/>
            <w:hideMark/>
          </w:tcPr>
          <w:p w14:paraId="0211523A" w14:textId="77777777" w:rsidR="00895992" w:rsidRPr="00DE4C17" w:rsidRDefault="00895992" w:rsidP="0071485C">
            <w:pPr>
              <w:jc w:val="center"/>
            </w:pPr>
            <w:r w:rsidRPr="00DE4C17">
              <w:t>0,51%</w:t>
            </w:r>
          </w:p>
        </w:tc>
      </w:tr>
    </w:tbl>
    <w:p w14:paraId="36837B4B" w14:textId="1B58F63A" w:rsidR="00895992" w:rsidRPr="00DE4C17" w:rsidRDefault="00895992" w:rsidP="00895992">
      <w:pPr>
        <w:jc w:val="center"/>
      </w:pPr>
      <w:r w:rsidRPr="00DE4C17">
        <w:t xml:space="preserve">Fonte: </w:t>
      </w:r>
      <w:r w:rsidR="00873942" w:rsidRPr="00DE4C17">
        <w:t>Elaborad</w:t>
      </w:r>
      <w:r w:rsidR="00873942">
        <w:t>a</w:t>
      </w:r>
      <w:r w:rsidR="00873942" w:rsidRPr="00DE4C17">
        <w:t xml:space="preserve"> pel</w:t>
      </w:r>
      <w:r w:rsidR="00873942">
        <w:t>os</w:t>
      </w:r>
      <w:r w:rsidR="00873942" w:rsidRPr="00DE4C17">
        <w:t xml:space="preserve"> autor</w:t>
      </w:r>
      <w:r w:rsidR="00873942">
        <w:t>es</w:t>
      </w:r>
      <w:r w:rsidR="00873942" w:rsidRPr="00DE4C17">
        <w:t xml:space="preserve"> </w:t>
      </w:r>
      <w:r w:rsidRPr="00DE4C17">
        <w:t>com base na coleta de dados</w:t>
      </w:r>
    </w:p>
    <w:p w14:paraId="6D1DB5C0" w14:textId="77777777" w:rsidR="00895992" w:rsidRPr="00DE4C17" w:rsidRDefault="00895992" w:rsidP="00895992">
      <w:pPr>
        <w:ind w:firstLine="567"/>
        <w:jc w:val="both"/>
        <w:rPr>
          <w:sz w:val="24"/>
          <w:szCs w:val="24"/>
        </w:rPr>
      </w:pPr>
    </w:p>
    <w:p w14:paraId="27D267DC" w14:textId="3EEAC04C" w:rsidR="00895992" w:rsidRPr="00DE4C17" w:rsidRDefault="00895992" w:rsidP="00895992">
      <w:pPr>
        <w:ind w:firstLine="567"/>
        <w:jc w:val="both"/>
        <w:rPr>
          <w:sz w:val="24"/>
          <w:szCs w:val="24"/>
        </w:rPr>
      </w:pPr>
      <w:r w:rsidRPr="00DE4C17">
        <w:rPr>
          <w:sz w:val="24"/>
          <w:szCs w:val="24"/>
        </w:rPr>
        <w:lastRenderedPageBreak/>
        <w:t xml:space="preserve">Com base na Tabela </w:t>
      </w:r>
      <w:r w:rsidR="00557849">
        <w:rPr>
          <w:sz w:val="24"/>
          <w:szCs w:val="24"/>
        </w:rPr>
        <w:t>9</w:t>
      </w:r>
      <w:r w:rsidRPr="00DE4C17">
        <w:rPr>
          <w:sz w:val="24"/>
          <w:szCs w:val="24"/>
        </w:rPr>
        <w:t xml:space="preserve">, das 391 empresas analisadas, apenas 1,02% delas não possuem </w:t>
      </w:r>
      <w:r w:rsidR="006B462B" w:rsidRPr="00DE4C17">
        <w:rPr>
          <w:sz w:val="24"/>
          <w:szCs w:val="24"/>
        </w:rPr>
        <w:t>parágrafo</w:t>
      </w:r>
      <w:r w:rsidRPr="00DE4C17">
        <w:rPr>
          <w:sz w:val="24"/>
          <w:szCs w:val="24"/>
        </w:rPr>
        <w:t xml:space="preserve"> de outros assuntos. Contudo, as demais empresas possuem parágrafos contendo entre um e três assuntos, sendo que mais de 85% deles contém apenas um assunto, nesses casos, o </w:t>
      </w:r>
      <w:r>
        <w:rPr>
          <w:sz w:val="24"/>
          <w:szCs w:val="24"/>
        </w:rPr>
        <w:t>auditor durante sua análise</w:t>
      </w:r>
      <w:r w:rsidRPr="00DE4C17">
        <w:rPr>
          <w:sz w:val="24"/>
          <w:szCs w:val="24"/>
        </w:rPr>
        <w:t xml:space="preserve"> averiguou que existem algum ou alguns assuntos ao qual devem ter uma atenção maior por possuírem julgamentos que apresentam maior incerteza em relação à avaliação da administração. </w:t>
      </w:r>
    </w:p>
    <w:p w14:paraId="4DE725FB" w14:textId="62EA39EC" w:rsidR="00895992" w:rsidRPr="00DE4C17" w:rsidRDefault="00895992" w:rsidP="00895992">
      <w:pPr>
        <w:ind w:firstLine="567"/>
        <w:jc w:val="both"/>
        <w:rPr>
          <w:sz w:val="24"/>
          <w:szCs w:val="24"/>
        </w:rPr>
      </w:pPr>
      <w:r w:rsidRPr="00DE4C17">
        <w:rPr>
          <w:sz w:val="24"/>
          <w:szCs w:val="24"/>
        </w:rPr>
        <w:t xml:space="preserve">Analisando as Tabelas </w:t>
      </w:r>
      <w:r w:rsidR="00557849">
        <w:rPr>
          <w:sz w:val="24"/>
          <w:szCs w:val="24"/>
        </w:rPr>
        <w:t>8</w:t>
      </w:r>
      <w:r w:rsidR="00557849" w:rsidRPr="00DE4C17">
        <w:rPr>
          <w:sz w:val="24"/>
          <w:szCs w:val="24"/>
        </w:rPr>
        <w:t xml:space="preserve"> </w:t>
      </w:r>
      <w:r w:rsidRPr="00DE4C17">
        <w:rPr>
          <w:sz w:val="24"/>
          <w:szCs w:val="24"/>
        </w:rPr>
        <w:t xml:space="preserve">e </w:t>
      </w:r>
      <w:r w:rsidR="00557849">
        <w:rPr>
          <w:sz w:val="24"/>
          <w:szCs w:val="24"/>
        </w:rPr>
        <w:t>9</w:t>
      </w:r>
      <w:r w:rsidRPr="00DE4C17">
        <w:rPr>
          <w:sz w:val="24"/>
          <w:szCs w:val="24"/>
        </w:rPr>
        <w:t>, vemos que quase todas as empresas da amostra possu</w:t>
      </w:r>
      <w:r>
        <w:rPr>
          <w:sz w:val="24"/>
          <w:szCs w:val="24"/>
        </w:rPr>
        <w:t>em</w:t>
      </w:r>
      <w:r w:rsidRPr="00DE4C17">
        <w:rPr>
          <w:sz w:val="24"/>
          <w:szCs w:val="24"/>
        </w:rPr>
        <w:t xml:space="preserve"> parágrafo de outros assuntos enquanto em relação ao </w:t>
      </w:r>
      <w:r w:rsidR="006B462B" w:rsidRPr="00DE4C17">
        <w:rPr>
          <w:sz w:val="24"/>
          <w:szCs w:val="24"/>
        </w:rPr>
        <w:t>parágrafo</w:t>
      </w:r>
      <w:r w:rsidRPr="00DE4C17">
        <w:rPr>
          <w:sz w:val="24"/>
          <w:szCs w:val="24"/>
        </w:rPr>
        <w:t xml:space="preserve"> de ênfase não se observa o mesmo comportamento. O parágrafo de ênfase e de outros assuntos tem funções distintas dentro o relatório de opinião emitido pelo auditor. Acredita-se que este fato está relacionado à que o parágrafo de ênfase é utilizado, quando o auditor quer chamar atenção para uma situação importante e relacionada com as demonstrações contábeis, que esteja devidamente divulgada em notas explicativas, ou seja, o assunto já está sendo abordado </w:t>
      </w:r>
      <w:r w:rsidR="00A00CB9">
        <w:rPr>
          <w:sz w:val="24"/>
          <w:szCs w:val="24"/>
        </w:rPr>
        <w:t>devidamente nas demonstrações contábeis</w:t>
      </w:r>
      <w:r w:rsidRPr="00DE4C17">
        <w:rPr>
          <w:sz w:val="24"/>
          <w:szCs w:val="24"/>
        </w:rPr>
        <w:t>, podendo ou não ter a necessidade de evidencia-lo novamente. Já o parágrafo de outros assuntos é utilizado para informar assuntos relacionados à própria auditoria realizada, dessa forma, é nele que a informação será apresentada.</w:t>
      </w:r>
    </w:p>
    <w:p w14:paraId="37A8FDD4" w14:textId="4EBD097F" w:rsidR="00895992" w:rsidRPr="00DE4C17" w:rsidRDefault="00895992" w:rsidP="00895992">
      <w:pPr>
        <w:ind w:firstLine="567"/>
        <w:jc w:val="both"/>
        <w:rPr>
          <w:sz w:val="24"/>
          <w:szCs w:val="24"/>
        </w:rPr>
      </w:pPr>
      <w:r w:rsidRPr="00DE4C17">
        <w:rPr>
          <w:sz w:val="24"/>
          <w:szCs w:val="24"/>
        </w:rPr>
        <w:t xml:space="preserve">Diante da necessidade de verificar quais as principais informações apresentadas no parágrafo de outros assuntos, a Tabela </w:t>
      </w:r>
      <w:r w:rsidR="00557849" w:rsidRPr="00DE4C17">
        <w:rPr>
          <w:sz w:val="24"/>
          <w:szCs w:val="24"/>
        </w:rPr>
        <w:t>1</w:t>
      </w:r>
      <w:r w:rsidR="00557849">
        <w:rPr>
          <w:sz w:val="24"/>
          <w:szCs w:val="24"/>
        </w:rPr>
        <w:t>0</w:t>
      </w:r>
      <w:r w:rsidRPr="00DE4C17">
        <w:rPr>
          <w:sz w:val="24"/>
          <w:szCs w:val="24"/>
        </w:rPr>
        <w:t>, apresenta os assuntos abordados nesse parágrafo.</w:t>
      </w:r>
    </w:p>
    <w:p w14:paraId="691E7A37" w14:textId="77777777" w:rsidR="00895992" w:rsidRPr="00DE4C17" w:rsidRDefault="00895992" w:rsidP="00895992">
      <w:pPr>
        <w:ind w:firstLine="567"/>
        <w:jc w:val="both"/>
        <w:rPr>
          <w:sz w:val="24"/>
          <w:szCs w:val="24"/>
        </w:rPr>
      </w:pPr>
    </w:p>
    <w:p w14:paraId="514385C4" w14:textId="45222328" w:rsidR="00895992" w:rsidRPr="00DE4C17" w:rsidRDefault="00895992" w:rsidP="00895992">
      <w:pPr>
        <w:shd w:val="clear" w:color="auto" w:fill="FFFFFF"/>
        <w:jc w:val="center"/>
        <w:rPr>
          <w:b/>
        </w:rPr>
      </w:pPr>
      <w:r w:rsidRPr="00DE4C17">
        <w:rPr>
          <w:bCs/>
        </w:rPr>
        <w:t xml:space="preserve">Tabela </w:t>
      </w:r>
      <w:r w:rsidR="00557849" w:rsidRPr="00DE4C17">
        <w:rPr>
          <w:bCs/>
        </w:rPr>
        <w:t>1</w:t>
      </w:r>
      <w:r w:rsidR="00557849">
        <w:rPr>
          <w:bCs/>
        </w:rPr>
        <w:t>0</w:t>
      </w:r>
      <w:r w:rsidRPr="00DE4C17">
        <w:rPr>
          <w:bCs/>
        </w:rPr>
        <w:t>: Assuntos abordados no parágrafo de outros assuntos</w:t>
      </w:r>
    </w:p>
    <w:tbl>
      <w:tblPr>
        <w:tblW w:w="9249" w:type="dxa"/>
        <w:jc w:val="center"/>
        <w:tblCellMar>
          <w:left w:w="70" w:type="dxa"/>
          <w:right w:w="70" w:type="dxa"/>
        </w:tblCellMar>
        <w:tblLook w:val="04A0" w:firstRow="1" w:lastRow="0" w:firstColumn="1" w:lastColumn="0" w:noHBand="0" w:noVBand="1"/>
      </w:tblPr>
      <w:tblGrid>
        <w:gridCol w:w="6689"/>
        <w:gridCol w:w="1106"/>
        <w:gridCol w:w="1454"/>
      </w:tblGrid>
      <w:tr w:rsidR="00895992" w:rsidRPr="00DE4C17" w14:paraId="138AFDC8" w14:textId="77777777" w:rsidTr="0071485C">
        <w:trPr>
          <w:trHeight w:val="20"/>
          <w:jc w:val="center"/>
        </w:trPr>
        <w:tc>
          <w:tcPr>
            <w:tcW w:w="6689" w:type="dxa"/>
            <w:tcBorders>
              <w:top w:val="single" w:sz="8" w:space="0" w:color="auto"/>
              <w:left w:val="nil"/>
              <w:bottom w:val="single" w:sz="8" w:space="0" w:color="auto"/>
              <w:right w:val="single" w:sz="4" w:space="0" w:color="auto"/>
            </w:tcBorders>
            <w:shd w:val="clear" w:color="000000" w:fill="DDD9C4"/>
            <w:vAlign w:val="center"/>
            <w:hideMark/>
          </w:tcPr>
          <w:p w14:paraId="266F9EB9" w14:textId="77777777" w:rsidR="00895992" w:rsidRPr="00DE4C17" w:rsidRDefault="00895992" w:rsidP="0071485C">
            <w:pPr>
              <w:jc w:val="center"/>
              <w:rPr>
                <w:b/>
                <w:bCs/>
              </w:rPr>
            </w:pPr>
            <w:r w:rsidRPr="00DE4C17">
              <w:rPr>
                <w:b/>
                <w:bCs/>
              </w:rPr>
              <w:t>Assuntos Abordados no parágrafo de outros assuntos</w:t>
            </w:r>
          </w:p>
        </w:tc>
        <w:tc>
          <w:tcPr>
            <w:tcW w:w="1106" w:type="dxa"/>
            <w:tcBorders>
              <w:top w:val="single" w:sz="8" w:space="0" w:color="auto"/>
              <w:left w:val="nil"/>
              <w:bottom w:val="single" w:sz="8" w:space="0" w:color="auto"/>
              <w:right w:val="single" w:sz="4" w:space="0" w:color="auto"/>
            </w:tcBorders>
            <w:shd w:val="clear" w:color="000000" w:fill="DDD9C4"/>
            <w:vAlign w:val="center"/>
            <w:hideMark/>
          </w:tcPr>
          <w:p w14:paraId="2328F5FA" w14:textId="77777777" w:rsidR="00895992" w:rsidRPr="00DE4C17" w:rsidRDefault="00895992" w:rsidP="0071485C">
            <w:pPr>
              <w:jc w:val="center"/>
              <w:rPr>
                <w:b/>
                <w:bCs/>
              </w:rPr>
            </w:pPr>
            <w:r w:rsidRPr="00DE4C17">
              <w:rPr>
                <w:b/>
                <w:bCs/>
              </w:rPr>
              <w:t>Relatórios</w:t>
            </w:r>
          </w:p>
        </w:tc>
        <w:tc>
          <w:tcPr>
            <w:tcW w:w="1454" w:type="dxa"/>
            <w:tcBorders>
              <w:top w:val="single" w:sz="8" w:space="0" w:color="auto"/>
              <w:left w:val="nil"/>
              <w:bottom w:val="single" w:sz="8" w:space="0" w:color="auto"/>
              <w:right w:val="nil"/>
            </w:tcBorders>
            <w:shd w:val="clear" w:color="000000" w:fill="DDD9C4"/>
            <w:vAlign w:val="center"/>
            <w:hideMark/>
          </w:tcPr>
          <w:p w14:paraId="75713855" w14:textId="77777777" w:rsidR="00895992" w:rsidRPr="00DE4C17" w:rsidRDefault="00895992" w:rsidP="0071485C">
            <w:pPr>
              <w:jc w:val="center"/>
              <w:rPr>
                <w:b/>
                <w:bCs/>
              </w:rPr>
            </w:pPr>
            <w:r w:rsidRPr="00DE4C17">
              <w:rPr>
                <w:b/>
                <w:bCs/>
              </w:rPr>
              <w:t>Freq (%)</w:t>
            </w:r>
          </w:p>
        </w:tc>
      </w:tr>
      <w:tr w:rsidR="00895992" w:rsidRPr="00DE4C17" w14:paraId="22165416"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5636A085" w14:textId="77777777" w:rsidR="00895992" w:rsidRPr="00DE4C17" w:rsidRDefault="00895992" w:rsidP="0071485C">
            <w:r w:rsidRPr="00DE4C17">
              <w:t>Demonstração do Valor Adicionado</w:t>
            </w:r>
          </w:p>
        </w:tc>
        <w:tc>
          <w:tcPr>
            <w:tcW w:w="1106" w:type="dxa"/>
            <w:tcBorders>
              <w:top w:val="nil"/>
              <w:left w:val="nil"/>
              <w:bottom w:val="single" w:sz="4" w:space="0" w:color="auto"/>
              <w:right w:val="single" w:sz="4" w:space="0" w:color="auto"/>
            </w:tcBorders>
            <w:shd w:val="clear" w:color="auto" w:fill="auto"/>
            <w:vAlign w:val="center"/>
            <w:hideMark/>
          </w:tcPr>
          <w:p w14:paraId="08B8F75F" w14:textId="77777777" w:rsidR="00895992" w:rsidRPr="00DE4C17" w:rsidRDefault="00895992" w:rsidP="0071485C">
            <w:pPr>
              <w:jc w:val="center"/>
            </w:pPr>
            <w:r w:rsidRPr="00DE4C17">
              <w:t>386</w:t>
            </w:r>
          </w:p>
        </w:tc>
        <w:tc>
          <w:tcPr>
            <w:tcW w:w="1454" w:type="dxa"/>
            <w:tcBorders>
              <w:top w:val="single" w:sz="4" w:space="0" w:color="auto"/>
              <w:left w:val="nil"/>
              <w:bottom w:val="single" w:sz="4" w:space="0" w:color="auto"/>
              <w:right w:val="nil"/>
            </w:tcBorders>
            <w:shd w:val="clear" w:color="auto" w:fill="auto"/>
            <w:vAlign w:val="center"/>
            <w:hideMark/>
          </w:tcPr>
          <w:p w14:paraId="3AF69DF3" w14:textId="77777777" w:rsidR="00895992" w:rsidRPr="00DE4C17" w:rsidRDefault="00895992" w:rsidP="0071485C">
            <w:pPr>
              <w:jc w:val="center"/>
            </w:pPr>
            <w:r>
              <w:t>87</w:t>
            </w:r>
            <w:r w:rsidRPr="00DE4C17">
              <w:t>,</w:t>
            </w:r>
            <w:r>
              <w:t>73</w:t>
            </w:r>
            <w:r w:rsidRPr="00DE4C17">
              <w:t>%</w:t>
            </w:r>
          </w:p>
        </w:tc>
      </w:tr>
      <w:tr w:rsidR="00895992" w:rsidRPr="00DE4C17" w14:paraId="58BE9381"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4DA49D8B" w14:textId="77777777" w:rsidR="00895992" w:rsidRPr="00DE4C17" w:rsidRDefault="00895992" w:rsidP="0071485C">
            <w:r w:rsidRPr="00DE4C17">
              <w:t>Auditoria dos valores correspondentes</w:t>
            </w:r>
          </w:p>
        </w:tc>
        <w:tc>
          <w:tcPr>
            <w:tcW w:w="1106" w:type="dxa"/>
            <w:tcBorders>
              <w:top w:val="nil"/>
              <w:left w:val="nil"/>
              <w:bottom w:val="single" w:sz="4" w:space="0" w:color="auto"/>
              <w:right w:val="single" w:sz="4" w:space="0" w:color="auto"/>
            </w:tcBorders>
            <w:shd w:val="clear" w:color="auto" w:fill="auto"/>
            <w:vAlign w:val="center"/>
            <w:hideMark/>
          </w:tcPr>
          <w:p w14:paraId="3F3CB743" w14:textId="77777777" w:rsidR="00895992" w:rsidRPr="00DE4C17" w:rsidRDefault="00895992" w:rsidP="0071485C">
            <w:pPr>
              <w:jc w:val="center"/>
            </w:pPr>
            <w:r w:rsidRPr="00DE4C17">
              <w:t>29</w:t>
            </w:r>
          </w:p>
        </w:tc>
        <w:tc>
          <w:tcPr>
            <w:tcW w:w="1454" w:type="dxa"/>
            <w:tcBorders>
              <w:top w:val="nil"/>
              <w:left w:val="nil"/>
              <w:bottom w:val="single" w:sz="4" w:space="0" w:color="auto"/>
              <w:right w:val="nil"/>
            </w:tcBorders>
            <w:shd w:val="clear" w:color="auto" w:fill="auto"/>
            <w:vAlign w:val="center"/>
            <w:hideMark/>
          </w:tcPr>
          <w:p w14:paraId="174F500C" w14:textId="77777777" w:rsidR="00895992" w:rsidRPr="00DE4C17" w:rsidRDefault="00895992" w:rsidP="0071485C">
            <w:pPr>
              <w:jc w:val="center"/>
            </w:pPr>
            <w:r w:rsidRPr="00DE4C17">
              <w:t>6,5</w:t>
            </w:r>
            <w:r>
              <w:t>9</w:t>
            </w:r>
            <w:r w:rsidRPr="00DE4C17">
              <w:t>%</w:t>
            </w:r>
          </w:p>
        </w:tc>
      </w:tr>
      <w:tr w:rsidR="00895992" w:rsidRPr="00DE4C17" w14:paraId="7A500F7C"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222DB014" w14:textId="77777777" w:rsidR="00895992" w:rsidRPr="00DE4C17" w:rsidRDefault="00895992" w:rsidP="0071485C">
            <w:r w:rsidRPr="00DE4C17">
              <w:t>Auditoria do exercício anterior</w:t>
            </w:r>
          </w:p>
        </w:tc>
        <w:tc>
          <w:tcPr>
            <w:tcW w:w="1106" w:type="dxa"/>
            <w:tcBorders>
              <w:top w:val="nil"/>
              <w:left w:val="nil"/>
              <w:bottom w:val="single" w:sz="4" w:space="0" w:color="auto"/>
              <w:right w:val="single" w:sz="4" w:space="0" w:color="auto"/>
            </w:tcBorders>
            <w:shd w:val="clear" w:color="auto" w:fill="auto"/>
            <w:vAlign w:val="center"/>
            <w:hideMark/>
          </w:tcPr>
          <w:p w14:paraId="4DC8BE8A" w14:textId="77777777" w:rsidR="00895992" w:rsidRPr="00DE4C17" w:rsidRDefault="00895992" w:rsidP="0071485C">
            <w:pPr>
              <w:jc w:val="center"/>
            </w:pPr>
            <w:r w:rsidRPr="00DE4C17">
              <w:t>5</w:t>
            </w:r>
          </w:p>
        </w:tc>
        <w:tc>
          <w:tcPr>
            <w:tcW w:w="1454" w:type="dxa"/>
            <w:tcBorders>
              <w:top w:val="nil"/>
              <w:left w:val="nil"/>
              <w:bottom w:val="single" w:sz="4" w:space="0" w:color="auto"/>
              <w:right w:val="nil"/>
            </w:tcBorders>
            <w:shd w:val="clear" w:color="auto" w:fill="auto"/>
            <w:vAlign w:val="center"/>
            <w:hideMark/>
          </w:tcPr>
          <w:p w14:paraId="294294B8" w14:textId="77777777" w:rsidR="00895992" w:rsidRPr="00DE4C17" w:rsidRDefault="00895992" w:rsidP="0071485C">
            <w:pPr>
              <w:jc w:val="center"/>
            </w:pPr>
            <w:r>
              <w:t>1,14</w:t>
            </w:r>
            <w:r w:rsidRPr="00DE4C17">
              <w:t>%</w:t>
            </w:r>
          </w:p>
        </w:tc>
      </w:tr>
      <w:tr w:rsidR="00895992" w:rsidRPr="00DE4C17" w14:paraId="0AB70FF2"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6C6F1489" w14:textId="77777777" w:rsidR="00895992" w:rsidRPr="00DE4C17" w:rsidRDefault="00895992" w:rsidP="0071485C">
            <w:r w:rsidRPr="00DE4C17">
              <w:t xml:space="preserve">Demonstrações financeiras individuais e consolidadas comparativas </w:t>
            </w:r>
          </w:p>
        </w:tc>
        <w:tc>
          <w:tcPr>
            <w:tcW w:w="1106" w:type="dxa"/>
            <w:tcBorders>
              <w:top w:val="nil"/>
              <w:left w:val="nil"/>
              <w:bottom w:val="single" w:sz="4" w:space="0" w:color="auto"/>
              <w:right w:val="single" w:sz="4" w:space="0" w:color="auto"/>
            </w:tcBorders>
            <w:shd w:val="clear" w:color="auto" w:fill="auto"/>
            <w:vAlign w:val="center"/>
            <w:hideMark/>
          </w:tcPr>
          <w:p w14:paraId="7C73BBC9" w14:textId="77777777" w:rsidR="00895992" w:rsidRPr="00DE4C17" w:rsidRDefault="00895992" w:rsidP="0071485C">
            <w:pPr>
              <w:jc w:val="center"/>
            </w:pPr>
            <w:r w:rsidRPr="00DE4C17">
              <w:t>4</w:t>
            </w:r>
          </w:p>
        </w:tc>
        <w:tc>
          <w:tcPr>
            <w:tcW w:w="1454" w:type="dxa"/>
            <w:tcBorders>
              <w:top w:val="nil"/>
              <w:left w:val="nil"/>
              <w:bottom w:val="single" w:sz="4" w:space="0" w:color="auto"/>
              <w:right w:val="nil"/>
            </w:tcBorders>
            <w:shd w:val="clear" w:color="auto" w:fill="auto"/>
            <w:vAlign w:val="center"/>
            <w:hideMark/>
          </w:tcPr>
          <w:p w14:paraId="7EF7FD22" w14:textId="77777777" w:rsidR="00895992" w:rsidRPr="00DE4C17" w:rsidRDefault="00895992" w:rsidP="0071485C">
            <w:pPr>
              <w:jc w:val="center"/>
            </w:pPr>
            <w:r w:rsidRPr="00DE4C17">
              <w:t>0,9</w:t>
            </w:r>
            <w:r>
              <w:t>1</w:t>
            </w:r>
            <w:r w:rsidRPr="00DE4C17">
              <w:t>%</w:t>
            </w:r>
          </w:p>
        </w:tc>
      </w:tr>
      <w:tr w:rsidR="00895992" w:rsidRPr="00DE4C17" w14:paraId="460A8CC1"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2BEB5D81" w14:textId="77777777" w:rsidR="00895992" w:rsidRPr="00DE4C17" w:rsidRDefault="00895992" w:rsidP="0071485C">
            <w:r w:rsidRPr="00DE4C17">
              <w:t>Auditoria das demonstrações contábeis consolidadas do exercício anterior</w:t>
            </w:r>
          </w:p>
        </w:tc>
        <w:tc>
          <w:tcPr>
            <w:tcW w:w="1106" w:type="dxa"/>
            <w:tcBorders>
              <w:top w:val="nil"/>
              <w:left w:val="nil"/>
              <w:bottom w:val="single" w:sz="4" w:space="0" w:color="auto"/>
              <w:right w:val="single" w:sz="4" w:space="0" w:color="auto"/>
            </w:tcBorders>
            <w:shd w:val="clear" w:color="auto" w:fill="auto"/>
            <w:vAlign w:val="center"/>
            <w:hideMark/>
          </w:tcPr>
          <w:p w14:paraId="7F6EE63E" w14:textId="77777777" w:rsidR="00895992" w:rsidRPr="00DE4C17" w:rsidRDefault="00895992" w:rsidP="0071485C">
            <w:pPr>
              <w:jc w:val="center"/>
            </w:pPr>
            <w:r w:rsidRPr="00DE4C17">
              <w:t>3</w:t>
            </w:r>
          </w:p>
        </w:tc>
        <w:tc>
          <w:tcPr>
            <w:tcW w:w="1454" w:type="dxa"/>
            <w:tcBorders>
              <w:top w:val="nil"/>
              <w:left w:val="nil"/>
              <w:bottom w:val="single" w:sz="4" w:space="0" w:color="auto"/>
              <w:right w:val="nil"/>
            </w:tcBorders>
            <w:shd w:val="clear" w:color="auto" w:fill="auto"/>
            <w:vAlign w:val="center"/>
            <w:hideMark/>
          </w:tcPr>
          <w:p w14:paraId="5C83C432" w14:textId="77777777" w:rsidR="00895992" w:rsidRPr="00DE4C17" w:rsidRDefault="00895992" w:rsidP="0071485C">
            <w:pPr>
              <w:jc w:val="center"/>
            </w:pPr>
            <w:r w:rsidRPr="00DE4C17">
              <w:t>0,68%</w:t>
            </w:r>
          </w:p>
        </w:tc>
      </w:tr>
      <w:tr w:rsidR="00895992" w:rsidRPr="00DE4C17" w14:paraId="682D6C34"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1DC692BF" w14:textId="77777777" w:rsidR="00895992" w:rsidRPr="00DE4C17" w:rsidRDefault="00895992" w:rsidP="0071485C">
            <w:r w:rsidRPr="00DE4C17">
              <w:t>Demonstrações contábeis auditadas por outro auditor independente</w:t>
            </w:r>
          </w:p>
        </w:tc>
        <w:tc>
          <w:tcPr>
            <w:tcW w:w="1106" w:type="dxa"/>
            <w:tcBorders>
              <w:top w:val="nil"/>
              <w:left w:val="nil"/>
              <w:bottom w:val="single" w:sz="4" w:space="0" w:color="auto"/>
              <w:right w:val="single" w:sz="4" w:space="0" w:color="auto"/>
            </w:tcBorders>
            <w:shd w:val="clear" w:color="auto" w:fill="auto"/>
            <w:vAlign w:val="center"/>
            <w:hideMark/>
          </w:tcPr>
          <w:p w14:paraId="65F85990" w14:textId="77777777" w:rsidR="00895992" w:rsidRPr="00DE4C17" w:rsidRDefault="00895992" w:rsidP="0071485C">
            <w:pPr>
              <w:jc w:val="center"/>
            </w:pPr>
            <w:r w:rsidRPr="00DE4C17">
              <w:t>3</w:t>
            </w:r>
          </w:p>
        </w:tc>
        <w:tc>
          <w:tcPr>
            <w:tcW w:w="1454" w:type="dxa"/>
            <w:tcBorders>
              <w:top w:val="nil"/>
              <w:left w:val="nil"/>
              <w:bottom w:val="single" w:sz="4" w:space="0" w:color="auto"/>
              <w:right w:val="nil"/>
            </w:tcBorders>
            <w:shd w:val="clear" w:color="auto" w:fill="auto"/>
            <w:vAlign w:val="center"/>
            <w:hideMark/>
          </w:tcPr>
          <w:p w14:paraId="0390E1A7" w14:textId="77777777" w:rsidR="00895992" w:rsidRPr="00DE4C17" w:rsidRDefault="00895992" w:rsidP="0071485C">
            <w:pPr>
              <w:jc w:val="center"/>
            </w:pPr>
            <w:r w:rsidRPr="00DE4C17">
              <w:t>0,68%</w:t>
            </w:r>
          </w:p>
        </w:tc>
      </w:tr>
      <w:tr w:rsidR="00895992" w:rsidRPr="00DE4C17" w14:paraId="1FC7A32F"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319CEAFF" w14:textId="77777777" w:rsidR="00895992" w:rsidRPr="00DE4C17" w:rsidRDefault="00895992" w:rsidP="0071485C">
            <w:r w:rsidRPr="00DE4C17">
              <w:t>Ajustes de exercício anterior</w:t>
            </w:r>
          </w:p>
        </w:tc>
        <w:tc>
          <w:tcPr>
            <w:tcW w:w="1106" w:type="dxa"/>
            <w:tcBorders>
              <w:top w:val="nil"/>
              <w:left w:val="nil"/>
              <w:bottom w:val="single" w:sz="4" w:space="0" w:color="auto"/>
              <w:right w:val="single" w:sz="4" w:space="0" w:color="auto"/>
            </w:tcBorders>
            <w:shd w:val="clear" w:color="auto" w:fill="auto"/>
            <w:vAlign w:val="center"/>
            <w:hideMark/>
          </w:tcPr>
          <w:p w14:paraId="6BF005E3" w14:textId="77777777" w:rsidR="00895992" w:rsidRPr="00DE4C17" w:rsidRDefault="00895992" w:rsidP="0071485C">
            <w:pPr>
              <w:jc w:val="center"/>
            </w:pPr>
            <w:r w:rsidRPr="00DE4C17">
              <w:t>2</w:t>
            </w:r>
          </w:p>
        </w:tc>
        <w:tc>
          <w:tcPr>
            <w:tcW w:w="1454" w:type="dxa"/>
            <w:tcBorders>
              <w:top w:val="nil"/>
              <w:left w:val="nil"/>
              <w:bottom w:val="single" w:sz="4" w:space="0" w:color="auto"/>
              <w:right w:val="nil"/>
            </w:tcBorders>
            <w:shd w:val="clear" w:color="auto" w:fill="auto"/>
            <w:vAlign w:val="center"/>
            <w:hideMark/>
          </w:tcPr>
          <w:p w14:paraId="721EB9B7" w14:textId="77777777" w:rsidR="00895992" w:rsidRPr="00DE4C17" w:rsidRDefault="00895992" w:rsidP="0071485C">
            <w:pPr>
              <w:jc w:val="center"/>
            </w:pPr>
            <w:r w:rsidRPr="00DE4C17">
              <w:t>0,45%</w:t>
            </w:r>
          </w:p>
        </w:tc>
      </w:tr>
      <w:tr w:rsidR="00895992" w:rsidRPr="00DE4C17" w14:paraId="6199DB26"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48CC05BC" w14:textId="77777777" w:rsidR="00895992" w:rsidRPr="00DE4C17" w:rsidRDefault="00895992" w:rsidP="0071485C">
            <w:r w:rsidRPr="00DE4C17">
              <w:t>Responsabilidades da administração e da governança pelas demonstrações financeiras individuais e consolidadas</w:t>
            </w:r>
          </w:p>
        </w:tc>
        <w:tc>
          <w:tcPr>
            <w:tcW w:w="1106" w:type="dxa"/>
            <w:tcBorders>
              <w:top w:val="nil"/>
              <w:left w:val="nil"/>
              <w:bottom w:val="single" w:sz="4" w:space="0" w:color="auto"/>
              <w:right w:val="single" w:sz="4" w:space="0" w:color="auto"/>
            </w:tcBorders>
            <w:shd w:val="clear" w:color="auto" w:fill="auto"/>
            <w:vAlign w:val="center"/>
            <w:hideMark/>
          </w:tcPr>
          <w:p w14:paraId="5604D7F6" w14:textId="77777777" w:rsidR="00895992" w:rsidRPr="00DE4C17" w:rsidRDefault="00895992" w:rsidP="0071485C">
            <w:pPr>
              <w:jc w:val="center"/>
            </w:pPr>
            <w:r w:rsidRPr="00DE4C17">
              <w:t>2</w:t>
            </w:r>
          </w:p>
        </w:tc>
        <w:tc>
          <w:tcPr>
            <w:tcW w:w="1454" w:type="dxa"/>
            <w:tcBorders>
              <w:top w:val="nil"/>
              <w:left w:val="nil"/>
              <w:bottom w:val="single" w:sz="4" w:space="0" w:color="auto"/>
              <w:right w:val="nil"/>
            </w:tcBorders>
            <w:shd w:val="clear" w:color="auto" w:fill="auto"/>
            <w:vAlign w:val="center"/>
            <w:hideMark/>
          </w:tcPr>
          <w:p w14:paraId="12DDC9F8" w14:textId="77777777" w:rsidR="00895992" w:rsidRPr="00DE4C17" w:rsidRDefault="00895992" w:rsidP="0071485C">
            <w:pPr>
              <w:jc w:val="center"/>
            </w:pPr>
            <w:r w:rsidRPr="00DE4C17">
              <w:t>0,45%</w:t>
            </w:r>
          </w:p>
        </w:tc>
      </w:tr>
      <w:tr w:rsidR="00895992" w:rsidRPr="00DE4C17" w14:paraId="742BBC5C"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66793983" w14:textId="77777777" w:rsidR="00895992" w:rsidRPr="00DE4C17" w:rsidRDefault="00895992" w:rsidP="0071485C">
            <w:r w:rsidRPr="00DE4C17">
              <w:t>Auditoria dos saldos comparativos</w:t>
            </w:r>
          </w:p>
        </w:tc>
        <w:tc>
          <w:tcPr>
            <w:tcW w:w="1106" w:type="dxa"/>
            <w:tcBorders>
              <w:top w:val="nil"/>
              <w:left w:val="nil"/>
              <w:bottom w:val="single" w:sz="4" w:space="0" w:color="auto"/>
              <w:right w:val="single" w:sz="4" w:space="0" w:color="auto"/>
            </w:tcBorders>
            <w:shd w:val="clear" w:color="auto" w:fill="auto"/>
            <w:vAlign w:val="center"/>
            <w:hideMark/>
          </w:tcPr>
          <w:p w14:paraId="53A04855" w14:textId="77777777" w:rsidR="00895992" w:rsidRPr="00DE4C17" w:rsidRDefault="00895992" w:rsidP="0071485C">
            <w:pPr>
              <w:jc w:val="center"/>
            </w:pPr>
            <w:r w:rsidRPr="00DE4C17">
              <w:t>1</w:t>
            </w:r>
          </w:p>
        </w:tc>
        <w:tc>
          <w:tcPr>
            <w:tcW w:w="1454" w:type="dxa"/>
            <w:tcBorders>
              <w:top w:val="nil"/>
              <w:left w:val="nil"/>
              <w:bottom w:val="single" w:sz="4" w:space="0" w:color="auto"/>
              <w:right w:val="nil"/>
            </w:tcBorders>
            <w:shd w:val="clear" w:color="auto" w:fill="auto"/>
            <w:vAlign w:val="center"/>
            <w:hideMark/>
          </w:tcPr>
          <w:p w14:paraId="4703B461" w14:textId="77777777" w:rsidR="00895992" w:rsidRPr="00DE4C17" w:rsidRDefault="00895992" w:rsidP="0071485C">
            <w:pPr>
              <w:jc w:val="center"/>
            </w:pPr>
            <w:r w:rsidRPr="00DE4C17">
              <w:t>0,23%</w:t>
            </w:r>
          </w:p>
        </w:tc>
      </w:tr>
      <w:tr w:rsidR="00895992" w:rsidRPr="00DE4C17" w14:paraId="1C18FE27"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4CE60E6E" w14:textId="77777777" w:rsidR="00895992" w:rsidRPr="00DE4C17" w:rsidRDefault="00895992" w:rsidP="0071485C">
            <w:r w:rsidRPr="00DE4C17">
              <w:t>Consolidação programa de recuperação fiscal</w:t>
            </w:r>
          </w:p>
        </w:tc>
        <w:tc>
          <w:tcPr>
            <w:tcW w:w="1106" w:type="dxa"/>
            <w:tcBorders>
              <w:top w:val="nil"/>
              <w:left w:val="nil"/>
              <w:bottom w:val="single" w:sz="4" w:space="0" w:color="auto"/>
              <w:right w:val="single" w:sz="4" w:space="0" w:color="auto"/>
            </w:tcBorders>
            <w:shd w:val="clear" w:color="auto" w:fill="auto"/>
            <w:vAlign w:val="center"/>
            <w:hideMark/>
          </w:tcPr>
          <w:p w14:paraId="30C4794A" w14:textId="77777777" w:rsidR="00895992" w:rsidRPr="00DE4C17" w:rsidRDefault="00895992" w:rsidP="0071485C">
            <w:pPr>
              <w:jc w:val="center"/>
            </w:pPr>
            <w:r w:rsidRPr="00DE4C17">
              <w:t>1</w:t>
            </w:r>
          </w:p>
        </w:tc>
        <w:tc>
          <w:tcPr>
            <w:tcW w:w="1454" w:type="dxa"/>
            <w:tcBorders>
              <w:top w:val="nil"/>
              <w:left w:val="nil"/>
              <w:bottom w:val="single" w:sz="4" w:space="0" w:color="auto"/>
              <w:right w:val="nil"/>
            </w:tcBorders>
            <w:shd w:val="clear" w:color="auto" w:fill="auto"/>
            <w:vAlign w:val="center"/>
            <w:hideMark/>
          </w:tcPr>
          <w:p w14:paraId="7C6DD1DD" w14:textId="77777777" w:rsidR="00895992" w:rsidRPr="00DE4C17" w:rsidRDefault="00895992" w:rsidP="0071485C">
            <w:pPr>
              <w:jc w:val="center"/>
            </w:pPr>
            <w:r w:rsidRPr="00DE4C17">
              <w:t>0,23%</w:t>
            </w:r>
          </w:p>
        </w:tc>
      </w:tr>
      <w:tr w:rsidR="00895992" w:rsidRPr="00DE4C17" w14:paraId="71FC8B44"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05DAE32E" w14:textId="77777777" w:rsidR="00895992" w:rsidRPr="00DE4C17" w:rsidRDefault="00895992" w:rsidP="0071485C">
            <w:r w:rsidRPr="00DE4C17">
              <w:t>Incerteza relevante relacionada com a continuidade operacional</w:t>
            </w:r>
          </w:p>
        </w:tc>
        <w:tc>
          <w:tcPr>
            <w:tcW w:w="1106" w:type="dxa"/>
            <w:tcBorders>
              <w:top w:val="nil"/>
              <w:left w:val="nil"/>
              <w:bottom w:val="single" w:sz="4" w:space="0" w:color="auto"/>
              <w:right w:val="single" w:sz="4" w:space="0" w:color="auto"/>
            </w:tcBorders>
            <w:shd w:val="clear" w:color="auto" w:fill="auto"/>
            <w:vAlign w:val="center"/>
            <w:hideMark/>
          </w:tcPr>
          <w:p w14:paraId="394A1A5A" w14:textId="77777777" w:rsidR="00895992" w:rsidRPr="00DE4C17" w:rsidRDefault="00895992" w:rsidP="0071485C">
            <w:pPr>
              <w:jc w:val="center"/>
            </w:pPr>
            <w:r w:rsidRPr="00DE4C17">
              <w:t>1</w:t>
            </w:r>
          </w:p>
        </w:tc>
        <w:tc>
          <w:tcPr>
            <w:tcW w:w="1454" w:type="dxa"/>
            <w:tcBorders>
              <w:top w:val="nil"/>
              <w:left w:val="nil"/>
              <w:bottom w:val="single" w:sz="4" w:space="0" w:color="auto"/>
              <w:right w:val="nil"/>
            </w:tcBorders>
            <w:shd w:val="clear" w:color="auto" w:fill="auto"/>
            <w:vAlign w:val="center"/>
            <w:hideMark/>
          </w:tcPr>
          <w:p w14:paraId="6AE1C2D6" w14:textId="77777777" w:rsidR="00895992" w:rsidRPr="00DE4C17" w:rsidRDefault="00895992" w:rsidP="0071485C">
            <w:pPr>
              <w:jc w:val="center"/>
            </w:pPr>
            <w:r w:rsidRPr="00DE4C17">
              <w:t>0,23%</w:t>
            </w:r>
          </w:p>
        </w:tc>
      </w:tr>
      <w:tr w:rsidR="00895992" w:rsidRPr="00DE4C17" w14:paraId="2C4870BF"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0077B5E7" w14:textId="77777777" w:rsidR="00895992" w:rsidRPr="00DE4C17" w:rsidRDefault="00895992" w:rsidP="0071485C">
            <w:r w:rsidRPr="00DE4C17">
              <w:t>Informações fiduciárias</w:t>
            </w:r>
          </w:p>
        </w:tc>
        <w:tc>
          <w:tcPr>
            <w:tcW w:w="1106" w:type="dxa"/>
            <w:tcBorders>
              <w:top w:val="nil"/>
              <w:left w:val="nil"/>
              <w:bottom w:val="single" w:sz="4" w:space="0" w:color="auto"/>
              <w:right w:val="single" w:sz="4" w:space="0" w:color="auto"/>
            </w:tcBorders>
            <w:shd w:val="clear" w:color="auto" w:fill="auto"/>
            <w:vAlign w:val="center"/>
            <w:hideMark/>
          </w:tcPr>
          <w:p w14:paraId="0B8A1EAF" w14:textId="77777777" w:rsidR="00895992" w:rsidRPr="00DE4C17" w:rsidRDefault="00895992" w:rsidP="0071485C">
            <w:pPr>
              <w:jc w:val="center"/>
            </w:pPr>
            <w:r w:rsidRPr="00DE4C17">
              <w:t>1</w:t>
            </w:r>
          </w:p>
        </w:tc>
        <w:tc>
          <w:tcPr>
            <w:tcW w:w="1454" w:type="dxa"/>
            <w:tcBorders>
              <w:top w:val="nil"/>
              <w:left w:val="nil"/>
              <w:bottom w:val="single" w:sz="4" w:space="0" w:color="auto"/>
              <w:right w:val="nil"/>
            </w:tcBorders>
            <w:shd w:val="clear" w:color="auto" w:fill="auto"/>
            <w:vAlign w:val="center"/>
            <w:hideMark/>
          </w:tcPr>
          <w:p w14:paraId="4CC7E928" w14:textId="77777777" w:rsidR="00895992" w:rsidRPr="00DE4C17" w:rsidRDefault="00895992" w:rsidP="0071485C">
            <w:pPr>
              <w:jc w:val="center"/>
            </w:pPr>
            <w:r w:rsidRPr="00DE4C17">
              <w:t>0,23%</w:t>
            </w:r>
          </w:p>
        </w:tc>
      </w:tr>
      <w:tr w:rsidR="00895992" w:rsidRPr="00DE4C17" w14:paraId="1A1F28A1"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721A1D02" w14:textId="77777777" w:rsidR="00895992" w:rsidRPr="00DE4C17" w:rsidRDefault="00895992" w:rsidP="0071485C">
            <w:r w:rsidRPr="00DE4C17">
              <w:t>Reapresentação dos saldos comparativos</w:t>
            </w:r>
          </w:p>
        </w:tc>
        <w:tc>
          <w:tcPr>
            <w:tcW w:w="1106" w:type="dxa"/>
            <w:tcBorders>
              <w:top w:val="nil"/>
              <w:left w:val="nil"/>
              <w:bottom w:val="single" w:sz="4" w:space="0" w:color="auto"/>
              <w:right w:val="single" w:sz="4" w:space="0" w:color="auto"/>
            </w:tcBorders>
            <w:shd w:val="clear" w:color="auto" w:fill="auto"/>
            <w:vAlign w:val="center"/>
            <w:hideMark/>
          </w:tcPr>
          <w:p w14:paraId="6ED7DCD2" w14:textId="77777777" w:rsidR="00895992" w:rsidRPr="00DE4C17" w:rsidRDefault="00895992" w:rsidP="0071485C">
            <w:pPr>
              <w:jc w:val="center"/>
            </w:pPr>
            <w:r w:rsidRPr="00DE4C17">
              <w:t>1</w:t>
            </w:r>
          </w:p>
        </w:tc>
        <w:tc>
          <w:tcPr>
            <w:tcW w:w="1454" w:type="dxa"/>
            <w:tcBorders>
              <w:top w:val="nil"/>
              <w:left w:val="nil"/>
              <w:bottom w:val="single" w:sz="4" w:space="0" w:color="auto"/>
              <w:right w:val="nil"/>
            </w:tcBorders>
            <w:shd w:val="clear" w:color="auto" w:fill="auto"/>
            <w:vAlign w:val="center"/>
            <w:hideMark/>
          </w:tcPr>
          <w:p w14:paraId="6A3F514F" w14:textId="77777777" w:rsidR="00895992" w:rsidRPr="00DE4C17" w:rsidRDefault="00895992" w:rsidP="0071485C">
            <w:pPr>
              <w:jc w:val="center"/>
            </w:pPr>
            <w:r w:rsidRPr="00DE4C17">
              <w:t>0,23%</w:t>
            </w:r>
          </w:p>
        </w:tc>
      </w:tr>
      <w:tr w:rsidR="00895992" w:rsidRPr="00DE4C17" w14:paraId="33DA74F9" w14:textId="77777777" w:rsidTr="0071485C">
        <w:trPr>
          <w:trHeight w:val="20"/>
          <w:jc w:val="center"/>
        </w:trPr>
        <w:tc>
          <w:tcPr>
            <w:tcW w:w="6689" w:type="dxa"/>
            <w:tcBorders>
              <w:top w:val="nil"/>
              <w:left w:val="nil"/>
              <w:bottom w:val="single" w:sz="4" w:space="0" w:color="auto"/>
              <w:right w:val="single" w:sz="4" w:space="0" w:color="auto"/>
            </w:tcBorders>
            <w:shd w:val="clear" w:color="auto" w:fill="auto"/>
            <w:vAlign w:val="center"/>
            <w:hideMark/>
          </w:tcPr>
          <w:p w14:paraId="386675AA" w14:textId="77777777" w:rsidR="00895992" w:rsidRPr="00DE4C17" w:rsidRDefault="00895992" w:rsidP="0071485C">
            <w:r w:rsidRPr="00DE4C17">
              <w:t>Recuperação Judicial</w:t>
            </w:r>
          </w:p>
        </w:tc>
        <w:tc>
          <w:tcPr>
            <w:tcW w:w="1106" w:type="dxa"/>
            <w:tcBorders>
              <w:top w:val="nil"/>
              <w:left w:val="nil"/>
              <w:bottom w:val="single" w:sz="4" w:space="0" w:color="auto"/>
              <w:right w:val="single" w:sz="4" w:space="0" w:color="auto"/>
            </w:tcBorders>
            <w:shd w:val="clear" w:color="auto" w:fill="auto"/>
            <w:vAlign w:val="center"/>
            <w:hideMark/>
          </w:tcPr>
          <w:p w14:paraId="4DBCD80B" w14:textId="77777777" w:rsidR="00895992" w:rsidRPr="00DE4C17" w:rsidRDefault="00895992" w:rsidP="0071485C">
            <w:pPr>
              <w:jc w:val="center"/>
            </w:pPr>
            <w:r w:rsidRPr="00DE4C17">
              <w:t>1</w:t>
            </w:r>
          </w:p>
        </w:tc>
        <w:tc>
          <w:tcPr>
            <w:tcW w:w="1454" w:type="dxa"/>
            <w:tcBorders>
              <w:top w:val="nil"/>
              <w:left w:val="nil"/>
              <w:bottom w:val="single" w:sz="4" w:space="0" w:color="auto"/>
              <w:right w:val="nil"/>
            </w:tcBorders>
            <w:shd w:val="clear" w:color="auto" w:fill="auto"/>
            <w:vAlign w:val="center"/>
            <w:hideMark/>
          </w:tcPr>
          <w:p w14:paraId="60B8FD4E" w14:textId="77777777" w:rsidR="00895992" w:rsidRPr="00DE4C17" w:rsidRDefault="00895992" w:rsidP="0071485C">
            <w:pPr>
              <w:jc w:val="center"/>
            </w:pPr>
            <w:r w:rsidRPr="00DE4C17">
              <w:t>0,23%</w:t>
            </w:r>
          </w:p>
        </w:tc>
      </w:tr>
    </w:tbl>
    <w:p w14:paraId="5EC653EA" w14:textId="0E255425" w:rsidR="00895992" w:rsidRPr="00DE4C17" w:rsidRDefault="00895992" w:rsidP="00895992">
      <w:pPr>
        <w:jc w:val="center"/>
      </w:pPr>
      <w:r w:rsidRPr="00DE4C17">
        <w:t xml:space="preserve">Fonte: </w:t>
      </w:r>
      <w:r w:rsidR="00873942" w:rsidRPr="00DE4C17">
        <w:t>Elaborad</w:t>
      </w:r>
      <w:r w:rsidR="00873942">
        <w:t>a</w:t>
      </w:r>
      <w:r w:rsidR="00873942" w:rsidRPr="00DE4C17">
        <w:t xml:space="preserve"> pel</w:t>
      </w:r>
      <w:r w:rsidR="00873942">
        <w:t>os</w:t>
      </w:r>
      <w:r w:rsidR="00873942" w:rsidRPr="00DE4C17">
        <w:t xml:space="preserve"> autor</w:t>
      </w:r>
      <w:r w:rsidR="00873942">
        <w:t>es</w:t>
      </w:r>
      <w:r w:rsidR="00873942" w:rsidRPr="00DE4C17">
        <w:t xml:space="preserve"> </w:t>
      </w:r>
      <w:r w:rsidRPr="00DE4C17">
        <w:t>com base na coleta de dados</w:t>
      </w:r>
    </w:p>
    <w:p w14:paraId="798E2194" w14:textId="77777777" w:rsidR="00895992" w:rsidRPr="00DE4C17" w:rsidRDefault="00895992" w:rsidP="00895992">
      <w:pPr>
        <w:ind w:firstLine="567"/>
        <w:jc w:val="both"/>
        <w:rPr>
          <w:sz w:val="24"/>
          <w:szCs w:val="24"/>
        </w:rPr>
      </w:pPr>
    </w:p>
    <w:p w14:paraId="5CAB2858" w14:textId="16BFF1DF" w:rsidR="00895992" w:rsidRPr="00DE4C17" w:rsidRDefault="00895992" w:rsidP="00895992">
      <w:pPr>
        <w:ind w:firstLine="567"/>
        <w:jc w:val="both"/>
        <w:rPr>
          <w:sz w:val="24"/>
          <w:szCs w:val="24"/>
        </w:rPr>
      </w:pPr>
      <w:r w:rsidRPr="00DE4C17">
        <w:rPr>
          <w:sz w:val="24"/>
          <w:szCs w:val="24"/>
        </w:rPr>
        <w:t xml:space="preserve">A Tabela </w:t>
      </w:r>
      <w:r w:rsidR="00557849" w:rsidRPr="00DE4C17">
        <w:rPr>
          <w:sz w:val="24"/>
          <w:szCs w:val="24"/>
        </w:rPr>
        <w:t>1</w:t>
      </w:r>
      <w:r w:rsidR="00557849">
        <w:rPr>
          <w:sz w:val="24"/>
          <w:szCs w:val="24"/>
        </w:rPr>
        <w:t>0</w:t>
      </w:r>
      <w:r w:rsidR="00557849" w:rsidRPr="00DE4C17">
        <w:rPr>
          <w:sz w:val="24"/>
          <w:szCs w:val="24"/>
        </w:rPr>
        <w:t xml:space="preserve"> </w:t>
      </w:r>
      <w:r w:rsidRPr="00DE4C17">
        <w:rPr>
          <w:sz w:val="24"/>
          <w:szCs w:val="24"/>
        </w:rPr>
        <w:t>aborda os assuntos que compõe os parágrafos de outros assuntos que são responsáveis por reportar divulgação de informação suplementar. Dentre os tópicos que mais foram abordados, o tema Demonstração do Valor Adicionado é o que mais aparece entre os assuntos discutidos, apareceu em 386 relatórios de opinião, sendo responsável por 8</w:t>
      </w:r>
      <w:r>
        <w:rPr>
          <w:sz w:val="24"/>
          <w:szCs w:val="24"/>
        </w:rPr>
        <w:t>7,73</w:t>
      </w:r>
      <w:r w:rsidRPr="00DE4C17">
        <w:rPr>
          <w:sz w:val="24"/>
          <w:szCs w:val="24"/>
        </w:rPr>
        <w:t>% da amostra. O objetivo da Demonstração de Valor Adicionado é demonstrar o valor da riqueza gerada pela empresa e sua distribuição entre os diversos membros da sociedade que com ela interagem, como,</w:t>
      </w:r>
      <w:r>
        <w:rPr>
          <w:sz w:val="24"/>
          <w:szCs w:val="24"/>
        </w:rPr>
        <w:t xml:space="preserve"> </w:t>
      </w:r>
      <w:hyperlink r:id="rId10" w:tgtFrame="_blank" w:history="1">
        <w:r w:rsidRPr="00DE4C17">
          <w:rPr>
            <w:sz w:val="24"/>
            <w:szCs w:val="24"/>
          </w:rPr>
          <w:t>funcionários</w:t>
        </w:r>
      </w:hyperlink>
      <w:r w:rsidRPr="00DE4C17">
        <w:rPr>
          <w:sz w:val="24"/>
          <w:szCs w:val="24"/>
        </w:rPr>
        <w:t xml:space="preserve">, fornecedores, acionistas, etc (Azevedo, 2009). Acredita-se que a justificativa ao aparecimento desse tema na grande maioria dos relatórios de opinião se deve ao fato de que tal informação de obrigatoriedade após a publicação da Lei 11.638/07 passou a ter nova redação no Art.176. O tema Auditoria de Valores Correspondentes aparece em segundo </w:t>
      </w:r>
      <w:r w:rsidRPr="00DE4C17">
        <w:rPr>
          <w:sz w:val="24"/>
          <w:szCs w:val="24"/>
        </w:rPr>
        <w:lastRenderedPageBreak/>
        <w:t xml:space="preserve">lugar sendo abordada em cerca de 6,53% da amostra analisada, isso revela que existem dados referente ao exercício anterior, apresentados para fins de comparação, que foram ajustados e estão sendo apresentados nesse novo exercício. </w:t>
      </w:r>
    </w:p>
    <w:p w14:paraId="2D37A24B" w14:textId="77777777" w:rsidR="00895992" w:rsidRPr="00DE4C17" w:rsidRDefault="00895992" w:rsidP="00895992">
      <w:pPr>
        <w:ind w:firstLine="567"/>
        <w:jc w:val="both"/>
        <w:rPr>
          <w:sz w:val="24"/>
          <w:szCs w:val="24"/>
        </w:rPr>
      </w:pPr>
    </w:p>
    <w:p w14:paraId="4A59E76B" w14:textId="77777777" w:rsidR="00895992" w:rsidRPr="00DE4C17" w:rsidRDefault="00895992" w:rsidP="00895992">
      <w:pPr>
        <w:rPr>
          <w:b/>
          <w:sz w:val="24"/>
          <w:szCs w:val="24"/>
          <w:lang w:eastAsia="ar-SA"/>
        </w:rPr>
      </w:pPr>
      <w:r w:rsidRPr="00DE4C17">
        <w:rPr>
          <w:b/>
          <w:sz w:val="24"/>
          <w:szCs w:val="24"/>
          <w:lang w:eastAsia="ar-SA"/>
        </w:rPr>
        <w:t>5 C</w:t>
      </w:r>
      <w:r w:rsidR="006B462B" w:rsidRPr="00DE4C17">
        <w:rPr>
          <w:b/>
          <w:sz w:val="24"/>
          <w:szCs w:val="24"/>
          <w:lang w:eastAsia="ar-SA"/>
        </w:rPr>
        <w:t>onsiderações Finais</w:t>
      </w:r>
    </w:p>
    <w:p w14:paraId="760FDB58" w14:textId="22A512FD" w:rsidR="00895992" w:rsidRPr="00DE4C17" w:rsidRDefault="00895992" w:rsidP="00895992">
      <w:pPr>
        <w:ind w:firstLine="567"/>
        <w:jc w:val="both"/>
        <w:rPr>
          <w:sz w:val="24"/>
          <w:szCs w:val="24"/>
        </w:rPr>
      </w:pPr>
      <w:r>
        <w:rPr>
          <w:sz w:val="24"/>
          <w:szCs w:val="24"/>
        </w:rPr>
        <w:t xml:space="preserve">A presente pesquisa teve como objetivo identificar </w:t>
      </w:r>
      <w:r w:rsidR="00852D22">
        <w:rPr>
          <w:sz w:val="24"/>
          <w:szCs w:val="24"/>
        </w:rPr>
        <w:t>os principais traços</w:t>
      </w:r>
      <w:r w:rsidRPr="00DE4C17">
        <w:rPr>
          <w:sz w:val="24"/>
          <w:szCs w:val="24"/>
        </w:rPr>
        <w:t xml:space="preserve"> dos relatórios de opinião</w:t>
      </w:r>
      <w:r>
        <w:rPr>
          <w:sz w:val="24"/>
          <w:szCs w:val="24"/>
        </w:rPr>
        <w:t xml:space="preserve"> após a mudança das NBC TA para as demonstrações contábeis a partir de 2016, mais especificamente dos ‘parágrafo de ênfase’ e também do ‘parágrafo de outros assuntos’. O</w:t>
      </w:r>
      <w:r w:rsidRPr="00DE4C17">
        <w:rPr>
          <w:sz w:val="24"/>
          <w:szCs w:val="24"/>
        </w:rPr>
        <w:t xml:space="preserve">bservou-se que 94,12% dos relatórios de opinião apresentaram-se sem ressalva, o que aponta que estas empresas apresentaram seus dados sem nenhuma contestação por parte do auditor. Em relação </w:t>
      </w:r>
      <w:r>
        <w:rPr>
          <w:sz w:val="24"/>
          <w:szCs w:val="24"/>
        </w:rPr>
        <w:t>ao momento de</w:t>
      </w:r>
      <w:r w:rsidRPr="00DE4C17">
        <w:rPr>
          <w:sz w:val="24"/>
          <w:szCs w:val="24"/>
        </w:rPr>
        <w:t xml:space="preserve"> publicação desses relatórios 91,56% da amostra analisada apresentaram até o terceiro mês subsequente ao fim do exercício, sendo que 74,68% do total das empresas estudadas tiveram seus relatórios de opinião emitidos por uma das quatro maiores de empresas de auditoria e consultoria do mundo. </w:t>
      </w:r>
      <w:r>
        <w:rPr>
          <w:sz w:val="24"/>
          <w:szCs w:val="24"/>
        </w:rPr>
        <w:t>Dentro da amostra em análise</w:t>
      </w:r>
      <w:r w:rsidRPr="00DE4C17">
        <w:rPr>
          <w:sz w:val="24"/>
          <w:szCs w:val="24"/>
        </w:rPr>
        <w:t xml:space="preserve">, pode-se verificar que mais de 70% das empresas não possuem </w:t>
      </w:r>
      <w:r w:rsidR="006B462B" w:rsidRPr="00DE4C17">
        <w:rPr>
          <w:sz w:val="24"/>
          <w:szCs w:val="24"/>
        </w:rPr>
        <w:t>parágrafo</w:t>
      </w:r>
      <w:r w:rsidRPr="00DE4C17">
        <w:rPr>
          <w:sz w:val="24"/>
          <w:szCs w:val="24"/>
        </w:rPr>
        <w:t xml:space="preserve"> de ênfase, diferentemente do parágrafo de outros</w:t>
      </w:r>
      <w:r>
        <w:rPr>
          <w:sz w:val="24"/>
          <w:szCs w:val="24"/>
        </w:rPr>
        <w:t xml:space="preserve"> assuntos que foi abordado em 99</w:t>
      </w:r>
      <w:r w:rsidRPr="00DE4C17">
        <w:rPr>
          <w:sz w:val="24"/>
          <w:szCs w:val="24"/>
        </w:rPr>
        <w:t xml:space="preserve">% da amostra. </w:t>
      </w:r>
    </w:p>
    <w:p w14:paraId="595EB940" w14:textId="00F0E449" w:rsidR="00895992" w:rsidRPr="00DE4C17" w:rsidRDefault="00895992" w:rsidP="00895992">
      <w:pPr>
        <w:ind w:firstLine="567"/>
        <w:jc w:val="both"/>
        <w:rPr>
          <w:sz w:val="24"/>
          <w:szCs w:val="24"/>
        </w:rPr>
      </w:pPr>
      <w:r w:rsidRPr="00DE4C17">
        <w:rPr>
          <w:sz w:val="24"/>
          <w:szCs w:val="24"/>
        </w:rPr>
        <w:t xml:space="preserve">Dentre as empresas que </w:t>
      </w:r>
      <w:r>
        <w:rPr>
          <w:sz w:val="24"/>
          <w:szCs w:val="24"/>
        </w:rPr>
        <w:t>possuem o parágrafo de ênfase, 18,12</w:t>
      </w:r>
      <w:r w:rsidRPr="00DE4C17">
        <w:rPr>
          <w:sz w:val="24"/>
          <w:szCs w:val="24"/>
        </w:rPr>
        <w:t>% delas ou 27 empresas o principal conte</w:t>
      </w:r>
      <w:r>
        <w:rPr>
          <w:sz w:val="24"/>
          <w:szCs w:val="24"/>
        </w:rPr>
        <w:t>údo informacional abordado foi ‘</w:t>
      </w:r>
      <w:r w:rsidRPr="00DE4C17">
        <w:rPr>
          <w:sz w:val="24"/>
          <w:szCs w:val="24"/>
        </w:rPr>
        <w:t>Reapresentação das Demonstrações Financeiras/Valores Correspondentes</w:t>
      </w:r>
      <w:r>
        <w:rPr>
          <w:sz w:val="24"/>
          <w:szCs w:val="24"/>
        </w:rPr>
        <w:t>’</w:t>
      </w:r>
      <w:r w:rsidRPr="00DE4C17">
        <w:rPr>
          <w:sz w:val="24"/>
          <w:szCs w:val="24"/>
        </w:rPr>
        <w:t xml:space="preserve">, acredita-se que ocorreu algum erro de dados ou mudança na norma em que a empresa adota referente ao período anterior e que estes foram reapresentados com os valores corretos. Já no parágrafo de outros assuntos, o conteúdo informacional mais abordado com </w:t>
      </w:r>
      <w:r w:rsidR="00AC7ED0">
        <w:rPr>
          <w:sz w:val="24"/>
          <w:szCs w:val="24"/>
        </w:rPr>
        <w:t>87,73</w:t>
      </w:r>
      <w:r w:rsidRPr="00DE4C17">
        <w:rPr>
          <w:sz w:val="24"/>
          <w:szCs w:val="24"/>
        </w:rPr>
        <w:t>% da amostra total foi “Demonstração do Valor Adicionado”, que é utilizado com o objetivo de demonstrar o valor da riqueza gerada pela empresa e sua distribuição entre os diversos membros da socieda</w:t>
      </w:r>
      <w:r>
        <w:rPr>
          <w:sz w:val="24"/>
          <w:szCs w:val="24"/>
        </w:rPr>
        <w:t xml:space="preserve">de que com ela interagem, como, </w:t>
      </w:r>
      <w:hyperlink r:id="rId11" w:tgtFrame="_blank" w:history="1">
        <w:r w:rsidRPr="00DE4C17">
          <w:rPr>
            <w:sz w:val="24"/>
            <w:szCs w:val="24"/>
          </w:rPr>
          <w:t>funcionários</w:t>
        </w:r>
      </w:hyperlink>
      <w:r w:rsidRPr="00DE4C17">
        <w:rPr>
          <w:sz w:val="24"/>
          <w:szCs w:val="24"/>
        </w:rPr>
        <w:t>, fornecedores, acionistas, etc.</w:t>
      </w:r>
    </w:p>
    <w:p w14:paraId="21F5B6E0" w14:textId="77777777" w:rsidR="00895992" w:rsidRPr="00DE4C17" w:rsidRDefault="00895992" w:rsidP="00895992">
      <w:pPr>
        <w:ind w:firstLine="567"/>
        <w:jc w:val="both"/>
        <w:rPr>
          <w:sz w:val="24"/>
          <w:szCs w:val="24"/>
        </w:rPr>
      </w:pPr>
      <w:r w:rsidRPr="00DE4C17">
        <w:rPr>
          <w:sz w:val="24"/>
          <w:szCs w:val="24"/>
        </w:rPr>
        <w:t xml:space="preserve">Diante do exposto, </w:t>
      </w:r>
      <w:r>
        <w:rPr>
          <w:sz w:val="24"/>
          <w:szCs w:val="24"/>
        </w:rPr>
        <w:t>considera</w:t>
      </w:r>
      <w:r w:rsidRPr="00DE4C17">
        <w:rPr>
          <w:sz w:val="24"/>
          <w:szCs w:val="24"/>
        </w:rPr>
        <w:t xml:space="preserve">-se que o parágrafo de ênfase ainda é pouco utilizado em relação ao parágrafo de outros assuntos. E que o conteúdo informacional no parágrafo de ênfase, apesar de poucas empresas </w:t>
      </w:r>
      <w:r>
        <w:rPr>
          <w:sz w:val="24"/>
          <w:szCs w:val="24"/>
        </w:rPr>
        <w:t>o utilizarem no período observado</w:t>
      </w:r>
      <w:r w:rsidRPr="00DE4C17">
        <w:rPr>
          <w:sz w:val="24"/>
          <w:szCs w:val="24"/>
        </w:rPr>
        <w:t xml:space="preserve"> é mais diversificado </w:t>
      </w:r>
      <w:r>
        <w:rPr>
          <w:sz w:val="24"/>
          <w:szCs w:val="24"/>
        </w:rPr>
        <w:t>me relação de informações do que o</w:t>
      </w:r>
      <w:r w:rsidRPr="00DE4C17">
        <w:rPr>
          <w:sz w:val="24"/>
          <w:szCs w:val="24"/>
        </w:rPr>
        <w:t xml:space="preserve"> parágrafo de outros assuntos. Já que no parágrafo de outros assuntos, a maior parte das empresas abordam o mesmo assunto. Isso pode ser justificado pelo fato de que ambos os parágrafos possuem funções distintas para o auditor. Sendo que o de ênfase serve para chamar atenção para uma situação importante devidamente divulgada em notas explicativas e o parágrafo de outros assuntos é utilizado para apresentar em primeira mão assuntos relacionados à própria auditoria realizada.</w:t>
      </w:r>
      <w:r>
        <w:rPr>
          <w:sz w:val="24"/>
          <w:szCs w:val="24"/>
        </w:rPr>
        <w:t xml:space="preserve"> Outro ponto observado é o de que os auditores talvez estejam tendo dificuldade de aplicação das novas normas estabelecidas para elaboração e divulgação das NRA, pois 2016 foi o primeiro e aplicação das novas normas, o que pode ainda ser considerado um período de adequação. </w:t>
      </w:r>
    </w:p>
    <w:p w14:paraId="6A75750E" w14:textId="77777777" w:rsidR="00895992" w:rsidRPr="00DE4C17" w:rsidRDefault="00895992" w:rsidP="00895992">
      <w:pPr>
        <w:ind w:firstLine="567"/>
        <w:jc w:val="both"/>
        <w:rPr>
          <w:sz w:val="24"/>
          <w:szCs w:val="24"/>
        </w:rPr>
      </w:pPr>
      <w:r w:rsidRPr="00DE4C17">
        <w:rPr>
          <w:sz w:val="24"/>
          <w:szCs w:val="24"/>
        </w:rPr>
        <w:t>Como limitação do estudo</w:t>
      </w:r>
      <w:r>
        <w:rPr>
          <w:sz w:val="24"/>
          <w:szCs w:val="24"/>
        </w:rPr>
        <w:t xml:space="preserve"> têm-se que não foram</w:t>
      </w:r>
      <w:r w:rsidRPr="00DE4C17">
        <w:rPr>
          <w:sz w:val="24"/>
          <w:szCs w:val="24"/>
        </w:rPr>
        <w:t xml:space="preserve"> avalia</w:t>
      </w:r>
      <w:r>
        <w:rPr>
          <w:sz w:val="24"/>
          <w:szCs w:val="24"/>
        </w:rPr>
        <w:t>dos</w:t>
      </w:r>
      <w:r w:rsidRPr="00DE4C17">
        <w:rPr>
          <w:sz w:val="24"/>
          <w:szCs w:val="24"/>
        </w:rPr>
        <w:t xml:space="preserve"> isoladamente cada conteúdo abordado dentro dos parágrafos de ênfase e de outros assuntos, o que poderia </w:t>
      </w:r>
      <w:r>
        <w:rPr>
          <w:sz w:val="24"/>
          <w:szCs w:val="24"/>
        </w:rPr>
        <w:t>proporcionar maiores detalhes</w:t>
      </w:r>
      <w:r w:rsidRPr="00DE4C17">
        <w:rPr>
          <w:sz w:val="24"/>
          <w:szCs w:val="24"/>
        </w:rPr>
        <w:t xml:space="preserve"> sobre as principais causas </w:t>
      </w:r>
      <w:r>
        <w:rPr>
          <w:sz w:val="24"/>
          <w:szCs w:val="24"/>
        </w:rPr>
        <w:t>dos</w:t>
      </w:r>
      <w:r w:rsidRPr="00DE4C17">
        <w:rPr>
          <w:sz w:val="24"/>
          <w:szCs w:val="24"/>
        </w:rPr>
        <w:t xml:space="preserve"> assun</w:t>
      </w:r>
      <w:r>
        <w:rPr>
          <w:sz w:val="24"/>
          <w:szCs w:val="24"/>
        </w:rPr>
        <w:t>tos abordados nesses parágrafos, considerando o contexto no qual cada empresa está inserida.</w:t>
      </w:r>
    </w:p>
    <w:p w14:paraId="37189771" w14:textId="77777777" w:rsidR="00895992" w:rsidRPr="00DE4C17" w:rsidRDefault="00895992" w:rsidP="00895992">
      <w:pPr>
        <w:ind w:firstLine="567"/>
        <w:jc w:val="both"/>
        <w:rPr>
          <w:sz w:val="24"/>
          <w:szCs w:val="24"/>
        </w:rPr>
      </w:pPr>
      <w:r w:rsidRPr="00DE4C17">
        <w:rPr>
          <w:sz w:val="24"/>
          <w:szCs w:val="24"/>
        </w:rPr>
        <w:t>Acred</w:t>
      </w:r>
      <w:r>
        <w:rPr>
          <w:sz w:val="24"/>
          <w:szCs w:val="24"/>
        </w:rPr>
        <w:t>ita-se que o presente estudo possa</w:t>
      </w:r>
      <w:r w:rsidRPr="00DE4C17">
        <w:rPr>
          <w:sz w:val="24"/>
          <w:szCs w:val="24"/>
        </w:rPr>
        <w:t xml:space="preserve"> trazer as partes interessadas, uma percepção maior em relação às características e os conteúdos informacionais dos parágrafos de ênfases e de outros assuntos abordados no relatório de opinião do auditor. Dessa forma, espera-se que a </w:t>
      </w:r>
      <w:r w:rsidRPr="00DE4C17">
        <w:rPr>
          <w:sz w:val="24"/>
          <w:szCs w:val="24"/>
        </w:rPr>
        <w:lastRenderedPageBreak/>
        <w:t>pesquisa em questão traga de maneira prática um breve entendimento sobre a leitura e esclarecimentos quanto às informações disponíveis no relatório de auditoria.</w:t>
      </w:r>
    </w:p>
    <w:p w14:paraId="45769F78" w14:textId="77777777" w:rsidR="00895992" w:rsidRDefault="00895992" w:rsidP="00895992">
      <w:pPr>
        <w:ind w:firstLine="567"/>
        <w:jc w:val="both"/>
        <w:rPr>
          <w:sz w:val="24"/>
          <w:szCs w:val="24"/>
        </w:rPr>
      </w:pPr>
      <w:r>
        <w:rPr>
          <w:sz w:val="24"/>
          <w:szCs w:val="24"/>
        </w:rPr>
        <w:t xml:space="preserve">Para pesquisas futuras sugere-se a investigação dos relatórios de auditoria de companhias listadas em mercados de ações de outros países para verificação se os novos procedimentos adotados com as NBC TA no Brasil divergem ou se assemelham dos que são aplicados em outros países que também participam do processo de conversão às normas internacionais de contabilidade. </w:t>
      </w:r>
    </w:p>
    <w:p w14:paraId="72D09B21" w14:textId="77777777" w:rsidR="00895992" w:rsidRPr="00DE4C17" w:rsidRDefault="00895992" w:rsidP="00895992">
      <w:pPr>
        <w:ind w:firstLine="567"/>
        <w:jc w:val="both"/>
        <w:rPr>
          <w:sz w:val="24"/>
          <w:szCs w:val="24"/>
        </w:rPr>
      </w:pPr>
    </w:p>
    <w:p w14:paraId="47DC2757" w14:textId="77777777" w:rsidR="00895992" w:rsidRPr="005F5D7D" w:rsidRDefault="00895992" w:rsidP="006B462B">
      <w:pPr>
        <w:rPr>
          <w:sz w:val="24"/>
          <w:szCs w:val="24"/>
        </w:rPr>
      </w:pPr>
      <w:r>
        <w:rPr>
          <w:b/>
          <w:sz w:val="24"/>
          <w:szCs w:val="24"/>
        </w:rPr>
        <w:t>Referências</w:t>
      </w:r>
    </w:p>
    <w:p w14:paraId="63DE133D" w14:textId="77777777" w:rsidR="00895992" w:rsidRPr="005F5D7D" w:rsidRDefault="00895992" w:rsidP="00895992">
      <w:pPr>
        <w:autoSpaceDE w:val="0"/>
        <w:autoSpaceDN w:val="0"/>
        <w:adjustRightInd w:val="0"/>
        <w:ind w:left="567" w:hanging="567"/>
        <w:rPr>
          <w:sz w:val="24"/>
          <w:szCs w:val="24"/>
        </w:rPr>
      </w:pPr>
    </w:p>
    <w:p w14:paraId="5994F4CF" w14:textId="77777777" w:rsidR="00895992" w:rsidRPr="00DE4C17" w:rsidRDefault="00895992" w:rsidP="00895992">
      <w:pPr>
        <w:autoSpaceDE w:val="0"/>
        <w:autoSpaceDN w:val="0"/>
        <w:adjustRightInd w:val="0"/>
        <w:ind w:left="426" w:hanging="426"/>
        <w:jc w:val="both"/>
        <w:rPr>
          <w:sz w:val="24"/>
          <w:szCs w:val="24"/>
        </w:rPr>
      </w:pPr>
      <w:r w:rsidRPr="00DE4C17">
        <w:rPr>
          <w:sz w:val="24"/>
          <w:szCs w:val="24"/>
        </w:rPr>
        <w:t xml:space="preserve">Almeida, M. (2012). </w:t>
      </w:r>
      <w:r w:rsidRPr="00DE4C17">
        <w:rPr>
          <w:i/>
          <w:sz w:val="24"/>
          <w:szCs w:val="24"/>
        </w:rPr>
        <w:t>Auditoria: um curso moderno e completo</w:t>
      </w:r>
      <w:r w:rsidRPr="00DE4C17">
        <w:rPr>
          <w:sz w:val="24"/>
          <w:szCs w:val="24"/>
        </w:rPr>
        <w:t>. (8. ed). São Paulo: Atlas.</w:t>
      </w:r>
    </w:p>
    <w:p w14:paraId="42808762" w14:textId="77777777" w:rsidR="00895992" w:rsidRPr="00DE4C17" w:rsidRDefault="00895992" w:rsidP="00895992">
      <w:pPr>
        <w:ind w:left="426" w:hanging="426"/>
        <w:jc w:val="both"/>
        <w:rPr>
          <w:sz w:val="24"/>
          <w:szCs w:val="24"/>
        </w:rPr>
      </w:pPr>
    </w:p>
    <w:p w14:paraId="57D6A0CD" w14:textId="77777777" w:rsidR="00895992" w:rsidRPr="00DE4C17" w:rsidRDefault="00895992" w:rsidP="00895992">
      <w:pPr>
        <w:ind w:left="426" w:hanging="426"/>
        <w:jc w:val="both"/>
        <w:rPr>
          <w:sz w:val="24"/>
          <w:szCs w:val="24"/>
        </w:rPr>
      </w:pPr>
      <w:r w:rsidRPr="00DE4C17">
        <w:rPr>
          <w:sz w:val="24"/>
          <w:szCs w:val="24"/>
        </w:rPr>
        <w:t xml:space="preserve">Amorim, K. K. C., Garcia, J. W. V. &amp; Silva, M. S. (2011). Pareceres de auditoria e perícia contábil: diferenças e semelhanças. </w:t>
      </w:r>
      <w:r w:rsidRPr="00DE4C17">
        <w:rPr>
          <w:i/>
          <w:sz w:val="24"/>
          <w:szCs w:val="24"/>
        </w:rPr>
        <w:t>Revista de Ciência Contábeis –RCIC–UFMT</w:t>
      </w:r>
      <w:r w:rsidRPr="00DE4C17">
        <w:rPr>
          <w:sz w:val="24"/>
          <w:szCs w:val="24"/>
        </w:rPr>
        <w:t>. (4), pp. 6-33.</w:t>
      </w:r>
    </w:p>
    <w:p w14:paraId="5FE3CF62" w14:textId="77777777" w:rsidR="00895992" w:rsidRPr="00DE4C17" w:rsidRDefault="00895992" w:rsidP="00895992">
      <w:pPr>
        <w:ind w:left="426" w:hanging="426"/>
        <w:jc w:val="both"/>
        <w:rPr>
          <w:sz w:val="24"/>
          <w:szCs w:val="24"/>
        </w:rPr>
      </w:pPr>
    </w:p>
    <w:p w14:paraId="4197C68E" w14:textId="77777777" w:rsidR="00895992" w:rsidRPr="00ED4650" w:rsidRDefault="00895992" w:rsidP="00895992">
      <w:pPr>
        <w:ind w:left="426" w:hanging="426"/>
        <w:jc w:val="both"/>
        <w:rPr>
          <w:sz w:val="24"/>
          <w:szCs w:val="24"/>
          <w:lang w:val="en-US"/>
        </w:rPr>
      </w:pPr>
      <w:r w:rsidRPr="00DE4C17">
        <w:rPr>
          <w:sz w:val="24"/>
          <w:szCs w:val="24"/>
        </w:rPr>
        <w:t xml:space="preserve">Attie, W. (2009). </w:t>
      </w:r>
      <w:r w:rsidRPr="00DE4C17">
        <w:rPr>
          <w:i/>
          <w:sz w:val="24"/>
          <w:szCs w:val="24"/>
        </w:rPr>
        <w:t>Auditoria interna</w:t>
      </w:r>
      <w:r w:rsidRPr="00DE4C17">
        <w:rPr>
          <w:sz w:val="24"/>
          <w:szCs w:val="24"/>
        </w:rPr>
        <w:t xml:space="preserve">. </w:t>
      </w:r>
      <w:r w:rsidRPr="00C32594">
        <w:rPr>
          <w:sz w:val="24"/>
          <w:szCs w:val="24"/>
        </w:rPr>
        <w:t xml:space="preserve">(2. ed). </w:t>
      </w:r>
      <w:r w:rsidRPr="00ED4650">
        <w:rPr>
          <w:sz w:val="24"/>
          <w:szCs w:val="24"/>
          <w:lang w:val="en-US"/>
        </w:rPr>
        <w:t>São Paulo: Atlas.</w:t>
      </w:r>
    </w:p>
    <w:p w14:paraId="76A91B43" w14:textId="77777777" w:rsidR="00895992" w:rsidRPr="00ED4650" w:rsidRDefault="00895992" w:rsidP="00895992">
      <w:pPr>
        <w:ind w:left="426" w:hanging="426"/>
        <w:jc w:val="both"/>
        <w:rPr>
          <w:sz w:val="24"/>
          <w:szCs w:val="24"/>
          <w:lang w:val="en-US"/>
        </w:rPr>
      </w:pPr>
    </w:p>
    <w:p w14:paraId="5087C5D6" w14:textId="77777777" w:rsidR="00895992" w:rsidRPr="00DE4C17" w:rsidRDefault="00895992" w:rsidP="00895992">
      <w:pPr>
        <w:ind w:left="426" w:hanging="426"/>
        <w:jc w:val="both"/>
        <w:rPr>
          <w:sz w:val="24"/>
          <w:szCs w:val="24"/>
        </w:rPr>
      </w:pPr>
      <w:r w:rsidRPr="00C32594">
        <w:rPr>
          <w:sz w:val="24"/>
          <w:szCs w:val="24"/>
        </w:rPr>
        <w:t xml:space="preserve">Attie, W. (2010). </w:t>
      </w:r>
      <w:r w:rsidRPr="00DE4C17">
        <w:rPr>
          <w:i/>
          <w:sz w:val="24"/>
          <w:szCs w:val="24"/>
        </w:rPr>
        <w:t>Auditoria: Conceitos e aplicações</w:t>
      </w:r>
      <w:r w:rsidRPr="00DE4C17">
        <w:rPr>
          <w:sz w:val="24"/>
          <w:szCs w:val="24"/>
        </w:rPr>
        <w:t>. (5. ed). São Paulo: Editora Atlas</w:t>
      </w:r>
    </w:p>
    <w:p w14:paraId="03BD7D2F" w14:textId="77777777" w:rsidR="00895992" w:rsidRPr="00DE4C17" w:rsidRDefault="00895992" w:rsidP="00895992">
      <w:pPr>
        <w:ind w:left="426" w:hanging="426"/>
        <w:jc w:val="both"/>
        <w:rPr>
          <w:sz w:val="24"/>
          <w:szCs w:val="24"/>
        </w:rPr>
      </w:pPr>
    </w:p>
    <w:p w14:paraId="177830C5" w14:textId="77777777" w:rsidR="00895992" w:rsidRPr="00DE4C17" w:rsidRDefault="00895992" w:rsidP="00895992">
      <w:pPr>
        <w:ind w:left="426" w:hanging="426"/>
        <w:jc w:val="both"/>
        <w:rPr>
          <w:sz w:val="24"/>
          <w:szCs w:val="24"/>
        </w:rPr>
      </w:pPr>
      <w:r w:rsidRPr="00DE4C17">
        <w:rPr>
          <w:sz w:val="24"/>
          <w:szCs w:val="24"/>
        </w:rPr>
        <w:t xml:space="preserve">Azevedo, O. L. (2009). </w:t>
      </w:r>
      <w:r w:rsidRPr="00DE4C17">
        <w:rPr>
          <w:i/>
          <w:sz w:val="24"/>
          <w:szCs w:val="24"/>
        </w:rPr>
        <w:t>Dfc e Dva - Atualizado Pela Resolução Cfc Nº 1.125/2008</w:t>
      </w:r>
      <w:r w:rsidRPr="00DE4C17">
        <w:rPr>
          <w:sz w:val="24"/>
          <w:szCs w:val="24"/>
        </w:rPr>
        <w:t xml:space="preserve"> (2 ed.). São Paulo: IOB.</w:t>
      </w:r>
    </w:p>
    <w:p w14:paraId="78F3ADFC" w14:textId="77777777" w:rsidR="00895992" w:rsidRPr="00DE4C17" w:rsidRDefault="00895992" w:rsidP="00895992">
      <w:pPr>
        <w:autoSpaceDE w:val="0"/>
        <w:autoSpaceDN w:val="0"/>
        <w:adjustRightInd w:val="0"/>
        <w:ind w:left="426" w:hanging="426"/>
        <w:jc w:val="both"/>
        <w:rPr>
          <w:i/>
          <w:sz w:val="24"/>
          <w:szCs w:val="24"/>
        </w:rPr>
      </w:pPr>
    </w:p>
    <w:p w14:paraId="37669422" w14:textId="77777777" w:rsidR="00895992" w:rsidRPr="00DE4C17" w:rsidRDefault="00895992" w:rsidP="00895992">
      <w:pPr>
        <w:autoSpaceDE w:val="0"/>
        <w:autoSpaceDN w:val="0"/>
        <w:adjustRightInd w:val="0"/>
        <w:ind w:left="426" w:hanging="426"/>
        <w:jc w:val="both"/>
        <w:rPr>
          <w:sz w:val="24"/>
          <w:szCs w:val="24"/>
        </w:rPr>
      </w:pPr>
      <w:r w:rsidRPr="00DE4C17">
        <w:rPr>
          <w:i/>
          <w:sz w:val="24"/>
          <w:szCs w:val="24"/>
        </w:rPr>
        <w:t>Classificação Setorial.</w:t>
      </w:r>
      <w:r w:rsidRPr="00DE4C17">
        <w:rPr>
          <w:sz w:val="24"/>
          <w:szCs w:val="24"/>
        </w:rPr>
        <w:t xml:space="preserve"> (2017). BM&amp;FBovespa. Recuperado de http://www.bmfbovespa.com.br/pt_br/produtos/listados-a-vista-e-derivativos/renda-variavel/acoes/criterio-de-classificacao/</w:t>
      </w:r>
    </w:p>
    <w:p w14:paraId="754DB24B" w14:textId="77777777" w:rsidR="00895992" w:rsidRPr="00DE4C17" w:rsidRDefault="00895992" w:rsidP="00895992">
      <w:pPr>
        <w:autoSpaceDE w:val="0"/>
        <w:autoSpaceDN w:val="0"/>
        <w:adjustRightInd w:val="0"/>
        <w:ind w:left="426" w:hanging="426"/>
        <w:jc w:val="both"/>
        <w:rPr>
          <w:sz w:val="24"/>
          <w:szCs w:val="24"/>
        </w:rPr>
      </w:pPr>
    </w:p>
    <w:p w14:paraId="40BDCE33" w14:textId="77777777" w:rsidR="00895992" w:rsidRPr="00DE4C17" w:rsidRDefault="00895992" w:rsidP="00895992">
      <w:pPr>
        <w:autoSpaceDE w:val="0"/>
        <w:autoSpaceDN w:val="0"/>
        <w:adjustRightInd w:val="0"/>
        <w:ind w:left="426" w:hanging="426"/>
        <w:jc w:val="both"/>
        <w:rPr>
          <w:sz w:val="24"/>
          <w:szCs w:val="24"/>
        </w:rPr>
      </w:pPr>
      <w:r w:rsidRPr="00DE4C17">
        <w:rPr>
          <w:sz w:val="24"/>
          <w:szCs w:val="24"/>
        </w:rPr>
        <w:t xml:space="preserve">Crepaldi, S. (2013). </w:t>
      </w:r>
      <w:r w:rsidRPr="00DE4C17">
        <w:rPr>
          <w:i/>
          <w:sz w:val="24"/>
          <w:szCs w:val="24"/>
        </w:rPr>
        <w:t>Auditoria contábil: teoria e prática</w:t>
      </w:r>
      <w:r w:rsidRPr="00DE4C17">
        <w:rPr>
          <w:sz w:val="24"/>
          <w:szCs w:val="24"/>
        </w:rPr>
        <w:t>. (9. ed). São Paulo: Atlas</w:t>
      </w:r>
    </w:p>
    <w:p w14:paraId="4C9C442E" w14:textId="77777777" w:rsidR="00895992" w:rsidRPr="00DE4C17" w:rsidRDefault="00895992" w:rsidP="00895992">
      <w:pPr>
        <w:ind w:left="426" w:hanging="426"/>
        <w:jc w:val="both"/>
        <w:rPr>
          <w:sz w:val="24"/>
          <w:szCs w:val="24"/>
        </w:rPr>
      </w:pPr>
    </w:p>
    <w:p w14:paraId="21F087C2" w14:textId="77777777" w:rsidR="00895992" w:rsidRPr="00DE4C17" w:rsidRDefault="00895992" w:rsidP="00895992">
      <w:pPr>
        <w:ind w:left="426" w:hanging="426"/>
        <w:jc w:val="both"/>
        <w:rPr>
          <w:sz w:val="24"/>
          <w:szCs w:val="24"/>
        </w:rPr>
      </w:pPr>
      <w:r w:rsidRPr="00DE4C17">
        <w:rPr>
          <w:sz w:val="24"/>
          <w:szCs w:val="24"/>
        </w:rPr>
        <w:t xml:space="preserve">Cunha, P. R., Beuren, I. M, &amp; Pereira, E. (2009). Análise dos pareceres de auditoria das demonstrações contábeis de empresas de Santa Catarina registradas na Comissão de Valores Mobiliários. </w:t>
      </w:r>
      <w:r w:rsidRPr="00DE4C17">
        <w:rPr>
          <w:i/>
          <w:sz w:val="24"/>
          <w:szCs w:val="24"/>
        </w:rPr>
        <w:t>RIC - Revista de Informação Contábil</w:t>
      </w:r>
      <w:r w:rsidRPr="00DE4C17">
        <w:rPr>
          <w:sz w:val="24"/>
          <w:szCs w:val="24"/>
        </w:rPr>
        <w:t>, 3(4), pp.44-65.</w:t>
      </w:r>
    </w:p>
    <w:p w14:paraId="2394D84C" w14:textId="77777777" w:rsidR="00895992" w:rsidRPr="00DE4C17" w:rsidRDefault="00895992" w:rsidP="00895992">
      <w:pPr>
        <w:ind w:left="426" w:hanging="426"/>
        <w:jc w:val="both"/>
        <w:rPr>
          <w:sz w:val="24"/>
          <w:szCs w:val="24"/>
        </w:rPr>
      </w:pPr>
    </w:p>
    <w:p w14:paraId="203AA5A4" w14:textId="77777777" w:rsidR="00895992" w:rsidRPr="00DE4C17" w:rsidRDefault="00895992" w:rsidP="00895992">
      <w:pPr>
        <w:ind w:left="426" w:hanging="426"/>
        <w:jc w:val="both"/>
        <w:rPr>
          <w:sz w:val="24"/>
          <w:szCs w:val="24"/>
        </w:rPr>
      </w:pPr>
      <w:r w:rsidRPr="00DE4C17">
        <w:rPr>
          <w:sz w:val="24"/>
          <w:szCs w:val="24"/>
        </w:rPr>
        <w:t xml:space="preserve">Damascena, L. G. (2013). Pareceres de auditoria: um estudo das ressalvas e parágrafos de ênfase constantes nas demonstrações contábeis das companhias abertas brasileiras. </w:t>
      </w:r>
      <w:r w:rsidRPr="00DE4C17">
        <w:rPr>
          <w:i/>
          <w:sz w:val="24"/>
          <w:szCs w:val="24"/>
        </w:rPr>
        <w:t>Revista Universo Contábil</w:t>
      </w:r>
      <w:r w:rsidRPr="00DE4C17">
        <w:rPr>
          <w:sz w:val="24"/>
          <w:szCs w:val="24"/>
        </w:rPr>
        <w:t>, 9(3), pp.104-127</w:t>
      </w:r>
    </w:p>
    <w:p w14:paraId="04F149BE" w14:textId="77777777" w:rsidR="00895992" w:rsidRPr="00DE4C17" w:rsidRDefault="00895992" w:rsidP="00895992">
      <w:pPr>
        <w:autoSpaceDE w:val="0"/>
        <w:autoSpaceDN w:val="0"/>
        <w:adjustRightInd w:val="0"/>
        <w:ind w:left="426" w:hanging="426"/>
        <w:jc w:val="both"/>
        <w:rPr>
          <w:i/>
          <w:sz w:val="24"/>
          <w:szCs w:val="24"/>
        </w:rPr>
      </w:pPr>
    </w:p>
    <w:p w14:paraId="37A6A43D" w14:textId="77777777" w:rsidR="00895992" w:rsidRPr="00DE4C17" w:rsidRDefault="00895992" w:rsidP="00895992">
      <w:pPr>
        <w:autoSpaceDE w:val="0"/>
        <w:autoSpaceDN w:val="0"/>
        <w:adjustRightInd w:val="0"/>
        <w:ind w:left="426" w:hanging="426"/>
        <w:jc w:val="both"/>
        <w:rPr>
          <w:sz w:val="24"/>
          <w:szCs w:val="24"/>
        </w:rPr>
      </w:pPr>
      <w:r w:rsidRPr="00DE4C17">
        <w:rPr>
          <w:i/>
          <w:sz w:val="24"/>
          <w:szCs w:val="24"/>
        </w:rPr>
        <w:t>Empresas Listadas</w:t>
      </w:r>
      <w:r w:rsidRPr="00DE4C17">
        <w:rPr>
          <w:sz w:val="24"/>
          <w:szCs w:val="24"/>
        </w:rPr>
        <w:t>. (2017). BM&amp;FBovespa. Recuperado de http://www.bmfbovespa.com.br/pt_br/produtos/listados-a-vista-e-derivativos/renda-variavel/empresas-listadas.htm</w:t>
      </w:r>
    </w:p>
    <w:p w14:paraId="0EF78411" w14:textId="77777777" w:rsidR="00895992" w:rsidRPr="00DE4C17" w:rsidRDefault="00895992" w:rsidP="00895992">
      <w:pPr>
        <w:ind w:left="426" w:hanging="426"/>
        <w:jc w:val="both"/>
        <w:rPr>
          <w:sz w:val="24"/>
          <w:szCs w:val="24"/>
        </w:rPr>
      </w:pPr>
    </w:p>
    <w:p w14:paraId="489233BA" w14:textId="77777777" w:rsidR="00895992" w:rsidRPr="00DE4C17" w:rsidRDefault="00895992" w:rsidP="00895992">
      <w:pPr>
        <w:ind w:left="426" w:hanging="426"/>
        <w:jc w:val="both"/>
        <w:rPr>
          <w:sz w:val="24"/>
          <w:szCs w:val="24"/>
        </w:rPr>
      </w:pPr>
      <w:r w:rsidRPr="00DE4C17">
        <w:rPr>
          <w:sz w:val="24"/>
          <w:szCs w:val="24"/>
        </w:rPr>
        <w:t xml:space="preserve">Época Negócios (2009). </w:t>
      </w:r>
      <w:r w:rsidRPr="00DE4C17">
        <w:rPr>
          <w:i/>
          <w:sz w:val="24"/>
          <w:szCs w:val="24"/>
        </w:rPr>
        <w:t>O revolucionário da bolsa.</w:t>
      </w:r>
      <w:r w:rsidRPr="00DE4C17">
        <w:rPr>
          <w:sz w:val="24"/>
          <w:szCs w:val="24"/>
        </w:rPr>
        <w:t xml:space="preserve"> [online] Recuperado de http://epocanegocios.globo.com/Revista/Common/0,,ERT22128-16380,00.html</w:t>
      </w:r>
    </w:p>
    <w:p w14:paraId="2BD73F36" w14:textId="77777777" w:rsidR="00895992" w:rsidRPr="00DE4C17" w:rsidRDefault="00895992" w:rsidP="00895992">
      <w:pPr>
        <w:ind w:left="426" w:hanging="426"/>
        <w:jc w:val="both"/>
        <w:rPr>
          <w:sz w:val="24"/>
          <w:szCs w:val="24"/>
        </w:rPr>
      </w:pPr>
    </w:p>
    <w:p w14:paraId="7BA0CFE2" w14:textId="77777777" w:rsidR="00895992" w:rsidRPr="00DE4C17" w:rsidRDefault="00895992" w:rsidP="00895992">
      <w:pPr>
        <w:ind w:left="426" w:hanging="426"/>
        <w:jc w:val="both"/>
        <w:rPr>
          <w:sz w:val="24"/>
          <w:szCs w:val="24"/>
        </w:rPr>
      </w:pPr>
      <w:r w:rsidRPr="00DE4C17">
        <w:rPr>
          <w:sz w:val="24"/>
          <w:szCs w:val="24"/>
        </w:rPr>
        <w:lastRenderedPageBreak/>
        <w:t xml:space="preserve">Farias, A. M. L. &amp; Laurencel, L. D. C. (2008). </w:t>
      </w:r>
      <w:r w:rsidRPr="00DE4C17">
        <w:rPr>
          <w:i/>
          <w:sz w:val="24"/>
          <w:szCs w:val="24"/>
        </w:rPr>
        <w:t>Estatística Descritiv</w:t>
      </w:r>
      <w:r w:rsidRPr="00DE4C17">
        <w:rPr>
          <w:sz w:val="24"/>
          <w:szCs w:val="24"/>
        </w:rPr>
        <w:t xml:space="preserve">a. [ebook] Universidade Federal Fluminense. Recuperado de http://www.professores.uff.br/malbi/wp-content/uploads/sites/50/2017/08/EstatisticaDescritiva.pdf </w:t>
      </w:r>
    </w:p>
    <w:p w14:paraId="5938770D" w14:textId="77777777" w:rsidR="00A06660" w:rsidRDefault="00A06660" w:rsidP="00895992">
      <w:pPr>
        <w:autoSpaceDE w:val="0"/>
        <w:autoSpaceDN w:val="0"/>
        <w:adjustRightInd w:val="0"/>
        <w:ind w:left="426" w:hanging="426"/>
        <w:jc w:val="both"/>
        <w:rPr>
          <w:sz w:val="24"/>
          <w:szCs w:val="24"/>
        </w:rPr>
      </w:pPr>
    </w:p>
    <w:p w14:paraId="5F2FED99" w14:textId="77777777" w:rsidR="00895992" w:rsidRPr="00DE4C17" w:rsidRDefault="00895992" w:rsidP="00895992">
      <w:pPr>
        <w:autoSpaceDE w:val="0"/>
        <w:autoSpaceDN w:val="0"/>
        <w:adjustRightInd w:val="0"/>
        <w:ind w:left="426" w:hanging="426"/>
        <w:jc w:val="both"/>
        <w:rPr>
          <w:sz w:val="24"/>
          <w:szCs w:val="24"/>
        </w:rPr>
      </w:pPr>
      <w:r w:rsidRPr="00DE4C17">
        <w:rPr>
          <w:sz w:val="24"/>
          <w:szCs w:val="24"/>
        </w:rPr>
        <w:t xml:space="preserve">Gerhardt, T. E. &amp; Silveira, D. T. (2009). </w:t>
      </w:r>
      <w:r w:rsidRPr="00DE4C17">
        <w:rPr>
          <w:i/>
          <w:sz w:val="24"/>
          <w:szCs w:val="24"/>
        </w:rPr>
        <w:t>Métodos de Pesquisa</w:t>
      </w:r>
      <w:r w:rsidRPr="00DE4C17">
        <w:rPr>
          <w:sz w:val="24"/>
          <w:szCs w:val="24"/>
        </w:rPr>
        <w:t>. Porto Alegre: Editora da UFRGS.</w:t>
      </w:r>
    </w:p>
    <w:p w14:paraId="4CBAF03B" w14:textId="77777777" w:rsidR="00895992" w:rsidRPr="00DE4C17" w:rsidRDefault="00895992" w:rsidP="00895992">
      <w:pPr>
        <w:autoSpaceDE w:val="0"/>
        <w:autoSpaceDN w:val="0"/>
        <w:adjustRightInd w:val="0"/>
        <w:ind w:left="426" w:hanging="426"/>
        <w:jc w:val="both"/>
        <w:rPr>
          <w:sz w:val="24"/>
          <w:szCs w:val="24"/>
        </w:rPr>
      </w:pPr>
    </w:p>
    <w:p w14:paraId="3A9EE59E" w14:textId="77777777" w:rsidR="00895992" w:rsidRPr="00DE4C17" w:rsidRDefault="00895992" w:rsidP="00895992">
      <w:pPr>
        <w:autoSpaceDE w:val="0"/>
        <w:autoSpaceDN w:val="0"/>
        <w:adjustRightInd w:val="0"/>
        <w:ind w:left="426" w:hanging="426"/>
        <w:jc w:val="both"/>
        <w:rPr>
          <w:sz w:val="24"/>
          <w:szCs w:val="24"/>
        </w:rPr>
      </w:pPr>
      <w:r w:rsidRPr="00DE4C17">
        <w:rPr>
          <w:sz w:val="24"/>
          <w:szCs w:val="24"/>
        </w:rPr>
        <w:t xml:space="preserve">Godoy, A. S. (1995). Pesquisa qualitativa: tipos fundamentais. </w:t>
      </w:r>
      <w:r w:rsidRPr="00DE4C17">
        <w:rPr>
          <w:i/>
          <w:sz w:val="24"/>
          <w:szCs w:val="24"/>
        </w:rPr>
        <w:t>Revista de Administração de Empresas</w:t>
      </w:r>
      <w:r w:rsidRPr="00DE4C17">
        <w:rPr>
          <w:sz w:val="24"/>
          <w:szCs w:val="24"/>
        </w:rPr>
        <w:t>, 35(3), pp.20-29.</w:t>
      </w:r>
    </w:p>
    <w:p w14:paraId="7CDBC499" w14:textId="77777777" w:rsidR="00895992" w:rsidRPr="00DE4C17" w:rsidRDefault="00895992" w:rsidP="00895992">
      <w:pPr>
        <w:ind w:left="426" w:hanging="426"/>
        <w:jc w:val="both"/>
        <w:rPr>
          <w:sz w:val="24"/>
          <w:szCs w:val="24"/>
        </w:rPr>
      </w:pPr>
    </w:p>
    <w:p w14:paraId="1612187F" w14:textId="77777777" w:rsidR="00895992" w:rsidRPr="00DE4C17" w:rsidRDefault="00895992" w:rsidP="00895992">
      <w:pPr>
        <w:ind w:left="426" w:hanging="426"/>
        <w:jc w:val="both"/>
        <w:rPr>
          <w:sz w:val="24"/>
          <w:szCs w:val="24"/>
        </w:rPr>
      </w:pPr>
      <w:r w:rsidRPr="00DE4C17">
        <w:rPr>
          <w:sz w:val="24"/>
          <w:szCs w:val="24"/>
        </w:rPr>
        <w:t xml:space="preserve">Ibracon. (2015). </w:t>
      </w:r>
      <w:r w:rsidRPr="00DE4C17">
        <w:rPr>
          <w:i/>
          <w:sz w:val="24"/>
          <w:szCs w:val="24"/>
        </w:rPr>
        <w:t>O papel do contador diante das perspectivas para 2016</w:t>
      </w:r>
      <w:r w:rsidRPr="00DE4C17">
        <w:rPr>
          <w:sz w:val="24"/>
          <w:szCs w:val="24"/>
        </w:rPr>
        <w:t>. Recuperado de http://www.ibracon.com.br/ibracon/Portugues/detNoticia.php?cod=3311</w:t>
      </w:r>
    </w:p>
    <w:p w14:paraId="4F427DCD" w14:textId="77777777" w:rsidR="00895992" w:rsidRPr="00DE4C17" w:rsidRDefault="00895992" w:rsidP="00895992">
      <w:pPr>
        <w:autoSpaceDE w:val="0"/>
        <w:autoSpaceDN w:val="0"/>
        <w:adjustRightInd w:val="0"/>
        <w:ind w:left="426" w:hanging="426"/>
        <w:jc w:val="both"/>
        <w:rPr>
          <w:i/>
          <w:iCs/>
          <w:sz w:val="24"/>
          <w:szCs w:val="24"/>
        </w:rPr>
      </w:pPr>
    </w:p>
    <w:p w14:paraId="44E10E1E" w14:textId="77777777" w:rsidR="00895992" w:rsidRPr="00DE4C17" w:rsidRDefault="00895992" w:rsidP="00895992">
      <w:pPr>
        <w:autoSpaceDE w:val="0"/>
        <w:autoSpaceDN w:val="0"/>
        <w:adjustRightInd w:val="0"/>
        <w:ind w:left="426" w:hanging="426"/>
        <w:jc w:val="both"/>
        <w:rPr>
          <w:sz w:val="24"/>
          <w:szCs w:val="24"/>
        </w:rPr>
      </w:pPr>
      <w:r w:rsidRPr="00DE4C17">
        <w:rPr>
          <w:i/>
          <w:iCs/>
          <w:sz w:val="24"/>
          <w:szCs w:val="24"/>
        </w:rPr>
        <w:t xml:space="preserve">Lei n. 11.638, de 28 de dezembro de 2007. </w:t>
      </w:r>
      <w:r w:rsidRPr="00DE4C17">
        <w:rPr>
          <w:sz w:val="24"/>
          <w:szCs w:val="24"/>
        </w:rPr>
        <w:t>Altera e revoga dispositivos da Lei n. 6.404, de 15 de dezembro de 1976, e da Lei n. 6.385, de 7 de dezembro de 1976, e estende às sociedades de grande porte disposições relativas à elaboração e divulgação de demonstrações financeiras. Recuperado de http://www.planalto.gov.br/ccivil_03/_ato2007-2010/2007/lei/l11638.htm</w:t>
      </w:r>
    </w:p>
    <w:p w14:paraId="08E77D47" w14:textId="77777777" w:rsidR="00895992" w:rsidRPr="00DE4C17" w:rsidRDefault="00895992" w:rsidP="00895992">
      <w:pPr>
        <w:autoSpaceDE w:val="0"/>
        <w:autoSpaceDN w:val="0"/>
        <w:adjustRightInd w:val="0"/>
        <w:ind w:left="426" w:hanging="426"/>
        <w:jc w:val="both"/>
        <w:rPr>
          <w:i/>
          <w:iCs/>
          <w:sz w:val="24"/>
          <w:szCs w:val="24"/>
        </w:rPr>
      </w:pPr>
    </w:p>
    <w:p w14:paraId="33BDC13E" w14:textId="77777777" w:rsidR="00895992" w:rsidRPr="00DE4C17" w:rsidRDefault="00895992" w:rsidP="00895992">
      <w:pPr>
        <w:autoSpaceDE w:val="0"/>
        <w:autoSpaceDN w:val="0"/>
        <w:adjustRightInd w:val="0"/>
        <w:ind w:left="426" w:hanging="426"/>
        <w:jc w:val="both"/>
        <w:rPr>
          <w:sz w:val="24"/>
          <w:szCs w:val="24"/>
        </w:rPr>
      </w:pPr>
      <w:r w:rsidRPr="00DE4C17">
        <w:rPr>
          <w:i/>
          <w:iCs/>
          <w:sz w:val="24"/>
          <w:szCs w:val="24"/>
        </w:rPr>
        <w:t xml:space="preserve">Lei n. 6.404, de 15 de dezembro de 1976. </w:t>
      </w:r>
      <w:r w:rsidRPr="00DE4C17">
        <w:rPr>
          <w:sz w:val="24"/>
          <w:szCs w:val="24"/>
        </w:rPr>
        <w:t xml:space="preserve">Dispões sobre as sociedades por ações Recuperado de </w:t>
      </w:r>
      <w:hyperlink w:history="1">
        <w:r w:rsidRPr="00DE4C17">
          <w:rPr>
            <w:sz w:val="24"/>
            <w:szCs w:val="24"/>
          </w:rPr>
          <w:t>http://www.planalto.gov .br/ccivil_03/leis/L6404consol.htm</w:t>
        </w:r>
      </w:hyperlink>
    </w:p>
    <w:p w14:paraId="11AB470F" w14:textId="77777777" w:rsidR="00895992" w:rsidRPr="00DE4C17" w:rsidRDefault="00895992" w:rsidP="00895992">
      <w:pPr>
        <w:ind w:left="426" w:hanging="426"/>
        <w:jc w:val="both"/>
        <w:rPr>
          <w:sz w:val="24"/>
          <w:szCs w:val="24"/>
        </w:rPr>
      </w:pPr>
    </w:p>
    <w:p w14:paraId="72D1D4A0" w14:textId="77777777" w:rsidR="00895992" w:rsidRPr="00DE4C17" w:rsidRDefault="00895992" w:rsidP="00895992">
      <w:pPr>
        <w:ind w:left="426" w:hanging="426"/>
        <w:jc w:val="both"/>
        <w:rPr>
          <w:sz w:val="24"/>
          <w:szCs w:val="24"/>
        </w:rPr>
      </w:pPr>
      <w:r w:rsidRPr="00DE4C17">
        <w:rPr>
          <w:sz w:val="24"/>
          <w:szCs w:val="24"/>
        </w:rPr>
        <w:t xml:space="preserve">Longo, C. G. (2011). </w:t>
      </w:r>
      <w:r w:rsidRPr="00DE4C17">
        <w:rPr>
          <w:i/>
          <w:sz w:val="24"/>
          <w:szCs w:val="24"/>
        </w:rPr>
        <w:t>Manual de auditoria e revisão de demonstrações financeiras</w:t>
      </w:r>
      <w:r w:rsidRPr="00DE4C17">
        <w:rPr>
          <w:sz w:val="24"/>
          <w:szCs w:val="24"/>
        </w:rPr>
        <w:t>. (2 ed.). São Paulo: Atlas.</w:t>
      </w:r>
    </w:p>
    <w:p w14:paraId="76D6F795" w14:textId="77777777" w:rsidR="00895992" w:rsidRPr="00DE4C17" w:rsidRDefault="00895992" w:rsidP="00895992">
      <w:pPr>
        <w:ind w:left="426" w:hanging="426"/>
        <w:jc w:val="both"/>
        <w:rPr>
          <w:sz w:val="24"/>
          <w:szCs w:val="24"/>
        </w:rPr>
      </w:pPr>
    </w:p>
    <w:p w14:paraId="2FE4F9E7" w14:textId="77777777" w:rsidR="00895992" w:rsidRPr="00DE4C17" w:rsidRDefault="00895992" w:rsidP="00895992">
      <w:pPr>
        <w:ind w:left="426" w:hanging="426"/>
        <w:jc w:val="both"/>
        <w:rPr>
          <w:sz w:val="24"/>
          <w:szCs w:val="24"/>
        </w:rPr>
      </w:pPr>
      <w:r w:rsidRPr="00DE4C17">
        <w:rPr>
          <w:sz w:val="24"/>
          <w:szCs w:val="24"/>
        </w:rPr>
        <w:t xml:space="preserve">Marion, J., Dias, R. &amp; Traldi, M. C. (2002). </w:t>
      </w:r>
      <w:r w:rsidRPr="00DE4C17">
        <w:rPr>
          <w:i/>
          <w:sz w:val="24"/>
          <w:szCs w:val="24"/>
        </w:rPr>
        <w:t>Monografia para os cursos de administração, contabilidade e economia</w:t>
      </w:r>
      <w:r w:rsidRPr="00DE4C17">
        <w:rPr>
          <w:sz w:val="24"/>
          <w:szCs w:val="24"/>
        </w:rPr>
        <w:t>. São Paulo: Atlas</w:t>
      </w:r>
    </w:p>
    <w:p w14:paraId="7E53E69C" w14:textId="77777777" w:rsidR="00895992" w:rsidRPr="00DE4C17" w:rsidRDefault="00895992" w:rsidP="00895992">
      <w:pPr>
        <w:autoSpaceDE w:val="0"/>
        <w:autoSpaceDN w:val="0"/>
        <w:adjustRightInd w:val="0"/>
        <w:ind w:left="426" w:hanging="426"/>
        <w:jc w:val="both"/>
        <w:rPr>
          <w:i/>
          <w:sz w:val="24"/>
          <w:szCs w:val="24"/>
          <w:shd w:val="clear" w:color="auto" w:fill="FFFFFF"/>
        </w:rPr>
      </w:pPr>
    </w:p>
    <w:p w14:paraId="73C2EAC0" w14:textId="77777777" w:rsidR="00895992" w:rsidRPr="00DE4C17" w:rsidRDefault="00895992" w:rsidP="00895992">
      <w:pPr>
        <w:autoSpaceDE w:val="0"/>
        <w:autoSpaceDN w:val="0"/>
        <w:adjustRightInd w:val="0"/>
        <w:ind w:left="426" w:hanging="426"/>
        <w:jc w:val="both"/>
        <w:rPr>
          <w:sz w:val="24"/>
          <w:szCs w:val="24"/>
          <w:shd w:val="clear" w:color="auto" w:fill="FFFFFF"/>
        </w:rPr>
      </w:pPr>
      <w:r w:rsidRPr="00DE4C17">
        <w:rPr>
          <w:i/>
          <w:sz w:val="24"/>
          <w:szCs w:val="24"/>
          <w:shd w:val="clear" w:color="auto" w:fill="FFFFFF"/>
        </w:rPr>
        <w:t>Pronunciamento técnico NBC T 11</w:t>
      </w:r>
      <w:r w:rsidRPr="00DE4C17">
        <w:rPr>
          <w:sz w:val="24"/>
          <w:szCs w:val="24"/>
          <w:shd w:val="clear" w:color="auto" w:fill="FFFFFF"/>
        </w:rPr>
        <w:t xml:space="preserve"> (2009). Normas de Auditoria Independente das Demonstrações Contábeis. Recuperado de </w:t>
      </w:r>
      <w:hyperlink r:id="rId12" w:history="1">
        <w:r w:rsidRPr="00DE4C17">
          <w:rPr>
            <w:sz w:val="24"/>
            <w:szCs w:val="24"/>
            <w:shd w:val="clear" w:color="auto" w:fill="FFFFFF"/>
          </w:rPr>
          <w:t>http://www.portaldecontabilidade.com.br/nbc/t11.htm</w:t>
        </w:r>
      </w:hyperlink>
    </w:p>
    <w:p w14:paraId="17B4C02A" w14:textId="77777777" w:rsidR="00895992" w:rsidRPr="00DE4C17" w:rsidRDefault="00895992" w:rsidP="00895992">
      <w:pPr>
        <w:autoSpaceDE w:val="0"/>
        <w:autoSpaceDN w:val="0"/>
        <w:adjustRightInd w:val="0"/>
        <w:ind w:left="426" w:hanging="426"/>
        <w:jc w:val="both"/>
        <w:rPr>
          <w:i/>
          <w:sz w:val="24"/>
          <w:szCs w:val="24"/>
          <w:shd w:val="clear" w:color="auto" w:fill="FFFFFF"/>
        </w:rPr>
      </w:pPr>
    </w:p>
    <w:p w14:paraId="0C3CBAD7" w14:textId="77777777" w:rsidR="00895992" w:rsidRPr="00DE4C17" w:rsidRDefault="00895992" w:rsidP="00895992">
      <w:pPr>
        <w:autoSpaceDE w:val="0"/>
        <w:autoSpaceDN w:val="0"/>
        <w:adjustRightInd w:val="0"/>
        <w:ind w:left="426" w:hanging="426"/>
        <w:jc w:val="both"/>
        <w:rPr>
          <w:sz w:val="24"/>
          <w:szCs w:val="24"/>
          <w:shd w:val="clear" w:color="auto" w:fill="FFFFFF"/>
        </w:rPr>
      </w:pPr>
      <w:r w:rsidRPr="00DE4C17">
        <w:rPr>
          <w:i/>
          <w:sz w:val="24"/>
          <w:szCs w:val="24"/>
          <w:shd w:val="clear" w:color="auto" w:fill="FFFFFF"/>
        </w:rPr>
        <w:t>Pronunciamento técnico NBC TA 200</w:t>
      </w:r>
      <w:r w:rsidRPr="00DE4C17">
        <w:rPr>
          <w:sz w:val="24"/>
          <w:szCs w:val="24"/>
          <w:shd w:val="clear" w:color="auto" w:fill="FFFFFF"/>
        </w:rPr>
        <w:t xml:space="preserve"> (2009). </w:t>
      </w:r>
      <w:r w:rsidRPr="00DE4C17">
        <w:rPr>
          <w:sz w:val="24"/>
          <w:szCs w:val="24"/>
        </w:rPr>
        <w:t>Objetivos Gerais do Auditor Independente</w:t>
      </w:r>
      <w:r w:rsidRPr="00DE4C17">
        <w:rPr>
          <w:sz w:val="24"/>
          <w:szCs w:val="24"/>
          <w:shd w:val="clear" w:color="auto" w:fill="FFFFFF"/>
        </w:rPr>
        <w:t xml:space="preserve">. Recuperado de </w:t>
      </w:r>
      <w:hyperlink r:id="rId13" w:history="1">
        <w:r w:rsidRPr="00DE4C17">
          <w:rPr>
            <w:sz w:val="24"/>
            <w:szCs w:val="24"/>
          </w:rPr>
          <w:t>http://www2.cfc.org.br/sisweb/sre/detalhes_sre.aspx?codigo=2009/001203</w:t>
        </w:r>
      </w:hyperlink>
      <w:r w:rsidRPr="00DE4C17">
        <w:rPr>
          <w:sz w:val="24"/>
          <w:szCs w:val="24"/>
        </w:rPr>
        <w:t>.</w:t>
      </w:r>
    </w:p>
    <w:p w14:paraId="10D88AB2" w14:textId="77777777" w:rsidR="00895992" w:rsidRPr="00DE4C17" w:rsidRDefault="00895992" w:rsidP="00895992">
      <w:pPr>
        <w:autoSpaceDE w:val="0"/>
        <w:autoSpaceDN w:val="0"/>
        <w:adjustRightInd w:val="0"/>
        <w:ind w:left="426" w:hanging="426"/>
        <w:jc w:val="both"/>
        <w:rPr>
          <w:i/>
          <w:sz w:val="24"/>
          <w:szCs w:val="24"/>
          <w:shd w:val="clear" w:color="auto" w:fill="FFFFFF"/>
        </w:rPr>
      </w:pPr>
    </w:p>
    <w:p w14:paraId="5E4D982B" w14:textId="77777777" w:rsidR="00895992" w:rsidRPr="00DE4C17" w:rsidRDefault="00895992" w:rsidP="00895992">
      <w:pPr>
        <w:autoSpaceDE w:val="0"/>
        <w:autoSpaceDN w:val="0"/>
        <w:adjustRightInd w:val="0"/>
        <w:ind w:left="426" w:hanging="426"/>
        <w:jc w:val="both"/>
        <w:rPr>
          <w:sz w:val="24"/>
          <w:szCs w:val="24"/>
        </w:rPr>
      </w:pPr>
      <w:r w:rsidRPr="00DE4C17">
        <w:rPr>
          <w:i/>
          <w:sz w:val="24"/>
          <w:szCs w:val="24"/>
          <w:shd w:val="clear" w:color="auto" w:fill="FFFFFF"/>
        </w:rPr>
        <w:t>Pronunciamento técnico NBC TA 200</w:t>
      </w:r>
      <w:r w:rsidRPr="00DE4C17">
        <w:rPr>
          <w:sz w:val="24"/>
          <w:szCs w:val="24"/>
          <w:shd w:val="clear" w:color="auto" w:fill="FFFFFF"/>
        </w:rPr>
        <w:t xml:space="preserve"> (2016). </w:t>
      </w:r>
      <w:r w:rsidRPr="00DE4C17">
        <w:rPr>
          <w:sz w:val="24"/>
          <w:szCs w:val="24"/>
        </w:rPr>
        <w:t>Objetivos Gerais do Auditor Independente</w:t>
      </w:r>
      <w:r w:rsidRPr="00DE4C17">
        <w:rPr>
          <w:sz w:val="24"/>
          <w:szCs w:val="24"/>
          <w:shd w:val="clear" w:color="auto" w:fill="FFFFFF"/>
        </w:rPr>
        <w:t xml:space="preserve">. Recuperado de </w:t>
      </w:r>
      <w:r w:rsidRPr="00DE4C17">
        <w:rPr>
          <w:sz w:val="24"/>
          <w:szCs w:val="24"/>
        </w:rPr>
        <w:t>http://www2.cfc.org.br/sisweb/sre/detalhes_sre.aspx?Codigo=2016/NBCTA200.</w:t>
      </w:r>
    </w:p>
    <w:p w14:paraId="61D38ABA" w14:textId="77777777" w:rsidR="00895992" w:rsidRPr="00DE4C17" w:rsidRDefault="00895992" w:rsidP="00895992">
      <w:pPr>
        <w:autoSpaceDE w:val="0"/>
        <w:autoSpaceDN w:val="0"/>
        <w:adjustRightInd w:val="0"/>
        <w:ind w:left="426" w:hanging="426"/>
        <w:jc w:val="both"/>
        <w:rPr>
          <w:i/>
          <w:sz w:val="24"/>
          <w:szCs w:val="24"/>
          <w:shd w:val="clear" w:color="auto" w:fill="FFFFFF"/>
        </w:rPr>
      </w:pPr>
    </w:p>
    <w:p w14:paraId="0B7DEAFF" w14:textId="77777777" w:rsidR="00895992" w:rsidRPr="00DE4C17" w:rsidRDefault="00895992" w:rsidP="00895992">
      <w:pPr>
        <w:autoSpaceDE w:val="0"/>
        <w:autoSpaceDN w:val="0"/>
        <w:adjustRightInd w:val="0"/>
        <w:ind w:left="426" w:hanging="426"/>
        <w:jc w:val="both"/>
        <w:rPr>
          <w:sz w:val="24"/>
          <w:szCs w:val="24"/>
        </w:rPr>
      </w:pPr>
      <w:r w:rsidRPr="00DE4C17">
        <w:rPr>
          <w:i/>
          <w:sz w:val="24"/>
          <w:szCs w:val="24"/>
          <w:shd w:val="clear" w:color="auto" w:fill="FFFFFF"/>
        </w:rPr>
        <w:t>Pronunciamento técnico NBC TA 560</w:t>
      </w:r>
      <w:r w:rsidRPr="00DE4C17">
        <w:rPr>
          <w:sz w:val="24"/>
          <w:szCs w:val="24"/>
          <w:shd w:val="clear" w:color="auto" w:fill="FFFFFF"/>
        </w:rPr>
        <w:t xml:space="preserve"> (2009). </w:t>
      </w:r>
      <w:r w:rsidRPr="00DE4C17">
        <w:rPr>
          <w:sz w:val="24"/>
          <w:szCs w:val="24"/>
        </w:rPr>
        <w:t>Eventos Subsequentes</w:t>
      </w:r>
      <w:r w:rsidRPr="00DE4C17">
        <w:rPr>
          <w:sz w:val="24"/>
          <w:szCs w:val="24"/>
          <w:shd w:val="clear" w:color="auto" w:fill="FFFFFF"/>
        </w:rPr>
        <w:t xml:space="preserve">. Recuperado de </w:t>
      </w:r>
      <w:r w:rsidRPr="00DE4C17">
        <w:rPr>
          <w:sz w:val="24"/>
          <w:szCs w:val="24"/>
        </w:rPr>
        <w:t>http://www2.cfc.org.br/sisweb/sre/detalhes_sre.aspx?codigo=2009/001225</w:t>
      </w:r>
    </w:p>
    <w:p w14:paraId="78AD01EA" w14:textId="77777777" w:rsidR="00895992" w:rsidRPr="00DE4C17" w:rsidRDefault="00895992" w:rsidP="00895992">
      <w:pPr>
        <w:autoSpaceDE w:val="0"/>
        <w:autoSpaceDN w:val="0"/>
        <w:adjustRightInd w:val="0"/>
        <w:ind w:left="426" w:hanging="426"/>
        <w:jc w:val="both"/>
        <w:rPr>
          <w:i/>
          <w:sz w:val="24"/>
          <w:szCs w:val="24"/>
          <w:shd w:val="clear" w:color="auto" w:fill="FFFFFF"/>
        </w:rPr>
      </w:pPr>
    </w:p>
    <w:p w14:paraId="202F6093" w14:textId="77777777" w:rsidR="00895992" w:rsidRPr="00DE4C17" w:rsidRDefault="00895992" w:rsidP="00895992">
      <w:pPr>
        <w:autoSpaceDE w:val="0"/>
        <w:autoSpaceDN w:val="0"/>
        <w:adjustRightInd w:val="0"/>
        <w:ind w:left="426" w:hanging="426"/>
        <w:jc w:val="both"/>
        <w:rPr>
          <w:sz w:val="24"/>
          <w:szCs w:val="24"/>
        </w:rPr>
      </w:pPr>
      <w:r w:rsidRPr="00DE4C17">
        <w:rPr>
          <w:i/>
          <w:sz w:val="24"/>
          <w:szCs w:val="24"/>
          <w:shd w:val="clear" w:color="auto" w:fill="FFFFFF"/>
        </w:rPr>
        <w:t xml:space="preserve">Pronunciamento técnico NBC TA 700. </w:t>
      </w:r>
      <w:r w:rsidRPr="00DE4C17">
        <w:rPr>
          <w:sz w:val="24"/>
          <w:szCs w:val="24"/>
          <w:shd w:val="clear" w:color="auto" w:fill="FFFFFF"/>
        </w:rPr>
        <w:t xml:space="preserve">(2009). </w:t>
      </w:r>
      <w:r w:rsidRPr="00DE4C17">
        <w:rPr>
          <w:sz w:val="24"/>
          <w:szCs w:val="24"/>
        </w:rPr>
        <w:t xml:space="preserve">Formação de opinião e emissão do relatório do auditor sobre as demonstrações contábeis. Recuperado de </w:t>
      </w:r>
      <w:r w:rsidRPr="00DE4C17">
        <w:rPr>
          <w:sz w:val="24"/>
          <w:szCs w:val="24"/>
        </w:rPr>
        <w:lastRenderedPageBreak/>
        <w:t>http://portalcfc.org.br/wordpress/wpcontent/uploads/2013/01/NBC_TA_AUDITORIA.pdf</w:t>
      </w:r>
    </w:p>
    <w:p w14:paraId="5498B6E6" w14:textId="77777777" w:rsidR="00895992" w:rsidRPr="00DE4C17" w:rsidRDefault="00895992" w:rsidP="00895992">
      <w:pPr>
        <w:autoSpaceDE w:val="0"/>
        <w:autoSpaceDN w:val="0"/>
        <w:adjustRightInd w:val="0"/>
        <w:ind w:left="426" w:hanging="426"/>
        <w:jc w:val="both"/>
        <w:rPr>
          <w:i/>
          <w:sz w:val="24"/>
          <w:szCs w:val="24"/>
          <w:shd w:val="clear" w:color="auto" w:fill="FFFFFF"/>
        </w:rPr>
      </w:pPr>
    </w:p>
    <w:p w14:paraId="01AD8B0C" w14:textId="77777777" w:rsidR="00895992" w:rsidRPr="00DE4C17" w:rsidRDefault="00895992" w:rsidP="00895992">
      <w:pPr>
        <w:autoSpaceDE w:val="0"/>
        <w:autoSpaceDN w:val="0"/>
        <w:adjustRightInd w:val="0"/>
        <w:ind w:left="426" w:hanging="426"/>
        <w:jc w:val="both"/>
        <w:rPr>
          <w:sz w:val="24"/>
          <w:szCs w:val="24"/>
        </w:rPr>
      </w:pPr>
      <w:r w:rsidRPr="00DE4C17">
        <w:rPr>
          <w:i/>
          <w:sz w:val="24"/>
          <w:szCs w:val="24"/>
          <w:shd w:val="clear" w:color="auto" w:fill="FFFFFF"/>
        </w:rPr>
        <w:t xml:space="preserve">Pronunciamento técnico NBC TA 700. </w:t>
      </w:r>
      <w:r w:rsidRPr="00DE4C17">
        <w:rPr>
          <w:sz w:val="24"/>
          <w:szCs w:val="24"/>
          <w:shd w:val="clear" w:color="auto" w:fill="FFFFFF"/>
        </w:rPr>
        <w:t xml:space="preserve">(2016). </w:t>
      </w:r>
      <w:r w:rsidRPr="00DE4C17">
        <w:rPr>
          <w:sz w:val="24"/>
          <w:szCs w:val="24"/>
        </w:rPr>
        <w:t xml:space="preserve">Formação de opinião e emissão do relatório do auditor sobre as demonstrações contábeis. Recuperado de </w:t>
      </w:r>
      <w:hyperlink r:id="rId14" w:history="1">
        <w:r w:rsidRPr="00DE4C17">
          <w:rPr>
            <w:sz w:val="24"/>
            <w:szCs w:val="24"/>
          </w:rPr>
          <w:t>http://www2.cfc.org.br/sisweb/ser /detalhes_sre.aspx?Codigo=2016/NBCTA700</w:t>
        </w:r>
      </w:hyperlink>
    </w:p>
    <w:p w14:paraId="79BBF7A4" w14:textId="77777777" w:rsidR="00895992" w:rsidRPr="00DE4C17" w:rsidRDefault="00895992" w:rsidP="00895992">
      <w:pPr>
        <w:autoSpaceDE w:val="0"/>
        <w:autoSpaceDN w:val="0"/>
        <w:adjustRightInd w:val="0"/>
        <w:ind w:left="426" w:hanging="426"/>
        <w:jc w:val="both"/>
        <w:rPr>
          <w:i/>
          <w:sz w:val="24"/>
          <w:szCs w:val="24"/>
          <w:shd w:val="clear" w:color="auto" w:fill="FFFFFF"/>
        </w:rPr>
      </w:pPr>
    </w:p>
    <w:p w14:paraId="3B1835D5" w14:textId="77777777" w:rsidR="00895992" w:rsidRPr="00DE4C17" w:rsidRDefault="00895992" w:rsidP="00895992">
      <w:pPr>
        <w:autoSpaceDE w:val="0"/>
        <w:autoSpaceDN w:val="0"/>
        <w:adjustRightInd w:val="0"/>
        <w:ind w:left="426" w:hanging="426"/>
        <w:jc w:val="both"/>
        <w:rPr>
          <w:sz w:val="24"/>
          <w:szCs w:val="24"/>
        </w:rPr>
      </w:pPr>
      <w:r w:rsidRPr="00DE4C17">
        <w:rPr>
          <w:i/>
          <w:sz w:val="24"/>
          <w:szCs w:val="24"/>
          <w:shd w:val="clear" w:color="auto" w:fill="FFFFFF"/>
        </w:rPr>
        <w:t xml:space="preserve">Pronunciamento técnico NBC TA 706. </w:t>
      </w:r>
      <w:r w:rsidRPr="00DE4C17">
        <w:rPr>
          <w:sz w:val="24"/>
          <w:szCs w:val="24"/>
          <w:shd w:val="clear" w:color="auto" w:fill="FFFFFF"/>
        </w:rPr>
        <w:t xml:space="preserve">(2009). </w:t>
      </w:r>
      <w:r w:rsidRPr="00DE4C17">
        <w:rPr>
          <w:sz w:val="24"/>
          <w:szCs w:val="24"/>
        </w:rPr>
        <w:t xml:space="preserve">Parágrafos de Ênfase e Parágrafos de Outros Assuntos no Relatório do Auditor Independente. Recuperado de </w:t>
      </w:r>
      <w:hyperlink r:id="rId15" w:history="1">
        <w:r w:rsidRPr="00DE4C17">
          <w:rPr>
            <w:sz w:val="24"/>
            <w:szCs w:val="24"/>
          </w:rPr>
          <w:t>http://www2.cfc.org.br/sisw eb/sre/detalhes_sre.aspx?codigo=2009/001233</w:t>
        </w:r>
      </w:hyperlink>
    </w:p>
    <w:p w14:paraId="2AD60279" w14:textId="77777777" w:rsidR="00895992" w:rsidRPr="00DE4C17" w:rsidRDefault="00895992" w:rsidP="00895992">
      <w:pPr>
        <w:autoSpaceDE w:val="0"/>
        <w:autoSpaceDN w:val="0"/>
        <w:adjustRightInd w:val="0"/>
        <w:ind w:left="426" w:hanging="426"/>
        <w:jc w:val="both"/>
        <w:rPr>
          <w:i/>
          <w:sz w:val="24"/>
          <w:szCs w:val="24"/>
          <w:shd w:val="clear" w:color="auto" w:fill="FFFFFF"/>
        </w:rPr>
      </w:pPr>
    </w:p>
    <w:p w14:paraId="6F29AA7B" w14:textId="77777777" w:rsidR="00895992" w:rsidRPr="00DE4C17" w:rsidRDefault="00895992" w:rsidP="00895992">
      <w:pPr>
        <w:autoSpaceDE w:val="0"/>
        <w:autoSpaceDN w:val="0"/>
        <w:adjustRightInd w:val="0"/>
        <w:ind w:left="426" w:hanging="426"/>
        <w:jc w:val="both"/>
        <w:rPr>
          <w:sz w:val="24"/>
          <w:szCs w:val="24"/>
        </w:rPr>
      </w:pPr>
      <w:r w:rsidRPr="00DE4C17">
        <w:rPr>
          <w:i/>
          <w:sz w:val="24"/>
          <w:szCs w:val="24"/>
          <w:shd w:val="clear" w:color="auto" w:fill="FFFFFF"/>
        </w:rPr>
        <w:t xml:space="preserve">Pronunciamento técnico NBC TA 706. </w:t>
      </w:r>
      <w:r w:rsidRPr="00DE4C17">
        <w:rPr>
          <w:sz w:val="24"/>
          <w:szCs w:val="24"/>
          <w:shd w:val="clear" w:color="auto" w:fill="FFFFFF"/>
        </w:rPr>
        <w:t xml:space="preserve">(2016). </w:t>
      </w:r>
      <w:r w:rsidRPr="00DE4C17">
        <w:rPr>
          <w:sz w:val="24"/>
          <w:szCs w:val="24"/>
        </w:rPr>
        <w:t>Parágrafos de Ênfase e Parágrafos de Outros Assuntos no Relatório do Auditor Independente. Recuperado de http://www2.cfc.org.br/sis web/sre/detalhes_sre.aspx?Codigo=2016/NBCTA706</w:t>
      </w:r>
    </w:p>
    <w:p w14:paraId="2C7E1850" w14:textId="77777777" w:rsidR="00895992" w:rsidRPr="00DE4C17" w:rsidRDefault="00895992" w:rsidP="00895992">
      <w:pPr>
        <w:autoSpaceDE w:val="0"/>
        <w:autoSpaceDN w:val="0"/>
        <w:adjustRightInd w:val="0"/>
        <w:ind w:left="426" w:hanging="426"/>
        <w:jc w:val="both"/>
        <w:rPr>
          <w:i/>
          <w:sz w:val="24"/>
          <w:szCs w:val="24"/>
        </w:rPr>
      </w:pPr>
    </w:p>
    <w:p w14:paraId="7C7770A1" w14:textId="77777777" w:rsidR="00895992" w:rsidRPr="00DE4C17" w:rsidRDefault="00895992" w:rsidP="00895992">
      <w:pPr>
        <w:autoSpaceDE w:val="0"/>
        <w:autoSpaceDN w:val="0"/>
        <w:adjustRightInd w:val="0"/>
        <w:ind w:left="426" w:hanging="426"/>
        <w:jc w:val="both"/>
        <w:rPr>
          <w:sz w:val="24"/>
          <w:szCs w:val="24"/>
        </w:rPr>
      </w:pPr>
      <w:r w:rsidRPr="00DE4C17">
        <w:rPr>
          <w:i/>
          <w:sz w:val="24"/>
          <w:szCs w:val="24"/>
        </w:rPr>
        <w:t>Resolução CFC n 1.203, de 27 de outubro de 2016</w:t>
      </w:r>
      <w:r w:rsidRPr="00DE4C17">
        <w:rPr>
          <w:sz w:val="24"/>
          <w:szCs w:val="24"/>
        </w:rPr>
        <w:t>. Aprova a NBC TA 200 – Objetivos Gerais do Auditor Independente e a Condução de uma Auditoria em Conformidade com Normas de Auditoria. Recuperado de http://www.cfc.org.br/uparq/NBCTA_200.pdf</w:t>
      </w:r>
    </w:p>
    <w:p w14:paraId="0D28B9D7" w14:textId="77777777" w:rsidR="00895992" w:rsidRPr="00DE4C17" w:rsidRDefault="00895992" w:rsidP="00895992">
      <w:pPr>
        <w:autoSpaceDE w:val="0"/>
        <w:autoSpaceDN w:val="0"/>
        <w:adjustRightInd w:val="0"/>
        <w:ind w:left="426" w:hanging="426"/>
        <w:jc w:val="both"/>
        <w:rPr>
          <w:i/>
          <w:sz w:val="24"/>
          <w:szCs w:val="24"/>
        </w:rPr>
      </w:pPr>
    </w:p>
    <w:p w14:paraId="6E6E2F90" w14:textId="77777777" w:rsidR="00895992" w:rsidRPr="00DE4C17" w:rsidRDefault="00895992" w:rsidP="00895992">
      <w:pPr>
        <w:autoSpaceDE w:val="0"/>
        <w:autoSpaceDN w:val="0"/>
        <w:adjustRightInd w:val="0"/>
        <w:ind w:left="426" w:hanging="426"/>
        <w:jc w:val="both"/>
        <w:rPr>
          <w:sz w:val="24"/>
          <w:szCs w:val="24"/>
        </w:rPr>
      </w:pPr>
      <w:r w:rsidRPr="00DE4C17">
        <w:rPr>
          <w:i/>
          <w:sz w:val="24"/>
          <w:szCs w:val="24"/>
        </w:rPr>
        <w:t>Resolução CFC n 1.233, de 27 de outubro de 2009</w:t>
      </w:r>
      <w:r w:rsidRPr="00DE4C17">
        <w:rPr>
          <w:sz w:val="24"/>
          <w:szCs w:val="24"/>
        </w:rPr>
        <w:t>. Aprova a NBC TA 706 – Parágrafos de Ênfases e Parágrafos de Outros Assuntos no Relatório do Auditor Independente. Recuperado de http://www.cfc.org.br/uparq/NBC%20TA%20706</w:t>
      </w:r>
    </w:p>
    <w:p w14:paraId="1423ABF0" w14:textId="77777777" w:rsidR="00895992" w:rsidRPr="00DE4C17" w:rsidRDefault="00895992" w:rsidP="00895992">
      <w:pPr>
        <w:ind w:left="426" w:hanging="426"/>
        <w:jc w:val="both"/>
        <w:rPr>
          <w:sz w:val="24"/>
          <w:szCs w:val="24"/>
        </w:rPr>
      </w:pPr>
    </w:p>
    <w:p w14:paraId="3787DD25" w14:textId="77777777" w:rsidR="00895992" w:rsidRPr="00DE4C17" w:rsidRDefault="00895992" w:rsidP="00895992">
      <w:pPr>
        <w:ind w:left="426" w:hanging="426"/>
        <w:jc w:val="both"/>
        <w:rPr>
          <w:sz w:val="24"/>
          <w:szCs w:val="24"/>
        </w:rPr>
      </w:pPr>
      <w:r w:rsidRPr="00DE4C17">
        <w:rPr>
          <w:sz w:val="24"/>
          <w:szCs w:val="24"/>
        </w:rPr>
        <w:t xml:space="preserve">Ricardino, Á. &amp; Carvalho, L. N. (2004). Breve retrospectiva do desenvolvimento das atividades de auditoria no Brasil. </w:t>
      </w:r>
      <w:r w:rsidRPr="00DE4C17">
        <w:rPr>
          <w:i/>
          <w:sz w:val="24"/>
          <w:szCs w:val="24"/>
        </w:rPr>
        <w:t>Revista Contabilidade &amp; Finanças</w:t>
      </w:r>
      <w:r w:rsidRPr="00DE4C17">
        <w:rPr>
          <w:sz w:val="24"/>
          <w:szCs w:val="24"/>
        </w:rPr>
        <w:t>, 15(35), pp.22-34.</w:t>
      </w:r>
    </w:p>
    <w:p w14:paraId="723BAECD" w14:textId="77777777" w:rsidR="00895992" w:rsidRPr="00DE4C17" w:rsidRDefault="00895992" w:rsidP="00895992">
      <w:pPr>
        <w:ind w:left="426" w:hanging="426"/>
        <w:jc w:val="both"/>
        <w:rPr>
          <w:sz w:val="24"/>
          <w:szCs w:val="24"/>
        </w:rPr>
      </w:pPr>
    </w:p>
    <w:p w14:paraId="76ADF0EB" w14:textId="77777777" w:rsidR="00895992" w:rsidRPr="00DE4C17" w:rsidRDefault="00895992" w:rsidP="00895992">
      <w:pPr>
        <w:ind w:left="426" w:hanging="426"/>
        <w:jc w:val="both"/>
        <w:rPr>
          <w:sz w:val="24"/>
          <w:szCs w:val="24"/>
        </w:rPr>
      </w:pPr>
      <w:r w:rsidRPr="00DE4C17">
        <w:rPr>
          <w:sz w:val="24"/>
          <w:szCs w:val="24"/>
        </w:rPr>
        <w:t xml:space="preserve">Sá, A. L. D. (2002). </w:t>
      </w:r>
      <w:r w:rsidRPr="00DE4C17">
        <w:rPr>
          <w:i/>
          <w:sz w:val="24"/>
          <w:szCs w:val="24"/>
        </w:rPr>
        <w:t>Curso de auditoria</w:t>
      </w:r>
      <w:r w:rsidRPr="00DE4C17">
        <w:rPr>
          <w:sz w:val="24"/>
          <w:szCs w:val="24"/>
        </w:rPr>
        <w:t xml:space="preserve"> (10 ed.). São Paulo: Atlas.</w:t>
      </w:r>
    </w:p>
    <w:p w14:paraId="0A0070B8" w14:textId="77777777" w:rsidR="00895992" w:rsidRPr="00DE4C17" w:rsidRDefault="00895992" w:rsidP="00895992">
      <w:pPr>
        <w:autoSpaceDE w:val="0"/>
        <w:autoSpaceDN w:val="0"/>
        <w:adjustRightInd w:val="0"/>
        <w:ind w:left="426" w:hanging="426"/>
        <w:jc w:val="both"/>
        <w:rPr>
          <w:sz w:val="24"/>
          <w:szCs w:val="24"/>
        </w:rPr>
      </w:pPr>
    </w:p>
    <w:p w14:paraId="4DF0F45F" w14:textId="77777777" w:rsidR="00895992" w:rsidRPr="00DE4C17" w:rsidRDefault="00895992" w:rsidP="00895992">
      <w:pPr>
        <w:autoSpaceDE w:val="0"/>
        <w:autoSpaceDN w:val="0"/>
        <w:adjustRightInd w:val="0"/>
        <w:ind w:left="426" w:hanging="426"/>
        <w:jc w:val="both"/>
        <w:rPr>
          <w:sz w:val="24"/>
          <w:szCs w:val="24"/>
        </w:rPr>
      </w:pPr>
      <w:r w:rsidRPr="00DE4C17">
        <w:rPr>
          <w:sz w:val="24"/>
          <w:szCs w:val="24"/>
        </w:rPr>
        <w:t xml:space="preserve">Santos, C. (2007). </w:t>
      </w:r>
      <w:r w:rsidRPr="00DE4C17">
        <w:rPr>
          <w:i/>
          <w:sz w:val="24"/>
          <w:szCs w:val="24"/>
        </w:rPr>
        <w:t>Auditoria Contábil</w:t>
      </w:r>
      <w:r w:rsidRPr="00DE4C17">
        <w:rPr>
          <w:sz w:val="24"/>
          <w:szCs w:val="24"/>
        </w:rPr>
        <w:t>. São Paulo: Cengage Learning.</w:t>
      </w:r>
    </w:p>
    <w:p w14:paraId="2FDBBCD3" w14:textId="77777777" w:rsidR="00895992" w:rsidRPr="00DE4C17" w:rsidRDefault="00895992" w:rsidP="00895992">
      <w:pPr>
        <w:ind w:left="426" w:hanging="426"/>
        <w:jc w:val="both"/>
        <w:rPr>
          <w:sz w:val="24"/>
          <w:szCs w:val="24"/>
        </w:rPr>
      </w:pPr>
    </w:p>
    <w:p w14:paraId="1BE7BC1A" w14:textId="77777777" w:rsidR="00895992" w:rsidRPr="00DE4C17" w:rsidRDefault="00895992" w:rsidP="00895992">
      <w:pPr>
        <w:ind w:left="426" w:hanging="426"/>
        <w:jc w:val="both"/>
        <w:rPr>
          <w:sz w:val="24"/>
          <w:szCs w:val="24"/>
        </w:rPr>
      </w:pPr>
      <w:r w:rsidRPr="00DE4C17">
        <w:rPr>
          <w:sz w:val="24"/>
          <w:szCs w:val="24"/>
        </w:rPr>
        <w:t xml:space="preserve">Silva, E. C., Aires, M. V. B., &amp; Almeida, K. K. N. (2014). Um Enfoque sobre o Conteúdo Informacional dos Parágrafos de Ênfases e de outros Assuntos no Relatório dos Auditores Independentes de Companhias Abertas. </w:t>
      </w:r>
      <w:r w:rsidRPr="00DE4C17">
        <w:rPr>
          <w:i/>
          <w:sz w:val="24"/>
          <w:szCs w:val="24"/>
        </w:rPr>
        <w:t>REUNIR:</w:t>
      </w:r>
      <w:r w:rsidRPr="00DE4C17">
        <w:rPr>
          <w:sz w:val="24"/>
          <w:szCs w:val="24"/>
        </w:rPr>
        <w:t xml:space="preserve"> </w:t>
      </w:r>
      <w:r w:rsidRPr="00DE4C17">
        <w:rPr>
          <w:i/>
          <w:sz w:val="24"/>
          <w:szCs w:val="24"/>
        </w:rPr>
        <w:t>Revista de Administração, Contabilidade e Sustentabilidade</w:t>
      </w:r>
      <w:r w:rsidRPr="00DE4C17">
        <w:rPr>
          <w:sz w:val="24"/>
          <w:szCs w:val="24"/>
        </w:rPr>
        <w:t>, 4(3), pp.20-41.</w:t>
      </w:r>
    </w:p>
    <w:p w14:paraId="2427F5EF" w14:textId="77777777" w:rsidR="00895992" w:rsidRPr="00DE4C17" w:rsidRDefault="00895992" w:rsidP="00895992">
      <w:pPr>
        <w:ind w:left="426" w:hanging="426"/>
        <w:jc w:val="both"/>
        <w:rPr>
          <w:sz w:val="24"/>
          <w:szCs w:val="24"/>
        </w:rPr>
      </w:pPr>
    </w:p>
    <w:p w14:paraId="2C12860D" w14:textId="77777777" w:rsidR="00895992" w:rsidRPr="00DE4C17" w:rsidRDefault="00895992" w:rsidP="00895992">
      <w:pPr>
        <w:ind w:left="426" w:hanging="426"/>
        <w:jc w:val="both"/>
        <w:rPr>
          <w:sz w:val="24"/>
          <w:szCs w:val="24"/>
        </w:rPr>
      </w:pPr>
      <w:r w:rsidRPr="00DE4C17">
        <w:rPr>
          <w:sz w:val="24"/>
          <w:szCs w:val="24"/>
        </w:rPr>
        <w:t xml:space="preserve">Souza, B. F., &amp; Pereira, A. C. (2004). </w:t>
      </w:r>
      <w:r w:rsidRPr="00DE4C17">
        <w:rPr>
          <w:i/>
          <w:sz w:val="24"/>
          <w:szCs w:val="24"/>
        </w:rPr>
        <w:t>Auditoria contábil: abordagem prática e operacional</w:t>
      </w:r>
      <w:r w:rsidRPr="00DE4C17">
        <w:rPr>
          <w:sz w:val="24"/>
          <w:szCs w:val="24"/>
        </w:rPr>
        <w:t>. São Paulo: Atlas.</w:t>
      </w:r>
    </w:p>
    <w:p w14:paraId="5DAD6B5A" w14:textId="77777777" w:rsidR="00895992" w:rsidRPr="00DE4C17" w:rsidRDefault="00895992" w:rsidP="00E43F14">
      <w:pPr>
        <w:ind w:left="425" w:hanging="425"/>
        <w:jc w:val="both"/>
        <w:rPr>
          <w:sz w:val="24"/>
          <w:szCs w:val="24"/>
        </w:rPr>
      </w:pPr>
    </w:p>
    <w:p w14:paraId="60FC323C" w14:textId="096D28A3" w:rsidR="00E6136F" w:rsidRDefault="00895992" w:rsidP="00E43F14">
      <w:pPr>
        <w:widowControl w:val="0"/>
        <w:ind w:left="425" w:hanging="425"/>
        <w:jc w:val="both"/>
      </w:pPr>
      <w:r w:rsidRPr="00DE4C17">
        <w:rPr>
          <w:sz w:val="24"/>
          <w:szCs w:val="24"/>
        </w:rPr>
        <w:t xml:space="preserve">Yoshitake, M. (2012). </w:t>
      </w:r>
      <w:r w:rsidRPr="00DE4C17">
        <w:rPr>
          <w:i/>
          <w:sz w:val="24"/>
          <w:szCs w:val="24"/>
        </w:rPr>
        <w:t>Auditoria contábil: metodologia de processos de auditoria</w:t>
      </w:r>
      <w:r w:rsidRPr="00DE4C17">
        <w:rPr>
          <w:sz w:val="24"/>
          <w:szCs w:val="24"/>
        </w:rPr>
        <w:t xml:space="preserve"> (2</w:t>
      </w:r>
      <w:r w:rsidR="007A6459">
        <w:rPr>
          <w:sz w:val="24"/>
          <w:szCs w:val="24"/>
        </w:rPr>
        <w:t>a</w:t>
      </w:r>
      <w:bookmarkStart w:id="0" w:name="_GoBack"/>
      <w:bookmarkEnd w:id="0"/>
      <w:r w:rsidRPr="00DE4C17">
        <w:rPr>
          <w:sz w:val="24"/>
          <w:szCs w:val="24"/>
        </w:rPr>
        <w:t xml:space="preserve"> ed.). Curitiba: Juruá́.</w:t>
      </w:r>
    </w:p>
    <w:sectPr w:rsidR="00E6136F" w:rsidSect="00C04F45">
      <w:headerReference w:type="default" r:id="rId16"/>
      <w:footerReference w:type="default" r:id="rId17"/>
      <w:type w:val="continuous"/>
      <w:pgSz w:w="11900" w:h="16840"/>
      <w:pgMar w:top="1701" w:right="1134" w:bottom="1134" w:left="170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245684" w16cid:durableId="1E91AE61"/>
  <w16cid:commentId w16cid:paraId="4FAA259B" w16cid:durableId="1E91AFEA"/>
  <w16cid:commentId w16cid:paraId="08AAA59D" w16cid:durableId="1E91B213"/>
  <w16cid:commentId w16cid:paraId="5535D672" w16cid:durableId="1E91B2C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08785" w14:textId="77777777" w:rsidR="00F309CF" w:rsidRDefault="00F309CF" w:rsidP="008A5824">
      <w:r>
        <w:separator/>
      </w:r>
    </w:p>
  </w:endnote>
  <w:endnote w:type="continuationSeparator" w:id="0">
    <w:p w14:paraId="77645A4E" w14:textId="77777777" w:rsidR="00F309CF" w:rsidRDefault="00F309CF"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EndPr/>
    <w:sdtContent>
      <w:p w14:paraId="7D37B465" w14:textId="77777777" w:rsidR="00F309CF" w:rsidRDefault="00F309CF">
        <w:pPr>
          <w:pStyle w:val="Rodap"/>
          <w:jc w:val="right"/>
          <w:rPr>
            <w:rFonts w:ascii="Times New Roman" w:hAnsi="Times New Roman" w:cs="Times New Roman"/>
          </w:rPr>
        </w:pPr>
      </w:p>
      <w:p w14:paraId="5D107955" w14:textId="3D299012" w:rsidR="00F309CF" w:rsidRPr="00C04F45" w:rsidRDefault="00F309CF">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384DD5AF" wp14:editId="1D0B655B">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7A6459">
          <w:rPr>
            <w:rFonts w:ascii="Times New Roman" w:hAnsi="Times New Roman" w:cs="Times New Roman"/>
            <w:noProof/>
          </w:rPr>
          <w:t>17</w:t>
        </w:r>
        <w:r w:rsidRPr="00C04F45">
          <w:rPr>
            <w:rFonts w:ascii="Times New Roman" w:hAnsi="Times New Roman" w:cs="Times New Roman"/>
          </w:rPr>
          <w:fldChar w:fldCharType="end"/>
        </w:r>
      </w:p>
    </w:sdtContent>
  </w:sdt>
  <w:p w14:paraId="5C0B9F59" w14:textId="77777777" w:rsidR="00F309CF" w:rsidRDefault="00F309CF">
    <w:pPr>
      <w:pStyle w:val="Rodap"/>
      <w:rPr>
        <w:rFonts w:ascii="Times New Roman" w:hAnsi="Times New Roman" w:cs="Times New Roman"/>
      </w:rPr>
    </w:pPr>
  </w:p>
  <w:p w14:paraId="44ED01A2" w14:textId="77777777" w:rsidR="00F309CF" w:rsidRPr="00C04F45" w:rsidRDefault="00F309CF"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5B38D" w14:textId="77777777" w:rsidR="00F309CF" w:rsidRDefault="00F309CF" w:rsidP="008A5824">
      <w:r>
        <w:separator/>
      </w:r>
    </w:p>
  </w:footnote>
  <w:footnote w:type="continuationSeparator" w:id="0">
    <w:p w14:paraId="7B9083A2" w14:textId="77777777" w:rsidR="00F309CF" w:rsidRDefault="00F309CF"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CD854" w14:textId="77777777" w:rsidR="00F309CF" w:rsidRPr="00E361F4" w:rsidRDefault="00F309CF" w:rsidP="00E361F4">
    <w:pPr>
      <w:pStyle w:val="Cabealho"/>
    </w:pPr>
    <w:r>
      <w:rPr>
        <w:noProof/>
        <w:lang w:eastAsia="pt-BR"/>
      </w:rPr>
      <w:drawing>
        <wp:inline distT="0" distB="0" distL="0" distR="0" wp14:anchorId="4694D298" wp14:editId="565FE7D6">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0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67126"/>
    <w:rsid w:val="000D301F"/>
    <w:rsid w:val="0016220D"/>
    <w:rsid w:val="00194BA9"/>
    <w:rsid w:val="0019738C"/>
    <w:rsid w:val="001A4423"/>
    <w:rsid w:val="001C328B"/>
    <w:rsid w:val="001C34CF"/>
    <w:rsid w:val="001F6A6D"/>
    <w:rsid w:val="002B0015"/>
    <w:rsid w:val="002B2B78"/>
    <w:rsid w:val="0036377D"/>
    <w:rsid w:val="0038579D"/>
    <w:rsid w:val="00397E6A"/>
    <w:rsid w:val="003B07FC"/>
    <w:rsid w:val="003E081C"/>
    <w:rsid w:val="004020EB"/>
    <w:rsid w:val="00473887"/>
    <w:rsid w:val="00491708"/>
    <w:rsid w:val="004F634E"/>
    <w:rsid w:val="00557849"/>
    <w:rsid w:val="005F4D63"/>
    <w:rsid w:val="006064A3"/>
    <w:rsid w:val="0062680A"/>
    <w:rsid w:val="00631DCF"/>
    <w:rsid w:val="00637642"/>
    <w:rsid w:val="00686527"/>
    <w:rsid w:val="006B462B"/>
    <w:rsid w:val="006B69BF"/>
    <w:rsid w:val="0071485C"/>
    <w:rsid w:val="0072578D"/>
    <w:rsid w:val="00765D16"/>
    <w:rsid w:val="00794403"/>
    <w:rsid w:val="007A6459"/>
    <w:rsid w:val="007E1313"/>
    <w:rsid w:val="00811044"/>
    <w:rsid w:val="00814E39"/>
    <w:rsid w:val="00841D8A"/>
    <w:rsid w:val="00852D22"/>
    <w:rsid w:val="00860B20"/>
    <w:rsid w:val="00863621"/>
    <w:rsid w:val="00873942"/>
    <w:rsid w:val="00895992"/>
    <w:rsid w:val="008A5824"/>
    <w:rsid w:val="008B699F"/>
    <w:rsid w:val="008D4F05"/>
    <w:rsid w:val="00926089"/>
    <w:rsid w:val="00951B7D"/>
    <w:rsid w:val="00975AA6"/>
    <w:rsid w:val="009833D5"/>
    <w:rsid w:val="00A00CB9"/>
    <w:rsid w:val="00A06660"/>
    <w:rsid w:val="00A32C9F"/>
    <w:rsid w:val="00A86ECF"/>
    <w:rsid w:val="00AC7ED0"/>
    <w:rsid w:val="00AD4A99"/>
    <w:rsid w:val="00B32719"/>
    <w:rsid w:val="00B41CAF"/>
    <w:rsid w:val="00BD0F13"/>
    <w:rsid w:val="00C04F45"/>
    <w:rsid w:val="00C12CCF"/>
    <w:rsid w:val="00C30374"/>
    <w:rsid w:val="00C32594"/>
    <w:rsid w:val="00C4392F"/>
    <w:rsid w:val="00CA2367"/>
    <w:rsid w:val="00CA25AA"/>
    <w:rsid w:val="00CE5296"/>
    <w:rsid w:val="00CF645C"/>
    <w:rsid w:val="00D06D8E"/>
    <w:rsid w:val="00D155EB"/>
    <w:rsid w:val="00D657AD"/>
    <w:rsid w:val="00D91EAD"/>
    <w:rsid w:val="00E361F4"/>
    <w:rsid w:val="00E43F14"/>
    <w:rsid w:val="00E6136F"/>
    <w:rsid w:val="00ED3FD6"/>
    <w:rsid w:val="00ED7A83"/>
    <w:rsid w:val="00F309CF"/>
    <w:rsid w:val="00F7203D"/>
    <w:rsid w:val="00FA141A"/>
    <w:rsid w:val="00FB4CD7"/>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07BE624"/>
  <w15:docId w15:val="{387A32E5-722D-4980-A03E-186DF8A26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character" w:styleId="Refdecomentrio">
    <w:name w:val="annotation reference"/>
    <w:basedOn w:val="Fontepargpadro"/>
    <w:uiPriority w:val="99"/>
    <w:semiHidden/>
    <w:unhideWhenUsed/>
    <w:rsid w:val="00397E6A"/>
    <w:rPr>
      <w:sz w:val="16"/>
      <w:szCs w:val="16"/>
    </w:rPr>
  </w:style>
  <w:style w:type="paragraph" w:styleId="Textodecomentrio">
    <w:name w:val="annotation text"/>
    <w:basedOn w:val="Normal"/>
    <w:link w:val="TextodecomentrioChar"/>
    <w:uiPriority w:val="99"/>
    <w:semiHidden/>
    <w:unhideWhenUsed/>
    <w:rsid w:val="00397E6A"/>
  </w:style>
  <w:style w:type="character" w:customStyle="1" w:styleId="TextodecomentrioChar">
    <w:name w:val="Texto de comentário Char"/>
    <w:basedOn w:val="Fontepargpadro"/>
    <w:link w:val="Textodecomentrio"/>
    <w:uiPriority w:val="99"/>
    <w:semiHidden/>
    <w:rsid w:val="00397E6A"/>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397E6A"/>
    <w:rPr>
      <w:b/>
      <w:bCs/>
    </w:rPr>
  </w:style>
  <w:style w:type="character" w:customStyle="1" w:styleId="AssuntodocomentrioChar">
    <w:name w:val="Assunto do comentário Char"/>
    <w:basedOn w:val="TextodecomentrioChar"/>
    <w:link w:val="Assuntodocomentrio"/>
    <w:uiPriority w:val="99"/>
    <w:semiHidden/>
    <w:rsid w:val="00397E6A"/>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Auditoria" TargetMode="External"/><Relationship Id="rId13" Type="http://schemas.openxmlformats.org/officeDocument/2006/relationships/hyperlink" Target="http://www2.cfc.org.br/sisweb/sre/detalhes_sre.aspx?codigo=2009/00120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ortaldecontabilidade.com.br/nbc/t11.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frsbrasil.wordpress.com/category/beneficios-aos-empregados/" TargetMode="External"/><Relationship Id="rId5" Type="http://schemas.openxmlformats.org/officeDocument/2006/relationships/webSettings" Target="webSettings.xml"/><Relationship Id="rId15" Type="http://schemas.openxmlformats.org/officeDocument/2006/relationships/hyperlink" Target="http://www2.cfc.org.br/sisw%20eb/sre/detalhes_sre.aspx?codigo=2009/001233" TargetMode="External"/><Relationship Id="rId23" Type="http://schemas.microsoft.com/office/2016/09/relationships/commentsIds" Target="commentsIds.xml"/><Relationship Id="rId10" Type="http://schemas.openxmlformats.org/officeDocument/2006/relationships/hyperlink" Target="http://ifrsbrasil.wordpress.com/category/beneficios-aos-empregado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t.wikipedia.org/wiki/Consultoria" TargetMode="External"/><Relationship Id="rId14" Type="http://schemas.openxmlformats.org/officeDocument/2006/relationships/hyperlink" Target="http://www2.cfc.org.br/sisweb/ser%20/detalhes_sre.aspx?Codigo=2016/NBCTA70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DAEA3-C449-48ED-8895-0D0F8A5A6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17</Pages>
  <Words>8318</Words>
  <Characters>44918</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2018-04-27T20:55:00Z</dcterms:created>
  <dcterms:modified xsi:type="dcterms:W3CDTF">2018-05-06T21:32:00Z</dcterms:modified>
</cp:coreProperties>
</file>