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7D" w:rsidRDefault="0036377D" w:rsidP="0036377D">
      <w:pPr>
        <w:jc w:val="center"/>
        <w:rPr>
          <w:b/>
          <w:sz w:val="24"/>
        </w:rPr>
      </w:pPr>
    </w:p>
    <w:p w:rsidR="000F1E1F" w:rsidRDefault="000F1E1F" w:rsidP="000F1E1F">
      <w:pPr>
        <w:ind w:firstLine="709"/>
        <w:jc w:val="center"/>
        <w:rPr>
          <w:b/>
          <w:sz w:val="24"/>
          <w:szCs w:val="24"/>
        </w:rPr>
      </w:pPr>
      <w:r>
        <w:rPr>
          <w:b/>
          <w:sz w:val="24"/>
          <w:szCs w:val="24"/>
        </w:rPr>
        <w:t xml:space="preserve">Sistema de Incentivos dos Administradores e Comportamento Assimétrico dos Custos: Uma Análise das Empresas Listadas na B3. </w:t>
      </w:r>
    </w:p>
    <w:p w:rsidR="0036377D" w:rsidRDefault="0036377D" w:rsidP="0036377D">
      <w:pPr>
        <w:jc w:val="center"/>
        <w:rPr>
          <w:color w:val="999999"/>
        </w:rPr>
      </w:pP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 xml:space="preserve">Manoel Júnior Ludwig </w:t>
      </w: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 xml:space="preserve">Universidade Federal de Santa Catarina (UFSC) </w:t>
      </w: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E-mail: manoel_ludwig@hotmail.com</w:t>
      </w:r>
    </w:p>
    <w:p w:rsidR="000F1E1F" w:rsidRPr="000F1E1F" w:rsidRDefault="000F1E1F" w:rsidP="000F1E1F">
      <w:pPr>
        <w:autoSpaceDE w:val="0"/>
        <w:autoSpaceDN w:val="0"/>
        <w:adjustRightInd w:val="0"/>
        <w:ind w:firstLine="709"/>
        <w:jc w:val="right"/>
        <w:rPr>
          <w:b/>
          <w:bCs/>
          <w:color w:val="000000"/>
          <w:sz w:val="24"/>
          <w:szCs w:val="24"/>
        </w:rPr>
      </w:pPr>
    </w:p>
    <w:p w:rsidR="000F1E1F" w:rsidRPr="000F1E1F" w:rsidRDefault="000F1E1F" w:rsidP="000F1E1F">
      <w:pPr>
        <w:autoSpaceDE w:val="0"/>
        <w:autoSpaceDN w:val="0"/>
        <w:adjustRightInd w:val="0"/>
        <w:ind w:firstLine="709"/>
        <w:jc w:val="right"/>
        <w:rPr>
          <w:b/>
          <w:bCs/>
          <w:color w:val="000000"/>
          <w:sz w:val="24"/>
          <w:szCs w:val="24"/>
        </w:rPr>
      </w:pPr>
      <w:r w:rsidRPr="000F1E1F">
        <w:rPr>
          <w:b/>
          <w:bCs/>
          <w:color w:val="000000"/>
          <w:sz w:val="24"/>
          <w:szCs w:val="24"/>
        </w:rPr>
        <w:t>Luiza Santangelo Reis</w:t>
      </w:r>
    </w:p>
    <w:p w:rsidR="000F1E1F" w:rsidRPr="000F1E1F" w:rsidRDefault="000F1E1F" w:rsidP="000F1E1F">
      <w:pPr>
        <w:autoSpaceDE w:val="0"/>
        <w:autoSpaceDN w:val="0"/>
        <w:adjustRightInd w:val="0"/>
        <w:ind w:firstLine="709"/>
        <w:jc w:val="right"/>
        <w:rPr>
          <w:b/>
          <w:bCs/>
          <w:color w:val="000000"/>
          <w:sz w:val="24"/>
          <w:szCs w:val="24"/>
        </w:rPr>
      </w:pPr>
      <w:r w:rsidRPr="000F1E1F">
        <w:rPr>
          <w:b/>
          <w:bCs/>
          <w:color w:val="000000"/>
          <w:sz w:val="24"/>
          <w:szCs w:val="24"/>
        </w:rPr>
        <w:t>Universidade Federal de Santa Catarina (UFSC)</w:t>
      </w:r>
    </w:p>
    <w:p w:rsidR="000F1E1F" w:rsidRPr="000F1E1F" w:rsidRDefault="000F1E1F" w:rsidP="000F1E1F">
      <w:pPr>
        <w:autoSpaceDE w:val="0"/>
        <w:autoSpaceDN w:val="0"/>
        <w:adjustRightInd w:val="0"/>
        <w:ind w:firstLine="709"/>
        <w:jc w:val="right"/>
        <w:rPr>
          <w:b/>
          <w:bCs/>
          <w:color w:val="000000"/>
          <w:sz w:val="24"/>
          <w:szCs w:val="24"/>
        </w:rPr>
      </w:pPr>
      <w:r w:rsidRPr="000F1E1F">
        <w:rPr>
          <w:b/>
          <w:bCs/>
          <w:color w:val="000000"/>
          <w:sz w:val="24"/>
          <w:szCs w:val="24"/>
        </w:rPr>
        <w:t xml:space="preserve">E-mail: luizasantangeloreis@hotmail.com </w:t>
      </w:r>
    </w:p>
    <w:p w:rsidR="000F1E1F" w:rsidRPr="000F1E1F" w:rsidRDefault="000F1E1F" w:rsidP="000F1E1F">
      <w:pPr>
        <w:autoSpaceDE w:val="0"/>
        <w:autoSpaceDN w:val="0"/>
        <w:adjustRightInd w:val="0"/>
        <w:ind w:firstLine="709"/>
        <w:jc w:val="right"/>
        <w:rPr>
          <w:b/>
          <w:bCs/>
          <w:color w:val="000000"/>
          <w:sz w:val="24"/>
          <w:szCs w:val="24"/>
        </w:rPr>
      </w:pP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Altair Borgert</w:t>
      </w:r>
    </w:p>
    <w:p w:rsidR="000F1E1F" w:rsidRPr="000F1E1F" w:rsidRDefault="000F1E1F" w:rsidP="000F1E1F">
      <w:pPr>
        <w:autoSpaceDE w:val="0"/>
        <w:autoSpaceDN w:val="0"/>
        <w:adjustRightInd w:val="0"/>
        <w:ind w:firstLine="709"/>
        <w:jc w:val="right"/>
        <w:rPr>
          <w:b/>
          <w:bCs/>
          <w:color w:val="000000"/>
          <w:sz w:val="24"/>
          <w:szCs w:val="24"/>
        </w:rPr>
      </w:pPr>
      <w:r w:rsidRPr="000F1E1F">
        <w:rPr>
          <w:b/>
          <w:bCs/>
          <w:color w:val="000000"/>
          <w:sz w:val="24"/>
          <w:szCs w:val="24"/>
        </w:rPr>
        <w:t>Universidade Federal de Santa Catarina (UFSC)</w:t>
      </w:r>
    </w:p>
    <w:p w:rsidR="000F1E1F" w:rsidRPr="000F1E1F" w:rsidRDefault="000F1E1F" w:rsidP="000F1E1F">
      <w:pPr>
        <w:autoSpaceDE w:val="0"/>
        <w:autoSpaceDN w:val="0"/>
        <w:adjustRightInd w:val="0"/>
        <w:ind w:firstLine="709"/>
        <w:jc w:val="right"/>
        <w:rPr>
          <w:b/>
          <w:bCs/>
          <w:color w:val="000000"/>
          <w:sz w:val="24"/>
          <w:szCs w:val="24"/>
        </w:rPr>
      </w:pPr>
      <w:r w:rsidRPr="000F1E1F">
        <w:rPr>
          <w:b/>
          <w:bCs/>
          <w:color w:val="000000"/>
          <w:sz w:val="24"/>
          <w:szCs w:val="24"/>
        </w:rPr>
        <w:t>E-mail: altair@borgert.com.br</w:t>
      </w: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 xml:space="preserve"> </w:t>
      </w:r>
    </w:p>
    <w:p w:rsidR="000F1E1F" w:rsidRPr="000F1E1F" w:rsidRDefault="000F1E1F" w:rsidP="000F1E1F">
      <w:pPr>
        <w:autoSpaceDE w:val="0"/>
        <w:autoSpaceDN w:val="0"/>
        <w:adjustRightInd w:val="0"/>
        <w:ind w:firstLine="709"/>
        <w:jc w:val="right"/>
        <w:rPr>
          <w:b/>
          <w:color w:val="000000"/>
          <w:sz w:val="24"/>
          <w:szCs w:val="24"/>
        </w:rPr>
      </w:pPr>
      <w:r w:rsidRPr="000F1E1F">
        <w:rPr>
          <w:b/>
          <w:bCs/>
          <w:color w:val="000000"/>
          <w:sz w:val="24"/>
          <w:szCs w:val="24"/>
        </w:rPr>
        <w:t xml:space="preserve">Rogério </w:t>
      </w:r>
      <w:r>
        <w:rPr>
          <w:b/>
          <w:bCs/>
          <w:color w:val="000000"/>
          <w:sz w:val="24"/>
          <w:szCs w:val="24"/>
        </w:rPr>
        <w:t xml:space="preserve">João </w:t>
      </w:r>
      <w:r w:rsidRPr="000F1E1F">
        <w:rPr>
          <w:b/>
          <w:bCs/>
          <w:color w:val="000000"/>
          <w:sz w:val="24"/>
          <w:szCs w:val="24"/>
        </w:rPr>
        <w:t>Lunkes</w:t>
      </w:r>
    </w:p>
    <w:p w:rsidR="000F1E1F" w:rsidRPr="000F1E1F" w:rsidRDefault="000F1E1F" w:rsidP="000F1E1F">
      <w:pPr>
        <w:ind w:firstLine="709"/>
        <w:jc w:val="right"/>
        <w:rPr>
          <w:b/>
          <w:bCs/>
          <w:color w:val="000000"/>
          <w:sz w:val="24"/>
          <w:szCs w:val="24"/>
        </w:rPr>
      </w:pPr>
      <w:r w:rsidRPr="000F1E1F">
        <w:rPr>
          <w:b/>
          <w:bCs/>
          <w:color w:val="000000"/>
          <w:sz w:val="24"/>
          <w:szCs w:val="24"/>
        </w:rPr>
        <w:t>Universidade Federal de Santa Catarina</w:t>
      </w:r>
      <w:r>
        <w:rPr>
          <w:b/>
          <w:bCs/>
          <w:color w:val="000000"/>
          <w:sz w:val="24"/>
          <w:szCs w:val="24"/>
        </w:rPr>
        <w:t xml:space="preserve"> (UFSC)</w:t>
      </w:r>
    </w:p>
    <w:p w:rsidR="000F1E1F" w:rsidRPr="000F1E1F" w:rsidRDefault="000F1E1F" w:rsidP="000F1E1F">
      <w:pPr>
        <w:ind w:firstLine="709"/>
        <w:jc w:val="right"/>
        <w:rPr>
          <w:b/>
          <w:sz w:val="24"/>
          <w:szCs w:val="24"/>
        </w:rPr>
      </w:pPr>
      <w:r w:rsidRPr="000F1E1F">
        <w:rPr>
          <w:b/>
          <w:bCs/>
          <w:color w:val="000000"/>
          <w:sz w:val="24"/>
          <w:szCs w:val="24"/>
        </w:rPr>
        <w:t>E-mail: rogerio.lunkes@ufsc.br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0F1E1F" w:rsidRDefault="000F1E1F" w:rsidP="000F1E1F">
      <w:pPr>
        <w:jc w:val="both"/>
        <w:rPr>
          <w:sz w:val="24"/>
          <w:szCs w:val="24"/>
        </w:rPr>
      </w:pPr>
      <w:r>
        <w:rPr>
          <w:sz w:val="24"/>
          <w:szCs w:val="24"/>
        </w:rPr>
        <w:t xml:space="preserve">O objetivo da pesquisa é verificar se o sistema de incentivo baseado em remuneração variável implica em assimetria dos custos. Há divergência na literatura sobre o efeito de um sistema de incentivo na assimetria de custos. Autores como </w:t>
      </w:r>
      <w:r w:rsidRPr="0094454D">
        <w:rPr>
          <w:sz w:val="24"/>
          <w:szCs w:val="24"/>
        </w:rPr>
        <w:t>Diery</w:t>
      </w:r>
      <w:r>
        <w:rPr>
          <w:sz w:val="24"/>
          <w:szCs w:val="24"/>
        </w:rPr>
        <w:t>nck, Landsman e Renders (2012) e</w:t>
      </w:r>
      <w:r w:rsidRPr="0094454D">
        <w:rPr>
          <w:sz w:val="24"/>
          <w:szCs w:val="24"/>
        </w:rPr>
        <w:t xml:space="preserve"> Kama e Weiss (2013)</w:t>
      </w:r>
      <w:r>
        <w:rPr>
          <w:sz w:val="24"/>
          <w:szCs w:val="24"/>
        </w:rPr>
        <w:t xml:space="preserve"> defendem que há redução da assimetria frente </w:t>
      </w:r>
      <w:r w:rsidR="005208CE">
        <w:rPr>
          <w:sz w:val="24"/>
          <w:szCs w:val="24"/>
        </w:rPr>
        <w:t>a</w:t>
      </w:r>
      <w:r>
        <w:rPr>
          <w:sz w:val="24"/>
          <w:szCs w:val="24"/>
        </w:rPr>
        <w:t xml:space="preserve"> um sistema de incentivo. Por outro lado, autores como </w:t>
      </w:r>
      <w:r w:rsidRPr="00467457">
        <w:rPr>
          <w:sz w:val="24"/>
          <w:szCs w:val="24"/>
        </w:rPr>
        <w:t>Chen, Lu e Sougiannis (2012)</w:t>
      </w:r>
      <w:r>
        <w:rPr>
          <w:sz w:val="24"/>
          <w:szCs w:val="24"/>
        </w:rPr>
        <w:t xml:space="preserve">, </w:t>
      </w:r>
      <w:r w:rsidR="005208CE">
        <w:rPr>
          <w:sz w:val="24"/>
          <w:szCs w:val="24"/>
        </w:rPr>
        <w:t xml:space="preserve">Xi, </w:t>
      </w:r>
      <w:r w:rsidR="005208CE" w:rsidRPr="005208CE">
        <w:rPr>
          <w:sz w:val="24"/>
          <w:szCs w:val="24"/>
        </w:rPr>
        <w:t>L</w:t>
      </w:r>
      <w:r w:rsidR="005208CE">
        <w:rPr>
          <w:sz w:val="24"/>
          <w:szCs w:val="24"/>
        </w:rPr>
        <w:t xml:space="preserve">iu, Wang e Liang (2013) </w:t>
      </w:r>
      <w:r>
        <w:rPr>
          <w:sz w:val="24"/>
          <w:szCs w:val="24"/>
        </w:rPr>
        <w:t xml:space="preserve">e </w:t>
      </w:r>
      <w:r w:rsidRPr="00467457">
        <w:rPr>
          <w:sz w:val="24"/>
          <w:szCs w:val="24"/>
        </w:rPr>
        <w:t>Liang (2013)</w:t>
      </w:r>
      <w:r>
        <w:rPr>
          <w:sz w:val="24"/>
          <w:szCs w:val="24"/>
        </w:rPr>
        <w:t xml:space="preserve"> acreditam que um sistema de incentivo está associado positivamente ao aumento da assimetria de custos. Para calcular a assimetria dos custos utilizou-se o modelo de Anderson, Banker e Janakir</w:t>
      </w:r>
      <w:r w:rsidR="005208CE">
        <w:rPr>
          <w:sz w:val="24"/>
          <w:szCs w:val="24"/>
        </w:rPr>
        <w:t xml:space="preserve">aman (2003) e Richartz (2016), onde </w:t>
      </w:r>
      <w:r>
        <w:rPr>
          <w:sz w:val="24"/>
          <w:szCs w:val="24"/>
        </w:rPr>
        <w:t xml:space="preserve">considerou-se como </w:t>
      </w:r>
      <w:r w:rsidRPr="000B49CA">
        <w:rPr>
          <w:i/>
          <w:sz w:val="24"/>
          <w:szCs w:val="24"/>
        </w:rPr>
        <w:t>proxy</w:t>
      </w:r>
      <w:r>
        <w:rPr>
          <w:sz w:val="24"/>
          <w:szCs w:val="24"/>
        </w:rPr>
        <w:t xml:space="preserve"> para o sistema de incentivos o tipo de remuneração (fixa ou variável) e a sua magnitude. Foi utilizado o modelo de regressão de dados em painel para as 1.465 observações das empresas listadas na B3 entre os anos de 2010 a 2016. Os principais resultados indicam que quase 74,6% das empresas remuneram variavelmente os executivos da Diretoria Estatutária e que ela representa em média 28,8% do total da remuneração. Tanto para o grupo que não possuí remuneração variável como para o grupo de alta remuneração variável, a assimetria apresentou comportamento </w:t>
      </w:r>
      <w:r w:rsidRPr="0097100D">
        <w:rPr>
          <w:i/>
          <w:sz w:val="24"/>
          <w:szCs w:val="24"/>
        </w:rPr>
        <w:t>stick costs</w:t>
      </w:r>
      <w:r>
        <w:rPr>
          <w:i/>
          <w:sz w:val="24"/>
          <w:szCs w:val="24"/>
        </w:rPr>
        <w:t xml:space="preserve">, </w:t>
      </w:r>
      <w:r w:rsidRPr="0097100D">
        <w:rPr>
          <w:sz w:val="24"/>
          <w:szCs w:val="24"/>
        </w:rPr>
        <w:t>porém,</w:t>
      </w:r>
      <w:r>
        <w:rPr>
          <w:sz w:val="24"/>
          <w:szCs w:val="24"/>
        </w:rPr>
        <w:t xml:space="preserve"> em magnitudes diferentes: 0,1966% e 0,3642%, respectivamente.</w:t>
      </w:r>
      <w:r>
        <w:rPr>
          <w:i/>
          <w:sz w:val="24"/>
          <w:szCs w:val="24"/>
        </w:rPr>
        <w:t xml:space="preserve"> </w:t>
      </w:r>
      <w:r>
        <w:rPr>
          <w:sz w:val="24"/>
          <w:szCs w:val="24"/>
        </w:rPr>
        <w:t>Por fim, os resultados sugerem que uma alta remuneração variável no Brasil provoca um efeito de pensamento a longo prazo nos gestores, fato que implica em reduções menos acintosas dos custos, quando decréscimos na receita.</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0F1E1F">
        <w:rPr>
          <w:sz w:val="24"/>
          <w:szCs w:val="24"/>
        </w:rPr>
        <w:t xml:space="preserve">Comportamento Assimétrico; Assimetria de Custos; </w:t>
      </w:r>
      <w:r w:rsidR="000F1E1F" w:rsidRPr="00E43727">
        <w:rPr>
          <w:i/>
          <w:sz w:val="24"/>
          <w:szCs w:val="24"/>
        </w:rPr>
        <w:t>Stick Costs</w:t>
      </w:r>
      <w:r w:rsidR="000F1E1F">
        <w:rPr>
          <w:sz w:val="24"/>
          <w:szCs w:val="24"/>
        </w:rPr>
        <w:t>; Sistema de Incentivos; Remuneração Variável.</w:t>
      </w:r>
    </w:p>
    <w:p w:rsidR="0036377D" w:rsidRDefault="0036377D" w:rsidP="00067126">
      <w:pPr>
        <w:widowControl w:val="0"/>
        <w:rPr>
          <w:sz w:val="24"/>
          <w:szCs w:val="24"/>
        </w:rPr>
      </w:pPr>
    </w:p>
    <w:p w:rsidR="0036377D" w:rsidRDefault="0036377D" w:rsidP="00067126">
      <w:pPr>
        <w:widowControl w:val="0"/>
        <w:rPr>
          <w:sz w:val="24"/>
          <w:szCs w:val="24"/>
        </w:rPr>
      </w:pPr>
      <w:r>
        <w:rPr>
          <w:b/>
          <w:sz w:val="24"/>
          <w:szCs w:val="24"/>
        </w:rPr>
        <w:t xml:space="preserve">Linha Temática: </w:t>
      </w:r>
      <w:r w:rsidR="000F1E1F" w:rsidRPr="000F1E1F">
        <w:rPr>
          <w:sz w:val="24"/>
          <w:szCs w:val="24"/>
        </w:rPr>
        <w:t>Contabilidade Gerencial.</w:t>
      </w:r>
    </w:p>
    <w:p w:rsidR="000F1E1F" w:rsidRDefault="000F1E1F" w:rsidP="00067126">
      <w:pPr>
        <w:widowControl w:val="0"/>
        <w:rPr>
          <w:sz w:val="24"/>
          <w:szCs w:val="24"/>
        </w:rPr>
      </w:pPr>
    </w:p>
    <w:p w:rsidR="000F1E1F" w:rsidRDefault="000F1E1F" w:rsidP="00067126">
      <w:pPr>
        <w:widowControl w:val="0"/>
        <w:rPr>
          <w:sz w:val="24"/>
          <w:szCs w:val="24"/>
        </w:rPr>
      </w:pPr>
    </w:p>
    <w:p w:rsidR="000F1E1F" w:rsidRPr="00FA07B3" w:rsidRDefault="000F1E1F" w:rsidP="000F1E1F">
      <w:pPr>
        <w:pStyle w:val="PargrafodaLista"/>
        <w:ind w:left="0"/>
        <w:jc w:val="both"/>
        <w:rPr>
          <w:b/>
          <w:sz w:val="24"/>
          <w:szCs w:val="24"/>
        </w:rPr>
      </w:pPr>
      <w:r>
        <w:rPr>
          <w:b/>
          <w:sz w:val="24"/>
          <w:szCs w:val="24"/>
        </w:rPr>
        <w:lastRenderedPageBreak/>
        <w:t xml:space="preserve">1 </w:t>
      </w:r>
      <w:r w:rsidRPr="00B1395E">
        <w:rPr>
          <w:b/>
          <w:sz w:val="24"/>
          <w:szCs w:val="24"/>
        </w:rPr>
        <w:t>INTRODUÇÃO</w:t>
      </w:r>
    </w:p>
    <w:p w:rsidR="000F1E1F" w:rsidRDefault="000F1E1F" w:rsidP="000F1E1F">
      <w:pPr>
        <w:ind w:firstLine="709"/>
        <w:jc w:val="both"/>
        <w:rPr>
          <w:sz w:val="24"/>
          <w:szCs w:val="24"/>
        </w:rPr>
      </w:pPr>
      <w:r>
        <w:rPr>
          <w:sz w:val="24"/>
          <w:szCs w:val="24"/>
        </w:rPr>
        <w:t>A área de contabilidade</w:t>
      </w:r>
      <w:r w:rsidR="005208CE">
        <w:rPr>
          <w:sz w:val="24"/>
          <w:szCs w:val="24"/>
        </w:rPr>
        <w:t xml:space="preserve"> </w:t>
      </w:r>
      <w:r>
        <w:rPr>
          <w:sz w:val="24"/>
          <w:szCs w:val="24"/>
        </w:rPr>
        <w:t>focada em estudar o comportamento</w:t>
      </w:r>
      <w:r w:rsidR="005208CE">
        <w:rPr>
          <w:sz w:val="24"/>
          <w:szCs w:val="24"/>
        </w:rPr>
        <w:t xml:space="preserve"> dos custos</w:t>
      </w:r>
      <w:r>
        <w:rPr>
          <w:sz w:val="24"/>
          <w:szCs w:val="24"/>
        </w:rPr>
        <w:t xml:space="preserve"> esteve pautada tradicionalmente, por muitos anos, no pressuposto básico de que há relação simétrica entre os custos e o volume de atividades, independentemente se ocorresse uma variação positiva ou negativa (Anderson, Banker &amp; Janakiraman, 2003, Richartz &amp; Borgert, 2014).</w:t>
      </w:r>
    </w:p>
    <w:p w:rsidR="000F1E1F" w:rsidRDefault="000F1E1F" w:rsidP="000F1E1F">
      <w:pPr>
        <w:ind w:firstLine="709"/>
        <w:jc w:val="both"/>
        <w:rPr>
          <w:sz w:val="24"/>
          <w:szCs w:val="24"/>
        </w:rPr>
      </w:pPr>
      <w:r>
        <w:rPr>
          <w:sz w:val="24"/>
          <w:szCs w:val="24"/>
        </w:rPr>
        <w:t xml:space="preserve">Esse pressuposto é parte integrante do modelo tradicional de comportamento de custos (Richartz, 2016). Porém, nos últimos anos, o foco da pesquisa gerencial, relacionada à área comportamental, voltou-se para o estudo de um possível descompasso entre as variações, ou seja, uma relação assimétrica. </w:t>
      </w:r>
    </w:p>
    <w:p w:rsidR="000F1E1F" w:rsidRDefault="000F1E1F" w:rsidP="000F1E1F">
      <w:pPr>
        <w:ind w:firstLine="709"/>
        <w:jc w:val="both"/>
        <w:rPr>
          <w:sz w:val="24"/>
          <w:szCs w:val="24"/>
        </w:rPr>
      </w:pPr>
      <w:r>
        <w:rPr>
          <w:sz w:val="24"/>
          <w:szCs w:val="24"/>
        </w:rPr>
        <w:t xml:space="preserve">O estudo de Noreen e Soderstrom (1997) foi um dos precursores na investigação sobre a temática da assimetria de custos, entretanto, não encontraram comprovação sobre tal. Mais adiante, Anderson </w:t>
      </w:r>
      <w:r w:rsidRPr="00974CFF">
        <w:rPr>
          <w:sz w:val="24"/>
          <w:szCs w:val="24"/>
        </w:rPr>
        <w:t>et al.</w:t>
      </w:r>
      <w:r>
        <w:rPr>
          <w:sz w:val="24"/>
          <w:szCs w:val="24"/>
        </w:rPr>
        <w:t xml:space="preserve"> (2003) evidenciaram, por meio de um estudo longitudinal de 20 anos, que os custos não variam na mesma proporção da receita e que um aumento na receita provoca um aumento superior nos custos se comparados a sua redução perante um decréscimo na receita.</w:t>
      </w:r>
    </w:p>
    <w:p w:rsidR="000F1E1F" w:rsidRDefault="000F1E1F" w:rsidP="000F1E1F">
      <w:pPr>
        <w:pStyle w:val="Default"/>
        <w:spacing w:after="0"/>
        <w:ind w:firstLine="709"/>
        <w:jc w:val="both"/>
      </w:pPr>
      <w:r>
        <w:t xml:space="preserve">Tal inferência deu origem à área de estudos denominada </w:t>
      </w:r>
      <w:r w:rsidRPr="00731684">
        <w:rPr>
          <w:i/>
        </w:rPr>
        <w:t>Stick Costs</w:t>
      </w:r>
      <w:r>
        <w:rPr>
          <w:i/>
        </w:rPr>
        <w:t xml:space="preserve">. </w:t>
      </w:r>
      <w:r>
        <w:t xml:space="preserve">O avanço da literatura, em termos nacionais, se deu com estudos quantitativos que visavam reconhecer a evidência da assimetria como, por exemplo, o estudo seminal de Medeiros, Costa e Silva (2005) e de Richartz (2013). Em termos internacionais, a pesquisa, além da questão da evidência, também avançou para a questão da explicação do </w:t>
      </w:r>
      <w:r w:rsidR="005208CE">
        <w:t>porquê</w:t>
      </w:r>
      <w:r>
        <w:t xml:space="preserve"> ocorre a assimetria. São fatores explicativos</w:t>
      </w:r>
      <w:r w:rsidR="005208CE">
        <w:t>, por exemplo,</w:t>
      </w:r>
      <w:r>
        <w:t xml:space="preserve"> a estrutura de custos da empresa (Balakrishnan, Petersen &amp; Soderstrom, 2004); decisões deliberadas dos gestores (Malik, 2012) e a regulamentação do mercado (Kremer, 2015).</w:t>
      </w:r>
    </w:p>
    <w:p w:rsidR="000F1E1F" w:rsidRDefault="000F1E1F" w:rsidP="000F1E1F">
      <w:pPr>
        <w:pStyle w:val="Default"/>
        <w:spacing w:after="0"/>
        <w:ind w:firstLine="709"/>
        <w:jc w:val="both"/>
      </w:pPr>
      <w:r>
        <w:t xml:space="preserve">Dessa forma, além dos fatores relacionados e com poder explicativo para justificar a assimetria de custos, segundo Kama e Weiss (2013), o comportamento também pode sofrer influência de modificações intencionais dos administradores. Assim, observa-se uma interação entre os sistemas de incentivos e as decisões dos gestores influenciadas por este, que podem impactar na assimetria dos custos. </w:t>
      </w:r>
      <w:r w:rsidRPr="00FF4225">
        <w:t xml:space="preserve">Logo, o impacto na assimetria será distinto frente às </w:t>
      </w:r>
      <w:r>
        <w:t>possíveis</w:t>
      </w:r>
      <w:r w:rsidRPr="00FF4225">
        <w:t xml:space="preserve"> motivações dos gestores ocasionadas pelos sistemas de incentivos recebidos.</w:t>
      </w:r>
      <w:r>
        <w:t xml:space="preserve"> </w:t>
      </w:r>
    </w:p>
    <w:p w:rsidR="000F1E1F" w:rsidRDefault="000F1E1F" w:rsidP="000F1E1F">
      <w:pPr>
        <w:pStyle w:val="Default"/>
        <w:spacing w:after="0"/>
        <w:ind w:firstLine="709"/>
        <w:jc w:val="both"/>
      </w:pPr>
      <w:r>
        <w:t xml:space="preserve">Nesse sentido, os gestores que recebem fortes incentivos, como pagamento de bônus, por alcançar as metas de lucros ou evitar perdas, estão mais propensos a reduzir os custos quando as vendas decrescem e a limitar o aumento dos custos quando as vendas aumentam, fato que ocasiona redução do comportamento assimétrico (Dierynck, Landsman &amp; Renders, 2012). Porém, quando os gestores recebem incentivos para a construção de </w:t>
      </w:r>
      <w:r w:rsidRPr="002A612C">
        <w:t>impérios</w:t>
      </w:r>
      <w:r>
        <w:t>, o comportamento é inverso, uma vez que não enxergam benefícios no desinvestimento organizacional, fato que provoca aumento no comportamento assimétrico por não reduzir na mesma intensidade os recursos com a queda na demanda (</w:t>
      </w:r>
      <w:r>
        <w:rPr>
          <w:rFonts w:eastAsia="Times New Roman" w:cs="Calibri"/>
        </w:rPr>
        <w:t>Chen, Lu &amp; Sougiannis, 2012).</w:t>
      </w:r>
    </w:p>
    <w:p w:rsidR="000F1E1F" w:rsidRDefault="000F1E1F" w:rsidP="000F1E1F">
      <w:pPr>
        <w:pStyle w:val="Default"/>
        <w:spacing w:after="0"/>
        <w:ind w:firstLine="709"/>
        <w:jc w:val="both"/>
      </w:pPr>
      <w:r>
        <w:t>O estudo de Xi</w:t>
      </w:r>
      <w:r w:rsidRPr="00727E8E">
        <w:t>, L</w:t>
      </w:r>
      <w:r>
        <w:t>iu</w:t>
      </w:r>
      <w:r w:rsidRPr="00727E8E">
        <w:t>,</w:t>
      </w:r>
      <w:r>
        <w:t xml:space="preserve"> Wang e Liang</w:t>
      </w:r>
      <w:r w:rsidRPr="00727E8E">
        <w:t xml:space="preserve"> (2013</w:t>
      </w:r>
      <w:r>
        <w:t xml:space="preserve">) argumenta que o comportamento e expectativas dos gestores sobre a realidade impactam os custos, pois estes refletem a situação da tomada de decisão empresarial e concluiu-se, que nas empresas chinesas, as decisões dos gestores, que recebem incentivos, impactam na assimetria dos custos. Liang (2013) acrescenta que os incentivos recebidos estão positivamente associados à ocorrência de </w:t>
      </w:r>
      <w:r>
        <w:rPr>
          <w:i/>
        </w:rPr>
        <w:t>S</w:t>
      </w:r>
      <w:r w:rsidRPr="00423D2C">
        <w:rPr>
          <w:i/>
        </w:rPr>
        <w:t xml:space="preserve">tick </w:t>
      </w:r>
      <w:r>
        <w:rPr>
          <w:i/>
        </w:rPr>
        <w:t>C</w:t>
      </w:r>
      <w:r w:rsidRPr="00423D2C">
        <w:rPr>
          <w:i/>
        </w:rPr>
        <w:t>ost</w:t>
      </w:r>
      <w:r>
        <w:rPr>
          <w:i/>
        </w:rPr>
        <w:t>s</w:t>
      </w:r>
      <w:r>
        <w:t xml:space="preserve">.  </w:t>
      </w:r>
    </w:p>
    <w:p w:rsidR="000F1E1F" w:rsidRDefault="000F1E1F" w:rsidP="000F1E1F">
      <w:pPr>
        <w:ind w:firstLine="709"/>
        <w:jc w:val="both"/>
        <w:rPr>
          <w:sz w:val="24"/>
          <w:szCs w:val="24"/>
        </w:rPr>
      </w:pPr>
      <w:r>
        <w:rPr>
          <w:sz w:val="24"/>
          <w:szCs w:val="24"/>
        </w:rPr>
        <w:t xml:space="preserve">Deste modo, se vislumbra um intercâmbio entre as áreas da contabilidade, ou seja, uma análise da assimetria dos custos (contabilidade gerencial) sob a ótica dos sistemas de incentivos aos administradores (contabilidade financeira), representado nesse estudo pelo tipo </w:t>
      </w:r>
      <w:r>
        <w:rPr>
          <w:sz w:val="24"/>
          <w:szCs w:val="24"/>
        </w:rPr>
        <w:lastRenderedPageBreak/>
        <w:t>de remuneração (fixa ou variável), cuja pode induzir a decisões que visam cumprir as metas de desempenho ou que pretendam garantir a viabilidade da organização em longo prazo e consequentemente afetar a assimetria.</w:t>
      </w:r>
    </w:p>
    <w:p w:rsidR="000F1E1F" w:rsidRDefault="000F1E1F" w:rsidP="000F1E1F">
      <w:pPr>
        <w:ind w:firstLine="709"/>
        <w:jc w:val="both"/>
        <w:rPr>
          <w:sz w:val="24"/>
          <w:szCs w:val="24"/>
        </w:rPr>
      </w:pPr>
      <w:r>
        <w:rPr>
          <w:sz w:val="24"/>
          <w:szCs w:val="24"/>
        </w:rPr>
        <w:t xml:space="preserve">Dessa forma, o presente estudo buscou relacionar esta temática e se traduz na seguinte questão de pesquisa: </w:t>
      </w:r>
      <w:r>
        <w:rPr>
          <w:b/>
          <w:sz w:val="24"/>
          <w:szCs w:val="24"/>
        </w:rPr>
        <w:t>Q</w:t>
      </w:r>
      <w:r w:rsidRPr="000B49CA">
        <w:rPr>
          <w:b/>
          <w:sz w:val="24"/>
          <w:szCs w:val="24"/>
        </w:rPr>
        <w:t>ual a relaç</w:t>
      </w:r>
      <w:r w:rsidR="00EB1B93">
        <w:rPr>
          <w:b/>
          <w:sz w:val="24"/>
          <w:szCs w:val="24"/>
        </w:rPr>
        <w:t>ão entre o sistema de incentivo</w:t>
      </w:r>
      <w:r w:rsidRPr="000B49CA">
        <w:rPr>
          <w:b/>
          <w:sz w:val="24"/>
          <w:szCs w:val="24"/>
        </w:rPr>
        <w:t xml:space="preserve"> </w:t>
      </w:r>
      <w:r>
        <w:rPr>
          <w:b/>
          <w:sz w:val="24"/>
          <w:szCs w:val="24"/>
        </w:rPr>
        <w:t>pautado em remuneração variável e a assimetria de</w:t>
      </w:r>
      <w:r w:rsidRPr="000B49CA">
        <w:rPr>
          <w:b/>
          <w:sz w:val="24"/>
          <w:szCs w:val="24"/>
        </w:rPr>
        <w:t xml:space="preserve"> custos?</w:t>
      </w:r>
    </w:p>
    <w:p w:rsidR="000F1E1F" w:rsidRDefault="000F1E1F" w:rsidP="000F1E1F">
      <w:pPr>
        <w:ind w:firstLine="709"/>
        <w:jc w:val="both"/>
        <w:rPr>
          <w:sz w:val="24"/>
          <w:szCs w:val="24"/>
        </w:rPr>
      </w:pPr>
      <w:r>
        <w:rPr>
          <w:sz w:val="24"/>
          <w:szCs w:val="24"/>
        </w:rPr>
        <w:t xml:space="preserve">A fim de responder este problema, objetiva-se verificar se o sistema de incentivo baseado em remuneração variável implica em assimetria dos custos. Para tanto, a fim de apurar a assimetria dos custos utilizou-se o modelo de Anderson </w:t>
      </w:r>
      <w:r w:rsidRPr="00974CFF">
        <w:rPr>
          <w:sz w:val="24"/>
          <w:szCs w:val="24"/>
        </w:rPr>
        <w:t>et al.</w:t>
      </w:r>
      <w:r>
        <w:rPr>
          <w:sz w:val="24"/>
          <w:szCs w:val="24"/>
        </w:rPr>
        <w:t xml:space="preserve"> (2003) e Richartz (2016) e considerou-se como </w:t>
      </w:r>
      <w:r w:rsidRPr="000B49CA">
        <w:rPr>
          <w:i/>
          <w:sz w:val="24"/>
          <w:szCs w:val="24"/>
        </w:rPr>
        <w:t>proxy</w:t>
      </w:r>
      <w:r>
        <w:rPr>
          <w:sz w:val="24"/>
          <w:szCs w:val="24"/>
        </w:rPr>
        <w:t xml:space="preserve"> para o sistema de incentivos o tipo de remuneração (fixa ou variável) e a sua magnitude, além de que foram utilizados os dados das empresas de capital aberto, listadas na B3, entre os anos de 2010 a 2016.</w:t>
      </w:r>
    </w:p>
    <w:p w:rsidR="000F1E1F" w:rsidRDefault="000F1E1F" w:rsidP="000F1E1F">
      <w:pPr>
        <w:ind w:firstLine="709"/>
        <w:jc w:val="both"/>
        <w:rPr>
          <w:sz w:val="24"/>
          <w:szCs w:val="24"/>
        </w:rPr>
      </w:pPr>
      <w:r>
        <w:rPr>
          <w:sz w:val="24"/>
          <w:szCs w:val="24"/>
        </w:rPr>
        <w:t>Sob a perspectiva teórica, o presente estudo supre a lacuna, no Brasil, de pesquisas que abordam a relação entre a remuneração variável dos gestores e a assimetria de custos, além de confrontar o</w:t>
      </w:r>
      <w:r w:rsidRPr="0094454D">
        <w:rPr>
          <w:sz w:val="24"/>
          <w:szCs w:val="24"/>
        </w:rPr>
        <w:t xml:space="preserve"> impacto dos incentivos dos gestores no comportamento assimétrico dos custos uma vez que</w:t>
      </w:r>
      <w:r>
        <w:rPr>
          <w:sz w:val="24"/>
          <w:szCs w:val="24"/>
        </w:rPr>
        <w:t>, atualmente,</w:t>
      </w:r>
      <w:r w:rsidRPr="0094454D">
        <w:rPr>
          <w:sz w:val="24"/>
          <w:szCs w:val="24"/>
        </w:rPr>
        <w:t xml:space="preserve"> não há consenso na literatura. </w:t>
      </w:r>
      <w:r>
        <w:rPr>
          <w:sz w:val="24"/>
          <w:szCs w:val="24"/>
        </w:rPr>
        <w:t>Alguns estudos como de Dierynck</w:t>
      </w:r>
      <w:r w:rsidRPr="0094454D">
        <w:rPr>
          <w:sz w:val="24"/>
          <w:szCs w:val="24"/>
        </w:rPr>
        <w:t xml:space="preserve"> </w:t>
      </w:r>
      <w:r w:rsidRPr="00974CFF">
        <w:rPr>
          <w:sz w:val="24"/>
          <w:szCs w:val="24"/>
        </w:rPr>
        <w:t xml:space="preserve">et al. </w:t>
      </w:r>
      <w:r w:rsidRPr="0094454D">
        <w:rPr>
          <w:sz w:val="24"/>
          <w:szCs w:val="24"/>
        </w:rPr>
        <w:t xml:space="preserve">(2012), Kama e Weiss (2013) e Banker e Byzalov (2014), descrevem que </w:t>
      </w:r>
      <w:r w:rsidR="00EB1B93" w:rsidRPr="0094454D">
        <w:rPr>
          <w:sz w:val="24"/>
          <w:szCs w:val="24"/>
        </w:rPr>
        <w:t>a busca dos gestores pelo alcance de metas de lucros leva</w:t>
      </w:r>
      <w:r w:rsidRPr="0094454D">
        <w:rPr>
          <w:sz w:val="24"/>
          <w:szCs w:val="24"/>
        </w:rPr>
        <w:t xml:space="preserve"> estes a ajustarem os níveis de recursos quando a demanda cai</w:t>
      </w:r>
      <w:r>
        <w:rPr>
          <w:sz w:val="24"/>
          <w:szCs w:val="24"/>
        </w:rPr>
        <w:t>, o que ocasiona</w:t>
      </w:r>
      <w:r w:rsidRPr="0094454D">
        <w:rPr>
          <w:sz w:val="24"/>
          <w:szCs w:val="24"/>
        </w:rPr>
        <w:t xml:space="preserve"> </w:t>
      </w:r>
      <w:r>
        <w:rPr>
          <w:sz w:val="24"/>
          <w:szCs w:val="24"/>
        </w:rPr>
        <w:t>redução na</w:t>
      </w:r>
      <w:r w:rsidRPr="0094454D">
        <w:rPr>
          <w:sz w:val="24"/>
          <w:szCs w:val="24"/>
        </w:rPr>
        <w:t xml:space="preserve"> assimetria dos custos. Enquanto outros</w:t>
      </w:r>
      <w:r>
        <w:rPr>
          <w:sz w:val="24"/>
          <w:szCs w:val="24"/>
        </w:rPr>
        <w:t>,</w:t>
      </w:r>
      <w:r w:rsidRPr="0094454D">
        <w:rPr>
          <w:sz w:val="24"/>
          <w:szCs w:val="24"/>
        </w:rPr>
        <w:t xml:space="preserve"> como </w:t>
      </w:r>
      <w:r>
        <w:rPr>
          <w:color w:val="000000"/>
          <w:sz w:val="24"/>
          <w:szCs w:val="24"/>
        </w:rPr>
        <w:t>Chen</w:t>
      </w:r>
      <w:r w:rsidRPr="0094454D">
        <w:rPr>
          <w:color w:val="000000"/>
          <w:sz w:val="24"/>
          <w:szCs w:val="24"/>
        </w:rPr>
        <w:t xml:space="preserve"> </w:t>
      </w:r>
      <w:r w:rsidRPr="00974CFF">
        <w:rPr>
          <w:color w:val="000000"/>
          <w:sz w:val="24"/>
          <w:szCs w:val="24"/>
        </w:rPr>
        <w:t>et al.</w:t>
      </w:r>
      <w:r w:rsidRPr="0094454D">
        <w:rPr>
          <w:color w:val="000000"/>
          <w:sz w:val="24"/>
          <w:szCs w:val="24"/>
        </w:rPr>
        <w:t xml:space="preserve"> (2012)</w:t>
      </w:r>
      <w:r>
        <w:rPr>
          <w:color w:val="000000"/>
          <w:sz w:val="24"/>
          <w:szCs w:val="24"/>
        </w:rPr>
        <w:t>,</w:t>
      </w:r>
      <w:r w:rsidRPr="0094454D">
        <w:rPr>
          <w:sz w:val="24"/>
          <w:szCs w:val="24"/>
        </w:rPr>
        <w:t xml:space="preserve"> </w:t>
      </w:r>
      <w:r>
        <w:rPr>
          <w:sz w:val="24"/>
          <w:szCs w:val="24"/>
        </w:rPr>
        <w:t xml:space="preserve">os quais </w:t>
      </w:r>
      <w:r w:rsidRPr="0094454D">
        <w:rPr>
          <w:sz w:val="24"/>
          <w:szCs w:val="24"/>
        </w:rPr>
        <w:t xml:space="preserve">argumentam que quando os gestores são incentivados a construção de </w:t>
      </w:r>
      <w:r w:rsidRPr="002A612C">
        <w:rPr>
          <w:sz w:val="24"/>
          <w:szCs w:val="24"/>
        </w:rPr>
        <w:t>impérios,</w:t>
      </w:r>
      <w:r w:rsidRPr="0094454D">
        <w:rPr>
          <w:sz w:val="24"/>
          <w:szCs w:val="24"/>
        </w:rPr>
        <w:t xml:space="preserve"> estes aumentam os custos rapidamente diante de aumentos da receita e reduzem lentamente estes quando da queda da receita</w:t>
      </w:r>
      <w:r>
        <w:rPr>
          <w:sz w:val="24"/>
          <w:szCs w:val="24"/>
        </w:rPr>
        <w:t xml:space="preserve">, </w:t>
      </w:r>
      <w:r w:rsidRPr="0094454D">
        <w:rPr>
          <w:sz w:val="24"/>
          <w:szCs w:val="24"/>
        </w:rPr>
        <w:t>a fim de aumentar sua utilidade pessoal, status, poder e prestígio</w:t>
      </w:r>
      <w:r>
        <w:rPr>
          <w:sz w:val="24"/>
          <w:szCs w:val="24"/>
        </w:rPr>
        <w:t>,</w:t>
      </w:r>
      <w:r w:rsidRPr="0094454D">
        <w:rPr>
          <w:sz w:val="24"/>
          <w:szCs w:val="24"/>
        </w:rPr>
        <w:t xml:space="preserve"> além de não enxergarem como vantagem a redução do tamanho organizacional, cujos benefícios se acumulam aos acionistas, e exigem decisões complexas e esforços dispendiosos para redução de recursos organizacionais</w:t>
      </w:r>
      <w:r>
        <w:rPr>
          <w:sz w:val="24"/>
          <w:szCs w:val="24"/>
        </w:rPr>
        <w:t xml:space="preserve">, fatos que provocam </w:t>
      </w:r>
      <w:r w:rsidRPr="0094454D">
        <w:rPr>
          <w:sz w:val="24"/>
          <w:szCs w:val="24"/>
        </w:rPr>
        <w:t>maior assimetria</w:t>
      </w:r>
      <w:r>
        <w:rPr>
          <w:sz w:val="24"/>
          <w:szCs w:val="24"/>
        </w:rPr>
        <w:t xml:space="preserve"> de custos</w:t>
      </w:r>
      <w:r w:rsidRPr="0094454D">
        <w:rPr>
          <w:sz w:val="24"/>
          <w:szCs w:val="24"/>
        </w:rPr>
        <w:t xml:space="preserve">. </w:t>
      </w:r>
      <w:r>
        <w:rPr>
          <w:sz w:val="24"/>
          <w:szCs w:val="24"/>
        </w:rPr>
        <w:t xml:space="preserve"> </w:t>
      </w:r>
    </w:p>
    <w:p w:rsidR="000F1E1F" w:rsidRPr="0094454D" w:rsidRDefault="000F1E1F" w:rsidP="000F1E1F">
      <w:pPr>
        <w:ind w:firstLine="709"/>
        <w:jc w:val="both"/>
        <w:rPr>
          <w:sz w:val="24"/>
          <w:szCs w:val="24"/>
        </w:rPr>
      </w:pPr>
      <w:r>
        <w:rPr>
          <w:sz w:val="24"/>
          <w:szCs w:val="24"/>
        </w:rPr>
        <w:t>Por outro lado, sob a perspectiva prática, se justifica pela</w:t>
      </w:r>
      <w:r w:rsidRPr="00F45637">
        <w:rPr>
          <w:sz w:val="24"/>
          <w:szCs w:val="24"/>
        </w:rPr>
        <w:t xml:space="preserve"> importância </w:t>
      </w:r>
      <w:r>
        <w:rPr>
          <w:sz w:val="24"/>
          <w:szCs w:val="24"/>
        </w:rPr>
        <w:t>de gerenciar</w:t>
      </w:r>
      <w:r w:rsidRPr="00F45637">
        <w:rPr>
          <w:sz w:val="24"/>
          <w:szCs w:val="24"/>
        </w:rPr>
        <w:t xml:space="preserve"> informações sobre os custos </w:t>
      </w:r>
      <w:r>
        <w:rPr>
          <w:sz w:val="24"/>
          <w:szCs w:val="24"/>
        </w:rPr>
        <w:t>a fim de</w:t>
      </w:r>
      <w:r w:rsidRPr="00F45637">
        <w:rPr>
          <w:sz w:val="24"/>
          <w:szCs w:val="24"/>
        </w:rPr>
        <w:t xml:space="preserve"> fundamentar a tomada de decisão, além de impacta</w:t>
      </w:r>
      <w:r>
        <w:rPr>
          <w:sz w:val="24"/>
          <w:szCs w:val="24"/>
        </w:rPr>
        <w:t xml:space="preserve">r nos resultados da organização (Melvin, 1988; Medeiros </w:t>
      </w:r>
      <w:r w:rsidRPr="00974CFF">
        <w:rPr>
          <w:sz w:val="24"/>
          <w:szCs w:val="24"/>
        </w:rPr>
        <w:t>et al.,</w:t>
      </w:r>
      <w:r>
        <w:rPr>
          <w:sz w:val="24"/>
          <w:szCs w:val="24"/>
        </w:rPr>
        <w:t xml:space="preserve"> 2005), a qual se contrapõe com uma</w:t>
      </w:r>
      <w:r w:rsidRPr="0094454D">
        <w:rPr>
          <w:sz w:val="24"/>
          <w:szCs w:val="24"/>
        </w:rPr>
        <w:t xml:space="preserve"> formulação eficiente do sistema de recompensa aos gestores que </w:t>
      </w:r>
      <w:r>
        <w:rPr>
          <w:sz w:val="24"/>
          <w:szCs w:val="24"/>
        </w:rPr>
        <w:t>vise alinhar</w:t>
      </w:r>
      <w:r w:rsidRPr="0094454D">
        <w:rPr>
          <w:sz w:val="24"/>
          <w:szCs w:val="24"/>
        </w:rPr>
        <w:t xml:space="preserve"> o comportamento destes a uma trajetória </w:t>
      </w:r>
      <w:r>
        <w:rPr>
          <w:sz w:val="24"/>
          <w:szCs w:val="24"/>
        </w:rPr>
        <w:t>organizacional de</w:t>
      </w:r>
      <w:r w:rsidRPr="0094454D">
        <w:rPr>
          <w:sz w:val="24"/>
          <w:szCs w:val="24"/>
        </w:rPr>
        <w:t xml:space="preserve"> longo prazo pretendida pelos sócios. </w:t>
      </w:r>
    </w:p>
    <w:p w:rsidR="000F1E1F" w:rsidRDefault="000F1E1F" w:rsidP="000F1E1F">
      <w:pPr>
        <w:ind w:firstLine="709"/>
        <w:jc w:val="both"/>
        <w:rPr>
          <w:sz w:val="24"/>
          <w:szCs w:val="24"/>
        </w:rPr>
      </w:pPr>
    </w:p>
    <w:p w:rsidR="000F1E1F" w:rsidRDefault="000F1E1F" w:rsidP="000F1E1F">
      <w:pPr>
        <w:pStyle w:val="PargrafodaLista"/>
        <w:ind w:left="0"/>
        <w:jc w:val="both"/>
        <w:rPr>
          <w:b/>
          <w:sz w:val="24"/>
          <w:szCs w:val="24"/>
        </w:rPr>
      </w:pPr>
      <w:r>
        <w:rPr>
          <w:b/>
          <w:sz w:val="24"/>
          <w:szCs w:val="24"/>
        </w:rPr>
        <w:t>2 REFERENCIAL TEÓRICO</w:t>
      </w:r>
    </w:p>
    <w:p w:rsidR="000F1E1F" w:rsidRPr="00820263" w:rsidRDefault="000F1E1F" w:rsidP="000F1E1F">
      <w:pPr>
        <w:pStyle w:val="PargrafodaLista"/>
        <w:ind w:left="709"/>
        <w:jc w:val="both"/>
        <w:rPr>
          <w:b/>
          <w:sz w:val="24"/>
          <w:szCs w:val="24"/>
        </w:rPr>
      </w:pPr>
    </w:p>
    <w:p w:rsidR="000F1E1F" w:rsidRPr="00FA07B3" w:rsidRDefault="000F1E1F" w:rsidP="000F1E1F">
      <w:pPr>
        <w:numPr>
          <w:ilvl w:val="1"/>
          <w:numId w:val="16"/>
        </w:numPr>
        <w:suppressAutoHyphens w:val="0"/>
        <w:jc w:val="both"/>
        <w:rPr>
          <w:b/>
          <w:sz w:val="24"/>
          <w:szCs w:val="24"/>
        </w:rPr>
      </w:pPr>
      <w:r>
        <w:rPr>
          <w:b/>
          <w:sz w:val="24"/>
          <w:szCs w:val="24"/>
        </w:rPr>
        <w:t>Comportamento Assimétrico dos Custos</w:t>
      </w:r>
    </w:p>
    <w:p w:rsidR="000F1E1F" w:rsidRDefault="000F1E1F" w:rsidP="000F1E1F">
      <w:pPr>
        <w:ind w:firstLine="709"/>
        <w:jc w:val="both"/>
        <w:rPr>
          <w:sz w:val="24"/>
          <w:szCs w:val="24"/>
        </w:rPr>
      </w:pPr>
      <w:r>
        <w:rPr>
          <w:sz w:val="24"/>
          <w:szCs w:val="24"/>
        </w:rPr>
        <w:t xml:space="preserve">Conforme Richartz (2016), um dos estudos pioneiros sobre a temática de comportamento de custos foi à pesquisa de Benston (1966). Tal estudo </w:t>
      </w:r>
      <w:r w:rsidR="00EB1B93">
        <w:rPr>
          <w:sz w:val="24"/>
          <w:szCs w:val="24"/>
        </w:rPr>
        <w:t>embasou o</w:t>
      </w:r>
      <w:r>
        <w:rPr>
          <w:sz w:val="24"/>
          <w:szCs w:val="24"/>
        </w:rPr>
        <w:t xml:space="preserve"> modelo tradicional de custos, o qual está pautado na linearidade entre as variações de custos e volume de atividades. Garisson e Noreen (2001) </w:t>
      </w:r>
      <w:r w:rsidR="00EB1B93">
        <w:rPr>
          <w:sz w:val="24"/>
          <w:szCs w:val="24"/>
        </w:rPr>
        <w:t>definem</w:t>
      </w:r>
      <w:r>
        <w:rPr>
          <w:sz w:val="24"/>
          <w:szCs w:val="24"/>
        </w:rPr>
        <w:t xml:space="preserve"> que compreender o comportamento dos custos significa entender a reação dos custos perante uma alteração no nível de atividades e Anderson </w:t>
      </w:r>
      <w:r w:rsidRPr="00974CFF">
        <w:rPr>
          <w:sz w:val="24"/>
          <w:szCs w:val="24"/>
        </w:rPr>
        <w:t>et al.</w:t>
      </w:r>
      <w:r>
        <w:rPr>
          <w:sz w:val="24"/>
          <w:szCs w:val="24"/>
        </w:rPr>
        <w:t xml:space="preserve"> (2003) </w:t>
      </w:r>
      <w:r w:rsidR="00EB1B93">
        <w:rPr>
          <w:sz w:val="24"/>
          <w:szCs w:val="24"/>
        </w:rPr>
        <w:t>acrescentam</w:t>
      </w:r>
      <w:r>
        <w:rPr>
          <w:sz w:val="24"/>
          <w:szCs w:val="24"/>
        </w:rPr>
        <w:t xml:space="preserve"> que entendê-lo é importante para o seu eficaz gerenciamento.</w:t>
      </w:r>
    </w:p>
    <w:p w:rsidR="000F1E1F" w:rsidRDefault="000F1E1F" w:rsidP="000F1E1F">
      <w:pPr>
        <w:ind w:firstLine="709"/>
        <w:jc w:val="both"/>
        <w:rPr>
          <w:sz w:val="24"/>
          <w:szCs w:val="24"/>
        </w:rPr>
      </w:pPr>
      <w:r>
        <w:rPr>
          <w:sz w:val="24"/>
          <w:szCs w:val="24"/>
        </w:rPr>
        <w:t xml:space="preserve">Porém, nos últimos 20 anos, as pesquisas no campo da contabilidade gerencial voltados para a área comportamental de custos têm se preocupado em identificar, explorar, analisar, evidenciar e explicar o comportamento assimétrico dos custos, especialmente quando </w:t>
      </w:r>
      <w:r>
        <w:rPr>
          <w:sz w:val="24"/>
          <w:szCs w:val="24"/>
        </w:rPr>
        <w:lastRenderedPageBreak/>
        <w:t xml:space="preserve">oriundo da variação do nível de atividade organizacional (Richartz, Borgert &amp; Lunkes, 2014, Zonatto, Silva, Dal Magro &amp; Klann, 2017). </w:t>
      </w:r>
    </w:p>
    <w:p w:rsidR="000F1E1F" w:rsidRDefault="000F1E1F" w:rsidP="000F1E1F">
      <w:pPr>
        <w:ind w:firstLine="709"/>
        <w:jc w:val="both"/>
        <w:rPr>
          <w:sz w:val="24"/>
          <w:szCs w:val="24"/>
        </w:rPr>
      </w:pPr>
      <w:r>
        <w:rPr>
          <w:sz w:val="24"/>
          <w:szCs w:val="24"/>
        </w:rPr>
        <w:t xml:space="preserve">Assim, pode-se inferir </w:t>
      </w:r>
      <w:r w:rsidR="00EB1B93">
        <w:rPr>
          <w:sz w:val="24"/>
          <w:szCs w:val="24"/>
        </w:rPr>
        <w:t xml:space="preserve">a existência do </w:t>
      </w:r>
      <w:r>
        <w:rPr>
          <w:sz w:val="24"/>
          <w:szCs w:val="24"/>
        </w:rPr>
        <w:t xml:space="preserve">comportamento assimétrico dos custos quando esses não acompanham proporcionalmente o aumento ou as diminuições no nível de atividades (Banker, Basu, Byzalov &amp; Chen, 2016). Um dos primeiros estudos sobre essa temática foi de Noreen e Soderstrom (1997), os quais não concluíram significativamente sobre o assunto. </w:t>
      </w:r>
    </w:p>
    <w:p w:rsidR="000F1E1F" w:rsidRDefault="000F1E1F" w:rsidP="000F1E1F">
      <w:pPr>
        <w:ind w:firstLine="709"/>
        <w:jc w:val="both"/>
        <w:rPr>
          <w:sz w:val="24"/>
          <w:szCs w:val="24"/>
        </w:rPr>
      </w:pPr>
      <w:r>
        <w:rPr>
          <w:sz w:val="24"/>
          <w:szCs w:val="24"/>
        </w:rPr>
        <w:t xml:space="preserve">Posteriormente, baseados na mesma premissa da pesquisa de 1997, Anderson </w:t>
      </w:r>
      <w:r w:rsidRPr="00974CFF">
        <w:rPr>
          <w:sz w:val="24"/>
          <w:szCs w:val="24"/>
        </w:rPr>
        <w:t>et al.</w:t>
      </w:r>
      <w:r>
        <w:rPr>
          <w:sz w:val="24"/>
          <w:szCs w:val="24"/>
        </w:rPr>
        <w:t xml:space="preserve"> (2003) concluíram, que os custos </w:t>
      </w:r>
      <w:r w:rsidR="00974CFF">
        <w:rPr>
          <w:sz w:val="24"/>
          <w:szCs w:val="24"/>
        </w:rPr>
        <w:t>variam assimetricamente frente à</w:t>
      </w:r>
      <w:r>
        <w:rPr>
          <w:sz w:val="24"/>
          <w:szCs w:val="24"/>
        </w:rPr>
        <w:t xml:space="preserve"> alterações na receita, por meio de um estudo que envolveu 7.629 empresas ao longo de 20 anos. Os resultados indicaram que quando, em média, a receita aumenta 1%, as despesas com vendas, gerais e administrativas se elevam em 0,55%, porém, quando a receita decresce 1%, as despesas com vendas, gerais e administrativas diminuem 0,35%.</w:t>
      </w:r>
    </w:p>
    <w:p w:rsidR="000F1E1F" w:rsidRPr="008F2127" w:rsidRDefault="000F1E1F" w:rsidP="000F1E1F">
      <w:pPr>
        <w:ind w:firstLine="709"/>
        <w:jc w:val="both"/>
        <w:rPr>
          <w:sz w:val="24"/>
          <w:szCs w:val="24"/>
        </w:rPr>
      </w:pPr>
      <w:r w:rsidRPr="0018698A">
        <w:rPr>
          <w:sz w:val="24"/>
          <w:szCs w:val="24"/>
        </w:rPr>
        <w:t>Deste modo, conforme Richartz (2016) e Fazoli, Reis e Borgert (2015), iniciou-se um aprimoramento da literatura</w:t>
      </w:r>
      <w:r w:rsidRPr="008F2127">
        <w:rPr>
          <w:sz w:val="24"/>
          <w:szCs w:val="24"/>
        </w:rPr>
        <w:t xml:space="preserve">, seja por meio da comprovação da aplicabilidade da teoria dos </w:t>
      </w:r>
      <w:r w:rsidRPr="009D2AA2">
        <w:rPr>
          <w:i/>
          <w:sz w:val="24"/>
          <w:szCs w:val="24"/>
        </w:rPr>
        <w:t>sticks costs</w:t>
      </w:r>
      <w:r w:rsidRPr="008F2127">
        <w:rPr>
          <w:sz w:val="24"/>
          <w:szCs w:val="24"/>
        </w:rPr>
        <w:t xml:space="preserve"> ou da necessidade de justificar a sua ocorrência por meio de fatores explicativos. Em âmbito internacional, podem-se citar os</w:t>
      </w:r>
      <w:r w:rsidRPr="0018698A">
        <w:rPr>
          <w:sz w:val="24"/>
          <w:szCs w:val="24"/>
        </w:rPr>
        <w:t xml:space="preserve"> estudos de </w:t>
      </w:r>
      <w:r w:rsidRPr="008F2127">
        <w:rPr>
          <w:sz w:val="24"/>
          <w:szCs w:val="24"/>
        </w:rPr>
        <w:t xml:space="preserve">Subramaniam e Weidenmier </w:t>
      </w:r>
      <w:r w:rsidRPr="0018698A">
        <w:rPr>
          <w:sz w:val="24"/>
          <w:szCs w:val="24"/>
        </w:rPr>
        <w:t>(2003), Balakrishna</w:t>
      </w:r>
      <w:r w:rsidRPr="008F2127">
        <w:rPr>
          <w:sz w:val="24"/>
          <w:szCs w:val="24"/>
        </w:rPr>
        <w:t>n</w:t>
      </w:r>
      <w:r>
        <w:rPr>
          <w:sz w:val="24"/>
          <w:szCs w:val="24"/>
        </w:rPr>
        <w:t xml:space="preserve"> et al.</w:t>
      </w:r>
      <w:r w:rsidRPr="008F2127">
        <w:rPr>
          <w:sz w:val="24"/>
          <w:szCs w:val="24"/>
        </w:rPr>
        <w:t xml:space="preserve"> (2004), </w:t>
      </w:r>
      <w:r>
        <w:rPr>
          <w:sz w:val="24"/>
          <w:szCs w:val="24"/>
        </w:rPr>
        <w:t>Calleja, Steliaros e Thomas (2006),</w:t>
      </w:r>
      <w:r w:rsidRPr="008F2127">
        <w:rPr>
          <w:sz w:val="24"/>
          <w:szCs w:val="24"/>
        </w:rPr>
        <w:t xml:space="preserve"> </w:t>
      </w:r>
      <w:r w:rsidRPr="0018698A">
        <w:rPr>
          <w:sz w:val="24"/>
          <w:szCs w:val="24"/>
        </w:rPr>
        <w:t>Weiss (2010), Balakrishnan, Labro e Soderstrom (2011)</w:t>
      </w:r>
      <w:r w:rsidRPr="008F2127">
        <w:rPr>
          <w:sz w:val="24"/>
          <w:szCs w:val="24"/>
        </w:rPr>
        <w:t xml:space="preserve"> e Porporato e Werbin (2012) e no âmbito nacional os estudos de</w:t>
      </w:r>
      <w:r w:rsidRPr="0018698A">
        <w:rPr>
          <w:sz w:val="24"/>
          <w:szCs w:val="24"/>
        </w:rPr>
        <w:t xml:space="preserve"> </w:t>
      </w:r>
      <w:r>
        <w:rPr>
          <w:sz w:val="24"/>
          <w:szCs w:val="24"/>
        </w:rPr>
        <w:t xml:space="preserve">Medeiros et al. </w:t>
      </w:r>
      <w:r w:rsidRPr="008F2127">
        <w:rPr>
          <w:sz w:val="24"/>
          <w:szCs w:val="24"/>
        </w:rPr>
        <w:t xml:space="preserve">(2005), </w:t>
      </w:r>
      <w:r w:rsidRPr="0018698A">
        <w:rPr>
          <w:sz w:val="24"/>
          <w:szCs w:val="24"/>
        </w:rPr>
        <w:t>Richartz (201</w:t>
      </w:r>
      <w:r w:rsidRPr="008F2127">
        <w:rPr>
          <w:sz w:val="24"/>
          <w:szCs w:val="24"/>
        </w:rPr>
        <w:t>3) e Richartz e Borgert (2014).</w:t>
      </w:r>
    </w:p>
    <w:p w:rsidR="000F1E1F" w:rsidRPr="008F2127" w:rsidRDefault="000F1E1F" w:rsidP="000F1E1F">
      <w:pPr>
        <w:ind w:firstLine="709"/>
        <w:jc w:val="both"/>
        <w:rPr>
          <w:sz w:val="24"/>
          <w:szCs w:val="24"/>
        </w:rPr>
      </w:pPr>
      <w:r w:rsidRPr="008F2127">
        <w:rPr>
          <w:sz w:val="24"/>
          <w:szCs w:val="24"/>
        </w:rPr>
        <w:t xml:space="preserve">É importante ressaltar a amplitude dos estudos relacionados à temática. Como </w:t>
      </w:r>
      <w:r w:rsidRPr="009D2AA2">
        <w:rPr>
          <w:i/>
          <w:sz w:val="24"/>
          <w:szCs w:val="24"/>
        </w:rPr>
        <w:t xml:space="preserve">proxy </w:t>
      </w:r>
      <w:r w:rsidRPr="008F2127">
        <w:rPr>
          <w:sz w:val="24"/>
          <w:szCs w:val="24"/>
        </w:rPr>
        <w:t>para custos, os estudos consideram o Custo do Produto Vendido (CPV) ou as Despesas com vendas, gerais e administrativas (VGA) ou ainda a soma de ambos, a qual gera o Custo Total (CT).</w:t>
      </w:r>
    </w:p>
    <w:p w:rsidR="000F1E1F" w:rsidRPr="008F2127" w:rsidRDefault="000F1E1F" w:rsidP="000F1E1F">
      <w:pPr>
        <w:ind w:firstLine="709"/>
        <w:jc w:val="both"/>
        <w:rPr>
          <w:sz w:val="24"/>
          <w:szCs w:val="24"/>
        </w:rPr>
      </w:pPr>
      <w:r w:rsidRPr="008F2127">
        <w:rPr>
          <w:sz w:val="24"/>
          <w:szCs w:val="24"/>
        </w:rPr>
        <w:t>Em termos esp</w:t>
      </w:r>
      <w:r>
        <w:rPr>
          <w:sz w:val="24"/>
          <w:szCs w:val="24"/>
        </w:rPr>
        <w:t xml:space="preserve">ecíficos, o estudo de Medeiros et al. </w:t>
      </w:r>
      <w:r w:rsidRPr="008F2127">
        <w:rPr>
          <w:sz w:val="24"/>
          <w:szCs w:val="24"/>
        </w:rPr>
        <w:t xml:space="preserve">(2005), </w:t>
      </w:r>
      <w:r>
        <w:rPr>
          <w:sz w:val="24"/>
          <w:szCs w:val="24"/>
        </w:rPr>
        <w:t>realizado em</w:t>
      </w:r>
      <w:r w:rsidRPr="008F2127">
        <w:rPr>
          <w:sz w:val="24"/>
          <w:szCs w:val="24"/>
        </w:rPr>
        <w:t xml:space="preserve"> 198 empresas ao longo de 17 anos, constatou que há assimetria nas empresas brasileiras. Adiante, </w:t>
      </w:r>
      <w:r>
        <w:rPr>
          <w:sz w:val="24"/>
          <w:szCs w:val="24"/>
        </w:rPr>
        <w:t>Richartz, Borgert, Ferrari &amp; Vicente (2012)</w:t>
      </w:r>
      <w:r w:rsidRPr="008F2127">
        <w:rPr>
          <w:sz w:val="24"/>
          <w:szCs w:val="24"/>
        </w:rPr>
        <w:t>, realizaram um estudo no segmento de Fios e Tecidos e confirmaram também a exi</w:t>
      </w:r>
      <w:r w:rsidR="00974CFF">
        <w:rPr>
          <w:sz w:val="24"/>
          <w:szCs w:val="24"/>
        </w:rPr>
        <w:t>stência de assimetria, porém, para</w:t>
      </w:r>
      <w:r w:rsidRPr="008F2127">
        <w:rPr>
          <w:sz w:val="24"/>
          <w:szCs w:val="24"/>
        </w:rPr>
        <w:t xml:space="preserve"> variações da Receita Líquida de Venda (RLV) limitadas a 30%.</w:t>
      </w:r>
    </w:p>
    <w:p w:rsidR="000F1E1F" w:rsidRPr="008F2127" w:rsidRDefault="000F1E1F" w:rsidP="000F1E1F">
      <w:pPr>
        <w:ind w:firstLine="709"/>
        <w:jc w:val="both"/>
        <w:rPr>
          <w:sz w:val="24"/>
          <w:szCs w:val="24"/>
        </w:rPr>
      </w:pPr>
      <w:r w:rsidRPr="008F2127">
        <w:rPr>
          <w:sz w:val="24"/>
          <w:szCs w:val="24"/>
        </w:rPr>
        <w:t xml:space="preserve">Richartz e Borgert (2014) em novo estudo sobre as empresas listadas na BMF&amp;Bovespa, concluíram que </w:t>
      </w:r>
      <w:r w:rsidR="00974CFF">
        <w:rPr>
          <w:sz w:val="24"/>
          <w:szCs w:val="24"/>
        </w:rPr>
        <w:t xml:space="preserve">nas </w:t>
      </w:r>
      <w:r w:rsidRPr="008F2127">
        <w:rPr>
          <w:sz w:val="24"/>
          <w:szCs w:val="24"/>
        </w:rPr>
        <w:t xml:space="preserve">variações das receitas até 10%, o CPV aumenta 0,96% para o acréscimo de 1% na receita, enquanto que no decréscimo de 1%, o CPV reduz 0,92%. Entretanto, variações superiores a 10% na receita provocam o efeito </w:t>
      </w:r>
      <w:r w:rsidRPr="00CE64D8">
        <w:rPr>
          <w:i/>
          <w:sz w:val="24"/>
          <w:szCs w:val="24"/>
        </w:rPr>
        <w:t>Anti-Stick</w:t>
      </w:r>
      <w:r w:rsidRPr="008F2127">
        <w:rPr>
          <w:sz w:val="24"/>
          <w:szCs w:val="24"/>
        </w:rPr>
        <w:t>, ou seja, a redução nos custos é maior do que o aumento, quando considerado variações de 1% na receita. Tal constatação também já havia sido abordado por Weiss (2010) e Richartz et al. (2012).</w:t>
      </w:r>
    </w:p>
    <w:p w:rsidR="000F1E1F" w:rsidRDefault="000F1E1F" w:rsidP="000F1E1F">
      <w:pPr>
        <w:ind w:firstLine="709"/>
        <w:jc w:val="both"/>
        <w:rPr>
          <w:sz w:val="24"/>
          <w:szCs w:val="24"/>
        </w:rPr>
      </w:pPr>
      <w:r>
        <w:rPr>
          <w:sz w:val="24"/>
          <w:szCs w:val="24"/>
        </w:rPr>
        <w:t>Com base em Richartz (2016) e nos estudos aqui apresentados, é possível construir a tabela comparativa de algumas pesquisas realizadas sobre a temática,</w:t>
      </w:r>
      <w:r w:rsidR="00747686">
        <w:rPr>
          <w:sz w:val="24"/>
          <w:szCs w:val="24"/>
        </w:rPr>
        <w:t xml:space="preserve"> as quais apresentam comportamento </w:t>
      </w:r>
      <w:r w:rsidR="00747686" w:rsidRPr="00747686">
        <w:rPr>
          <w:i/>
          <w:sz w:val="24"/>
          <w:szCs w:val="24"/>
        </w:rPr>
        <w:t>stick costs</w:t>
      </w:r>
      <w:r w:rsidR="00747686">
        <w:rPr>
          <w:i/>
          <w:sz w:val="24"/>
          <w:szCs w:val="24"/>
        </w:rPr>
        <w:t xml:space="preserve">, </w:t>
      </w:r>
      <w:r>
        <w:rPr>
          <w:sz w:val="24"/>
          <w:szCs w:val="24"/>
        </w:rPr>
        <w:t>conforme demonstrado na Tabela 1.</w:t>
      </w:r>
    </w:p>
    <w:p w:rsidR="000F1E1F" w:rsidRDefault="000F1E1F" w:rsidP="000F1E1F">
      <w:pPr>
        <w:jc w:val="both"/>
        <w:rPr>
          <w:sz w:val="24"/>
          <w:szCs w:val="24"/>
        </w:rPr>
      </w:pPr>
    </w:p>
    <w:p w:rsidR="00974CFF" w:rsidRDefault="00974CFF" w:rsidP="000F1E1F">
      <w:pPr>
        <w:jc w:val="both"/>
        <w:rPr>
          <w:sz w:val="24"/>
          <w:szCs w:val="24"/>
        </w:rPr>
      </w:pPr>
    </w:p>
    <w:p w:rsidR="00974CFF" w:rsidRDefault="00974CFF" w:rsidP="000F1E1F">
      <w:pPr>
        <w:jc w:val="both"/>
        <w:rPr>
          <w:sz w:val="24"/>
          <w:szCs w:val="24"/>
        </w:rPr>
      </w:pPr>
    </w:p>
    <w:p w:rsidR="00974CFF" w:rsidRDefault="00974CFF" w:rsidP="000F1E1F">
      <w:pPr>
        <w:jc w:val="both"/>
        <w:rPr>
          <w:sz w:val="24"/>
          <w:szCs w:val="24"/>
        </w:rPr>
      </w:pPr>
    </w:p>
    <w:p w:rsidR="00974CFF" w:rsidRDefault="00974CFF" w:rsidP="000F1E1F">
      <w:pPr>
        <w:jc w:val="both"/>
        <w:rPr>
          <w:sz w:val="24"/>
          <w:szCs w:val="24"/>
        </w:rPr>
      </w:pPr>
    </w:p>
    <w:p w:rsidR="00974CFF" w:rsidRDefault="00974CFF" w:rsidP="000F1E1F">
      <w:pPr>
        <w:jc w:val="both"/>
        <w:rPr>
          <w:sz w:val="24"/>
          <w:szCs w:val="24"/>
        </w:rPr>
      </w:pPr>
    </w:p>
    <w:p w:rsidR="000F1E1F" w:rsidRPr="00974CFF" w:rsidRDefault="000F1E1F" w:rsidP="000F1E1F">
      <w:pPr>
        <w:jc w:val="both"/>
        <w:rPr>
          <w:b/>
          <w:sz w:val="24"/>
          <w:szCs w:val="24"/>
        </w:rPr>
      </w:pPr>
      <w:r w:rsidRPr="00974CFF">
        <w:rPr>
          <w:b/>
          <w:sz w:val="24"/>
          <w:szCs w:val="24"/>
        </w:rPr>
        <w:lastRenderedPageBreak/>
        <w:t>Tabela 1</w:t>
      </w:r>
      <w:r w:rsidR="00974CFF" w:rsidRPr="00974CFF">
        <w:rPr>
          <w:b/>
          <w:sz w:val="24"/>
          <w:szCs w:val="24"/>
        </w:rPr>
        <w:t xml:space="preserve">. </w:t>
      </w:r>
      <w:r w:rsidRPr="00974CFF">
        <w:rPr>
          <w:b/>
          <w:sz w:val="24"/>
          <w:szCs w:val="24"/>
        </w:rPr>
        <w:t>Resumo dos resultados quantitativos sobre assimetria</w:t>
      </w:r>
    </w:p>
    <w:tbl>
      <w:tblPr>
        <w:tblW w:w="9072" w:type="dxa"/>
        <w:tblInd w:w="70" w:type="dxa"/>
        <w:tblLayout w:type="fixed"/>
        <w:tblCellMar>
          <w:left w:w="70" w:type="dxa"/>
          <w:right w:w="70" w:type="dxa"/>
        </w:tblCellMar>
        <w:tblLook w:val="04A0" w:firstRow="1" w:lastRow="0" w:firstColumn="1" w:lastColumn="0" w:noHBand="0" w:noVBand="1"/>
      </w:tblPr>
      <w:tblGrid>
        <w:gridCol w:w="3394"/>
        <w:gridCol w:w="1142"/>
        <w:gridCol w:w="1276"/>
        <w:gridCol w:w="992"/>
        <w:gridCol w:w="993"/>
        <w:gridCol w:w="1275"/>
      </w:tblGrid>
      <w:tr w:rsidR="005207D5" w:rsidRPr="005207D5" w:rsidTr="005207D5">
        <w:trPr>
          <w:trHeight w:val="406"/>
        </w:trPr>
        <w:tc>
          <w:tcPr>
            <w:tcW w:w="3394" w:type="dxa"/>
            <w:vMerge w:val="restart"/>
            <w:tcBorders>
              <w:top w:val="single" w:sz="4" w:space="0" w:color="auto"/>
              <w:left w:val="nil"/>
              <w:bottom w:val="single" w:sz="4" w:space="0" w:color="000000"/>
              <w:right w:val="single" w:sz="4" w:space="0" w:color="auto"/>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Autores</w:t>
            </w:r>
          </w:p>
        </w:tc>
        <w:tc>
          <w:tcPr>
            <w:tcW w:w="11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Período de Análise</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Variável Dependente (VD)</w:t>
            </w:r>
          </w:p>
        </w:tc>
        <w:tc>
          <w:tcPr>
            <w:tcW w:w="1985" w:type="dxa"/>
            <w:gridSpan w:val="2"/>
            <w:tcBorders>
              <w:top w:val="single" w:sz="4" w:space="0" w:color="auto"/>
              <w:left w:val="nil"/>
              <w:bottom w:val="single" w:sz="4" w:space="0" w:color="auto"/>
              <w:right w:val="single" w:sz="4" w:space="0" w:color="000000"/>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O que acontece com a VD quando há? (em %)</w:t>
            </w:r>
          </w:p>
        </w:tc>
        <w:tc>
          <w:tcPr>
            <w:tcW w:w="1275" w:type="dxa"/>
            <w:vMerge w:val="restart"/>
            <w:tcBorders>
              <w:top w:val="single" w:sz="4" w:space="0" w:color="auto"/>
              <w:left w:val="single" w:sz="4" w:space="0" w:color="auto"/>
              <w:bottom w:val="single" w:sz="4" w:space="0" w:color="000000"/>
              <w:right w:val="nil"/>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Assimetria (</w:t>
            </w:r>
            <w:r w:rsidRPr="005207D5">
              <w:rPr>
                <w:b/>
                <w:bCs/>
                <w:i/>
                <w:iCs/>
                <w:color w:val="000000"/>
              </w:rPr>
              <w:t>Stick Costs</w:t>
            </w:r>
            <w:r w:rsidRPr="005207D5">
              <w:rPr>
                <w:b/>
                <w:bCs/>
                <w:color w:val="000000"/>
              </w:rPr>
              <w:t>)</w:t>
            </w:r>
          </w:p>
        </w:tc>
      </w:tr>
      <w:tr w:rsidR="005207D5" w:rsidRPr="005207D5" w:rsidTr="005207D5">
        <w:trPr>
          <w:trHeight w:val="274"/>
        </w:trPr>
        <w:tc>
          <w:tcPr>
            <w:tcW w:w="3394" w:type="dxa"/>
            <w:vMerge/>
            <w:tcBorders>
              <w:top w:val="single" w:sz="4" w:space="0" w:color="auto"/>
              <w:left w:val="nil"/>
              <w:bottom w:val="single" w:sz="4" w:space="0" w:color="000000"/>
              <w:right w:val="single" w:sz="4" w:space="0" w:color="auto"/>
            </w:tcBorders>
            <w:vAlign w:val="center"/>
            <w:hideMark/>
          </w:tcPr>
          <w:p w:rsidR="005207D5" w:rsidRPr="005207D5" w:rsidRDefault="005207D5" w:rsidP="005207D5">
            <w:pPr>
              <w:suppressAutoHyphens w:val="0"/>
              <w:rPr>
                <w:b/>
                <w:bCs/>
                <w:color w:val="000000"/>
              </w:rPr>
            </w:pPr>
          </w:p>
        </w:tc>
        <w:tc>
          <w:tcPr>
            <w:tcW w:w="1142" w:type="dxa"/>
            <w:vMerge/>
            <w:tcBorders>
              <w:top w:val="single" w:sz="4" w:space="0" w:color="auto"/>
              <w:left w:val="single" w:sz="4" w:space="0" w:color="auto"/>
              <w:bottom w:val="single" w:sz="4" w:space="0" w:color="000000"/>
              <w:right w:val="single" w:sz="4" w:space="0" w:color="auto"/>
            </w:tcBorders>
            <w:vAlign w:val="center"/>
            <w:hideMark/>
          </w:tcPr>
          <w:p w:rsidR="005207D5" w:rsidRPr="005207D5" w:rsidRDefault="005207D5" w:rsidP="005207D5">
            <w:pPr>
              <w:suppressAutoHyphens w:val="0"/>
              <w:rPr>
                <w:b/>
                <w:bCs/>
                <w:color w:val="000000"/>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rsidR="005207D5" w:rsidRPr="005207D5" w:rsidRDefault="005207D5" w:rsidP="005207D5">
            <w:pPr>
              <w:suppressAutoHyphens w:val="0"/>
              <w:rPr>
                <w:b/>
                <w:bCs/>
                <w:color w:val="000000"/>
              </w:rPr>
            </w:pPr>
          </w:p>
        </w:tc>
        <w:tc>
          <w:tcPr>
            <w:tcW w:w="992"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Variação positiva de 1% na RLV</w:t>
            </w:r>
          </w:p>
        </w:tc>
        <w:tc>
          <w:tcPr>
            <w:tcW w:w="993"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b/>
                <w:bCs/>
                <w:color w:val="000000"/>
              </w:rPr>
            </w:pPr>
            <w:r w:rsidRPr="005207D5">
              <w:rPr>
                <w:b/>
                <w:bCs/>
                <w:color w:val="000000"/>
              </w:rPr>
              <w:t xml:space="preserve">Variação negativa de 1% na RLV </w:t>
            </w:r>
          </w:p>
        </w:tc>
        <w:tc>
          <w:tcPr>
            <w:tcW w:w="1275" w:type="dxa"/>
            <w:vMerge/>
            <w:tcBorders>
              <w:top w:val="single" w:sz="4" w:space="0" w:color="auto"/>
              <w:left w:val="single" w:sz="4" w:space="0" w:color="auto"/>
              <w:bottom w:val="single" w:sz="4" w:space="0" w:color="000000"/>
              <w:right w:val="nil"/>
            </w:tcBorders>
            <w:vAlign w:val="center"/>
            <w:hideMark/>
          </w:tcPr>
          <w:p w:rsidR="005207D5" w:rsidRPr="005207D5" w:rsidRDefault="005207D5" w:rsidP="005207D5">
            <w:pPr>
              <w:suppressAutoHyphens w:val="0"/>
              <w:rPr>
                <w:b/>
                <w:bCs/>
                <w:color w:val="000000"/>
              </w:rPr>
            </w:pPr>
          </w:p>
        </w:tc>
      </w:tr>
      <w:tr w:rsidR="005207D5" w:rsidRPr="005207D5" w:rsidTr="005207D5">
        <w:trPr>
          <w:trHeight w:val="7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Anderson, Banker e Janakiraman (2003)</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1979 a 1998</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VGA</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0,55</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-0,35</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(-0,20)</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Medeiros, Costa e Silva (2005)</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1986 a 2002</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VGA</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Pr>
                <w:color w:val="000000"/>
              </w:rPr>
              <w:t>0,55</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-0,3</w:t>
            </w:r>
            <w:r>
              <w:rPr>
                <w:color w:val="000000"/>
              </w:rPr>
              <w:t>0</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Pr>
                <w:color w:val="000000"/>
              </w:rPr>
              <w:t>(-0,25</w:t>
            </w:r>
            <w:r w:rsidRPr="005207D5">
              <w:rPr>
                <w:color w:val="000000"/>
              </w:rPr>
              <w:t>)</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Calleja, Steliaros e Thomas (2006)</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1988 a 2004</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CT</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0,97</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-0,91</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(-0,06)</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Yükçü e Özkaya (2011)</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1987 a 2008</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VGA</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0,70</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-0,51</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(-0,19)</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Yükçü e Özkaya (2011)</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1987 a 2008</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CT</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0,93</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-0,81</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(-0,12)</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Marques et al. (2014)</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1995 a 2012</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VGA</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0,56</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-0,45</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(-0,11)</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Richartz e Borgert (2014)</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1994 a 2011</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CT</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0,96</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-0,92</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(-0,04)</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Richartz, Borgert e Lunkes (2014)</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2002 a 2012</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CT</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Pr>
                <w:color w:val="000000"/>
              </w:rPr>
              <w:t>0,88</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Pr>
                <w:color w:val="000000"/>
              </w:rPr>
              <w:t>-0,84</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Pr>
                <w:color w:val="000000"/>
              </w:rPr>
              <w:t>(-0,04</w:t>
            </w:r>
            <w:r w:rsidRPr="005207D5">
              <w:rPr>
                <w:color w:val="000000"/>
              </w:rPr>
              <w:t>)</w:t>
            </w:r>
          </w:p>
        </w:tc>
      </w:tr>
      <w:tr w:rsidR="005207D5" w:rsidRPr="005207D5" w:rsidTr="005207D5">
        <w:trPr>
          <w:trHeight w:val="80"/>
        </w:trPr>
        <w:tc>
          <w:tcPr>
            <w:tcW w:w="3394"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Richartz (2016)</w:t>
            </w:r>
          </w:p>
        </w:tc>
        <w:tc>
          <w:tcPr>
            <w:tcW w:w="114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1995 a 2014</w:t>
            </w:r>
          </w:p>
        </w:tc>
        <w:tc>
          <w:tcPr>
            <w:tcW w:w="1276"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CPV</w:t>
            </w:r>
          </w:p>
        </w:tc>
        <w:tc>
          <w:tcPr>
            <w:tcW w:w="992"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0,95</w:t>
            </w:r>
          </w:p>
        </w:tc>
        <w:tc>
          <w:tcPr>
            <w:tcW w:w="993" w:type="dxa"/>
            <w:tcBorders>
              <w:top w:val="nil"/>
              <w:left w:val="nil"/>
              <w:bottom w:val="nil"/>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-0,8</w:t>
            </w:r>
            <w:r>
              <w:rPr>
                <w:color w:val="000000"/>
              </w:rPr>
              <w:t>0</w:t>
            </w:r>
          </w:p>
        </w:tc>
        <w:tc>
          <w:tcPr>
            <w:tcW w:w="1275" w:type="dxa"/>
            <w:tcBorders>
              <w:top w:val="nil"/>
              <w:left w:val="nil"/>
              <w:bottom w:val="nil"/>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(-0,15)</w:t>
            </w:r>
          </w:p>
        </w:tc>
      </w:tr>
      <w:tr w:rsidR="005207D5" w:rsidRPr="005207D5" w:rsidTr="005207D5">
        <w:trPr>
          <w:trHeight w:val="80"/>
        </w:trPr>
        <w:tc>
          <w:tcPr>
            <w:tcW w:w="3394"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Richartz (2016)</w:t>
            </w:r>
          </w:p>
        </w:tc>
        <w:tc>
          <w:tcPr>
            <w:tcW w:w="1142"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1995 a 2014</w:t>
            </w:r>
          </w:p>
        </w:tc>
        <w:tc>
          <w:tcPr>
            <w:tcW w:w="1276"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CT</w:t>
            </w:r>
          </w:p>
        </w:tc>
        <w:tc>
          <w:tcPr>
            <w:tcW w:w="992"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0,74</w:t>
            </w:r>
          </w:p>
        </w:tc>
        <w:tc>
          <w:tcPr>
            <w:tcW w:w="993" w:type="dxa"/>
            <w:tcBorders>
              <w:top w:val="nil"/>
              <w:left w:val="nil"/>
              <w:bottom w:val="single" w:sz="4" w:space="0" w:color="auto"/>
              <w:right w:val="single" w:sz="4" w:space="0" w:color="auto"/>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-0,68</w:t>
            </w:r>
          </w:p>
        </w:tc>
        <w:tc>
          <w:tcPr>
            <w:tcW w:w="1275" w:type="dxa"/>
            <w:tcBorders>
              <w:top w:val="nil"/>
              <w:left w:val="nil"/>
              <w:bottom w:val="single" w:sz="4" w:space="0" w:color="auto"/>
              <w:right w:val="nil"/>
            </w:tcBorders>
            <w:shd w:val="clear" w:color="auto" w:fill="auto"/>
            <w:vAlign w:val="center"/>
            <w:hideMark/>
          </w:tcPr>
          <w:p w:rsidR="005207D5" w:rsidRPr="005207D5" w:rsidRDefault="005207D5" w:rsidP="005207D5">
            <w:pPr>
              <w:suppressAutoHyphens w:val="0"/>
              <w:jc w:val="center"/>
              <w:rPr>
                <w:color w:val="000000"/>
              </w:rPr>
            </w:pPr>
            <w:r w:rsidRPr="005207D5">
              <w:rPr>
                <w:color w:val="000000"/>
              </w:rPr>
              <w:t>(-0,06)</w:t>
            </w:r>
          </w:p>
        </w:tc>
      </w:tr>
    </w:tbl>
    <w:p w:rsidR="00747686" w:rsidRDefault="00747686" w:rsidP="000F1E1F">
      <w:pPr>
        <w:ind w:firstLine="709"/>
        <w:jc w:val="both"/>
        <w:rPr>
          <w:sz w:val="24"/>
          <w:szCs w:val="24"/>
        </w:rPr>
      </w:pPr>
    </w:p>
    <w:p w:rsidR="000F1E1F" w:rsidRPr="008F2127" w:rsidRDefault="000F1E1F" w:rsidP="000F1E1F">
      <w:pPr>
        <w:ind w:firstLine="709"/>
        <w:jc w:val="both"/>
        <w:rPr>
          <w:sz w:val="24"/>
          <w:szCs w:val="24"/>
        </w:rPr>
      </w:pPr>
      <w:r w:rsidRPr="008F2127">
        <w:rPr>
          <w:sz w:val="24"/>
          <w:szCs w:val="24"/>
        </w:rPr>
        <w:t xml:space="preserve">Além disso, os estudos também avançaram para maior detalhamento e </w:t>
      </w:r>
      <w:r>
        <w:rPr>
          <w:sz w:val="24"/>
          <w:szCs w:val="24"/>
        </w:rPr>
        <w:t xml:space="preserve">foram </w:t>
      </w:r>
      <w:r w:rsidRPr="008F2127">
        <w:rPr>
          <w:sz w:val="24"/>
          <w:szCs w:val="24"/>
        </w:rPr>
        <w:t>em busca de poder ex</w:t>
      </w:r>
      <w:r>
        <w:rPr>
          <w:sz w:val="24"/>
          <w:szCs w:val="24"/>
        </w:rPr>
        <w:t xml:space="preserve">plicativo. Por exemplo, Werbin et al. </w:t>
      </w:r>
      <w:r w:rsidRPr="008F2127">
        <w:rPr>
          <w:sz w:val="24"/>
          <w:szCs w:val="24"/>
        </w:rPr>
        <w:t xml:space="preserve">(2012) investigaram a presença dos </w:t>
      </w:r>
      <w:r w:rsidRPr="009D2AA2">
        <w:rPr>
          <w:i/>
          <w:sz w:val="24"/>
          <w:szCs w:val="24"/>
        </w:rPr>
        <w:t>Sticks Costs</w:t>
      </w:r>
      <w:r w:rsidRPr="008F2127">
        <w:rPr>
          <w:sz w:val="24"/>
          <w:szCs w:val="24"/>
        </w:rPr>
        <w:t xml:space="preserve"> em empresas espanholas do ramo de fabricação de móveis e na prestação de serviços de restauração. A conclusão foi que em acréscimos de 1% na receita, os custos aumentaram 0,97% e 0,91% para os setores de fabricação de móveis e na prestação de serviços de restauração, respectivamente. Porém, quando do decréscimo na receita, os custos reduziram 0,44% e 0,84% respectivamente, ou seja, há diferenças entre os setores.</w:t>
      </w:r>
    </w:p>
    <w:p w:rsidR="000F1E1F" w:rsidRDefault="000F1E1F" w:rsidP="000F1E1F">
      <w:pPr>
        <w:ind w:firstLine="709"/>
        <w:jc w:val="both"/>
        <w:rPr>
          <w:sz w:val="24"/>
          <w:szCs w:val="24"/>
        </w:rPr>
      </w:pPr>
      <w:r w:rsidRPr="008F2127">
        <w:rPr>
          <w:sz w:val="24"/>
          <w:szCs w:val="24"/>
        </w:rPr>
        <w:t xml:space="preserve">Assim, </w:t>
      </w:r>
      <w:r>
        <w:rPr>
          <w:sz w:val="24"/>
          <w:szCs w:val="24"/>
        </w:rPr>
        <w:t xml:space="preserve">nesse contexto, Anderson et al. </w:t>
      </w:r>
      <w:r w:rsidR="00282CB5">
        <w:rPr>
          <w:sz w:val="24"/>
          <w:szCs w:val="24"/>
        </w:rPr>
        <w:t>(2003), além de</w:t>
      </w:r>
      <w:r w:rsidRPr="008F2127">
        <w:rPr>
          <w:sz w:val="24"/>
          <w:szCs w:val="24"/>
        </w:rPr>
        <w:t xml:space="preserve"> pioneiros, também apontaram a agregação de períodos, intensidade no uso de ativos e mão de obra como fatores que podem influenciar positivamente a assimetria dos custos. Podem-se citar també</w:t>
      </w:r>
      <w:r>
        <w:rPr>
          <w:sz w:val="24"/>
          <w:szCs w:val="24"/>
        </w:rPr>
        <w:t xml:space="preserve">m as pesquisas de Balakrishnan et al. </w:t>
      </w:r>
      <w:r w:rsidRPr="008F2127">
        <w:rPr>
          <w:sz w:val="24"/>
          <w:szCs w:val="24"/>
        </w:rPr>
        <w:t xml:space="preserve">(2004), </w:t>
      </w:r>
      <w:r w:rsidR="00282CB5">
        <w:rPr>
          <w:sz w:val="24"/>
          <w:szCs w:val="24"/>
        </w:rPr>
        <w:t>cujos autores</w:t>
      </w:r>
      <w:r w:rsidRPr="008F2127">
        <w:rPr>
          <w:sz w:val="24"/>
          <w:szCs w:val="24"/>
        </w:rPr>
        <w:t xml:space="preserve"> trata</w:t>
      </w:r>
      <w:r w:rsidR="006F6B50">
        <w:rPr>
          <w:sz w:val="24"/>
          <w:szCs w:val="24"/>
        </w:rPr>
        <w:t>m</w:t>
      </w:r>
      <w:r w:rsidRPr="008F2127">
        <w:rPr>
          <w:sz w:val="24"/>
          <w:szCs w:val="24"/>
        </w:rPr>
        <w:t xml:space="preserve"> do </w:t>
      </w:r>
      <w:r w:rsidR="00282CB5">
        <w:rPr>
          <w:sz w:val="24"/>
          <w:szCs w:val="24"/>
        </w:rPr>
        <w:t>impacto na assimetria perante variações</w:t>
      </w:r>
      <w:r w:rsidRPr="008F2127">
        <w:rPr>
          <w:sz w:val="24"/>
          <w:szCs w:val="24"/>
        </w:rPr>
        <w:t xml:space="preserve"> no</w:t>
      </w:r>
      <w:r>
        <w:rPr>
          <w:sz w:val="24"/>
          <w:szCs w:val="24"/>
        </w:rPr>
        <w:t xml:space="preserve"> nível de atividades e Calleja et al. </w:t>
      </w:r>
      <w:r w:rsidRPr="008F2127">
        <w:rPr>
          <w:sz w:val="24"/>
          <w:szCs w:val="24"/>
        </w:rPr>
        <w:t>(2006)</w:t>
      </w:r>
      <w:r w:rsidR="00282CB5">
        <w:rPr>
          <w:sz w:val="24"/>
          <w:szCs w:val="24"/>
        </w:rPr>
        <w:t xml:space="preserve">, os quais </w:t>
      </w:r>
      <w:r w:rsidRPr="008F2127">
        <w:rPr>
          <w:sz w:val="24"/>
          <w:szCs w:val="24"/>
        </w:rPr>
        <w:t>dizem que o sistema de governança, cultura organizacional e as características de cada empresa podem influenciar no grau de assimetria.</w:t>
      </w:r>
    </w:p>
    <w:p w:rsidR="000F1E1F" w:rsidRPr="00FF4225" w:rsidRDefault="00841FA5" w:rsidP="000F1E1F">
      <w:pPr>
        <w:ind w:firstLine="709"/>
        <w:jc w:val="both"/>
        <w:rPr>
          <w:sz w:val="24"/>
          <w:szCs w:val="24"/>
        </w:rPr>
      </w:pPr>
      <w:r>
        <w:rPr>
          <w:sz w:val="24"/>
          <w:szCs w:val="24"/>
        </w:rPr>
        <w:t>Por fim</w:t>
      </w:r>
      <w:r w:rsidR="000F1E1F" w:rsidRPr="002A612C">
        <w:rPr>
          <w:sz w:val="24"/>
          <w:szCs w:val="24"/>
        </w:rPr>
        <w:t xml:space="preserve">, diversos estudos de assimetria dos custos avançaram na tentativa de encontrar fatores que explicam tal comportamento, como aqueles que investigaram </w:t>
      </w:r>
      <w:r>
        <w:rPr>
          <w:sz w:val="24"/>
          <w:szCs w:val="24"/>
        </w:rPr>
        <w:t xml:space="preserve">as ações dos </w:t>
      </w:r>
      <w:r w:rsidR="000F1E1F" w:rsidRPr="002A612C">
        <w:rPr>
          <w:sz w:val="24"/>
          <w:szCs w:val="24"/>
        </w:rPr>
        <w:t>gestores</w:t>
      </w:r>
      <w:r>
        <w:rPr>
          <w:sz w:val="24"/>
          <w:szCs w:val="24"/>
        </w:rPr>
        <w:t xml:space="preserve"> que ajustam </w:t>
      </w:r>
      <w:r w:rsidRPr="002A612C">
        <w:rPr>
          <w:sz w:val="24"/>
          <w:szCs w:val="24"/>
        </w:rPr>
        <w:t>deliberadamente</w:t>
      </w:r>
      <w:r w:rsidR="000F1E1F" w:rsidRPr="002A612C">
        <w:rPr>
          <w:sz w:val="24"/>
          <w:szCs w:val="24"/>
        </w:rPr>
        <w:t xml:space="preserve"> </w:t>
      </w:r>
      <w:r>
        <w:rPr>
          <w:sz w:val="24"/>
          <w:szCs w:val="24"/>
        </w:rPr>
        <w:t xml:space="preserve">o </w:t>
      </w:r>
      <w:r w:rsidRPr="002A612C">
        <w:rPr>
          <w:sz w:val="24"/>
          <w:szCs w:val="24"/>
        </w:rPr>
        <w:t xml:space="preserve">comprometimento dos recursos </w:t>
      </w:r>
      <w:r>
        <w:rPr>
          <w:sz w:val="24"/>
          <w:szCs w:val="24"/>
        </w:rPr>
        <w:t>dado o nível de</w:t>
      </w:r>
      <w:r w:rsidRPr="002A612C">
        <w:rPr>
          <w:sz w:val="24"/>
          <w:szCs w:val="24"/>
        </w:rPr>
        <w:t xml:space="preserve"> atividades</w:t>
      </w:r>
      <w:r>
        <w:rPr>
          <w:sz w:val="24"/>
          <w:szCs w:val="24"/>
        </w:rPr>
        <w:t xml:space="preserve"> conforme descrito em </w:t>
      </w:r>
      <w:r w:rsidR="000F1E1F" w:rsidRPr="002A612C">
        <w:rPr>
          <w:sz w:val="24"/>
          <w:szCs w:val="24"/>
        </w:rPr>
        <w:t xml:space="preserve">Anderson et al. (2003). São fatores explicativos que justificam a decisão deliberada dos gestores </w:t>
      </w:r>
      <w:r>
        <w:rPr>
          <w:sz w:val="24"/>
          <w:szCs w:val="24"/>
        </w:rPr>
        <w:t>frente a</w:t>
      </w:r>
      <w:r w:rsidR="000F1E1F" w:rsidRPr="002A612C">
        <w:rPr>
          <w:sz w:val="24"/>
          <w:szCs w:val="24"/>
        </w:rPr>
        <w:t>os incentivos recebidos por eles, como por exemplo, incentivos por metas de lucros (Dierynck et al., 2012, Kama &amp; Weiss</w:t>
      </w:r>
      <w:r w:rsidR="00282CB5">
        <w:rPr>
          <w:sz w:val="24"/>
          <w:szCs w:val="24"/>
        </w:rPr>
        <w:t>,</w:t>
      </w:r>
      <w:r w:rsidR="000F1E1F" w:rsidRPr="002A612C">
        <w:rPr>
          <w:sz w:val="24"/>
          <w:szCs w:val="24"/>
        </w:rPr>
        <w:t xml:space="preserve"> 2013); incentivos de construção de impérios (</w:t>
      </w:r>
      <w:r w:rsidR="000F1E1F" w:rsidRPr="002A612C">
        <w:rPr>
          <w:color w:val="000000"/>
          <w:sz w:val="24"/>
          <w:szCs w:val="24"/>
        </w:rPr>
        <w:t>Chen et al., 2012); incentivos para atender o benchmarking de ambientes competitivos (Li &amp; Zheng, 2017), os quais serão abordados no próximo tópico.</w:t>
      </w:r>
      <w:r w:rsidR="000F1E1F" w:rsidRPr="00FF4225">
        <w:rPr>
          <w:color w:val="000000"/>
          <w:sz w:val="24"/>
          <w:szCs w:val="24"/>
        </w:rPr>
        <w:t xml:space="preserve"> </w:t>
      </w:r>
    </w:p>
    <w:p w:rsidR="000F1E1F" w:rsidRDefault="000F1E1F" w:rsidP="000F1E1F">
      <w:pPr>
        <w:jc w:val="both"/>
        <w:rPr>
          <w:sz w:val="24"/>
          <w:szCs w:val="24"/>
        </w:rPr>
      </w:pPr>
    </w:p>
    <w:p w:rsidR="000F1E1F" w:rsidRPr="00FA07B3" w:rsidRDefault="000F1E1F" w:rsidP="000F1E1F">
      <w:pPr>
        <w:numPr>
          <w:ilvl w:val="1"/>
          <w:numId w:val="16"/>
        </w:numPr>
        <w:suppressAutoHyphens w:val="0"/>
        <w:jc w:val="both"/>
        <w:rPr>
          <w:b/>
          <w:sz w:val="24"/>
          <w:szCs w:val="24"/>
        </w:rPr>
      </w:pPr>
      <w:r>
        <w:rPr>
          <w:b/>
          <w:sz w:val="24"/>
          <w:szCs w:val="24"/>
        </w:rPr>
        <w:t>Sistemas de Incentivos e Estudos Relacionados</w:t>
      </w:r>
    </w:p>
    <w:p w:rsidR="000F1E1F" w:rsidRDefault="000F1E1F" w:rsidP="000F1E1F">
      <w:pPr>
        <w:ind w:firstLine="709"/>
        <w:jc w:val="both"/>
        <w:rPr>
          <w:sz w:val="24"/>
          <w:szCs w:val="24"/>
        </w:rPr>
      </w:pPr>
      <w:r>
        <w:rPr>
          <w:sz w:val="24"/>
          <w:szCs w:val="24"/>
        </w:rPr>
        <w:t xml:space="preserve">São crescentes os estudos que visam alcançar poder explicativo para a ocorrência de assimetria. Recentemente, o estudo da assimetria dos custos teve ampliado o seu escopo de análise para assuntos da contabilidade financeira, como por exemplo, Weiss (2010) que relacionou comportamento assimétrico com previsão de lucros e Banker et al. (2016) que </w:t>
      </w:r>
      <w:r>
        <w:rPr>
          <w:sz w:val="24"/>
          <w:szCs w:val="24"/>
        </w:rPr>
        <w:lastRenderedPageBreak/>
        <w:t>relacionou a temática com conservadorismo contábil.  Acrescenta-se o estudo de Zonatto et al. (2017), os quais relacionam com a assimetria de custos o gerenciamento de resultados, entretanto, não constataram relação significativa entre as variáveis.</w:t>
      </w:r>
    </w:p>
    <w:p w:rsidR="000F1E1F" w:rsidRDefault="000F1E1F" w:rsidP="000F1E1F">
      <w:pPr>
        <w:ind w:firstLine="709"/>
        <w:jc w:val="both"/>
        <w:rPr>
          <w:sz w:val="24"/>
          <w:szCs w:val="24"/>
        </w:rPr>
      </w:pPr>
      <w:r>
        <w:rPr>
          <w:sz w:val="24"/>
          <w:szCs w:val="24"/>
        </w:rPr>
        <w:t xml:space="preserve">Em termos específicos, Kama e Weiss (2013) afirmam que administradores impulsionados por incentivos e consequentemente dedicados a cumprir as metas de lucros, podem cortar recursos mais rapidamente do que gestores não incentivados. Dessa forma, é passível de conclusão que quando os gestores são incentivados </w:t>
      </w:r>
      <w:r w:rsidR="00841FA5">
        <w:rPr>
          <w:sz w:val="24"/>
          <w:szCs w:val="24"/>
        </w:rPr>
        <w:t>a</w:t>
      </w:r>
      <w:r>
        <w:rPr>
          <w:sz w:val="24"/>
          <w:szCs w:val="24"/>
        </w:rPr>
        <w:t xml:space="preserve"> atingir metas, há maiores possibilidades de redução do grau de assimetria (Kama &amp; Weiss, 2013).</w:t>
      </w:r>
    </w:p>
    <w:p w:rsidR="000F1E1F" w:rsidRDefault="000F1E1F" w:rsidP="000F1E1F">
      <w:pPr>
        <w:ind w:firstLine="709"/>
        <w:jc w:val="both"/>
        <w:rPr>
          <w:sz w:val="24"/>
          <w:szCs w:val="24"/>
        </w:rPr>
      </w:pPr>
      <w:r>
        <w:rPr>
          <w:sz w:val="24"/>
          <w:szCs w:val="24"/>
        </w:rPr>
        <w:t>Calleja et al. (2006)</w:t>
      </w:r>
      <w:r w:rsidR="00841FA5">
        <w:rPr>
          <w:sz w:val="24"/>
          <w:szCs w:val="24"/>
        </w:rPr>
        <w:t>, em outra perspectiva,</w:t>
      </w:r>
      <w:r>
        <w:rPr>
          <w:sz w:val="24"/>
          <w:szCs w:val="24"/>
        </w:rPr>
        <w:t xml:space="preserve"> dizem que os gestores podem decidir em manter os seus custos, mesmo quando há redução da receita. Isso acontece por questões contratuais ou de viabilidade a longo prazo da organização. Yasukata e Kajiwara (2011) investigaram a possibilidade de a assimetria resultar das decisões deliberadas dos gestores. Os autores verif</w:t>
      </w:r>
      <w:r w:rsidR="00841FA5">
        <w:rPr>
          <w:sz w:val="24"/>
          <w:szCs w:val="24"/>
        </w:rPr>
        <w:t>icaram que há gestores que mantê</w:t>
      </w:r>
      <w:r>
        <w:rPr>
          <w:sz w:val="24"/>
          <w:szCs w:val="24"/>
        </w:rPr>
        <w:t>m os recursos, mesmo em períodos de redução das vendas. Isso acontece porque, em uma perspectiva de longo prazo, pautada em perspectiva de vendas, pode fazer com que o gestor acredite que seja mais benéfico manter a estrutura nesse momento, do que estruturar novamente a empresa quando o momento estiver favorável.</w:t>
      </w:r>
    </w:p>
    <w:p w:rsidR="000F1E1F" w:rsidRDefault="000F1E1F" w:rsidP="000F1E1F">
      <w:pPr>
        <w:ind w:firstLine="709"/>
        <w:jc w:val="both"/>
        <w:rPr>
          <w:sz w:val="24"/>
          <w:szCs w:val="24"/>
        </w:rPr>
      </w:pPr>
      <w:r>
        <w:rPr>
          <w:sz w:val="24"/>
          <w:szCs w:val="24"/>
        </w:rPr>
        <w:t xml:space="preserve">Ademais, nessa relação gerencial, He, Teruya e Shimizu (2010) </w:t>
      </w:r>
      <w:r w:rsidR="00760E8B">
        <w:rPr>
          <w:sz w:val="24"/>
          <w:szCs w:val="24"/>
        </w:rPr>
        <w:t>discutem</w:t>
      </w:r>
      <w:r>
        <w:rPr>
          <w:sz w:val="24"/>
          <w:szCs w:val="24"/>
        </w:rPr>
        <w:t xml:space="preserve"> o fato de que um aumento na receita geralmente provoca mudanças positivas nos custos, entretanto, na sua diminuição, pode haver receio em ajustar os custos, como por exemplo, demitir funcionários, fatos que provocam a assimetria. Em geral, os autores acrescentam que </w:t>
      </w:r>
      <w:r w:rsidRPr="003D46B6">
        <w:rPr>
          <w:sz w:val="24"/>
          <w:szCs w:val="24"/>
        </w:rPr>
        <w:t>isso acontece porque os gestores japoneses pensam mais a longo prazo.</w:t>
      </w:r>
    </w:p>
    <w:p w:rsidR="000F1E1F" w:rsidRDefault="000F1E1F" w:rsidP="000F1E1F">
      <w:pPr>
        <w:ind w:firstLine="709"/>
        <w:jc w:val="both"/>
        <w:rPr>
          <w:sz w:val="24"/>
          <w:szCs w:val="24"/>
        </w:rPr>
      </w:pPr>
      <w:r>
        <w:rPr>
          <w:sz w:val="24"/>
          <w:szCs w:val="24"/>
        </w:rPr>
        <w:t>Assim, parece que é consolidado na literatura que a decisão dos gestores pode afetar a assimetria. Banker, Byzalov</w:t>
      </w:r>
      <w:r w:rsidRPr="00D174AD">
        <w:rPr>
          <w:sz w:val="24"/>
          <w:szCs w:val="24"/>
        </w:rPr>
        <w:t>,</w:t>
      </w:r>
      <w:r>
        <w:rPr>
          <w:sz w:val="24"/>
          <w:szCs w:val="24"/>
        </w:rPr>
        <w:t xml:space="preserve"> Ciftci e Mashruwala (2014)</w:t>
      </w:r>
      <w:r w:rsidRPr="00D174AD">
        <w:rPr>
          <w:sz w:val="24"/>
          <w:szCs w:val="24"/>
        </w:rPr>
        <w:t xml:space="preserve"> </w:t>
      </w:r>
      <w:r w:rsidRPr="001236E6">
        <w:rPr>
          <w:sz w:val="24"/>
          <w:szCs w:val="24"/>
        </w:rPr>
        <w:t>discutiram a assimetria sob a ótica de otimismo e pessimismo do gestor em relação ao futuro da organização. Por outro lado, Balakrishnan</w:t>
      </w:r>
      <w:r>
        <w:rPr>
          <w:sz w:val="24"/>
          <w:szCs w:val="24"/>
        </w:rPr>
        <w:t xml:space="preserve"> et al.</w:t>
      </w:r>
      <w:r w:rsidRPr="001236E6">
        <w:rPr>
          <w:sz w:val="24"/>
          <w:szCs w:val="24"/>
        </w:rPr>
        <w:t xml:space="preserve"> (2011), apontaram que uma análise da assimetria agrupada em períodos (t-3), poderia ter mais poder explicativo, frente que as decisões dos investimentos dos gestores são por meio da ótica de longo prazo. </w:t>
      </w:r>
    </w:p>
    <w:p w:rsidR="000F1E1F" w:rsidRPr="00467457" w:rsidRDefault="000F1E1F" w:rsidP="000F1E1F">
      <w:pPr>
        <w:ind w:firstLine="709"/>
        <w:jc w:val="both"/>
        <w:rPr>
          <w:sz w:val="24"/>
          <w:szCs w:val="24"/>
        </w:rPr>
      </w:pPr>
      <w:r>
        <w:rPr>
          <w:sz w:val="24"/>
          <w:szCs w:val="24"/>
        </w:rPr>
        <w:t xml:space="preserve">Nesse sentido, surgiram as pesquisas que abordam a temática de sistema de incentivos, tal qual o estudo de Chen et al. </w:t>
      </w:r>
      <w:r w:rsidRPr="00467457">
        <w:rPr>
          <w:sz w:val="24"/>
          <w:szCs w:val="24"/>
        </w:rPr>
        <w:t xml:space="preserve">(2012), </w:t>
      </w:r>
      <w:r w:rsidR="00760E8B">
        <w:rPr>
          <w:sz w:val="24"/>
          <w:szCs w:val="24"/>
        </w:rPr>
        <w:t xml:space="preserve">os quais </w:t>
      </w:r>
      <w:r w:rsidRPr="00467457">
        <w:rPr>
          <w:sz w:val="24"/>
          <w:szCs w:val="24"/>
        </w:rPr>
        <w:t xml:space="preserve">acreditam que a teoria da agência deve ser considerada no estudo da assimetria, visto que o sistema de incentivos oferecidos para o cumprimento das metas pode impactar nas decisões e consequentemente na assimetria de custos. Por fim, concluíram que os incentivos oferecidos aos gestores estão associados positivamente ao grau de assimetria. </w:t>
      </w:r>
    </w:p>
    <w:p w:rsidR="000F1E1F" w:rsidRDefault="000F1E1F" w:rsidP="000F1E1F">
      <w:pPr>
        <w:ind w:firstLine="709"/>
        <w:jc w:val="both"/>
        <w:rPr>
          <w:sz w:val="24"/>
          <w:szCs w:val="24"/>
        </w:rPr>
      </w:pPr>
      <w:r>
        <w:rPr>
          <w:sz w:val="24"/>
          <w:szCs w:val="24"/>
        </w:rPr>
        <w:t>Guenther, Riehl e Robler (2014</w:t>
      </w:r>
      <w:r w:rsidRPr="00467457">
        <w:rPr>
          <w:sz w:val="24"/>
          <w:szCs w:val="24"/>
        </w:rPr>
        <w:t>) corroboram com o estudo d</w:t>
      </w:r>
      <w:r>
        <w:rPr>
          <w:sz w:val="24"/>
          <w:szCs w:val="24"/>
        </w:rPr>
        <w:t xml:space="preserve">e Chen et al. </w:t>
      </w:r>
      <w:r w:rsidRPr="00467457">
        <w:rPr>
          <w:sz w:val="24"/>
          <w:szCs w:val="24"/>
        </w:rPr>
        <w:t>(2012) ao afirmar que as questões abordadas pela teoria da agência podem influenciar na assimetria, visto que as decisões dos gestores podem visar o benefício próprio. Essa referida temática foi objeto de estudos de pesquisador</w:t>
      </w:r>
      <w:r w:rsidR="00760E8B">
        <w:rPr>
          <w:sz w:val="24"/>
          <w:szCs w:val="24"/>
        </w:rPr>
        <w:t xml:space="preserve">es chineses, que utilizaram </w:t>
      </w:r>
      <w:r w:rsidRPr="00467457">
        <w:rPr>
          <w:sz w:val="24"/>
          <w:szCs w:val="24"/>
        </w:rPr>
        <w:t>empresas de seu país para verificar a relação, t</w:t>
      </w:r>
      <w:r w:rsidR="00760E8B">
        <w:rPr>
          <w:sz w:val="24"/>
          <w:szCs w:val="24"/>
        </w:rPr>
        <w:t xml:space="preserve">al qual, </w:t>
      </w:r>
      <w:r w:rsidRPr="00467457">
        <w:rPr>
          <w:sz w:val="24"/>
          <w:szCs w:val="24"/>
        </w:rPr>
        <w:t>Xi et al. (2013)</w:t>
      </w:r>
      <w:r w:rsidR="00760E8B">
        <w:rPr>
          <w:sz w:val="24"/>
          <w:szCs w:val="24"/>
        </w:rPr>
        <w:t>,</w:t>
      </w:r>
      <w:r w:rsidRPr="00467457">
        <w:rPr>
          <w:sz w:val="24"/>
          <w:szCs w:val="24"/>
        </w:rPr>
        <w:t xml:space="preserve"> que afirmaram que existe relação positiva entre assimetria e incentivos por meio de um estudo em empresas chinesas e Liang (2013), que, por meio de um estudo longitudi</w:t>
      </w:r>
      <w:r w:rsidR="00760E8B">
        <w:rPr>
          <w:sz w:val="24"/>
          <w:szCs w:val="24"/>
        </w:rPr>
        <w:t>nal de 12 anos, também constata</w:t>
      </w:r>
      <w:r w:rsidRPr="00467457">
        <w:rPr>
          <w:sz w:val="24"/>
          <w:szCs w:val="24"/>
        </w:rPr>
        <w:t xml:space="preserve"> associação positiva entre incentivos e </w:t>
      </w:r>
      <w:r w:rsidRPr="001F4B1E">
        <w:rPr>
          <w:i/>
          <w:sz w:val="24"/>
          <w:szCs w:val="24"/>
        </w:rPr>
        <w:t>stick costs</w:t>
      </w:r>
      <w:r>
        <w:rPr>
          <w:sz w:val="24"/>
          <w:szCs w:val="24"/>
        </w:rPr>
        <w:t>.</w:t>
      </w:r>
    </w:p>
    <w:p w:rsidR="000F1E1F" w:rsidRDefault="000F1E1F" w:rsidP="000F1E1F">
      <w:pPr>
        <w:pStyle w:val="PargrafodaLista"/>
        <w:ind w:left="0"/>
        <w:jc w:val="both"/>
        <w:rPr>
          <w:rFonts w:eastAsia="Calibri"/>
          <w:sz w:val="24"/>
          <w:szCs w:val="24"/>
          <w:lang w:eastAsia="en-US"/>
        </w:rPr>
      </w:pPr>
    </w:p>
    <w:p w:rsidR="000F1E1F" w:rsidRDefault="000F1E1F" w:rsidP="000F1E1F">
      <w:pPr>
        <w:pStyle w:val="PargrafodaLista"/>
        <w:ind w:left="0"/>
        <w:jc w:val="both"/>
        <w:rPr>
          <w:b/>
          <w:sz w:val="24"/>
          <w:szCs w:val="24"/>
        </w:rPr>
      </w:pPr>
      <w:r>
        <w:rPr>
          <w:b/>
          <w:sz w:val="24"/>
          <w:szCs w:val="24"/>
        </w:rPr>
        <w:t>3 PROCEDIMENTOS METODOLÓGICOS</w:t>
      </w:r>
    </w:p>
    <w:p w:rsidR="000F1E1F" w:rsidRDefault="000F1E1F" w:rsidP="000F1E1F">
      <w:pPr>
        <w:pStyle w:val="PargrafodaLista"/>
        <w:ind w:left="0"/>
        <w:jc w:val="both"/>
        <w:rPr>
          <w:b/>
          <w:sz w:val="24"/>
          <w:szCs w:val="24"/>
        </w:rPr>
      </w:pPr>
    </w:p>
    <w:p w:rsidR="000F1E1F" w:rsidRPr="0001573F" w:rsidRDefault="000F1E1F" w:rsidP="000F1E1F">
      <w:pPr>
        <w:jc w:val="both"/>
        <w:rPr>
          <w:b/>
          <w:color w:val="000000"/>
          <w:sz w:val="24"/>
          <w:szCs w:val="24"/>
        </w:rPr>
      </w:pPr>
      <w:r>
        <w:rPr>
          <w:b/>
          <w:color w:val="000000"/>
          <w:sz w:val="24"/>
          <w:szCs w:val="24"/>
        </w:rPr>
        <w:lastRenderedPageBreak/>
        <w:t>3.1 Amostra e Coleta de D</w:t>
      </w:r>
      <w:r w:rsidRPr="004E233C">
        <w:rPr>
          <w:b/>
          <w:color w:val="000000"/>
          <w:sz w:val="24"/>
          <w:szCs w:val="24"/>
        </w:rPr>
        <w:t>ados</w:t>
      </w:r>
    </w:p>
    <w:p w:rsidR="000F1E1F" w:rsidRDefault="000F1E1F" w:rsidP="000F1E1F">
      <w:pPr>
        <w:ind w:firstLine="709"/>
        <w:jc w:val="both"/>
        <w:rPr>
          <w:color w:val="000000"/>
          <w:sz w:val="24"/>
          <w:szCs w:val="24"/>
        </w:rPr>
      </w:pPr>
      <w:r>
        <w:rPr>
          <w:color w:val="000000"/>
          <w:sz w:val="24"/>
          <w:szCs w:val="24"/>
        </w:rPr>
        <w:t>Em</w:t>
      </w:r>
      <w:r w:rsidRPr="004D761C">
        <w:rPr>
          <w:color w:val="000000"/>
          <w:sz w:val="24"/>
          <w:szCs w:val="24"/>
        </w:rPr>
        <w:t xml:space="preserve"> relação à </w:t>
      </w:r>
      <w:r>
        <w:rPr>
          <w:color w:val="000000"/>
          <w:sz w:val="24"/>
          <w:szCs w:val="24"/>
        </w:rPr>
        <w:t>amostra de pesquisa</w:t>
      </w:r>
      <w:r w:rsidRPr="004D761C">
        <w:rPr>
          <w:color w:val="000000"/>
          <w:sz w:val="24"/>
          <w:szCs w:val="24"/>
        </w:rPr>
        <w:t xml:space="preserve">, </w:t>
      </w:r>
      <w:r>
        <w:rPr>
          <w:color w:val="000000"/>
          <w:sz w:val="24"/>
          <w:szCs w:val="24"/>
        </w:rPr>
        <w:t>utilizaram</w:t>
      </w:r>
      <w:r w:rsidRPr="004D761C">
        <w:rPr>
          <w:color w:val="000000"/>
          <w:sz w:val="24"/>
          <w:szCs w:val="24"/>
        </w:rPr>
        <w:t>-se as empresas</w:t>
      </w:r>
      <w:r>
        <w:rPr>
          <w:color w:val="000000"/>
          <w:sz w:val="24"/>
          <w:szCs w:val="24"/>
        </w:rPr>
        <w:t xml:space="preserve"> de capital aberto, listadas na bolsa</w:t>
      </w:r>
      <w:r w:rsidRPr="004D761C">
        <w:rPr>
          <w:color w:val="000000"/>
          <w:sz w:val="24"/>
          <w:szCs w:val="24"/>
        </w:rPr>
        <w:t xml:space="preserve"> de valores </w:t>
      </w:r>
      <w:r>
        <w:rPr>
          <w:color w:val="000000"/>
          <w:sz w:val="24"/>
          <w:szCs w:val="24"/>
        </w:rPr>
        <w:t>do Brasil</w:t>
      </w:r>
      <w:r w:rsidRPr="004D761C">
        <w:rPr>
          <w:color w:val="000000"/>
          <w:sz w:val="24"/>
          <w:szCs w:val="24"/>
        </w:rPr>
        <w:t xml:space="preserve">, </w:t>
      </w:r>
      <w:r>
        <w:rPr>
          <w:color w:val="000000"/>
          <w:sz w:val="24"/>
          <w:szCs w:val="24"/>
        </w:rPr>
        <w:t xml:space="preserve">intitulada </w:t>
      </w:r>
      <w:r w:rsidRPr="004D761C">
        <w:rPr>
          <w:color w:val="000000"/>
          <w:sz w:val="24"/>
          <w:szCs w:val="24"/>
        </w:rPr>
        <w:t>B3</w:t>
      </w:r>
      <w:r>
        <w:rPr>
          <w:color w:val="000000"/>
          <w:sz w:val="24"/>
          <w:szCs w:val="24"/>
        </w:rPr>
        <w:t>, antiga BM&amp;FBovespa. O escopo temporal da presente pesquisa compreende os anos de 2010 a 2016.</w:t>
      </w:r>
    </w:p>
    <w:p w:rsidR="000F1E1F" w:rsidRDefault="000F1E1F" w:rsidP="000F1E1F">
      <w:pPr>
        <w:ind w:firstLine="709"/>
        <w:jc w:val="both"/>
        <w:rPr>
          <w:color w:val="000000"/>
          <w:sz w:val="24"/>
          <w:szCs w:val="24"/>
        </w:rPr>
      </w:pPr>
      <w:r>
        <w:rPr>
          <w:color w:val="000000"/>
          <w:sz w:val="24"/>
          <w:szCs w:val="24"/>
        </w:rPr>
        <w:t>Inicialmente, a coleta foi realizada por meio da base de dados Economatica, a qual disponibiliza informações financeiras das empresas de capital aberto. Coletaram-se os dados segregados por exercício referente ao nome da companhia; setor de atuação; Receita Líquida de Venda, atualizada pela inflação; Custo do Produto Vendido, atualizado pela inflação; Despesas Administrativas e com Vendas, atualizadas pela inflação, além de Lucro Líquido (LL) e Ativo Total (AT), ambos atualizados pela inflação pela própria base.</w:t>
      </w:r>
    </w:p>
    <w:p w:rsidR="000F1E1F" w:rsidRDefault="000F1E1F" w:rsidP="000F1E1F">
      <w:pPr>
        <w:ind w:firstLine="709"/>
        <w:jc w:val="both"/>
        <w:rPr>
          <w:color w:val="000000"/>
          <w:sz w:val="24"/>
          <w:szCs w:val="24"/>
        </w:rPr>
      </w:pPr>
      <w:r>
        <w:rPr>
          <w:color w:val="000000"/>
          <w:sz w:val="24"/>
          <w:szCs w:val="24"/>
        </w:rPr>
        <w:t xml:space="preserve">O conjunto de dados, oriundo de 679 empresas, foram organizados em planilhas do </w:t>
      </w:r>
      <w:r w:rsidRPr="00D06951">
        <w:rPr>
          <w:color w:val="000000"/>
          <w:sz w:val="24"/>
          <w:szCs w:val="24"/>
        </w:rPr>
        <w:t>Microsoft Excel</w:t>
      </w:r>
      <w:r w:rsidRPr="00D06951">
        <w:rPr>
          <w:sz w:val="24"/>
          <w:szCs w:val="24"/>
        </w:rPr>
        <w:t>®</w:t>
      </w:r>
      <w:r>
        <w:rPr>
          <w:color w:val="000000"/>
          <w:sz w:val="24"/>
          <w:szCs w:val="24"/>
        </w:rPr>
        <w:t xml:space="preserve">. Em síntese, o processo de coleta de dados para a realização desta pesquisa está descrito na </w:t>
      </w:r>
      <w:r w:rsidRPr="007E4AA4">
        <w:rPr>
          <w:color w:val="000000"/>
          <w:sz w:val="24"/>
          <w:szCs w:val="24"/>
        </w:rPr>
        <w:t>Tabela 2</w:t>
      </w:r>
      <w:r>
        <w:rPr>
          <w:color w:val="000000"/>
          <w:sz w:val="24"/>
          <w:szCs w:val="24"/>
        </w:rPr>
        <w:t xml:space="preserve">. </w:t>
      </w:r>
    </w:p>
    <w:p w:rsidR="000F1E1F" w:rsidRDefault="000F1E1F" w:rsidP="000F1E1F">
      <w:pPr>
        <w:ind w:firstLine="709"/>
        <w:jc w:val="both"/>
        <w:rPr>
          <w:color w:val="000000"/>
          <w:sz w:val="24"/>
          <w:szCs w:val="24"/>
        </w:rPr>
      </w:pPr>
    </w:p>
    <w:p w:rsidR="000F1E1F" w:rsidRPr="00EC7150" w:rsidRDefault="000F1E1F" w:rsidP="000F1E1F">
      <w:pPr>
        <w:jc w:val="both"/>
        <w:rPr>
          <w:b/>
          <w:color w:val="000000"/>
          <w:sz w:val="24"/>
          <w:szCs w:val="24"/>
        </w:rPr>
      </w:pPr>
      <w:r w:rsidRPr="00EC7150">
        <w:rPr>
          <w:b/>
          <w:color w:val="000000"/>
          <w:sz w:val="24"/>
          <w:szCs w:val="24"/>
        </w:rPr>
        <w:t>Tabela 2</w:t>
      </w:r>
      <w:r w:rsidR="00EC7150" w:rsidRPr="00EC7150">
        <w:rPr>
          <w:b/>
          <w:color w:val="000000"/>
          <w:sz w:val="24"/>
          <w:szCs w:val="24"/>
        </w:rPr>
        <w:t xml:space="preserve">. </w:t>
      </w:r>
      <w:r w:rsidRPr="00EC7150">
        <w:rPr>
          <w:b/>
          <w:color w:val="000000"/>
          <w:sz w:val="24"/>
          <w:szCs w:val="24"/>
        </w:rPr>
        <w:t>Filtros da coleta de dados para amostra final</w:t>
      </w:r>
    </w:p>
    <w:tbl>
      <w:tblPr>
        <w:tblW w:w="9087" w:type="dxa"/>
        <w:tblInd w:w="55" w:type="dxa"/>
        <w:tblCellMar>
          <w:left w:w="70" w:type="dxa"/>
          <w:right w:w="70" w:type="dxa"/>
        </w:tblCellMar>
        <w:tblLook w:val="04A0" w:firstRow="1" w:lastRow="0" w:firstColumn="1" w:lastColumn="0" w:noHBand="0" w:noVBand="1"/>
      </w:tblPr>
      <w:tblGrid>
        <w:gridCol w:w="629"/>
        <w:gridCol w:w="5093"/>
        <w:gridCol w:w="985"/>
        <w:gridCol w:w="1218"/>
        <w:gridCol w:w="1162"/>
      </w:tblGrid>
      <w:tr w:rsidR="000F1E1F" w:rsidRPr="00360014" w:rsidTr="00760E8B">
        <w:trPr>
          <w:trHeight w:val="461"/>
        </w:trPr>
        <w:tc>
          <w:tcPr>
            <w:tcW w:w="629" w:type="dxa"/>
            <w:tcBorders>
              <w:top w:val="single" w:sz="4" w:space="0" w:color="auto"/>
              <w:left w:val="nil"/>
              <w:bottom w:val="single" w:sz="4" w:space="0" w:color="auto"/>
              <w:right w:val="single" w:sz="4" w:space="0" w:color="auto"/>
            </w:tcBorders>
            <w:shd w:val="clear" w:color="auto" w:fill="auto"/>
            <w:noWrap/>
            <w:vAlign w:val="center"/>
            <w:hideMark/>
          </w:tcPr>
          <w:p w:rsidR="000F1E1F" w:rsidRPr="00360014" w:rsidRDefault="000F1E1F" w:rsidP="00841FA5">
            <w:pPr>
              <w:jc w:val="center"/>
              <w:rPr>
                <w:b/>
                <w:bCs/>
                <w:color w:val="000000"/>
              </w:rPr>
            </w:pPr>
            <w:r w:rsidRPr="00360014">
              <w:rPr>
                <w:b/>
                <w:bCs/>
                <w:color w:val="000000"/>
              </w:rPr>
              <w:t>Filtro</w:t>
            </w:r>
          </w:p>
        </w:tc>
        <w:tc>
          <w:tcPr>
            <w:tcW w:w="5198" w:type="dxa"/>
            <w:tcBorders>
              <w:top w:val="single" w:sz="4" w:space="0" w:color="auto"/>
              <w:left w:val="nil"/>
              <w:bottom w:val="single" w:sz="4" w:space="0" w:color="auto"/>
              <w:right w:val="single" w:sz="4" w:space="0" w:color="auto"/>
            </w:tcBorders>
            <w:shd w:val="clear" w:color="auto" w:fill="auto"/>
            <w:vAlign w:val="center"/>
            <w:hideMark/>
          </w:tcPr>
          <w:p w:rsidR="000F1E1F" w:rsidRPr="00360014" w:rsidRDefault="000F1E1F" w:rsidP="00841FA5">
            <w:pPr>
              <w:jc w:val="center"/>
              <w:rPr>
                <w:b/>
                <w:bCs/>
                <w:color w:val="000000"/>
              </w:rPr>
            </w:pPr>
            <w:r w:rsidRPr="00360014">
              <w:rPr>
                <w:b/>
                <w:bCs/>
                <w:color w:val="000000"/>
              </w:rPr>
              <w:t>Evento</w:t>
            </w:r>
          </w:p>
        </w:tc>
        <w:tc>
          <w:tcPr>
            <w:tcW w:w="880" w:type="dxa"/>
            <w:tcBorders>
              <w:top w:val="single" w:sz="4" w:space="0" w:color="auto"/>
              <w:left w:val="nil"/>
              <w:bottom w:val="single" w:sz="4" w:space="0" w:color="auto"/>
              <w:right w:val="single" w:sz="4" w:space="0" w:color="auto"/>
            </w:tcBorders>
            <w:shd w:val="clear" w:color="auto" w:fill="auto"/>
            <w:vAlign w:val="center"/>
            <w:hideMark/>
          </w:tcPr>
          <w:p w:rsidR="000F1E1F" w:rsidRPr="00360014" w:rsidRDefault="000F1E1F" w:rsidP="00841FA5">
            <w:pPr>
              <w:jc w:val="center"/>
              <w:rPr>
                <w:b/>
                <w:bCs/>
                <w:color w:val="000000"/>
              </w:rPr>
            </w:pPr>
            <w:r w:rsidRPr="00360014">
              <w:rPr>
                <w:b/>
                <w:bCs/>
                <w:color w:val="000000"/>
              </w:rPr>
              <w:t>Número de Empresas</w:t>
            </w:r>
          </w:p>
        </w:tc>
        <w:tc>
          <w:tcPr>
            <w:tcW w:w="1218" w:type="dxa"/>
            <w:tcBorders>
              <w:top w:val="single" w:sz="4" w:space="0" w:color="auto"/>
              <w:left w:val="nil"/>
              <w:bottom w:val="single" w:sz="4" w:space="0" w:color="auto"/>
              <w:right w:val="single" w:sz="4" w:space="0" w:color="auto"/>
            </w:tcBorders>
            <w:shd w:val="clear" w:color="auto" w:fill="auto"/>
            <w:vAlign w:val="center"/>
            <w:hideMark/>
          </w:tcPr>
          <w:p w:rsidR="000F1E1F" w:rsidRPr="00360014" w:rsidRDefault="000F1E1F" w:rsidP="00841FA5">
            <w:pPr>
              <w:jc w:val="center"/>
              <w:rPr>
                <w:b/>
                <w:bCs/>
                <w:color w:val="000000"/>
              </w:rPr>
            </w:pPr>
            <w:r w:rsidRPr="00360014">
              <w:rPr>
                <w:b/>
                <w:bCs/>
                <w:color w:val="000000"/>
              </w:rPr>
              <w:t>Número de Observações</w:t>
            </w:r>
          </w:p>
        </w:tc>
        <w:tc>
          <w:tcPr>
            <w:tcW w:w="1162" w:type="dxa"/>
            <w:tcBorders>
              <w:top w:val="single" w:sz="4" w:space="0" w:color="auto"/>
              <w:left w:val="nil"/>
              <w:bottom w:val="single" w:sz="4" w:space="0" w:color="auto"/>
              <w:right w:val="nil"/>
            </w:tcBorders>
            <w:shd w:val="clear" w:color="auto" w:fill="auto"/>
            <w:vAlign w:val="center"/>
            <w:hideMark/>
          </w:tcPr>
          <w:p w:rsidR="000F1E1F" w:rsidRPr="00360014" w:rsidRDefault="000F1E1F" w:rsidP="00841FA5">
            <w:pPr>
              <w:jc w:val="center"/>
              <w:rPr>
                <w:b/>
                <w:bCs/>
                <w:color w:val="000000"/>
              </w:rPr>
            </w:pPr>
            <w:r w:rsidRPr="00360014">
              <w:rPr>
                <w:b/>
                <w:bCs/>
                <w:color w:val="000000"/>
              </w:rPr>
              <w:t>Média</w:t>
            </w:r>
            <w:r>
              <w:rPr>
                <w:b/>
                <w:bCs/>
                <w:color w:val="000000"/>
              </w:rPr>
              <w:t xml:space="preserve"> de</w:t>
            </w:r>
            <w:r w:rsidRPr="00360014">
              <w:rPr>
                <w:b/>
                <w:bCs/>
                <w:color w:val="000000"/>
              </w:rPr>
              <w:t xml:space="preserve"> observações por empresa</w:t>
            </w:r>
          </w:p>
        </w:tc>
      </w:tr>
      <w:tr w:rsidR="000F1E1F" w:rsidRPr="00360014" w:rsidTr="00760E8B">
        <w:trPr>
          <w:trHeight w:val="202"/>
        </w:trPr>
        <w:tc>
          <w:tcPr>
            <w:tcW w:w="629"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 </w:t>
            </w:r>
          </w:p>
        </w:tc>
        <w:tc>
          <w:tcPr>
            <w:tcW w:w="5198" w:type="dxa"/>
            <w:tcBorders>
              <w:top w:val="nil"/>
              <w:left w:val="nil"/>
              <w:bottom w:val="nil"/>
              <w:right w:val="single" w:sz="4" w:space="0" w:color="auto"/>
            </w:tcBorders>
            <w:shd w:val="clear" w:color="auto" w:fill="auto"/>
            <w:vAlign w:val="center"/>
            <w:hideMark/>
          </w:tcPr>
          <w:p w:rsidR="000F1E1F" w:rsidRPr="00360014" w:rsidRDefault="000F1E1F" w:rsidP="00841FA5">
            <w:pPr>
              <w:rPr>
                <w:color w:val="000000"/>
              </w:rPr>
            </w:pPr>
            <w:r>
              <w:rPr>
                <w:color w:val="000000"/>
              </w:rPr>
              <w:t>Coleta i</w:t>
            </w:r>
            <w:r w:rsidRPr="00360014">
              <w:rPr>
                <w:color w:val="000000"/>
              </w:rPr>
              <w:t>nicial dos dados de</w:t>
            </w:r>
            <w:r>
              <w:rPr>
                <w:color w:val="000000"/>
              </w:rPr>
              <w:t xml:space="preserve"> 2010 a 2016 no software Economa</w:t>
            </w:r>
            <w:r w:rsidRPr="00360014">
              <w:rPr>
                <w:color w:val="000000"/>
              </w:rPr>
              <w:t>tica</w:t>
            </w:r>
          </w:p>
        </w:tc>
        <w:tc>
          <w:tcPr>
            <w:tcW w:w="880"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679</w:t>
            </w:r>
          </w:p>
        </w:tc>
        <w:tc>
          <w:tcPr>
            <w:tcW w:w="1218"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4.753</w:t>
            </w:r>
          </w:p>
        </w:tc>
        <w:tc>
          <w:tcPr>
            <w:tcW w:w="1162" w:type="dxa"/>
            <w:tcBorders>
              <w:top w:val="nil"/>
              <w:left w:val="nil"/>
              <w:bottom w:val="nil"/>
              <w:right w:val="nil"/>
            </w:tcBorders>
            <w:shd w:val="clear" w:color="auto" w:fill="auto"/>
            <w:noWrap/>
            <w:vAlign w:val="center"/>
            <w:hideMark/>
          </w:tcPr>
          <w:p w:rsidR="000F1E1F" w:rsidRPr="00360014" w:rsidRDefault="000F1E1F" w:rsidP="00841FA5">
            <w:pPr>
              <w:jc w:val="center"/>
              <w:rPr>
                <w:color w:val="000000"/>
              </w:rPr>
            </w:pPr>
            <w:r w:rsidRPr="00360014">
              <w:rPr>
                <w:color w:val="000000"/>
              </w:rPr>
              <w:t>7</w:t>
            </w:r>
          </w:p>
        </w:tc>
      </w:tr>
      <w:tr w:rsidR="000F1E1F" w:rsidRPr="00360014" w:rsidTr="00760E8B">
        <w:trPr>
          <w:trHeight w:val="80"/>
        </w:trPr>
        <w:tc>
          <w:tcPr>
            <w:tcW w:w="629"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1º</w:t>
            </w:r>
          </w:p>
        </w:tc>
        <w:tc>
          <w:tcPr>
            <w:tcW w:w="5198" w:type="dxa"/>
            <w:tcBorders>
              <w:top w:val="nil"/>
              <w:left w:val="nil"/>
              <w:bottom w:val="nil"/>
              <w:right w:val="single" w:sz="4" w:space="0" w:color="auto"/>
            </w:tcBorders>
            <w:shd w:val="clear" w:color="auto" w:fill="auto"/>
            <w:vAlign w:val="center"/>
            <w:hideMark/>
          </w:tcPr>
          <w:p w:rsidR="000F1E1F" w:rsidRPr="00360014" w:rsidRDefault="000F1E1F" w:rsidP="00841FA5">
            <w:pPr>
              <w:rPr>
                <w:color w:val="000000"/>
              </w:rPr>
            </w:pPr>
            <w:r w:rsidRPr="00360014">
              <w:rPr>
                <w:color w:val="000000"/>
              </w:rPr>
              <w:t>Que tenha</w:t>
            </w:r>
            <w:r w:rsidR="00760E8B">
              <w:rPr>
                <w:color w:val="000000"/>
              </w:rPr>
              <w:t>m no mínim</w:t>
            </w:r>
            <w:r w:rsidRPr="00360014">
              <w:rPr>
                <w:color w:val="000000"/>
              </w:rPr>
              <w:t xml:space="preserve">o </w:t>
            </w:r>
            <w:r>
              <w:rPr>
                <w:color w:val="000000"/>
              </w:rPr>
              <w:t>2 anos consecutivos de informações entre 2010</w:t>
            </w:r>
            <w:r w:rsidRPr="00360014">
              <w:rPr>
                <w:color w:val="000000"/>
              </w:rPr>
              <w:t xml:space="preserve"> e 2016</w:t>
            </w:r>
          </w:p>
        </w:tc>
        <w:tc>
          <w:tcPr>
            <w:tcW w:w="880"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455</w:t>
            </w:r>
          </w:p>
        </w:tc>
        <w:tc>
          <w:tcPr>
            <w:tcW w:w="1218"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3.185</w:t>
            </w:r>
          </w:p>
        </w:tc>
        <w:tc>
          <w:tcPr>
            <w:tcW w:w="1162" w:type="dxa"/>
            <w:tcBorders>
              <w:top w:val="nil"/>
              <w:left w:val="nil"/>
              <w:bottom w:val="nil"/>
              <w:right w:val="nil"/>
            </w:tcBorders>
            <w:shd w:val="clear" w:color="auto" w:fill="auto"/>
            <w:noWrap/>
            <w:vAlign w:val="center"/>
            <w:hideMark/>
          </w:tcPr>
          <w:p w:rsidR="000F1E1F" w:rsidRPr="00360014" w:rsidRDefault="000F1E1F" w:rsidP="00841FA5">
            <w:pPr>
              <w:jc w:val="center"/>
              <w:rPr>
                <w:color w:val="000000"/>
              </w:rPr>
            </w:pPr>
            <w:r w:rsidRPr="00360014">
              <w:rPr>
                <w:color w:val="000000"/>
              </w:rPr>
              <w:t>7</w:t>
            </w:r>
          </w:p>
        </w:tc>
      </w:tr>
      <w:tr w:rsidR="000F1E1F" w:rsidRPr="00360014" w:rsidTr="00760E8B">
        <w:trPr>
          <w:trHeight w:val="80"/>
        </w:trPr>
        <w:tc>
          <w:tcPr>
            <w:tcW w:w="629"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2º</w:t>
            </w:r>
          </w:p>
        </w:tc>
        <w:tc>
          <w:tcPr>
            <w:tcW w:w="5198" w:type="dxa"/>
            <w:tcBorders>
              <w:top w:val="nil"/>
              <w:left w:val="nil"/>
              <w:bottom w:val="nil"/>
              <w:right w:val="single" w:sz="4" w:space="0" w:color="auto"/>
            </w:tcBorders>
            <w:shd w:val="clear" w:color="auto" w:fill="auto"/>
            <w:vAlign w:val="center"/>
            <w:hideMark/>
          </w:tcPr>
          <w:p w:rsidR="000F1E1F" w:rsidRPr="00360014" w:rsidRDefault="000F1E1F" w:rsidP="00841FA5">
            <w:pPr>
              <w:rPr>
                <w:color w:val="000000"/>
              </w:rPr>
            </w:pPr>
            <w:r w:rsidRPr="00360014">
              <w:rPr>
                <w:color w:val="000000"/>
              </w:rPr>
              <w:t>Excluídas as empresas do Setor Financeiro (Finanças, Seguros e Fundos)</w:t>
            </w:r>
          </w:p>
        </w:tc>
        <w:tc>
          <w:tcPr>
            <w:tcW w:w="880"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400</w:t>
            </w:r>
          </w:p>
        </w:tc>
        <w:tc>
          <w:tcPr>
            <w:tcW w:w="1218"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2.800</w:t>
            </w:r>
          </w:p>
        </w:tc>
        <w:tc>
          <w:tcPr>
            <w:tcW w:w="1162" w:type="dxa"/>
            <w:tcBorders>
              <w:top w:val="nil"/>
              <w:left w:val="nil"/>
              <w:bottom w:val="nil"/>
              <w:right w:val="nil"/>
            </w:tcBorders>
            <w:shd w:val="clear" w:color="auto" w:fill="auto"/>
            <w:noWrap/>
            <w:vAlign w:val="center"/>
            <w:hideMark/>
          </w:tcPr>
          <w:p w:rsidR="000F1E1F" w:rsidRPr="00360014" w:rsidRDefault="000F1E1F" w:rsidP="00841FA5">
            <w:pPr>
              <w:jc w:val="center"/>
              <w:rPr>
                <w:color w:val="000000"/>
              </w:rPr>
            </w:pPr>
            <w:r w:rsidRPr="00360014">
              <w:rPr>
                <w:color w:val="000000"/>
              </w:rPr>
              <w:t>7</w:t>
            </w:r>
          </w:p>
        </w:tc>
      </w:tr>
      <w:tr w:rsidR="000F1E1F" w:rsidRPr="00360014" w:rsidTr="00760E8B">
        <w:trPr>
          <w:trHeight w:val="80"/>
        </w:trPr>
        <w:tc>
          <w:tcPr>
            <w:tcW w:w="629"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3º</w:t>
            </w:r>
          </w:p>
        </w:tc>
        <w:tc>
          <w:tcPr>
            <w:tcW w:w="5198" w:type="dxa"/>
            <w:tcBorders>
              <w:top w:val="nil"/>
              <w:left w:val="nil"/>
              <w:bottom w:val="nil"/>
              <w:right w:val="single" w:sz="4" w:space="0" w:color="auto"/>
            </w:tcBorders>
            <w:shd w:val="clear" w:color="auto" w:fill="auto"/>
            <w:vAlign w:val="center"/>
            <w:hideMark/>
          </w:tcPr>
          <w:p w:rsidR="000F1E1F" w:rsidRPr="00360014" w:rsidRDefault="000F1E1F" w:rsidP="00760E8B">
            <w:pPr>
              <w:rPr>
                <w:color w:val="000000"/>
              </w:rPr>
            </w:pPr>
            <w:r w:rsidRPr="00360014">
              <w:rPr>
                <w:color w:val="000000"/>
              </w:rPr>
              <w:t xml:space="preserve">Exclusão das </w:t>
            </w:r>
            <w:r w:rsidR="00760E8B">
              <w:rPr>
                <w:color w:val="000000"/>
              </w:rPr>
              <w:t>observações que tiveram variações anuais.</w:t>
            </w:r>
            <w:r w:rsidRPr="00360014">
              <w:rPr>
                <w:color w:val="000000"/>
              </w:rPr>
              <w:t xml:space="preserve"> </w:t>
            </w:r>
            <w:r w:rsidR="00760E8B">
              <w:rPr>
                <w:color w:val="000000"/>
              </w:rPr>
              <w:t xml:space="preserve">crescentes ou decrescentes, </w:t>
            </w:r>
            <w:r w:rsidRPr="00360014">
              <w:rPr>
                <w:color w:val="000000"/>
              </w:rPr>
              <w:t>acima de 50%</w:t>
            </w:r>
            <w:r>
              <w:rPr>
                <w:color w:val="000000"/>
              </w:rPr>
              <w:t>,</w:t>
            </w:r>
            <w:r w:rsidRPr="00360014">
              <w:rPr>
                <w:color w:val="000000"/>
              </w:rPr>
              <w:t xml:space="preserve"> na</w:t>
            </w:r>
            <w:r w:rsidR="00760E8B">
              <w:rPr>
                <w:color w:val="000000"/>
              </w:rPr>
              <w:t xml:space="preserve"> RLV ou CPV</w:t>
            </w:r>
          </w:p>
        </w:tc>
        <w:tc>
          <w:tcPr>
            <w:tcW w:w="880"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340</w:t>
            </w:r>
          </w:p>
        </w:tc>
        <w:tc>
          <w:tcPr>
            <w:tcW w:w="1218" w:type="dxa"/>
            <w:tcBorders>
              <w:top w:val="nil"/>
              <w:left w:val="nil"/>
              <w:bottom w:val="nil"/>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1.617</w:t>
            </w:r>
          </w:p>
        </w:tc>
        <w:tc>
          <w:tcPr>
            <w:tcW w:w="1162" w:type="dxa"/>
            <w:tcBorders>
              <w:top w:val="nil"/>
              <w:left w:val="nil"/>
              <w:bottom w:val="nil"/>
              <w:right w:val="nil"/>
            </w:tcBorders>
            <w:shd w:val="clear" w:color="auto" w:fill="auto"/>
            <w:noWrap/>
            <w:vAlign w:val="center"/>
            <w:hideMark/>
          </w:tcPr>
          <w:p w:rsidR="000F1E1F" w:rsidRPr="00360014" w:rsidRDefault="000F1E1F" w:rsidP="00841FA5">
            <w:pPr>
              <w:jc w:val="center"/>
              <w:rPr>
                <w:color w:val="000000"/>
              </w:rPr>
            </w:pPr>
            <w:r w:rsidRPr="00360014">
              <w:rPr>
                <w:color w:val="000000"/>
              </w:rPr>
              <w:t>4,76</w:t>
            </w:r>
          </w:p>
        </w:tc>
      </w:tr>
      <w:tr w:rsidR="000F1E1F" w:rsidRPr="00360014" w:rsidTr="00760E8B">
        <w:trPr>
          <w:trHeight w:val="80"/>
        </w:trPr>
        <w:tc>
          <w:tcPr>
            <w:tcW w:w="629" w:type="dxa"/>
            <w:tcBorders>
              <w:top w:val="nil"/>
              <w:left w:val="nil"/>
              <w:bottom w:val="single" w:sz="4" w:space="0" w:color="auto"/>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4º</w:t>
            </w:r>
          </w:p>
        </w:tc>
        <w:tc>
          <w:tcPr>
            <w:tcW w:w="5198" w:type="dxa"/>
            <w:tcBorders>
              <w:top w:val="nil"/>
              <w:left w:val="nil"/>
              <w:bottom w:val="single" w:sz="4" w:space="0" w:color="auto"/>
              <w:right w:val="single" w:sz="4" w:space="0" w:color="auto"/>
            </w:tcBorders>
            <w:shd w:val="clear" w:color="auto" w:fill="auto"/>
            <w:vAlign w:val="center"/>
            <w:hideMark/>
          </w:tcPr>
          <w:p w:rsidR="000F1E1F" w:rsidRPr="00360014" w:rsidRDefault="000F1E1F" w:rsidP="00841FA5">
            <w:pPr>
              <w:rPr>
                <w:color w:val="000000"/>
              </w:rPr>
            </w:pPr>
            <w:r w:rsidRPr="00360014">
              <w:rPr>
                <w:color w:val="000000"/>
              </w:rPr>
              <w:t xml:space="preserve">Exclusão das observações </w:t>
            </w:r>
            <w:r w:rsidR="00760E8B">
              <w:rPr>
                <w:color w:val="000000"/>
              </w:rPr>
              <w:t xml:space="preserve">em </w:t>
            </w:r>
            <w:r>
              <w:rPr>
                <w:color w:val="000000"/>
              </w:rPr>
              <w:t>que não foi</w:t>
            </w:r>
            <w:r w:rsidRPr="00360014">
              <w:rPr>
                <w:color w:val="000000"/>
              </w:rPr>
              <w:t xml:space="preserve"> possível a coleta dos dados sobre </w:t>
            </w:r>
            <w:r>
              <w:rPr>
                <w:color w:val="000000"/>
              </w:rPr>
              <w:t xml:space="preserve">a </w:t>
            </w:r>
            <w:r w:rsidRPr="00360014">
              <w:rPr>
                <w:color w:val="000000"/>
              </w:rPr>
              <w:t xml:space="preserve">remuneração </w:t>
            </w:r>
          </w:p>
        </w:tc>
        <w:tc>
          <w:tcPr>
            <w:tcW w:w="880" w:type="dxa"/>
            <w:tcBorders>
              <w:top w:val="nil"/>
              <w:left w:val="nil"/>
              <w:bottom w:val="single" w:sz="4" w:space="0" w:color="auto"/>
              <w:right w:val="single" w:sz="4" w:space="0" w:color="auto"/>
            </w:tcBorders>
            <w:shd w:val="clear" w:color="auto" w:fill="auto"/>
            <w:noWrap/>
            <w:vAlign w:val="center"/>
            <w:hideMark/>
          </w:tcPr>
          <w:p w:rsidR="000F1E1F" w:rsidRPr="00360014" w:rsidRDefault="000F1E1F" w:rsidP="00841FA5">
            <w:pPr>
              <w:jc w:val="center"/>
              <w:rPr>
                <w:color w:val="000000"/>
              </w:rPr>
            </w:pPr>
            <w:r w:rsidRPr="00360014">
              <w:rPr>
                <w:color w:val="000000"/>
              </w:rPr>
              <w:t>314</w:t>
            </w:r>
          </w:p>
        </w:tc>
        <w:tc>
          <w:tcPr>
            <w:tcW w:w="1218" w:type="dxa"/>
            <w:tcBorders>
              <w:top w:val="nil"/>
              <w:left w:val="nil"/>
              <w:bottom w:val="single" w:sz="4" w:space="0" w:color="auto"/>
              <w:right w:val="single" w:sz="4" w:space="0" w:color="auto"/>
            </w:tcBorders>
            <w:shd w:val="clear" w:color="auto" w:fill="auto"/>
            <w:noWrap/>
            <w:vAlign w:val="center"/>
            <w:hideMark/>
          </w:tcPr>
          <w:p w:rsidR="000F1E1F" w:rsidRPr="00360014" w:rsidRDefault="000F1E1F" w:rsidP="00841FA5">
            <w:pPr>
              <w:jc w:val="center"/>
              <w:rPr>
                <w:color w:val="000000"/>
              </w:rPr>
            </w:pPr>
            <w:r>
              <w:rPr>
                <w:color w:val="000000"/>
              </w:rPr>
              <w:t>1.465</w:t>
            </w:r>
          </w:p>
        </w:tc>
        <w:tc>
          <w:tcPr>
            <w:tcW w:w="1162" w:type="dxa"/>
            <w:tcBorders>
              <w:top w:val="nil"/>
              <w:left w:val="nil"/>
              <w:bottom w:val="single" w:sz="4" w:space="0" w:color="auto"/>
              <w:right w:val="nil"/>
            </w:tcBorders>
            <w:shd w:val="clear" w:color="auto" w:fill="auto"/>
            <w:noWrap/>
            <w:vAlign w:val="center"/>
            <w:hideMark/>
          </w:tcPr>
          <w:p w:rsidR="000F1E1F" w:rsidRPr="00360014" w:rsidRDefault="000F1E1F" w:rsidP="00841FA5">
            <w:pPr>
              <w:jc w:val="center"/>
              <w:rPr>
                <w:color w:val="000000"/>
              </w:rPr>
            </w:pPr>
            <w:r w:rsidRPr="00360014">
              <w:rPr>
                <w:color w:val="000000"/>
              </w:rPr>
              <w:t>4,67</w:t>
            </w:r>
          </w:p>
        </w:tc>
      </w:tr>
    </w:tbl>
    <w:p w:rsidR="00EC7150" w:rsidRDefault="00EC7150" w:rsidP="000F1E1F">
      <w:pPr>
        <w:ind w:firstLine="709"/>
        <w:jc w:val="both"/>
        <w:rPr>
          <w:color w:val="000000"/>
          <w:sz w:val="24"/>
          <w:szCs w:val="24"/>
        </w:rPr>
      </w:pPr>
    </w:p>
    <w:p w:rsidR="000F1E1F" w:rsidRDefault="000F1E1F" w:rsidP="000F1E1F">
      <w:pPr>
        <w:ind w:firstLine="709"/>
        <w:jc w:val="both"/>
        <w:rPr>
          <w:color w:val="000000"/>
          <w:sz w:val="24"/>
          <w:szCs w:val="24"/>
        </w:rPr>
      </w:pPr>
      <w:r>
        <w:rPr>
          <w:color w:val="000000"/>
          <w:sz w:val="24"/>
          <w:szCs w:val="24"/>
        </w:rPr>
        <w:t>Após a coleta inicial, foi necessária a inserção de filtros a fim de constituir a amostra final da pesquisa. Desse modo, iniciou-se a primeira filtragem pautada na necessidade de haver informações de pelo menos dois anos consecutivos da mesma companhia, caso contrário, não seria possível calcular a assimetria dos custos. Após esse primeiro filtro, houve a exclusão das informações de 224 empresas. Ressalta-se que as informações relativas ao exercício de 2010 servem de base para o cálculo das variações da receita e do custo para o exercício de 2011.</w:t>
      </w:r>
    </w:p>
    <w:p w:rsidR="000F1E1F" w:rsidRDefault="000F1E1F" w:rsidP="00EC7150">
      <w:pPr>
        <w:ind w:firstLine="709"/>
        <w:jc w:val="both"/>
        <w:rPr>
          <w:color w:val="000000"/>
          <w:sz w:val="24"/>
          <w:szCs w:val="24"/>
        </w:rPr>
      </w:pPr>
      <w:r>
        <w:rPr>
          <w:color w:val="000000"/>
          <w:sz w:val="24"/>
          <w:szCs w:val="24"/>
        </w:rPr>
        <w:t>Posteriormente, utiliza-se do segundo e terceiro filtro, os quais são opções metodológicas, que visam não comprometer a confiabilidade da amostra da pesquisa. Tais procedimentos estão associados à especificidade do setor financeiro e ao fato de que grandes variações na receita ou no custo podem não representar o curso normal das atividades da companhia, fato que compromete o c</w:t>
      </w:r>
      <w:r w:rsidR="00EC7150">
        <w:rPr>
          <w:color w:val="000000"/>
          <w:sz w:val="24"/>
          <w:szCs w:val="24"/>
        </w:rPr>
        <w:t>álculo da assimetria dos custos, conforme defendido por</w:t>
      </w:r>
      <w:r>
        <w:rPr>
          <w:color w:val="000000"/>
          <w:sz w:val="24"/>
          <w:szCs w:val="24"/>
        </w:rPr>
        <w:t xml:space="preserve"> </w:t>
      </w:r>
      <w:r w:rsidRPr="001775A6">
        <w:rPr>
          <w:color w:val="000000"/>
          <w:sz w:val="24"/>
          <w:szCs w:val="24"/>
        </w:rPr>
        <w:t>Su</w:t>
      </w:r>
      <w:r w:rsidR="00EC7150">
        <w:rPr>
          <w:color w:val="000000"/>
          <w:sz w:val="24"/>
          <w:szCs w:val="24"/>
        </w:rPr>
        <w:t xml:space="preserve">bramaniam e Weidenmier (2003); </w:t>
      </w:r>
      <w:r w:rsidRPr="001775A6">
        <w:rPr>
          <w:color w:val="000000"/>
          <w:sz w:val="24"/>
          <w:szCs w:val="24"/>
        </w:rPr>
        <w:t>Calleja</w:t>
      </w:r>
      <w:r>
        <w:rPr>
          <w:color w:val="000000"/>
          <w:sz w:val="24"/>
          <w:szCs w:val="24"/>
        </w:rPr>
        <w:t xml:space="preserve"> et al. </w:t>
      </w:r>
      <w:r w:rsidRPr="001775A6">
        <w:rPr>
          <w:color w:val="000000"/>
          <w:sz w:val="24"/>
          <w:szCs w:val="24"/>
        </w:rPr>
        <w:t>(2006)</w:t>
      </w:r>
      <w:r w:rsidR="00EC7150">
        <w:rPr>
          <w:color w:val="000000"/>
          <w:sz w:val="24"/>
          <w:szCs w:val="24"/>
        </w:rPr>
        <w:t xml:space="preserve"> e Richartz (2016).</w:t>
      </w:r>
    </w:p>
    <w:p w:rsidR="000F1E1F" w:rsidRDefault="000F1E1F" w:rsidP="000F1E1F">
      <w:pPr>
        <w:ind w:firstLine="709"/>
        <w:jc w:val="both"/>
        <w:rPr>
          <w:color w:val="000000"/>
          <w:sz w:val="24"/>
          <w:szCs w:val="24"/>
        </w:rPr>
      </w:pPr>
      <w:r>
        <w:rPr>
          <w:color w:val="000000"/>
          <w:sz w:val="24"/>
          <w:szCs w:val="24"/>
        </w:rPr>
        <w:t>Adiante, antes da aplicação do quarto filtro, esclarece-se que nesta pesquisa será considerada a remuneração variável (RV) como o incentivo concedido aos gestores. Para tanto, verificou-se que, as companhias em geral, apresentam a administração segregada em três esferas: Conselho de Administração</w:t>
      </w:r>
      <w:r w:rsidR="00AE34A2">
        <w:rPr>
          <w:color w:val="000000"/>
          <w:sz w:val="24"/>
          <w:szCs w:val="24"/>
        </w:rPr>
        <w:t xml:space="preserve"> (CA)</w:t>
      </w:r>
      <w:r>
        <w:rPr>
          <w:color w:val="000000"/>
          <w:sz w:val="24"/>
          <w:szCs w:val="24"/>
        </w:rPr>
        <w:t>; Diretoria Estatutária</w:t>
      </w:r>
      <w:r w:rsidR="00AE34A2">
        <w:rPr>
          <w:color w:val="000000"/>
          <w:sz w:val="24"/>
          <w:szCs w:val="24"/>
        </w:rPr>
        <w:t xml:space="preserve"> (DE)</w:t>
      </w:r>
      <w:r>
        <w:rPr>
          <w:color w:val="000000"/>
          <w:sz w:val="24"/>
          <w:szCs w:val="24"/>
        </w:rPr>
        <w:t xml:space="preserve"> e Conselho Fiscal</w:t>
      </w:r>
      <w:r w:rsidR="00AE34A2">
        <w:rPr>
          <w:color w:val="000000"/>
          <w:sz w:val="24"/>
          <w:szCs w:val="24"/>
        </w:rPr>
        <w:t xml:space="preserve"> </w:t>
      </w:r>
      <w:r w:rsidR="00AE34A2">
        <w:rPr>
          <w:color w:val="000000"/>
          <w:sz w:val="24"/>
          <w:szCs w:val="24"/>
        </w:rPr>
        <w:lastRenderedPageBreak/>
        <w:t>(CF)</w:t>
      </w:r>
      <w:r>
        <w:rPr>
          <w:color w:val="000000"/>
          <w:sz w:val="24"/>
          <w:szCs w:val="24"/>
        </w:rPr>
        <w:t>. Predominantemente, a remuneração dos executivos, especialmente de cunho variável, é presente aos membros da Diretoria Estatutária, tal qual, deste modo, pela maior quantidade de informações, conforme observado na Tabela 3, se tornou objeto de análise desta pesquisa.</w:t>
      </w:r>
    </w:p>
    <w:p w:rsidR="000F1E1F" w:rsidRDefault="000F1E1F" w:rsidP="000F1E1F">
      <w:pPr>
        <w:jc w:val="both"/>
        <w:rPr>
          <w:color w:val="000000"/>
          <w:sz w:val="24"/>
          <w:szCs w:val="24"/>
        </w:rPr>
      </w:pPr>
    </w:p>
    <w:p w:rsidR="000F1E1F" w:rsidRPr="00EC7150" w:rsidRDefault="00EC7150" w:rsidP="000F1E1F">
      <w:pPr>
        <w:jc w:val="both"/>
        <w:rPr>
          <w:b/>
          <w:color w:val="000000"/>
          <w:sz w:val="24"/>
          <w:szCs w:val="24"/>
        </w:rPr>
      </w:pPr>
      <w:r w:rsidRPr="00EC7150">
        <w:rPr>
          <w:b/>
          <w:color w:val="000000"/>
          <w:sz w:val="24"/>
          <w:szCs w:val="24"/>
        </w:rPr>
        <w:t xml:space="preserve">Tabela 3. </w:t>
      </w:r>
      <w:r w:rsidR="000F1E1F" w:rsidRPr="00EC7150">
        <w:rPr>
          <w:b/>
          <w:color w:val="000000"/>
          <w:sz w:val="24"/>
          <w:szCs w:val="24"/>
        </w:rPr>
        <w:t>Remuneração Variável por Órgão Administrativo</w:t>
      </w:r>
    </w:p>
    <w:tbl>
      <w:tblPr>
        <w:tblW w:w="9127" w:type="dxa"/>
        <w:jc w:val="center"/>
        <w:tblCellMar>
          <w:left w:w="70" w:type="dxa"/>
          <w:right w:w="70" w:type="dxa"/>
        </w:tblCellMar>
        <w:tblLook w:val="04A0" w:firstRow="1" w:lastRow="0" w:firstColumn="1" w:lastColumn="0" w:noHBand="0" w:noVBand="1"/>
      </w:tblPr>
      <w:tblGrid>
        <w:gridCol w:w="1588"/>
        <w:gridCol w:w="1692"/>
        <w:gridCol w:w="1426"/>
        <w:gridCol w:w="1559"/>
        <w:gridCol w:w="1276"/>
        <w:gridCol w:w="1586"/>
      </w:tblGrid>
      <w:tr w:rsidR="000F1E1F" w:rsidRPr="000865F6" w:rsidTr="00841FA5">
        <w:trPr>
          <w:trHeight w:val="70"/>
          <w:jc w:val="center"/>
        </w:trPr>
        <w:tc>
          <w:tcPr>
            <w:tcW w:w="3280" w:type="dxa"/>
            <w:gridSpan w:val="2"/>
            <w:tcBorders>
              <w:top w:val="single" w:sz="4" w:space="0" w:color="auto"/>
              <w:left w:val="nil"/>
              <w:bottom w:val="single" w:sz="4" w:space="0" w:color="auto"/>
              <w:right w:val="single" w:sz="4" w:space="0" w:color="000000"/>
            </w:tcBorders>
            <w:shd w:val="clear" w:color="auto" w:fill="auto"/>
            <w:vAlign w:val="center"/>
            <w:hideMark/>
          </w:tcPr>
          <w:p w:rsidR="000F1E1F" w:rsidRPr="000865F6" w:rsidRDefault="000F1E1F" w:rsidP="00841FA5">
            <w:pPr>
              <w:jc w:val="center"/>
              <w:rPr>
                <w:b/>
                <w:bCs/>
                <w:color w:val="000000"/>
              </w:rPr>
            </w:pPr>
            <w:r w:rsidRPr="000865F6">
              <w:rPr>
                <w:b/>
                <w:bCs/>
                <w:color w:val="000000"/>
              </w:rPr>
              <w:t>Conselho de Administração</w:t>
            </w:r>
          </w:p>
        </w:tc>
        <w:tc>
          <w:tcPr>
            <w:tcW w:w="2985" w:type="dxa"/>
            <w:gridSpan w:val="2"/>
            <w:tcBorders>
              <w:top w:val="single" w:sz="4" w:space="0" w:color="auto"/>
              <w:left w:val="nil"/>
              <w:bottom w:val="single" w:sz="4" w:space="0" w:color="auto"/>
              <w:right w:val="single" w:sz="4" w:space="0" w:color="000000"/>
            </w:tcBorders>
            <w:shd w:val="clear" w:color="auto" w:fill="auto"/>
            <w:vAlign w:val="center"/>
            <w:hideMark/>
          </w:tcPr>
          <w:p w:rsidR="000F1E1F" w:rsidRPr="000865F6" w:rsidRDefault="000F1E1F" w:rsidP="00841FA5">
            <w:pPr>
              <w:jc w:val="center"/>
              <w:rPr>
                <w:b/>
                <w:bCs/>
                <w:color w:val="000000"/>
              </w:rPr>
            </w:pPr>
            <w:r w:rsidRPr="000865F6">
              <w:rPr>
                <w:b/>
                <w:bCs/>
                <w:color w:val="000000"/>
              </w:rPr>
              <w:t>Diretoria Estatutária</w:t>
            </w:r>
          </w:p>
        </w:tc>
        <w:tc>
          <w:tcPr>
            <w:tcW w:w="2862" w:type="dxa"/>
            <w:gridSpan w:val="2"/>
            <w:tcBorders>
              <w:top w:val="single" w:sz="4" w:space="0" w:color="auto"/>
              <w:left w:val="nil"/>
              <w:bottom w:val="single" w:sz="4" w:space="0" w:color="auto"/>
              <w:right w:val="nil"/>
            </w:tcBorders>
            <w:shd w:val="clear" w:color="auto" w:fill="auto"/>
            <w:vAlign w:val="center"/>
            <w:hideMark/>
          </w:tcPr>
          <w:p w:rsidR="000F1E1F" w:rsidRPr="000865F6" w:rsidRDefault="000F1E1F" w:rsidP="00841FA5">
            <w:pPr>
              <w:jc w:val="center"/>
              <w:rPr>
                <w:b/>
                <w:bCs/>
                <w:color w:val="000000"/>
              </w:rPr>
            </w:pPr>
            <w:r w:rsidRPr="000865F6">
              <w:rPr>
                <w:b/>
                <w:bCs/>
                <w:color w:val="000000"/>
              </w:rPr>
              <w:t>Conselho Fiscal</w:t>
            </w:r>
          </w:p>
        </w:tc>
      </w:tr>
      <w:tr w:rsidR="000F1E1F" w:rsidRPr="000865F6" w:rsidTr="00841FA5">
        <w:trPr>
          <w:trHeight w:val="106"/>
          <w:jc w:val="center"/>
        </w:trPr>
        <w:tc>
          <w:tcPr>
            <w:tcW w:w="1588" w:type="dxa"/>
            <w:tcBorders>
              <w:top w:val="nil"/>
              <w:left w:val="nil"/>
              <w:bottom w:val="nil"/>
              <w:right w:val="nil"/>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Empresas</w:t>
            </w:r>
          </w:p>
        </w:tc>
        <w:tc>
          <w:tcPr>
            <w:tcW w:w="1692" w:type="dxa"/>
            <w:tcBorders>
              <w:top w:val="nil"/>
              <w:left w:val="nil"/>
              <w:bottom w:val="nil"/>
              <w:right w:val="single" w:sz="4" w:space="0" w:color="auto"/>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w:t>
            </w:r>
          </w:p>
        </w:tc>
        <w:tc>
          <w:tcPr>
            <w:tcW w:w="1426" w:type="dxa"/>
            <w:tcBorders>
              <w:top w:val="nil"/>
              <w:left w:val="nil"/>
              <w:bottom w:val="nil"/>
              <w:right w:val="nil"/>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Empresas</w:t>
            </w:r>
          </w:p>
        </w:tc>
        <w:tc>
          <w:tcPr>
            <w:tcW w:w="1559" w:type="dxa"/>
            <w:tcBorders>
              <w:top w:val="nil"/>
              <w:left w:val="nil"/>
              <w:bottom w:val="nil"/>
              <w:right w:val="single" w:sz="4" w:space="0" w:color="auto"/>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w:t>
            </w:r>
          </w:p>
        </w:tc>
        <w:tc>
          <w:tcPr>
            <w:tcW w:w="1276" w:type="dxa"/>
            <w:tcBorders>
              <w:top w:val="nil"/>
              <w:left w:val="nil"/>
              <w:bottom w:val="nil"/>
              <w:right w:val="nil"/>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Empresas</w:t>
            </w:r>
          </w:p>
        </w:tc>
        <w:tc>
          <w:tcPr>
            <w:tcW w:w="1586" w:type="dxa"/>
            <w:tcBorders>
              <w:top w:val="nil"/>
              <w:left w:val="nil"/>
              <w:bottom w:val="nil"/>
              <w:right w:val="nil"/>
            </w:tcBorders>
            <w:shd w:val="clear" w:color="auto" w:fill="auto"/>
            <w:noWrap/>
            <w:vAlign w:val="center"/>
            <w:hideMark/>
          </w:tcPr>
          <w:p w:rsidR="000F1E1F" w:rsidRPr="000865F6" w:rsidRDefault="000F1E1F" w:rsidP="00841FA5">
            <w:pPr>
              <w:jc w:val="center"/>
              <w:rPr>
                <w:i/>
                <w:iCs/>
                <w:color w:val="000000"/>
              </w:rPr>
            </w:pPr>
            <w:r w:rsidRPr="000865F6">
              <w:rPr>
                <w:i/>
                <w:iCs/>
                <w:color w:val="000000"/>
              </w:rPr>
              <w:t>%</w:t>
            </w:r>
          </w:p>
        </w:tc>
      </w:tr>
      <w:tr w:rsidR="000F1E1F" w:rsidRPr="000865F6" w:rsidTr="00841FA5">
        <w:trPr>
          <w:trHeight w:val="80"/>
          <w:jc w:val="center"/>
        </w:trPr>
        <w:tc>
          <w:tcPr>
            <w:tcW w:w="1588" w:type="dxa"/>
            <w:tcBorders>
              <w:top w:val="nil"/>
              <w:left w:val="nil"/>
              <w:bottom w:val="single" w:sz="4" w:space="0" w:color="auto"/>
              <w:right w:val="nil"/>
            </w:tcBorders>
            <w:shd w:val="clear" w:color="auto" w:fill="auto"/>
            <w:noWrap/>
            <w:vAlign w:val="bottom"/>
            <w:hideMark/>
          </w:tcPr>
          <w:p w:rsidR="000F1E1F" w:rsidRPr="000865F6" w:rsidRDefault="000F1E1F" w:rsidP="00841FA5">
            <w:pPr>
              <w:jc w:val="center"/>
              <w:rPr>
                <w:color w:val="000000"/>
              </w:rPr>
            </w:pPr>
            <w:r w:rsidRPr="000865F6">
              <w:rPr>
                <w:color w:val="000000"/>
              </w:rPr>
              <w:t>80</w:t>
            </w:r>
          </w:p>
        </w:tc>
        <w:tc>
          <w:tcPr>
            <w:tcW w:w="1692" w:type="dxa"/>
            <w:tcBorders>
              <w:top w:val="nil"/>
              <w:left w:val="nil"/>
              <w:bottom w:val="single" w:sz="4" w:space="0" w:color="auto"/>
              <w:right w:val="single" w:sz="4" w:space="0" w:color="auto"/>
            </w:tcBorders>
            <w:shd w:val="clear" w:color="auto" w:fill="auto"/>
            <w:noWrap/>
            <w:vAlign w:val="bottom"/>
            <w:hideMark/>
          </w:tcPr>
          <w:p w:rsidR="000F1E1F" w:rsidRPr="000865F6" w:rsidRDefault="000F1E1F" w:rsidP="00841FA5">
            <w:pPr>
              <w:jc w:val="center"/>
              <w:rPr>
                <w:color w:val="000000"/>
              </w:rPr>
            </w:pPr>
            <w:r w:rsidRPr="000865F6">
              <w:rPr>
                <w:color w:val="000000"/>
              </w:rPr>
              <w:t>23,53%</w:t>
            </w:r>
          </w:p>
        </w:tc>
        <w:tc>
          <w:tcPr>
            <w:tcW w:w="1426" w:type="dxa"/>
            <w:tcBorders>
              <w:top w:val="nil"/>
              <w:left w:val="nil"/>
              <w:bottom w:val="single" w:sz="4" w:space="0" w:color="auto"/>
              <w:right w:val="nil"/>
            </w:tcBorders>
            <w:shd w:val="clear" w:color="auto" w:fill="auto"/>
            <w:noWrap/>
            <w:vAlign w:val="bottom"/>
            <w:hideMark/>
          </w:tcPr>
          <w:p w:rsidR="000F1E1F" w:rsidRPr="000865F6" w:rsidRDefault="000F1E1F" w:rsidP="00841FA5">
            <w:pPr>
              <w:jc w:val="center"/>
              <w:rPr>
                <w:color w:val="000000"/>
              </w:rPr>
            </w:pPr>
            <w:r w:rsidRPr="000865F6">
              <w:rPr>
                <w:color w:val="000000"/>
              </w:rPr>
              <w:t>314</w:t>
            </w:r>
          </w:p>
        </w:tc>
        <w:tc>
          <w:tcPr>
            <w:tcW w:w="1559" w:type="dxa"/>
            <w:tcBorders>
              <w:top w:val="nil"/>
              <w:left w:val="nil"/>
              <w:bottom w:val="single" w:sz="4" w:space="0" w:color="auto"/>
              <w:right w:val="single" w:sz="4" w:space="0" w:color="auto"/>
            </w:tcBorders>
            <w:shd w:val="clear" w:color="auto" w:fill="auto"/>
            <w:noWrap/>
            <w:vAlign w:val="bottom"/>
            <w:hideMark/>
          </w:tcPr>
          <w:p w:rsidR="000F1E1F" w:rsidRPr="000865F6" w:rsidRDefault="000F1E1F" w:rsidP="00841FA5">
            <w:pPr>
              <w:jc w:val="center"/>
              <w:rPr>
                <w:color w:val="000000"/>
              </w:rPr>
            </w:pPr>
            <w:r w:rsidRPr="000865F6">
              <w:rPr>
                <w:color w:val="000000"/>
              </w:rPr>
              <w:t>92,35%</w:t>
            </w:r>
          </w:p>
        </w:tc>
        <w:tc>
          <w:tcPr>
            <w:tcW w:w="1276" w:type="dxa"/>
            <w:tcBorders>
              <w:top w:val="nil"/>
              <w:left w:val="nil"/>
              <w:bottom w:val="single" w:sz="4" w:space="0" w:color="auto"/>
              <w:right w:val="nil"/>
            </w:tcBorders>
            <w:shd w:val="clear" w:color="auto" w:fill="auto"/>
            <w:noWrap/>
            <w:vAlign w:val="bottom"/>
            <w:hideMark/>
          </w:tcPr>
          <w:p w:rsidR="000F1E1F" w:rsidRPr="000865F6" w:rsidRDefault="000F1E1F" w:rsidP="00841FA5">
            <w:pPr>
              <w:jc w:val="center"/>
              <w:rPr>
                <w:color w:val="000000"/>
              </w:rPr>
            </w:pPr>
            <w:r w:rsidRPr="000865F6">
              <w:rPr>
                <w:color w:val="000000"/>
              </w:rPr>
              <w:t>12</w:t>
            </w:r>
          </w:p>
        </w:tc>
        <w:tc>
          <w:tcPr>
            <w:tcW w:w="1586" w:type="dxa"/>
            <w:tcBorders>
              <w:top w:val="nil"/>
              <w:left w:val="nil"/>
              <w:bottom w:val="single" w:sz="4" w:space="0" w:color="auto"/>
              <w:right w:val="nil"/>
            </w:tcBorders>
            <w:shd w:val="clear" w:color="auto" w:fill="auto"/>
            <w:noWrap/>
            <w:vAlign w:val="bottom"/>
            <w:hideMark/>
          </w:tcPr>
          <w:p w:rsidR="000F1E1F" w:rsidRPr="000865F6" w:rsidRDefault="000F1E1F" w:rsidP="00841FA5">
            <w:pPr>
              <w:jc w:val="center"/>
              <w:rPr>
                <w:color w:val="000000"/>
              </w:rPr>
            </w:pPr>
            <w:r w:rsidRPr="000865F6">
              <w:rPr>
                <w:color w:val="000000"/>
              </w:rPr>
              <w:t>3,53%</w:t>
            </w:r>
          </w:p>
        </w:tc>
      </w:tr>
    </w:tbl>
    <w:p w:rsidR="000F1E1F" w:rsidRDefault="000F1E1F" w:rsidP="000F1E1F">
      <w:pPr>
        <w:ind w:firstLine="709"/>
        <w:jc w:val="both"/>
        <w:rPr>
          <w:color w:val="000000"/>
          <w:sz w:val="24"/>
          <w:szCs w:val="24"/>
        </w:rPr>
      </w:pPr>
    </w:p>
    <w:p w:rsidR="000F1E1F" w:rsidRDefault="000F1E1F" w:rsidP="000F1E1F">
      <w:pPr>
        <w:ind w:firstLine="709"/>
        <w:jc w:val="both"/>
        <w:rPr>
          <w:color w:val="000000"/>
          <w:sz w:val="24"/>
          <w:szCs w:val="24"/>
        </w:rPr>
      </w:pPr>
      <w:r>
        <w:rPr>
          <w:color w:val="000000"/>
          <w:sz w:val="24"/>
          <w:szCs w:val="24"/>
        </w:rPr>
        <w:t>Ademais, ao que tange a coleta quantitativa das informações sobre remuneração variável, foram acessados os formulários de referência</w:t>
      </w:r>
      <w:r w:rsidR="00EC7150">
        <w:rPr>
          <w:color w:val="000000"/>
          <w:sz w:val="24"/>
          <w:szCs w:val="24"/>
        </w:rPr>
        <w:t xml:space="preserve"> (FR)</w:t>
      </w:r>
      <w:r>
        <w:rPr>
          <w:color w:val="000000"/>
          <w:sz w:val="24"/>
          <w:szCs w:val="24"/>
        </w:rPr>
        <w:t xml:space="preserve"> de cada exercício e de todas as companhias listadas (após o 3º filtro). Foram acessados os itens que competem à remuneração dos administradores, os quais são segregados em:</w:t>
      </w:r>
    </w:p>
    <w:p w:rsidR="000F1E1F" w:rsidRDefault="000F1E1F" w:rsidP="000F1E1F">
      <w:pPr>
        <w:ind w:firstLine="709"/>
        <w:jc w:val="both"/>
        <w:rPr>
          <w:color w:val="000000"/>
          <w:sz w:val="24"/>
          <w:szCs w:val="24"/>
        </w:rPr>
      </w:pPr>
    </w:p>
    <w:p w:rsidR="000F1E1F" w:rsidRDefault="000F1E1F" w:rsidP="000F1E1F">
      <w:pPr>
        <w:numPr>
          <w:ilvl w:val="0"/>
          <w:numId w:val="12"/>
        </w:numPr>
        <w:suppressAutoHyphens w:val="0"/>
        <w:ind w:left="0" w:firstLine="709"/>
        <w:jc w:val="both"/>
        <w:rPr>
          <w:color w:val="000000"/>
          <w:sz w:val="24"/>
          <w:szCs w:val="24"/>
        </w:rPr>
      </w:pPr>
      <w:r>
        <w:rPr>
          <w:color w:val="000000"/>
          <w:sz w:val="24"/>
          <w:szCs w:val="24"/>
        </w:rPr>
        <w:t xml:space="preserve">Política/Prática da remuneração (item 13.1 do </w:t>
      </w:r>
      <w:r w:rsidR="00EC7150">
        <w:rPr>
          <w:color w:val="000000"/>
          <w:sz w:val="24"/>
          <w:szCs w:val="24"/>
        </w:rPr>
        <w:t>FR</w:t>
      </w:r>
      <w:r>
        <w:rPr>
          <w:color w:val="000000"/>
          <w:sz w:val="24"/>
          <w:szCs w:val="24"/>
        </w:rPr>
        <w:t xml:space="preserve"> padrão);</w:t>
      </w:r>
    </w:p>
    <w:p w:rsidR="000F1E1F" w:rsidRDefault="000F1E1F" w:rsidP="000F1E1F">
      <w:pPr>
        <w:numPr>
          <w:ilvl w:val="0"/>
          <w:numId w:val="12"/>
        </w:numPr>
        <w:suppressAutoHyphens w:val="0"/>
        <w:ind w:left="0" w:firstLine="709"/>
        <w:jc w:val="both"/>
        <w:rPr>
          <w:color w:val="000000"/>
          <w:sz w:val="24"/>
          <w:szCs w:val="24"/>
        </w:rPr>
      </w:pPr>
      <w:r>
        <w:rPr>
          <w:color w:val="000000"/>
          <w:sz w:val="24"/>
          <w:szCs w:val="24"/>
        </w:rPr>
        <w:t xml:space="preserve">Remuneração total por órgão (item 13.2 do </w:t>
      </w:r>
      <w:r w:rsidR="00EC7150">
        <w:rPr>
          <w:color w:val="000000"/>
          <w:sz w:val="24"/>
          <w:szCs w:val="24"/>
        </w:rPr>
        <w:t>FR</w:t>
      </w:r>
      <w:r>
        <w:rPr>
          <w:color w:val="000000"/>
          <w:sz w:val="24"/>
          <w:szCs w:val="24"/>
        </w:rPr>
        <w:t xml:space="preserve"> padrão);</w:t>
      </w:r>
    </w:p>
    <w:p w:rsidR="000F1E1F" w:rsidRPr="007E4AA4" w:rsidRDefault="000F1E1F" w:rsidP="000F1E1F">
      <w:pPr>
        <w:numPr>
          <w:ilvl w:val="0"/>
          <w:numId w:val="12"/>
        </w:numPr>
        <w:suppressAutoHyphens w:val="0"/>
        <w:ind w:left="0" w:firstLine="709"/>
        <w:jc w:val="both"/>
        <w:rPr>
          <w:color w:val="000000"/>
          <w:sz w:val="24"/>
          <w:szCs w:val="24"/>
        </w:rPr>
      </w:pPr>
      <w:r>
        <w:rPr>
          <w:color w:val="000000"/>
          <w:sz w:val="24"/>
          <w:szCs w:val="24"/>
        </w:rPr>
        <w:t xml:space="preserve">Remuneração variável (item 13.3 do </w:t>
      </w:r>
      <w:r w:rsidR="00EC7150">
        <w:rPr>
          <w:color w:val="000000"/>
          <w:sz w:val="24"/>
          <w:szCs w:val="24"/>
        </w:rPr>
        <w:t>FR</w:t>
      </w:r>
      <w:r>
        <w:rPr>
          <w:color w:val="000000"/>
          <w:sz w:val="24"/>
          <w:szCs w:val="24"/>
        </w:rPr>
        <w:t xml:space="preserve"> padrão).</w:t>
      </w:r>
    </w:p>
    <w:p w:rsidR="000F1E1F" w:rsidRDefault="000F1E1F" w:rsidP="000F1E1F">
      <w:pPr>
        <w:ind w:firstLine="709"/>
        <w:jc w:val="both"/>
        <w:rPr>
          <w:color w:val="000000"/>
          <w:sz w:val="24"/>
          <w:szCs w:val="24"/>
        </w:rPr>
      </w:pPr>
    </w:p>
    <w:p w:rsidR="000F1E1F" w:rsidRDefault="000F1E1F" w:rsidP="000F1E1F">
      <w:pPr>
        <w:ind w:firstLine="709"/>
        <w:jc w:val="both"/>
        <w:rPr>
          <w:color w:val="000000"/>
          <w:sz w:val="24"/>
          <w:szCs w:val="24"/>
        </w:rPr>
      </w:pPr>
      <w:r>
        <w:rPr>
          <w:color w:val="000000"/>
          <w:sz w:val="24"/>
          <w:szCs w:val="24"/>
        </w:rPr>
        <w:t xml:space="preserve">Ressalta-se que é objetivo dessa pesquisa apurar o percentual da remuneração variável e verificar qual a relação com a assimetria dos custos. Porém, em virtude de que há muita diferença na divulgação das informações e dos julgamentos associados a cada item da remuneração, utilizou-se como critério a mesma lógica de segregação da CVM, a fim de padronizar a coleta de dados e alcançar um maior nível de comparabilidade.  </w:t>
      </w:r>
    </w:p>
    <w:p w:rsidR="000F1E1F" w:rsidRPr="00AE34A2" w:rsidRDefault="000F1E1F" w:rsidP="00AE34A2">
      <w:pPr>
        <w:ind w:firstLine="708"/>
        <w:jc w:val="both"/>
        <w:rPr>
          <w:sz w:val="24"/>
          <w:szCs w:val="24"/>
        </w:rPr>
      </w:pPr>
      <w:r w:rsidRPr="00AE34A2">
        <w:rPr>
          <w:color w:val="000000"/>
          <w:sz w:val="24"/>
          <w:szCs w:val="24"/>
        </w:rPr>
        <w:t>A segregação da remuneração está pautada nos rendimentos fixos</w:t>
      </w:r>
      <w:r w:rsidR="00AE34A2" w:rsidRPr="00AE34A2">
        <w:rPr>
          <w:color w:val="000000"/>
          <w:sz w:val="24"/>
          <w:szCs w:val="24"/>
        </w:rPr>
        <w:t xml:space="preserve"> (</w:t>
      </w:r>
      <w:r w:rsidR="00AE34A2">
        <w:rPr>
          <w:sz w:val="24"/>
          <w:szCs w:val="24"/>
        </w:rPr>
        <w:t>s</w:t>
      </w:r>
      <w:r w:rsidR="00AE34A2" w:rsidRPr="00AE34A2">
        <w:rPr>
          <w:sz w:val="24"/>
          <w:szCs w:val="24"/>
        </w:rPr>
        <w:t xml:space="preserve">alário ou pró-labore; </w:t>
      </w:r>
      <w:r w:rsidR="00AE34A2">
        <w:rPr>
          <w:sz w:val="24"/>
          <w:szCs w:val="24"/>
        </w:rPr>
        <w:t>b</w:t>
      </w:r>
      <w:r w:rsidR="00AE34A2" w:rsidRPr="00AE34A2">
        <w:rPr>
          <w:sz w:val="24"/>
          <w:szCs w:val="24"/>
        </w:rPr>
        <w:t xml:space="preserve">enefícios diretos e indiretos; </w:t>
      </w:r>
      <w:r w:rsidR="00AE34A2">
        <w:rPr>
          <w:sz w:val="24"/>
          <w:szCs w:val="24"/>
        </w:rPr>
        <w:t>p</w:t>
      </w:r>
      <w:r w:rsidR="00AE34A2" w:rsidRPr="00AE34A2">
        <w:rPr>
          <w:sz w:val="24"/>
          <w:szCs w:val="24"/>
        </w:rPr>
        <w:t xml:space="preserve">articipações em comitês e </w:t>
      </w:r>
      <w:r w:rsidR="00AE34A2">
        <w:rPr>
          <w:sz w:val="24"/>
          <w:szCs w:val="24"/>
        </w:rPr>
        <w:t>o</w:t>
      </w:r>
      <w:r w:rsidR="00AE34A2" w:rsidRPr="00AE34A2">
        <w:rPr>
          <w:sz w:val="24"/>
          <w:szCs w:val="24"/>
        </w:rPr>
        <w:t xml:space="preserve">utros valores fixos) </w:t>
      </w:r>
      <w:r w:rsidRPr="00AE34A2">
        <w:rPr>
          <w:color w:val="000000"/>
          <w:sz w:val="24"/>
          <w:szCs w:val="24"/>
        </w:rPr>
        <w:t xml:space="preserve">e </w:t>
      </w:r>
      <w:r w:rsidR="00AE34A2">
        <w:rPr>
          <w:color w:val="000000"/>
          <w:sz w:val="24"/>
          <w:szCs w:val="24"/>
        </w:rPr>
        <w:t>nas variáveis</w:t>
      </w:r>
      <w:r w:rsidR="00AE34A2" w:rsidRPr="00AE34A2">
        <w:rPr>
          <w:color w:val="000000"/>
          <w:sz w:val="24"/>
          <w:szCs w:val="24"/>
        </w:rPr>
        <w:t xml:space="preserve"> (</w:t>
      </w:r>
      <w:r w:rsidR="00AE34A2">
        <w:rPr>
          <w:sz w:val="24"/>
          <w:szCs w:val="24"/>
        </w:rPr>
        <w:t>b</w:t>
      </w:r>
      <w:r w:rsidR="00AE34A2" w:rsidRPr="00AE34A2">
        <w:rPr>
          <w:sz w:val="24"/>
          <w:szCs w:val="24"/>
        </w:rPr>
        <w:t xml:space="preserve">ônus; </w:t>
      </w:r>
      <w:r w:rsidR="00AE34A2">
        <w:rPr>
          <w:sz w:val="24"/>
          <w:szCs w:val="24"/>
        </w:rPr>
        <w:t>p</w:t>
      </w:r>
      <w:r w:rsidR="00AE34A2" w:rsidRPr="00AE34A2">
        <w:rPr>
          <w:sz w:val="24"/>
          <w:szCs w:val="24"/>
        </w:rPr>
        <w:t xml:space="preserve">articipação de resultados; </w:t>
      </w:r>
      <w:r w:rsidR="00AE34A2">
        <w:rPr>
          <w:sz w:val="24"/>
          <w:szCs w:val="24"/>
        </w:rPr>
        <w:t>p</w:t>
      </w:r>
      <w:r w:rsidR="00AE34A2" w:rsidRPr="00AE34A2">
        <w:rPr>
          <w:sz w:val="24"/>
          <w:szCs w:val="24"/>
        </w:rPr>
        <w:t xml:space="preserve">articipação em reuniões; </w:t>
      </w:r>
      <w:r w:rsidR="00AE34A2">
        <w:rPr>
          <w:sz w:val="24"/>
          <w:szCs w:val="24"/>
        </w:rPr>
        <w:t>c</w:t>
      </w:r>
      <w:r w:rsidR="00AE34A2" w:rsidRPr="00AE34A2">
        <w:rPr>
          <w:sz w:val="24"/>
          <w:szCs w:val="24"/>
        </w:rPr>
        <w:t xml:space="preserve">omissões; </w:t>
      </w:r>
      <w:r w:rsidR="00AE34A2">
        <w:rPr>
          <w:sz w:val="24"/>
          <w:szCs w:val="24"/>
        </w:rPr>
        <w:t>o</w:t>
      </w:r>
      <w:r w:rsidR="00AE34A2" w:rsidRPr="00AE34A2">
        <w:rPr>
          <w:sz w:val="24"/>
          <w:szCs w:val="24"/>
        </w:rPr>
        <w:t xml:space="preserve">utros valores variáveis; </w:t>
      </w:r>
      <w:r w:rsidR="00AE34A2">
        <w:rPr>
          <w:sz w:val="24"/>
          <w:szCs w:val="24"/>
        </w:rPr>
        <w:t>p</w:t>
      </w:r>
      <w:r w:rsidR="00AE34A2" w:rsidRPr="00AE34A2">
        <w:rPr>
          <w:sz w:val="24"/>
          <w:szCs w:val="24"/>
        </w:rPr>
        <w:t xml:space="preserve">ós-emprego; </w:t>
      </w:r>
      <w:r w:rsidR="00AE34A2">
        <w:rPr>
          <w:sz w:val="24"/>
          <w:szCs w:val="24"/>
        </w:rPr>
        <w:t>c</w:t>
      </w:r>
      <w:r w:rsidR="00AE34A2" w:rsidRPr="00AE34A2">
        <w:rPr>
          <w:sz w:val="24"/>
          <w:szCs w:val="24"/>
        </w:rPr>
        <w:t xml:space="preserve">essação do cargo e </w:t>
      </w:r>
      <w:r w:rsidR="00AE34A2">
        <w:rPr>
          <w:sz w:val="24"/>
          <w:szCs w:val="24"/>
        </w:rPr>
        <w:t>b</w:t>
      </w:r>
      <w:r w:rsidR="00AE34A2" w:rsidRPr="00AE34A2">
        <w:rPr>
          <w:sz w:val="24"/>
          <w:szCs w:val="24"/>
        </w:rPr>
        <w:t>aseada em ações (incluindo opções)</w:t>
      </w:r>
      <w:r w:rsidR="00AE34A2">
        <w:rPr>
          <w:sz w:val="24"/>
          <w:szCs w:val="24"/>
        </w:rPr>
        <w:t xml:space="preserve">. As referidas informações estão </w:t>
      </w:r>
      <w:r w:rsidR="00AE34A2" w:rsidRPr="00AE34A2">
        <w:rPr>
          <w:color w:val="000000"/>
          <w:sz w:val="24"/>
          <w:szCs w:val="24"/>
        </w:rPr>
        <w:t>disponibilizadas</w:t>
      </w:r>
      <w:r w:rsidRPr="00AE34A2">
        <w:rPr>
          <w:color w:val="000000"/>
          <w:sz w:val="24"/>
          <w:szCs w:val="24"/>
        </w:rPr>
        <w:t xml:space="preserve"> no </w:t>
      </w:r>
      <w:r w:rsidR="00EC7150" w:rsidRPr="00AE34A2">
        <w:rPr>
          <w:color w:val="000000"/>
          <w:sz w:val="24"/>
          <w:szCs w:val="24"/>
        </w:rPr>
        <w:t>FR</w:t>
      </w:r>
      <w:r w:rsidRPr="00AE34A2">
        <w:rPr>
          <w:color w:val="000000"/>
          <w:sz w:val="24"/>
          <w:szCs w:val="24"/>
        </w:rPr>
        <w:t xml:space="preserve"> padronizado 13.2 (site da B3).</w:t>
      </w:r>
    </w:p>
    <w:p w:rsidR="000F1E1F" w:rsidRDefault="000F1E1F" w:rsidP="000F1E1F">
      <w:pPr>
        <w:ind w:firstLine="709"/>
        <w:jc w:val="both"/>
        <w:rPr>
          <w:color w:val="000000"/>
          <w:sz w:val="24"/>
          <w:szCs w:val="24"/>
        </w:rPr>
      </w:pPr>
      <w:r>
        <w:rPr>
          <w:color w:val="000000"/>
          <w:sz w:val="24"/>
          <w:szCs w:val="24"/>
        </w:rPr>
        <w:t>Assim, a fim de apurar o percentual da remuneração variável, somaram-se todos os itens variáveis e dividiu-se pelo total da remuneração. Dessa maneira, foi possível a aplicação do quarto filtro, onde resultaram na exclusão de 26 companhias e 151 observações da amostra, por que:</w:t>
      </w:r>
    </w:p>
    <w:p w:rsidR="000F1E1F" w:rsidRDefault="000F1E1F" w:rsidP="000F1E1F">
      <w:pPr>
        <w:ind w:firstLine="709"/>
        <w:jc w:val="both"/>
        <w:rPr>
          <w:color w:val="000000"/>
          <w:sz w:val="24"/>
          <w:szCs w:val="24"/>
        </w:rPr>
      </w:pPr>
    </w:p>
    <w:p w:rsidR="000F1E1F" w:rsidRDefault="00AE34A2" w:rsidP="000F1E1F">
      <w:pPr>
        <w:numPr>
          <w:ilvl w:val="0"/>
          <w:numId w:val="11"/>
        </w:numPr>
        <w:suppressAutoHyphens w:val="0"/>
        <w:ind w:left="0" w:firstLine="709"/>
        <w:jc w:val="both"/>
        <w:rPr>
          <w:color w:val="000000"/>
          <w:sz w:val="24"/>
          <w:szCs w:val="24"/>
        </w:rPr>
      </w:pPr>
      <w:r>
        <w:rPr>
          <w:color w:val="000000"/>
          <w:sz w:val="24"/>
          <w:szCs w:val="24"/>
        </w:rPr>
        <w:t>Não possuíam DE</w:t>
      </w:r>
      <w:r w:rsidR="000F1E1F">
        <w:rPr>
          <w:color w:val="000000"/>
          <w:sz w:val="24"/>
          <w:szCs w:val="24"/>
        </w:rPr>
        <w:t xml:space="preserve"> no período analisado ou,</w:t>
      </w:r>
    </w:p>
    <w:p w:rsidR="000F1E1F" w:rsidRDefault="00AE34A2" w:rsidP="000F1E1F">
      <w:pPr>
        <w:numPr>
          <w:ilvl w:val="0"/>
          <w:numId w:val="11"/>
        </w:numPr>
        <w:suppressAutoHyphens w:val="0"/>
        <w:ind w:left="0" w:firstLine="709"/>
        <w:jc w:val="both"/>
        <w:rPr>
          <w:color w:val="000000"/>
          <w:sz w:val="24"/>
          <w:szCs w:val="24"/>
        </w:rPr>
      </w:pPr>
      <w:r>
        <w:rPr>
          <w:color w:val="000000"/>
          <w:sz w:val="24"/>
          <w:szCs w:val="24"/>
        </w:rPr>
        <w:t>Possuíam DE</w:t>
      </w:r>
      <w:r w:rsidR="000F1E1F">
        <w:rPr>
          <w:color w:val="000000"/>
          <w:sz w:val="24"/>
          <w:szCs w:val="24"/>
        </w:rPr>
        <w:t>, porém, os executivos não eram remunerados ou,</w:t>
      </w:r>
    </w:p>
    <w:p w:rsidR="000F1E1F" w:rsidRDefault="000F1E1F" w:rsidP="000F1E1F">
      <w:pPr>
        <w:numPr>
          <w:ilvl w:val="0"/>
          <w:numId w:val="11"/>
        </w:numPr>
        <w:suppressAutoHyphens w:val="0"/>
        <w:ind w:left="0" w:firstLine="709"/>
        <w:jc w:val="both"/>
        <w:rPr>
          <w:color w:val="000000"/>
          <w:sz w:val="24"/>
          <w:szCs w:val="24"/>
        </w:rPr>
      </w:pPr>
      <w:r>
        <w:rPr>
          <w:color w:val="000000"/>
          <w:sz w:val="24"/>
          <w:szCs w:val="24"/>
        </w:rPr>
        <w:t>Remuneravam os diretores, porém, não divulgaram as informações relacionadas a este item ou,</w:t>
      </w:r>
    </w:p>
    <w:p w:rsidR="000F1E1F" w:rsidRDefault="000F1E1F" w:rsidP="000F1E1F">
      <w:pPr>
        <w:numPr>
          <w:ilvl w:val="0"/>
          <w:numId w:val="11"/>
        </w:numPr>
        <w:suppressAutoHyphens w:val="0"/>
        <w:ind w:left="0" w:firstLine="709"/>
        <w:jc w:val="both"/>
        <w:rPr>
          <w:color w:val="000000"/>
          <w:sz w:val="24"/>
          <w:szCs w:val="24"/>
        </w:rPr>
      </w:pPr>
      <w:r>
        <w:rPr>
          <w:color w:val="000000"/>
          <w:sz w:val="24"/>
          <w:szCs w:val="24"/>
        </w:rPr>
        <w:t>Porque os formulários de referência continham informações incompletas ou erros que comprometiam a confiabilidade dos dados ali divulgados.</w:t>
      </w:r>
    </w:p>
    <w:p w:rsidR="000F1E1F" w:rsidRPr="00D174AD" w:rsidRDefault="000F1E1F" w:rsidP="000F1E1F">
      <w:pPr>
        <w:ind w:left="709"/>
        <w:jc w:val="both"/>
        <w:rPr>
          <w:color w:val="000000"/>
          <w:sz w:val="24"/>
          <w:szCs w:val="24"/>
        </w:rPr>
      </w:pPr>
    </w:p>
    <w:p w:rsidR="000F1E1F" w:rsidRDefault="000F1E1F" w:rsidP="000F1E1F">
      <w:pPr>
        <w:ind w:firstLine="709"/>
        <w:jc w:val="both"/>
        <w:rPr>
          <w:color w:val="000000"/>
          <w:sz w:val="24"/>
          <w:szCs w:val="24"/>
        </w:rPr>
      </w:pPr>
      <w:r>
        <w:rPr>
          <w:color w:val="000000"/>
          <w:sz w:val="24"/>
          <w:szCs w:val="24"/>
        </w:rPr>
        <w:t>Por fim, restaram 314 empresas com 1.465 observações válidas, as quais constituíram a amostra final da pesquisa.</w:t>
      </w:r>
    </w:p>
    <w:p w:rsidR="000F1E1F" w:rsidRPr="0089117F" w:rsidRDefault="000F1E1F" w:rsidP="000F1E1F">
      <w:pPr>
        <w:ind w:firstLine="709"/>
        <w:jc w:val="both"/>
        <w:rPr>
          <w:color w:val="000000"/>
          <w:sz w:val="24"/>
          <w:szCs w:val="24"/>
        </w:rPr>
      </w:pPr>
    </w:p>
    <w:p w:rsidR="000F1E1F" w:rsidRPr="0001573F" w:rsidRDefault="000F1E1F" w:rsidP="000F1E1F">
      <w:pPr>
        <w:numPr>
          <w:ilvl w:val="1"/>
          <w:numId w:val="19"/>
        </w:numPr>
        <w:suppressAutoHyphens w:val="0"/>
        <w:jc w:val="both"/>
        <w:rPr>
          <w:b/>
          <w:color w:val="000000"/>
          <w:sz w:val="24"/>
          <w:szCs w:val="24"/>
        </w:rPr>
      </w:pPr>
      <w:r>
        <w:rPr>
          <w:b/>
          <w:color w:val="000000"/>
          <w:sz w:val="24"/>
          <w:szCs w:val="24"/>
        </w:rPr>
        <w:t>Variáveis e Análise E</w:t>
      </w:r>
      <w:r w:rsidRPr="004E233C">
        <w:rPr>
          <w:b/>
          <w:color w:val="000000"/>
          <w:sz w:val="24"/>
          <w:szCs w:val="24"/>
        </w:rPr>
        <w:t>statística</w:t>
      </w:r>
    </w:p>
    <w:p w:rsidR="000F1E1F" w:rsidRDefault="000F1E1F" w:rsidP="00B92F3D">
      <w:pPr>
        <w:autoSpaceDE w:val="0"/>
        <w:autoSpaceDN w:val="0"/>
        <w:adjustRightInd w:val="0"/>
        <w:ind w:firstLine="709"/>
        <w:jc w:val="both"/>
        <w:rPr>
          <w:sz w:val="24"/>
          <w:szCs w:val="24"/>
        </w:rPr>
      </w:pPr>
      <w:r>
        <w:rPr>
          <w:color w:val="000000"/>
          <w:sz w:val="24"/>
          <w:szCs w:val="24"/>
        </w:rPr>
        <w:lastRenderedPageBreak/>
        <w:t xml:space="preserve">Para analisar os dados levantados por esta pesquisa, optou-se por uma abordagem estatística de dados em painel. O modelo proposto levou em consideração o cálculo de assimetria de custos conforme o modelo de </w:t>
      </w:r>
      <w:r>
        <w:rPr>
          <w:sz w:val="24"/>
          <w:szCs w:val="24"/>
        </w:rPr>
        <w:t>Anderson et al. (2003); Medeiros et al. (2005) e Richartz (2016), assim como as adequações metodológicas aprese</w:t>
      </w:r>
      <w:r w:rsidR="00B92F3D">
        <w:rPr>
          <w:sz w:val="24"/>
          <w:szCs w:val="24"/>
        </w:rPr>
        <w:t xml:space="preserve">ntadas na seção correspondente. </w:t>
      </w:r>
      <w:r>
        <w:rPr>
          <w:sz w:val="24"/>
          <w:szCs w:val="24"/>
        </w:rPr>
        <w:t>Para tanto, o cálculo da assimetria deu-se co</w:t>
      </w:r>
      <w:r w:rsidR="00AE34A2">
        <w:rPr>
          <w:sz w:val="24"/>
          <w:szCs w:val="24"/>
        </w:rPr>
        <w:t>nforme demonstrado na Figura 1:</w:t>
      </w:r>
    </w:p>
    <w:p w:rsidR="000F1E1F" w:rsidRDefault="000F1E1F" w:rsidP="000F1E1F">
      <w:pPr>
        <w:jc w:val="center"/>
        <w:rPr>
          <w:color w:val="000000"/>
          <w:sz w:val="24"/>
          <w:szCs w:val="24"/>
        </w:rPr>
      </w:pPr>
      <w:r w:rsidRPr="00B3797A">
        <w:rPr>
          <w:noProof/>
        </w:rPr>
        <w:drawing>
          <wp:inline distT="0" distB="0" distL="0" distR="0">
            <wp:extent cx="5791200" cy="390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90525"/>
                    </a:xfrm>
                    <a:prstGeom prst="rect">
                      <a:avLst/>
                    </a:prstGeom>
                    <a:noFill/>
                    <a:ln>
                      <a:noFill/>
                    </a:ln>
                  </pic:spPr>
                </pic:pic>
              </a:graphicData>
            </a:graphic>
          </wp:inline>
        </w:drawing>
      </w:r>
    </w:p>
    <w:p w:rsidR="000F1E1F" w:rsidRPr="00CC4823" w:rsidRDefault="00B92F3D" w:rsidP="000F1E1F">
      <w:pPr>
        <w:jc w:val="both"/>
        <w:rPr>
          <w:b/>
          <w:color w:val="000000"/>
          <w:sz w:val="24"/>
          <w:szCs w:val="24"/>
        </w:rPr>
      </w:pPr>
      <w:r>
        <w:rPr>
          <w:b/>
          <w:color w:val="000000"/>
          <w:sz w:val="24"/>
          <w:szCs w:val="24"/>
        </w:rPr>
        <w:t xml:space="preserve">Figura 1. </w:t>
      </w:r>
      <w:r w:rsidR="000F1E1F" w:rsidRPr="00CC4823">
        <w:rPr>
          <w:b/>
          <w:sz w:val="24"/>
          <w:szCs w:val="24"/>
        </w:rPr>
        <w:t>Fórmula para cálculo da assimetria de custos</w:t>
      </w:r>
    </w:p>
    <w:p w:rsidR="000F1E1F" w:rsidRPr="00AE34A2" w:rsidRDefault="00AE34A2" w:rsidP="000F1E1F">
      <w:pPr>
        <w:jc w:val="both"/>
        <w:rPr>
          <w:color w:val="000000"/>
          <w:szCs w:val="24"/>
        </w:rPr>
      </w:pPr>
      <w:r w:rsidRPr="00AE34A2">
        <w:rPr>
          <w:i/>
          <w:color w:val="000000"/>
          <w:szCs w:val="24"/>
        </w:rPr>
        <w:t>Nota.</w:t>
      </w:r>
      <w:r w:rsidRPr="00AE34A2">
        <w:rPr>
          <w:color w:val="000000"/>
          <w:szCs w:val="24"/>
        </w:rPr>
        <w:t xml:space="preserve"> Fonte: Adaptado de </w:t>
      </w:r>
      <w:r w:rsidRPr="00AE34A2">
        <w:rPr>
          <w:szCs w:val="24"/>
        </w:rPr>
        <w:t>Anderson et al. (2003); Medeiros et al. (2005) e Richartz (2016)</w:t>
      </w:r>
      <w:r>
        <w:rPr>
          <w:szCs w:val="24"/>
        </w:rPr>
        <w:t>.</w:t>
      </w:r>
    </w:p>
    <w:p w:rsidR="00AE34A2" w:rsidRDefault="00AE34A2" w:rsidP="000F1E1F">
      <w:pPr>
        <w:ind w:firstLine="708"/>
        <w:jc w:val="both"/>
        <w:rPr>
          <w:color w:val="000000"/>
          <w:sz w:val="24"/>
          <w:szCs w:val="24"/>
        </w:rPr>
      </w:pPr>
    </w:p>
    <w:p w:rsidR="000F1E1F" w:rsidRDefault="000F1E1F" w:rsidP="000F1E1F">
      <w:pPr>
        <w:ind w:firstLine="708"/>
        <w:jc w:val="both"/>
        <w:rPr>
          <w:color w:val="000000"/>
          <w:sz w:val="24"/>
          <w:szCs w:val="24"/>
        </w:rPr>
      </w:pPr>
      <w:r>
        <w:rPr>
          <w:color w:val="000000"/>
          <w:sz w:val="24"/>
          <w:szCs w:val="24"/>
        </w:rPr>
        <w:t xml:space="preserve">Em tal modelo, considera-se o CPV como variável dependente e a RLV como variável independente. Para a variável </w:t>
      </w:r>
      <w:r w:rsidRPr="00AE34A2">
        <w:rPr>
          <w:i/>
          <w:color w:val="000000"/>
          <w:sz w:val="24"/>
          <w:szCs w:val="24"/>
        </w:rPr>
        <w:t>Dummy</w:t>
      </w:r>
      <w:r w:rsidRPr="00AE34A2">
        <w:rPr>
          <w:color w:val="000000"/>
          <w:sz w:val="24"/>
          <w:szCs w:val="24"/>
        </w:rPr>
        <w:t>_Red_RLV</w:t>
      </w:r>
      <w:r>
        <w:rPr>
          <w:color w:val="000000"/>
          <w:sz w:val="24"/>
          <w:szCs w:val="24"/>
        </w:rPr>
        <w:t xml:space="preserve"> é atribuído 1 quando a receita decresce em relação ao ano anterior (t&lt;t</w:t>
      </w:r>
      <w:r w:rsidRPr="00B623DE">
        <w:rPr>
          <w:color w:val="000000"/>
          <w:sz w:val="16"/>
          <w:szCs w:val="24"/>
        </w:rPr>
        <w:t>-1</w:t>
      </w:r>
      <w:r>
        <w:rPr>
          <w:color w:val="000000"/>
          <w:sz w:val="24"/>
          <w:szCs w:val="24"/>
        </w:rPr>
        <w:t>) e 0 quando a receita aumenta (t&gt;t</w:t>
      </w:r>
      <w:r w:rsidRPr="00B623DE">
        <w:rPr>
          <w:color w:val="000000"/>
          <w:sz w:val="16"/>
          <w:szCs w:val="24"/>
        </w:rPr>
        <w:t>-1</w:t>
      </w:r>
      <w:r>
        <w:rPr>
          <w:color w:val="000000"/>
          <w:sz w:val="24"/>
          <w:szCs w:val="24"/>
        </w:rPr>
        <w:t xml:space="preserve">). </w:t>
      </w:r>
      <w:r w:rsidRPr="00B623DE">
        <w:rPr>
          <w:color w:val="000000"/>
          <w:sz w:val="24"/>
          <w:szCs w:val="24"/>
        </w:rPr>
        <w:t>Concomitante</w:t>
      </w:r>
      <w:r>
        <w:rPr>
          <w:color w:val="000000"/>
          <w:sz w:val="24"/>
          <w:szCs w:val="24"/>
        </w:rPr>
        <w:t>, acrescenta-se no modelo as observações que não possuem RV e as que possuem alta RV, conforme demonstrado na Tabela 4.</w:t>
      </w:r>
    </w:p>
    <w:p w:rsidR="000F1E1F" w:rsidRDefault="000F1E1F" w:rsidP="000F1E1F">
      <w:pPr>
        <w:jc w:val="both"/>
        <w:rPr>
          <w:color w:val="000000"/>
          <w:sz w:val="24"/>
          <w:szCs w:val="24"/>
        </w:rPr>
      </w:pPr>
    </w:p>
    <w:p w:rsidR="000F1E1F" w:rsidRPr="00AE34A2" w:rsidRDefault="00AE34A2" w:rsidP="000F1E1F">
      <w:pPr>
        <w:jc w:val="both"/>
        <w:rPr>
          <w:b/>
          <w:color w:val="000000"/>
          <w:sz w:val="24"/>
          <w:szCs w:val="24"/>
        </w:rPr>
      </w:pPr>
      <w:r w:rsidRPr="00AE34A2">
        <w:rPr>
          <w:b/>
          <w:color w:val="000000"/>
          <w:sz w:val="24"/>
          <w:szCs w:val="24"/>
        </w:rPr>
        <w:t xml:space="preserve">Tabela 4. </w:t>
      </w:r>
      <w:r w:rsidR="000F1E1F" w:rsidRPr="00AE34A2">
        <w:rPr>
          <w:b/>
          <w:color w:val="000000"/>
          <w:sz w:val="24"/>
          <w:szCs w:val="24"/>
        </w:rPr>
        <w:t>Descrição das variáveis utilizadas na pesquisa</w:t>
      </w:r>
    </w:p>
    <w:tbl>
      <w:tblPr>
        <w:tblW w:w="9147" w:type="dxa"/>
        <w:jc w:val="center"/>
        <w:tblCellMar>
          <w:left w:w="70" w:type="dxa"/>
          <w:right w:w="70" w:type="dxa"/>
        </w:tblCellMar>
        <w:tblLook w:val="04A0" w:firstRow="1" w:lastRow="0" w:firstColumn="1" w:lastColumn="0" w:noHBand="0" w:noVBand="1"/>
      </w:tblPr>
      <w:tblGrid>
        <w:gridCol w:w="1317"/>
        <w:gridCol w:w="2410"/>
        <w:gridCol w:w="5420"/>
      </w:tblGrid>
      <w:tr w:rsidR="000F1E1F" w:rsidRPr="00D91382" w:rsidTr="00B92F3D">
        <w:trPr>
          <w:trHeight w:val="60"/>
          <w:jc w:val="center"/>
        </w:trPr>
        <w:tc>
          <w:tcPr>
            <w:tcW w:w="3727" w:type="dxa"/>
            <w:gridSpan w:val="2"/>
            <w:tcBorders>
              <w:top w:val="single" w:sz="4" w:space="0" w:color="auto"/>
              <w:left w:val="nil"/>
              <w:bottom w:val="nil"/>
              <w:right w:val="nil"/>
            </w:tcBorders>
            <w:shd w:val="clear" w:color="auto" w:fill="auto"/>
            <w:noWrap/>
            <w:vAlign w:val="center"/>
            <w:hideMark/>
          </w:tcPr>
          <w:p w:rsidR="000F1E1F" w:rsidRPr="00D91382" w:rsidRDefault="000F1E1F" w:rsidP="00841FA5">
            <w:pPr>
              <w:rPr>
                <w:b/>
                <w:bCs/>
                <w:color w:val="000000"/>
              </w:rPr>
            </w:pPr>
            <w:r w:rsidRPr="00D91382">
              <w:rPr>
                <w:b/>
                <w:bCs/>
                <w:color w:val="000000"/>
              </w:rPr>
              <w:t>Variável Dependente</w:t>
            </w:r>
          </w:p>
        </w:tc>
        <w:tc>
          <w:tcPr>
            <w:tcW w:w="5420" w:type="dxa"/>
            <w:tcBorders>
              <w:top w:val="single" w:sz="4" w:space="0" w:color="auto"/>
              <w:left w:val="nil"/>
              <w:bottom w:val="nil"/>
              <w:right w:val="nil"/>
            </w:tcBorders>
            <w:shd w:val="clear" w:color="auto" w:fill="auto"/>
            <w:noWrap/>
            <w:vAlign w:val="center"/>
            <w:hideMark/>
          </w:tcPr>
          <w:p w:rsidR="000F1E1F" w:rsidRPr="00D91382" w:rsidRDefault="000F1E1F" w:rsidP="00841FA5">
            <w:pPr>
              <w:jc w:val="center"/>
              <w:rPr>
                <w:color w:val="000000"/>
              </w:rPr>
            </w:pPr>
            <w:r w:rsidRPr="00D91382">
              <w:rPr>
                <w:color w:val="000000"/>
              </w:rPr>
              <w:t> </w:t>
            </w:r>
          </w:p>
        </w:tc>
      </w:tr>
      <w:tr w:rsidR="000F1E1F" w:rsidRPr="00D91382" w:rsidTr="00B92F3D">
        <w:trPr>
          <w:trHeight w:val="60"/>
          <w:jc w:val="center"/>
        </w:trPr>
        <w:tc>
          <w:tcPr>
            <w:tcW w:w="1317" w:type="dxa"/>
            <w:tcBorders>
              <w:top w:val="single" w:sz="4" w:space="0" w:color="auto"/>
              <w:left w:val="nil"/>
              <w:bottom w:val="nil"/>
              <w:right w:val="nil"/>
            </w:tcBorders>
            <w:shd w:val="clear" w:color="000000" w:fill="EEECE1"/>
            <w:noWrap/>
            <w:vAlign w:val="center"/>
            <w:hideMark/>
          </w:tcPr>
          <w:p w:rsidR="000F1E1F" w:rsidRPr="00D91382" w:rsidRDefault="000F1E1F" w:rsidP="00841FA5">
            <w:pPr>
              <w:jc w:val="center"/>
              <w:rPr>
                <w:color w:val="000000"/>
              </w:rPr>
            </w:pPr>
            <w:r>
              <w:rPr>
                <w:color w:val="000000"/>
              </w:rPr>
              <w:t>Variável</w:t>
            </w:r>
          </w:p>
        </w:tc>
        <w:tc>
          <w:tcPr>
            <w:tcW w:w="2410" w:type="dxa"/>
            <w:tcBorders>
              <w:top w:val="single" w:sz="4" w:space="0" w:color="auto"/>
              <w:left w:val="nil"/>
              <w:bottom w:val="nil"/>
              <w:right w:val="nil"/>
            </w:tcBorders>
            <w:shd w:val="clear" w:color="000000" w:fill="EEECE1"/>
            <w:noWrap/>
            <w:vAlign w:val="center"/>
            <w:hideMark/>
          </w:tcPr>
          <w:p w:rsidR="000F1E1F" w:rsidRPr="00D91382" w:rsidRDefault="000F1E1F" w:rsidP="00841FA5">
            <w:pPr>
              <w:jc w:val="center"/>
              <w:rPr>
                <w:color w:val="000000"/>
              </w:rPr>
            </w:pPr>
            <w:r w:rsidRPr="00D91382">
              <w:rPr>
                <w:color w:val="000000"/>
              </w:rPr>
              <w:t>Descrição</w:t>
            </w:r>
          </w:p>
        </w:tc>
        <w:tc>
          <w:tcPr>
            <w:tcW w:w="5420" w:type="dxa"/>
            <w:tcBorders>
              <w:top w:val="single" w:sz="4" w:space="0" w:color="auto"/>
              <w:left w:val="nil"/>
              <w:bottom w:val="nil"/>
              <w:right w:val="nil"/>
            </w:tcBorders>
            <w:shd w:val="clear" w:color="000000" w:fill="EEECE1"/>
            <w:vAlign w:val="center"/>
            <w:hideMark/>
          </w:tcPr>
          <w:p w:rsidR="000F1E1F" w:rsidRPr="00D91382" w:rsidRDefault="000F1E1F" w:rsidP="00841FA5">
            <w:pPr>
              <w:jc w:val="center"/>
              <w:rPr>
                <w:color w:val="000000"/>
              </w:rPr>
            </w:pPr>
            <w:r w:rsidRPr="00D91382">
              <w:rPr>
                <w:color w:val="000000"/>
              </w:rPr>
              <w:t>Operacionalização Modelo</w:t>
            </w:r>
          </w:p>
        </w:tc>
      </w:tr>
      <w:tr w:rsidR="000F1E1F" w:rsidRPr="00D91382" w:rsidTr="00B92F3D">
        <w:trPr>
          <w:trHeight w:val="70"/>
          <w:jc w:val="center"/>
        </w:trPr>
        <w:tc>
          <w:tcPr>
            <w:tcW w:w="1317" w:type="dxa"/>
            <w:tcBorders>
              <w:top w:val="nil"/>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VCPV</w:t>
            </w:r>
          </w:p>
        </w:tc>
        <w:tc>
          <w:tcPr>
            <w:tcW w:w="2410" w:type="dxa"/>
            <w:tcBorders>
              <w:top w:val="nil"/>
              <w:left w:val="nil"/>
              <w:bottom w:val="nil"/>
              <w:right w:val="nil"/>
            </w:tcBorders>
            <w:shd w:val="clear" w:color="auto" w:fill="auto"/>
            <w:vAlign w:val="center"/>
            <w:hideMark/>
          </w:tcPr>
          <w:p w:rsidR="000F1E1F" w:rsidRPr="00D91382" w:rsidRDefault="000F1E1F" w:rsidP="00B92F3D">
            <w:pPr>
              <w:jc w:val="center"/>
              <w:rPr>
                <w:color w:val="000000"/>
              </w:rPr>
            </w:pPr>
            <w:r w:rsidRPr="00D91382">
              <w:rPr>
                <w:color w:val="000000"/>
              </w:rPr>
              <w:t xml:space="preserve">Variação do </w:t>
            </w:r>
            <w:r w:rsidR="00B92F3D">
              <w:rPr>
                <w:color w:val="000000"/>
              </w:rPr>
              <w:t>CPV</w:t>
            </w:r>
          </w:p>
        </w:tc>
        <w:tc>
          <w:tcPr>
            <w:tcW w:w="5420" w:type="dxa"/>
            <w:tcBorders>
              <w:top w:val="nil"/>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Log da var</w:t>
            </w:r>
            <w:r w:rsidR="00AE34A2">
              <w:rPr>
                <w:color w:val="000000"/>
              </w:rPr>
              <w:t xml:space="preserve">iação do CPV, conforme figura </w:t>
            </w:r>
            <w:r w:rsidRPr="00D91382">
              <w:rPr>
                <w:color w:val="000000"/>
              </w:rPr>
              <w:t>1.</w:t>
            </w:r>
          </w:p>
        </w:tc>
      </w:tr>
      <w:tr w:rsidR="000F1E1F" w:rsidRPr="00D91382" w:rsidTr="00B92F3D">
        <w:trPr>
          <w:trHeight w:val="60"/>
          <w:jc w:val="center"/>
        </w:trPr>
        <w:tc>
          <w:tcPr>
            <w:tcW w:w="3727" w:type="dxa"/>
            <w:gridSpan w:val="2"/>
            <w:tcBorders>
              <w:top w:val="single" w:sz="4" w:space="0" w:color="auto"/>
              <w:left w:val="nil"/>
              <w:bottom w:val="nil"/>
              <w:right w:val="nil"/>
            </w:tcBorders>
            <w:shd w:val="clear" w:color="auto" w:fill="auto"/>
            <w:noWrap/>
            <w:vAlign w:val="center"/>
            <w:hideMark/>
          </w:tcPr>
          <w:p w:rsidR="000F1E1F" w:rsidRPr="00D91382" w:rsidRDefault="000F1E1F" w:rsidP="00841FA5">
            <w:pPr>
              <w:rPr>
                <w:b/>
                <w:bCs/>
                <w:color w:val="000000"/>
              </w:rPr>
            </w:pPr>
            <w:r w:rsidRPr="00D91382">
              <w:rPr>
                <w:b/>
                <w:bCs/>
                <w:color w:val="000000"/>
              </w:rPr>
              <w:t>Variáveis Independentes</w:t>
            </w:r>
          </w:p>
        </w:tc>
        <w:tc>
          <w:tcPr>
            <w:tcW w:w="5420" w:type="dxa"/>
            <w:tcBorders>
              <w:top w:val="single" w:sz="4" w:space="0" w:color="auto"/>
              <w:left w:val="nil"/>
              <w:bottom w:val="nil"/>
              <w:right w:val="nil"/>
            </w:tcBorders>
            <w:shd w:val="clear" w:color="auto" w:fill="auto"/>
            <w:noWrap/>
            <w:vAlign w:val="center"/>
            <w:hideMark/>
          </w:tcPr>
          <w:p w:rsidR="000F1E1F" w:rsidRPr="00D91382" w:rsidRDefault="000F1E1F" w:rsidP="00841FA5">
            <w:pPr>
              <w:jc w:val="center"/>
              <w:rPr>
                <w:color w:val="000000"/>
              </w:rPr>
            </w:pPr>
            <w:r w:rsidRPr="00D91382">
              <w:rPr>
                <w:color w:val="000000"/>
              </w:rPr>
              <w:t> </w:t>
            </w:r>
          </w:p>
        </w:tc>
      </w:tr>
      <w:tr w:rsidR="000F1E1F" w:rsidRPr="00D91382" w:rsidTr="00B92F3D">
        <w:trPr>
          <w:trHeight w:val="60"/>
          <w:jc w:val="center"/>
        </w:trPr>
        <w:tc>
          <w:tcPr>
            <w:tcW w:w="1317" w:type="dxa"/>
            <w:tcBorders>
              <w:top w:val="single" w:sz="4" w:space="0" w:color="auto"/>
              <w:left w:val="nil"/>
              <w:bottom w:val="nil"/>
              <w:right w:val="nil"/>
            </w:tcBorders>
            <w:shd w:val="clear" w:color="000000" w:fill="EEECE1"/>
            <w:vAlign w:val="center"/>
            <w:hideMark/>
          </w:tcPr>
          <w:p w:rsidR="000F1E1F" w:rsidRPr="00D91382" w:rsidRDefault="000F1E1F" w:rsidP="00841FA5">
            <w:pPr>
              <w:jc w:val="center"/>
              <w:rPr>
                <w:color w:val="000000"/>
              </w:rPr>
            </w:pPr>
            <w:r>
              <w:rPr>
                <w:color w:val="000000"/>
              </w:rPr>
              <w:t>Variável</w:t>
            </w:r>
          </w:p>
        </w:tc>
        <w:tc>
          <w:tcPr>
            <w:tcW w:w="2410" w:type="dxa"/>
            <w:tcBorders>
              <w:top w:val="single" w:sz="4" w:space="0" w:color="auto"/>
              <w:left w:val="nil"/>
              <w:bottom w:val="nil"/>
              <w:right w:val="nil"/>
            </w:tcBorders>
            <w:shd w:val="clear" w:color="000000" w:fill="EEECE1"/>
            <w:vAlign w:val="center"/>
            <w:hideMark/>
          </w:tcPr>
          <w:p w:rsidR="000F1E1F" w:rsidRPr="00D91382" w:rsidRDefault="000F1E1F" w:rsidP="00841FA5">
            <w:pPr>
              <w:jc w:val="center"/>
              <w:rPr>
                <w:color w:val="000000"/>
              </w:rPr>
            </w:pPr>
            <w:r w:rsidRPr="00D91382">
              <w:rPr>
                <w:color w:val="000000"/>
              </w:rPr>
              <w:t>Descrição</w:t>
            </w:r>
          </w:p>
        </w:tc>
        <w:tc>
          <w:tcPr>
            <w:tcW w:w="5420" w:type="dxa"/>
            <w:tcBorders>
              <w:top w:val="single" w:sz="4" w:space="0" w:color="auto"/>
              <w:left w:val="nil"/>
              <w:bottom w:val="nil"/>
              <w:right w:val="nil"/>
            </w:tcBorders>
            <w:shd w:val="clear" w:color="000000" w:fill="EEECE1"/>
            <w:noWrap/>
            <w:vAlign w:val="center"/>
            <w:hideMark/>
          </w:tcPr>
          <w:p w:rsidR="000F1E1F" w:rsidRPr="00D91382" w:rsidRDefault="000F1E1F" w:rsidP="00841FA5">
            <w:pPr>
              <w:jc w:val="center"/>
              <w:rPr>
                <w:color w:val="000000"/>
              </w:rPr>
            </w:pPr>
            <w:r w:rsidRPr="00D91382">
              <w:rPr>
                <w:color w:val="000000"/>
              </w:rPr>
              <w:t>Operacionalização Modelo</w:t>
            </w:r>
          </w:p>
        </w:tc>
      </w:tr>
      <w:tr w:rsidR="000F1E1F" w:rsidRPr="00D91382" w:rsidTr="00B92F3D">
        <w:trPr>
          <w:trHeight w:val="60"/>
          <w:jc w:val="center"/>
        </w:trPr>
        <w:tc>
          <w:tcPr>
            <w:tcW w:w="1317" w:type="dxa"/>
            <w:tcBorders>
              <w:top w:val="single" w:sz="4" w:space="0" w:color="auto"/>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Aum_RLV</w:t>
            </w:r>
          </w:p>
        </w:tc>
        <w:tc>
          <w:tcPr>
            <w:tcW w:w="2410" w:type="dxa"/>
            <w:tcBorders>
              <w:top w:val="single" w:sz="4" w:space="0" w:color="auto"/>
              <w:left w:val="nil"/>
              <w:bottom w:val="nil"/>
              <w:right w:val="nil"/>
            </w:tcBorders>
            <w:shd w:val="clear" w:color="auto" w:fill="auto"/>
            <w:vAlign w:val="center"/>
            <w:hideMark/>
          </w:tcPr>
          <w:p w:rsidR="000F1E1F" w:rsidRPr="00D91382" w:rsidRDefault="000F1E1F" w:rsidP="00B92F3D">
            <w:pPr>
              <w:jc w:val="center"/>
              <w:rPr>
                <w:color w:val="000000"/>
              </w:rPr>
            </w:pPr>
            <w:r w:rsidRPr="00D91382">
              <w:rPr>
                <w:color w:val="000000"/>
              </w:rPr>
              <w:t xml:space="preserve">Variação da </w:t>
            </w:r>
            <w:r w:rsidR="00B92F3D">
              <w:rPr>
                <w:color w:val="000000"/>
              </w:rPr>
              <w:t>RLV</w:t>
            </w:r>
          </w:p>
        </w:tc>
        <w:tc>
          <w:tcPr>
            <w:tcW w:w="5420" w:type="dxa"/>
            <w:tcBorders>
              <w:top w:val="single" w:sz="4" w:space="0" w:color="auto"/>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Log da Var</w:t>
            </w:r>
            <w:r w:rsidR="00AE34A2">
              <w:rPr>
                <w:color w:val="000000"/>
              </w:rPr>
              <w:t xml:space="preserve">iação da RLV, conforme figura </w:t>
            </w:r>
            <w:r w:rsidRPr="00D91382">
              <w:rPr>
                <w:color w:val="000000"/>
              </w:rPr>
              <w:t>1</w:t>
            </w:r>
            <w:r>
              <w:rPr>
                <w:color w:val="000000"/>
              </w:rPr>
              <w:t>.</w:t>
            </w:r>
          </w:p>
        </w:tc>
      </w:tr>
      <w:tr w:rsidR="000F1E1F" w:rsidRPr="00D91382" w:rsidTr="00B92F3D">
        <w:trPr>
          <w:trHeight w:val="70"/>
          <w:jc w:val="center"/>
        </w:trPr>
        <w:tc>
          <w:tcPr>
            <w:tcW w:w="1317" w:type="dxa"/>
            <w:tcBorders>
              <w:top w:val="nil"/>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Red_RLV</w:t>
            </w:r>
          </w:p>
        </w:tc>
        <w:tc>
          <w:tcPr>
            <w:tcW w:w="2410" w:type="dxa"/>
            <w:tcBorders>
              <w:top w:val="nil"/>
              <w:left w:val="nil"/>
              <w:bottom w:val="nil"/>
              <w:right w:val="nil"/>
            </w:tcBorders>
            <w:shd w:val="clear" w:color="auto" w:fill="auto"/>
            <w:vAlign w:val="center"/>
            <w:hideMark/>
          </w:tcPr>
          <w:p w:rsidR="000F1E1F" w:rsidRPr="00D91382" w:rsidRDefault="000F1E1F" w:rsidP="00B92F3D">
            <w:pPr>
              <w:jc w:val="center"/>
              <w:rPr>
                <w:color w:val="000000"/>
              </w:rPr>
            </w:pPr>
            <w:r w:rsidRPr="00D91382">
              <w:rPr>
                <w:color w:val="000000"/>
              </w:rPr>
              <w:t xml:space="preserve">Variação da </w:t>
            </w:r>
            <w:r w:rsidR="00B92F3D">
              <w:rPr>
                <w:color w:val="000000"/>
              </w:rPr>
              <w:t>RLV</w:t>
            </w:r>
            <w:r w:rsidRPr="00D91382">
              <w:rPr>
                <w:color w:val="000000"/>
              </w:rPr>
              <w:t xml:space="preserve"> </w:t>
            </w:r>
          </w:p>
        </w:tc>
        <w:tc>
          <w:tcPr>
            <w:tcW w:w="5420" w:type="dxa"/>
            <w:tcBorders>
              <w:top w:val="nil"/>
              <w:left w:val="nil"/>
              <w:bottom w:val="nil"/>
              <w:right w:val="nil"/>
            </w:tcBorders>
            <w:shd w:val="clear" w:color="auto" w:fill="auto"/>
            <w:vAlign w:val="center"/>
            <w:hideMark/>
          </w:tcPr>
          <w:p w:rsidR="000F1E1F" w:rsidRPr="00D91382" w:rsidRDefault="000F1E1F" w:rsidP="00AE34A2">
            <w:pPr>
              <w:jc w:val="center"/>
              <w:rPr>
                <w:color w:val="000000"/>
              </w:rPr>
            </w:pPr>
            <w:r w:rsidRPr="00D91382">
              <w:rPr>
                <w:color w:val="000000"/>
              </w:rPr>
              <w:t xml:space="preserve">Log da Variação da RLV multiplicada pela </w:t>
            </w:r>
            <w:r w:rsidRPr="00D91382">
              <w:rPr>
                <w:i/>
                <w:color w:val="000000"/>
              </w:rPr>
              <w:t>Dummy</w:t>
            </w:r>
            <w:r w:rsidRPr="00D91382">
              <w:rPr>
                <w:color w:val="000000"/>
              </w:rPr>
              <w:t xml:space="preserve"> (a</w:t>
            </w:r>
            <w:r w:rsidR="00AE34A2">
              <w:rPr>
                <w:color w:val="000000"/>
              </w:rPr>
              <w:t xml:space="preserve">créscimo; decréscimo) conforme figura </w:t>
            </w:r>
            <w:r w:rsidRPr="00D91382">
              <w:rPr>
                <w:color w:val="000000"/>
              </w:rPr>
              <w:t>1</w:t>
            </w:r>
            <w:r>
              <w:rPr>
                <w:color w:val="000000"/>
              </w:rPr>
              <w:t>.</w:t>
            </w:r>
          </w:p>
        </w:tc>
      </w:tr>
      <w:tr w:rsidR="000F1E1F" w:rsidRPr="00D91382" w:rsidTr="00B92F3D">
        <w:trPr>
          <w:trHeight w:val="70"/>
          <w:jc w:val="center"/>
        </w:trPr>
        <w:tc>
          <w:tcPr>
            <w:tcW w:w="1317" w:type="dxa"/>
            <w:tcBorders>
              <w:top w:val="nil"/>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Red_SRV</w:t>
            </w:r>
          </w:p>
        </w:tc>
        <w:tc>
          <w:tcPr>
            <w:tcW w:w="2410" w:type="dxa"/>
            <w:tcBorders>
              <w:top w:val="nil"/>
              <w:left w:val="nil"/>
              <w:bottom w:val="nil"/>
              <w:right w:val="nil"/>
            </w:tcBorders>
            <w:shd w:val="clear" w:color="auto" w:fill="auto"/>
            <w:vAlign w:val="center"/>
            <w:hideMark/>
          </w:tcPr>
          <w:p w:rsidR="000F1E1F" w:rsidRPr="00D91382" w:rsidRDefault="00B92F3D" w:rsidP="00B92F3D">
            <w:pPr>
              <w:jc w:val="center"/>
              <w:rPr>
                <w:color w:val="000000"/>
              </w:rPr>
            </w:pPr>
            <w:r>
              <w:rPr>
                <w:color w:val="000000"/>
              </w:rPr>
              <w:t>Observações s</w:t>
            </w:r>
            <w:r w:rsidR="000F1E1F" w:rsidRPr="00D91382">
              <w:rPr>
                <w:color w:val="000000"/>
              </w:rPr>
              <w:t xml:space="preserve">em </w:t>
            </w:r>
            <w:r>
              <w:rPr>
                <w:color w:val="000000"/>
              </w:rPr>
              <w:t>RV</w:t>
            </w:r>
          </w:p>
        </w:tc>
        <w:tc>
          <w:tcPr>
            <w:tcW w:w="5420" w:type="dxa"/>
            <w:tcBorders>
              <w:top w:val="nil"/>
              <w:left w:val="nil"/>
              <w:bottom w:val="nil"/>
              <w:right w:val="nil"/>
            </w:tcBorders>
            <w:shd w:val="clear" w:color="auto" w:fill="auto"/>
            <w:vAlign w:val="center"/>
            <w:hideMark/>
          </w:tcPr>
          <w:p w:rsidR="000F1E1F" w:rsidRPr="00D91382" w:rsidRDefault="000F1E1F" w:rsidP="00841FA5">
            <w:pPr>
              <w:jc w:val="center"/>
              <w:rPr>
                <w:color w:val="000000"/>
              </w:rPr>
            </w:pPr>
            <w:r w:rsidRPr="00D91382">
              <w:rPr>
                <w:color w:val="000000"/>
              </w:rPr>
              <w:t xml:space="preserve">Variável </w:t>
            </w:r>
            <w:r w:rsidRPr="00D91382">
              <w:rPr>
                <w:i/>
                <w:color w:val="000000"/>
              </w:rPr>
              <w:t>Dummy</w:t>
            </w:r>
            <w:r w:rsidRPr="00D91382">
              <w:rPr>
                <w:color w:val="000000"/>
              </w:rPr>
              <w:t xml:space="preserve"> 1 para SRV e 0 para ARV multiplicada pelo log da variação da RLV.</w:t>
            </w:r>
          </w:p>
        </w:tc>
      </w:tr>
      <w:tr w:rsidR="000F1E1F" w:rsidRPr="00D91382" w:rsidTr="00B92F3D">
        <w:trPr>
          <w:trHeight w:val="70"/>
          <w:jc w:val="center"/>
        </w:trPr>
        <w:tc>
          <w:tcPr>
            <w:tcW w:w="1317" w:type="dxa"/>
            <w:tcBorders>
              <w:top w:val="nil"/>
              <w:left w:val="nil"/>
              <w:bottom w:val="single" w:sz="4" w:space="0" w:color="auto"/>
              <w:right w:val="nil"/>
            </w:tcBorders>
            <w:shd w:val="clear" w:color="auto" w:fill="auto"/>
            <w:vAlign w:val="center"/>
            <w:hideMark/>
          </w:tcPr>
          <w:p w:rsidR="000F1E1F" w:rsidRPr="00D91382" w:rsidRDefault="000F1E1F" w:rsidP="00841FA5">
            <w:pPr>
              <w:jc w:val="center"/>
              <w:rPr>
                <w:color w:val="000000"/>
              </w:rPr>
            </w:pPr>
            <w:r w:rsidRPr="00D91382">
              <w:rPr>
                <w:color w:val="000000"/>
              </w:rPr>
              <w:t>Red_ARV</w:t>
            </w:r>
          </w:p>
        </w:tc>
        <w:tc>
          <w:tcPr>
            <w:tcW w:w="2410" w:type="dxa"/>
            <w:tcBorders>
              <w:top w:val="nil"/>
              <w:left w:val="nil"/>
              <w:bottom w:val="single" w:sz="4" w:space="0" w:color="auto"/>
              <w:right w:val="nil"/>
            </w:tcBorders>
            <w:shd w:val="clear" w:color="auto" w:fill="auto"/>
            <w:vAlign w:val="center"/>
            <w:hideMark/>
          </w:tcPr>
          <w:p w:rsidR="000F1E1F" w:rsidRPr="00D91382" w:rsidRDefault="000F1E1F" w:rsidP="00B92F3D">
            <w:pPr>
              <w:jc w:val="center"/>
              <w:rPr>
                <w:color w:val="000000"/>
              </w:rPr>
            </w:pPr>
            <w:r w:rsidRPr="00D91382">
              <w:rPr>
                <w:color w:val="000000"/>
              </w:rPr>
              <w:t xml:space="preserve">Observações com </w:t>
            </w:r>
            <w:r w:rsidR="00B92F3D">
              <w:rPr>
                <w:color w:val="000000"/>
              </w:rPr>
              <w:t>ARV</w:t>
            </w:r>
          </w:p>
        </w:tc>
        <w:tc>
          <w:tcPr>
            <w:tcW w:w="5420" w:type="dxa"/>
            <w:tcBorders>
              <w:top w:val="nil"/>
              <w:left w:val="nil"/>
              <w:bottom w:val="single" w:sz="4" w:space="0" w:color="auto"/>
              <w:right w:val="nil"/>
            </w:tcBorders>
            <w:shd w:val="clear" w:color="auto" w:fill="auto"/>
            <w:vAlign w:val="center"/>
            <w:hideMark/>
          </w:tcPr>
          <w:p w:rsidR="000F1E1F" w:rsidRPr="00D91382" w:rsidRDefault="000F1E1F" w:rsidP="00841FA5">
            <w:pPr>
              <w:jc w:val="center"/>
              <w:rPr>
                <w:color w:val="000000"/>
              </w:rPr>
            </w:pPr>
            <w:r w:rsidRPr="00D91382">
              <w:rPr>
                <w:color w:val="000000"/>
              </w:rPr>
              <w:t xml:space="preserve">Variável </w:t>
            </w:r>
            <w:r w:rsidRPr="00D91382">
              <w:rPr>
                <w:i/>
                <w:color w:val="000000"/>
              </w:rPr>
              <w:t>Dummy</w:t>
            </w:r>
            <w:r w:rsidRPr="00D91382">
              <w:rPr>
                <w:color w:val="000000"/>
              </w:rPr>
              <w:t xml:space="preserve"> 0 para SRV e 1 para ARV multiplicada pelo log da variação da RLV.</w:t>
            </w:r>
          </w:p>
        </w:tc>
      </w:tr>
    </w:tbl>
    <w:p w:rsidR="000F1E1F" w:rsidRPr="002222AA" w:rsidRDefault="000F1E1F" w:rsidP="000F1E1F">
      <w:pPr>
        <w:pStyle w:val="p1"/>
        <w:ind w:firstLine="708"/>
        <w:jc w:val="both"/>
        <w:rPr>
          <w:rFonts w:ascii="Times New Roman" w:hAnsi="Times New Roman"/>
          <w:color w:val="000000"/>
          <w:sz w:val="24"/>
          <w:szCs w:val="24"/>
        </w:rPr>
      </w:pPr>
    </w:p>
    <w:p w:rsidR="000F1E1F" w:rsidRDefault="000F1E1F" w:rsidP="000F1E1F">
      <w:pPr>
        <w:pStyle w:val="p1"/>
        <w:ind w:firstLine="709"/>
        <w:jc w:val="both"/>
        <w:rPr>
          <w:rFonts w:ascii="Times New Roman" w:hAnsi="Times New Roman"/>
          <w:color w:val="000000"/>
          <w:sz w:val="24"/>
          <w:szCs w:val="24"/>
          <w:lang w:eastAsia="en-US"/>
        </w:rPr>
      </w:pPr>
      <w:r>
        <w:rPr>
          <w:rFonts w:ascii="Times New Roman" w:hAnsi="Times New Roman"/>
          <w:color w:val="000000"/>
          <w:sz w:val="24"/>
          <w:szCs w:val="24"/>
          <w:lang w:eastAsia="en-US"/>
        </w:rPr>
        <w:t>Para a definição das observações que detém ARV, calculou-se o terceiro quartil da amostra por meio da função do Excel “quartil.exc”, onde, considerou-se apenas as observações com RV. Como resultado, encontrou-se que as observações que possuem RV acima de 0,5307% são integrantes do grupo de ARV. Caso fosse considerado todo o escopo da amostra, teríamos um terceiro quartil delimitado pelas observações maiores que 0,4762%.</w:t>
      </w:r>
    </w:p>
    <w:p w:rsidR="000F1E1F" w:rsidRDefault="000F1E1F" w:rsidP="000F1E1F">
      <w:pPr>
        <w:pStyle w:val="p1"/>
        <w:ind w:firstLine="709"/>
        <w:jc w:val="both"/>
        <w:rPr>
          <w:rFonts w:ascii="Times New Roman" w:hAnsi="Times New Roman"/>
          <w:color w:val="000000"/>
          <w:sz w:val="24"/>
          <w:szCs w:val="24"/>
          <w:lang w:eastAsia="en-US"/>
        </w:rPr>
      </w:pPr>
      <w:r>
        <w:rPr>
          <w:rFonts w:ascii="Times New Roman" w:hAnsi="Times New Roman"/>
          <w:color w:val="000000"/>
          <w:sz w:val="24"/>
          <w:szCs w:val="24"/>
          <w:lang w:eastAsia="en-US"/>
        </w:rPr>
        <w:t xml:space="preserve">O modelo de regressão em painel, conforme Fávero (2015), constata o efeito agregado da variação </w:t>
      </w:r>
      <w:r w:rsidRPr="00C34865">
        <w:rPr>
          <w:rFonts w:ascii="Times New Roman" w:hAnsi="Times New Roman"/>
          <w:i/>
          <w:color w:val="000000"/>
          <w:sz w:val="24"/>
          <w:szCs w:val="24"/>
          <w:lang w:eastAsia="en-US"/>
        </w:rPr>
        <w:t>between</w:t>
      </w:r>
      <w:r>
        <w:rPr>
          <w:rFonts w:ascii="Times New Roman" w:hAnsi="Times New Roman"/>
          <w:color w:val="000000"/>
          <w:sz w:val="24"/>
          <w:szCs w:val="24"/>
          <w:lang w:eastAsia="en-US"/>
        </w:rPr>
        <w:t xml:space="preserve"> (entre os indivíduos) e </w:t>
      </w:r>
      <w:r w:rsidRPr="00C34865">
        <w:rPr>
          <w:rFonts w:ascii="Times New Roman" w:hAnsi="Times New Roman"/>
          <w:i/>
          <w:color w:val="000000"/>
          <w:sz w:val="24"/>
          <w:szCs w:val="24"/>
          <w:lang w:eastAsia="en-US"/>
        </w:rPr>
        <w:t>whithin</w:t>
      </w:r>
      <w:r>
        <w:rPr>
          <w:rFonts w:ascii="Times New Roman" w:hAnsi="Times New Roman"/>
          <w:color w:val="000000"/>
          <w:sz w:val="24"/>
          <w:szCs w:val="24"/>
          <w:lang w:eastAsia="en-US"/>
        </w:rPr>
        <w:t xml:space="preserve"> (ao longo do tempo). Deste modo, é necessário definir como será o direcionamento do painel, o qual segue descrito na Tabela 5.</w:t>
      </w:r>
    </w:p>
    <w:p w:rsidR="000F1E1F" w:rsidRDefault="000F1E1F" w:rsidP="000F1E1F">
      <w:pPr>
        <w:pStyle w:val="p1"/>
        <w:jc w:val="both"/>
        <w:rPr>
          <w:rFonts w:ascii="Times New Roman" w:hAnsi="Times New Roman"/>
          <w:color w:val="000000"/>
          <w:sz w:val="24"/>
          <w:szCs w:val="24"/>
          <w:lang w:eastAsia="en-US"/>
        </w:rPr>
      </w:pPr>
    </w:p>
    <w:p w:rsidR="000F1E1F" w:rsidRPr="00B92F3D" w:rsidRDefault="00B92F3D" w:rsidP="000F1E1F">
      <w:pPr>
        <w:pStyle w:val="p1"/>
        <w:jc w:val="both"/>
        <w:rPr>
          <w:rFonts w:ascii="Times New Roman" w:hAnsi="Times New Roman"/>
          <w:b/>
          <w:color w:val="000000"/>
          <w:sz w:val="24"/>
          <w:szCs w:val="24"/>
          <w:lang w:eastAsia="en-US"/>
        </w:rPr>
      </w:pPr>
      <w:r w:rsidRPr="00B92F3D">
        <w:rPr>
          <w:rFonts w:ascii="Times New Roman" w:hAnsi="Times New Roman"/>
          <w:b/>
          <w:color w:val="000000"/>
          <w:sz w:val="24"/>
          <w:szCs w:val="24"/>
          <w:lang w:eastAsia="en-US"/>
        </w:rPr>
        <w:t xml:space="preserve">Tabela 5. </w:t>
      </w:r>
      <w:r w:rsidR="000F1E1F" w:rsidRPr="00B92F3D">
        <w:rPr>
          <w:rFonts w:ascii="Times New Roman" w:hAnsi="Times New Roman"/>
          <w:b/>
          <w:color w:val="000000"/>
          <w:sz w:val="24"/>
          <w:szCs w:val="24"/>
          <w:lang w:eastAsia="en-US"/>
        </w:rPr>
        <w:t>Testes para definição do modelo estatístico</w:t>
      </w:r>
    </w:p>
    <w:tbl>
      <w:tblPr>
        <w:tblW w:w="9123" w:type="dxa"/>
        <w:jc w:val="center"/>
        <w:tblCellMar>
          <w:left w:w="70" w:type="dxa"/>
          <w:right w:w="70" w:type="dxa"/>
        </w:tblCellMar>
        <w:tblLook w:val="04A0" w:firstRow="1" w:lastRow="0" w:firstColumn="1" w:lastColumn="0" w:noHBand="0" w:noVBand="1"/>
      </w:tblPr>
      <w:tblGrid>
        <w:gridCol w:w="3254"/>
        <w:gridCol w:w="1049"/>
        <w:gridCol w:w="1056"/>
        <w:gridCol w:w="1056"/>
        <w:gridCol w:w="2708"/>
      </w:tblGrid>
      <w:tr w:rsidR="000F1E1F" w:rsidRPr="0082114F" w:rsidTr="00841FA5">
        <w:trPr>
          <w:trHeight w:val="189"/>
          <w:jc w:val="center"/>
        </w:trPr>
        <w:tc>
          <w:tcPr>
            <w:tcW w:w="3254" w:type="dxa"/>
            <w:tcBorders>
              <w:top w:val="single" w:sz="4" w:space="0" w:color="auto"/>
              <w:left w:val="nil"/>
              <w:bottom w:val="single" w:sz="4" w:space="0" w:color="auto"/>
              <w:right w:val="nil"/>
            </w:tcBorders>
            <w:shd w:val="clear" w:color="auto" w:fill="auto"/>
            <w:noWrap/>
            <w:vAlign w:val="center"/>
            <w:hideMark/>
          </w:tcPr>
          <w:p w:rsidR="000F1E1F" w:rsidRPr="0082114F" w:rsidRDefault="000F1E1F" w:rsidP="00841FA5">
            <w:pPr>
              <w:jc w:val="center"/>
              <w:rPr>
                <w:b/>
                <w:bCs/>
                <w:color w:val="000000"/>
              </w:rPr>
            </w:pPr>
            <w:r w:rsidRPr="0082114F">
              <w:rPr>
                <w:b/>
                <w:bCs/>
                <w:color w:val="000000"/>
              </w:rPr>
              <w:t>Teste</w:t>
            </w:r>
          </w:p>
        </w:tc>
        <w:tc>
          <w:tcPr>
            <w:tcW w:w="1049" w:type="dxa"/>
            <w:tcBorders>
              <w:top w:val="single" w:sz="4" w:space="0" w:color="auto"/>
              <w:left w:val="nil"/>
              <w:bottom w:val="single" w:sz="4" w:space="0" w:color="auto"/>
              <w:right w:val="nil"/>
            </w:tcBorders>
            <w:shd w:val="clear" w:color="auto" w:fill="auto"/>
            <w:vAlign w:val="center"/>
            <w:hideMark/>
          </w:tcPr>
          <w:p w:rsidR="000F1E1F" w:rsidRPr="0082114F" w:rsidRDefault="000F1E1F" w:rsidP="00841FA5">
            <w:pPr>
              <w:jc w:val="center"/>
              <w:rPr>
                <w:b/>
                <w:bCs/>
                <w:color w:val="000000"/>
              </w:rPr>
            </w:pPr>
            <w:r w:rsidRPr="0082114F">
              <w:rPr>
                <w:b/>
                <w:bCs/>
                <w:color w:val="000000"/>
              </w:rPr>
              <w:t>POLS</w:t>
            </w:r>
          </w:p>
        </w:tc>
        <w:tc>
          <w:tcPr>
            <w:tcW w:w="1056" w:type="dxa"/>
            <w:tcBorders>
              <w:top w:val="single" w:sz="4" w:space="0" w:color="auto"/>
              <w:left w:val="nil"/>
              <w:bottom w:val="single" w:sz="4" w:space="0" w:color="auto"/>
              <w:right w:val="nil"/>
            </w:tcBorders>
            <w:shd w:val="clear" w:color="auto" w:fill="auto"/>
            <w:vAlign w:val="center"/>
            <w:hideMark/>
          </w:tcPr>
          <w:p w:rsidR="000F1E1F" w:rsidRPr="0082114F" w:rsidRDefault="000F1E1F" w:rsidP="00841FA5">
            <w:pPr>
              <w:jc w:val="center"/>
              <w:rPr>
                <w:b/>
                <w:bCs/>
                <w:color w:val="000000"/>
              </w:rPr>
            </w:pPr>
            <w:r w:rsidRPr="0082114F">
              <w:rPr>
                <w:b/>
                <w:bCs/>
                <w:color w:val="000000"/>
              </w:rPr>
              <w:t>Efeitos Fixos</w:t>
            </w:r>
          </w:p>
        </w:tc>
        <w:tc>
          <w:tcPr>
            <w:tcW w:w="1056" w:type="dxa"/>
            <w:tcBorders>
              <w:top w:val="single" w:sz="4" w:space="0" w:color="auto"/>
              <w:left w:val="nil"/>
              <w:bottom w:val="single" w:sz="4" w:space="0" w:color="auto"/>
              <w:right w:val="nil"/>
            </w:tcBorders>
            <w:shd w:val="clear" w:color="auto" w:fill="auto"/>
            <w:vAlign w:val="center"/>
            <w:hideMark/>
          </w:tcPr>
          <w:p w:rsidR="000F1E1F" w:rsidRPr="0082114F" w:rsidRDefault="000F1E1F" w:rsidP="00841FA5">
            <w:pPr>
              <w:jc w:val="center"/>
              <w:rPr>
                <w:b/>
                <w:bCs/>
                <w:color w:val="000000"/>
              </w:rPr>
            </w:pPr>
            <w:r w:rsidRPr="0082114F">
              <w:rPr>
                <w:b/>
                <w:bCs/>
                <w:color w:val="000000"/>
              </w:rPr>
              <w:t>Efeitos Aleatórios</w:t>
            </w:r>
          </w:p>
        </w:tc>
        <w:tc>
          <w:tcPr>
            <w:tcW w:w="2708" w:type="dxa"/>
            <w:tcBorders>
              <w:top w:val="single" w:sz="4" w:space="0" w:color="auto"/>
              <w:left w:val="nil"/>
              <w:bottom w:val="single" w:sz="4" w:space="0" w:color="auto"/>
              <w:right w:val="nil"/>
            </w:tcBorders>
            <w:shd w:val="clear" w:color="auto" w:fill="auto"/>
            <w:vAlign w:val="center"/>
            <w:hideMark/>
          </w:tcPr>
          <w:p w:rsidR="000F1E1F" w:rsidRPr="0082114F" w:rsidRDefault="000F1E1F" w:rsidP="00841FA5">
            <w:pPr>
              <w:jc w:val="center"/>
              <w:rPr>
                <w:b/>
                <w:bCs/>
                <w:color w:val="000000"/>
              </w:rPr>
            </w:pPr>
            <w:r w:rsidRPr="0082114F">
              <w:rPr>
                <w:b/>
                <w:bCs/>
                <w:color w:val="000000"/>
              </w:rPr>
              <w:t>Resultado</w:t>
            </w:r>
          </w:p>
        </w:tc>
      </w:tr>
      <w:tr w:rsidR="000F1E1F" w:rsidRPr="0082114F" w:rsidTr="00841FA5">
        <w:trPr>
          <w:trHeight w:val="60"/>
          <w:jc w:val="center"/>
        </w:trPr>
        <w:tc>
          <w:tcPr>
            <w:tcW w:w="3254" w:type="dxa"/>
            <w:tcBorders>
              <w:top w:val="nil"/>
              <w:left w:val="nil"/>
              <w:bottom w:val="nil"/>
              <w:right w:val="nil"/>
            </w:tcBorders>
            <w:shd w:val="clear" w:color="auto" w:fill="auto"/>
            <w:noWrap/>
            <w:vAlign w:val="center"/>
            <w:hideMark/>
          </w:tcPr>
          <w:p w:rsidR="000F1E1F" w:rsidRPr="0082114F" w:rsidRDefault="000F1E1F" w:rsidP="00841FA5">
            <w:pPr>
              <w:rPr>
                <w:b/>
                <w:bCs/>
                <w:color w:val="000000"/>
              </w:rPr>
            </w:pPr>
            <w:r w:rsidRPr="0082114F">
              <w:rPr>
                <w:b/>
                <w:bCs/>
                <w:color w:val="000000"/>
              </w:rPr>
              <w:t>Teste Chow</w:t>
            </w:r>
          </w:p>
        </w:tc>
        <w:tc>
          <w:tcPr>
            <w:tcW w:w="1049"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Nula</w:t>
            </w:r>
          </w:p>
        </w:tc>
        <w:tc>
          <w:tcPr>
            <w:tcW w:w="1056"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Alternativa</w:t>
            </w:r>
          </w:p>
        </w:tc>
        <w:tc>
          <w:tcPr>
            <w:tcW w:w="1056"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p>
        </w:tc>
        <w:tc>
          <w:tcPr>
            <w:tcW w:w="2708"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 xml:space="preserve">Rejeita-se </w:t>
            </w:r>
            <w:r>
              <w:rPr>
                <w:color w:val="000000"/>
              </w:rPr>
              <w:t xml:space="preserve">a </w:t>
            </w:r>
            <w:r w:rsidRPr="0082114F">
              <w:rPr>
                <w:color w:val="000000"/>
              </w:rPr>
              <w:t>Hipótese Nula</w:t>
            </w:r>
          </w:p>
        </w:tc>
      </w:tr>
      <w:tr w:rsidR="000F1E1F" w:rsidRPr="0082114F" w:rsidTr="00841FA5">
        <w:trPr>
          <w:trHeight w:val="70"/>
          <w:jc w:val="center"/>
        </w:trPr>
        <w:tc>
          <w:tcPr>
            <w:tcW w:w="3254" w:type="dxa"/>
            <w:tcBorders>
              <w:top w:val="nil"/>
              <w:left w:val="nil"/>
              <w:bottom w:val="nil"/>
              <w:right w:val="nil"/>
            </w:tcBorders>
            <w:shd w:val="clear" w:color="auto" w:fill="auto"/>
            <w:noWrap/>
            <w:vAlign w:val="center"/>
            <w:hideMark/>
          </w:tcPr>
          <w:p w:rsidR="000F1E1F" w:rsidRPr="0082114F" w:rsidRDefault="000F1E1F" w:rsidP="00841FA5">
            <w:pPr>
              <w:rPr>
                <w:b/>
                <w:bCs/>
                <w:color w:val="000000"/>
              </w:rPr>
            </w:pPr>
            <w:r w:rsidRPr="0082114F">
              <w:rPr>
                <w:b/>
                <w:bCs/>
                <w:color w:val="000000"/>
              </w:rPr>
              <w:t xml:space="preserve">Teste LM de Breusch </w:t>
            </w:r>
            <w:r>
              <w:rPr>
                <w:b/>
                <w:bCs/>
                <w:color w:val="000000"/>
              </w:rPr>
              <w:t>–</w:t>
            </w:r>
            <w:r w:rsidRPr="0082114F">
              <w:rPr>
                <w:b/>
                <w:bCs/>
                <w:color w:val="000000"/>
              </w:rPr>
              <w:t xml:space="preserve"> Pagan</w:t>
            </w:r>
          </w:p>
        </w:tc>
        <w:tc>
          <w:tcPr>
            <w:tcW w:w="1049"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Nula</w:t>
            </w:r>
          </w:p>
        </w:tc>
        <w:tc>
          <w:tcPr>
            <w:tcW w:w="1056"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p>
        </w:tc>
        <w:tc>
          <w:tcPr>
            <w:tcW w:w="1056"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Alternativa</w:t>
            </w:r>
          </w:p>
        </w:tc>
        <w:tc>
          <w:tcPr>
            <w:tcW w:w="2708" w:type="dxa"/>
            <w:tcBorders>
              <w:top w:val="nil"/>
              <w:left w:val="nil"/>
              <w:bottom w:val="nil"/>
              <w:right w:val="nil"/>
            </w:tcBorders>
            <w:shd w:val="clear" w:color="auto" w:fill="auto"/>
            <w:vAlign w:val="center"/>
            <w:hideMark/>
          </w:tcPr>
          <w:p w:rsidR="000F1E1F" w:rsidRPr="0082114F" w:rsidRDefault="000F1E1F" w:rsidP="00841FA5">
            <w:pPr>
              <w:jc w:val="center"/>
              <w:rPr>
                <w:color w:val="000000"/>
              </w:rPr>
            </w:pPr>
            <w:r w:rsidRPr="0082114F">
              <w:rPr>
                <w:color w:val="000000"/>
              </w:rPr>
              <w:t xml:space="preserve">Rejeita-se </w:t>
            </w:r>
            <w:r>
              <w:rPr>
                <w:color w:val="000000"/>
              </w:rPr>
              <w:t xml:space="preserve">a </w:t>
            </w:r>
            <w:r w:rsidRPr="0082114F">
              <w:rPr>
                <w:color w:val="000000"/>
              </w:rPr>
              <w:t>Hipótese Nula</w:t>
            </w:r>
          </w:p>
        </w:tc>
      </w:tr>
      <w:tr w:rsidR="000F1E1F" w:rsidRPr="0082114F" w:rsidTr="00841FA5">
        <w:trPr>
          <w:trHeight w:val="70"/>
          <w:jc w:val="center"/>
        </w:trPr>
        <w:tc>
          <w:tcPr>
            <w:tcW w:w="3254" w:type="dxa"/>
            <w:tcBorders>
              <w:top w:val="nil"/>
              <w:left w:val="nil"/>
              <w:bottom w:val="single" w:sz="4" w:space="0" w:color="auto"/>
              <w:right w:val="nil"/>
            </w:tcBorders>
            <w:shd w:val="clear" w:color="auto" w:fill="auto"/>
            <w:noWrap/>
            <w:vAlign w:val="center"/>
            <w:hideMark/>
          </w:tcPr>
          <w:p w:rsidR="000F1E1F" w:rsidRPr="0082114F" w:rsidRDefault="000F1E1F" w:rsidP="00841FA5">
            <w:pPr>
              <w:rPr>
                <w:b/>
                <w:bCs/>
                <w:color w:val="000000"/>
              </w:rPr>
            </w:pPr>
            <w:r w:rsidRPr="0082114F">
              <w:rPr>
                <w:b/>
                <w:bCs/>
                <w:color w:val="000000"/>
              </w:rPr>
              <w:t>Teste de Hausman</w:t>
            </w:r>
          </w:p>
        </w:tc>
        <w:tc>
          <w:tcPr>
            <w:tcW w:w="1049" w:type="dxa"/>
            <w:tcBorders>
              <w:top w:val="nil"/>
              <w:left w:val="nil"/>
              <w:bottom w:val="single" w:sz="4" w:space="0" w:color="auto"/>
              <w:right w:val="nil"/>
            </w:tcBorders>
            <w:shd w:val="clear" w:color="auto" w:fill="auto"/>
            <w:vAlign w:val="center"/>
            <w:hideMark/>
          </w:tcPr>
          <w:p w:rsidR="000F1E1F" w:rsidRPr="0082114F" w:rsidRDefault="000F1E1F" w:rsidP="00841FA5">
            <w:pPr>
              <w:jc w:val="center"/>
              <w:rPr>
                <w:color w:val="000000"/>
              </w:rPr>
            </w:pPr>
            <w:r w:rsidRPr="0082114F">
              <w:rPr>
                <w:color w:val="000000"/>
              </w:rPr>
              <w:t> </w:t>
            </w:r>
          </w:p>
        </w:tc>
        <w:tc>
          <w:tcPr>
            <w:tcW w:w="1056" w:type="dxa"/>
            <w:tcBorders>
              <w:top w:val="nil"/>
              <w:left w:val="nil"/>
              <w:bottom w:val="single" w:sz="4" w:space="0" w:color="auto"/>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Alternativa</w:t>
            </w:r>
          </w:p>
        </w:tc>
        <w:tc>
          <w:tcPr>
            <w:tcW w:w="1056" w:type="dxa"/>
            <w:tcBorders>
              <w:top w:val="nil"/>
              <w:left w:val="nil"/>
              <w:bottom w:val="single" w:sz="4" w:space="0" w:color="auto"/>
              <w:right w:val="nil"/>
            </w:tcBorders>
            <w:shd w:val="clear" w:color="auto" w:fill="auto"/>
            <w:vAlign w:val="center"/>
            <w:hideMark/>
          </w:tcPr>
          <w:p w:rsidR="000F1E1F" w:rsidRPr="0082114F" w:rsidRDefault="000F1E1F" w:rsidP="00841FA5">
            <w:pPr>
              <w:jc w:val="center"/>
              <w:rPr>
                <w:color w:val="000000"/>
              </w:rPr>
            </w:pPr>
            <w:r w:rsidRPr="0082114F">
              <w:rPr>
                <w:color w:val="000000"/>
              </w:rPr>
              <w:t>Hipótese Nula</w:t>
            </w:r>
          </w:p>
        </w:tc>
        <w:tc>
          <w:tcPr>
            <w:tcW w:w="2708" w:type="dxa"/>
            <w:tcBorders>
              <w:top w:val="nil"/>
              <w:left w:val="nil"/>
              <w:bottom w:val="single" w:sz="4" w:space="0" w:color="auto"/>
              <w:right w:val="nil"/>
            </w:tcBorders>
            <w:shd w:val="clear" w:color="auto" w:fill="auto"/>
            <w:vAlign w:val="center"/>
            <w:hideMark/>
          </w:tcPr>
          <w:p w:rsidR="000F1E1F" w:rsidRPr="0082114F" w:rsidRDefault="000F1E1F" w:rsidP="00841FA5">
            <w:pPr>
              <w:jc w:val="center"/>
              <w:rPr>
                <w:color w:val="000000"/>
              </w:rPr>
            </w:pPr>
            <w:r w:rsidRPr="0082114F">
              <w:rPr>
                <w:color w:val="000000"/>
              </w:rPr>
              <w:t xml:space="preserve">Aceita-se </w:t>
            </w:r>
            <w:r>
              <w:rPr>
                <w:color w:val="000000"/>
              </w:rPr>
              <w:t xml:space="preserve">a </w:t>
            </w:r>
            <w:r w:rsidRPr="0082114F">
              <w:rPr>
                <w:color w:val="000000"/>
              </w:rPr>
              <w:t>Hipótese Nula</w:t>
            </w:r>
          </w:p>
        </w:tc>
      </w:tr>
    </w:tbl>
    <w:p w:rsidR="000F1E1F" w:rsidRDefault="000F1E1F" w:rsidP="000F1E1F">
      <w:pPr>
        <w:pStyle w:val="p1"/>
        <w:jc w:val="both"/>
        <w:rPr>
          <w:rFonts w:ascii="Times New Roman" w:hAnsi="Times New Roman"/>
          <w:color w:val="000000"/>
          <w:sz w:val="24"/>
          <w:szCs w:val="24"/>
          <w:lang w:eastAsia="en-US"/>
        </w:rPr>
      </w:pPr>
    </w:p>
    <w:p w:rsidR="000F1E1F" w:rsidRDefault="000F1E1F" w:rsidP="000F1E1F">
      <w:pPr>
        <w:pStyle w:val="p1"/>
        <w:ind w:firstLine="709"/>
        <w:jc w:val="both"/>
        <w:rPr>
          <w:rFonts w:ascii="Times New Roman" w:hAnsi="Times New Roman"/>
          <w:color w:val="000000"/>
          <w:sz w:val="24"/>
          <w:szCs w:val="24"/>
          <w:lang w:eastAsia="en-US"/>
        </w:rPr>
      </w:pPr>
      <w:r>
        <w:rPr>
          <w:rFonts w:ascii="Times New Roman" w:hAnsi="Times New Roman"/>
          <w:color w:val="000000"/>
          <w:sz w:val="24"/>
          <w:szCs w:val="24"/>
          <w:lang w:eastAsia="en-US"/>
        </w:rPr>
        <w:t>Conforme apresentado, o</w:t>
      </w:r>
      <w:r w:rsidR="00B92F3D">
        <w:rPr>
          <w:rFonts w:ascii="Times New Roman" w:hAnsi="Times New Roman"/>
          <w:color w:val="000000"/>
          <w:sz w:val="24"/>
          <w:szCs w:val="24"/>
          <w:lang w:eastAsia="en-US"/>
        </w:rPr>
        <w:t>s</w:t>
      </w:r>
      <w:r>
        <w:rPr>
          <w:rFonts w:ascii="Times New Roman" w:hAnsi="Times New Roman"/>
          <w:color w:val="000000"/>
          <w:sz w:val="24"/>
          <w:szCs w:val="24"/>
          <w:lang w:eastAsia="en-US"/>
        </w:rPr>
        <w:t xml:space="preserve"> resultado</w:t>
      </w:r>
      <w:r w:rsidR="00B92F3D">
        <w:rPr>
          <w:rFonts w:ascii="Times New Roman" w:hAnsi="Times New Roman"/>
          <w:color w:val="000000"/>
          <w:sz w:val="24"/>
          <w:szCs w:val="24"/>
          <w:lang w:eastAsia="en-US"/>
        </w:rPr>
        <w:t>s</w:t>
      </w:r>
      <w:r>
        <w:rPr>
          <w:rFonts w:ascii="Times New Roman" w:hAnsi="Times New Roman"/>
          <w:color w:val="000000"/>
          <w:sz w:val="24"/>
          <w:szCs w:val="24"/>
          <w:lang w:eastAsia="en-US"/>
        </w:rPr>
        <w:t xml:space="preserve"> indica</w:t>
      </w:r>
      <w:r w:rsidR="00B92F3D">
        <w:rPr>
          <w:rFonts w:ascii="Times New Roman" w:hAnsi="Times New Roman"/>
          <w:color w:val="000000"/>
          <w:sz w:val="24"/>
          <w:szCs w:val="24"/>
          <w:lang w:eastAsia="en-US"/>
        </w:rPr>
        <w:t>m</w:t>
      </w:r>
      <w:r>
        <w:rPr>
          <w:rFonts w:ascii="Times New Roman" w:hAnsi="Times New Roman"/>
          <w:color w:val="000000"/>
          <w:sz w:val="24"/>
          <w:szCs w:val="24"/>
          <w:lang w:eastAsia="en-US"/>
        </w:rPr>
        <w:t xml:space="preserve"> que o mais adequado para a presente pesquisa é o modelo de efeitos aleatórios, cujo significa que é diferente de zero a variância dos resíduos </w:t>
      </w:r>
      <w:r w:rsidRPr="0082114F">
        <w:rPr>
          <w:rFonts w:ascii="Times New Roman" w:hAnsi="Times New Roman"/>
          <w:color w:val="000000"/>
          <w:sz w:val="24"/>
          <w:szCs w:val="24"/>
          <w:lang w:eastAsia="en-US"/>
        </w:rPr>
        <w:t>(</w:t>
      </w:r>
      <w:r>
        <w:rPr>
          <w:rFonts w:ascii="Times New Roman" w:eastAsia="Times New Roman" w:hAnsi="Times New Roman"/>
          <w:bCs/>
          <w:color w:val="000000"/>
          <w:sz w:val="24"/>
          <w:szCs w:val="24"/>
        </w:rPr>
        <w:t>t</w:t>
      </w:r>
      <w:r w:rsidRPr="0082114F">
        <w:rPr>
          <w:rFonts w:ascii="Times New Roman" w:eastAsia="Times New Roman" w:hAnsi="Times New Roman"/>
          <w:bCs/>
          <w:color w:val="000000"/>
          <w:sz w:val="24"/>
          <w:szCs w:val="24"/>
        </w:rPr>
        <w:t>este LM)</w:t>
      </w:r>
      <w:r>
        <w:rPr>
          <w:rFonts w:ascii="Times New Roman" w:hAnsi="Times New Roman"/>
          <w:color w:val="000000"/>
          <w:sz w:val="24"/>
          <w:szCs w:val="24"/>
          <w:lang w:eastAsia="en-US"/>
        </w:rPr>
        <w:t xml:space="preserve"> e que é apropriado o modelo de correção para os erros </w:t>
      </w:r>
      <w:r w:rsidRPr="0082114F">
        <w:rPr>
          <w:rFonts w:ascii="Times New Roman" w:hAnsi="Times New Roman"/>
          <w:color w:val="000000"/>
          <w:sz w:val="24"/>
          <w:szCs w:val="24"/>
          <w:lang w:eastAsia="en-US"/>
        </w:rPr>
        <w:t>(</w:t>
      </w:r>
      <w:r>
        <w:rPr>
          <w:rFonts w:ascii="Times New Roman" w:eastAsia="Times New Roman" w:hAnsi="Times New Roman"/>
          <w:bCs/>
          <w:color w:val="000000"/>
          <w:sz w:val="24"/>
          <w:szCs w:val="24"/>
        </w:rPr>
        <w:t>t</w:t>
      </w:r>
      <w:r w:rsidRPr="0082114F">
        <w:rPr>
          <w:rFonts w:ascii="Times New Roman" w:eastAsia="Times New Roman" w:hAnsi="Times New Roman"/>
          <w:bCs/>
          <w:color w:val="000000"/>
          <w:sz w:val="24"/>
          <w:szCs w:val="24"/>
        </w:rPr>
        <w:t>este de Hausman</w:t>
      </w:r>
      <w:r w:rsidRPr="0082114F">
        <w:rPr>
          <w:rFonts w:ascii="Times New Roman" w:eastAsia="Times New Roman" w:hAnsi="Times New Roman"/>
          <w:bCs/>
          <w:color w:val="000000"/>
          <w:sz w:val="20"/>
          <w:szCs w:val="20"/>
        </w:rPr>
        <w:t>)</w:t>
      </w:r>
      <w:r>
        <w:rPr>
          <w:rFonts w:ascii="Times New Roman" w:hAnsi="Times New Roman"/>
          <w:color w:val="000000"/>
          <w:sz w:val="24"/>
          <w:szCs w:val="24"/>
          <w:lang w:eastAsia="en-US"/>
        </w:rPr>
        <w:t>.</w:t>
      </w:r>
    </w:p>
    <w:p w:rsidR="000F1E1F" w:rsidRDefault="000F1E1F" w:rsidP="000F1E1F">
      <w:pPr>
        <w:pStyle w:val="PargrafodaLista"/>
        <w:ind w:left="0"/>
        <w:jc w:val="both"/>
        <w:rPr>
          <w:rFonts w:eastAsia="Calibri"/>
          <w:color w:val="000000"/>
          <w:sz w:val="24"/>
          <w:szCs w:val="24"/>
          <w:lang w:eastAsia="en-US"/>
        </w:rPr>
      </w:pPr>
    </w:p>
    <w:p w:rsidR="000F1E1F" w:rsidRPr="00231D55" w:rsidRDefault="000F1E1F" w:rsidP="000F1E1F">
      <w:pPr>
        <w:pStyle w:val="PargrafodaLista"/>
        <w:ind w:left="0"/>
        <w:jc w:val="both"/>
        <w:rPr>
          <w:b/>
          <w:sz w:val="24"/>
          <w:szCs w:val="24"/>
        </w:rPr>
      </w:pPr>
      <w:r>
        <w:rPr>
          <w:b/>
          <w:sz w:val="24"/>
          <w:szCs w:val="24"/>
        </w:rPr>
        <w:t xml:space="preserve">4 </w:t>
      </w:r>
      <w:r w:rsidRPr="00231D55">
        <w:rPr>
          <w:b/>
          <w:sz w:val="24"/>
          <w:szCs w:val="24"/>
        </w:rPr>
        <w:t>APRESENTAÇÃO DOS RESULTADOS</w:t>
      </w:r>
    </w:p>
    <w:p w:rsidR="000F1E1F" w:rsidRDefault="000F1E1F" w:rsidP="000F1E1F">
      <w:pPr>
        <w:pStyle w:val="PargrafodaLista"/>
        <w:ind w:left="0"/>
        <w:jc w:val="both"/>
        <w:rPr>
          <w:b/>
          <w:sz w:val="24"/>
          <w:szCs w:val="24"/>
        </w:rPr>
      </w:pPr>
    </w:p>
    <w:p w:rsidR="000F1E1F" w:rsidRPr="0001573F" w:rsidRDefault="000F1E1F" w:rsidP="000F1E1F">
      <w:pPr>
        <w:pStyle w:val="PargrafodaLista"/>
        <w:ind w:left="0"/>
        <w:jc w:val="both"/>
        <w:rPr>
          <w:b/>
          <w:sz w:val="24"/>
          <w:szCs w:val="24"/>
        </w:rPr>
      </w:pPr>
      <w:r>
        <w:rPr>
          <w:b/>
          <w:sz w:val="24"/>
          <w:szCs w:val="24"/>
        </w:rPr>
        <w:t>4.1 Pressupostos do Modelo E</w:t>
      </w:r>
      <w:r w:rsidRPr="00942921">
        <w:rPr>
          <w:b/>
          <w:sz w:val="24"/>
          <w:szCs w:val="24"/>
        </w:rPr>
        <w:t>statístico</w:t>
      </w:r>
    </w:p>
    <w:p w:rsidR="000F1E1F" w:rsidRDefault="000F1E1F" w:rsidP="00B92F3D">
      <w:pPr>
        <w:pStyle w:val="PargrafodaLista"/>
        <w:ind w:left="0" w:firstLine="708"/>
        <w:jc w:val="both"/>
        <w:rPr>
          <w:sz w:val="24"/>
          <w:szCs w:val="24"/>
        </w:rPr>
      </w:pPr>
      <w:r>
        <w:rPr>
          <w:sz w:val="24"/>
          <w:szCs w:val="24"/>
        </w:rPr>
        <w:t>Conforme Fávero (2015), a</w:t>
      </w:r>
      <w:r w:rsidRPr="00FB1FB9">
        <w:rPr>
          <w:sz w:val="24"/>
          <w:szCs w:val="24"/>
        </w:rPr>
        <w:t xml:space="preserve">o que tange os pressupostos estatísticos para o modelo de regressão de efeitos aleatórios, </w:t>
      </w:r>
      <w:r>
        <w:rPr>
          <w:sz w:val="24"/>
          <w:szCs w:val="24"/>
        </w:rPr>
        <w:t>evidencia-se por meio da Tabela 6 os seus resultados.</w:t>
      </w:r>
    </w:p>
    <w:p w:rsidR="00B92F3D" w:rsidRDefault="00B92F3D" w:rsidP="000F1E1F">
      <w:pPr>
        <w:pStyle w:val="PargrafodaLista"/>
        <w:ind w:left="0"/>
        <w:jc w:val="both"/>
        <w:rPr>
          <w:sz w:val="24"/>
          <w:szCs w:val="24"/>
        </w:rPr>
      </w:pPr>
    </w:p>
    <w:p w:rsidR="000F1E1F" w:rsidRPr="00B92F3D" w:rsidRDefault="00B92F3D" w:rsidP="000F1E1F">
      <w:pPr>
        <w:pStyle w:val="PargrafodaLista"/>
        <w:ind w:left="0"/>
        <w:jc w:val="both"/>
        <w:rPr>
          <w:b/>
          <w:sz w:val="24"/>
          <w:szCs w:val="24"/>
        </w:rPr>
      </w:pPr>
      <w:r w:rsidRPr="00B92F3D">
        <w:rPr>
          <w:b/>
          <w:sz w:val="24"/>
          <w:szCs w:val="24"/>
        </w:rPr>
        <w:t xml:space="preserve">Tabela 6. </w:t>
      </w:r>
      <w:r w:rsidR="000F1E1F" w:rsidRPr="00B92F3D">
        <w:rPr>
          <w:b/>
          <w:sz w:val="24"/>
          <w:szCs w:val="24"/>
        </w:rPr>
        <w:t>Pressupostos do modelo de regressão</w:t>
      </w:r>
    </w:p>
    <w:tbl>
      <w:tblPr>
        <w:tblW w:w="9129" w:type="dxa"/>
        <w:jc w:val="center"/>
        <w:tblCellMar>
          <w:left w:w="70" w:type="dxa"/>
          <w:right w:w="70" w:type="dxa"/>
        </w:tblCellMar>
        <w:tblLook w:val="04A0" w:firstRow="1" w:lastRow="0" w:firstColumn="1" w:lastColumn="0" w:noHBand="0" w:noVBand="1"/>
      </w:tblPr>
      <w:tblGrid>
        <w:gridCol w:w="1540"/>
        <w:gridCol w:w="1820"/>
        <w:gridCol w:w="1840"/>
        <w:gridCol w:w="1873"/>
        <w:gridCol w:w="2056"/>
      </w:tblGrid>
      <w:tr w:rsidR="000F1E1F" w:rsidRPr="008E410A" w:rsidTr="00841FA5">
        <w:trPr>
          <w:trHeight w:val="300"/>
          <w:jc w:val="center"/>
        </w:trPr>
        <w:tc>
          <w:tcPr>
            <w:tcW w:w="1540" w:type="dxa"/>
            <w:tcBorders>
              <w:top w:val="single" w:sz="4" w:space="0" w:color="auto"/>
              <w:left w:val="nil"/>
              <w:bottom w:val="single" w:sz="4" w:space="0" w:color="auto"/>
              <w:right w:val="nil"/>
            </w:tcBorders>
            <w:shd w:val="clear" w:color="auto" w:fill="auto"/>
            <w:noWrap/>
            <w:vAlign w:val="center"/>
            <w:hideMark/>
          </w:tcPr>
          <w:p w:rsidR="000F1E1F" w:rsidRPr="008E410A" w:rsidRDefault="000F1E1F" w:rsidP="00841FA5">
            <w:pPr>
              <w:jc w:val="center"/>
              <w:rPr>
                <w:b/>
                <w:bCs/>
                <w:color w:val="000000"/>
              </w:rPr>
            </w:pPr>
            <w:r w:rsidRPr="008E410A">
              <w:rPr>
                <w:b/>
                <w:bCs/>
                <w:color w:val="000000"/>
              </w:rPr>
              <w:t>Procedimento</w:t>
            </w:r>
          </w:p>
        </w:tc>
        <w:tc>
          <w:tcPr>
            <w:tcW w:w="1820" w:type="dxa"/>
            <w:tcBorders>
              <w:top w:val="single" w:sz="4" w:space="0" w:color="auto"/>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Normalidade</w:t>
            </w:r>
          </w:p>
        </w:tc>
        <w:tc>
          <w:tcPr>
            <w:tcW w:w="1840" w:type="dxa"/>
            <w:tcBorders>
              <w:top w:val="single" w:sz="4" w:space="0" w:color="auto"/>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Multicolinearidade</w:t>
            </w:r>
          </w:p>
        </w:tc>
        <w:tc>
          <w:tcPr>
            <w:tcW w:w="1873" w:type="dxa"/>
            <w:tcBorders>
              <w:top w:val="single" w:sz="4" w:space="0" w:color="auto"/>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Heterocedasticidade</w:t>
            </w:r>
          </w:p>
        </w:tc>
        <w:tc>
          <w:tcPr>
            <w:tcW w:w="2056" w:type="dxa"/>
            <w:tcBorders>
              <w:top w:val="single" w:sz="4" w:space="0" w:color="auto"/>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Autocorreção</w:t>
            </w:r>
          </w:p>
        </w:tc>
      </w:tr>
      <w:tr w:rsidR="000F1E1F" w:rsidRPr="008E410A" w:rsidTr="00841FA5">
        <w:trPr>
          <w:trHeight w:val="510"/>
          <w:jc w:val="center"/>
        </w:trPr>
        <w:tc>
          <w:tcPr>
            <w:tcW w:w="1540" w:type="dxa"/>
            <w:tcBorders>
              <w:top w:val="nil"/>
              <w:left w:val="nil"/>
              <w:bottom w:val="nil"/>
              <w:right w:val="nil"/>
            </w:tcBorders>
            <w:shd w:val="clear" w:color="auto" w:fill="auto"/>
            <w:noWrap/>
            <w:vAlign w:val="center"/>
            <w:hideMark/>
          </w:tcPr>
          <w:p w:rsidR="000F1E1F" w:rsidRPr="008E410A" w:rsidRDefault="000F1E1F" w:rsidP="00841FA5">
            <w:pPr>
              <w:jc w:val="center"/>
              <w:rPr>
                <w:color w:val="000000"/>
              </w:rPr>
            </w:pPr>
            <w:r w:rsidRPr="008E410A">
              <w:rPr>
                <w:color w:val="000000"/>
              </w:rPr>
              <w:t>Teste</w:t>
            </w:r>
          </w:p>
        </w:tc>
        <w:tc>
          <w:tcPr>
            <w:tcW w:w="1820"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Teste Jarque Bera</w:t>
            </w:r>
          </w:p>
        </w:tc>
        <w:tc>
          <w:tcPr>
            <w:tcW w:w="1840" w:type="dxa"/>
            <w:tcBorders>
              <w:top w:val="nil"/>
              <w:left w:val="nil"/>
              <w:bottom w:val="nil"/>
              <w:right w:val="nil"/>
            </w:tcBorders>
            <w:shd w:val="clear" w:color="auto" w:fill="auto"/>
            <w:vAlign w:val="center"/>
            <w:hideMark/>
          </w:tcPr>
          <w:p w:rsidR="000F1E1F" w:rsidRPr="00E02F0D" w:rsidRDefault="000F1E1F" w:rsidP="00841FA5">
            <w:pPr>
              <w:jc w:val="center"/>
              <w:rPr>
                <w:i/>
                <w:color w:val="000000"/>
              </w:rPr>
            </w:pPr>
            <w:r w:rsidRPr="00E02F0D">
              <w:rPr>
                <w:i/>
                <w:color w:val="000000"/>
              </w:rPr>
              <w:t>Variance Inflation Factor</w:t>
            </w:r>
          </w:p>
        </w:tc>
        <w:tc>
          <w:tcPr>
            <w:tcW w:w="1873"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Teste de White</w:t>
            </w:r>
          </w:p>
        </w:tc>
        <w:tc>
          <w:tcPr>
            <w:tcW w:w="2056"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Teste de Wooldrige</w:t>
            </w:r>
          </w:p>
        </w:tc>
      </w:tr>
      <w:tr w:rsidR="000F1E1F" w:rsidRPr="008E410A" w:rsidTr="00841FA5">
        <w:trPr>
          <w:trHeight w:val="765"/>
          <w:jc w:val="center"/>
        </w:trPr>
        <w:tc>
          <w:tcPr>
            <w:tcW w:w="1540"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Hipótese Desejável</w:t>
            </w:r>
          </w:p>
        </w:tc>
        <w:tc>
          <w:tcPr>
            <w:tcW w:w="1820"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H0 = Distribuição normal dos dados</w:t>
            </w:r>
          </w:p>
        </w:tc>
        <w:tc>
          <w:tcPr>
            <w:tcW w:w="1840" w:type="dxa"/>
            <w:vMerge w:val="restart"/>
            <w:tcBorders>
              <w:top w:val="nil"/>
              <w:left w:val="nil"/>
              <w:bottom w:val="nil"/>
              <w:right w:val="nil"/>
            </w:tcBorders>
            <w:shd w:val="clear" w:color="auto" w:fill="auto"/>
            <w:noWrap/>
            <w:vAlign w:val="center"/>
            <w:hideMark/>
          </w:tcPr>
          <w:p w:rsidR="000F1E1F" w:rsidRPr="008E410A" w:rsidRDefault="000F1E1F" w:rsidP="00841FA5">
            <w:pPr>
              <w:jc w:val="center"/>
              <w:rPr>
                <w:color w:val="000000"/>
              </w:rPr>
            </w:pPr>
            <w:r w:rsidRPr="008E410A">
              <w:rPr>
                <w:color w:val="000000"/>
              </w:rPr>
              <w:t>vif &gt; 10</w:t>
            </w:r>
          </w:p>
        </w:tc>
        <w:tc>
          <w:tcPr>
            <w:tcW w:w="1873"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H0 = Amostra com Homocedasticidade</w:t>
            </w:r>
          </w:p>
        </w:tc>
        <w:tc>
          <w:tcPr>
            <w:tcW w:w="2056"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H0 = Não há autocorrelação entre os dados</w:t>
            </w:r>
          </w:p>
        </w:tc>
      </w:tr>
      <w:tr w:rsidR="000F1E1F" w:rsidRPr="008E410A" w:rsidTr="00841FA5">
        <w:trPr>
          <w:trHeight w:val="765"/>
          <w:jc w:val="center"/>
        </w:trPr>
        <w:tc>
          <w:tcPr>
            <w:tcW w:w="1540"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Hipótese Alternativa</w:t>
            </w:r>
          </w:p>
        </w:tc>
        <w:tc>
          <w:tcPr>
            <w:tcW w:w="1820"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H1 = Distribuição não normal dos dados</w:t>
            </w:r>
          </w:p>
        </w:tc>
        <w:tc>
          <w:tcPr>
            <w:tcW w:w="1840" w:type="dxa"/>
            <w:vMerge/>
            <w:tcBorders>
              <w:top w:val="nil"/>
              <w:left w:val="nil"/>
              <w:bottom w:val="nil"/>
              <w:right w:val="nil"/>
            </w:tcBorders>
            <w:vAlign w:val="center"/>
            <w:hideMark/>
          </w:tcPr>
          <w:p w:rsidR="000F1E1F" w:rsidRPr="008E410A" w:rsidRDefault="000F1E1F" w:rsidP="00841FA5">
            <w:pPr>
              <w:rPr>
                <w:color w:val="000000"/>
              </w:rPr>
            </w:pPr>
          </w:p>
        </w:tc>
        <w:tc>
          <w:tcPr>
            <w:tcW w:w="1873"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H1 = Amostra com heterocedasticidade</w:t>
            </w:r>
          </w:p>
        </w:tc>
        <w:tc>
          <w:tcPr>
            <w:tcW w:w="2056" w:type="dxa"/>
            <w:tcBorders>
              <w:top w:val="nil"/>
              <w:left w:val="nil"/>
              <w:bottom w:val="nil"/>
              <w:right w:val="nil"/>
            </w:tcBorders>
            <w:shd w:val="clear" w:color="auto" w:fill="auto"/>
            <w:vAlign w:val="center"/>
            <w:hideMark/>
          </w:tcPr>
          <w:p w:rsidR="000F1E1F" w:rsidRPr="008E410A" w:rsidRDefault="000F1E1F" w:rsidP="00841FA5">
            <w:pPr>
              <w:jc w:val="center"/>
              <w:rPr>
                <w:color w:val="000000"/>
              </w:rPr>
            </w:pPr>
            <w:r w:rsidRPr="008E410A">
              <w:rPr>
                <w:color w:val="000000"/>
              </w:rPr>
              <w:t>H1 = Há autocorrelação entre os dados</w:t>
            </w:r>
          </w:p>
        </w:tc>
      </w:tr>
      <w:tr w:rsidR="000F1E1F" w:rsidRPr="008E410A" w:rsidTr="00841FA5">
        <w:trPr>
          <w:trHeight w:val="510"/>
          <w:jc w:val="center"/>
        </w:trPr>
        <w:tc>
          <w:tcPr>
            <w:tcW w:w="1540" w:type="dxa"/>
            <w:tcBorders>
              <w:top w:val="nil"/>
              <w:left w:val="nil"/>
              <w:bottom w:val="single" w:sz="4" w:space="0" w:color="auto"/>
              <w:right w:val="nil"/>
            </w:tcBorders>
            <w:shd w:val="clear" w:color="auto" w:fill="auto"/>
            <w:noWrap/>
            <w:vAlign w:val="center"/>
            <w:hideMark/>
          </w:tcPr>
          <w:p w:rsidR="000F1E1F" w:rsidRPr="008E410A" w:rsidRDefault="000F1E1F" w:rsidP="00841FA5">
            <w:pPr>
              <w:jc w:val="center"/>
              <w:rPr>
                <w:b/>
                <w:bCs/>
                <w:color w:val="000000"/>
              </w:rPr>
            </w:pPr>
            <w:r w:rsidRPr="008E410A">
              <w:rPr>
                <w:b/>
                <w:bCs/>
                <w:color w:val="000000"/>
              </w:rPr>
              <w:t>Resultado</w:t>
            </w:r>
            <w:r>
              <w:rPr>
                <w:b/>
                <w:bCs/>
                <w:color w:val="000000"/>
              </w:rPr>
              <w:t xml:space="preserve"> (ao nível de 5% de significância)</w:t>
            </w:r>
          </w:p>
        </w:tc>
        <w:tc>
          <w:tcPr>
            <w:tcW w:w="1820" w:type="dxa"/>
            <w:tcBorders>
              <w:top w:val="nil"/>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Distribuição não normal</w:t>
            </w:r>
          </w:p>
        </w:tc>
        <w:tc>
          <w:tcPr>
            <w:tcW w:w="1840" w:type="dxa"/>
            <w:tcBorders>
              <w:top w:val="nil"/>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Não colinear</w:t>
            </w:r>
          </w:p>
        </w:tc>
        <w:tc>
          <w:tcPr>
            <w:tcW w:w="1873" w:type="dxa"/>
            <w:tcBorders>
              <w:top w:val="nil"/>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Amostra com Heterocedasticidade</w:t>
            </w:r>
          </w:p>
        </w:tc>
        <w:tc>
          <w:tcPr>
            <w:tcW w:w="2056" w:type="dxa"/>
            <w:tcBorders>
              <w:top w:val="nil"/>
              <w:left w:val="nil"/>
              <w:bottom w:val="single" w:sz="4" w:space="0" w:color="auto"/>
              <w:right w:val="nil"/>
            </w:tcBorders>
            <w:shd w:val="clear" w:color="auto" w:fill="auto"/>
            <w:vAlign w:val="center"/>
            <w:hideMark/>
          </w:tcPr>
          <w:p w:rsidR="000F1E1F" w:rsidRPr="008E410A" w:rsidRDefault="000F1E1F" w:rsidP="00841FA5">
            <w:pPr>
              <w:jc w:val="center"/>
              <w:rPr>
                <w:b/>
                <w:bCs/>
                <w:color w:val="000000"/>
              </w:rPr>
            </w:pPr>
            <w:r w:rsidRPr="008E410A">
              <w:rPr>
                <w:b/>
                <w:bCs/>
                <w:color w:val="000000"/>
              </w:rPr>
              <w:t>Não há autocorrelação.</w:t>
            </w:r>
          </w:p>
        </w:tc>
      </w:tr>
    </w:tbl>
    <w:p w:rsidR="000F1E1F" w:rsidRPr="00FB1FB9" w:rsidRDefault="000F1E1F" w:rsidP="000F1E1F">
      <w:pPr>
        <w:pStyle w:val="PargrafodaLista"/>
        <w:ind w:left="0" w:firstLine="709"/>
        <w:jc w:val="both"/>
        <w:rPr>
          <w:sz w:val="24"/>
          <w:szCs w:val="24"/>
        </w:rPr>
      </w:pPr>
    </w:p>
    <w:p w:rsidR="000F1E1F" w:rsidRDefault="000F1E1F" w:rsidP="000F1E1F">
      <w:pPr>
        <w:pStyle w:val="PargrafodaLista"/>
        <w:ind w:left="0" w:firstLine="709"/>
        <w:jc w:val="both"/>
        <w:rPr>
          <w:sz w:val="24"/>
          <w:szCs w:val="24"/>
        </w:rPr>
      </w:pPr>
      <w:r w:rsidRPr="008E410A">
        <w:rPr>
          <w:sz w:val="24"/>
          <w:szCs w:val="24"/>
        </w:rPr>
        <w:t xml:space="preserve">O resultado do teste </w:t>
      </w:r>
      <w:r w:rsidRPr="00B92F3D">
        <w:rPr>
          <w:i/>
          <w:sz w:val="24"/>
          <w:szCs w:val="24"/>
        </w:rPr>
        <w:t>Jarque Bera</w:t>
      </w:r>
      <w:r w:rsidRPr="008E410A">
        <w:rPr>
          <w:sz w:val="24"/>
          <w:szCs w:val="24"/>
        </w:rPr>
        <w:t xml:space="preserve"> apontou para uma distribuição não normal dos dados, porém, com base no elevado número de observações e no histograma das variáveis apresentados na </w:t>
      </w:r>
      <w:r>
        <w:rPr>
          <w:sz w:val="24"/>
          <w:szCs w:val="24"/>
        </w:rPr>
        <w:t>Figura 2</w:t>
      </w:r>
      <w:r w:rsidRPr="008E410A">
        <w:rPr>
          <w:sz w:val="24"/>
          <w:szCs w:val="24"/>
        </w:rPr>
        <w:t>, pode-se concluir que os dados convergem para uma normalidade assintótica de resíduos, fato que avaliza a consistência e viabilidade da análise (Gujarati, 2006)</w:t>
      </w:r>
      <w:r>
        <w:rPr>
          <w:sz w:val="24"/>
          <w:szCs w:val="24"/>
        </w:rPr>
        <w:t>.</w:t>
      </w:r>
    </w:p>
    <w:p w:rsidR="000F1E1F" w:rsidRDefault="000F1E1F" w:rsidP="000F1E1F">
      <w:pPr>
        <w:pStyle w:val="PargrafodaLista"/>
        <w:ind w:left="0"/>
        <w:jc w:val="both"/>
        <w:rPr>
          <w:sz w:val="24"/>
          <w:szCs w:val="24"/>
        </w:rPr>
      </w:pPr>
    </w:p>
    <w:p w:rsidR="000F1E1F" w:rsidRDefault="009C3855" w:rsidP="000F1E1F">
      <w:pPr>
        <w:pStyle w:val="PargrafodaLista"/>
        <w:ind w:left="0"/>
        <w:jc w:val="both"/>
        <w:rPr>
          <w:sz w:val="24"/>
          <w:szCs w:val="24"/>
        </w:rPr>
      </w:pPr>
      <w:r>
        <w:rPr>
          <w:noProof/>
        </w:rPr>
        <w:pict>
          <v:group id="Grupo 3" o:spid="_x0000_s1026" style="position:absolute;left:0;text-align:left;margin-left:.05pt;margin-top:.2pt;width:453.4pt;height:164.6pt;z-index:251659264" coordsize="91535,27479" o:gfxdata="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 o:spid="_x0000_s1027" type="#_x0000_t75" style="position:absolute;left:-60;width:45840;height:275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">
              <v:imagedata r:id="rId8" o:title=""/>
              <o:lock v:ext="edit" aspectratio="f"/>
            </v:shape>
            <v:shape id="Gráfico 3" o:spid="_x0000_s1028" type="#_x0000_t75" style="position:absolute;left:45780;top:-60;width:45842;height: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">
              <v:imagedata r:id="rId9" o:title=""/>
              <o:lock v:ext="edit" aspectratio="f"/>
            </v:shape>
          </v:group>
        </w:pict>
      </w:r>
    </w:p>
    <w:p w:rsidR="000F1E1F" w:rsidRDefault="000F1E1F" w:rsidP="000F1E1F">
      <w:pPr>
        <w:pStyle w:val="PargrafodaLista"/>
        <w:ind w:left="0" w:firstLine="360"/>
        <w:jc w:val="both"/>
        <w:rPr>
          <w:sz w:val="24"/>
          <w:szCs w:val="24"/>
        </w:rPr>
      </w:pPr>
    </w:p>
    <w:p w:rsidR="000F1E1F" w:rsidRPr="00116B8E" w:rsidRDefault="000F1E1F" w:rsidP="000F1E1F">
      <w:pPr>
        <w:pStyle w:val="PargrafodaLista"/>
        <w:ind w:left="0" w:firstLine="360"/>
        <w:jc w:val="both"/>
        <w:rPr>
          <w:noProof/>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Default="000F1E1F" w:rsidP="000F1E1F">
      <w:pPr>
        <w:pStyle w:val="PargrafodaLista"/>
        <w:ind w:left="0" w:firstLine="360"/>
        <w:jc w:val="both"/>
        <w:rPr>
          <w:sz w:val="24"/>
          <w:szCs w:val="24"/>
        </w:rPr>
      </w:pPr>
    </w:p>
    <w:p w:rsidR="000F1E1F" w:rsidRPr="00E02F0D" w:rsidRDefault="000F1E1F" w:rsidP="000F1E1F">
      <w:pPr>
        <w:pStyle w:val="PargrafodaLista"/>
        <w:ind w:left="0" w:firstLine="360"/>
        <w:jc w:val="both"/>
        <w:rPr>
          <w:b/>
          <w:sz w:val="24"/>
          <w:szCs w:val="24"/>
        </w:rPr>
      </w:pPr>
    </w:p>
    <w:p w:rsidR="000F1E1F" w:rsidRPr="00E02F0D" w:rsidRDefault="00B92F3D" w:rsidP="000F1E1F">
      <w:pPr>
        <w:pStyle w:val="PargrafodaLista"/>
        <w:ind w:left="0"/>
        <w:jc w:val="both"/>
        <w:rPr>
          <w:b/>
          <w:sz w:val="24"/>
          <w:szCs w:val="24"/>
        </w:rPr>
      </w:pPr>
      <w:r>
        <w:rPr>
          <w:b/>
          <w:sz w:val="24"/>
          <w:szCs w:val="24"/>
        </w:rPr>
        <w:t xml:space="preserve">Figura 2. </w:t>
      </w:r>
      <w:r w:rsidR="000F1E1F" w:rsidRPr="00E02F0D">
        <w:rPr>
          <w:b/>
          <w:sz w:val="24"/>
          <w:szCs w:val="24"/>
        </w:rPr>
        <w:t>Histograma da variação da RLV e do CPV</w:t>
      </w:r>
    </w:p>
    <w:p w:rsidR="000F1E1F" w:rsidRDefault="000F1E1F" w:rsidP="000F1E1F">
      <w:pPr>
        <w:pStyle w:val="PargrafodaLista"/>
        <w:ind w:left="0"/>
        <w:jc w:val="both"/>
        <w:rPr>
          <w:sz w:val="24"/>
          <w:szCs w:val="24"/>
        </w:rPr>
      </w:pPr>
    </w:p>
    <w:p w:rsidR="000F1E1F" w:rsidRDefault="000F1E1F" w:rsidP="000F1E1F">
      <w:pPr>
        <w:pStyle w:val="PargrafodaLista"/>
        <w:ind w:left="0" w:firstLine="360"/>
        <w:jc w:val="both"/>
        <w:rPr>
          <w:sz w:val="24"/>
          <w:szCs w:val="24"/>
        </w:rPr>
      </w:pPr>
      <w:r>
        <w:rPr>
          <w:sz w:val="24"/>
          <w:szCs w:val="24"/>
        </w:rPr>
        <w:lastRenderedPageBreak/>
        <w:t>Ao que tange o teste de heterocedasticidade, recomenda-se a correção robusta de White, entretanto, conforme Fávero (2015), tal procedimento é uma opção do pesquisador, visto que os coeficientes angulares permanecem iguais, porém, há alteração do erro padrão e da estatística t dos parâmetros. Nessa pesquisa, optou-se por não corrigir a heterocedasticidade e para tanto, constitui-se uma limitação na análise dos resultados.</w:t>
      </w:r>
    </w:p>
    <w:p w:rsidR="000F1E1F" w:rsidRDefault="000F1E1F" w:rsidP="000F1E1F">
      <w:pPr>
        <w:pStyle w:val="PargrafodaLista"/>
        <w:ind w:left="0" w:firstLine="360"/>
        <w:jc w:val="both"/>
        <w:rPr>
          <w:sz w:val="24"/>
          <w:szCs w:val="24"/>
        </w:rPr>
      </w:pPr>
      <w:r>
        <w:rPr>
          <w:sz w:val="24"/>
          <w:szCs w:val="24"/>
        </w:rPr>
        <w:t>Por fim, em relação aos testes que visam aferir a multicolinearidade e autocorrelação, os resultados indicam que o modelo proposto atende aos pressupostos necessários para a regressão em painel.</w:t>
      </w:r>
    </w:p>
    <w:p w:rsidR="000F1E1F" w:rsidRPr="008E410A" w:rsidRDefault="000F1E1F" w:rsidP="000F1E1F">
      <w:pPr>
        <w:pStyle w:val="PargrafodaLista"/>
        <w:ind w:left="0"/>
        <w:jc w:val="both"/>
        <w:rPr>
          <w:sz w:val="24"/>
          <w:szCs w:val="24"/>
        </w:rPr>
      </w:pPr>
    </w:p>
    <w:p w:rsidR="000F1E1F" w:rsidRPr="0001573F" w:rsidRDefault="000F1E1F" w:rsidP="000F1E1F">
      <w:pPr>
        <w:numPr>
          <w:ilvl w:val="1"/>
          <w:numId w:val="13"/>
        </w:numPr>
        <w:suppressAutoHyphens w:val="0"/>
        <w:jc w:val="both"/>
        <w:rPr>
          <w:b/>
          <w:sz w:val="24"/>
          <w:szCs w:val="24"/>
        </w:rPr>
      </w:pPr>
      <w:r>
        <w:rPr>
          <w:b/>
          <w:sz w:val="24"/>
          <w:szCs w:val="24"/>
        </w:rPr>
        <w:t>Análise Descritiva</w:t>
      </w:r>
    </w:p>
    <w:p w:rsidR="000F1E1F" w:rsidRPr="00B77E8E" w:rsidRDefault="000F1E1F" w:rsidP="000F1E1F">
      <w:pPr>
        <w:ind w:firstLine="709"/>
        <w:jc w:val="both"/>
        <w:rPr>
          <w:sz w:val="24"/>
          <w:szCs w:val="24"/>
        </w:rPr>
      </w:pPr>
      <w:r w:rsidRPr="00B77E8E">
        <w:rPr>
          <w:sz w:val="24"/>
          <w:szCs w:val="24"/>
        </w:rPr>
        <w:t>Frente à</w:t>
      </w:r>
      <w:r>
        <w:rPr>
          <w:sz w:val="24"/>
          <w:szCs w:val="24"/>
        </w:rPr>
        <w:t>s</w:t>
      </w:r>
      <w:r w:rsidRPr="00B77E8E">
        <w:rPr>
          <w:sz w:val="24"/>
          <w:szCs w:val="24"/>
        </w:rPr>
        <w:t xml:space="preserve"> 1.465 observações da amostra, é possível observar um cenário de variações de receita e custo, assim como da remuneração variável dos executivos. Os resultados são apresentados na Tabela</w:t>
      </w:r>
      <w:r>
        <w:rPr>
          <w:sz w:val="24"/>
          <w:szCs w:val="24"/>
        </w:rPr>
        <w:t xml:space="preserve"> 7</w:t>
      </w:r>
      <w:r w:rsidRPr="00B77E8E">
        <w:rPr>
          <w:sz w:val="24"/>
          <w:szCs w:val="24"/>
        </w:rPr>
        <w:t>.</w:t>
      </w:r>
    </w:p>
    <w:p w:rsidR="000F1E1F" w:rsidRDefault="000F1E1F" w:rsidP="000F1E1F">
      <w:pPr>
        <w:ind w:firstLine="709"/>
        <w:jc w:val="both"/>
        <w:rPr>
          <w:b/>
          <w:sz w:val="24"/>
          <w:szCs w:val="24"/>
        </w:rPr>
      </w:pPr>
    </w:p>
    <w:p w:rsidR="000F1E1F" w:rsidRPr="00B92F3D" w:rsidRDefault="000F1E1F" w:rsidP="000F1E1F">
      <w:pPr>
        <w:jc w:val="both"/>
        <w:rPr>
          <w:b/>
          <w:sz w:val="24"/>
          <w:szCs w:val="24"/>
        </w:rPr>
      </w:pPr>
      <w:r w:rsidRPr="00B92F3D">
        <w:rPr>
          <w:b/>
          <w:sz w:val="24"/>
          <w:szCs w:val="24"/>
        </w:rPr>
        <w:t>Tabela 7</w:t>
      </w:r>
      <w:r w:rsidR="00B92F3D" w:rsidRPr="00B92F3D">
        <w:rPr>
          <w:b/>
          <w:sz w:val="24"/>
          <w:szCs w:val="24"/>
        </w:rPr>
        <w:t xml:space="preserve">. </w:t>
      </w:r>
      <w:r w:rsidRPr="00B92F3D">
        <w:rPr>
          <w:b/>
          <w:sz w:val="24"/>
          <w:szCs w:val="24"/>
        </w:rPr>
        <w:t>Resumo da estatística descritiva geral</w:t>
      </w:r>
    </w:p>
    <w:tbl>
      <w:tblPr>
        <w:tblW w:w="9172" w:type="dxa"/>
        <w:jc w:val="center"/>
        <w:tblCellMar>
          <w:left w:w="70" w:type="dxa"/>
          <w:right w:w="70" w:type="dxa"/>
        </w:tblCellMar>
        <w:tblLook w:val="04A0" w:firstRow="1" w:lastRow="0" w:firstColumn="1" w:lastColumn="0" w:noHBand="0" w:noVBand="1"/>
      </w:tblPr>
      <w:tblGrid>
        <w:gridCol w:w="2745"/>
        <w:gridCol w:w="1806"/>
        <w:gridCol w:w="1879"/>
        <w:gridCol w:w="2742"/>
      </w:tblGrid>
      <w:tr w:rsidR="000F1E1F" w:rsidRPr="00942921" w:rsidTr="00841FA5">
        <w:trPr>
          <w:trHeight w:val="80"/>
          <w:jc w:val="center"/>
        </w:trPr>
        <w:tc>
          <w:tcPr>
            <w:tcW w:w="2745" w:type="dxa"/>
            <w:tcBorders>
              <w:top w:val="single" w:sz="4" w:space="0" w:color="auto"/>
              <w:left w:val="nil"/>
              <w:bottom w:val="single" w:sz="4" w:space="0" w:color="auto"/>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 </w:t>
            </w:r>
          </w:p>
        </w:tc>
        <w:tc>
          <w:tcPr>
            <w:tcW w:w="1806" w:type="dxa"/>
            <w:tcBorders>
              <w:top w:val="single" w:sz="4" w:space="0" w:color="auto"/>
              <w:left w:val="nil"/>
              <w:bottom w:val="single" w:sz="4" w:space="0" w:color="auto"/>
              <w:right w:val="nil"/>
            </w:tcBorders>
            <w:shd w:val="clear" w:color="auto" w:fill="auto"/>
            <w:vAlign w:val="center"/>
            <w:hideMark/>
          </w:tcPr>
          <w:p w:rsidR="000F1E1F" w:rsidRPr="00942921" w:rsidRDefault="000F1E1F" w:rsidP="00841FA5">
            <w:pPr>
              <w:jc w:val="center"/>
              <w:rPr>
                <w:b/>
                <w:bCs/>
                <w:color w:val="000000"/>
              </w:rPr>
            </w:pPr>
            <w:r w:rsidRPr="00942921">
              <w:rPr>
                <w:b/>
                <w:bCs/>
                <w:color w:val="000000"/>
              </w:rPr>
              <w:t>Variação RLV (%)</w:t>
            </w:r>
          </w:p>
        </w:tc>
        <w:tc>
          <w:tcPr>
            <w:tcW w:w="1879" w:type="dxa"/>
            <w:tcBorders>
              <w:top w:val="single" w:sz="4" w:space="0" w:color="auto"/>
              <w:left w:val="nil"/>
              <w:bottom w:val="single" w:sz="4" w:space="0" w:color="auto"/>
              <w:right w:val="nil"/>
            </w:tcBorders>
            <w:shd w:val="clear" w:color="auto" w:fill="auto"/>
            <w:vAlign w:val="center"/>
            <w:hideMark/>
          </w:tcPr>
          <w:p w:rsidR="000F1E1F" w:rsidRPr="00942921" w:rsidRDefault="000F1E1F" w:rsidP="00841FA5">
            <w:pPr>
              <w:jc w:val="center"/>
              <w:rPr>
                <w:b/>
                <w:bCs/>
                <w:color w:val="000000"/>
              </w:rPr>
            </w:pPr>
            <w:r w:rsidRPr="00942921">
              <w:rPr>
                <w:b/>
                <w:bCs/>
                <w:color w:val="000000"/>
              </w:rPr>
              <w:t>Variação CPV (%)</w:t>
            </w:r>
          </w:p>
        </w:tc>
        <w:tc>
          <w:tcPr>
            <w:tcW w:w="2742" w:type="dxa"/>
            <w:tcBorders>
              <w:top w:val="single" w:sz="4" w:space="0" w:color="auto"/>
              <w:left w:val="nil"/>
              <w:bottom w:val="single" w:sz="4" w:space="0" w:color="auto"/>
              <w:right w:val="nil"/>
            </w:tcBorders>
            <w:shd w:val="clear" w:color="auto" w:fill="auto"/>
            <w:vAlign w:val="center"/>
            <w:hideMark/>
          </w:tcPr>
          <w:p w:rsidR="000F1E1F" w:rsidRPr="00942921" w:rsidRDefault="000F1E1F" w:rsidP="00841FA5">
            <w:pPr>
              <w:jc w:val="center"/>
              <w:rPr>
                <w:b/>
                <w:bCs/>
                <w:color w:val="000000"/>
              </w:rPr>
            </w:pPr>
            <w:r w:rsidRPr="00942921">
              <w:rPr>
                <w:b/>
                <w:bCs/>
                <w:color w:val="000000"/>
              </w:rPr>
              <w:t>Remuneração Variável (%)</w:t>
            </w:r>
          </w:p>
        </w:tc>
      </w:tr>
      <w:tr w:rsidR="000F1E1F" w:rsidRPr="00942921" w:rsidTr="00841FA5">
        <w:trPr>
          <w:trHeight w:val="7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Média</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0.9840</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0.9918</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0.2862</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Erro padrão</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0.0040</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0.0043</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0.0064</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Mediana</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0.9913</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0.9902</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0.2799</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Moda</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Desvio padrão</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0.1536</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0.1660</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0.2438</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Variância da amostra</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0.0236</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0.0276</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0.0595</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Curtose</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0.6501</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0.5384</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-0.8987</w:t>
            </w:r>
          </w:p>
        </w:tc>
      </w:tr>
      <w:tr w:rsidR="000F1E1F" w:rsidRPr="00942921" w:rsidTr="00841FA5">
        <w:trPr>
          <w:trHeight w:val="8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Mínimo</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0.5009</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0.5042</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w:t>
            </w:r>
          </w:p>
        </w:tc>
      </w:tr>
      <w:tr w:rsidR="000F1E1F" w:rsidRPr="00942921" w:rsidTr="00841FA5">
        <w:trPr>
          <w:trHeight w:val="90"/>
          <w:jc w:val="center"/>
        </w:trPr>
        <w:tc>
          <w:tcPr>
            <w:tcW w:w="2745"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Máximo</w:t>
            </w:r>
          </w:p>
        </w:tc>
        <w:tc>
          <w:tcPr>
            <w:tcW w:w="1806"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1.4999</w:t>
            </w:r>
          </w:p>
        </w:tc>
        <w:tc>
          <w:tcPr>
            <w:tcW w:w="1879"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1.4984</w:t>
            </w:r>
          </w:p>
        </w:tc>
        <w:tc>
          <w:tcPr>
            <w:tcW w:w="2742" w:type="dxa"/>
            <w:tcBorders>
              <w:top w:val="nil"/>
              <w:left w:val="nil"/>
              <w:bottom w:val="nil"/>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0.9702</w:t>
            </w:r>
          </w:p>
        </w:tc>
      </w:tr>
      <w:tr w:rsidR="000F1E1F" w:rsidRPr="00942921" w:rsidTr="00841FA5">
        <w:trPr>
          <w:trHeight w:val="80"/>
          <w:jc w:val="center"/>
        </w:trPr>
        <w:tc>
          <w:tcPr>
            <w:tcW w:w="2745" w:type="dxa"/>
            <w:tcBorders>
              <w:top w:val="nil"/>
              <w:left w:val="nil"/>
              <w:bottom w:val="single" w:sz="8" w:space="0" w:color="auto"/>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Contagem</w:t>
            </w:r>
          </w:p>
        </w:tc>
        <w:tc>
          <w:tcPr>
            <w:tcW w:w="1806" w:type="dxa"/>
            <w:tcBorders>
              <w:top w:val="nil"/>
              <w:left w:val="nil"/>
              <w:bottom w:val="single" w:sz="8" w:space="0" w:color="auto"/>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1465</w:t>
            </w:r>
          </w:p>
        </w:tc>
        <w:tc>
          <w:tcPr>
            <w:tcW w:w="1879" w:type="dxa"/>
            <w:tcBorders>
              <w:top w:val="nil"/>
              <w:left w:val="nil"/>
              <w:bottom w:val="single" w:sz="8" w:space="0" w:color="auto"/>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1465</w:t>
            </w:r>
          </w:p>
        </w:tc>
        <w:tc>
          <w:tcPr>
            <w:tcW w:w="2742" w:type="dxa"/>
            <w:tcBorders>
              <w:top w:val="nil"/>
              <w:left w:val="nil"/>
              <w:bottom w:val="single" w:sz="8" w:space="0" w:color="auto"/>
              <w:right w:val="nil"/>
            </w:tcBorders>
            <w:shd w:val="clear" w:color="auto" w:fill="auto"/>
            <w:noWrap/>
            <w:vAlign w:val="bottom"/>
            <w:hideMark/>
          </w:tcPr>
          <w:p w:rsidR="000F1E1F" w:rsidRPr="00942921" w:rsidRDefault="000F1E1F" w:rsidP="00841FA5">
            <w:pPr>
              <w:jc w:val="center"/>
              <w:rPr>
                <w:color w:val="000000"/>
              </w:rPr>
            </w:pPr>
            <w:r w:rsidRPr="00942921">
              <w:rPr>
                <w:color w:val="000000"/>
              </w:rPr>
              <w:t>1465</w:t>
            </w:r>
          </w:p>
        </w:tc>
      </w:tr>
    </w:tbl>
    <w:p w:rsidR="000F1E1F" w:rsidRDefault="000F1E1F" w:rsidP="000F1E1F">
      <w:pPr>
        <w:jc w:val="both"/>
        <w:rPr>
          <w:b/>
          <w:sz w:val="24"/>
          <w:szCs w:val="24"/>
        </w:rPr>
      </w:pPr>
    </w:p>
    <w:p w:rsidR="000F1E1F" w:rsidRDefault="000F1E1F" w:rsidP="000F1E1F">
      <w:pPr>
        <w:ind w:firstLine="708"/>
        <w:jc w:val="both"/>
        <w:rPr>
          <w:sz w:val="24"/>
          <w:szCs w:val="24"/>
        </w:rPr>
      </w:pPr>
      <w:r w:rsidRPr="00B77E8E">
        <w:rPr>
          <w:sz w:val="24"/>
          <w:szCs w:val="24"/>
        </w:rPr>
        <w:t xml:space="preserve">Os resultados indicam que, em média, a remuneração dos executivos pertencentes à </w:t>
      </w:r>
      <w:r w:rsidR="00B92F3D">
        <w:rPr>
          <w:sz w:val="24"/>
          <w:szCs w:val="24"/>
        </w:rPr>
        <w:t>DE</w:t>
      </w:r>
      <w:r w:rsidRPr="00B77E8E">
        <w:rPr>
          <w:sz w:val="24"/>
          <w:szCs w:val="24"/>
        </w:rPr>
        <w:t xml:space="preserve"> é 28,62% baseada na modalidade variável</w:t>
      </w:r>
      <w:r>
        <w:rPr>
          <w:sz w:val="24"/>
          <w:szCs w:val="24"/>
        </w:rPr>
        <w:t xml:space="preserve"> e que 25,6% da amostra não pagam </w:t>
      </w:r>
      <w:r w:rsidR="00B92F3D">
        <w:rPr>
          <w:sz w:val="24"/>
          <w:szCs w:val="24"/>
        </w:rPr>
        <w:t>RV</w:t>
      </w:r>
      <w:r>
        <w:rPr>
          <w:sz w:val="24"/>
          <w:szCs w:val="24"/>
        </w:rPr>
        <w:t xml:space="preserve"> aos seus executivos</w:t>
      </w:r>
      <w:r w:rsidRPr="00B77E8E">
        <w:rPr>
          <w:sz w:val="24"/>
          <w:szCs w:val="24"/>
        </w:rPr>
        <w:t xml:space="preserve">. É importante ressaltar que nenhuma das empresas analisadas possui 100% de RV, entretanto, valores próximos, tal qual o ponto máximo de 97,02%. </w:t>
      </w:r>
    </w:p>
    <w:p w:rsidR="000F1E1F" w:rsidRPr="00B77E8E" w:rsidRDefault="000F1E1F" w:rsidP="000F1E1F">
      <w:pPr>
        <w:ind w:firstLine="708"/>
        <w:jc w:val="both"/>
        <w:rPr>
          <w:sz w:val="24"/>
          <w:szCs w:val="24"/>
        </w:rPr>
      </w:pPr>
      <w:r w:rsidRPr="00B77E8E">
        <w:rPr>
          <w:sz w:val="24"/>
          <w:szCs w:val="24"/>
        </w:rPr>
        <w:t>Também é possível confirmar o in</w:t>
      </w:r>
      <w:r>
        <w:rPr>
          <w:sz w:val="24"/>
          <w:szCs w:val="24"/>
        </w:rPr>
        <w:t>tervalo de variações consideradas e explicitada</w:t>
      </w:r>
      <w:r w:rsidRPr="00B77E8E">
        <w:rPr>
          <w:sz w:val="24"/>
          <w:szCs w:val="24"/>
        </w:rPr>
        <w:t>s nos procedimentos metodológicos para as variações na RLV e no CPV (</w:t>
      </w:r>
      <w:r w:rsidR="0094254A">
        <w:rPr>
          <w:sz w:val="24"/>
          <w:szCs w:val="24"/>
        </w:rPr>
        <w:t xml:space="preserve">excluídas as variações de </w:t>
      </w:r>
      <w:r w:rsidRPr="00B77E8E">
        <w:rPr>
          <w:sz w:val="24"/>
          <w:szCs w:val="24"/>
        </w:rPr>
        <w:t xml:space="preserve">50% para mais ou para menos). Por fim, pode-se ampliar o escopo da análise descritiva por ano, conforme apresentado na </w:t>
      </w:r>
      <w:r>
        <w:rPr>
          <w:sz w:val="24"/>
          <w:szCs w:val="24"/>
        </w:rPr>
        <w:t>Tabela 8</w:t>
      </w:r>
      <w:r w:rsidRPr="00B77E8E">
        <w:rPr>
          <w:sz w:val="24"/>
          <w:szCs w:val="24"/>
        </w:rPr>
        <w:t>.</w:t>
      </w:r>
    </w:p>
    <w:p w:rsidR="000F1E1F" w:rsidRDefault="000F1E1F" w:rsidP="000F1E1F">
      <w:pPr>
        <w:jc w:val="both"/>
        <w:rPr>
          <w:b/>
          <w:sz w:val="24"/>
          <w:szCs w:val="24"/>
        </w:rPr>
      </w:pPr>
    </w:p>
    <w:p w:rsidR="000F1E1F" w:rsidRPr="00B92F3D" w:rsidRDefault="000F1E1F" w:rsidP="000F1E1F">
      <w:pPr>
        <w:jc w:val="both"/>
        <w:rPr>
          <w:b/>
          <w:sz w:val="24"/>
          <w:szCs w:val="24"/>
        </w:rPr>
      </w:pPr>
      <w:r w:rsidRPr="00B92F3D">
        <w:rPr>
          <w:b/>
          <w:sz w:val="24"/>
          <w:szCs w:val="24"/>
        </w:rPr>
        <w:t>Tabela 8</w:t>
      </w:r>
      <w:r w:rsidR="00B92F3D" w:rsidRPr="00B92F3D">
        <w:rPr>
          <w:b/>
          <w:sz w:val="24"/>
          <w:szCs w:val="24"/>
        </w:rPr>
        <w:t xml:space="preserve">. </w:t>
      </w:r>
      <w:r w:rsidRPr="00B92F3D">
        <w:rPr>
          <w:b/>
          <w:sz w:val="24"/>
          <w:szCs w:val="24"/>
        </w:rPr>
        <w:t xml:space="preserve">Resumo da estatística descritiva segregada por ano </w:t>
      </w:r>
    </w:p>
    <w:tbl>
      <w:tblPr>
        <w:tblW w:w="8798" w:type="dxa"/>
        <w:jc w:val="center"/>
        <w:tblCellMar>
          <w:left w:w="70" w:type="dxa"/>
          <w:right w:w="70" w:type="dxa"/>
        </w:tblCellMar>
        <w:tblLook w:val="04A0" w:firstRow="1" w:lastRow="0" w:firstColumn="1" w:lastColumn="0" w:noHBand="0" w:noVBand="1"/>
      </w:tblPr>
      <w:tblGrid>
        <w:gridCol w:w="2084"/>
        <w:gridCol w:w="1466"/>
        <w:gridCol w:w="1701"/>
        <w:gridCol w:w="1134"/>
        <w:gridCol w:w="2413"/>
      </w:tblGrid>
      <w:tr w:rsidR="000F1E1F" w:rsidRPr="004F4938" w:rsidTr="00841FA5">
        <w:trPr>
          <w:trHeight w:val="80"/>
          <w:jc w:val="center"/>
        </w:trPr>
        <w:tc>
          <w:tcPr>
            <w:tcW w:w="2084" w:type="dxa"/>
            <w:tcBorders>
              <w:top w:val="single" w:sz="4" w:space="0" w:color="auto"/>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Ano</w:t>
            </w:r>
          </w:p>
        </w:tc>
        <w:tc>
          <w:tcPr>
            <w:tcW w:w="1466" w:type="dxa"/>
            <w:tcBorders>
              <w:top w:val="single" w:sz="4" w:space="0" w:color="auto"/>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RLV</w:t>
            </w:r>
          </w:p>
        </w:tc>
        <w:tc>
          <w:tcPr>
            <w:tcW w:w="1701" w:type="dxa"/>
            <w:tcBorders>
              <w:top w:val="single" w:sz="4" w:space="0" w:color="auto"/>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CPV</w:t>
            </w:r>
          </w:p>
        </w:tc>
        <w:tc>
          <w:tcPr>
            <w:tcW w:w="1134" w:type="dxa"/>
            <w:tcBorders>
              <w:top w:val="single" w:sz="4" w:space="0" w:color="auto"/>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RV</w:t>
            </w:r>
          </w:p>
        </w:tc>
        <w:tc>
          <w:tcPr>
            <w:tcW w:w="2413" w:type="dxa"/>
            <w:tcBorders>
              <w:top w:val="single" w:sz="4" w:space="0" w:color="auto"/>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Observações</w:t>
            </w:r>
          </w:p>
        </w:tc>
      </w:tr>
      <w:tr w:rsidR="000F1E1F" w:rsidRPr="004F4938" w:rsidTr="00841FA5">
        <w:trPr>
          <w:trHeight w:val="70"/>
          <w:jc w:val="center"/>
        </w:trPr>
        <w:tc>
          <w:tcPr>
            <w:tcW w:w="2084" w:type="dxa"/>
            <w:tcBorders>
              <w:top w:val="nil"/>
              <w:left w:val="nil"/>
              <w:bottom w:val="nil"/>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2011</w:t>
            </w:r>
          </w:p>
        </w:tc>
        <w:tc>
          <w:tcPr>
            <w:tcW w:w="1466"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1.0247</w:t>
            </w:r>
          </w:p>
        </w:tc>
        <w:tc>
          <w:tcPr>
            <w:tcW w:w="1701"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1.033</w:t>
            </w:r>
          </w:p>
        </w:tc>
        <w:tc>
          <w:tcPr>
            <w:tcW w:w="1134"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0.2726</w:t>
            </w:r>
          </w:p>
        </w:tc>
        <w:tc>
          <w:tcPr>
            <w:tcW w:w="2413"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230</w:t>
            </w:r>
          </w:p>
        </w:tc>
      </w:tr>
      <w:tr w:rsidR="000F1E1F" w:rsidRPr="004F4938" w:rsidTr="00841FA5">
        <w:trPr>
          <w:trHeight w:val="80"/>
          <w:jc w:val="center"/>
        </w:trPr>
        <w:tc>
          <w:tcPr>
            <w:tcW w:w="2084" w:type="dxa"/>
            <w:tcBorders>
              <w:top w:val="nil"/>
              <w:left w:val="nil"/>
              <w:bottom w:val="nil"/>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2012</w:t>
            </w:r>
          </w:p>
        </w:tc>
        <w:tc>
          <w:tcPr>
            <w:tcW w:w="1466"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1.0122</w:t>
            </w:r>
          </w:p>
        </w:tc>
        <w:tc>
          <w:tcPr>
            <w:tcW w:w="1701"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1.026</w:t>
            </w:r>
          </w:p>
        </w:tc>
        <w:tc>
          <w:tcPr>
            <w:tcW w:w="1134"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0.2722</w:t>
            </w:r>
          </w:p>
        </w:tc>
        <w:tc>
          <w:tcPr>
            <w:tcW w:w="2413"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243</w:t>
            </w:r>
          </w:p>
        </w:tc>
      </w:tr>
      <w:tr w:rsidR="000F1E1F" w:rsidRPr="004F4938" w:rsidTr="00841FA5">
        <w:trPr>
          <w:trHeight w:val="80"/>
          <w:jc w:val="center"/>
        </w:trPr>
        <w:tc>
          <w:tcPr>
            <w:tcW w:w="2084" w:type="dxa"/>
            <w:tcBorders>
              <w:top w:val="nil"/>
              <w:left w:val="nil"/>
              <w:bottom w:val="nil"/>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2013</w:t>
            </w:r>
          </w:p>
        </w:tc>
        <w:tc>
          <w:tcPr>
            <w:tcW w:w="1466"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1.0189</w:t>
            </w:r>
          </w:p>
        </w:tc>
        <w:tc>
          <w:tcPr>
            <w:tcW w:w="1701"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0.9902</w:t>
            </w:r>
          </w:p>
        </w:tc>
        <w:tc>
          <w:tcPr>
            <w:tcW w:w="1134"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0.2862</w:t>
            </w:r>
          </w:p>
        </w:tc>
        <w:tc>
          <w:tcPr>
            <w:tcW w:w="2413"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239</w:t>
            </w:r>
          </w:p>
        </w:tc>
      </w:tr>
      <w:tr w:rsidR="000F1E1F" w:rsidRPr="004F4938" w:rsidTr="00841FA5">
        <w:trPr>
          <w:trHeight w:val="80"/>
          <w:jc w:val="center"/>
        </w:trPr>
        <w:tc>
          <w:tcPr>
            <w:tcW w:w="2084" w:type="dxa"/>
            <w:tcBorders>
              <w:top w:val="nil"/>
              <w:left w:val="nil"/>
              <w:bottom w:val="nil"/>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2014</w:t>
            </w:r>
          </w:p>
        </w:tc>
        <w:tc>
          <w:tcPr>
            <w:tcW w:w="1466"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1.0023</w:t>
            </w:r>
          </w:p>
        </w:tc>
        <w:tc>
          <w:tcPr>
            <w:tcW w:w="1701"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1.0123</w:t>
            </w:r>
          </w:p>
        </w:tc>
        <w:tc>
          <w:tcPr>
            <w:tcW w:w="1134"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0.2986</w:t>
            </w:r>
          </w:p>
        </w:tc>
        <w:tc>
          <w:tcPr>
            <w:tcW w:w="2413"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249</w:t>
            </w:r>
          </w:p>
        </w:tc>
      </w:tr>
      <w:tr w:rsidR="000F1E1F" w:rsidRPr="004F4938" w:rsidTr="00841FA5">
        <w:trPr>
          <w:trHeight w:val="80"/>
          <w:jc w:val="center"/>
        </w:trPr>
        <w:tc>
          <w:tcPr>
            <w:tcW w:w="2084" w:type="dxa"/>
            <w:tcBorders>
              <w:top w:val="nil"/>
              <w:left w:val="nil"/>
              <w:bottom w:val="nil"/>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2015</w:t>
            </w:r>
          </w:p>
        </w:tc>
        <w:tc>
          <w:tcPr>
            <w:tcW w:w="1466"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0.9176</w:t>
            </w:r>
          </w:p>
        </w:tc>
        <w:tc>
          <w:tcPr>
            <w:tcW w:w="1701"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0.9408</w:t>
            </w:r>
          </w:p>
        </w:tc>
        <w:tc>
          <w:tcPr>
            <w:tcW w:w="1134"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0.288</w:t>
            </w:r>
          </w:p>
        </w:tc>
        <w:tc>
          <w:tcPr>
            <w:tcW w:w="2413" w:type="dxa"/>
            <w:tcBorders>
              <w:top w:val="nil"/>
              <w:left w:val="nil"/>
              <w:bottom w:val="nil"/>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258</w:t>
            </w:r>
          </w:p>
        </w:tc>
      </w:tr>
      <w:tr w:rsidR="000F1E1F" w:rsidRPr="004F4938" w:rsidTr="00841FA5">
        <w:trPr>
          <w:trHeight w:val="80"/>
          <w:jc w:val="center"/>
        </w:trPr>
        <w:tc>
          <w:tcPr>
            <w:tcW w:w="2084" w:type="dxa"/>
            <w:tcBorders>
              <w:top w:val="nil"/>
              <w:left w:val="nil"/>
              <w:bottom w:val="single" w:sz="4" w:space="0" w:color="auto"/>
              <w:right w:val="nil"/>
            </w:tcBorders>
            <w:shd w:val="clear" w:color="auto" w:fill="auto"/>
            <w:noWrap/>
            <w:vAlign w:val="bottom"/>
            <w:hideMark/>
          </w:tcPr>
          <w:p w:rsidR="000F1E1F" w:rsidRPr="00AD5054" w:rsidRDefault="000F1E1F" w:rsidP="00841FA5">
            <w:pPr>
              <w:jc w:val="center"/>
              <w:rPr>
                <w:b/>
                <w:bCs/>
                <w:color w:val="000000"/>
              </w:rPr>
            </w:pPr>
            <w:r w:rsidRPr="00AD5054">
              <w:rPr>
                <w:b/>
                <w:bCs/>
                <w:color w:val="000000"/>
              </w:rPr>
              <w:t>2016</w:t>
            </w:r>
          </w:p>
        </w:tc>
        <w:tc>
          <w:tcPr>
            <w:tcW w:w="1466" w:type="dxa"/>
            <w:tcBorders>
              <w:top w:val="nil"/>
              <w:left w:val="nil"/>
              <w:bottom w:val="single" w:sz="4" w:space="0" w:color="auto"/>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0.9354</w:t>
            </w:r>
          </w:p>
        </w:tc>
        <w:tc>
          <w:tcPr>
            <w:tcW w:w="1701" w:type="dxa"/>
            <w:tcBorders>
              <w:top w:val="nil"/>
              <w:left w:val="nil"/>
              <w:bottom w:val="single" w:sz="4" w:space="0" w:color="auto"/>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0.9314</w:t>
            </w:r>
          </w:p>
        </w:tc>
        <w:tc>
          <w:tcPr>
            <w:tcW w:w="1134" w:type="dxa"/>
            <w:tcBorders>
              <w:top w:val="nil"/>
              <w:left w:val="nil"/>
              <w:bottom w:val="single" w:sz="4" w:space="0" w:color="auto"/>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0.2986</w:t>
            </w:r>
          </w:p>
        </w:tc>
        <w:tc>
          <w:tcPr>
            <w:tcW w:w="2413" w:type="dxa"/>
            <w:tcBorders>
              <w:top w:val="nil"/>
              <w:left w:val="nil"/>
              <w:bottom w:val="single" w:sz="4" w:space="0" w:color="auto"/>
              <w:right w:val="nil"/>
            </w:tcBorders>
            <w:shd w:val="clear" w:color="auto" w:fill="auto"/>
            <w:noWrap/>
            <w:vAlign w:val="bottom"/>
            <w:hideMark/>
          </w:tcPr>
          <w:p w:rsidR="000F1E1F" w:rsidRPr="00AD5054" w:rsidRDefault="000F1E1F" w:rsidP="00841FA5">
            <w:pPr>
              <w:jc w:val="center"/>
              <w:rPr>
                <w:color w:val="000000"/>
              </w:rPr>
            </w:pPr>
            <w:r w:rsidRPr="00AD5054">
              <w:rPr>
                <w:color w:val="000000"/>
              </w:rPr>
              <w:t>246</w:t>
            </w:r>
          </w:p>
        </w:tc>
      </w:tr>
    </w:tbl>
    <w:p w:rsidR="000F1E1F" w:rsidRDefault="000F1E1F" w:rsidP="000F1E1F">
      <w:pPr>
        <w:jc w:val="both"/>
        <w:rPr>
          <w:b/>
          <w:sz w:val="24"/>
          <w:szCs w:val="24"/>
        </w:rPr>
      </w:pPr>
    </w:p>
    <w:p w:rsidR="000F1E1F" w:rsidRPr="00CA5937" w:rsidRDefault="000F1E1F" w:rsidP="000F1E1F">
      <w:pPr>
        <w:jc w:val="both"/>
        <w:rPr>
          <w:sz w:val="24"/>
          <w:szCs w:val="24"/>
        </w:rPr>
      </w:pPr>
      <w:r>
        <w:rPr>
          <w:b/>
          <w:sz w:val="24"/>
          <w:szCs w:val="24"/>
        </w:rPr>
        <w:tab/>
      </w:r>
      <w:r w:rsidRPr="00CA5937">
        <w:rPr>
          <w:sz w:val="24"/>
          <w:szCs w:val="24"/>
        </w:rPr>
        <w:t>Os resultados indicam que para a amostra analisada, em média, os anos de 2011, 2012, 2013 e 2014 foram de crescimento nas vendas e os anos de 2015 e 2016 de decréscimo,</w:t>
      </w:r>
      <w:r w:rsidR="0094254A">
        <w:rPr>
          <w:sz w:val="24"/>
          <w:szCs w:val="24"/>
        </w:rPr>
        <w:t xml:space="preserve"> cujo</w:t>
      </w:r>
      <w:r w:rsidRPr="00CA5937">
        <w:rPr>
          <w:sz w:val="24"/>
          <w:szCs w:val="24"/>
        </w:rPr>
        <w:t xml:space="preserve"> cenário </w:t>
      </w:r>
      <w:r w:rsidR="0094254A">
        <w:rPr>
          <w:sz w:val="24"/>
          <w:szCs w:val="24"/>
        </w:rPr>
        <w:t xml:space="preserve">é </w:t>
      </w:r>
      <w:r w:rsidRPr="00CA5937">
        <w:rPr>
          <w:sz w:val="24"/>
          <w:szCs w:val="24"/>
        </w:rPr>
        <w:t xml:space="preserve">compatível com a crise econômica que assolou o país. Em termos de remuneração </w:t>
      </w:r>
      <w:r w:rsidRPr="00CA5937">
        <w:rPr>
          <w:sz w:val="24"/>
          <w:szCs w:val="24"/>
        </w:rPr>
        <w:lastRenderedPageBreak/>
        <w:t xml:space="preserve">variável, os resultados sugerem </w:t>
      </w:r>
      <w:r>
        <w:rPr>
          <w:sz w:val="24"/>
          <w:szCs w:val="24"/>
        </w:rPr>
        <w:t>um crescimento da RV</w:t>
      </w:r>
      <w:r w:rsidRPr="00CA5937">
        <w:rPr>
          <w:sz w:val="24"/>
          <w:szCs w:val="24"/>
        </w:rPr>
        <w:t>, onde em 2016 a RV era 2,60p.p. maior se comparada ao ano de 2011.</w:t>
      </w:r>
    </w:p>
    <w:p w:rsidR="000F1E1F" w:rsidRDefault="000F1E1F" w:rsidP="000F1E1F">
      <w:pPr>
        <w:jc w:val="both"/>
        <w:rPr>
          <w:b/>
          <w:sz w:val="24"/>
          <w:szCs w:val="24"/>
        </w:rPr>
      </w:pPr>
    </w:p>
    <w:p w:rsidR="000F1E1F" w:rsidRDefault="000F1E1F" w:rsidP="000F1E1F">
      <w:pPr>
        <w:jc w:val="both"/>
        <w:rPr>
          <w:b/>
          <w:sz w:val="24"/>
          <w:szCs w:val="24"/>
        </w:rPr>
      </w:pPr>
      <w:r>
        <w:rPr>
          <w:b/>
          <w:sz w:val="24"/>
          <w:szCs w:val="24"/>
        </w:rPr>
        <w:t>4.3 Resultados da Regressão</w:t>
      </w:r>
    </w:p>
    <w:p w:rsidR="000F1E1F" w:rsidRDefault="000F1E1F" w:rsidP="000F1E1F">
      <w:pPr>
        <w:jc w:val="both"/>
        <w:rPr>
          <w:b/>
          <w:sz w:val="24"/>
          <w:szCs w:val="24"/>
        </w:rPr>
      </w:pPr>
    </w:p>
    <w:p w:rsidR="000F1E1F" w:rsidRPr="00FE7EF5" w:rsidRDefault="000F1E1F" w:rsidP="000F1E1F">
      <w:pPr>
        <w:ind w:firstLine="708"/>
        <w:jc w:val="both"/>
        <w:rPr>
          <w:sz w:val="24"/>
          <w:szCs w:val="24"/>
        </w:rPr>
      </w:pPr>
      <w:r w:rsidRPr="00FE7EF5">
        <w:rPr>
          <w:sz w:val="24"/>
          <w:szCs w:val="24"/>
        </w:rPr>
        <w:t>O modelo de estimação foi gerado com base no método de MQG. Ao estimar a regressão, por meio de dados em painel, conforme explicitado nos procedimentos metodológicos, encontram-se os seguintes resultados</w:t>
      </w:r>
      <w:r>
        <w:rPr>
          <w:sz w:val="24"/>
          <w:szCs w:val="24"/>
        </w:rPr>
        <w:t>, demonstrados na Tabela 9</w:t>
      </w:r>
      <w:r w:rsidRPr="00FE7EF5">
        <w:rPr>
          <w:sz w:val="24"/>
          <w:szCs w:val="24"/>
        </w:rPr>
        <w:t>:</w:t>
      </w:r>
    </w:p>
    <w:p w:rsidR="000F1E1F" w:rsidRDefault="000F1E1F" w:rsidP="000F1E1F">
      <w:pPr>
        <w:jc w:val="both"/>
        <w:rPr>
          <w:b/>
          <w:sz w:val="24"/>
          <w:szCs w:val="24"/>
        </w:rPr>
      </w:pPr>
    </w:p>
    <w:p w:rsidR="000F1E1F" w:rsidRPr="0094254A" w:rsidRDefault="000F1E1F" w:rsidP="000F1E1F">
      <w:pPr>
        <w:jc w:val="both"/>
        <w:rPr>
          <w:b/>
          <w:sz w:val="24"/>
          <w:szCs w:val="24"/>
        </w:rPr>
      </w:pPr>
      <w:r w:rsidRPr="0094254A">
        <w:rPr>
          <w:b/>
          <w:sz w:val="24"/>
          <w:szCs w:val="24"/>
        </w:rPr>
        <w:t>Tabela 9</w:t>
      </w:r>
      <w:r w:rsidR="0094254A" w:rsidRPr="0094254A">
        <w:rPr>
          <w:b/>
          <w:sz w:val="24"/>
          <w:szCs w:val="24"/>
        </w:rPr>
        <w:t xml:space="preserve">. </w:t>
      </w:r>
      <w:r w:rsidRPr="0094254A">
        <w:rPr>
          <w:b/>
          <w:sz w:val="24"/>
          <w:szCs w:val="24"/>
        </w:rPr>
        <w:t>Resultados da estimação do modelo por meio da regressão em painel</w:t>
      </w:r>
    </w:p>
    <w:tbl>
      <w:tblPr>
        <w:tblW w:w="9122" w:type="dxa"/>
        <w:jc w:val="center"/>
        <w:tblCellMar>
          <w:left w:w="70" w:type="dxa"/>
          <w:right w:w="70" w:type="dxa"/>
        </w:tblCellMar>
        <w:tblLook w:val="04A0" w:firstRow="1" w:lastRow="0" w:firstColumn="1" w:lastColumn="0" w:noHBand="0" w:noVBand="1"/>
      </w:tblPr>
      <w:tblGrid>
        <w:gridCol w:w="2578"/>
        <w:gridCol w:w="1984"/>
        <w:gridCol w:w="1843"/>
        <w:gridCol w:w="2717"/>
      </w:tblGrid>
      <w:tr w:rsidR="000F1E1F" w:rsidRPr="00307628" w:rsidTr="00841FA5">
        <w:trPr>
          <w:trHeight w:val="190"/>
          <w:jc w:val="center"/>
        </w:trPr>
        <w:tc>
          <w:tcPr>
            <w:tcW w:w="2578" w:type="dxa"/>
            <w:tcBorders>
              <w:top w:val="single" w:sz="4" w:space="0" w:color="auto"/>
              <w:left w:val="nil"/>
              <w:bottom w:val="nil"/>
              <w:right w:val="nil"/>
            </w:tcBorders>
            <w:shd w:val="clear" w:color="auto" w:fill="auto"/>
            <w:noWrap/>
            <w:vAlign w:val="bottom"/>
            <w:hideMark/>
          </w:tcPr>
          <w:p w:rsidR="000F1E1F" w:rsidRPr="007E4AA4" w:rsidRDefault="000F1E1F" w:rsidP="00841FA5">
            <w:pPr>
              <w:jc w:val="center"/>
              <w:rPr>
                <w:b/>
                <w:bCs/>
                <w:i/>
                <w:iCs/>
                <w:color w:val="000000"/>
              </w:rPr>
            </w:pPr>
            <w:r w:rsidRPr="007E4AA4">
              <w:rPr>
                <w:b/>
                <w:bCs/>
                <w:i/>
                <w:iCs/>
                <w:color w:val="000000"/>
              </w:rPr>
              <w:t>Log VCPV</w:t>
            </w:r>
          </w:p>
        </w:tc>
        <w:tc>
          <w:tcPr>
            <w:tcW w:w="1984" w:type="dxa"/>
            <w:tcBorders>
              <w:top w:val="single" w:sz="4" w:space="0" w:color="auto"/>
              <w:left w:val="nil"/>
              <w:bottom w:val="nil"/>
              <w:right w:val="nil"/>
            </w:tcBorders>
            <w:shd w:val="clear" w:color="auto" w:fill="auto"/>
            <w:noWrap/>
            <w:vAlign w:val="bottom"/>
            <w:hideMark/>
          </w:tcPr>
          <w:p w:rsidR="000F1E1F" w:rsidRPr="007E4AA4" w:rsidRDefault="000F1E1F" w:rsidP="00841FA5">
            <w:pPr>
              <w:jc w:val="center"/>
              <w:rPr>
                <w:b/>
                <w:bCs/>
                <w:color w:val="000000"/>
              </w:rPr>
            </w:pPr>
            <w:r w:rsidRPr="007E4AA4">
              <w:rPr>
                <w:b/>
                <w:bCs/>
                <w:color w:val="000000"/>
              </w:rPr>
              <w:t>Coeficiente</w:t>
            </w:r>
          </w:p>
        </w:tc>
        <w:tc>
          <w:tcPr>
            <w:tcW w:w="1843" w:type="dxa"/>
            <w:tcBorders>
              <w:top w:val="single" w:sz="4" w:space="0" w:color="auto"/>
              <w:left w:val="nil"/>
              <w:bottom w:val="nil"/>
              <w:right w:val="nil"/>
            </w:tcBorders>
            <w:shd w:val="clear" w:color="auto" w:fill="auto"/>
            <w:noWrap/>
            <w:vAlign w:val="bottom"/>
            <w:hideMark/>
          </w:tcPr>
          <w:p w:rsidR="000F1E1F" w:rsidRPr="007E4AA4" w:rsidRDefault="000F1E1F" w:rsidP="00841FA5">
            <w:pPr>
              <w:jc w:val="center"/>
              <w:rPr>
                <w:b/>
                <w:bCs/>
                <w:color w:val="000000"/>
              </w:rPr>
            </w:pPr>
            <w:r w:rsidRPr="007E4AA4">
              <w:rPr>
                <w:b/>
                <w:bCs/>
                <w:color w:val="000000"/>
              </w:rPr>
              <w:t>Erro Padrão</w:t>
            </w:r>
          </w:p>
        </w:tc>
        <w:tc>
          <w:tcPr>
            <w:tcW w:w="2717" w:type="dxa"/>
            <w:tcBorders>
              <w:top w:val="single" w:sz="4" w:space="0" w:color="auto"/>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7E4AA4">
              <w:rPr>
                <w:b/>
                <w:bCs/>
                <w:color w:val="000000"/>
              </w:rPr>
              <w:t>Valor p</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Aum_RLV</w:t>
            </w: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0.9318</w:t>
            </w: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0.0476</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Red_RLV</w:t>
            </w: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-0.121</w:t>
            </w: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0.0615</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0.049</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Red_SRV</w:t>
            </w: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-0.0756</w:t>
            </w: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0.0492</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0.072</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Red_ARV</w:t>
            </w: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-0.2432</w:t>
            </w: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0.0501</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w:t>
            </w:r>
          </w:p>
        </w:tc>
      </w:tr>
      <w:tr w:rsidR="000F1E1F" w:rsidRPr="00307628" w:rsidTr="0094254A">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Constant</w:t>
            </w: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-0.003</w:t>
            </w: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0.002</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0.135</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Observações</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1465</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F (4,1460)</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441.08</w:t>
            </w:r>
          </w:p>
        </w:tc>
      </w:tr>
      <w:tr w:rsidR="000F1E1F" w:rsidRPr="00307628" w:rsidTr="00841FA5">
        <w:trPr>
          <w:trHeight w:val="80"/>
          <w:jc w:val="center"/>
        </w:trPr>
        <w:tc>
          <w:tcPr>
            <w:tcW w:w="2578"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984"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p>
        </w:tc>
        <w:tc>
          <w:tcPr>
            <w:tcW w:w="1843" w:type="dxa"/>
            <w:tcBorders>
              <w:top w:val="nil"/>
              <w:left w:val="nil"/>
              <w:bottom w:val="nil"/>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Prob&gt;F</w:t>
            </w:r>
          </w:p>
        </w:tc>
        <w:tc>
          <w:tcPr>
            <w:tcW w:w="2717" w:type="dxa"/>
            <w:tcBorders>
              <w:top w:val="nil"/>
              <w:left w:val="nil"/>
              <w:bottom w:val="nil"/>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w:t>
            </w:r>
          </w:p>
        </w:tc>
      </w:tr>
      <w:tr w:rsidR="000F1E1F" w:rsidRPr="00307628" w:rsidTr="00841FA5">
        <w:trPr>
          <w:trHeight w:val="80"/>
          <w:jc w:val="center"/>
        </w:trPr>
        <w:tc>
          <w:tcPr>
            <w:tcW w:w="2578" w:type="dxa"/>
            <w:tcBorders>
              <w:top w:val="nil"/>
              <w:left w:val="nil"/>
              <w:bottom w:val="single" w:sz="4" w:space="0" w:color="auto"/>
              <w:right w:val="nil"/>
            </w:tcBorders>
            <w:shd w:val="clear" w:color="auto" w:fill="auto"/>
            <w:noWrap/>
            <w:vAlign w:val="bottom"/>
            <w:hideMark/>
          </w:tcPr>
          <w:p w:rsidR="000F1E1F" w:rsidRPr="00307628" w:rsidRDefault="000F1E1F" w:rsidP="00841FA5">
            <w:pPr>
              <w:jc w:val="center"/>
              <w:rPr>
                <w:color w:val="000000"/>
              </w:rPr>
            </w:pPr>
          </w:p>
        </w:tc>
        <w:tc>
          <w:tcPr>
            <w:tcW w:w="1984" w:type="dxa"/>
            <w:tcBorders>
              <w:top w:val="nil"/>
              <w:left w:val="nil"/>
              <w:bottom w:val="single" w:sz="4" w:space="0" w:color="auto"/>
              <w:right w:val="nil"/>
            </w:tcBorders>
            <w:shd w:val="clear" w:color="auto" w:fill="auto"/>
            <w:noWrap/>
            <w:vAlign w:val="bottom"/>
            <w:hideMark/>
          </w:tcPr>
          <w:p w:rsidR="000F1E1F" w:rsidRPr="00307628" w:rsidRDefault="000F1E1F" w:rsidP="00841FA5">
            <w:pPr>
              <w:jc w:val="center"/>
              <w:rPr>
                <w:color w:val="000000"/>
              </w:rPr>
            </w:pPr>
          </w:p>
        </w:tc>
        <w:tc>
          <w:tcPr>
            <w:tcW w:w="1843" w:type="dxa"/>
            <w:tcBorders>
              <w:top w:val="nil"/>
              <w:left w:val="nil"/>
              <w:bottom w:val="single" w:sz="4" w:space="0" w:color="auto"/>
              <w:right w:val="nil"/>
            </w:tcBorders>
            <w:shd w:val="clear" w:color="auto" w:fill="auto"/>
            <w:noWrap/>
            <w:vAlign w:val="bottom"/>
            <w:hideMark/>
          </w:tcPr>
          <w:p w:rsidR="000F1E1F" w:rsidRPr="00307628" w:rsidRDefault="000F1E1F" w:rsidP="00841FA5">
            <w:pPr>
              <w:jc w:val="center"/>
              <w:rPr>
                <w:b/>
                <w:bCs/>
                <w:color w:val="000000"/>
              </w:rPr>
            </w:pPr>
            <w:r w:rsidRPr="00307628">
              <w:rPr>
                <w:b/>
                <w:bCs/>
                <w:color w:val="000000"/>
              </w:rPr>
              <w:t>R-squared</w:t>
            </w:r>
          </w:p>
        </w:tc>
        <w:tc>
          <w:tcPr>
            <w:tcW w:w="2717" w:type="dxa"/>
            <w:tcBorders>
              <w:top w:val="nil"/>
              <w:left w:val="nil"/>
              <w:bottom w:val="single" w:sz="4" w:space="0" w:color="auto"/>
              <w:right w:val="nil"/>
            </w:tcBorders>
            <w:shd w:val="clear" w:color="auto" w:fill="auto"/>
            <w:noWrap/>
            <w:vAlign w:val="bottom"/>
            <w:hideMark/>
          </w:tcPr>
          <w:p w:rsidR="000F1E1F" w:rsidRPr="00307628" w:rsidRDefault="000F1E1F" w:rsidP="00841FA5">
            <w:pPr>
              <w:jc w:val="center"/>
              <w:rPr>
                <w:color w:val="000000"/>
              </w:rPr>
            </w:pPr>
            <w:r w:rsidRPr="00307628">
              <w:rPr>
                <w:color w:val="000000"/>
              </w:rPr>
              <w:t>0.5472</w:t>
            </w:r>
          </w:p>
        </w:tc>
      </w:tr>
    </w:tbl>
    <w:p w:rsidR="000F1E1F" w:rsidRDefault="000F1E1F" w:rsidP="000F1E1F">
      <w:pPr>
        <w:ind w:firstLine="709"/>
        <w:jc w:val="both"/>
        <w:rPr>
          <w:sz w:val="24"/>
          <w:szCs w:val="24"/>
        </w:rPr>
      </w:pPr>
    </w:p>
    <w:p w:rsidR="000F1E1F" w:rsidRPr="00307628" w:rsidRDefault="000F1E1F" w:rsidP="000F1E1F">
      <w:pPr>
        <w:ind w:firstLine="709"/>
        <w:jc w:val="both"/>
        <w:rPr>
          <w:sz w:val="24"/>
          <w:szCs w:val="24"/>
        </w:rPr>
      </w:pPr>
      <w:r>
        <w:rPr>
          <w:sz w:val="24"/>
          <w:szCs w:val="24"/>
        </w:rPr>
        <w:t>É importante ressaltar que a análise</w:t>
      </w:r>
      <w:r w:rsidRPr="00307628">
        <w:rPr>
          <w:sz w:val="24"/>
          <w:szCs w:val="24"/>
        </w:rPr>
        <w:t xml:space="preserve"> </w:t>
      </w:r>
      <w:r>
        <w:rPr>
          <w:sz w:val="24"/>
          <w:szCs w:val="24"/>
        </w:rPr>
        <w:t>d</w:t>
      </w:r>
      <w:r w:rsidRPr="00307628">
        <w:rPr>
          <w:sz w:val="24"/>
          <w:szCs w:val="24"/>
        </w:rPr>
        <w:t xml:space="preserve">o modelo de regressão </w:t>
      </w:r>
      <w:r>
        <w:rPr>
          <w:sz w:val="24"/>
          <w:szCs w:val="24"/>
        </w:rPr>
        <w:t>ocorre sob a</w:t>
      </w:r>
      <w:r w:rsidR="0094254A">
        <w:rPr>
          <w:sz w:val="24"/>
          <w:szCs w:val="24"/>
        </w:rPr>
        <w:t xml:space="preserve"> ótica de 90% de significância. Dentre as interpretações da</w:t>
      </w:r>
      <w:r>
        <w:rPr>
          <w:sz w:val="24"/>
          <w:szCs w:val="24"/>
        </w:rPr>
        <w:t xml:space="preserve"> T</w:t>
      </w:r>
      <w:r w:rsidRPr="00307628">
        <w:rPr>
          <w:sz w:val="24"/>
          <w:szCs w:val="24"/>
        </w:rPr>
        <w:t>abe</w:t>
      </w:r>
      <w:r>
        <w:rPr>
          <w:sz w:val="24"/>
          <w:szCs w:val="24"/>
        </w:rPr>
        <w:t>la 9</w:t>
      </w:r>
      <w:r w:rsidRPr="00307628">
        <w:rPr>
          <w:sz w:val="24"/>
          <w:szCs w:val="24"/>
        </w:rPr>
        <w:t xml:space="preserve">, é possível inferir que 54,72% das variações no CPV são decorrentes das mudanças na RLV. </w:t>
      </w:r>
    </w:p>
    <w:p w:rsidR="000F1E1F" w:rsidRDefault="000F1E1F" w:rsidP="000F1E1F">
      <w:pPr>
        <w:ind w:firstLine="709"/>
        <w:jc w:val="both"/>
        <w:rPr>
          <w:sz w:val="24"/>
          <w:szCs w:val="24"/>
        </w:rPr>
      </w:pPr>
      <w:r>
        <w:rPr>
          <w:sz w:val="24"/>
          <w:szCs w:val="24"/>
        </w:rPr>
        <w:t xml:space="preserve">Também é possível verificar que todas as variáveis apresentaram significância, ou seja, é possível atribuir à diferença constatada na assimetria de custos </w:t>
      </w:r>
      <w:r w:rsidR="0094254A">
        <w:rPr>
          <w:sz w:val="24"/>
          <w:szCs w:val="24"/>
        </w:rPr>
        <w:t>à</w:t>
      </w:r>
      <w:r>
        <w:rPr>
          <w:sz w:val="24"/>
          <w:szCs w:val="24"/>
        </w:rPr>
        <w:t xml:space="preserve"> presença de um alto incentivo, o qual, neste estudo, é uma </w:t>
      </w:r>
      <w:r w:rsidR="0094254A">
        <w:rPr>
          <w:sz w:val="24"/>
          <w:szCs w:val="24"/>
        </w:rPr>
        <w:t>RV</w:t>
      </w:r>
      <w:r>
        <w:rPr>
          <w:sz w:val="24"/>
          <w:szCs w:val="24"/>
        </w:rPr>
        <w:t xml:space="preserve"> dividida pela remuneração total dos gestores integrantes da </w:t>
      </w:r>
      <w:r w:rsidR="0094254A">
        <w:rPr>
          <w:sz w:val="24"/>
          <w:szCs w:val="24"/>
        </w:rPr>
        <w:t>DE</w:t>
      </w:r>
      <w:r>
        <w:rPr>
          <w:sz w:val="24"/>
          <w:szCs w:val="24"/>
        </w:rPr>
        <w:t xml:space="preserve"> acima de 53,07% e os gestores também integrantes do mesmo órgão que não recebem nenhum incentivo baseado em RV. Assim</w:t>
      </w:r>
      <w:r w:rsidRPr="00307628">
        <w:rPr>
          <w:sz w:val="24"/>
          <w:szCs w:val="24"/>
        </w:rPr>
        <w:t xml:space="preserve">, apresenta-se a </w:t>
      </w:r>
      <w:r>
        <w:rPr>
          <w:sz w:val="24"/>
          <w:szCs w:val="24"/>
        </w:rPr>
        <w:t>Tabela 10</w:t>
      </w:r>
      <w:r w:rsidRPr="00307628">
        <w:rPr>
          <w:sz w:val="24"/>
          <w:szCs w:val="24"/>
        </w:rPr>
        <w:t xml:space="preserve"> com o resumo dos resultados</w:t>
      </w:r>
      <w:r>
        <w:rPr>
          <w:sz w:val="24"/>
          <w:szCs w:val="24"/>
        </w:rPr>
        <w:t xml:space="preserve"> do coeficiente de cada variável</w:t>
      </w:r>
      <w:r w:rsidRPr="00307628">
        <w:rPr>
          <w:sz w:val="24"/>
          <w:szCs w:val="24"/>
        </w:rPr>
        <w:t>:</w:t>
      </w:r>
    </w:p>
    <w:p w:rsidR="000F1E1F" w:rsidRDefault="000F1E1F" w:rsidP="000F1E1F">
      <w:pPr>
        <w:jc w:val="both"/>
        <w:rPr>
          <w:sz w:val="24"/>
          <w:szCs w:val="24"/>
        </w:rPr>
      </w:pPr>
    </w:p>
    <w:p w:rsidR="000F1E1F" w:rsidRPr="0094254A" w:rsidRDefault="0094254A" w:rsidP="000F1E1F">
      <w:pPr>
        <w:jc w:val="both"/>
        <w:rPr>
          <w:b/>
          <w:sz w:val="24"/>
          <w:szCs w:val="24"/>
        </w:rPr>
      </w:pPr>
      <w:r w:rsidRPr="0094254A">
        <w:rPr>
          <w:b/>
          <w:sz w:val="24"/>
          <w:szCs w:val="24"/>
        </w:rPr>
        <w:t xml:space="preserve">Tabela 10. </w:t>
      </w:r>
      <w:r w:rsidR="000F1E1F" w:rsidRPr="0094254A">
        <w:rPr>
          <w:b/>
          <w:sz w:val="24"/>
          <w:szCs w:val="24"/>
        </w:rPr>
        <w:t>Coeficientes gerados para o cálculo da assimetria dos custos</w:t>
      </w:r>
      <w:r>
        <w:rPr>
          <w:b/>
          <w:sz w:val="24"/>
          <w:szCs w:val="24"/>
        </w:rPr>
        <w:t xml:space="preserve"> em %</w:t>
      </w:r>
    </w:p>
    <w:tbl>
      <w:tblPr>
        <w:tblW w:w="9030" w:type="dxa"/>
        <w:jc w:val="center"/>
        <w:tblCellMar>
          <w:left w:w="70" w:type="dxa"/>
          <w:right w:w="70" w:type="dxa"/>
        </w:tblCellMar>
        <w:tblLook w:val="04A0" w:firstRow="1" w:lastRow="0" w:firstColumn="1" w:lastColumn="0" w:noHBand="0" w:noVBand="1"/>
      </w:tblPr>
      <w:tblGrid>
        <w:gridCol w:w="2368"/>
        <w:gridCol w:w="1134"/>
        <w:gridCol w:w="2551"/>
        <w:gridCol w:w="2977"/>
      </w:tblGrid>
      <w:tr w:rsidR="000F1E1F" w:rsidRPr="00FE7D9B" w:rsidTr="00841FA5">
        <w:trPr>
          <w:trHeight w:val="70"/>
          <w:jc w:val="center"/>
        </w:trPr>
        <w:tc>
          <w:tcPr>
            <w:tcW w:w="2368" w:type="dxa"/>
            <w:vMerge w:val="restart"/>
            <w:tcBorders>
              <w:top w:val="single" w:sz="4" w:space="0" w:color="auto"/>
              <w:left w:val="nil"/>
              <w:bottom w:val="nil"/>
              <w:right w:val="nil"/>
            </w:tcBorders>
            <w:shd w:val="clear" w:color="auto" w:fill="auto"/>
            <w:vAlign w:val="center"/>
            <w:hideMark/>
          </w:tcPr>
          <w:p w:rsidR="000F1E1F" w:rsidRPr="00FE7D9B" w:rsidRDefault="000F1E1F" w:rsidP="00841FA5">
            <w:pPr>
              <w:jc w:val="center"/>
              <w:rPr>
                <w:rFonts w:ascii="Timesne" w:hAnsi="Timesne" w:cs="Calibri"/>
                <w:b/>
                <w:bCs/>
                <w:color w:val="000000"/>
              </w:rPr>
            </w:pPr>
            <w:r w:rsidRPr="00FE7D9B">
              <w:rPr>
                <w:rFonts w:ascii="Timesne" w:hAnsi="Timesne" w:cs="Calibri"/>
                <w:b/>
                <w:bCs/>
                <w:color w:val="000000"/>
              </w:rPr>
              <w:t>Aumento de 1% na RLV</w:t>
            </w:r>
          </w:p>
        </w:tc>
        <w:tc>
          <w:tcPr>
            <w:tcW w:w="6662" w:type="dxa"/>
            <w:gridSpan w:val="3"/>
            <w:tcBorders>
              <w:top w:val="single" w:sz="4" w:space="0" w:color="auto"/>
              <w:left w:val="nil"/>
              <w:bottom w:val="nil"/>
              <w:right w:val="nil"/>
            </w:tcBorders>
            <w:shd w:val="clear" w:color="auto" w:fill="auto"/>
            <w:noWrap/>
            <w:vAlign w:val="bottom"/>
            <w:hideMark/>
          </w:tcPr>
          <w:p w:rsidR="000F1E1F" w:rsidRPr="00FE7D9B" w:rsidRDefault="000F1E1F" w:rsidP="00841FA5">
            <w:pPr>
              <w:jc w:val="center"/>
              <w:rPr>
                <w:rFonts w:ascii="Timesne" w:hAnsi="Timesne" w:cs="Calibri"/>
                <w:b/>
                <w:bCs/>
                <w:color w:val="000000"/>
              </w:rPr>
            </w:pPr>
            <w:r>
              <w:rPr>
                <w:rFonts w:ascii="Timesne" w:hAnsi="Timesne" w:cs="Calibri"/>
                <w:b/>
                <w:bCs/>
                <w:color w:val="000000"/>
              </w:rPr>
              <w:t xml:space="preserve">                </w:t>
            </w:r>
            <w:r w:rsidRPr="00FE7D9B">
              <w:rPr>
                <w:rFonts w:ascii="Timesne" w:hAnsi="Timesne" w:cs="Calibri"/>
                <w:b/>
                <w:bCs/>
                <w:color w:val="000000"/>
              </w:rPr>
              <w:t>Redução de 1% na RLV</w:t>
            </w:r>
          </w:p>
        </w:tc>
      </w:tr>
      <w:tr w:rsidR="000F1E1F" w:rsidRPr="00FE7D9B" w:rsidTr="00841FA5">
        <w:trPr>
          <w:trHeight w:val="70"/>
          <w:jc w:val="center"/>
        </w:trPr>
        <w:tc>
          <w:tcPr>
            <w:tcW w:w="2368" w:type="dxa"/>
            <w:vMerge/>
            <w:tcBorders>
              <w:top w:val="single" w:sz="4" w:space="0" w:color="auto"/>
              <w:left w:val="nil"/>
              <w:bottom w:val="nil"/>
              <w:right w:val="nil"/>
            </w:tcBorders>
            <w:vAlign w:val="center"/>
            <w:hideMark/>
          </w:tcPr>
          <w:p w:rsidR="000F1E1F" w:rsidRPr="00FE7D9B" w:rsidRDefault="000F1E1F" w:rsidP="00841FA5">
            <w:pPr>
              <w:rPr>
                <w:rFonts w:ascii="Timesne" w:hAnsi="Timesne" w:cs="Calibri"/>
                <w:b/>
                <w:bCs/>
                <w:color w:val="000000"/>
              </w:rPr>
            </w:pPr>
          </w:p>
        </w:tc>
        <w:tc>
          <w:tcPr>
            <w:tcW w:w="1134" w:type="dxa"/>
            <w:tcBorders>
              <w:top w:val="nil"/>
              <w:left w:val="nil"/>
              <w:bottom w:val="nil"/>
              <w:right w:val="nil"/>
            </w:tcBorders>
            <w:shd w:val="clear" w:color="auto" w:fill="auto"/>
            <w:vAlign w:val="center"/>
            <w:hideMark/>
          </w:tcPr>
          <w:p w:rsidR="000F1E1F" w:rsidRPr="00FE7D9B" w:rsidRDefault="000F1E1F" w:rsidP="00841FA5">
            <w:pPr>
              <w:jc w:val="center"/>
              <w:rPr>
                <w:rFonts w:ascii="Timesne" w:hAnsi="Timesne" w:cs="Calibri"/>
                <w:b/>
                <w:bCs/>
                <w:color w:val="000000"/>
              </w:rPr>
            </w:pPr>
            <w:r w:rsidRPr="00FE7D9B">
              <w:rPr>
                <w:rFonts w:ascii="Timesne" w:hAnsi="Timesne" w:cs="Calibri"/>
                <w:b/>
                <w:bCs/>
                <w:color w:val="000000"/>
              </w:rPr>
              <w:t>Amostra geral</w:t>
            </w:r>
          </w:p>
        </w:tc>
        <w:tc>
          <w:tcPr>
            <w:tcW w:w="2551" w:type="dxa"/>
            <w:tcBorders>
              <w:top w:val="nil"/>
              <w:left w:val="nil"/>
              <w:bottom w:val="nil"/>
              <w:right w:val="nil"/>
            </w:tcBorders>
            <w:shd w:val="clear" w:color="auto" w:fill="auto"/>
            <w:vAlign w:val="center"/>
            <w:hideMark/>
          </w:tcPr>
          <w:p w:rsidR="000F1E1F" w:rsidRPr="00FE7D9B" w:rsidRDefault="000F1E1F" w:rsidP="00841FA5">
            <w:pPr>
              <w:jc w:val="center"/>
              <w:rPr>
                <w:rFonts w:ascii="Timesne" w:hAnsi="Timesne" w:cs="Calibri"/>
                <w:b/>
                <w:bCs/>
                <w:color w:val="000000"/>
              </w:rPr>
            </w:pPr>
            <w:r w:rsidRPr="00FE7D9B">
              <w:rPr>
                <w:rFonts w:ascii="Timesne" w:hAnsi="Timesne" w:cs="Calibri"/>
                <w:b/>
                <w:bCs/>
                <w:color w:val="000000"/>
              </w:rPr>
              <w:t>Sem Remuneração Variável</w:t>
            </w:r>
            <w:r>
              <w:rPr>
                <w:rFonts w:ascii="Timesne" w:hAnsi="Timesne" w:cs="Calibri"/>
                <w:b/>
                <w:bCs/>
                <w:color w:val="000000"/>
              </w:rPr>
              <w:t xml:space="preserve"> (SRV)</w:t>
            </w:r>
          </w:p>
        </w:tc>
        <w:tc>
          <w:tcPr>
            <w:tcW w:w="2977" w:type="dxa"/>
            <w:tcBorders>
              <w:top w:val="nil"/>
              <w:left w:val="nil"/>
              <w:bottom w:val="nil"/>
              <w:right w:val="nil"/>
            </w:tcBorders>
            <w:shd w:val="clear" w:color="auto" w:fill="auto"/>
            <w:vAlign w:val="center"/>
            <w:hideMark/>
          </w:tcPr>
          <w:p w:rsidR="000F1E1F" w:rsidRPr="00FE7D9B" w:rsidRDefault="000F1E1F" w:rsidP="00841FA5">
            <w:pPr>
              <w:jc w:val="center"/>
              <w:rPr>
                <w:rFonts w:ascii="Timesne" w:hAnsi="Timesne" w:cs="Calibri"/>
                <w:b/>
                <w:bCs/>
                <w:color w:val="000000"/>
              </w:rPr>
            </w:pPr>
            <w:r w:rsidRPr="00FE7D9B">
              <w:rPr>
                <w:rFonts w:ascii="Timesne" w:hAnsi="Timesne" w:cs="Calibri"/>
                <w:b/>
                <w:bCs/>
                <w:color w:val="000000"/>
              </w:rPr>
              <w:t>Alta Remuneração Variável</w:t>
            </w:r>
            <w:r>
              <w:rPr>
                <w:rFonts w:ascii="Timesne" w:hAnsi="Timesne" w:cs="Calibri"/>
                <w:b/>
                <w:bCs/>
                <w:color w:val="000000"/>
              </w:rPr>
              <w:t xml:space="preserve"> (ARV)</w:t>
            </w:r>
          </w:p>
        </w:tc>
      </w:tr>
      <w:tr w:rsidR="000F1E1F" w:rsidRPr="00FE7D9B" w:rsidTr="00841FA5">
        <w:trPr>
          <w:trHeight w:val="80"/>
          <w:jc w:val="center"/>
        </w:trPr>
        <w:tc>
          <w:tcPr>
            <w:tcW w:w="2368" w:type="dxa"/>
            <w:tcBorders>
              <w:top w:val="nil"/>
              <w:left w:val="nil"/>
              <w:bottom w:val="single" w:sz="4" w:space="0" w:color="auto"/>
              <w:right w:val="nil"/>
            </w:tcBorders>
            <w:shd w:val="clear" w:color="auto" w:fill="auto"/>
            <w:noWrap/>
            <w:vAlign w:val="bottom"/>
            <w:hideMark/>
          </w:tcPr>
          <w:p w:rsidR="000F1E1F" w:rsidRPr="00FE7D9B" w:rsidRDefault="000F1E1F" w:rsidP="00841FA5">
            <w:pPr>
              <w:jc w:val="center"/>
              <w:rPr>
                <w:rFonts w:ascii="Timesne" w:hAnsi="Timesne" w:cs="Calibri"/>
                <w:color w:val="000000"/>
              </w:rPr>
            </w:pPr>
            <w:r w:rsidRPr="00FE7D9B">
              <w:rPr>
                <w:rFonts w:ascii="Timesne" w:hAnsi="Timesne" w:cs="Calibri"/>
                <w:color w:val="000000"/>
              </w:rPr>
              <w:t>0.9318</w:t>
            </w:r>
          </w:p>
        </w:tc>
        <w:tc>
          <w:tcPr>
            <w:tcW w:w="1134" w:type="dxa"/>
            <w:tcBorders>
              <w:top w:val="nil"/>
              <w:left w:val="nil"/>
              <w:bottom w:val="single" w:sz="4" w:space="0" w:color="auto"/>
              <w:right w:val="nil"/>
            </w:tcBorders>
            <w:shd w:val="clear" w:color="auto" w:fill="auto"/>
            <w:noWrap/>
            <w:vAlign w:val="bottom"/>
            <w:hideMark/>
          </w:tcPr>
          <w:p w:rsidR="000F1E1F" w:rsidRPr="00FE7D9B" w:rsidRDefault="000F1E1F" w:rsidP="00841FA5">
            <w:pPr>
              <w:jc w:val="center"/>
              <w:rPr>
                <w:rFonts w:ascii="Timesne" w:hAnsi="Timesne" w:cs="Calibri"/>
                <w:color w:val="000000"/>
              </w:rPr>
            </w:pPr>
            <w:r w:rsidRPr="00FE7D9B">
              <w:rPr>
                <w:rFonts w:ascii="Timesne" w:hAnsi="Timesne" w:cs="Calibri"/>
                <w:color w:val="000000"/>
              </w:rPr>
              <w:t>-0.8108</w:t>
            </w:r>
          </w:p>
        </w:tc>
        <w:tc>
          <w:tcPr>
            <w:tcW w:w="2551" w:type="dxa"/>
            <w:tcBorders>
              <w:top w:val="nil"/>
              <w:left w:val="nil"/>
              <w:bottom w:val="single" w:sz="4" w:space="0" w:color="auto"/>
              <w:right w:val="nil"/>
            </w:tcBorders>
            <w:shd w:val="clear" w:color="auto" w:fill="auto"/>
            <w:noWrap/>
            <w:vAlign w:val="bottom"/>
            <w:hideMark/>
          </w:tcPr>
          <w:p w:rsidR="000F1E1F" w:rsidRPr="00FE7D9B" w:rsidRDefault="000F1E1F" w:rsidP="00841FA5">
            <w:pPr>
              <w:jc w:val="center"/>
              <w:rPr>
                <w:rFonts w:ascii="Timesne" w:hAnsi="Timesne" w:cs="Calibri"/>
                <w:color w:val="000000"/>
              </w:rPr>
            </w:pPr>
            <w:r w:rsidRPr="00FE7D9B">
              <w:rPr>
                <w:rFonts w:ascii="Timesne" w:hAnsi="Timesne" w:cs="Calibri"/>
                <w:color w:val="000000"/>
              </w:rPr>
              <w:t>-0.7352</w:t>
            </w:r>
          </w:p>
        </w:tc>
        <w:tc>
          <w:tcPr>
            <w:tcW w:w="2977" w:type="dxa"/>
            <w:tcBorders>
              <w:top w:val="nil"/>
              <w:left w:val="nil"/>
              <w:bottom w:val="single" w:sz="4" w:space="0" w:color="auto"/>
              <w:right w:val="nil"/>
            </w:tcBorders>
            <w:shd w:val="clear" w:color="auto" w:fill="auto"/>
            <w:noWrap/>
            <w:vAlign w:val="bottom"/>
            <w:hideMark/>
          </w:tcPr>
          <w:p w:rsidR="000F1E1F" w:rsidRPr="00FE7D9B" w:rsidRDefault="000F1E1F" w:rsidP="00841FA5">
            <w:pPr>
              <w:jc w:val="center"/>
              <w:rPr>
                <w:rFonts w:ascii="Timesne" w:hAnsi="Timesne" w:cs="Calibri"/>
                <w:color w:val="000000"/>
              </w:rPr>
            </w:pPr>
            <w:r w:rsidRPr="00FE7D9B">
              <w:rPr>
                <w:rFonts w:ascii="Timesne" w:hAnsi="Timesne" w:cs="Calibri"/>
                <w:color w:val="000000"/>
              </w:rPr>
              <w:t>-0.5676</w:t>
            </w:r>
          </w:p>
        </w:tc>
      </w:tr>
    </w:tbl>
    <w:p w:rsidR="000F1E1F" w:rsidRDefault="000F1E1F" w:rsidP="000F1E1F">
      <w:pPr>
        <w:jc w:val="both"/>
        <w:rPr>
          <w:b/>
          <w:sz w:val="24"/>
          <w:szCs w:val="24"/>
        </w:rPr>
      </w:pPr>
    </w:p>
    <w:p w:rsidR="000F1E1F" w:rsidRDefault="000F1E1F" w:rsidP="000F1E1F">
      <w:pPr>
        <w:ind w:firstLine="708"/>
        <w:jc w:val="both"/>
        <w:rPr>
          <w:sz w:val="24"/>
          <w:szCs w:val="24"/>
        </w:rPr>
      </w:pPr>
      <w:r w:rsidRPr="00FE7D9B">
        <w:rPr>
          <w:sz w:val="24"/>
          <w:szCs w:val="24"/>
        </w:rPr>
        <w:t>Os coefic</w:t>
      </w:r>
      <w:r>
        <w:rPr>
          <w:sz w:val="24"/>
          <w:szCs w:val="24"/>
        </w:rPr>
        <w:t>ientes apresentados na Tabela 10</w:t>
      </w:r>
      <w:r w:rsidRPr="00FE7D9B">
        <w:rPr>
          <w:sz w:val="24"/>
          <w:szCs w:val="24"/>
        </w:rPr>
        <w:t xml:space="preserve"> significam que frente a um aumento de 1% na receita, os custos de toda a amostra aumentaram 0,9318%. Nessa mesma linha, quando a receita decresceu 1%, os custos decresceram </w:t>
      </w:r>
      <w:r>
        <w:rPr>
          <w:sz w:val="24"/>
          <w:szCs w:val="24"/>
        </w:rPr>
        <w:t>0,81</w:t>
      </w:r>
      <w:r w:rsidRPr="00FE7D9B">
        <w:rPr>
          <w:sz w:val="24"/>
          <w:szCs w:val="24"/>
        </w:rPr>
        <w:t xml:space="preserve">08%. </w:t>
      </w:r>
      <w:r>
        <w:rPr>
          <w:sz w:val="24"/>
          <w:szCs w:val="24"/>
        </w:rPr>
        <w:t>Em termos específicos e sob a ótica de redução de 1% na RLV, quando considerado apenas o grupo das empresas que não remuneram variavelmente os seus gestores, os custos decrescem 0,7352% e quando considerado os gestores que detêm alta remuneração variável, os custos reduzem 0,5676%. Em posse destas informações é possível calcular a assimetria de custos, a qual segue apresentada na Figura 3.</w:t>
      </w:r>
    </w:p>
    <w:p w:rsidR="000F1E1F" w:rsidRDefault="000F1E1F" w:rsidP="000F1E1F">
      <w:pPr>
        <w:jc w:val="both"/>
        <w:rPr>
          <w:sz w:val="24"/>
          <w:szCs w:val="24"/>
        </w:rPr>
      </w:pPr>
    </w:p>
    <w:p w:rsidR="000F1E1F" w:rsidRDefault="000F1E1F" w:rsidP="000F1E1F">
      <w:pPr>
        <w:jc w:val="center"/>
        <w:rPr>
          <w:b/>
          <w:sz w:val="24"/>
          <w:szCs w:val="24"/>
        </w:rPr>
      </w:pPr>
      <w:r w:rsidRPr="009D0882">
        <w:rPr>
          <w:noProof/>
        </w:rPr>
        <w:lastRenderedPageBreak/>
        <w:drawing>
          <wp:inline distT="0" distB="0" distL="0" distR="0">
            <wp:extent cx="5784850" cy="2627630"/>
            <wp:effectExtent l="0" t="0" r="0" b="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1E1F" w:rsidRPr="00D174AD" w:rsidRDefault="000F1E1F" w:rsidP="000F1E1F">
      <w:pPr>
        <w:jc w:val="both"/>
        <w:rPr>
          <w:b/>
          <w:sz w:val="24"/>
          <w:szCs w:val="24"/>
        </w:rPr>
      </w:pPr>
      <w:r>
        <w:rPr>
          <w:b/>
          <w:sz w:val="24"/>
          <w:szCs w:val="24"/>
        </w:rPr>
        <w:t>Figura 3</w:t>
      </w:r>
      <w:r w:rsidR="0094254A">
        <w:rPr>
          <w:b/>
          <w:sz w:val="24"/>
          <w:szCs w:val="24"/>
        </w:rPr>
        <w:t xml:space="preserve">. </w:t>
      </w:r>
      <w:r w:rsidRPr="00D174AD">
        <w:rPr>
          <w:b/>
          <w:sz w:val="24"/>
          <w:szCs w:val="24"/>
        </w:rPr>
        <w:t>Resultado da Assimetria de custos</w:t>
      </w:r>
      <w:r>
        <w:rPr>
          <w:b/>
          <w:sz w:val="24"/>
          <w:szCs w:val="24"/>
        </w:rPr>
        <w:t xml:space="preserve"> em %</w:t>
      </w:r>
    </w:p>
    <w:p w:rsidR="000F1E1F" w:rsidRDefault="000F1E1F" w:rsidP="000F1E1F">
      <w:pPr>
        <w:jc w:val="both"/>
        <w:rPr>
          <w:b/>
          <w:sz w:val="24"/>
          <w:szCs w:val="24"/>
        </w:rPr>
      </w:pPr>
    </w:p>
    <w:p w:rsidR="000F1E1F" w:rsidRDefault="000F1E1F" w:rsidP="000F1E1F">
      <w:pPr>
        <w:ind w:firstLine="709"/>
        <w:jc w:val="both"/>
        <w:rPr>
          <w:sz w:val="24"/>
          <w:szCs w:val="24"/>
        </w:rPr>
      </w:pPr>
      <w:r>
        <w:rPr>
          <w:b/>
          <w:sz w:val="24"/>
          <w:szCs w:val="24"/>
        </w:rPr>
        <w:tab/>
      </w:r>
      <w:r w:rsidRPr="00BF4E31">
        <w:rPr>
          <w:sz w:val="24"/>
          <w:szCs w:val="24"/>
        </w:rPr>
        <w:t xml:space="preserve">Em suma, os resultados sugerem que os executivos que detêm </w:t>
      </w:r>
      <w:r w:rsidR="0094254A">
        <w:rPr>
          <w:sz w:val="24"/>
          <w:szCs w:val="24"/>
        </w:rPr>
        <w:t xml:space="preserve">ARV </w:t>
      </w:r>
      <w:r w:rsidRPr="00BF4E31">
        <w:rPr>
          <w:sz w:val="24"/>
          <w:szCs w:val="24"/>
        </w:rPr>
        <w:t xml:space="preserve">provocam maior assimetria de custos em relação aos executivos que </w:t>
      </w:r>
      <w:r w:rsidR="0094254A">
        <w:rPr>
          <w:sz w:val="24"/>
          <w:szCs w:val="24"/>
        </w:rPr>
        <w:t>não possuem RV</w:t>
      </w:r>
      <w:r w:rsidRPr="00BF4E31">
        <w:rPr>
          <w:sz w:val="24"/>
          <w:szCs w:val="24"/>
        </w:rPr>
        <w:t xml:space="preserve">. Os resultados aqui apresentados são significantes sob a ótica de 90%, além de que devem ser analisados com cautela, visto que não foi realizada a correção de heterocesdasticidade. </w:t>
      </w:r>
    </w:p>
    <w:p w:rsidR="000F1E1F" w:rsidRDefault="000F1E1F" w:rsidP="000F1E1F">
      <w:pPr>
        <w:ind w:firstLine="709"/>
        <w:jc w:val="both"/>
        <w:rPr>
          <w:b/>
          <w:sz w:val="24"/>
          <w:szCs w:val="24"/>
        </w:rPr>
      </w:pPr>
    </w:p>
    <w:p w:rsidR="000F1E1F" w:rsidRPr="007E4AA4" w:rsidRDefault="000F1E1F" w:rsidP="000F1E1F">
      <w:pPr>
        <w:pStyle w:val="PargrafodaLista"/>
        <w:ind w:left="0"/>
        <w:jc w:val="both"/>
        <w:rPr>
          <w:b/>
          <w:sz w:val="24"/>
          <w:szCs w:val="24"/>
        </w:rPr>
      </w:pPr>
      <w:r>
        <w:rPr>
          <w:b/>
          <w:sz w:val="24"/>
          <w:szCs w:val="24"/>
        </w:rPr>
        <w:t>5 CONCLUSÃO</w:t>
      </w:r>
    </w:p>
    <w:p w:rsidR="000F1E1F" w:rsidRPr="00F155CE" w:rsidRDefault="000F1E1F" w:rsidP="000F1E1F">
      <w:pPr>
        <w:ind w:firstLine="709"/>
        <w:jc w:val="both"/>
        <w:rPr>
          <w:sz w:val="24"/>
          <w:szCs w:val="24"/>
        </w:rPr>
      </w:pPr>
      <w:r>
        <w:rPr>
          <w:color w:val="000000"/>
          <w:sz w:val="24"/>
          <w:szCs w:val="24"/>
        </w:rPr>
        <w:t xml:space="preserve">Sob a perspectiva de inferir sobre o impacto do sistema de incentivo recebido pelos gestores na assimetria dos custos, o presente estudo objetivou </w:t>
      </w:r>
      <w:r>
        <w:rPr>
          <w:sz w:val="24"/>
          <w:szCs w:val="24"/>
        </w:rPr>
        <w:t xml:space="preserve">verificar se o sistema de incentivo baseado em remuneração variável implica em assimetria dos custos. Para tanto, utilizaram-se como pressupostos o modelo de cálculo de assimetria proposto por Anderson et al. (2003) e Richartz (2016) e considerou-se como </w:t>
      </w:r>
      <w:r w:rsidRPr="000B49CA">
        <w:rPr>
          <w:i/>
          <w:sz w:val="24"/>
          <w:szCs w:val="24"/>
        </w:rPr>
        <w:t>proxy</w:t>
      </w:r>
      <w:r>
        <w:rPr>
          <w:sz w:val="24"/>
          <w:szCs w:val="24"/>
        </w:rPr>
        <w:t xml:space="preserve"> para o sistema de incentivos o tipo de remuneração (fixa ou variável), além de sua magnitude. Em relação à amostra final, foram 1.465 observações diluídas em 314 empresas, entre os exercícios de 2010 a 2016. </w:t>
      </w:r>
    </w:p>
    <w:p w:rsidR="000F1E1F" w:rsidRDefault="000F1E1F" w:rsidP="000F1E1F">
      <w:pPr>
        <w:ind w:firstLine="709"/>
        <w:jc w:val="both"/>
        <w:rPr>
          <w:sz w:val="24"/>
          <w:szCs w:val="24"/>
        </w:rPr>
      </w:pPr>
      <w:r>
        <w:rPr>
          <w:color w:val="000000"/>
          <w:sz w:val="24"/>
          <w:szCs w:val="24"/>
        </w:rPr>
        <w:t xml:space="preserve">As conclusões de diversos estudos sobre o impacto dos sistemas de incentivos na assimetria de custos são confrontantes, tais quais </w:t>
      </w:r>
      <w:r>
        <w:rPr>
          <w:sz w:val="24"/>
          <w:szCs w:val="24"/>
        </w:rPr>
        <w:t>Dierynck et al.</w:t>
      </w:r>
      <w:r w:rsidRPr="0094454D">
        <w:rPr>
          <w:sz w:val="24"/>
          <w:szCs w:val="24"/>
        </w:rPr>
        <w:t xml:space="preserve"> </w:t>
      </w:r>
      <w:r w:rsidRPr="0094254A">
        <w:rPr>
          <w:sz w:val="24"/>
          <w:szCs w:val="24"/>
        </w:rPr>
        <w:t>(2012),</w:t>
      </w:r>
      <w:r w:rsidR="0094254A" w:rsidRPr="0094254A">
        <w:rPr>
          <w:sz w:val="24"/>
          <w:szCs w:val="24"/>
        </w:rPr>
        <w:t xml:space="preserve"> </w:t>
      </w:r>
      <w:r w:rsidR="0094254A" w:rsidRPr="0094254A">
        <w:rPr>
          <w:color w:val="000000"/>
          <w:sz w:val="24"/>
          <w:szCs w:val="24"/>
        </w:rPr>
        <w:t xml:space="preserve">Chen et al. </w:t>
      </w:r>
      <w:r w:rsidR="0094254A" w:rsidRPr="0094454D">
        <w:rPr>
          <w:color w:val="000000"/>
          <w:sz w:val="24"/>
          <w:szCs w:val="24"/>
        </w:rPr>
        <w:t>(2012)</w:t>
      </w:r>
      <w:r w:rsidR="0094254A">
        <w:rPr>
          <w:color w:val="000000"/>
          <w:sz w:val="24"/>
          <w:szCs w:val="24"/>
        </w:rPr>
        <w:t>,</w:t>
      </w:r>
      <w:r w:rsidR="0094254A">
        <w:rPr>
          <w:sz w:val="24"/>
          <w:szCs w:val="24"/>
        </w:rPr>
        <w:t xml:space="preserve"> Kama e Weiss (2013) e Banker e Byzalov (2014), </w:t>
      </w:r>
      <w:r>
        <w:rPr>
          <w:sz w:val="24"/>
          <w:szCs w:val="24"/>
        </w:rPr>
        <w:t>fato que viabiliza teoricamente o respaldo para a realização dessa pesquisa, assim como a lacuna de contribuir com o mercado em relação à definição do sistema de incentivos que melhor alinhe os objetivos dos sócios e administradores.</w:t>
      </w:r>
    </w:p>
    <w:p w:rsidR="000F1E1F" w:rsidRDefault="000F1E1F" w:rsidP="000F1E1F">
      <w:pPr>
        <w:ind w:firstLine="709"/>
        <w:jc w:val="both"/>
        <w:rPr>
          <w:sz w:val="24"/>
          <w:szCs w:val="24"/>
        </w:rPr>
      </w:pPr>
      <w:r>
        <w:rPr>
          <w:sz w:val="24"/>
          <w:szCs w:val="24"/>
        </w:rPr>
        <w:t xml:space="preserve">Dessa forma, frente ao objetivo e as lacunas já esclarecidas, assim como pautado na finalidade de contribuir com a investigação nesse assunto, separou-se a amostra em grupos: um que não possuía remuneração variável e outro grupo que possuía alta remuneração variável. Os primeiros resultados demonstram que 74,4% das empresas possuem remuneração variável e, deste modo, indica uma tentativa de alinhamento entre os objetivos dos sócios e dos executivos, tal qual estudado por diversas correntes teóricas, como por exemplo, a teoria da agência. </w:t>
      </w:r>
    </w:p>
    <w:p w:rsidR="000F1E1F" w:rsidRDefault="000F1E1F" w:rsidP="000F1E1F">
      <w:pPr>
        <w:ind w:firstLine="709"/>
        <w:jc w:val="both"/>
        <w:rPr>
          <w:sz w:val="24"/>
          <w:szCs w:val="24"/>
        </w:rPr>
      </w:pPr>
      <w:r>
        <w:rPr>
          <w:sz w:val="24"/>
          <w:szCs w:val="24"/>
        </w:rPr>
        <w:t xml:space="preserve">Em termos específicos, a magnitude na composição total da remuneração variável é, em média, 28,62%. Tal resultado indica que as empresas ainda preferem prioritariamente a </w:t>
      </w:r>
      <w:r>
        <w:rPr>
          <w:sz w:val="24"/>
          <w:szCs w:val="24"/>
        </w:rPr>
        <w:lastRenderedPageBreak/>
        <w:t>remuneração fixa, porém, há uma tendência de aumento da RV para os executivos, conforme os resultados apresentados nessa pesquisa, segregados por exercício. Assim, é possível que se discuta com profundidade os efeitos da remuneração em cada companhia e se revise os planos de cargos e salários periodicamente, a fim de estreitar o alinhamento de objetivos entre gestores e a organização.</w:t>
      </w:r>
    </w:p>
    <w:p w:rsidR="000F1E1F" w:rsidRDefault="000F1E1F" w:rsidP="000F1E1F">
      <w:pPr>
        <w:ind w:firstLine="709"/>
        <w:jc w:val="both"/>
        <w:rPr>
          <w:color w:val="000000"/>
          <w:sz w:val="24"/>
        </w:rPr>
      </w:pPr>
      <w:r>
        <w:rPr>
          <w:sz w:val="24"/>
          <w:szCs w:val="24"/>
        </w:rPr>
        <w:t xml:space="preserve">Adiante, com a aplicação de um modelo de regressão em painel juntamente com a aplicação dos seus pressupostos estatísticos, calculou-se a assimetria de custos sob a perspectiva de 90% de significância. </w:t>
      </w:r>
      <w:r w:rsidRPr="002A612C">
        <w:rPr>
          <w:sz w:val="24"/>
          <w:szCs w:val="24"/>
        </w:rPr>
        <w:t xml:space="preserve">O comportamento dos custos para toda a amostra foi de um aumento de 0,9318% no CPV quando a RLV aumenta 1% e quando ela decresce na mesma magnitude apurou-se uma redução de 0,8108% nos custos. Os resultados são similares aos encontrados por </w:t>
      </w:r>
      <w:r w:rsidRPr="002A612C">
        <w:rPr>
          <w:color w:val="000000"/>
          <w:sz w:val="24"/>
        </w:rPr>
        <w:t>Richartz (2016) em sua tese de doutorado, onde para o aumento de 1% na receita, encontrou um acréscimo de 0,95% e para uma redução de 1% na receita, encontrou um decréscimo de 0,80% no CPV.</w:t>
      </w:r>
    </w:p>
    <w:p w:rsidR="000F1E1F" w:rsidRDefault="000F1E1F" w:rsidP="005208CE">
      <w:pPr>
        <w:ind w:firstLine="709"/>
        <w:jc w:val="both"/>
        <w:rPr>
          <w:color w:val="000000"/>
          <w:sz w:val="24"/>
        </w:rPr>
      </w:pPr>
      <w:r>
        <w:rPr>
          <w:color w:val="000000"/>
          <w:sz w:val="24"/>
        </w:rPr>
        <w:t xml:space="preserve">Em termos específicos, para o grupo que não possuía remuneração variável (25,6% da amostra), </w:t>
      </w:r>
      <w:r w:rsidRPr="002A612C">
        <w:rPr>
          <w:color w:val="000000"/>
          <w:sz w:val="24"/>
        </w:rPr>
        <w:t>encontrou-se</w:t>
      </w:r>
      <w:r>
        <w:rPr>
          <w:color w:val="000000"/>
          <w:sz w:val="24"/>
        </w:rPr>
        <w:t>,</w:t>
      </w:r>
      <w:r w:rsidRPr="002A612C">
        <w:rPr>
          <w:color w:val="000000"/>
          <w:sz w:val="24"/>
        </w:rPr>
        <w:t xml:space="preserve"> que na redução de 1% da RLV, os custos são reduzidos em 0,7352%, enquanto que para o grupo com alta remuneração variável, os custos reduzem 0,5676%. Dessa</w:t>
      </w:r>
      <w:r>
        <w:rPr>
          <w:color w:val="000000"/>
          <w:sz w:val="24"/>
        </w:rPr>
        <w:t xml:space="preserve"> forma, conclui-se que os custos decrescem menos quando os executivos possuem ARV e assim, implicam em maior assimetria de custos (</w:t>
      </w:r>
      <w:r w:rsidRPr="00622469">
        <w:rPr>
          <w:i/>
          <w:color w:val="000000"/>
          <w:sz w:val="24"/>
        </w:rPr>
        <w:t>stick costs)</w:t>
      </w:r>
      <w:r w:rsidRPr="00622469">
        <w:rPr>
          <w:color w:val="000000"/>
          <w:sz w:val="24"/>
        </w:rPr>
        <w:t>.</w:t>
      </w:r>
    </w:p>
    <w:p w:rsidR="000F1E1F" w:rsidRDefault="000F1E1F" w:rsidP="000F1E1F">
      <w:pPr>
        <w:ind w:firstLine="709"/>
        <w:jc w:val="both"/>
        <w:rPr>
          <w:sz w:val="24"/>
          <w:szCs w:val="24"/>
        </w:rPr>
      </w:pPr>
      <w:r>
        <w:rPr>
          <w:color w:val="000000"/>
          <w:sz w:val="24"/>
        </w:rPr>
        <w:t xml:space="preserve">Os resultados aqui encontrados confrontam os estudos de </w:t>
      </w:r>
      <w:r>
        <w:rPr>
          <w:sz w:val="24"/>
          <w:szCs w:val="24"/>
        </w:rPr>
        <w:t xml:space="preserve">Dierynck et al. </w:t>
      </w:r>
      <w:r w:rsidRPr="0094454D">
        <w:rPr>
          <w:sz w:val="24"/>
          <w:szCs w:val="24"/>
        </w:rPr>
        <w:t>(2012), Kama e Weiss (2013)</w:t>
      </w:r>
      <w:r>
        <w:rPr>
          <w:sz w:val="24"/>
          <w:szCs w:val="24"/>
        </w:rPr>
        <w:t xml:space="preserve"> e </w:t>
      </w:r>
      <w:r w:rsidRPr="0094454D">
        <w:rPr>
          <w:sz w:val="24"/>
          <w:szCs w:val="24"/>
        </w:rPr>
        <w:t>Banker e Byzalov (2014)</w:t>
      </w:r>
      <w:r>
        <w:rPr>
          <w:sz w:val="24"/>
          <w:szCs w:val="24"/>
        </w:rPr>
        <w:t xml:space="preserve">, os quais afirmam que o comportamento dos custos é impactado sob a ótica de redução da assimetria, quando há a presença de um sistema de incentivo. Por outro lado, os resultados dessa pesquisa convergem com os encontrados por Chen et al. </w:t>
      </w:r>
      <w:r w:rsidRPr="00467457">
        <w:rPr>
          <w:sz w:val="24"/>
          <w:szCs w:val="24"/>
        </w:rPr>
        <w:t>(2012)</w:t>
      </w:r>
      <w:r>
        <w:rPr>
          <w:sz w:val="24"/>
          <w:szCs w:val="24"/>
        </w:rPr>
        <w:t xml:space="preserve">; </w:t>
      </w:r>
      <w:r w:rsidRPr="00467457">
        <w:rPr>
          <w:sz w:val="24"/>
          <w:szCs w:val="24"/>
        </w:rPr>
        <w:t>Xi et al. (2013)</w:t>
      </w:r>
      <w:r>
        <w:rPr>
          <w:sz w:val="24"/>
          <w:szCs w:val="24"/>
        </w:rPr>
        <w:t xml:space="preserve"> e </w:t>
      </w:r>
      <w:r w:rsidRPr="00467457">
        <w:rPr>
          <w:sz w:val="24"/>
          <w:szCs w:val="24"/>
        </w:rPr>
        <w:t>Liang (2013)</w:t>
      </w:r>
      <w:r>
        <w:rPr>
          <w:sz w:val="24"/>
          <w:szCs w:val="24"/>
        </w:rPr>
        <w:t xml:space="preserve">, os quais defendem que a magnitude do sistema de incentivo está associada positivamente ao </w:t>
      </w:r>
      <w:r w:rsidRPr="00622469">
        <w:rPr>
          <w:i/>
          <w:sz w:val="24"/>
          <w:szCs w:val="24"/>
        </w:rPr>
        <w:t>stick costs</w:t>
      </w:r>
      <w:r>
        <w:rPr>
          <w:sz w:val="24"/>
          <w:szCs w:val="24"/>
        </w:rPr>
        <w:t>, ou seja, a assimetria de custos.</w:t>
      </w:r>
    </w:p>
    <w:p w:rsidR="000F1E1F" w:rsidRDefault="000F1E1F" w:rsidP="000F1E1F">
      <w:pPr>
        <w:ind w:firstLine="709"/>
        <w:jc w:val="both"/>
        <w:rPr>
          <w:sz w:val="24"/>
          <w:szCs w:val="24"/>
        </w:rPr>
      </w:pPr>
      <w:r>
        <w:rPr>
          <w:sz w:val="24"/>
          <w:szCs w:val="24"/>
        </w:rPr>
        <w:t>Pautado na perspectiva abordada nos trabalhos com resultados similares, os gestores que possuem altos incentivos podem ser direcionados a pensar sob a ótica de viabilidade de longo prazo e construção de grandes empresas, fatos que provocam um aumento na</w:t>
      </w:r>
      <w:r w:rsidRPr="0094454D">
        <w:rPr>
          <w:sz w:val="24"/>
          <w:szCs w:val="24"/>
        </w:rPr>
        <w:t xml:space="preserve"> sua utilidade pessoal, status, poder e prestígio</w:t>
      </w:r>
      <w:r>
        <w:rPr>
          <w:sz w:val="24"/>
          <w:szCs w:val="24"/>
        </w:rPr>
        <w:t>,</w:t>
      </w:r>
      <w:r w:rsidRPr="0094454D">
        <w:rPr>
          <w:sz w:val="24"/>
          <w:szCs w:val="24"/>
        </w:rPr>
        <w:t xml:space="preserve"> além </w:t>
      </w:r>
      <w:r>
        <w:rPr>
          <w:sz w:val="24"/>
          <w:szCs w:val="24"/>
        </w:rPr>
        <w:t xml:space="preserve">deles </w:t>
      </w:r>
      <w:r w:rsidRPr="0094454D">
        <w:rPr>
          <w:sz w:val="24"/>
          <w:szCs w:val="24"/>
        </w:rPr>
        <w:t>não enxergarem como vantagem a redução do tamanho organizacional, cujos benefícios se acumulam aos acionistas, e exigem decisões complexas e esforços dispendiosos para redução de recursos organizacionais</w:t>
      </w:r>
      <w:r>
        <w:rPr>
          <w:sz w:val="24"/>
          <w:szCs w:val="24"/>
        </w:rPr>
        <w:t xml:space="preserve">. </w:t>
      </w:r>
    </w:p>
    <w:p w:rsidR="000F1E1F" w:rsidRDefault="000F1E1F" w:rsidP="000F1E1F">
      <w:pPr>
        <w:ind w:firstLine="709"/>
        <w:jc w:val="both"/>
        <w:rPr>
          <w:sz w:val="24"/>
          <w:szCs w:val="24"/>
        </w:rPr>
      </w:pPr>
      <w:r>
        <w:rPr>
          <w:sz w:val="24"/>
          <w:szCs w:val="24"/>
        </w:rPr>
        <w:t xml:space="preserve">Embora a presente pesquisa </w:t>
      </w:r>
      <w:r w:rsidRPr="002A612C">
        <w:rPr>
          <w:sz w:val="24"/>
          <w:szCs w:val="24"/>
        </w:rPr>
        <w:t>possua</w:t>
      </w:r>
      <w:r>
        <w:rPr>
          <w:sz w:val="24"/>
          <w:szCs w:val="24"/>
        </w:rPr>
        <w:t xml:space="preserve"> limitações em sua análise, tal qual o escopo temporal de seis anos (2010 foi utilizado apenas como base para o cálculo da variação de 2011), assim como o cenário brasileiro frente aos resultados encontrados na China, Japão, EUA e Europa, além de processar o modelo com heterocedasticidade, embora seja opção dos pesquisadores a correção do mesmo, os resultados indicam que é possível que durante os últimos anos, no Brasil, os gestores da Diretoria Estatutária que recebem ARV estão mais inclinados a uma mentalidade de entregar resultado a longo prazo do que os gestores que não recebem nenhum tipo de incentivo, os quais, em relação aos custos, se apresentaram mais imediatistas, visto que realizaram reduções mais acintosas na estrutura de custos das companhias.</w:t>
      </w:r>
    </w:p>
    <w:p w:rsidR="000F1E1F" w:rsidRPr="00B3797A" w:rsidRDefault="000F1E1F" w:rsidP="000F1E1F">
      <w:pPr>
        <w:ind w:firstLine="709"/>
        <w:jc w:val="both"/>
        <w:rPr>
          <w:color w:val="000000"/>
          <w:sz w:val="24"/>
          <w:szCs w:val="24"/>
        </w:rPr>
      </w:pPr>
      <w:r>
        <w:rPr>
          <w:color w:val="000000"/>
          <w:sz w:val="24"/>
          <w:szCs w:val="24"/>
        </w:rPr>
        <w:t xml:space="preserve">Dessa forma, a presente pesquisa é pioneira em relacionar RV e assimetria dos custos no Brasil. Porém, </w:t>
      </w:r>
      <w:r w:rsidRPr="002A612C">
        <w:rPr>
          <w:color w:val="000000"/>
          <w:sz w:val="24"/>
          <w:szCs w:val="24"/>
        </w:rPr>
        <w:t>a fim de se inferir conclusões mais contundentes</w:t>
      </w:r>
      <w:r>
        <w:rPr>
          <w:color w:val="000000"/>
          <w:sz w:val="24"/>
          <w:szCs w:val="24"/>
        </w:rPr>
        <w:t xml:space="preserve">, sugere-se para pesquisas futuras, a adoção de escopo temporal maior, assim como uma análise segregada por setor e outros tipos de sistema de incentivos, a fim de aprofundar os estudos sobre a relação entre os </w:t>
      </w:r>
      <w:r>
        <w:rPr>
          <w:color w:val="000000"/>
          <w:sz w:val="24"/>
          <w:szCs w:val="24"/>
        </w:rPr>
        <w:lastRenderedPageBreak/>
        <w:t>incentivos que afetam a decisão dos gestores e que por consequência impactam ou não na assimetria dos custos. Ressalta-se, que desdobramentos específicos em relação ao tipo da remuneração e grupo de administradores também podem originar resultados com maior poder explicativo.</w:t>
      </w:r>
    </w:p>
    <w:p w:rsidR="000F1E1F" w:rsidRDefault="000F1E1F" w:rsidP="000F1E1F">
      <w:pPr>
        <w:jc w:val="both"/>
        <w:rPr>
          <w:b/>
          <w:sz w:val="24"/>
          <w:szCs w:val="24"/>
        </w:rPr>
      </w:pPr>
    </w:p>
    <w:p w:rsidR="000F1E1F" w:rsidRDefault="000F1E1F" w:rsidP="000F1E1F">
      <w:pPr>
        <w:jc w:val="both"/>
        <w:rPr>
          <w:b/>
          <w:sz w:val="24"/>
          <w:szCs w:val="24"/>
          <w:lang w:val="en-US"/>
        </w:rPr>
      </w:pPr>
      <w:r>
        <w:rPr>
          <w:b/>
          <w:sz w:val="24"/>
          <w:szCs w:val="24"/>
          <w:lang w:val="en-US"/>
        </w:rPr>
        <w:t>REFERÊNCIAS</w:t>
      </w:r>
    </w:p>
    <w:p w:rsidR="000F1E1F" w:rsidRPr="00902075" w:rsidRDefault="000F1E1F" w:rsidP="000F1E1F">
      <w:pPr>
        <w:jc w:val="both"/>
        <w:rPr>
          <w:b/>
          <w:sz w:val="24"/>
          <w:szCs w:val="24"/>
          <w:lang w:val="en-US"/>
        </w:rPr>
      </w:pPr>
    </w:p>
    <w:p w:rsidR="000F1E1F" w:rsidRPr="00F155CE" w:rsidRDefault="000F1E1F" w:rsidP="000F1E1F">
      <w:pPr>
        <w:autoSpaceDE w:val="0"/>
        <w:autoSpaceDN w:val="0"/>
        <w:adjustRightInd w:val="0"/>
        <w:rPr>
          <w:sz w:val="24"/>
          <w:szCs w:val="24"/>
          <w:lang w:val="en-US"/>
        </w:rPr>
      </w:pPr>
      <w:r w:rsidRPr="00F155CE">
        <w:rPr>
          <w:sz w:val="24"/>
          <w:szCs w:val="24"/>
          <w:lang w:val="en-US"/>
        </w:rPr>
        <w:t xml:space="preserve">Anderson, M. C., Banker, R. D. &amp; Janakiraman, S. N. (2003). Are selling, general, and administrative costs “sticky”? </w:t>
      </w:r>
      <w:r w:rsidRPr="00F155CE">
        <w:rPr>
          <w:i/>
          <w:sz w:val="24"/>
          <w:szCs w:val="24"/>
          <w:lang w:val="en-US"/>
        </w:rPr>
        <w:t>Journal of Accounting Research</w:t>
      </w:r>
      <w:r w:rsidRPr="00F155CE">
        <w:rPr>
          <w:sz w:val="24"/>
          <w:szCs w:val="24"/>
          <w:lang w:val="en-US"/>
        </w:rPr>
        <w:t xml:space="preserve">, </w:t>
      </w:r>
      <w:r w:rsidRPr="00B337E4">
        <w:rPr>
          <w:i/>
          <w:sz w:val="24"/>
          <w:szCs w:val="24"/>
          <w:lang w:val="en-US"/>
        </w:rPr>
        <w:t>41</w:t>
      </w:r>
      <w:r w:rsidRPr="00F155CE">
        <w:rPr>
          <w:sz w:val="24"/>
          <w:szCs w:val="24"/>
          <w:lang w:val="en-US"/>
        </w:rPr>
        <w:t>(1), 47-63.</w:t>
      </w:r>
    </w:p>
    <w:p w:rsidR="000F1E1F"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color w:val="222222"/>
          <w:sz w:val="24"/>
          <w:szCs w:val="24"/>
          <w:shd w:val="clear" w:color="auto" w:fill="FFFFFF"/>
          <w:lang w:val="en-US"/>
        </w:rPr>
      </w:pPr>
      <w:r w:rsidRPr="00F155CE">
        <w:rPr>
          <w:color w:val="222222"/>
          <w:sz w:val="24"/>
          <w:szCs w:val="24"/>
          <w:shd w:val="clear" w:color="auto" w:fill="FFFFFF"/>
          <w:lang w:val="en-US"/>
        </w:rPr>
        <w:t>Bank</w:t>
      </w:r>
      <w:r w:rsidR="0028484B">
        <w:rPr>
          <w:color w:val="222222"/>
          <w:sz w:val="24"/>
          <w:szCs w:val="24"/>
          <w:shd w:val="clear" w:color="auto" w:fill="FFFFFF"/>
          <w:lang w:val="en-US"/>
        </w:rPr>
        <w:t>er, R. D.</w:t>
      </w:r>
      <w:r w:rsidRPr="00F155CE">
        <w:rPr>
          <w:color w:val="222222"/>
          <w:sz w:val="24"/>
          <w:szCs w:val="24"/>
          <w:shd w:val="clear" w:color="auto" w:fill="FFFFFF"/>
          <w:lang w:val="en-US"/>
        </w:rPr>
        <w:t xml:space="preserve"> &amp; Byzalov, D. (2014). Asymmetric cost behavior. </w:t>
      </w:r>
      <w:r w:rsidRPr="00F155CE">
        <w:rPr>
          <w:i/>
          <w:iCs/>
          <w:color w:val="222222"/>
          <w:sz w:val="24"/>
          <w:szCs w:val="24"/>
          <w:shd w:val="clear" w:color="auto" w:fill="FFFFFF"/>
          <w:lang w:val="en-US"/>
        </w:rPr>
        <w:t>Journal of Management Accounting Research</w:t>
      </w:r>
      <w:r w:rsidRPr="00F155CE">
        <w:rPr>
          <w:color w:val="222222"/>
          <w:sz w:val="24"/>
          <w:szCs w:val="24"/>
          <w:shd w:val="clear" w:color="auto" w:fill="FFFFFF"/>
          <w:lang w:val="en-US"/>
        </w:rPr>
        <w:t>, </w:t>
      </w:r>
      <w:r w:rsidRPr="00F155CE">
        <w:rPr>
          <w:i/>
          <w:iCs/>
          <w:color w:val="222222"/>
          <w:sz w:val="24"/>
          <w:szCs w:val="24"/>
          <w:shd w:val="clear" w:color="auto" w:fill="FFFFFF"/>
          <w:lang w:val="en-US"/>
        </w:rPr>
        <w:t>26</w:t>
      </w:r>
      <w:r w:rsidRPr="00F155CE">
        <w:rPr>
          <w:color w:val="222222"/>
          <w:sz w:val="24"/>
          <w:szCs w:val="24"/>
          <w:shd w:val="clear" w:color="auto" w:fill="FFFFFF"/>
          <w:lang w:val="en-US"/>
        </w:rPr>
        <w:t>(2), 43-79.</w:t>
      </w:r>
    </w:p>
    <w:p w:rsidR="000F1E1F" w:rsidRPr="00F155CE"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lang w:val="en-US"/>
        </w:rPr>
      </w:pPr>
      <w:r>
        <w:rPr>
          <w:sz w:val="24"/>
          <w:szCs w:val="24"/>
          <w:lang w:val="en-US"/>
        </w:rPr>
        <w:t>Banker, R. D., Byzalov, D.,</w:t>
      </w:r>
      <w:r w:rsidRPr="00F155CE">
        <w:rPr>
          <w:sz w:val="24"/>
          <w:szCs w:val="24"/>
          <w:lang w:val="en-US"/>
        </w:rPr>
        <w:t xml:space="preserve"> Ciftci, M. &amp; Mashruwala, R. (2014). The moderating effect of prior sales changes on asymmetric cost behavior. </w:t>
      </w:r>
      <w:r w:rsidRPr="00F155CE">
        <w:rPr>
          <w:bCs/>
          <w:i/>
          <w:sz w:val="24"/>
          <w:szCs w:val="24"/>
          <w:lang w:val="en-US"/>
        </w:rPr>
        <w:t>Journal of Management Accounting Research</w:t>
      </w:r>
      <w:r w:rsidRPr="00F155CE">
        <w:rPr>
          <w:sz w:val="24"/>
          <w:szCs w:val="24"/>
          <w:lang w:val="en-US"/>
        </w:rPr>
        <w:t xml:space="preserve">, </w:t>
      </w:r>
      <w:r w:rsidR="0028484B">
        <w:rPr>
          <w:i/>
          <w:sz w:val="24"/>
          <w:szCs w:val="24"/>
          <w:lang w:val="en-US"/>
        </w:rPr>
        <w:t>26</w:t>
      </w:r>
      <w:r w:rsidR="0028484B">
        <w:rPr>
          <w:sz w:val="24"/>
          <w:szCs w:val="24"/>
          <w:lang w:val="en-US"/>
        </w:rPr>
        <w:t>(2</w:t>
      </w:r>
      <w:r w:rsidRPr="00F155CE">
        <w:rPr>
          <w:sz w:val="24"/>
          <w:szCs w:val="24"/>
          <w:lang w:val="en-US"/>
        </w:rPr>
        <w:t>)</w:t>
      </w:r>
      <w:r w:rsidR="0028484B">
        <w:rPr>
          <w:sz w:val="24"/>
          <w:szCs w:val="24"/>
          <w:lang w:val="en-US"/>
        </w:rPr>
        <w:t>, 221-242</w:t>
      </w:r>
      <w:r w:rsidRPr="00F155CE">
        <w:rPr>
          <w:sz w:val="24"/>
          <w:szCs w:val="24"/>
          <w:lang w:val="en-US"/>
        </w:rPr>
        <w:t>.</w:t>
      </w:r>
    </w:p>
    <w:p w:rsidR="000F1E1F"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lang w:val="en-US"/>
        </w:rPr>
      </w:pPr>
      <w:r w:rsidRPr="00F155CE">
        <w:rPr>
          <w:sz w:val="24"/>
          <w:szCs w:val="24"/>
          <w:lang w:val="en-US"/>
        </w:rPr>
        <w:t>Banker, R. D., Basu, S., Byzalov, D</w:t>
      </w:r>
      <w:r w:rsidR="0028484B">
        <w:rPr>
          <w:sz w:val="24"/>
          <w:szCs w:val="24"/>
          <w:lang w:val="en-US"/>
        </w:rPr>
        <w:t>.</w:t>
      </w:r>
      <w:r w:rsidRPr="00F155CE">
        <w:rPr>
          <w:sz w:val="24"/>
          <w:szCs w:val="24"/>
          <w:lang w:val="en-US"/>
        </w:rPr>
        <w:t xml:space="preserve"> &amp; Chen, J. Y. (2016). The confounding effect of cost stickiness on conservatism estimates. </w:t>
      </w:r>
      <w:r w:rsidRPr="00F155CE">
        <w:rPr>
          <w:i/>
          <w:sz w:val="24"/>
          <w:szCs w:val="24"/>
          <w:lang w:val="en-US"/>
        </w:rPr>
        <w:t>Journal of Accounting and Economics</w:t>
      </w:r>
      <w:r w:rsidRPr="00F155CE">
        <w:rPr>
          <w:sz w:val="24"/>
          <w:szCs w:val="24"/>
          <w:lang w:val="en-US"/>
        </w:rPr>
        <w:t xml:space="preserve">, </w:t>
      </w:r>
      <w:r w:rsidRPr="00B337E4">
        <w:rPr>
          <w:i/>
          <w:sz w:val="24"/>
          <w:szCs w:val="24"/>
          <w:lang w:val="en-US"/>
        </w:rPr>
        <w:t>6</w:t>
      </w:r>
      <w:r w:rsidRPr="00F155CE">
        <w:rPr>
          <w:sz w:val="24"/>
          <w:szCs w:val="24"/>
          <w:lang w:val="en-US"/>
        </w:rPr>
        <w:t>(1), 203-220.</w:t>
      </w:r>
    </w:p>
    <w:p w:rsidR="000F1E1F" w:rsidRPr="00F155CE"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lang w:val="en-US"/>
        </w:rPr>
      </w:pPr>
      <w:r>
        <w:rPr>
          <w:sz w:val="24"/>
          <w:szCs w:val="24"/>
          <w:lang w:val="en-US"/>
        </w:rPr>
        <w:t>Balakrishnan, R.,</w:t>
      </w:r>
      <w:r w:rsidRPr="00F155CE">
        <w:rPr>
          <w:sz w:val="24"/>
          <w:szCs w:val="24"/>
          <w:lang w:val="en-US"/>
        </w:rPr>
        <w:t xml:space="preserve"> Petersen, M. J.</w:t>
      </w:r>
      <w:r>
        <w:rPr>
          <w:sz w:val="24"/>
          <w:szCs w:val="24"/>
          <w:lang w:val="en-US"/>
        </w:rPr>
        <w:t xml:space="preserve"> &amp; Sodestrom, N.</w:t>
      </w:r>
      <w:r w:rsidRPr="00F155CE">
        <w:rPr>
          <w:sz w:val="24"/>
          <w:szCs w:val="24"/>
          <w:lang w:val="en-US"/>
        </w:rPr>
        <w:t xml:space="preserve"> S. (2004). Does capacity utilization affect the “stickiness” of cost? </w:t>
      </w:r>
      <w:r w:rsidRPr="00F155CE">
        <w:rPr>
          <w:bCs/>
          <w:i/>
          <w:sz w:val="24"/>
          <w:szCs w:val="24"/>
          <w:lang w:val="en-US"/>
        </w:rPr>
        <w:t>Journal of Accounting, Auditing &amp; Finance</w:t>
      </w:r>
      <w:r w:rsidRPr="00F155CE">
        <w:rPr>
          <w:sz w:val="24"/>
          <w:szCs w:val="24"/>
          <w:lang w:val="en-US"/>
        </w:rPr>
        <w:t xml:space="preserve">, </w:t>
      </w:r>
      <w:r w:rsidRPr="00B337E4">
        <w:rPr>
          <w:i/>
          <w:sz w:val="24"/>
          <w:szCs w:val="24"/>
          <w:lang w:val="en-US"/>
        </w:rPr>
        <w:t>19</w:t>
      </w:r>
      <w:r w:rsidRPr="00F155CE">
        <w:rPr>
          <w:sz w:val="24"/>
          <w:szCs w:val="24"/>
          <w:lang w:val="en-US"/>
        </w:rPr>
        <w:t>, 283-299.</w:t>
      </w:r>
    </w:p>
    <w:p w:rsidR="000F1E1F" w:rsidRDefault="000F1E1F" w:rsidP="000F1E1F">
      <w:pPr>
        <w:autoSpaceDE w:val="0"/>
        <w:autoSpaceDN w:val="0"/>
        <w:adjustRightInd w:val="0"/>
        <w:rPr>
          <w:sz w:val="24"/>
          <w:szCs w:val="24"/>
          <w:lang w:val="en-US"/>
        </w:rPr>
      </w:pPr>
    </w:p>
    <w:p w:rsidR="000F1E1F" w:rsidRPr="000F1E1F" w:rsidRDefault="0028484B" w:rsidP="000F1E1F">
      <w:pPr>
        <w:autoSpaceDE w:val="0"/>
        <w:autoSpaceDN w:val="0"/>
        <w:adjustRightInd w:val="0"/>
        <w:rPr>
          <w:sz w:val="24"/>
          <w:szCs w:val="24"/>
          <w:lang w:val="en-US"/>
        </w:rPr>
      </w:pPr>
      <w:r>
        <w:rPr>
          <w:sz w:val="24"/>
          <w:szCs w:val="24"/>
          <w:lang w:val="en-US"/>
        </w:rPr>
        <w:t>Balakrishnan, R., Labro, E.</w:t>
      </w:r>
      <w:r w:rsidR="000F1E1F">
        <w:rPr>
          <w:sz w:val="24"/>
          <w:szCs w:val="24"/>
          <w:lang w:val="en-US"/>
        </w:rPr>
        <w:t xml:space="preserve"> &amp; Sodestrom, N.</w:t>
      </w:r>
      <w:r w:rsidR="000F1E1F" w:rsidRPr="00F155CE">
        <w:rPr>
          <w:sz w:val="24"/>
          <w:szCs w:val="24"/>
          <w:lang w:val="en-US"/>
        </w:rPr>
        <w:t xml:space="preserve"> S. (2012). Cost structure and sticky costs. </w:t>
      </w:r>
      <w:r w:rsidR="000F1E1F" w:rsidRPr="000F1E1F">
        <w:rPr>
          <w:bCs/>
          <w:i/>
          <w:sz w:val="24"/>
          <w:szCs w:val="24"/>
          <w:lang w:val="en-US"/>
        </w:rPr>
        <w:t>Social Science Research Network</w:t>
      </w:r>
      <w:r w:rsidR="000F1E1F" w:rsidRPr="000F1E1F">
        <w:rPr>
          <w:sz w:val="24"/>
          <w:szCs w:val="24"/>
          <w:lang w:val="en-US"/>
        </w:rPr>
        <w:t>. Disponível em: &lt;http://dx.doi.org/10.2139/ssrn.1562726&gt;</w:t>
      </w:r>
    </w:p>
    <w:p w:rsidR="000F1E1F" w:rsidRPr="00F155CE" w:rsidRDefault="000F1E1F" w:rsidP="000F1E1F">
      <w:pPr>
        <w:autoSpaceDE w:val="0"/>
        <w:autoSpaceDN w:val="0"/>
        <w:adjustRightInd w:val="0"/>
        <w:rPr>
          <w:sz w:val="24"/>
          <w:szCs w:val="24"/>
          <w:lang w:val="en-US"/>
        </w:rPr>
      </w:pPr>
    </w:p>
    <w:p w:rsidR="000F1E1F" w:rsidRPr="00F155CE" w:rsidRDefault="0028484B" w:rsidP="000F1E1F">
      <w:pPr>
        <w:autoSpaceDE w:val="0"/>
        <w:autoSpaceDN w:val="0"/>
        <w:adjustRightInd w:val="0"/>
        <w:rPr>
          <w:sz w:val="24"/>
          <w:szCs w:val="24"/>
          <w:lang w:val="en-US"/>
        </w:rPr>
      </w:pPr>
      <w:r w:rsidRPr="0028484B">
        <w:rPr>
          <w:sz w:val="24"/>
          <w:szCs w:val="24"/>
        </w:rPr>
        <w:t>Calleja, K., Steliaros, M.</w:t>
      </w:r>
      <w:r>
        <w:rPr>
          <w:sz w:val="24"/>
          <w:szCs w:val="24"/>
        </w:rPr>
        <w:t xml:space="preserve"> </w:t>
      </w:r>
      <w:r w:rsidR="000F1E1F" w:rsidRPr="0028484B">
        <w:rPr>
          <w:sz w:val="24"/>
          <w:szCs w:val="24"/>
        </w:rPr>
        <w:t xml:space="preserve">&amp; Thomas, D. C. (2006). </w:t>
      </w:r>
      <w:r w:rsidR="000F1E1F" w:rsidRPr="00F155CE">
        <w:rPr>
          <w:sz w:val="24"/>
          <w:szCs w:val="24"/>
          <w:lang w:val="en-US"/>
        </w:rPr>
        <w:t xml:space="preserve">A note on cost stickiness: some international comparisons. </w:t>
      </w:r>
      <w:r w:rsidR="000F1E1F" w:rsidRPr="00F155CE">
        <w:rPr>
          <w:bCs/>
          <w:i/>
          <w:sz w:val="24"/>
          <w:szCs w:val="24"/>
          <w:lang w:val="en-US"/>
        </w:rPr>
        <w:t>Management Accounting Research</w:t>
      </w:r>
      <w:r w:rsidR="000F1E1F" w:rsidRPr="00F155CE">
        <w:rPr>
          <w:i/>
          <w:sz w:val="24"/>
          <w:szCs w:val="24"/>
          <w:lang w:val="en-US"/>
        </w:rPr>
        <w:t>,</w:t>
      </w:r>
      <w:r w:rsidR="000F1E1F" w:rsidRPr="00F155CE">
        <w:rPr>
          <w:sz w:val="24"/>
          <w:szCs w:val="24"/>
          <w:lang w:val="en-US"/>
        </w:rPr>
        <w:t xml:space="preserve"> </w:t>
      </w:r>
      <w:r w:rsidR="000F1E1F" w:rsidRPr="00B337E4">
        <w:rPr>
          <w:i/>
          <w:sz w:val="24"/>
          <w:szCs w:val="24"/>
          <w:lang w:val="en-US"/>
        </w:rPr>
        <w:t>17</w:t>
      </w:r>
      <w:r w:rsidR="000F1E1F" w:rsidRPr="00F155CE">
        <w:rPr>
          <w:sz w:val="24"/>
          <w:szCs w:val="24"/>
          <w:lang w:val="en-US"/>
        </w:rPr>
        <w:t>(2), 127-140.</w:t>
      </w:r>
    </w:p>
    <w:p w:rsidR="000F1E1F" w:rsidRPr="00F155CE" w:rsidRDefault="000F1E1F" w:rsidP="000F1E1F">
      <w:pPr>
        <w:autoSpaceDE w:val="0"/>
        <w:autoSpaceDN w:val="0"/>
        <w:adjustRightInd w:val="0"/>
        <w:rPr>
          <w:sz w:val="24"/>
          <w:szCs w:val="24"/>
          <w:lang w:val="en-US"/>
        </w:rPr>
      </w:pPr>
    </w:p>
    <w:p w:rsidR="000F1E1F" w:rsidRDefault="000F1E1F" w:rsidP="000F1E1F">
      <w:pPr>
        <w:autoSpaceDE w:val="0"/>
        <w:autoSpaceDN w:val="0"/>
        <w:adjustRightInd w:val="0"/>
        <w:rPr>
          <w:sz w:val="24"/>
          <w:szCs w:val="24"/>
          <w:lang w:val="en-US"/>
        </w:rPr>
      </w:pPr>
      <w:r>
        <w:rPr>
          <w:sz w:val="24"/>
          <w:szCs w:val="24"/>
          <w:lang w:val="en-US"/>
        </w:rPr>
        <w:t>Chen, C. X.,</w:t>
      </w:r>
      <w:r w:rsidRPr="00F155CE">
        <w:rPr>
          <w:sz w:val="24"/>
          <w:szCs w:val="24"/>
          <w:lang w:val="en-US"/>
        </w:rPr>
        <w:t xml:space="preserve"> Lu, H. &amp; Sougiannis, T. (2012). The agency problem, corporate governance, and the asymmetrical behavior of selling, general, and administrative costs. </w:t>
      </w:r>
      <w:r w:rsidRPr="00F155CE">
        <w:rPr>
          <w:bCs/>
          <w:i/>
          <w:sz w:val="24"/>
          <w:szCs w:val="24"/>
          <w:lang w:val="en-US"/>
        </w:rPr>
        <w:t>Contemporary Accounting Research</w:t>
      </w:r>
      <w:r w:rsidRPr="00F155CE">
        <w:rPr>
          <w:sz w:val="24"/>
          <w:szCs w:val="24"/>
          <w:lang w:val="en-US"/>
        </w:rPr>
        <w:t xml:space="preserve">, </w:t>
      </w:r>
      <w:r w:rsidRPr="00B337E4">
        <w:rPr>
          <w:i/>
          <w:sz w:val="24"/>
          <w:szCs w:val="24"/>
          <w:lang w:val="en-US"/>
        </w:rPr>
        <w:t>29</w:t>
      </w:r>
      <w:r w:rsidRPr="00F155CE">
        <w:rPr>
          <w:sz w:val="24"/>
          <w:szCs w:val="24"/>
          <w:lang w:val="en-US"/>
        </w:rPr>
        <w:t>(1), 252-282.</w:t>
      </w:r>
    </w:p>
    <w:p w:rsidR="000F1E1F" w:rsidRDefault="000F1E1F" w:rsidP="000F1E1F">
      <w:pPr>
        <w:autoSpaceDE w:val="0"/>
        <w:autoSpaceDN w:val="0"/>
        <w:adjustRightInd w:val="0"/>
        <w:rPr>
          <w:sz w:val="24"/>
          <w:szCs w:val="24"/>
          <w:lang w:val="en-US"/>
        </w:rPr>
      </w:pPr>
    </w:p>
    <w:p w:rsidR="000F1E1F" w:rsidRPr="00F155CE" w:rsidRDefault="009C3855" w:rsidP="000F1E1F">
      <w:pPr>
        <w:autoSpaceDE w:val="0"/>
        <w:autoSpaceDN w:val="0"/>
        <w:adjustRightInd w:val="0"/>
        <w:rPr>
          <w:color w:val="222222"/>
          <w:sz w:val="24"/>
          <w:szCs w:val="24"/>
          <w:shd w:val="clear" w:color="auto" w:fill="FFFFFF"/>
        </w:rPr>
      </w:pPr>
      <w:r>
        <w:rPr>
          <w:color w:val="222222"/>
          <w:sz w:val="24"/>
          <w:szCs w:val="24"/>
          <w:shd w:val="clear" w:color="auto" w:fill="FFFFFF"/>
          <w:lang w:val="en-US"/>
        </w:rPr>
        <w:t>Dierynck, B., Landsman, W. R.</w:t>
      </w:r>
      <w:r w:rsidR="000F1E1F" w:rsidRPr="00F155CE">
        <w:rPr>
          <w:color w:val="222222"/>
          <w:sz w:val="24"/>
          <w:szCs w:val="24"/>
          <w:shd w:val="clear" w:color="auto" w:fill="FFFFFF"/>
          <w:lang w:val="en-US"/>
        </w:rPr>
        <w:t xml:space="preserve"> &amp; Renders, A. (2012). Do managerial incentives drive cost behavior? Evidence about the role of the zero earnings benchmark for labor cost behavior in private Belgian firms. </w:t>
      </w:r>
      <w:r w:rsidR="000F1E1F" w:rsidRPr="00F155CE">
        <w:rPr>
          <w:i/>
          <w:iCs/>
          <w:color w:val="222222"/>
          <w:sz w:val="24"/>
          <w:szCs w:val="24"/>
          <w:shd w:val="clear" w:color="auto" w:fill="FFFFFF"/>
        </w:rPr>
        <w:t>The Accounting Review</w:t>
      </w:r>
      <w:r w:rsidR="000F1E1F" w:rsidRPr="00F155CE">
        <w:rPr>
          <w:color w:val="222222"/>
          <w:sz w:val="24"/>
          <w:szCs w:val="24"/>
          <w:shd w:val="clear" w:color="auto" w:fill="FFFFFF"/>
        </w:rPr>
        <w:t>, </w:t>
      </w:r>
      <w:r w:rsidR="000F1E1F" w:rsidRPr="009C3855">
        <w:rPr>
          <w:i/>
          <w:iCs/>
          <w:color w:val="222222"/>
          <w:sz w:val="24"/>
          <w:szCs w:val="24"/>
          <w:shd w:val="clear" w:color="auto" w:fill="FFFFFF"/>
        </w:rPr>
        <w:t>87</w:t>
      </w:r>
      <w:r w:rsidR="000F1E1F" w:rsidRPr="009C3855">
        <w:rPr>
          <w:color w:val="222222"/>
          <w:sz w:val="24"/>
          <w:szCs w:val="24"/>
          <w:shd w:val="clear" w:color="auto" w:fill="FFFFFF"/>
        </w:rPr>
        <w:t>(4</w:t>
      </w:r>
      <w:r w:rsidR="000F1E1F" w:rsidRPr="00F155CE">
        <w:rPr>
          <w:color w:val="222222"/>
          <w:sz w:val="24"/>
          <w:szCs w:val="24"/>
          <w:shd w:val="clear" w:color="auto" w:fill="FFFFFF"/>
        </w:rPr>
        <w:t>), 1219-1246.</w:t>
      </w:r>
    </w:p>
    <w:p w:rsidR="000F1E1F" w:rsidRPr="00F155CE" w:rsidRDefault="000F1E1F" w:rsidP="000F1E1F">
      <w:pPr>
        <w:autoSpaceDE w:val="0"/>
        <w:autoSpaceDN w:val="0"/>
        <w:adjustRightInd w:val="0"/>
        <w:rPr>
          <w:color w:val="000000"/>
          <w:sz w:val="24"/>
          <w:szCs w:val="24"/>
        </w:rPr>
      </w:pPr>
    </w:p>
    <w:p w:rsidR="000F1E1F" w:rsidRPr="00F155CE" w:rsidRDefault="000F1E1F" w:rsidP="000F1E1F">
      <w:pPr>
        <w:autoSpaceDE w:val="0"/>
        <w:autoSpaceDN w:val="0"/>
        <w:adjustRightInd w:val="0"/>
        <w:rPr>
          <w:sz w:val="24"/>
          <w:szCs w:val="24"/>
        </w:rPr>
      </w:pPr>
      <w:r w:rsidRPr="00F155CE">
        <w:rPr>
          <w:color w:val="000000"/>
          <w:sz w:val="24"/>
          <w:szCs w:val="24"/>
        </w:rPr>
        <w:t xml:space="preserve">Fávero, L. P. (2015). </w:t>
      </w:r>
      <w:r w:rsidRPr="009C3855">
        <w:rPr>
          <w:i/>
          <w:iCs/>
          <w:color w:val="000000"/>
          <w:sz w:val="24"/>
          <w:szCs w:val="24"/>
        </w:rPr>
        <w:t>Análise de dados.</w:t>
      </w:r>
      <w:r w:rsidRPr="00F155CE">
        <w:rPr>
          <w:i/>
          <w:iCs/>
          <w:color w:val="000000"/>
          <w:sz w:val="24"/>
          <w:szCs w:val="24"/>
        </w:rPr>
        <w:t xml:space="preserve"> </w:t>
      </w:r>
      <w:r w:rsidRPr="00F155CE">
        <w:rPr>
          <w:color w:val="000000"/>
          <w:sz w:val="24"/>
          <w:szCs w:val="24"/>
        </w:rPr>
        <w:t>Rio de Janeiro: Elsevier.</w:t>
      </w:r>
    </w:p>
    <w:p w:rsidR="000F1E1F" w:rsidRPr="00F155CE" w:rsidRDefault="000F1E1F" w:rsidP="000F1E1F">
      <w:pPr>
        <w:rPr>
          <w:sz w:val="24"/>
          <w:szCs w:val="24"/>
        </w:rPr>
      </w:pPr>
    </w:p>
    <w:p w:rsidR="000F1E1F" w:rsidRPr="00F155CE" w:rsidRDefault="000F1E1F" w:rsidP="000F1E1F">
      <w:pPr>
        <w:rPr>
          <w:sz w:val="24"/>
          <w:szCs w:val="24"/>
        </w:rPr>
      </w:pPr>
      <w:r>
        <w:rPr>
          <w:sz w:val="24"/>
          <w:szCs w:val="24"/>
        </w:rPr>
        <w:t>Fazoli, J. C.,</w:t>
      </w:r>
      <w:r w:rsidRPr="00F155CE">
        <w:rPr>
          <w:sz w:val="24"/>
          <w:szCs w:val="24"/>
        </w:rPr>
        <w:t xml:space="preserve"> Reis, L. S. &amp; Borgert, A. (2015). </w:t>
      </w:r>
      <w:r w:rsidRPr="009C3855">
        <w:rPr>
          <w:sz w:val="24"/>
          <w:szCs w:val="24"/>
        </w:rPr>
        <w:t>O comportamento dos custos das indústrias do estado de Santa Catarina com ênfase na teoria dos Sticky Costs</w:t>
      </w:r>
      <w:r w:rsidR="009C3855">
        <w:rPr>
          <w:sz w:val="24"/>
          <w:szCs w:val="24"/>
        </w:rPr>
        <w:t xml:space="preserve">, </w:t>
      </w:r>
      <w:r w:rsidRPr="009C3855">
        <w:rPr>
          <w:i/>
          <w:sz w:val="24"/>
          <w:szCs w:val="24"/>
        </w:rPr>
        <w:t>Congresso Bras</w:t>
      </w:r>
      <w:r w:rsidR="009C3855" w:rsidRPr="009C3855">
        <w:rPr>
          <w:i/>
          <w:sz w:val="24"/>
          <w:szCs w:val="24"/>
        </w:rPr>
        <w:t>ileiro de Custos</w:t>
      </w:r>
      <w:r w:rsidR="009C3855">
        <w:rPr>
          <w:sz w:val="24"/>
          <w:szCs w:val="24"/>
        </w:rPr>
        <w:t>, Foz do Iguaçu, PR, Brasil, 22.</w:t>
      </w:r>
    </w:p>
    <w:p w:rsidR="000F1E1F" w:rsidRPr="00F155CE" w:rsidRDefault="000F1E1F" w:rsidP="000F1E1F">
      <w:pPr>
        <w:autoSpaceDE w:val="0"/>
        <w:autoSpaceDN w:val="0"/>
        <w:adjustRightInd w:val="0"/>
        <w:rPr>
          <w:sz w:val="24"/>
          <w:szCs w:val="24"/>
        </w:rPr>
      </w:pPr>
    </w:p>
    <w:p w:rsidR="000F1E1F" w:rsidRPr="00F155CE" w:rsidRDefault="009C3855" w:rsidP="000F1E1F">
      <w:pPr>
        <w:autoSpaceDE w:val="0"/>
        <w:autoSpaceDN w:val="0"/>
        <w:adjustRightInd w:val="0"/>
        <w:rPr>
          <w:sz w:val="24"/>
          <w:szCs w:val="24"/>
        </w:rPr>
      </w:pPr>
      <w:r w:rsidRPr="009C3855">
        <w:rPr>
          <w:sz w:val="24"/>
          <w:szCs w:val="24"/>
          <w:lang w:val="en-US"/>
        </w:rPr>
        <w:t>Garrison, R. H.</w:t>
      </w:r>
      <w:r w:rsidR="000F1E1F" w:rsidRPr="009C3855">
        <w:rPr>
          <w:sz w:val="24"/>
          <w:szCs w:val="24"/>
          <w:lang w:val="en-US"/>
        </w:rPr>
        <w:t xml:space="preserve"> &amp; Noreen, E. W. (2001). </w:t>
      </w:r>
      <w:r w:rsidR="000F1E1F" w:rsidRPr="009C3855">
        <w:rPr>
          <w:bCs/>
          <w:i/>
          <w:sz w:val="24"/>
          <w:szCs w:val="24"/>
        </w:rPr>
        <w:t>Contabilidade gerencial</w:t>
      </w:r>
      <w:r w:rsidR="000F1E1F" w:rsidRPr="009C3855">
        <w:rPr>
          <w:i/>
          <w:sz w:val="24"/>
          <w:szCs w:val="24"/>
        </w:rPr>
        <w:t>.</w:t>
      </w:r>
      <w:r w:rsidR="000F1E1F" w:rsidRPr="00F155CE">
        <w:rPr>
          <w:sz w:val="24"/>
          <w:szCs w:val="24"/>
        </w:rPr>
        <w:t xml:space="preserve"> Rio de Janeiro: LTC.</w:t>
      </w:r>
    </w:p>
    <w:p w:rsidR="000F1E1F" w:rsidRPr="00F155CE" w:rsidRDefault="000F1E1F" w:rsidP="000F1E1F">
      <w:pPr>
        <w:autoSpaceDE w:val="0"/>
        <w:autoSpaceDN w:val="0"/>
        <w:adjustRightInd w:val="0"/>
        <w:rPr>
          <w:sz w:val="24"/>
          <w:szCs w:val="24"/>
        </w:rPr>
      </w:pPr>
    </w:p>
    <w:p w:rsidR="000F1E1F" w:rsidRPr="00F155CE" w:rsidRDefault="000F1E1F" w:rsidP="000F1E1F">
      <w:pPr>
        <w:autoSpaceDE w:val="0"/>
        <w:autoSpaceDN w:val="0"/>
        <w:adjustRightInd w:val="0"/>
        <w:rPr>
          <w:sz w:val="24"/>
          <w:szCs w:val="24"/>
        </w:rPr>
      </w:pPr>
      <w:r>
        <w:rPr>
          <w:sz w:val="24"/>
          <w:szCs w:val="24"/>
          <w:lang w:val="en-US"/>
        </w:rPr>
        <w:lastRenderedPageBreak/>
        <w:t>Guenther, T. W.,</w:t>
      </w:r>
      <w:r w:rsidRPr="00F155CE">
        <w:rPr>
          <w:sz w:val="24"/>
          <w:szCs w:val="24"/>
          <w:lang w:val="en-US"/>
        </w:rPr>
        <w:t xml:space="preserve"> Riehl, A. &amp; Röbler, R. (2014). Cost stickiness: state of the art of research and implications. </w:t>
      </w:r>
      <w:r w:rsidRPr="00F155CE">
        <w:rPr>
          <w:bCs/>
          <w:i/>
          <w:sz w:val="24"/>
          <w:szCs w:val="24"/>
        </w:rPr>
        <w:t>Journal of Management Control</w:t>
      </w:r>
      <w:r w:rsidRPr="00F155CE">
        <w:rPr>
          <w:sz w:val="24"/>
          <w:szCs w:val="24"/>
        </w:rPr>
        <w:t xml:space="preserve">, </w:t>
      </w:r>
      <w:r w:rsidRPr="00B337E4">
        <w:rPr>
          <w:i/>
          <w:sz w:val="24"/>
          <w:szCs w:val="24"/>
        </w:rPr>
        <w:t>24</w:t>
      </w:r>
      <w:r w:rsidRPr="00F155CE">
        <w:rPr>
          <w:sz w:val="24"/>
          <w:szCs w:val="24"/>
        </w:rPr>
        <w:t xml:space="preserve">(4), 301-318. </w:t>
      </w:r>
    </w:p>
    <w:p w:rsidR="000F1E1F" w:rsidRPr="00F155CE" w:rsidRDefault="000F1E1F" w:rsidP="000F1E1F">
      <w:pPr>
        <w:autoSpaceDE w:val="0"/>
        <w:autoSpaceDN w:val="0"/>
        <w:adjustRightInd w:val="0"/>
        <w:rPr>
          <w:sz w:val="24"/>
          <w:szCs w:val="24"/>
        </w:rPr>
      </w:pPr>
    </w:p>
    <w:p w:rsidR="000F1E1F" w:rsidRPr="00F155CE" w:rsidRDefault="000F1E1F" w:rsidP="000F1E1F">
      <w:pPr>
        <w:autoSpaceDE w:val="0"/>
        <w:autoSpaceDN w:val="0"/>
        <w:adjustRightInd w:val="0"/>
        <w:rPr>
          <w:sz w:val="24"/>
          <w:szCs w:val="24"/>
        </w:rPr>
      </w:pPr>
      <w:r w:rsidRPr="00F155CE">
        <w:rPr>
          <w:sz w:val="24"/>
          <w:szCs w:val="24"/>
        </w:rPr>
        <w:t xml:space="preserve">Gujarati, D. (2006). </w:t>
      </w:r>
      <w:r w:rsidRPr="009C3855">
        <w:rPr>
          <w:bCs/>
          <w:i/>
          <w:sz w:val="24"/>
          <w:szCs w:val="24"/>
        </w:rPr>
        <w:t>Econometria básica</w:t>
      </w:r>
      <w:r w:rsidRPr="009C3855">
        <w:rPr>
          <w:bCs/>
          <w:sz w:val="24"/>
          <w:szCs w:val="24"/>
        </w:rPr>
        <w:t>.</w:t>
      </w:r>
      <w:r w:rsidRPr="00F155CE">
        <w:rPr>
          <w:b/>
          <w:bCs/>
          <w:sz w:val="24"/>
          <w:szCs w:val="24"/>
        </w:rPr>
        <w:t xml:space="preserve"> </w:t>
      </w:r>
      <w:r w:rsidRPr="00F155CE">
        <w:rPr>
          <w:sz w:val="24"/>
          <w:szCs w:val="24"/>
        </w:rPr>
        <w:t>Rio de Janeiro: Elsevier.</w:t>
      </w:r>
    </w:p>
    <w:p w:rsidR="000F1E1F" w:rsidRPr="00F155CE" w:rsidRDefault="000F1E1F" w:rsidP="000F1E1F">
      <w:pPr>
        <w:autoSpaceDE w:val="0"/>
        <w:autoSpaceDN w:val="0"/>
        <w:adjustRightInd w:val="0"/>
        <w:rPr>
          <w:sz w:val="24"/>
          <w:szCs w:val="24"/>
        </w:rPr>
      </w:pPr>
    </w:p>
    <w:p w:rsidR="000F1E1F" w:rsidRPr="00F155CE" w:rsidRDefault="009C3855" w:rsidP="000F1E1F">
      <w:pPr>
        <w:autoSpaceDE w:val="0"/>
        <w:autoSpaceDN w:val="0"/>
        <w:adjustRightInd w:val="0"/>
        <w:rPr>
          <w:sz w:val="24"/>
          <w:szCs w:val="24"/>
          <w:lang w:val="en-US"/>
        </w:rPr>
      </w:pPr>
      <w:r>
        <w:rPr>
          <w:sz w:val="24"/>
          <w:szCs w:val="24"/>
          <w:lang w:val="en-US"/>
        </w:rPr>
        <w:t>He, D., Teruya, J.</w:t>
      </w:r>
      <w:r w:rsidR="000F1E1F">
        <w:rPr>
          <w:sz w:val="24"/>
          <w:szCs w:val="24"/>
          <w:lang w:val="en-US"/>
        </w:rPr>
        <w:t xml:space="preserve"> &amp;</w:t>
      </w:r>
      <w:r w:rsidR="000F1E1F" w:rsidRPr="00F155CE">
        <w:rPr>
          <w:sz w:val="24"/>
          <w:szCs w:val="24"/>
          <w:lang w:val="en-US"/>
        </w:rPr>
        <w:t xml:space="preserve"> Schimizu, T. (2010). Sticky selling, general and administrative cost behavior and its changes in Japan. </w:t>
      </w:r>
      <w:r w:rsidR="000F1E1F" w:rsidRPr="00F155CE">
        <w:rPr>
          <w:bCs/>
          <w:i/>
          <w:sz w:val="24"/>
          <w:szCs w:val="24"/>
          <w:lang w:val="en-US"/>
        </w:rPr>
        <w:t>Global Journal of Business Research</w:t>
      </w:r>
      <w:r w:rsidR="000F1E1F" w:rsidRPr="00F155CE">
        <w:rPr>
          <w:sz w:val="24"/>
          <w:szCs w:val="24"/>
          <w:lang w:val="en-US"/>
        </w:rPr>
        <w:t xml:space="preserve">, </w:t>
      </w:r>
      <w:r w:rsidR="000F1E1F" w:rsidRPr="00B337E4">
        <w:rPr>
          <w:i/>
          <w:sz w:val="24"/>
          <w:szCs w:val="24"/>
          <w:lang w:val="en-US"/>
        </w:rPr>
        <w:t>4</w:t>
      </w:r>
      <w:r w:rsidR="000F1E1F" w:rsidRPr="00F155CE">
        <w:rPr>
          <w:sz w:val="24"/>
          <w:szCs w:val="24"/>
          <w:lang w:val="en-US"/>
        </w:rPr>
        <w:t>(4), 1-10.</w:t>
      </w:r>
    </w:p>
    <w:p w:rsidR="000F1E1F" w:rsidRPr="00F155CE"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rPr>
      </w:pPr>
      <w:r w:rsidRPr="00F155CE">
        <w:rPr>
          <w:sz w:val="24"/>
          <w:szCs w:val="24"/>
          <w:lang w:val="en-US"/>
        </w:rPr>
        <w:t xml:space="preserve">Kama, I. &amp; Weiss, D. (2013). Do earnings targets and managerial incentives affect sticky costs? </w:t>
      </w:r>
      <w:r w:rsidRPr="00F155CE">
        <w:rPr>
          <w:bCs/>
          <w:i/>
          <w:sz w:val="24"/>
          <w:szCs w:val="24"/>
        </w:rPr>
        <w:t>Journal of Accounting Research</w:t>
      </w:r>
      <w:r w:rsidRPr="00F155CE">
        <w:rPr>
          <w:sz w:val="24"/>
          <w:szCs w:val="24"/>
        </w:rPr>
        <w:t xml:space="preserve">, </w:t>
      </w:r>
      <w:r w:rsidRPr="00B337E4">
        <w:rPr>
          <w:i/>
          <w:sz w:val="24"/>
          <w:szCs w:val="24"/>
        </w:rPr>
        <w:t>51</w:t>
      </w:r>
      <w:r w:rsidRPr="00F155CE">
        <w:rPr>
          <w:sz w:val="24"/>
          <w:szCs w:val="24"/>
        </w:rPr>
        <w:t>(1), 201-224.</w:t>
      </w:r>
    </w:p>
    <w:p w:rsidR="000F1E1F" w:rsidRPr="00F155CE" w:rsidRDefault="000F1E1F" w:rsidP="000F1E1F">
      <w:pPr>
        <w:autoSpaceDE w:val="0"/>
        <w:autoSpaceDN w:val="0"/>
        <w:adjustRightInd w:val="0"/>
        <w:rPr>
          <w:color w:val="000000"/>
          <w:sz w:val="24"/>
          <w:szCs w:val="24"/>
        </w:rPr>
      </w:pPr>
    </w:p>
    <w:p w:rsidR="000F1E1F" w:rsidRPr="00F155CE" w:rsidRDefault="000F1E1F" w:rsidP="000F1E1F">
      <w:pPr>
        <w:autoSpaceDE w:val="0"/>
        <w:autoSpaceDN w:val="0"/>
        <w:adjustRightInd w:val="0"/>
        <w:rPr>
          <w:color w:val="000000"/>
          <w:sz w:val="24"/>
          <w:szCs w:val="24"/>
        </w:rPr>
      </w:pPr>
      <w:r w:rsidRPr="00F155CE">
        <w:rPr>
          <w:color w:val="000000"/>
          <w:sz w:val="24"/>
          <w:szCs w:val="24"/>
        </w:rPr>
        <w:t xml:space="preserve">Kremer, A. W. (2015). </w:t>
      </w:r>
      <w:r w:rsidRPr="009C3855">
        <w:rPr>
          <w:bCs/>
          <w:i/>
          <w:color w:val="000000"/>
          <w:sz w:val="24"/>
          <w:szCs w:val="24"/>
        </w:rPr>
        <w:t>Análise de fatores explicativos para o comportamento assimétrico dos custos em ambiente regulado</w:t>
      </w:r>
      <w:r w:rsidRPr="00F155CE">
        <w:rPr>
          <w:color w:val="000000"/>
          <w:sz w:val="24"/>
          <w:szCs w:val="24"/>
        </w:rPr>
        <w:t xml:space="preserve">. </w:t>
      </w:r>
      <w:r w:rsidRPr="00F155CE">
        <w:rPr>
          <w:sz w:val="24"/>
          <w:szCs w:val="24"/>
        </w:rPr>
        <w:t>Dissertação de Mestrado em Contabilidade, Universidade Federal de Santa Catarina, Florianópolis, SC, Brasil.</w:t>
      </w:r>
    </w:p>
    <w:p w:rsidR="000F1E1F" w:rsidRDefault="000F1E1F" w:rsidP="000F1E1F">
      <w:pPr>
        <w:rPr>
          <w:sz w:val="24"/>
          <w:szCs w:val="24"/>
        </w:rPr>
      </w:pPr>
    </w:p>
    <w:p w:rsidR="000F1E1F" w:rsidRPr="009C3855" w:rsidRDefault="009C3855" w:rsidP="000F1E1F">
      <w:pPr>
        <w:rPr>
          <w:sz w:val="24"/>
          <w:szCs w:val="24"/>
          <w:shd w:val="clear" w:color="auto" w:fill="FFFFFF"/>
          <w:lang w:val="en-US"/>
        </w:rPr>
      </w:pPr>
      <w:r w:rsidRPr="009C3855">
        <w:rPr>
          <w:sz w:val="24"/>
          <w:szCs w:val="24"/>
          <w:shd w:val="clear" w:color="auto" w:fill="FFFFFF"/>
          <w:lang w:val="en-US"/>
        </w:rPr>
        <w:t>Li, W. L.</w:t>
      </w:r>
      <w:r w:rsidR="000F1E1F" w:rsidRPr="009C3855">
        <w:rPr>
          <w:sz w:val="24"/>
          <w:szCs w:val="24"/>
          <w:shd w:val="clear" w:color="auto" w:fill="FFFFFF"/>
          <w:lang w:val="en-US"/>
        </w:rPr>
        <w:t xml:space="preserve"> &amp; Zheng, K. (2017). Product market competition and cost stickiness. </w:t>
      </w:r>
      <w:r w:rsidR="000F1E1F" w:rsidRPr="009C3855">
        <w:rPr>
          <w:i/>
          <w:iCs/>
          <w:sz w:val="24"/>
          <w:szCs w:val="24"/>
          <w:shd w:val="clear" w:color="auto" w:fill="FFFFFF"/>
          <w:lang w:val="en-US"/>
        </w:rPr>
        <w:t>Review of Quantitative Finance and Accounting</w:t>
      </w:r>
      <w:r w:rsidR="000F1E1F" w:rsidRPr="009C3855">
        <w:rPr>
          <w:sz w:val="24"/>
          <w:szCs w:val="24"/>
          <w:shd w:val="clear" w:color="auto" w:fill="FFFFFF"/>
          <w:lang w:val="en-US"/>
        </w:rPr>
        <w:t>, </w:t>
      </w:r>
      <w:r w:rsidR="000F1E1F" w:rsidRPr="009C3855">
        <w:rPr>
          <w:i/>
          <w:iCs/>
          <w:sz w:val="24"/>
          <w:szCs w:val="24"/>
          <w:shd w:val="clear" w:color="auto" w:fill="FFFFFF"/>
          <w:lang w:val="en-US"/>
        </w:rPr>
        <w:t>49</w:t>
      </w:r>
      <w:r w:rsidR="000F1E1F" w:rsidRPr="009C3855">
        <w:rPr>
          <w:sz w:val="24"/>
          <w:szCs w:val="24"/>
          <w:shd w:val="clear" w:color="auto" w:fill="FFFFFF"/>
          <w:lang w:val="en-US"/>
        </w:rPr>
        <w:t>(2), 283-313.</w:t>
      </w:r>
    </w:p>
    <w:p w:rsidR="000F1E1F" w:rsidRPr="00F155CE" w:rsidRDefault="000F1E1F" w:rsidP="000F1E1F">
      <w:pPr>
        <w:rPr>
          <w:sz w:val="24"/>
          <w:szCs w:val="24"/>
          <w:lang w:val="en-US"/>
        </w:rPr>
      </w:pPr>
    </w:p>
    <w:p w:rsidR="000F1E1F" w:rsidRPr="00F155CE" w:rsidRDefault="000F1E1F" w:rsidP="000F1E1F">
      <w:pPr>
        <w:rPr>
          <w:sz w:val="24"/>
          <w:szCs w:val="24"/>
          <w:lang w:val="en-US"/>
        </w:rPr>
      </w:pPr>
      <w:r w:rsidRPr="00F155CE">
        <w:rPr>
          <w:sz w:val="24"/>
          <w:szCs w:val="24"/>
          <w:lang w:val="en-US"/>
        </w:rPr>
        <w:t xml:space="preserve">Liang, L. I. (2013). Study of corporate governance on relation between self-interest incentive and cost stickiness. </w:t>
      </w:r>
      <w:r w:rsidRPr="00F155CE">
        <w:rPr>
          <w:bCs/>
          <w:i/>
          <w:sz w:val="24"/>
          <w:szCs w:val="24"/>
          <w:lang w:val="en-US"/>
        </w:rPr>
        <w:t>International Journal of Digital Content Technology and its Applications (JDCTA)</w:t>
      </w:r>
      <w:r w:rsidRPr="00F155CE">
        <w:rPr>
          <w:i/>
          <w:sz w:val="24"/>
          <w:szCs w:val="24"/>
          <w:lang w:val="en-US"/>
        </w:rPr>
        <w:t>,</w:t>
      </w:r>
      <w:r w:rsidRPr="00F155CE">
        <w:rPr>
          <w:sz w:val="24"/>
          <w:szCs w:val="24"/>
          <w:lang w:val="en-US"/>
        </w:rPr>
        <w:t xml:space="preserve"> </w:t>
      </w:r>
      <w:r w:rsidRPr="00B337E4">
        <w:rPr>
          <w:i/>
          <w:sz w:val="24"/>
          <w:szCs w:val="24"/>
          <w:lang w:val="en-US"/>
        </w:rPr>
        <w:t>7</w:t>
      </w:r>
      <w:r w:rsidRPr="00F155CE">
        <w:rPr>
          <w:sz w:val="24"/>
          <w:szCs w:val="24"/>
          <w:lang w:val="en-US"/>
        </w:rPr>
        <w:t>(6), 706-715.</w:t>
      </w:r>
    </w:p>
    <w:p w:rsidR="000F1E1F" w:rsidRPr="00F155CE" w:rsidRDefault="000F1E1F" w:rsidP="000F1E1F">
      <w:pPr>
        <w:rPr>
          <w:sz w:val="24"/>
          <w:szCs w:val="24"/>
          <w:lang w:val="en-US"/>
        </w:rPr>
      </w:pPr>
    </w:p>
    <w:p w:rsidR="000F1E1F" w:rsidRDefault="000F1E1F" w:rsidP="000F1E1F">
      <w:pPr>
        <w:rPr>
          <w:sz w:val="24"/>
          <w:szCs w:val="24"/>
        </w:rPr>
      </w:pPr>
      <w:r w:rsidRPr="00F155CE">
        <w:rPr>
          <w:sz w:val="24"/>
          <w:szCs w:val="24"/>
          <w:lang w:val="en-US"/>
        </w:rPr>
        <w:t xml:space="preserve">Malik, M. (2012). A review and synthesis of 'cost stickiness' literature. </w:t>
      </w:r>
      <w:r w:rsidRPr="00F155CE">
        <w:rPr>
          <w:bCs/>
          <w:i/>
          <w:sz w:val="24"/>
          <w:szCs w:val="24"/>
        </w:rPr>
        <w:t>Social Science Research Network</w:t>
      </w:r>
      <w:r w:rsidRPr="00F155CE">
        <w:rPr>
          <w:sz w:val="24"/>
          <w:szCs w:val="24"/>
        </w:rPr>
        <w:t xml:space="preserve">. Disponível em: </w:t>
      </w:r>
      <w:r w:rsidRPr="00B337E4">
        <w:rPr>
          <w:sz w:val="24"/>
          <w:szCs w:val="24"/>
        </w:rPr>
        <w:t>&lt;</w:t>
      </w:r>
      <w:hyperlink r:id="rId11" w:history="1">
        <w:r w:rsidRPr="00B337E4">
          <w:rPr>
            <w:rStyle w:val="Hyperlink"/>
            <w:sz w:val="24"/>
            <w:szCs w:val="24"/>
          </w:rPr>
          <w:t>http://ssrn.com/abstract=2276760</w:t>
        </w:r>
      </w:hyperlink>
      <w:r w:rsidRPr="00B337E4">
        <w:rPr>
          <w:sz w:val="24"/>
          <w:szCs w:val="24"/>
        </w:rPr>
        <w:t>&gt;</w:t>
      </w:r>
    </w:p>
    <w:p w:rsidR="000F1E1F" w:rsidRDefault="000F1E1F" w:rsidP="000F1E1F">
      <w:pPr>
        <w:rPr>
          <w:sz w:val="24"/>
          <w:szCs w:val="24"/>
        </w:rPr>
      </w:pPr>
    </w:p>
    <w:p w:rsidR="000F1E1F" w:rsidRPr="00CD3698" w:rsidRDefault="000F1E1F" w:rsidP="000F1E1F">
      <w:pPr>
        <w:rPr>
          <w:sz w:val="24"/>
          <w:szCs w:val="24"/>
          <w:lang w:val="en-US"/>
        </w:rPr>
      </w:pPr>
      <w:r w:rsidRPr="00CD3698">
        <w:rPr>
          <w:sz w:val="24"/>
          <w:szCs w:val="24"/>
        </w:rPr>
        <w:t xml:space="preserve">Marques, A. V. C., Santos, C. K. S., Lima, F. D. C. &amp; Costa, P. S. (2014). </w:t>
      </w:r>
      <w:r w:rsidRPr="00CD3698">
        <w:rPr>
          <w:sz w:val="24"/>
          <w:szCs w:val="24"/>
          <w:lang w:val="en-US"/>
        </w:rPr>
        <w:t xml:space="preserve">Cost stickiness in latin american open companies from 1997 to 2012. </w:t>
      </w:r>
      <w:r w:rsidRPr="00CD3698">
        <w:rPr>
          <w:bCs/>
          <w:i/>
          <w:sz w:val="24"/>
          <w:szCs w:val="24"/>
          <w:lang w:val="en-US"/>
        </w:rPr>
        <w:t>European Scientific Journal</w:t>
      </w:r>
      <w:r w:rsidRPr="00CD3698">
        <w:rPr>
          <w:i/>
          <w:sz w:val="24"/>
          <w:szCs w:val="24"/>
          <w:lang w:val="en-US"/>
        </w:rPr>
        <w:t>,</w:t>
      </w:r>
      <w:r>
        <w:rPr>
          <w:sz w:val="24"/>
          <w:szCs w:val="24"/>
          <w:lang w:val="en-US"/>
        </w:rPr>
        <w:t xml:space="preserve"> </w:t>
      </w:r>
      <w:r w:rsidRPr="00CD3698">
        <w:rPr>
          <w:i/>
          <w:sz w:val="24"/>
          <w:szCs w:val="24"/>
          <w:lang w:val="en-US"/>
        </w:rPr>
        <w:t>10</w:t>
      </w:r>
      <w:r>
        <w:rPr>
          <w:sz w:val="24"/>
          <w:szCs w:val="24"/>
          <w:lang w:val="en-US"/>
        </w:rPr>
        <w:t>(</w:t>
      </w:r>
      <w:r w:rsidRPr="00CD3698">
        <w:rPr>
          <w:sz w:val="24"/>
          <w:szCs w:val="24"/>
          <w:lang w:val="en-US"/>
        </w:rPr>
        <w:t>10</w:t>
      </w:r>
      <w:r>
        <w:rPr>
          <w:sz w:val="24"/>
          <w:szCs w:val="24"/>
          <w:lang w:val="en-US"/>
        </w:rPr>
        <w:t>), 270-282.</w:t>
      </w:r>
    </w:p>
    <w:p w:rsidR="000F1E1F" w:rsidRPr="000F1E1F" w:rsidRDefault="000F1E1F" w:rsidP="000F1E1F">
      <w:pPr>
        <w:rPr>
          <w:sz w:val="24"/>
          <w:szCs w:val="24"/>
          <w:lang w:val="en-US"/>
        </w:rPr>
      </w:pPr>
    </w:p>
    <w:p w:rsidR="000F1E1F" w:rsidRPr="00F155CE" w:rsidRDefault="000F1E1F" w:rsidP="000F1E1F">
      <w:pPr>
        <w:rPr>
          <w:sz w:val="24"/>
          <w:szCs w:val="24"/>
          <w:lang w:val="en-US"/>
        </w:rPr>
      </w:pPr>
      <w:r>
        <w:rPr>
          <w:sz w:val="24"/>
          <w:szCs w:val="24"/>
        </w:rPr>
        <w:t>Medeiros, O. R.,</w:t>
      </w:r>
      <w:r w:rsidRPr="00F155CE">
        <w:rPr>
          <w:sz w:val="24"/>
          <w:szCs w:val="24"/>
        </w:rPr>
        <w:t xml:space="preserve"> Costa, P. S. &amp; Silva, C. A. T. (</w:t>
      </w:r>
      <w:r w:rsidR="009C3855">
        <w:rPr>
          <w:sz w:val="24"/>
          <w:szCs w:val="24"/>
        </w:rPr>
        <w:t xml:space="preserve">2005). Testes empíricos sobre o </w:t>
      </w:r>
      <w:r w:rsidRPr="00F155CE">
        <w:rPr>
          <w:sz w:val="24"/>
          <w:szCs w:val="24"/>
        </w:rPr>
        <w:t xml:space="preserve">comportamento assimétrico dos custos nas empresas brasileiras. </w:t>
      </w:r>
      <w:r w:rsidRPr="00F155CE">
        <w:rPr>
          <w:bCs/>
          <w:i/>
          <w:sz w:val="24"/>
          <w:szCs w:val="24"/>
          <w:lang w:val="en-US"/>
        </w:rPr>
        <w:t>Revista Contabilidade e Finanças</w:t>
      </w:r>
      <w:r w:rsidRPr="00F155CE">
        <w:rPr>
          <w:sz w:val="24"/>
          <w:szCs w:val="24"/>
          <w:lang w:val="en-US"/>
        </w:rPr>
        <w:t xml:space="preserve">, </w:t>
      </w:r>
      <w:r w:rsidRPr="006703A9">
        <w:rPr>
          <w:i/>
          <w:sz w:val="24"/>
          <w:szCs w:val="24"/>
          <w:lang w:val="en-US"/>
        </w:rPr>
        <w:t>16</w:t>
      </w:r>
      <w:r w:rsidRPr="00F155CE">
        <w:rPr>
          <w:sz w:val="24"/>
          <w:szCs w:val="24"/>
          <w:lang w:val="en-US"/>
        </w:rPr>
        <w:t>(38), 47-56.</w:t>
      </w:r>
    </w:p>
    <w:p w:rsidR="000F1E1F" w:rsidRPr="00F155CE" w:rsidRDefault="000F1E1F" w:rsidP="000F1E1F">
      <w:pPr>
        <w:widowControl w:val="0"/>
        <w:autoSpaceDE w:val="0"/>
        <w:autoSpaceDN w:val="0"/>
        <w:adjustRightInd w:val="0"/>
        <w:rPr>
          <w:sz w:val="24"/>
          <w:szCs w:val="24"/>
          <w:lang w:val="en-US"/>
        </w:rPr>
      </w:pPr>
    </w:p>
    <w:p w:rsidR="000F1E1F" w:rsidRPr="00F155CE" w:rsidRDefault="000F1E1F" w:rsidP="000F1E1F">
      <w:pPr>
        <w:widowControl w:val="0"/>
        <w:autoSpaceDE w:val="0"/>
        <w:autoSpaceDN w:val="0"/>
        <w:adjustRightInd w:val="0"/>
        <w:rPr>
          <w:sz w:val="24"/>
          <w:szCs w:val="24"/>
          <w:lang w:val="en-US"/>
        </w:rPr>
      </w:pPr>
      <w:r w:rsidRPr="00F155CE">
        <w:rPr>
          <w:sz w:val="24"/>
          <w:szCs w:val="24"/>
          <w:lang w:val="en-US"/>
        </w:rPr>
        <w:t xml:space="preserve">Melvin, N. (1988). A method for the comparative analysis of the instructional costs of three baccalaureate nursing programs. </w:t>
      </w:r>
      <w:r w:rsidRPr="00F155CE">
        <w:rPr>
          <w:i/>
          <w:sz w:val="24"/>
          <w:szCs w:val="24"/>
          <w:lang w:val="en-US"/>
        </w:rPr>
        <w:t>Journal of Professional Nursing</w:t>
      </w:r>
      <w:r w:rsidRPr="00F155CE">
        <w:rPr>
          <w:sz w:val="24"/>
          <w:szCs w:val="24"/>
          <w:lang w:val="en-US"/>
        </w:rPr>
        <w:t xml:space="preserve">, </w:t>
      </w:r>
      <w:r w:rsidRPr="006703A9">
        <w:rPr>
          <w:i/>
          <w:sz w:val="24"/>
          <w:szCs w:val="24"/>
          <w:lang w:val="en-US"/>
        </w:rPr>
        <w:t>4</w:t>
      </w:r>
      <w:r w:rsidRPr="00F155CE">
        <w:rPr>
          <w:sz w:val="24"/>
          <w:szCs w:val="24"/>
          <w:lang w:val="en-US"/>
        </w:rPr>
        <w:t>(4), 249-261.</w:t>
      </w:r>
    </w:p>
    <w:p w:rsidR="000F1E1F" w:rsidRPr="00F155CE" w:rsidRDefault="000F1E1F" w:rsidP="000F1E1F">
      <w:pPr>
        <w:rPr>
          <w:sz w:val="24"/>
          <w:szCs w:val="24"/>
          <w:lang w:val="en-US"/>
        </w:rPr>
      </w:pPr>
    </w:p>
    <w:p w:rsidR="000F1E1F" w:rsidRPr="000F1E1F" w:rsidRDefault="000F1E1F" w:rsidP="000F1E1F">
      <w:pPr>
        <w:rPr>
          <w:sz w:val="24"/>
          <w:szCs w:val="24"/>
        </w:rPr>
      </w:pPr>
      <w:r w:rsidRPr="00F155CE">
        <w:rPr>
          <w:sz w:val="24"/>
          <w:szCs w:val="24"/>
          <w:lang w:val="en-US"/>
        </w:rPr>
        <w:t xml:space="preserve">Noreen, E. &amp; Soderstrom, N. (1997). The accuracy of proportional cost models: evidence from hospital service departments. </w:t>
      </w:r>
      <w:r w:rsidRPr="000F1E1F">
        <w:rPr>
          <w:bCs/>
          <w:i/>
          <w:sz w:val="24"/>
          <w:szCs w:val="24"/>
        </w:rPr>
        <w:t>Review of accounting Studies</w:t>
      </w:r>
      <w:r w:rsidRPr="000F1E1F">
        <w:rPr>
          <w:i/>
          <w:sz w:val="24"/>
          <w:szCs w:val="24"/>
        </w:rPr>
        <w:t>,</w:t>
      </w:r>
      <w:r w:rsidRPr="000F1E1F">
        <w:rPr>
          <w:sz w:val="24"/>
          <w:szCs w:val="24"/>
        </w:rPr>
        <w:t xml:space="preserve"> </w:t>
      </w:r>
      <w:r w:rsidRPr="000F1E1F">
        <w:rPr>
          <w:i/>
          <w:sz w:val="24"/>
          <w:szCs w:val="24"/>
        </w:rPr>
        <w:t>2</w:t>
      </w:r>
      <w:r w:rsidRPr="000F1E1F">
        <w:rPr>
          <w:sz w:val="24"/>
          <w:szCs w:val="24"/>
        </w:rPr>
        <w:t>(1), 89-114.</w:t>
      </w:r>
    </w:p>
    <w:p w:rsidR="000F1E1F" w:rsidRPr="000F1E1F" w:rsidRDefault="000F1E1F" w:rsidP="000F1E1F">
      <w:pPr>
        <w:rPr>
          <w:sz w:val="24"/>
          <w:szCs w:val="24"/>
        </w:rPr>
      </w:pPr>
    </w:p>
    <w:p w:rsidR="000F1E1F" w:rsidRPr="00F155CE" w:rsidRDefault="000F1E1F" w:rsidP="000F1E1F">
      <w:pPr>
        <w:rPr>
          <w:sz w:val="24"/>
          <w:szCs w:val="24"/>
        </w:rPr>
      </w:pPr>
      <w:r w:rsidRPr="00F155CE">
        <w:rPr>
          <w:sz w:val="24"/>
          <w:szCs w:val="24"/>
        </w:rPr>
        <w:t xml:space="preserve">Richartz, F. (2013). </w:t>
      </w:r>
      <w:r w:rsidRPr="009C3855">
        <w:rPr>
          <w:bCs/>
          <w:i/>
          <w:sz w:val="24"/>
          <w:szCs w:val="24"/>
        </w:rPr>
        <w:t>O comportamento dos custos das empresas brasileiras listadas na BM&amp;FBOVESPA entre 1994 e 2011</w:t>
      </w:r>
      <w:r w:rsidRPr="00F155CE">
        <w:rPr>
          <w:sz w:val="24"/>
          <w:szCs w:val="24"/>
        </w:rPr>
        <w:t>. Dissertação de Mestrado em Contabilidade, Universidade Federal de Santa Catarina, Florianópolis, SC, Brasil.</w:t>
      </w:r>
    </w:p>
    <w:p w:rsidR="000F1E1F" w:rsidRDefault="000F1E1F" w:rsidP="000F1E1F">
      <w:pPr>
        <w:rPr>
          <w:sz w:val="24"/>
          <w:szCs w:val="24"/>
        </w:rPr>
      </w:pPr>
    </w:p>
    <w:p w:rsidR="000F1E1F" w:rsidRPr="00F155CE" w:rsidRDefault="000F1E1F" w:rsidP="000F1E1F">
      <w:pPr>
        <w:rPr>
          <w:sz w:val="24"/>
          <w:szCs w:val="24"/>
        </w:rPr>
      </w:pPr>
      <w:r w:rsidRPr="00F155CE">
        <w:rPr>
          <w:sz w:val="24"/>
          <w:szCs w:val="24"/>
        </w:rPr>
        <w:lastRenderedPageBreak/>
        <w:t xml:space="preserve">Richartz, F. (2016). </w:t>
      </w:r>
      <w:r w:rsidRPr="009C3855">
        <w:rPr>
          <w:bCs/>
          <w:i/>
          <w:sz w:val="24"/>
          <w:szCs w:val="24"/>
        </w:rPr>
        <w:t>Fatores Explicativos para o comportamento assimétrico dos custos das empresas brasileiras</w:t>
      </w:r>
      <w:r w:rsidRPr="00F155CE">
        <w:rPr>
          <w:sz w:val="24"/>
          <w:szCs w:val="24"/>
        </w:rPr>
        <w:t>. Tese de Doutorado em Contabilidade, Universidade Federal de Santa Catarina, Florianópolis, SC, Brasil.</w:t>
      </w:r>
    </w:p>
    <w:p w:rsidR="000F1E1F" w:rsidRDefault="000F1E1F" w:rsidP="000F1E1F">
      <w:pPr>
        <w:rPr>
          <w:sz w:val="24"/>
          <w:szCs w:val="24"/>
        </w:rPr>
      </w:pPr>
    </w:p>
    <w:p w:rsidR="000F1E1F" w:rsidRPr="00F155CE" w:rsidRDefault="000F1E1F" w:rsidP="000F1E1F">
      <w:pPr>
        <w:rPr>
          <w:sz w:val="24"/>
          <w:szCs w:val="24"/>
        </w:rPr>
      </w:pPr>
      <w:r w:rsidRPr="00F155CE">
        <w:rPr>
          <w:sz w:val="24"/>
          <w:szCs w:val="24"/>
        </w:rPr>
        <w:t xml:space="preserve">Richartz, F. &amp; Borgert, A. (2014). </w:t>
      </w:r>
      <w:r w:rsidRPr="00F155CE">
        <w:rPr>
          <w:color w:val="000000"/>
          <w:sz w:val="24"/>
          <w:szCs w:val="24"/>
        </w:rPr>
        <w:t xml:space="preserve">O comportamento dos custos das empresas brasileiras listadas na BM&amp;FBOVESPA entre 1994 e 2011 </w:t>
      </w:r>
      <w:r w:rsidRPr="00F155CE">
        <w:rPr>
          <w:sz w:val="24"/>
          <w:szCs w:val="24"/>
        </w:rPr>
        <w:t xml:space="preserve">com ênfase nos sticky costs. </w:t>
      </w:r>
      <w:r w:rsidRPr="00F155CE">
        <w:rPr>
          <w:bCs/>
          <w:i/>
          <w:sz w:val="24"/>
          <w:szCs w:val="24"/>
        </w:rPr>
        <w:t>Contaduría y Administración</w:t>
      </w:r>
      <w:r w:rsidRPr="00F155CE">
        <w:rPr>
          <w:sz w:val="24"/>
          <w:szCs w:val="24"/>
        </w:rPr>
        <w:t xml:space="preserve">, </w:t>
      </w:r>
      <w:r w:rsidRPr="006703A9">
        <w:rPr>
          <w:i/>
          <w:sz w:val="24"/>
          <w:szCs w:val="24"/>
        </w:rPr>
        <w:t>59</w:t>
      </w:r>
      <w:r w:rsidRPr="00F155CE">
        <w:rPr>
          <w:sz w:val="24"/>
          <w:szCs w:val="24"/>
        </w:rPr>
        <w:t>(4), 39-70.</w:t>
      </w:r>
    </w:p>
    <w:p w:rsidR="000F1E1F" w:rsidRDefault="000F1E1F" w:rsidP="000F1E1F">
      <w:pPr>
        <w:rPr>
          <w:sz w:val="24"/>
          <w:szCs w:val="24"/>
        </w:rPr>
      </w:pPr>
    </w:p>
    <w:p w:rsidR="000F1E1F" w:rsidRPr="00F155CE" w:rsidRDefault="000F1E1F" w:rsidP="000F1E1F">
      <w:pPr>
        <w:rPr>
          <w:sz w:val="24"/>
          <w:szCs w:val="24"/>
        </w:rPr>
      </w:pPr>
      <w:r>
        <w:rPr>
          <w:sz w:val="24"/>
          <w:szCs w:val="24"/>
        </w:rPr>
        <w:t>Richartz, F., Borgert, A.,</w:t>
      </w:r>
      <w:r w:rsidRPr="00F155CE">
        <w:rPr>
          <w:sz w:val="24"/>
          <w:szCs w:val="24"/>
        </w:rPr>
        <w:t xml:space="preserve"> Ferrari, M. J. &amp; Vicente, E. F. R. (2012). </w:t>
      </w:r>
      <w:r w:rsidRPr="009C3855">
        <w:rPr>
          <w:sz w:val="24"/>
          <w:szCs w:val="24"/>
        </w:rPr>
        <w:t>Comportamento dos custos das empresas brasileiras listadas no segmento de Fios e Tecidos da BM&amp;FBOVESPA entre 1998 e 2010.</w:t>
      </w:r>
      <w:r w:rsidRPr="00F155CE">
        <w:rPr>
          <w:sz w:val="24"/>
          <w:szCs w:val="24"/>
        </w:rPr>
        <w:t xml:space="preserve"> </w:t>
      </w:r>
      <w:r w:rsidRPr="0028484B">
        <w:rPr>
          <w:i/>
          <w:sz w:val="24"/>
          <w:szCs w:val="24"/>
        </w:rPr>
        <w:t>Congresso Brasileiro</w:t>
      </w:r>
      <w:r w:rsidR="009C3855" w:rsidRPr="0028484B">
        <w:rPr>
          <w:i/>
          <w:sz w:val="24"/>
          <w:szCs w:val="24"/>
        </w:rPr>
        <w:t xml:space="preserve"> de Custos</w:t>
      </w:r>
      <w:r w:rsidR="009C3855">
        <w:rPr>
          <w:sz w:val="24"/>
          <w:szCs w:val="24"/>
        </w:rPr>
        <w:t>, Bento Gonçalves, RS, Brasil, 19.</w:t>
      </w:r>
    </w:p>
    <w:p w:rsidR="000F1E1F" w:rsidRPr="000F1E1F" w:rsidRDefault="000F1E1F" w:rsidP="000F1E1F">
      <w:pPr>
        <w:rPr>
          <w:sz w:val="24"/>
          <w:szCs w:val="24"/>
        </w:rPr>
      </w:pPr>
    </w:p>
    <w:p w:rsidR="000F1E1F" w:rsidRPr="000F1E1F" w:rsidRDefault="009C3855" w:rsidP="000F1E1F">
      <w:pPr>
        <w:rPr>
          <w:sz w:val="24"/>
          <w:szCs w:val="24"/>
          <w:lang w:val="en-US"/>
        </w:rPr>
      </w:pPr>
      <w:r w:rsidRPr="009C3855">
        <w:rPr>
          <w:sz w:val="24"/>
          <w:szCs w:val="24"/>
          <w:lang w:val="en-US"/>
        </w:rPr>
        <w:t>Richartz, F., Borgert, A.</w:t>
      </w:r>
      <w:r w:rsidR="000F1E1F" w:rsidRPr="009C3855">
        <w:rPr>
          <w:sz w:val="24"/>
          <w:szCs w:val="24"/>
          <w:lang w:val="en-US"/>
        </w:rPr>
        <w:t xml:space="preserve"> &amp; Lunkes, R. J. (2014). </w:t>
      </w:r>
      <w:r w:rsidR="000F1E1F" w:rsidRPr="00F155CE">
        <w:rPr>
          <w:sz w:val="24"/>
          <w:szCs w:val="24"/>
        </w:rPr>
        <w:t xml:space="preserve">Comportamento assimétrico dos custos nas empresas brasileiras listadas na BM&amp;FBOVESPA. </w:t>
      </w:r>
      <w:r w:rsidR="000F1E1F" w:rsidRPr="000F1E1F">
        <w:rPr>
          <w:bCs/>
          <w:i/>
          <w:sz w:val="24"/>
          <w:szCs w:val="24"/>
          <w:lang w:val="en-US"/>
        </w:rPr>
        <w:t>Advances in Scientific and Applied Accounting</w:t>
      </w:r>
      <w:r w:rsidR="000F1E1F" w:rsidRPr="000F1E1F">
        <w:rPr>
          <w:sz w:val="24"/>
          <w:szCs w:val="24"/>
          <w:lang w:val="en-US"/>
        </w:rPr>
        <w:t xml:space="preserve">, </w:t>
      </w:r>
      <w:r w:rsidR="000F1E1F" w:rsidRPr="000F1E1F">
        <w:rPr>
          <w:i/>
          <w:sz w:val="24"/>
          <w:szCs w:val="24"/>
          <w:lang w:val="en-US"/>
        </w:rPr>
        <w:t>7</w:t>
      </w:r>
      <w:r w:rsidR="000F1E1F" w:rsidRPr="000F1E1F">
        <w:rPr>
          <w:sz w:val="24"/>
          <w:szCs w:val="24"/>
          <w:lang w:val="en-US"/>
        </w:rPr>
        <w:t>(3), 339-361.</w:t>
      </w:r>
    </w:p>
    <w:p w:rsidR="000F1E1F" w:rsidRPr="000F1E1F" w:rsidRDefault="000F1E1F" w:rsidP="000F1E1F">
      <w:pPr>
        <w:rPr>
          <w:sz w:val="24"/>
          <w:szCs w:val="24"/>
          <w:lang w:val="en-US"/>
        </w:rPr>
      </w:pPr>
    </w:p>
    <w:p w:rsidR="000F1E1F" w:rsidRPr="000F1E1F" w:rsidRDefault="009C3855" w:rsidP="000F1E1F">
      <w:pPr>
        <w:rPr>
          <w:sz w:val="24"/>
          <w:szCs w:val="24"/>
          <w:lang w:val="en-US"/>
        </w:rPr>
      </w:pPr>
      <w:r w:rsidRPr="009C3855">
        <w:rPr>
          <w:sz w:val="24"/>
          <w:szCs w:val="24"/>
          <w:lang w:val="en-US"/>
        </w:rPr>
        <w:t>Subramaniam, C.</w:t>
      </w:r>
      <w:r w:rsidR="000F1E1F" w:rsidRPr="009C3855">
        <w:rPr>
          <w:sz w:val="24"/>
          <w:szCs w:val="24"/>
          <w:lang w:val="en-US"/>
        </w:rPr>
        <w:t xml:space="preserve"> &amp; Weidenmier, M. L. (2003). </w:t>
      </w:r>
      <w:r w:rsidR="000F1E1F" w:rsidRPr="00F155CE">
        <w:rPr>
          <w:sz w:val="24"/>
          <w:szCs w:val="24"/>
          <w:lang w:val="en-US"/>
        </w:rPr>
        <w:t xml:space="preserve">Additional evidence on the sticky behavior of costs. </w:t>
      </w:r>
      <w:r w:rsidR="000F1E1F" w:rsidRPr="000F1E1F">
        <w:rPr>
          <w:bCs/>
          <w:i/>
          <w:sz w:val="24"/>
          <w:szCs w:val="24"/>
          <w:lang w:val="en-US"/>
        </w:rPr>
        <w:t>Social Science Research Network</w:t>
      </w:r>
      <w:r w:rsidR="000F1E1F" w:rsidRPr="000F1E1F">
        <w:rPr>
          <w:sz w:val="24"/>
          <w:szCs w:val="24"/>
          <w:lang w:val="en-US"/>
        </w:rPr>
        <w:t>. Disponível em: &lt;http://ssrn.com/abstract=369941&gt;</w:t>
      </w:r>
    </w:p>
    <w:p w:rsidR="000F1E1F" w:rsidRPr="000F1E1F"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lang w:val="en-US"/>
        </w:rPr>
      </w:pPr>
      <w:r w:rsidRPr="00F155CE">
        <w:rPr>
          <w:sz w:val="24"/>
          <w:szCs w:val="24"/>
          <w:lang w:val="en-US"/>
        </w:rPr>
        <w:t xml:space="preserve">Yasukata, K. &amp; Kajiwara, T. (2011). Are 'sticky costs' the result of deliberate decision of managers? </w:t>
      </w:r>
      <w:r w:rsidRPr="00F155CE">
        <w:rPr>
          <w:bCs/>
          <w:i/>
          <w:sz w:val="24"/>
          <w:szCs w:val="24"/>
          <w:lang w:val="en-US"/>
        </w:rPr>
        <w:t>Social Science Research Network</w:t>
      </w:r>
      <w:r w:rsidRPr="00F155CE">
        <w:rPr>
          <w:sz w:val="24"/>
          <w:szCs w:val="24"/>
          <w:lang w:val="en-US"/>
        </w:rPr>
        <w:t xml:space="preserve">. Disponível em: </w:t>
      </w:r>
      <w:r w:rsidRPr="00B337E4">
        <w:rPr>
          <w:sz w:val="24"/>
          <w:szCs w:val="24"/>
          <w:lang w:val="en-US"/>
        </w:rPr>
        <w:t>&lt;</w:t>
      </w:r>
      <w:hyperlink r:id="rId12" w:history="1">
        <w:r w:rsidRPr="00B337E4">
          <w:rPr>
            <w:rStyle w:val="Hyperlink"/>
            <w:sz w:val="24"/>
            <w:szCs w:val="24"/>
            <w:lang w:val="en-US"/>
          </w:rPr>
          <w:t>http://dx.doi.org/10.2139/ssrn.1444746</w:t>
        </w:r>
      </w:hyperlink>
      <w:r w:rsidRPr="00B337E4">
        <w:rPr>
          <w:sz w:val="24"/>
          <w:szCs w:val="24"/>
          <w:lang w:val="en-US"/>
        </w:rPr>
        <w:t>&gt;</w:t>
      </w:r>
    </w:p>
    <w:p w:rsidR="000F1E1F" w:rsidRPr="00F155CE" w:rsidRDefault="000F1E1F" w:rsidP="000F1E1F">
      <w:pPr>
        <w:autoSpaceDE w:val="0"/>
        <w:autoSpaceDN w:val="0"/>
        <w:adjustRightInd w:val="0"/>
        <w:rPr>
          <w:sz w:val="24"/>
          <w:szCs w:val="24"/>
          <w:lang w:val="en-US"/>
        </w:rPr>
      </w:pPr>
    </w:p>
    <w:p w:rsidR="000F1E1F" w:rsidRPr="00F155CE" w:rsidRDefault="000F1E1F" w:rsidP="000F1E1F">
      <w:pPr>
        <w:autoSpaceDE w:val="0"/>
        <w:autoSpaceDN w:val="0"/>
        <w:adjustRightInd w:val="0"/>
        <w:rPr>
          <w:sz w:val="24"/>
          <w:szCs w:val="24"/>
          <w:lang w:val="en-US"/>
        </w:rPr>
      </w:pPr>
      <w:r w:rsidRPr="00F155CE">
        <w:rPr>
          <w:sz w:val="24"/>
          <w:szCs w:val="24"/>
          <w:lang w:val="en-US"/>
        </w:rPr>
        <w:t xml:space="preserve">Weiss, D. (2010). Cost behavior and analysts' earnings forecasts. </w:t>
      </w:r>
      <w:r w:rsidRPr="00F155CE">
        <w:rPr>
          <w:i/>
          <w:sz w:val="24"/>
          <w:szCs w:val="24"/>
          <w:lang w:val="en-US"/>
        </w:rPr>
        <w:t>The Accounting Review</w:t>
      </w:r>
      <w:r w:rsidRPr="00F155CE">
        <w:rPr>
          <w:sz w:val="24"/>
          <w:szCs w:val="24"/>
          <w:lang w:val="en-US"/>
        </w:rPr>
        <w:t xml:space="preserve">, </w:t>
      </w:r>
      <w:r w:rsidRPr="006703A9">
        <w:rPr>
          <w:i/>
          <w:sz w:val="24"/>
          <w:szCs w:val="24"/>
          <w:lang w:val="en-US"/>
        </w:rPr>
        <w:t>85</w:t>
      </w:r>
      <w:r w:rsidRPr="00F155CE">
        <w:rPr>
          <w:sz w:val="24"/>
          <w:szCs w:val="24"/>
          <w:lang w:val="en-US"/>
        </w:rPr>
        <w:t>(4), 1441-1471.</w:t>
      </w:r>
    </w:p>
    <w:p w:rsidR="000F1E1F" w:rsidRPr="00F155CE" w:rsidRDefault="000F1E1F" w:rsidP="000F1E1F">
      <w:pPr>
        <w:rPr>
          <w:sz w:val="24"/>
          <w:szCs w:val="24"/>
          <w:lang w:val="en-US"/>
        </w:rPr>
      </w:pPr>
    </w:p>
    <w:p w:rsidR="000F1E1F" w:rsidRPr="00F155CE" w:rsidRDefault="000F1E1F" w:rsidP="000F1E1F">
      <w:pPr>
        <w:rPr>
          <w:sz w:val="24"/>
          <w:szCs w:val="24"/>
          <w:lang w:val="en-US"/>
        </w:rPr>
      </w:pPr>
      <w:r w:rsidRPr="00F155CE">
        <w:rPr>
          <w:sz w:val="24"/>
          <w:szCs w:val="24"/>
          <w:lang w:val="en-US"/>
        </w:rPr>
        <w:t xml:space="preserve">Werbin, </w:t>
      </w:r>
      <w:r>
        <w:rPr>
          <w:sz w:val="24"/>
          <w:szCs w:val="24"/>
          <w:lang w:val="en-US"/>
        </w:rPr>
        <w:t>E.,</w:t>
      </w:r>
      <w:r w:rsidRPr="00F155CE">
        <w:rPr>
          <w:sz w:val="24"/>
          <w:szCs w:val="24"/>
          <w:lang w:val="en-US"/>
        </w:rPr>
        <w:t xml:space="preserve"> Vinuesa, L. M. M. &amp; Porporato, M. (2012). </w:t>
      </w:r>
      <w:r w:rsidRPr="00F155CE">
        <w:rPr>
          <w:sz w:val="24"/>
          <w:szCs w:val="24"/>
        </w:rPr>
        <w:t xml:space="preserve">Costos pegajosos (sticky costs) en empresas españolas: un estudio empírico. </w:t>
      </w:r>
      <w:r w:rsidRPr="00F155CE">
        <w:rPr>
          <w:bCs/>
          <w:i/>
          <w:sz w:val="24"/>
          <w:szCs w:val="24"/>
          <w:lang w:val="en-US"/>
        </w:rPr>
        <w:t>Contaduría y administración</w:t>
      </w:r>
      <w:r w:rsidRPr="00F155CE">
        <w:rPr>
          <w:sz w:val="24"/>
          <w:szCs w:val="24"/>
          <w:lang w:val="en-US"/>
        </w:rPr>
        <w:t xml:space="preserve">, </w:t>
      </w:r>
      <w:r w:rsidRPr="006703A9">
        <w:rPr>
          <w:i/>
          <w:sz w:val="24"/>
          <w:szCs w:val="24"/>
          <w:lang w:val="en-US"/>
        </w:rPr>
        <w:t>57</w:t>
      </w:r>
      <w:r w:rsidRPr="00F155CE">
        <w:rPr>
          <w:sz w:val="24"/>
          <w:szCs w:val="24"/>
          <w:lang w:val="en-US"/>
        </w:rPr>
        <w:t>(2), 185-200.</w:t>
      </w:r>
    </w:p>
    <w:p w:rsidR="000F1E1F" w:rsidRPr="00F155CE" w:rsidRDefault="000F1E1F" w:rsidP="000F1E1F">
      <w:pPr>
        <w:rPr>
          <w:sz w:val="24"/>
          <w:szCs w:val="24"/>
          <w:lang w:val="en-US"/>
        </w:rPr>
      </w:pPr>
    </w:p>
    <w:p w:rsidR="000F1E1F" w:rsidRPr="00F155CE" w:rsidRDefault="000F1E1F" w:rsidP="000F1E1F">
      <w:pPr>
        <w:rPr>
          <w:sz w:val="24"/>
          <w:szCs w:val="24"/>
        </w:rPr>
      </w:pPr>
      <w:r>
        <w:rPr>
          <w:sz w:val="24"/>
          <w:szCs w:val="24"/>
          <w:lang w:val="en-US"/>
        </w:rPr>
        <w:t>Xi, F.,</w:t>
      </w:r>
      <w:r w:rsidRPr="00F155CE">
        <w:rPr>
          <w:sz w:val="24"/>
          <w:szCs w:val="24"/>
          <w:lang w:val="en-US"/>
        </w:rPr>
        <w:t xml:space="preserve"> L</w:t>
      </w:r>
      <w:r>
        <w:rPr>
          <w:sz w:val="24"/>
          <w:szCs w:val="24"/>
          <w:lang w:val="en-US"/>
        </w:rPr>
        <w:t>iu, X.,</w:t>
      </w:r>
      <w:r w:rsidRPr="00F155CE">
        <w:rPr>
          <w:sz w:val="24"/>
          <w:szCs w:val="24"/>
          <w:lang w:val="en-US"/>
        </w:rPr>
        <w:t xml:space="preserve"> Wang, Q. &amp; Liang, M. (2013). Empirical research of the cost stickiness behavior under opportunism incentives. </w:t>
      </w:r>
      <w:r w:rsidRPr="00F155CE">
        <w:rPr>
          <w:bCs/>
          <w:i/>
          <w:sz w:val="24"/>
          <w:szCs w:val="24"/>
        </w:rPr>
        <w:t>Information Technology Journal</w:t>
      </w:r>
      <w:r w:rsidRPr="00F155CE">
        <w:rPr>
          <w:sz w:val="24"/>
          <w:szCs w:val="24"/>
        </w:rPr>
        <w:t xml:space="preserve">, </w:t>
      </w:r>
      <w:r w:rsidRPr="006703A9">
        <w:rPr>
          <w:i/>
          <w:sz w:val="24"/>
          <w:szCs w:val="24"/>
        </w:rPr>
        <w:t>12</w:t>
      </w:r>
      <w:r w:rsidR="009C3855">
        <w:rPr>
          <w:sz w:val="24"/>
          <w:szCs w:val="24"/>
        </w:rPr>
        <w:t>(19), 5281-5285.</w:t>
      </w:r>
    </w:p>
    <w:p w:rsidR="000F1E1F" w:rsidRPr="00F155CE" w:rsidRDefault="000F1E1F" w:rsidP="000F1E1F">
      <w:pPr>
        <w:autoSpaceDE w:val="0"/>
        <w:autoSpaceDN w:val="0"/>
        <w:adjustRightInd w:val="0"/>
        <w:rPr>
          <w:sz w:val="24"/>
          <w:szCs w:val="24"/>
        </w:rPr>
      </w:pPr>
    </w:p>
    <w:p w:rsidR="000F1E1F" w:rsidRPr="009C3855" w:rsidRDefault="000F1E1F" w:rsidP="000F1E1F">
      <w:pPr>
        <w:autoSpaceDE w:val="0"/>
        <w:autoSpaceDN w:val="0"/>
        <w:adjustRightInd w:val="0"/>
        <w:rPr>
          <w:sz w:val="24"/>
          <w:szCs w:val="24"/>
        </w:rPr>
      </w:pPr>
      <w:r w:rsidRPr="00F155CE">
        <w:rPr>
          <w:sz w:val="24"/>
          <w:szCs w:val="24"/>
        </w:rPr>
        <w:t>Z</w:t>
      </w:r>
      <w:r>
        <w:rPr>
          <w:sz w:val="24"/>
          <w:szCs w:val="24"/>
        </w:rPr>
        <w:t>onatto, V. C. da S., Silva, A. d</w:t>
      </w:r>
      <w:r w:rsidRPr="00F155CE">
        <w:rPr>
          <w:sz w:val="24"/>
          <w:szCs w:val="24"/>
        </w:rPr>
        <w:t>a</w:t>
      </w:r>
      <w:r w:rsidR="009C3855">
        <w:rPr>
          <w:sz w:val="24"/>
          <w:szCs w:val="24"/>
        </w:rPr>
        <w:t>, Magro, C. B. dal</w:t>
      </w:r>
      <w:r w:rsidRPr="00F155CE">
        <w:rPr>
          <w:sz w:val="24"/>
          <w:szCs w:val="24"/>
        </w:rPr>
        <w:t xml:space="preserve"> &amp; Klann, R. C. (2017). </w:t>
      </w:r>
      <w:r w:rsidRPr="009C3855">
        <w:rPr>
          <w:sz w:val="24"/>
          <w:szCs w:val="24"/>
        </w:rPr>
        <w:t>Relação entre o comportamento assimétrico dos custos e a prática de gerenciamento de res</w:t>
      </w:r>
      <w:r w:rsidR="009C3855">
        <w:rPr>
          <w:sz w:val="24"/>
          <w:szCs w:val="24"/>
        </w:rPr>
        <w:t xml:space="preserve">ultados em empresas brasileiras, </w:t>
      </w:r>
      <w:r w:rsidR="009C3855" w:rsidRPr="009C3855">
        <w:rPr>
          <w:i/>
          <w:sz w:val="24"/>
          <w:szCs w:val="24"/>
        </w:rPr>
        <w:t>USP Internat</w:t>
      </w:r>
      <w:r w:rsidRPr="009C3855">
        <w:rPr>
          <w:i/>
          <w:sz w:val="24"/>
          <w:szCs w:val="24"/>
        </w:rPr>
        <w:t>ional Conference in Accounting</w:t>
      </w:r>
      <w:r w:rsidR="009C3855">
        <w:rPr>
          <w:sz w:val="24"/>
          <w:szCs w:val="24"/>
        </w:rPr>
        <w:t>, São Paulo, SP, Brasil, 17.</w:t>
      </w:r>
    </w:p>
    <w:p w:rsidR="00E6136F" w:rsidRDefault="00E6136F" w:rsidP="005208CE">
      <w:bookmarkStart w:id="0" w:name="_GoBack"/>
      <w:bookmarkEnd w:id="0"/>
    </w:p>
    <w:sectPr w:rsidR="00E6136F" w:rsidSect="005208CE">
      <w:headerReference w:type="default" r:id="rId13"/>
      <w:footerReference w:type="default" r:id="rId14"/>
      <w:type w:val="continuous"/>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3E2" w:rsidRDefault="004863E2" w:rsidP="008A5824">
      <w:r>
        <w:separator/>
      </w:r>
    </w:p>
  </w:endnote>
  <w:endnote w:type="continuationSeparator" w:id="0">
    <w:p w:rsidR="004863E2" w:rsidRDefault="004863E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Timesn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1343767"/>
      <w:docPartObj>
        <w:docPartGallery w:val="Page Numbers (Bottom of Page)"/>
        <w:docPartUnique/>
      </w:docPartObj>
    </w:sdtPr>
    <w:sdtContent>
      <w:p w:rsidR="009C3855" w:rsidRDefault="009C3855">
        <w:pPr>
          <w:pStyle w:val="Rodap"/>
          <w:jc w:val="right"/>
          <w:rPr>
            <w:rFonts w:ascii="Times New Roman" w:hAnsi="Times New Roman" w:cs="Times New Roman"/>
          </w:rPr>
        </w:pPr>
      </w:p>
      <w:p w:rsidR="009C3855" w:rsidRPr="00C04F45" w:rsidRDefault="009C385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28484B">
          <w:rPr>
            <w:rFonts w:ascii="Times New Roman" w:hAnsi="Times New Roman" w:cs="Times New Roman"/>
            <w:noProof/>
          </w:rPr>
          <w:t>1</w:t>
        </w:r>
        <w:r w:rsidRPr="00C04F45">
          <w:rPr>
            <w:rFonts w:ascii="Times New Roman" w:hAnsi="Times New Roman" w:cs="Times New Roman"/>
          </w:rPr>
          <w:fldChar w:fldCharType="end"/>
        </w:r>
      </w:p>
    </w:sdtContent>
  </w:sdt>
  <w:p w:rsidR="009C3855" w:rsidRDefault="009C3855">
    <w:pPr>
      <w:pStyle w:val="Rodap"/>
      <w:rPr>
        <w:rFonts w:ascii="Times New Roman" w:hAnsi="Times New Roman" w:cs="Times New Roman"/>
      </w:rPr>
    </w:pPr>
  </w:p>
  <w:p w:rsidR="009C3855" w:rsidRPr="00C04F45" w:rsidRDefault="009C385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3E2" w:rsidRDefault="004863E2" w:rsidP="008A5824">
      <w:r>
        <w:separator/>
      </w:r>
    </w:p>
  </w:footnote>
  <w:footnote w:type="continuationSeparator" w:id="0">
    <w:p w:rsidR="004863E2" w:rsidRDefault="004863E2"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855" w:rsidRPr="00E361F4" w:rsidRDefault="009C3855"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D52"/>
    <w:multiLevelType w:val="hybridMultilevel"/>
    <w:tmpl w:val="D8B06E62"/>
    <w:lvl w:ilvl="0" w:tplc="F6B2CA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282829"/>
    <w:multiLevelType w:val="hybridMultilevel"/>
    <w:tmpl w:val="3E2C845C"/>
    <w:lvl w:ilvl="0" w:tplc="C6CCF96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D6AA1"/>
    <w:multiLevelType w:val="multilevel"/>
    <w:tmpl w:val="BCDA6DB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18F34E6E"/>
    <w:multiLevelType w:val="multilevel"/>
    <w:tmpl w:val="BAEA46E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53C5"/>
    <w:multiLevelType w:val="hybridMultilevel"/>
    <w:tmpl w:val="16041CB8"/>
    <w:lvl w:ilvl="0" w:tplc="5C1294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941DC"/>
    <w:multiLevelType w:val="hybridMultilevel"/>
    <w:tmpl w:val="4932761C"/>
    <w:lvl w:ilvl="0" w:tplc="B2D2D064">
      <w:start w:val="4"/>
      <w:numFmt w:val="bullet"/>
      <w:lvlText w:val=""/>
      <w:lvlJc w:val="left"/>
      <w:pPr>
        <w:ind w:left="1068" w:hanging="360"/>
      </w:pPr>
      <w:rPr>
        <w:rFonts w:ascii="Symbol" w:eastAsia="Calibr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273853C4"/>
    <w:multiLevelType w:val="hybridMultilevel"/>
    <w:tmpl w:val="9BF47282"/>
    <w:lvl w:ilvl="0" w:tplc="04160001">
      <w:start w:val="1"/>
      <w:numFmt w:val="bullet"/>
      <w:lvlText w:val=""/>
      <w:lvlJc w:val="left"/>
      <w:pPr>
        <w:ind w:left="2940" w:hanging="360"/>
      </w:pPr>
      <w:rPr>
        <w:rFonts w:ascii="Symbol" w:hAnsi="Symbol" w:hint="default"/>
      </w:rPr>
    </w:lvl>
    <w:lvl w:ilvl="1" w:tplc="04160003" w:tentative="1">
      <w:start w:val="1"/>
      <w:numFmt w:val="bullet"/>
      <w:lvlText w:val="o"/>
      <w:lvlJc w:val="left"/>
      <w:pPr>
        <w:ind w:left="3660" w:hanging="360"/>
      </w:pPr>
      <w:rPr>
        <w:rFonts w:ascii="Courier New" w:hAnsi="Courier New" w:cs="Courier New" w:hint="default"/>
      </w:rPr>
    </w:lvl>
    <w:lvl w:ilvl="2" w:tplc="04160005" w:tentative="1">
      <w:start w:val="1"/>
      <w:numFmt w:val="bullet"/>
      <w:lvlText w:val=""/>
      <w:lvlJc w:val="left"/>
      <w:pPr>
        <w:ind w:left="4380" w:hanging="360"/>
      </w:pPr>
      <w:rPr>
        <w:rFonts w:ascii="Wingdings" w:hAnsi="Wingdings" w:hint="default"/>
      </w:rPr>
    </w:lvl>
    <w:lvl w:ilvl="3" w:tplc="04160001" w:tentative="1">
      <w:start w:val="1"/>
      <w:numFmt w:val="bullet"/>
      <w:lvlText w:val=""/>
      <w:lvlJc w:val="left"/>
      <w:pPr>
        <w:ind w:left="5100" w:hanging="360"/>
      </w:pPr>
      <w:rPr>
        <w:rFonts w:ascii="Symbol" w:hAnsi="Symbol" w:hint="default"/>
      </w:rPr>
    </w:lvl>
    <w:lvl w:ilvl="4" w:tplc="04160003" w:tentative="1">
      <w:start w:val="1"/>
      <w:numFmt w:val="bullet"/>
      <w:lvlText w:val="o"/>
      <w:lvlJc w:val="left"/>
      <w:pPr>
        <w:ind w:left="5820" w:hanging="360"/>
      </w:pPr>
      <w:rPr>
        <w:rFonts w:ascii="Courier New" w:hAnsi="Courier New" w:cs="Courier New" w:hint="default"/>
      </w:rPr>
    </w:lvl>
    <w:lvl w:ilvl="5" w:tplc="04160005" w:tentative="1">
      <w:start w:val="1"/>
      <w:numFmt w:val="bullet"/>
      <w:lvlText w:val=""/>
      <w:lvlJc w:val="left"/>
      <w:pPr>
        <w:ind w:left="6540" w:hanging="360"/>
      </w:pPr>
      <w:rPr>
        <w:rFonts w:ascii="Wingdings" w:hAnsi="Wingdings" w:hint="default"/>
      </w:rPr>
    </w:lvl>
    <w:lvl w:ilvl="6" w:tplc="04160001" w:tentative="1">
      <w:start w:val="1"/>
      <w:numFmt w:val="bullet"/>
      <w:lvlText w:val=""/>
      <w:lvlJc w:val="left"/>
      <w:pPr>
        <w:ind w:left="7260" w:hanging="360"/>
      </w:pPr>
      <w:rPr>
        <w:rFonts w:ascii="Symbol" w:hAnsi="Symbol" w:hint="default"/>
      </w:rPr>
    </w:lvl>
    <w:lvl w:ilvl="7" w:tplc="04160003" w:tentative="1">
      <w:start w:val="1"/>
      <w:numFmt w:val="bullet"/>
      <w:lvlText w:val="o"/>
      <w:lvlJc w:val="left"/>
      <w:pPr>
        <w:ind w:left="7980" w:hanging="360"/>
      </w:pPr>
      <w:rPr>
        <w:rFonts w:ascii="Courier New" w:hAnsi="Courier New" w:cs="Courier New" w:hint="default"/>
      </w:rPr>
    </w:lvl>
    <w:lvl w:ilvl="8" w:tplc="04160005" w:tentative="1">
      <w:start w:val="1"/>
      <w:numFmt w:val="bullet"/>
      <w:lvlText w:val=""/>
      <w:lvlJc w:val="left"/>
      <w:pPr>
        <w:ind w:left="8700" w:hanging="360"/>
      </w:pPr>
      <w:rPr>
        <w:rFonts w:ascii="Wingdings" w:hAnsi="Wingdings" w:hint="default"/>
      </w:rPr>
    </w:lvl>
  </w:abstractNum>
  <w:abstractNum w:abstractNumId="8"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323CFE"/>
    <w:multiLevelType w:val="hybridMultilevel"/>
    <w:tmpl w:val="09AE94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8758D"/>
    <w:multiLevelType w:val="hybridMultilevel"/>
    <w:tmpl w:val="D71E241A"/>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2"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A1695"/>
    <w:multiLevelType w:val="multilevel"/>
    <w:tmpl w:val="03A2D41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89451C"/>
    <w:multiLevelType w:val="hybridMultilevel"/>
    <w:tmpl w:val="1E10C36A"/>
    <w:lvl w:ilvl="0" w:tplc="177C754A">
      <w:start w:val="3"/>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A1435CA"/>
    <w:multiLevelType w:val="hybridMultilevel"/>
    <w:tmpl w:val="929E5C92"/>
    <w:lvl w:ilvl="0" w:tplc="04160001">
      <w:start w:val="1"/>
      <w:numFmt w:val="bullet"/>
      <w:lvlText w:val=""/>
      <w:lvlJc w:val="left"/>
      <w:pPr>
        <w:ind w:left="1140" w:hanging="360"/>
      </w:pPr>
      <w:rPr>
        <w:rFonts w:ascii="Symbol" w:hAnsi="Symbol" w:hint="default"/>
      </w:rPr>
    </w:lvl>
    <w:lvl w:ilvl="1" w:tplc="04160003">
      <w:start w:val="1"/>
      <w:numFmt w:val="bullet"/>
      <w:lvlText w:val="o"/>
      <w:lvlJc w:val="left"/>
      <w:pPr>
        <w:ind w:left="1860" w:hanging="360"/>
      </w:pPr>
      <w:rPr>
        <w:rFonts w:ascii="Courier New" w:hAnsi="Courier New" w:cs="Courier New" w:hint="default"/>
      </w:rPr>
    </w:lvl>
    <w:lvl w:ilvl="2" w:tplc="04160005">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16" w15:restartNumberingAfterBreak="0">
    <w:nsid w:val="7C53409B"/>
    <w:multiLevelType w:val="multilevel"/>
    <w:tmpl w:val="58AC38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596CC5"/>
    <w:multiLevelType w:val="hybridMultilevel"/>
    <w:tmpl w:val="8962DA4A"/>
    <w:lvl w:ilvl="0" w:tplc="A8B23A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5"/>
  </w:num>
  <w:num w:numId="5">
    <w:abstractNumId w:val="15"/>
  </w:num>
  <w:num w:numId="6">
    <w:abstractNumId w:val="11"/>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14"/>
  </w:num>
  <w:num w:numId="12">
    <w:abstractNumId w:val="6"/>
  </w:num>
  <w:num w:numId="13">
    <w:abstractNumId w:val="3"/>
  </w:num>
  <w:num w:numId="14">
    <w:abstractNumId w:val="0"/>
  </w:num>
  <w:num w:numId="15">
    <w:abstractNumId w:val="1"/>
  </w:num>
  <w:num w:numId="16">
    <w:abstractNumId w:val="16"/>
  </w:num>
  <w:num w:numId="17">
    <w:abstractNumId w:val="17"/>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67126"/>
    <w:rsid w:val="000F1E1F"/>
    <w:rsid w:val="0016220D"/>
    <w:rsid w:val="00194BA9"/>
    <w:rsid w:val="001A4423"/>
    <w:rsid w:val="001C328B"/>
    <w:rsid w:val="001F6A6D"/>
    <w:rsid w:val="00257763"/>
    <w:rsid w:val="00282CB5"/>
    <w:rsid w:val="0028484B"/>
    <w:rsid w:val="002B0015"/>
    <w:rsid w:val="002B2B78"/>
    <w:rsid w:val="0036377D"/>
    <w:rsid w:val="0038579D"/>
    <w:rsid w:val="004020EB"/>
    <w:rsid w:val="00473887"/>
    <w:rsid w:val="004863E2"/>
    <w:rsid w:val="00491708"/>
    <w:rsid w:val="005207D5"/>
    <w:rsid w:val="005208CE"/>
    <w:rsid w:val="006064A3"/>
    <w:rsid w:val="00631DCF"/>
    <w:rsid w:val="00686527"/>
    <w:rsid w:val="006F6B50"/>
    <w:rsid w:val="0072578D"/>
    <w:rsid w:val="00747686"/>
    <w:rsid w:val="00760E8B"/>
    <w:rsid w:val="00841FA5"/>
    <w:rsid w:val="00860B20"/>
    <w:rsid w:val="008A5824"/>
    <w:rsid w:val="008D4F05"/>
    <w:rsid w:val="0094254A"/>
    <w:rsid w:val="00974CFF"/>
    <w:rsid w:val="009833D5"/>
    <w:rsid w:val="009C3855"/>
    <w:rsid w:val="009E339C"/>
    <w:rsid w:val="00A86ECF"/>
    <w:rsid w:val="00AE34A2"/>
    <w:rsid w:val="00B27891"/>
    <w:rsid w:val="00B32719"/>
    <w:rsid w:val="00B41CAF"/>
    <w:rsid w:val="00B92F3D"/>
    <w:rsid w:val="00BD0F13"/>
    <w:rsid w:val="00C04F45"/>
    <w:rsid w:val="00C30374"/>
    <w:rsid w:val="00CA2367"/>
    <w:rsid w:val="00CA25AA"/>
    <w:rsid w:val="00CE5296"/>
    <w:rsid w:val="00CF645C"/>
    <w:rsid w:val="00D91EAD"/>
    <w:rsid w:val="00E361F4"/>
    <w:rsid w:val="00E6136F"/>
    <w:rsid w:val="00EB1B93"/>
    <w:rsid w:val="00EC7150"/>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64A5D"/>
  <w15:docId w15:val="{6CD3038A-D488-4E1F-99C0-5D4AAA6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Default">
    <w:name w:val="Default"/>
    <w:rsid w:val="000F1E1F"/>
    <w:pPr>
      <w:autoSpaceDE w:val="0"/>
      <w:autoSpaceDN w:val="0"/>
      <w:adjustRightInd w:val="0"/>
      <w:spacing w:after="200"/>
    </w:pPr>
    <w:rPr>
      <w:rFonts w:ascii="Times New Roman" w:eastAsia="Calibri" w:hAnsi="Times New Roman" w:cs="Times New Roman"/>
      <w:color w:val="000000"/>
      <w:lang w:eastAsia="pt-BR"/>
    </w:rPr>
  </w:style>
  <w:style w:type="character" w:customStyle="1" w:styleId="apple-converted-space">
    <w:name w:val="apple-converted-space"/>
    <w:rsid w:val="000F1E1F"/>
  </w:style>
  <w:style w:type="character" w:styleId="Forte">
    <w:name w:val="Strong"/>
    <w:uiPriority w:val="22"/>
    <w:qFormat/>
    <w:rsid w:val="000F1E1F"/>
    <w:rPr>
      <w:b/>
      <w:bCs/>
    </w:rPr>
  </w:style>
  <w:style w:type="paragraph" w:styleId="Textodenotadefim">
    <w:name w:val="endnote text"/>
    <w:basedOn w:val="Normal"/>
    <w:link w:val="TextodenotadefimChar"/>
    <w:uiPriority w:val="99"/>
    <w:semiHidden/>
    <w:unhideWhenUsed/>
    <w:rsid w:val="000F1E1F"/>
    <w:pPr>
      <w:suppressAutoHyphens w:val="0"/>
      <w:spacing w:after="200"/>
    </w:pPr>
    <w:rPr>
      <w:rFonts w:ascii="Calibri" w:eastAsia="Calibri" w:hAnsi="Calibri"/>
      <w:lang w:val="x-none" w:eastAsia="en-US"/>
    </w:rPr>
  </w:style>
  <w:style w:type="character" w:customStyle="1" w:styleId="TextodenotadefimChar">
    <w:name w:val="Texto de nota de fim Char"/>
    <w:basedOn w:val="Fontepargpadro"/>
    <w:link w:val="Textodenotadefim"/>
    <w:uiPriority w:val="99"/>
    <w:semiHidden/>
    <w:rsid w:val="000F1E1F"/>
    <w:rPr>
      <w:rFonts w:ascii="Calibri" w:eastAsia="Calibri" w:hAnsi="Calibri" w:cs="Times New Roman"/>
      <w:sz w:val="20"/>
      <w:szCs w:val="20"/>
      <w:lang w:val="x-none"/>
    </w:rPr>
  </w:style>
  <w:style w:type="character" w:styleId="Refdenotadefim">
    <w:name w:val="endnote reference"/>
    <w:uiPriority w:val="99"/>
    <w:semiHidden/>
    <w:unhideWhenUsed/>
    <w:rsid w:val="000F1E1F"/>
    <w:rPr>
      <w:vertAlign w:val="superscript"/>
    </w:rPr>
  </w:style>
  <w:style w:type="paragraph" w:customStyle="1" w:styleId="REFERENCIA">
    <w:name w:val="REFERENCIA"/>
    <w:basedOn w:val="Normal"/>
    <w:rsid w:val="000F1E1F"/>
    <w:pPr>
      <w:suppressAutoHyphens w:val="0"/>
      <w:spacing w:before="240" w:after="240"/>
      <w:jc w:val="both"/>
    </w:pPr>
    <w:rPr>
      <w:sz w:val="24"/>
      <w:szCs w:val="24"/>
    </w:rPr>
  </w:style>
  <w:style w:type="character" w:styleId="Refdecomentrio">
    <w:name w:val="annotation reference"/>
    <w:uiPriority w:val="99"/>
    <w:semiHidden/>
    <w:unhideWhenUsed/>
    <w:rsid w:val="000F1E1F"/>
    <w:rPr>
      <w:sz w:val="16"/>
      <w:szCs w:val="16"/>
    </w:rPr>
  </w:style>
  <w:style w:type="paragraph" w:styleId="Textodecomentrio">
    <w:name w:val="annotation text"/>
    <w:basedOn w:val="Normal"/>
    <w:link w:val="TextodecomentrioChar"/>
    <w:uiPriority w:val="99"/>
    <w:semiHidden/>
    <w:unhideWhenUsed/>
    <w:rsid w:val="000F1E1F"/>
    <w:pPr>
      <w:suppressAutoHyphens w:val="0"/>
      <w:spacing w:after="200"/>
    </w:pPr>
    <w:rPr>
      <w:rFonts w:ascii="Calibri" w:eastAsia="Calibri" w:hAnsi="Calibri"/>
      <w:lang w:val="x-none" w:eastAsia="en-US"/>
    </w:rPr>
  </w:style>
  <w:style w:type="character" w:customStyle="1" w:styleId="TextodecomentrioChar">
    <w:name w:val="Texto de comentário Char"/>
    <w:basedOn w:val="Fontepargpadro"/>
    <w:link w:val="Textodecomentrio"/>
    <w:uiPriority w:val="99"/>
    <w:semiHidden/>
    <w:rsid w:val="000F1E1F"/>
    <w:rPr>
      <w:rFonts w:ascii="Calibri" w:eastAsia="Calibri" w:hAnsi="Calibri" w:cs="Times New Roman"/>
      <w:sz w:val="20"/>
      <w:szCs w:val="20"/>
      <w:lang w:val="x-none"/>
    </w:rPr>
  </w:style>
  <w:style w:type="paragraph" w:styleId="Assuntodocomentrio">
    <w:name w:val="annotation subject"/>
    <w:basedOn w:val="Textodecomentrio"/>
    <w:next w:val="Textodecomentrio"/>
    <w:link w:val="AssuntodocomentrioChar"/>
    <w:uiPriority w:val="99"/>
    <w:semiHidden/>
    <w:unhideWhenUsed/>
    <w:rsid w:val="000F1E1F"/>
    <w:rPr>
      <w:b/>
      <w:bCs/>
    </w:rPr>
  </w:style>
  <w:style w:type="character" w:customStyle="1" w:styleId="AssuntodocomentrioChar">
    <w:name w:val="Assunto do comentário Char"/>
    <w:basedOn w:val="TextodecomentrioChar"/>
    <w:link w:val="Assuntodocomentrio"/>
    <w:uiPriority w:val="99"/>
    <w:semiHidden/>
    <w:rsid w:val="000F1E1F"/>
    <w:rPr>
      <w:rFonts w:ascii="Calibri" w:eastAsia="Calibri" w:hAnsi="Calibri" w:cs="Times New Roman"/>
      <w:b/>
      <w:bCs/>
      <w:sz w:val="20"/>
      <w:szCs w:val="20"/>
      <w:lang w:val="x-none"/>
    </w:rPr>
  </w:style>
  <w:style w:type="paragraph" w:styleId="Reviso">
    <w:name w:val="Revision"/>
    <w:hidden/>
    <w:uiPriority w:val="99"/>
    <w:semiHidden/>
    <w:rsid w:val="000F1E1F"/>
    <w:rPr>
      <w:rFonts w:ascii="Calibri" w:eastAsia="Calibri" w:hAnsi="Calibri" w:cs="Times New Roman"/>
      <w:sz w:val="22"/>
      <w:szCs w:val="22"/>
    </w:rPr>
  </w:style>
  <w:style w:type="character" w:styleId="TextodoEspaoReservado">
    <w:name w:val="Placeholder Text"/>
    <w:uiPriority w:val="99"/>
    <w:semiHidden/>
    <w:rsid w:val="000F1E1F"/>
    <w:rPr>
      <w:color w:val="808080"/>
    </w:rPr>
  </w:style>
  <w:style w:type="paragraph" w:customStyle="1" w:styleId="p1">
    <w:name w:val="p1"/>
    <w:basedOn w:val="Normal"/>
    <w:rsid w:val="000F1E1F"/>
    <w:pPr>
      <w:suppressAutoHyphens w:val="0"/>
    </w:pPr>
    <w:rPr>
      <w:rFonts w:ascii="Helvetica" w:eastAsia="Calibri" w:hAnsi="Helvetica"/>
      <w:sz w:val="17"/>
      <w:szCs w:val="17"/>
    </w:rPr>
  </w:style>
  <w:style w:type="table" w:styleId="Tabelacomgrade">
    <w:name w:val="Table Grid"/>
    <w:basedOn w:val="Tabelanormal"/>
    <w:uiPriority w:val="59"/>
    <w:rsid w:val="000F1E1F"/>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0">
    <w:name w:val="A10"/>
    <w:uiPriority w:val="99"/>
    <w:rsid w:val="000F1E1F"/>
    <w:rPr>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692">
      <w:bodyDiv w:val="1"/>
      <w:marLeft w:val="0"/>
      <w:marRight w:val="0"/>
      <w:marTop w:val="0"/>
      <w:marBottom w:val="0"/>
      <w:divBdr>
        <w:top w:val="none" w:sz="0" w:space="0" w:color="auto"/>
        <w:left w:val="none" w:sz="0" w:space="0" w:color="auto"/>
        <w:bottom w:val="none" w:sz="0" w:space="0" w:color="auto"/>
        <w:right w:val="none" w:sz="0" w:space="0" w:color="auto"/>
      </w:divBdr>
    </w:div>
    <w:div w:id="587425658">
      <w:bodyDiv w:val="1"/>
      <w:marLeft w:val="0"/>
      <w:marRight w:val="0"/>
      <w:marTop w:val="0"/>
      <w:marBottom w:val="0"/>
      <w:divBdr>
        <w:top w:val="none" w:sz="0" w:space="0" w:color="auto"/>
        <w:left w:val="none" w:sz="0" w:space="0" w:color="auto"/>
        <w:bottom w:val="none" w:sz="0" w:space="0" w:color="auto"/>
        <w:right w:val="none" w:sz="0" w:space="0" w:color="auto"/>
      </w:divBdr>
    </w:div>
    <w:div w:id="1066345713">
      <w:bodyDiv w:val="1"/>
      <w:marLeft w:val="0"/>
      <w:marRight w:val="0"/>
      <w:marTop w:val="0"/>
      <w:marBottom w:val="0"/>
      <w:divBdr>
        <w:top w:val="none" w:sz="0" w:space="0" w:color="auto"/>
        <w:left w:val="none" w:sz="0" w:space="0" w:color="auto"/>
        <w:bottom w:val="none" w:sz="0" w:space="0" w:color="auto"/>
        <w:right w:val="none" w:sz="0" w:space="0" w:color="auto"/>
      </w:divBdr>
    </w:div>
    <w:div w:id="1247956185">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346445705">
      <w:bodyDiv w:val="1"/>
      <w:marLeft w:val="0"/>
      <w:marRight w:val="0"/>
      <w:marTop w:val="0"/>
      <w:marBottom w:val="0"/>
      <w:divBdr>
        <w:top w:val="none" w:sz="0" w:space="0" w:color="auto"/>
        <w:left w:val="none" w:sz="0" w:space="0" w:color="auto"/>
        <w:bottom w:val="none" w:sz="0" w:space="0" w:color="auto"/>
        <w:right w:val="none" w:sz="0" w:space="0" w:color="auto"/>
      </w:divBdr>
    </w:div>
    <w:div w:id="1423064802">
      <w:bodyDiv w:val="1"/>
      <w:marLeft w:val="0"/>
      <w:marRight w:val="0"/>
      <w:marTop w:val="0"/>
      <w:marBottom w:val="0"/>
      <w:divBdr>
        <w:top w:val="none" w:sz="0" w:space="0" w:color="auto"/>
        <w:left w:val="none" w:sz="0" w:space="0" w:color="auto"/>
        <w:bottom w:val="none" w:sz="0" w:space="0" w:color="auto"/>
        <w:right w:val="none" w:sz="0" w:space="0" w:color="auto"/>
      </w:divBdr>
    </w:div>
    <w:div w:id="19953318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dx.doi.org/10.2139/ssrn.14447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rn.com/abstract=2276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ARQUIVOS\FLORIAN&#211;POLIS\UFSC\MESTRADO\DISCIPLINAS\CONTABILIDADE%20GERENCIAL\PROPOSTA%20DE%20ARTIGO\apoio%20metodologia%20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dLbls>
            <c:spPr>
              <a:noFill/>
              <a:ln>
                <a:noFill/>
              </a:ln>
              <a:effectLst/>
            </c:spPr>
            <c:txPr>
              <a:bodyPr/>
              <a:lstStyle/>
              <a:p>
                <a:pPr>
                  <a:defRPr>
                    <a:latin typeface="Times New Roman" pitchFamily="18" charset="0"/>
                    <a:cs typeface="Times New Roman"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Plan4!$B$9:$D$9</c:f>
              <c:strCache>
                <c:ptCount val="3"/>
                <c:pt idx="0">
                  <c:v>Amostra Geral</c:v>
                </c:pt>
                <c:pt idx="1">
                  <c:v>SRV</c:v>
                </c:pt>
                <c:pt idx="2">
                  <c:v>ARV</c:v>
                </c:pt>
              </c:strCache>
            </c:strRef>
          </c:cat>
          <c:val>
            <c:numRef>
              <c:f>Plan4!$B$10:$D$10</c:f>
              <c:numCache>
                <c:formatCode>General</c:formatCode>
                <c:ptCount val="3"/>
                <c:pt idx="0">
                  <c:v>-0.121</c:v>
                </c:pt>
                <c:pt idx="1">
                  <c:v>-0.1966</c:v>
                </c:pt>
                <c:pt idx="2">
                  <c:v>-0.36419999999999997</c:v>
                </c:pt>
              </c:numCache>
            </c:numRef>
          </c:val>
          <c:extLst>
            <c:ext xmlns:c16="http://schemas.microsoft.com/office/drawing/2014/chart" uri="{C3380CC4-5D6E-409C-BE32-E72D297353CC}">
              <c16:uniqueId val="{00000000-BB97-49BE-8966-D3E043B73466}"/>
            </c:ext>
          </c:extLst>
        </c:ser>
        <c:dLbls>
          <c:showLegendKey val="0"/>
          <c:showVal val="1"/>
          <c:showCatName val="0"/>
          <c:showSerName val="0"/>
          <c:showPercent val="0"/>
          <c:showBubbleSize val="0"/>
        </c:dLbls>
        <c:gapWidth val="5"/>
        <c:overlap val="-68"/>
        <c:axId val="112351744"/>
        <c:axId val="88429632"/>
      </c:barChart>
      <c:catAx>
        <c:axId val="112351744"/>
        <c:scaling>
          <c:orientation val="minMax"/>
        </c:scaling>
        <c:delete val="0"/>
        <c:axPos val="b"/>
        <c:numFmt formatCode="General" sourceLinked="0"/>
        <c:majorTickMark val="none"/>
        <c:minorTickMark val="none"/>
        <c:tickLblPos val="nextTo"/>
        <c:txPr>
          <a:bodyPr/>
          <a:lstStyle/>
          <a:p>
            <a:pPr>
              <a:defRPr b="1">
                <a:solidFill>
                  <a:schemeClr val="tx1"/>
                </a:solidFill>
                <a:latin typeface="Times New Roman" pitchFamily="18" charset="0"/>
                <a:cs typeface="Times New Roman" pitchFamily="18" charset="0"/>
              </a:defRPr>
            </a:pPr>
            <a:endParaRPr lang="pt-BR"/>
          </a:p>
        </c:txPr>
        <c:crossAx val="88429632"/>
        <c:crosses val="autoZero"/>
        <c:auto val="1"/>
        <c:lblAlgn val="ctr"/>
        <c:lblOffset val="100"/>
        <c:noMultiLvlLbl val="0"/>
      </c:catAx>
      <c:valAx>
        <c:axId val="88429632"/>
        <c:scaling>
          <c:orientation val="minMax"/>
        </c:scaling>
        <c:delete val="0"/>
        <c:axPos val="l"/>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pt-BR"/>
          </a:p>
        </c:txPr>
        <c:crossAx val="11235174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153</TotalTime>
  <Pages>17</Pages>
  <Words>7164</Words>
  <Characters>38689</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USUARIO</cp:lastModifiedBy>
  <cp:revision>9</cp:revision>
  <dcterms:created xsi:type="dcterms:W3CDTF">2018-03-31T20:40:00Z</dcterms:created>
  <dcterms:modified xsi:type="dcterms:W3CDTF">2018-05-06T22:48:00Z</dcterms:modified>
</cp:coreProperties>
</file>