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7D" w:rsidRPr="008735CD" w:rsidRDefault="0036377D" w:rsidP="0036377D">
      <w:pPr>
        <w:jc w:val="center"/>
        <w:rPr>
          <w:b/>
          <w:sz w:val="24"/>
        </w:rPr>
      </w:pPr>
    </w:p>
    <w:p w:rsidR="0036377D" w:rsidRPr="008735CD" w:rsidRDefault="00C57F58" w:rsidP="00C04F45">
      <w:pPr>
        <w:widowControl w:val="0"/>
        <w:jc w:val="center"/>
      </w:pPr>
      <w:r w:rsidRPr="008735CD">
        <w:rPr>
          <w:b/>
          <w:sz w:val="24"/>
        </w:rPr>
        <w:t>IFRS e Ens</w:t>
      </w:r>
      <w:r w:rsidR="005B18B5" w:rsidRPr="008735CD">
        <w:rPr>
          <w:b/>
          <w:sz w:val="24"/>
        </w:rPr>
        <w:t>ino em Ciências Contábeis: Uma a</w:t>
      </w:r>
      <w:r w:rsidRPr="008735CD">
        <w:rPr>
          <w:b/>
          <w:sz w:val="24"/>
        </w:rPr>
        <w:t xml:space="preserve">nálise em </w:t>
      </w:r>
      <w:r w:rsidR="005B18B5" w:rsidRPr="008735CD">
        <w:rPr>
          <w:b/>
          <w:sz w:val="24"/>
        </w:rPr>
        <w:t>p</w:t>
      </w:r>
      <w:r w:rsidRPr="008735CD">
        <w:rPr>
          <w:b/>
          <w:sz w:val="24"/>
        </w:rPr>
        <w:t xml:space="preserve">eriódicos </w:t>
      </w:r>
      <w:r w:rsidR="005B18B5" w:rsidRPr="008735CD">
        <w:rPr>
          <w:b/>
          <w:sz w:val="24"/>
        </w:rPr>
        <w:t>n</w:t>
      </w:r>
      <w:r w:rsidRPr="008735CD">
        <w:rPr>
          <w:b/>
          <w:sz w:val="24"/>
        </w:rPr>
        <w:t>acionais</w:t>
      </w:r>
    </w:p>
    <w:p w:rsidR="0036377D" w:rsidRPr="008735CD" w:rsidRDefault="0036377D" w:rsidP="0036377D">
      <w:pPr>
        <w:jc w:val="center"/>
      </w:pPr>
    </w:p>
    <w:p w:rsidR="0036377D" w:rsidRPr="008735CD" w:rsidRDefault="00C57F58" w:rsidP="0036377D">
      <w:pPr>
        <w:jc w:val="right"/>
        <w:rPr>
          <w:b/>
          <w:sz w:val="24"/>
          <w:szCs w:val="24"/>
        </w:rPr>
      </w:pPr>
      <w:r w:rsidRPr="008735CD">
        <w:rPr>
          <w:b/>
          <w:sz w:val="24"/>
          <w:szCs w:val="24"/>
        </w:rPr>
        <w:t>Giovana Bolzan</w:t>
      </w:r>
    </w:p>
    <w:p w:rsidR="00C57F58" w:rsidRPr="008735CD" w:rsidRDefault="00C57F58" w:rsidP="0036377D">
      <w:pPr>
        <w:jc w:val="right"/>
        <w:rPr>
          <w:b/>
          <w:sz w:val="24"/>
          <w:szCs w:val="24"/>
        </w:rPr>
      </w:pPr>
      <w:r w:rsidRPr="008735CD">
        <w:rPr>
          <w:b/>
          <w:sz w:val="24"/>
          <w:szCs w:val="24"/>
        </w:rPr>
        <w:t>Universidade Federal do Rio Grande do Sul (UFRGS)</w:t>
      </w:r>
    </w:p>
    <w:p w:rsidR="0036377D" w:rsidRPr="008735CD" w:rsidRDefault="00C04F45" w:rsidP="0036377D">
      <w:pPr>
        <w:jc w:val="right"/>
        <w:rPr>
          <w:b/>
          <w:sz w:val="24"/>
          <w:szCs w:val="24"/>
        </w:rPr>
      </w:pPr>
      <w:r w:rsidRPr="008735CD">
        <w:rPr>
          <w:b/>
          <w:i/>
          <w:sz w:val="24"/>
          <w:szCs w:val="24"/>
        </w:rPr>
        <w:t>E</w:t>
      </w:r>
      <w:r w:rsidR="0036377D" w:rsidRPr="008735CD">
        <w:rPr>
          <w:b/>
          <w:i/>
          <w:sz w:val="24"/>
          <w:szCs w:val="24"/>
        </w:rPr>
        <w:t>-mail</w:t>
      </w:r>
      <w:r w:rsidRPr="008735CD">
        <w:rPr>
          <w:b/>
          <w:i/>
          <w:sz w:val="24"/>
          <w:szCs w:val="24"/>
        </w:rPr>
        <w:t>:</w:t>
      </w:r>
      <w:r w:rsidR="00C57F58" w:rsidRPr="008735CD">
        <w:t xml:space="preserve"> </w:t>
      </w:r>
      <w:r w:rsidR="00C57F58" w:rsidRPr="008735CD">
        <w:rPr>
          <w:b/>
          <w:i/>
          <w:sz w:val="24"/>
          <w:szCs w:val="24"/>
        </w:rPr>
        <w:t>gicabolzan@hotmail.com</w:t>
      </w:r>
    </w:p>
    <w:p w:rsidR="0036377D" w:rsidRPr="008735CD" w:rsidRDefault="0036377D" w:rsidP="0036377D">
      <w:pPr>
        <w:jc w:val="right"/>
        <w:rPr>
          <w:b/>
          <w:sz w:val="24"/>
          <w:szCs w:val="24"/>
        </w:rPr>
      </w:pPr>
    </w:p>
    <w:p w:rsidR="0036377D" w:rsidRPr="008735CD" w:rsidRDefault="00C57F58" w:rsidP="00067126">
      <w:pPr>
        <w:widowControl w:val="0"/>
        <w:jc w:val="right"/>
        <w:rPr>
          <w:b/>
          <w:sz w:val="24"/>
          <w:szCs w:val="24"/>
        </w:rPr>
      </w:pPr>
      <w:r w:rsidRPr="008735CD">
        <w:rPr>
          <w:b/>
          <w:sz w:val="24"/>
          <w:szCs w:val="24"/>
        </w:rPr>
        <w:t xml:space="preserve">Maria </w:t>
      </w:r>
      <w:proofErr w:type="spellStart"/>
      <w:r w:rsidRPr="008735CD">
        <w:rPr>
          <w:b/>
          <w:sz w:val="24"/>
          <w:szCs w:val="24"/>
        </w:rPr>
        <w:t>Ivanice</w:t>
      </w:r>
      <w:proofErr w:type="spellEnd"/>
      <w:r w:rsidRPr="008735CD">
        <w:rPr>
          <w:b/>
          <w:sz w:val="24"/>
          <w:szCs w:val="24"/>
        </w:rPr>
        <w:t xml:space="preserve"> </w:t>
      </w:r>
      <w:proofErr w:type="spellStart"/>
      <w:r w:rsidRPr="008735CD">
        <w:rPr>
          <w:b/>
          <w:sz w:val="24"/>
          <w:szCs w:val="24"/>
        </w:rPr>
        <w:t>Vendruscolo</w:t>
      </w:r>
      <w:proofErr w:type="spellEnd"/>
    </w:p>
    <w:p w:rsidR="0036377D" w:rsidRPr="008735CD" w:rsidRDefault="00C57F58" w:rsidP="00067126">
      <w:pPr>
        <w:widowControl w:val="0"/>
        <w:jc w:val="right"/>
        <w:rPr>
          <w:b/>
          <w:i/>
          <w:sz w:val="24"/>
          <w:szCs w:val="24"/>
        </w:rPr>
      </w:pPr>
      <w:r w:rsidRPr="008735CD">
        <w:rPr>
          <w:b/>
          <w:sz w:val="24"/>
          <w:szCs w:val="24"/>
        </w:rPr>
        <w:t>Universidade Federal do Rio Grande do Sul (UFRGS)</w:t>
      </w:r>
    </w:p>
    <w:p w:rsidR="0036377D" w:rsidRPr="008735CD" w:rsidRDefault="00C04F45" w:rsidP="00067126">
      <w:pPr>
        <w:widowControl w:val="0"/>
        <w:jc w:val="right"/>
        <w:rPr>
          <w:b/>
          <w:i/>
          <w:sz w:val="24"/>
          <w:szCs w:val="24"/>
        </w:rPr>
      </w:pPr>
      <w:r w:rsidRPr="008735CD">
        <w:rPr>
          <w:b/>
          <w:i/>
          <w:sz w:val="24"/>
          <w:szCs w:val="24"/>
        </w:rPr>
        <w:t>E</w:t>
      </w:r>
      <w:r w:rsidR="0036377D" w:rsidRPr="008735CD">
        <w:rPr>
          <w:b/>
          <w:i/>
          <w:sz w:val="24"/>
          <w:szCs w:val="24"/>
        </w:rPr>
        <w:t>-mail</w:t>
      </w:r>
      <w:r w:rsidRPr="008735CD">
        <w:rPr>
          <w:b/>
          <w:i/>
          <w:sz w:val="24"/>
          <w:szCs w:val="24"/>
        </w:rPr>
        <w:t>:</w:t>
      </w:r>
      <w:r w:rsidR="00C57F58" w:rsidRPr="008735CD">
        <w:t xml:space="preserve"> </w:t>
      </w:r>
      <w:r w:rsidR="00C57F58" w:rsidRPr="008735CD">
        <w:rPr>
          <w:b/>
          <w:i/>
          <w:sz w:val="24"/>
          <w:szCs w:val="24"/>
        </w:rPr>
        <w:t>maria.ivanice@ufrgs.br</w:t>
      </w:r>
    </w:p>
    <w:p w:rsidR="00C57F58" w:rsidRPr="008735CD" w:rsidRDefault="00C57F58" w:rsidP="00067126">
      <w:pPr>
        <w:widowControl w:val="0"/>
        <w:jc w:val="right"/>
        <w:rPr>
          <w:b/>
          <w:sz w:val="24"/>
          <w:szCs w:val="24"/>
        </w:rPr>
      </w:pPr>
    </w:p>
    <w:p w:rsidR="00C57F58" w:rsidRPr="008735CD" w:rsidRDefault="00C57F58" w:rsidP="00C57F58">
      <w:pPr>
        <w:widowControl w:val="0"/>
        <w:jc w:val="right"/>
        <w:rPr>
          <w:b/>
          <w:sz w:val="24"/>
          <w:szCs w:val="24"/>
        </w:rPr>
      </w:pPr>
      <w:r w:rsidRPr="008735CD">
        <w:rPr>
          <w:b/>
          <w:sz w:val="24"/>
          <w:szCs w:val="24"/>
        </w:rPr>
        <w:t xml:space="preserve">Jonatas Dutra </w:t>
      </w:r>
      <w:proofErr w:type="spellStart"/>
      <w:r w:rsidRPr="008735CD">
        <w:rPr>
          <w:b/>
          <w:sz w:val="24"/>
          <w:szCs w:val="24"/>
        </w:rPr>
        <w:t>Sallaberry</w:t>
      </w:r>
      <w:proofErr w:type="spellEnd"/>
    </w:p>
    <w:p w:rsidR="00C57F58" w:rsidRPr="008735CD" w:rsidRDefault="00C57F58" w:rsidP="00C57F58">
      <w:pPr>
        <w:widowControl w:val="0"/>
        <w:jc w:val="right"/>
        <w:rPr>
          <w:b/>
          <w:i/>
          <w:sz w:val="24"/>
          <w:szCs w:val="24"/>
        </w:rPr>
      </w:pPr>
      <w:r w:rsidRPr="008735CD">
        <w:rPr>
          <w:b/>
          <w:sz w:val="24"/>
          <w:szCs w:val="24"/>
        </w:rPr>
        <w:t>Universidade Federal de Santa Catarina (UFSC)</w:t>
      </w:r>
    </w:p>
    <w:p w:rsidR="00C57F58" w:rsidRPr="008735CD" w:rsidRDefault="00C57F58" w:rsidP="00C57F58">
      <w:pPr>
        <w:widowControl w:val="0"/>
        <w:jc w:val="right"/>
        <w:rPr>
          <w:b/>
          <w:sz w:val="24"/>
          <w:szCs w:val="24"/>
        </w:rPr>
      </w:pPr>
      <w:r w:rsidRPr="008735CD">
        <w:rPr>
          <w:b/>
          <w:i/>
          <w:sz w:val="24"/>
          <w:szCs w:val="24"/>
        </w:rPr>
        <w:t>E-mail:</w:t>
      </w:r>
      <w:r w:rsidRPr="008735CD">
        <w:t xml:space="preserve"> </w:t>
      </w:r>
      <w:r w:rsidRPr="008735CD">
        <w:rPr>
          <w:b/>
          <w:i/>
          <w:sz w:val="24"/>
          <w:szCs w:val="24"/>
        </w:rPr>
        <w:t>jonatas.sallaberry@hotmail.com</w:t>
      </w:r>
    </w:p>
    <w:p w:rsidR="00C57F58" w:rsidRPr="008735CD" w:rsidRDefault="00C57F58" w:rsidP="00067126">
      <w:pPr>
        <w:widowControl w:val="0"/>
        <w:jc w:val="right"/>
        <w:rPr>
          <w:b/>
          <w:sz w:val="24"/>
          <w:szCs w:val="24"/>
        </w:rPr>
      </w:pPr>
    </w:p>
    <w:p w:rsidR="00C57F58" w:rsidRPr="008735CD" w:rsidRDefault="00C57F58" w:rsidP="00C57F58">
      <w:pPr>
        <w:widowControl w:val="0"/>
        <w:jc w:val="right"/>
        <w:rPr>
          <w:b/>
          <w:sz w:val="24"/>
          <w:szCs w:val="24"/>
        </w:rPr>
      </w:pPr>
      <w:r w:rsidRPr="008735CD">
        <w:rPr>
          <w:b/>
          <w:sz w:val="24"/>
          <w:szCs w:val="24"/>
        </w:rPr>
        <w:t>Willian Diehl</w:t>
      </w:r>
    </w:p>
    <w:p w:rsidR="00C57F58" w:rsidRPr="008735CD" w:rsidRDefault="003F0AD9" w:rsidP="00C57F58">
      <w:pPr>
        <w:widowControl w:val="0"/>
        <w:jc w:val="right"/>
        <w:rPr>
          <w:b/>
          <w:i/>
          <w:sz w:val="24"/>
          <w:szCs w:val="24"/>
        </w:rPr>
      </w:pPr>
      <w:r w:rsidRPr="008735CD">
        <w:rPr>
          <w:b/>
          <w:sz w:val="24"/>
          <w:szCs w:val="24"/>
        </w:rPr>
        <w:t>Universidade Federal do Rio Grande do Sul</w:t>
      </w:r>
      <w:r w:rsidR="00C57F58" w:rsidRPr="008735CD">
        <w:rPr>
          <w:b/>
          <w:sz w:val="24"/>
          <w:szCs w:val="24"/>
        </w:rPr>
        <w:t xml:space="preserve"> (</w:t>
      </w:r>
      <w:r w:rsidRPr="008735CD">
        <w:rPr>
          <w:b/>
          <w:sz w:val="24"/>
          <w:szCs w:val="24"/>
        </w:rPr>
        <w:t>UFRGS</w:t>
      </w:r>
      <w:r w:rsidR="00C57F58" w:rsidRPr="008735CD">
        <w:rPr>
          <w:b/>
          <w:sz w:val="24"/>
          <w:szCs w:val="24"/>
        </w:rPr>
        <w:t>)</w:t>
      </w:r>
    </w:p>
    <w:p w:rsidR="00C57F58" w:rsidRPr="008735CD" w:rsidRDefault="00C57F58" w:rsidP="00C57F58">
      <w:pPr>
        <w:widowControl w:val="0"/>
        <w:jc w:val="right"/>
        <w:rPr>
          <w:b/>
          <w:sz w:val="24"/>
          <w:szCs w:val="24"/>
        </w:rPr>
      </w:pPr>
      <w:r w:rsidRPr="008735CD">
        <w:rPr>
          <w:b/>
          <w:i/>
          <w:sz w:val="24"/>
          <w:szCs w:val="24"/>
        </w:rPr>
        <w:t>E-mail:</w:t>
      </w:r>
      <w:r w:rsidR="00E014F9">
        <w:rPr>
          <w:b/>
          <w:i/>
          <w:sz w:val="24"/>
          <w:szCs w:val="24"/>
        </w:rPr>
        <w:t xml:space="preserve"> </w:t>
      </w:r>
      <w:bookmarkStart w:id="0" w:name="_GoBack"/>
      <w:bookmarkEnd w:id="0"/>
      <w:r w:rsidR="003F0AD9" w:rsidRPr="008735CD">
        <w:rPr>
          <w:b/>
          <w:i/>
          <w:sz w:val="24"/>
          <w:szCs w:val="24"/>
        </w:rPr>
        <w:t>willian.diehl@hotmail.com</w:t>
      </w:r>
    </w:p>
    <w:p w:rsidR="00C57F58" w:rsidRPr="008735CD" w:rsidRDefault="00C57F58" w:rsidP="00067126">
      <w:pPr>
        <w:widowControl w:val="0"/>
        <w:jc w:val="right"/>
        <w:rPr>
          <w:b/>
          <w:sz w:val="24"/>
          <w:szCs w:val="24"/>
        </w:rPr>
      </w:pPr>
    </w:p>
    <w:p w:rsidR="0036377D" w:rsidRPr="008735CD" w:rsidRDefault="0036377D" w:rsidP="00067126">
      <w:pPr>
        <w:widowControl w:val="0"/>
        <w:jc w:val="center"/>
        <w:rPr>
          <w:b/>
        </w:rPr>
      </w:pPr>
    </w:p>
    <w:p w:rsidR="00C04F45" w:rsidRPr="008735CD" w:rsidRDefault="0036377D" w:rsidP="00067126">
      <w:pPr>
        <w:widowControl w:val="0"/>
        <w:jc w:val="both"/>
        <w:rPr>
          <w:b/>
          <w:sz w:val="24"/>
          <w:szCs w:val="24"/>
        </w:rPr>
      </w:pPr>
      <w:r w:rsidRPr="008735CD">
        <w:rPr>
          <w:b/>
          <w:sz w:val="24"/>
          <w:szCs w:val="24"/>
        </w:rPr>
        <w:t xml:space="preserve">Resumo </w:t>
      </w:r>
    </w:p>
    <w:p w:rsidR="0036377D" w:rsidRPr="008735CD" w:rsidRDefault="00695FB4" w:rsidP="00695FB4">
      <w:pPr>
        <w:widowControl w:val="0"/>
        <w:jc w:val="both"/>
        <w:rPr>
          <w:sz w:val="24"/>
          <w:szCs w:val="24"/>
        </w:rPr>
      </w:pPr>
      <w:r w:rsidRPr="008735CD">
        <w:rPr>
          <w:sz w:val="24"/>
          <w:szCs w:val="24"/>
        </w:rPr>
        <w:t xml:space="preserve">A pesquisa analisa a produção científica com a temática de ensino em relação à adoção das normas internacionais de contabilidade (IFRS) no Brasil. No estudo, a abordagem do problema ocorre de forma quantitativa, quanto ao objetivo, de forma descritiva e, no que tange aos procedimentos técnicos, documental, mediante a identificação de 18 artigos sobre “ensino e IFRS” no período compreendido entre os anos de 2007 a 2017. Os resultados analisados indicam que os periódicos com maior número de publicações são as Revistas Contabilidade e Controladoria e Universo Contábil. Dentre os autores analisados, 31% apresentou titulação de doutorado ou de pós-doutorado, a despeito do que restou evidenciada forte aceitação de publicações de pesquisadores ainda em fase de formação. Os autores identificados mais produtivos para a temática foram Jorge </w:t>
      </w:r>
      <w:proofErr w:type="spellStart"/>
      <w:r w:rsidRPr="008735CD">
        <w:rPr>
          <w:sz w:val="24"/>
          <w:szCs w:val="24"/>
        </w:rPr>
        <w:t>Katsumi</w:t>
      </w:r>
      <w:proofErr w:type="spellEnd"/>
      <w:r w:rsidRPr="008735CD">
        <w:rPr>
          <w:sz w:val="24"/>
          <w:szCs w:val="24"/>
        </w:rPr>
        <w:t xml:space="preserve"> </w:t>
      </w:r>
      <w:proofErr w:type="spellStart"/>
      <w:r w:rsidRPr="008735CD">
        <w:rPr>
          <w:sz w:val="24"/>
          <w:szCs w:val="24"/>
        </w:rPr>
        <w:t>Niyama</w:t>
      </w:r>
      <w:proofErr w:type="spellEnd"/>
      <w:r w:rsidRPr="008735CD">
        <w:rPr>
          <w:sz w:val="24"/>
          <w:szCs w:val="24"/>
        </w:rPr>
        <w:t xml:space="preserve"> e </w:t>
      </w:r>
      <w:proofErr w:type="spellStart"/>
      <w:r w:rsidRPr="008735CD">
        <w:rPr>
          <w:sz w:val="24"/>
          <w:szCs w:val="24"/>
        </w:rPr>
        <w:t>Ducineli</w:t>
      </w:r>
      <w:proofErr w:type="spellEnd"/>
      <w:r w:rsidRPr="008735CD">
        <w:rPr>
          <w:sz w:val="24"/>
          <w:szCs w:val="24"/>
        </w:rPr>
        <w:t xml:space="preserve"> Régis Botelho. No universo de pesquisas contábeis sobre IFRS, poucas são as que abordam a relação da adoção das normas internacionais com o ensino; um tema atual, relevante e carecedor de estudos mais aprofundados. Os desafios existentes no âmbito da educação contábil, especialmente aqueles relacionados à qualificação do corpo docente, dos discentes e da estrutura curricular, impactam na adoção das IFRS e precisam ser superados.</w:t>
      </w:r>
    </w:p>
    <w:p w:rsidR="00695FB4" w:rsidRPr="008735CD" w:rsidRDefault="00695FB4" w:rsidP="00695FB4">
      <w:pPr>
        <w:widowControl w:val="0"/>
        <w:jc w:val="both"/>
        <w:rPr>
          <w:b/>
          <w:sz w:val="24"/>
          <w:szCs w:val="24"/>
        </w:rPr>
      </w:pPr>
    </w:p>
    <w:p w:rsidR="0036377D" w:rsidRPr="008735CD" w:rsidRDefault="0036377D" w:rsidP="00695FB4">
      <w:pPr>
        <w:widowControl w:val="0"/>
        <w:jc w:val="both"/>
        <w:rPr>
          <w:sz w:val="24"/>
          <w:szCs w:val="24"/>
        </w:rPr>
      </w:pPr>
      <w:r w:rsidRPr="008735CD">
        <w:rPr>
          <w:b/>
          <w:sz w:val="24"/>
          <w:szCs w:val="24"/>
        </w:rPr>
        <w:t xml:space="preserve">Palavras-chave: </w:t>
      </w:r>
      <w:r w:rsidR="003F0AD9" w:rsidRPr="008735CD">
        <w:rPr>
          <w:sz w:val="24"/>
          <w:szCs w:val="24"/>
        </w:rPr>
        <w:t>Ensino; Contabilidade; Convergência; IFRS; Normas internacionais.</w:t>
      </w:r>
    </w:p>
    <w:p w:rsidR="0036377D" w:rsidRPr="008735CD" w:rsidRDefault="0036377D" w:rsidP="00695FB4">
      <w:pPr>
        <w:widowControl w:val="0"/>
        <w:jc w:val="both"/>
        <w:rPr>
          <w:sz w:val="24"/>
          <w:szCs w:val="24"/>
        </w:rPr>
      </w:pPr>
    </w:p>
    <w:p w:rsidR="0036377D" w:rsidRPr="009213AF" w:rsidRDefault="0036377D" w:rsidP="00067126">
      <w:pPr>
        <w:widowControl w:val="0"/>
        <w:rPr>
          <w:sz w:val="24"/>
          <w:szCs w:val="24"/>
        </w:rPr>
      </w:pPr>
      <w:r w:rsidRPr="008735CD">
        <w:rPr>
          <w:b/>
          <w:sz w:val="24"/>
          <w:szCs w:val="24"/>
        </w:rPr>
        <w:t xml:space="preserve">Linha Temática: </w:t>
      </w:r>
      <w:r w:rsidR="009213AF">
        <w:rPr>
          <w:sz w:val="24"/>
          <w:szCs w:val="24"/>
        </w:rPr>
        <w:t>Ensino e Pesquisa da Contabilidade</w:t>
      </w:r>
    </w:p>
    <w:p w:rsidR="00930388" w:rsidRPr="008735CD" w:rsidRDefault="00930388" w:rsidP="00067126">
      <w:pPr>
        <w:widowControl w:val="0"/>
        <w:rPr>
          <w:sz w:val="24"/>
          <w:szCs w:val="24"/>
        </w:rPr>
      </w:pPr>
    </w:p>
    <w:p w:rsidR="00E6136F" w:rsidRPr="008735CD" w:rsidRDefault="001C328B" w:rsidP="004C350D">
      <w:pPr>
        <w:widowControl w:val="0"/>
        <w:spacing w:before="240" w:after="80"/>
        <w:rPr>
          <w:b/>
          <w:sz w:val="24"/>
          <w:szCs w:val="24"/>
        </w:rPr>
      </w:pPr>
      <w:r w:rsidRPr="008735CD">
        <w:rPr>
          <w:b/>
          <w:sz w:val="24"/>
          <w:szCs w:val="24"/>
        </w:rPr>
        <w:t>1 Introdução</w:t>
      </w:r>
    </w:p>
    <w:p w:rsidR="008735CD" w:rsidRPr="008735CD" w:rsidRDefault="00695FB4" w:rsidP="008735C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A Contabilidade tem passado por constantes e rápidas mudanças. </w:t>
      </w:r>
      <w:r w:rsidRPr="008735CD">
        <w:rPr>
          <w:rFonts w:eastAsia="SimSun"/>
          <w:spacing w:val="-4"/>
          <w:sz w:val="24"/>
          <w:szCs w:val="24"/>
          <w:lang w:eastAsia="zh-CN"/>
        </w:rPr>
        <w:t xml:space="preserve">O incremento das relações comerciais internacionais, atrelado ao aumento da competitividade nos mercados </w:t>
      </w:r>
      <w:r w:rsidRPr="008735CD">
        <w:rPr>
          <w:rFonts w:eastAsia="SimSun"/>
          <w:spacing w:val="-4"/>
          <w:sz w:val="24"/>
          <w:szCs w:val="24"/>
          <w:lang w:eastAsia="zh-CN"/>
        </w:rPr>
        <w:lastRenderedPageBreak/>
        <w:t xml:space="preserve">instigaram contumazes discussões a respeito da necessidade de mudanças em relação aos padrões contábeis minimizando problemas de assimetria informacional. </w:t>
      </w:r>
      <w:r w:rsidRPr="008735CD">
        <w:rPr>
          <w:rFonts w:eastAsia="SimSun"/>
          <w:sz w:val="24"/>
          <w:szCs w:val="24"/>
          <w:lang w:eastAsia="zh-CN"/>
        </w:rPr>
        <w:t>A busca por unificá-la, para uma aplicabilidade em qualquer ambiente e uma compreensão por diferentes tipos de usuários, além da possibilidade de comparabilidade das informações culminou no processo de convergência às normas contábeis internacionais (Gill, 2007).</w:t>
      </w:r>
    </w:p>
    <w:p w:rsidR="008735CD" w:rsidRPr="008735CD" w:rsidRDefault="00695FB4" w:rsidP="008735CD">
      <w:pPr>
        <w:autoSpaceDE w:val="0"/>
        <w:autoSpaceDN w:val="0"/>
        <w:adjustRightInd w:val="0"/>
        <w:ind w:firstLine="709"/>
        <w:jc w:val="both"/>
        <w:rPr>
          <w:rFonts w:eastAsia="SimSun"/>
          <w:spacing w:val="-2"/>
          <w:sz w:val="24"/>
          <w:szCs w:val="24"/>
          <w:lang w:eastAsia="zh-CN"/>
        </w:rPr>
      </w:pPr>
      <w:r w:rsidRPr="008735CD">
        <w:rPr>
          <w:rFonts w:eastAsia="SimSun"/>
          <w:spacing w:val="-2"/>
          <w:sz w:val="24"/>
          <w:szCs w:val="24"/>
          <w:lang w:eastAsia="zh-CN"/>
        </w:rPr>
        <w:t xml:space="preserve">Enquanto área acadêmica estabeleceu-se, inicialmente, com caráter extremamente normativo e voltado à recomendação de práticas e procedimentos profissionais. Essa tradição, no entanto, foi sendo substituída pela abordagem da informação, o que representou uma </w:t>
      </w:r>
      <w:r w:rsidR="00B57AA6" w:rsidRPr="00B57AA6">
        <w:rPr>
          <w:rFonts w:eastAsia="SimSun"/>
          <w:spacing w:val="-2"/>
          <w:sz w:val="24"/>
          <w:szCs w:val="24"/>
          <w:lang w:eastAsia="zh-CN"/>
        </w:rPr>
        <w:t>r</w:t>
      </w:r>
      <w:r w:rsidRPr="00B57AA6">
        <w:rPr>
          <w:rFonts w:eastAsia="SimSun"/>
          <w:spacing w:val="-2"/>
          <w:sz w:val="24"/>
          <w:szCs w:val="24"/>
          <w:lang w:eastAsia="zh-CN"/>
        </w:rPr>
        <w:t>evolução e mudança de paradigmas de pesquisa</w:t>
      </w:r>
      <w:r w:rsidRPr="00B57AA6">
        <w:rPr>
          <w:sz w:val="24"/>
          <w:szCs w:val="24"/>
        </w:rPr>
        <w:t xml:space="preserve"> </w:t>
      </w:r>
      <w:r w:rsidRPr="00B57AA6">
        <w:rPr>
          <w:rFonts w:eastAsia="SimSun"/>
          <w:spacing w:val="-2"/>
          <w:sz w:val="24"/>
          <w:szCs w:val="24"/>
          <w:lang w:eastAsia="zh-CN"/>
        </w:rPr>
        <w:t>(Lopes &amp; Martins, 2014), rompendo c</w:t>
      </w:r>
      <w:r w:rsidRPr="008735CD">
        <w:rPr>
          <w:rFonts w:eastAsia="SimSun"/>
          <w:spacing w:val="-2"/>
          <w:sz w:val="24"/>
          <w:szCs w:val="24"/>
          <w:lang w:eastAsia="zh-CN"/>
        </w:rPr>
        <w:t>om a visão da Contabilidade como mensuração e desenvolvendo o estudo da informação disponível aos usuários. As demonstrações contábeis antes baseadas em definições e inferências, passaram a ser fundamentadas na utilidade da informação para usuários específicos, explicando e prevendo práticas contá</w:t>
      </w:r>
      <w:r w:rsidR="008735CD" w:rsidRPr="008735CD">
        <w:rPr>
          <w:rFonts w:eastAsia="SimSun"/>
          <w:spacing w:val="-2"/>
          <w:sz w:val="24"/>
          <w:szCs w:val="24"/>
          <w:lang w:eastAsia="zh-CN"/>
        </w:rPr>
        <w:t xml:space="preserve">beis (Watts &amp; </w:t>
      </w:r>
      <w:proofErr w:type="spellStart"/>
      <w:r w:rsidR="008735CD" w:rsidRPr="008735CD">
        <w:rPr>
          <w:rFonts w:eastAsia="SimSun"/>
          <w:spacing w:val="-2"/>
          <w:sz w:val="24"/>
          <w:szCs w:val="24"/>
          <w:lang w:eastAsia="zh-CN"/>
        </w:rPr>
        <w:t>Zimmerman</w:t>
      </w:r>
      <w:proofErr w:type="spellEnd"/>
      <w:r w:rsidR="008735CD" w:rsidRPr="008735CD">
        <w:rPr>
          <w:rFonts w:eastAsia="SimSun"/>
          <w:spacing w:val="-2"/>
          <w:sz w:val="24"/>
          <w:szCs w:val="24"/>
          <w:lang w:eastAsia="zh-CN"/>
        </w:rPr>
        <w:t>, 1986).</w:t>
      </w:r>
    </w:p>
    <w:p w:rsidR="008735CD" w:rsidRPr="008735CD" w:rsidRDefault="00695FB4" w:rsidP="008735CD">
      <w:pPr>
        <w:autoSpaceDE w:val="0"/>
        <w:autoSpaceDN w:val="0"/>
        <w:adjustRightInd w:val="0"/>
        <w:ind w:firstLine="709"/>
        <w:jc w:val="both"/>
        <w:rPr>
          <w:rFonts w:eastAsia="SimSun"/>
          <w:spacing w:val="-2"/>
          <w:sz w:val="24"/>
          <w:szCs w:val="24"/>
          <w:lang w:eastAsia="zh-CN"/>
        </w:rPr>
      </w:pPr>
      <w:r w:rsidRPr="008735CD">
        <w:rPr>
          <w:rFonts w:eastAsia="SimSun"/>
          <w:sz w:val="24"/>
          <w:szCs w:val="24"/>
          <w:lang w:eastAsia="zh-CN"/>
        </w:rPr>
        <w:t xml:space="preserve">É nesse contexto que se inserem as </w:t>
      </w:r>
      <w:proofErr w:type="spellStart"/>
      <w:r w:rsidRPr="008735CD">
        <w:rPr>
          <w:rFonts w:eastAsia="SimSun"/>
          <w:i/>
          <w:sz w:val="24"/>
          <w:szCs w:val="24"/>
          <w:lang w:eastAsia="zh-CN"/>
        </w:rPr>
        <w:t>International</w:t>
      </w:r>
      <w:proofErr w:type="spellEnd"/>
      <w:r w:rsidRPr="008735CD">
        <w:rPr>
          <w:rFonts w:eastAsia="SimSun"/>
          <w:i/>
          <w:sz w:val="24"/>
          <w:szCs w:val="24"/>
          <w:lang w:eastAsia="zh-CN"/>
        </w:rPr>
        <w:t xml:space="preserve"> Financial </w:t>
      </w:r>
      <w:proofErr w:type="spellStart"/>
      <w:r w:rsidRPr="008735CD">
        <w:rPr>
          <w:rFonts w:eastAsia="SimSun"/>
          <w:i/>
          <w:sz w:val="24"/>
          <w:szCs w:val="24"/>
          <w:lang w:eastAsia="zh-CN"/>
        </w:rPr>
        <w:t>Reporting</w:t>
      </w:r>
      <w:proofErr w:type="spellEnd"/>
      <w:r w:rsidRPr="008735CD">
        <w:rPr>
          <w:rFonts w:eastAsia="SimSun"/>
          <w:i/>
          <w:sz w:val="24"/>
          <w:szCs w:val="24"/>
          <w:lang w:eastAsia="zh-CN"/>
        </w:rPr>
        <w:t xml:space="preserve"> Standards</w:t>
      </w:r>
      <w:r w:rsidRPr="008735CD">
        <w:rPr>
          <w:rFonts w:eastAsia="SimSun"/>
          <w:sz w:val="24"/>
          <w:szCs w:val="24"/>
          <w:lang w:eastAsia="zh-CN"/>
        </w:rPr>
        <w:t xml:space="preserve"> (IFRS), normas essas que possuem relevância para a formação do </w:t>
      </w:r>
      <w:r w:rsidRPr="008735CD">
        <w:rPr>
          <w:sz w:val="24"/>
          <w:szCs w:val="24"/>
        </w:rPr>
        <w:t xml:space="preserve">profissional contábil. Contudo, para que essa </w:t>
      </w:r>
      <w:r w:rsidRPr="008735CD">
        <w:rPr>
          <w:rFonts w:eastAsia="SimSun"/>
          <w:sz w:val="24"/>
          <w:szCs w:val="24"/>
          <w:lang w:eastAsia="zh-CN"/>
        </w:rPr>
        <w:t xml:space="preserve">formação do </w:t>
      </w:r>
      <w:r w:rsidRPr="008735CD">
        <w:rPr>
          <w:sz w:val="24"/>
          <w:szCs w:val="24"/>
        </w:rPr>
        <w:t>profissional contábil</w:t>
      </w:r>
      <w:r w:rsidRPr="008735CD" w:rsidDel="009C3300">
        <w:rPr>
          <w:sz w:val="24"/>
          <w:szCs w:val="24"/>
        </w:rPr>
        <w:t xml:space="preserve"> </w:t>
      </w:r>
      <w:r w:rsidRPr="008735CD">
        <w:rPr>
          <w:sz w:val="24"/>
          <w:szCs w:val="24"/>
        </w:rPr>
        <w:t xml:space="preserve">se efetive de maneira adequada, </w:t>
      </w:r>
      <w:r w:rsidRPr="008735CD">
        <w:rPr>
          <w:rFonts w:eastAsia="SimSun"/>
          <w:sz w:val="24"/>
          <w:szCs w:val="24"/>
          <w:lang w:eastAsia="zh-CN"/>
        </w:rPr>
        <w:t>é necessário que os docentes, enquanto mediadores do processo de ensino e aprendizagem</w:t>
      </w:r>
      <w:r w:rsidR="00B57AA6" w:rsidRPr="008735CD">
        <w:rPr>
          <w:rFonts w:eastAsia="SimSun"/>
          <w:sz w:val="24"/>
          <w:szCs w:val="24"/>
          <w:lang w:eastAsia="zh-CN"/>
        </w:rPr>
        <w:t xml:space="preserve"> desenvolvam</w:t>
      </w:r>
      <w:r w:rsidRPr="008735CD">
        <w:rPr>
          <w:rFonts w:eastAsia="SimSun"/>
          <w:sz w:val="24"/>
          <w:szCs w:val="24"/>
          <w:lang w:eastAsia="zh-CN"/>
        </w:rPr>
        <w:t xml:space="preserve"> competências técnicas e dominem os conteúdos específicos da disciplina, de forma a incitar os discentes à reflexão e à busca de novos conhecimentos (Vasconcelos, 1996; </w:t>
      </w:r>
      <w:proofErr w:type="spellStart"/>
      <w:r w:rsidRPr="008735CD">
        <w:rPr>
          <w:rFonts w:eastAsia="SimSun"/>
          <w:sz w:val="24"/>
          <w:szCs w:val="24"/>
          <w:lang w:eastAsia="zh-CN"/>
        </w:rPr>
        <w:t>Vendruscolo</w:t>
      </w:r>
      <w:proofErr w:type="spellEnd"/>
      <w:r w:rsidRPr="008735CD">
        <w:rPr>
          <w:rFonts w:eastAsia="SimSun"/>
          <w:sz w:val="24"/>
          <w:szCs w:val="24"/>
          <w:lang w:eastAsia="zh-CN"/>
        </w:rPr>
        <w:t>, 2015).</w:t>
      </w:r>
    </w:p>
    <w:p w:rsidR="004C350D" w:rsidRDefault="00695FB4" w:rsidP="004C350D">
      <w:pPr>
        <w:autoSpaceDE w:val="0"/>
        <w:autoSpaceDN w:val="0"/>
        <w:adjustRightInd w:val="0"/>
        <w:ind w:firstLine="709"/>
        <w:jc w:val="both"/>
        <w:rPr>
          <w:rFonts w:eastAsia="SimSun"/>
          <w:spacing w:val="-2"/>
          <w:sz w:val="24"/>
          <w:szCs w:val="24"/>
          <w:lang w:eastAsia="zh-CN"/>
        </w:rPr>
      </w:pPr>
      <w:r w:rsidRPr="008735CD">
        <w:rPr>
          <w:rFonts w:eastAsia="SimSun"/>
          <w:sz w:val="24"/>
          <w:szCs w:val="24"/>
          <w:lang w:eastAsia="zh-CN"/>
        </w:rPr>
        <w:t xml:space="preserve">A carreira de um docente é um processo contínuo, que inclui a adaptação desse profissional às mudanças referentes ao tema para contribuir com a aprendizagem do aluno. No decorrer do processo de convergência os conceitos das IFRS foram sendo incorporados na </w:t>
      </w:r>
      <w:r w:rsidRPr="00B57AA6">
        <w:rPr>
          <w:rFonts w:eastAsia="SimSun"/>
          <w:sz w:val="24"/>
          <w:szCs w:val="24"/>
          <w:lang w:eastAsia="zh-CN"/>
        </w:rPr>
        <w:t>academia, a partir do padrão internacional (</w:t>
      </w:r>
      <w:r w:rsidR="00B57AA6" w:rsidRPr="00B57AA6">
        <w:rPr>
          <w:rFonts w:eastAsia="SimSun"/>
          <w:sz w:val="24"/>
          <w:szCs w:val="24"/>
          <w:lang w:eastAsia="zh-CN"/>
        </w:rPr>
        <w:t>Nascimento, Lopes</w:t>
      </w:r>
      <w:r w:rsidRPr="00B57AA6">
        <w:rPr>
          <w:rFonts w:eastAsia="SimSun"/>
          <w:sz w:val="24"/>
          <w:szCs w:val="24"/>
          <w:lang w:eastAsia="zh-CN"/>
        </w:rPr>
        <w:t xml:space="preserve">, </w:t>
      </w:r>
      <w:proofErr w:type="spellStart"/>
      <w:r w:rsidRPr="00B57AA6">
        <w:rPr>
          <w:rFonts w:eastAsia="SimSun"/>
          <w:sz w:val="24"/>
          <w:szCs w:val="24"/>
          <w:lang w:eastAsia="zh-CN"/>
        </w:rPr>
        <w:t>Colauto</w:t>
      </w:r>
      <w:proofErr w:type="spellEnd"/>
      <w:r w:rsidR="00B57AA6" w:rsidRPr="00B57AA6">
        <w:rPr>
          <w:rFonts w:eastAsia="SimSun"/>
          <w:sz w:val="24"/>
          <w:szCs w:val="24"/>
          <w:lang w:eastAsia="zh-CN"/>
        </w:rPr>
        <w:t>,</w:t>
      </w:r>
      <w:r w:rsidRPr="00B57AA6">
        <w:rPr>
          <w:rFonts w:eastAsia="SimSun"/>
          <w:sz w:val="24"/>
          <w:szCs w:val="24"/>
          <w:lang w:eastAsia="zh-CN"/>
        </w:rPr>
        <w:t xml:space="preserve"> &amp; Pederneiras,</w:t>
      </w:r>
      <w:r w:rsidRPr="008735CD">
        <w:rPr>
          <w:rFonts w:eastAsia="SimSun"/>
          <w:sz w:val="24"/>
          <w:szCs w:val="24"/>
          <w:lang w:eastAsia="zh-CN"/>
        </w:rPr>
        <w:t xml:space="preserve"> 2014). Damascena, Duarte</w:t>
      </w:r>
      <w:r w:rsidR="00B57AA6">
        <w:rPr>
          <w:rFonts w:eastAsia="SimSun"/>
          <w:sz w:val="24"/>
          <w:szCs w:val="24"/>
          <w:lang w:eastAsia="zh-CN"/>
        </w:rPr>
        <w:t>,</w:t>
      </w:r>
      <w:r w:rsidRPr="008735CD">
        <w:rPr>
          <w:rFonts w:eastAsia="SimSun"/>
          <w:sz w:val="24"/>
          <w:szCs w:val="24"/>
          <w:lang w:eastAsia="zh-CN"/>
        </w:rPr>
        <w:t xml:space="preserve"> &amp; Paulo (2007) incentivam pesquisas </w:t>
      </w:r>
      <w:r w:rsidRPr="008735CD">
        <w:rPr>
          <w:sz w:val="24"/>
          <w:szCs w:val="24"/>
        </w:rPr>
        <w:t xml:space="preserve">sobre a adoção completa das IFRS no Brasil, enquanto outros autores procuram revelar mudanças e melhorias nas características das demonstrações contábeis após adoção dos padrões internacionais (Ettore, Silva, &amp; Macedo, 2017; Machado, Victor, &amp; </w:t>
      </w:r>
      <w:proofErr w:type="spellStart"/>
      <w:r w:rsidRPr="008735CD">
        <w:rPr>
          <w:sz w:val="24"/>
          <w:szCs w:val="24"/>
        </w:rPr>
        <w:t>Mattis</w:t>
      </w:r>
      <w:proofErr w:type="spellEnd"/>
      <w:r w:rsidRPr="008735CD">
        <w:rPr>
          <w:sz w:val="24"/>
          <w:szCs w:val="24"/>
        </w:rPr>
        <w:t xml:space="preserve">, 2016; Sousa &amp; Santos, 2017; </w:t>
      </w:r>
      <w:proofErr w:type="spellStart"/>
      <w:r w:rsidRPr="008735CD">
        <w:rPr>
          <w:sz w:val="24"/>
          <w:szCs w:val="24"/>
          <w:shd w:val="clear" w:color="auto" w:fill="FFFFFF"/>
        </w:rPr>
        <w:t>Zortea</w:t>
      </w:r>
      <w:proofErr w:type="spellEnd"/>
      <w:r w:rsidRPr="008735CD">
        <w:rPr>
          <w:sz w:val="24"/>
          <w:szCs w:val="24"/>
          <w:shd w:val="clear" w:color="auto" w:fill="FFFFFF"/>
        </w:rPr>
        <w:t xml:space="preserve">, Galdi, Monte-mor, &amp; </w:t>
      </w:r>
      <w:proofErr w:type="spellStart"/>
      <w:r w:rsidRPr="008735CD">
        <w:rPr>
          <w:sz w:val="24"/>
          <w:szCs w:val="24"/>
          <w:shd w:val="clear" w:color="auto" w:fill="FFFFFF"/>
        </w:rPr>
        <w:t>Beiruth</w:t>
      </w:r>
      <w:proofErr w:type="spellEnd"/>
      <w:r w:rsidRPr="008735CD">
        <w:rPr>
          <w:sz w:val="24"/>
          <w:szCs w:val="24"/>
          <w:shd w:val="clear" w:color="auto" w:fill="FFFFFF"/>
        </w:rPr>
        <w:t>, 2017).</w:t>
      </w:r>
    </w:p>
    <w:p w:rsidR="004C350D" w:rsidRDefault="00695FB4" w:rsidP="004C350D">
      <w:pPr>
        <w:autoSpaceDE w:val="0"/>
        <w:autoSpaceDN w:val="0"/>
        <w:adjustRightInd w:val="0"/>
        <w:ind w:firstLine="709"/>
        <w:jc w:val="both"/>
        <w:rPr>
          <w:rFonts w:eastAsia="SimSun"/>
          <w:spacing w:val="-2"/>
          <w:sz w:val="24"/>
          <w:szCs w:val="24"/>
          <w:lang w:eastAsia="zh-CN"/>
        </w:rPr>
      </w:pPr>
      <w:r w:rsidRPr="008735CD">
        <w:rPr>
          <w:rFonts w:eastAsia="SimSun"/>
          <w:sz w:val="24"/>
          <w:szCs w:val="24"/>
          <w:lang w:eastAsia="zh-CN"/>
        </w:rPr>
        <w:t>O Comitê de Pronunciamentos Contábeis [CPC] (2018) continua emitindo revisões e novas normas; para alguns autores, no entanto, o processo de convergência (ou sua etapa mais crítica) já teria sido concluíd</w:t>
      </w:r>
      <w:r w:rsidR="00B57AA6">
        <w:rPr>
          <w:rFonts w:eastAsia="SimSun"/>
          <w:sz w:val="24"/>
          <w:szCs w:val="24"/>
          <w:lang w:eastAsia="zh-CN"/>
        </w:rPr>
        <w:t>o</w:t>
      </w:r>
      <w:r w:rsidRPr="008735CD">
        <w:rPr>
          <w:rFonts w:eastAsia="SimSun"/>
          <w:sz w:val="24"/>
          <w:szCs w:val="24"/>
          <w:lang w:eastAsia="zh-CN"/>
        </w:rPr>
        <w:t xml:space="preserve"> no Brasil (</w:t>
      </w:r>
      <w:r w:rsidRPr="00B57AA6">
        <w:rPr>
          <w:rFonts w:eastAsia="SimSun"/>
          <w:sz w:val="24"/>
          <w:szCs w:val="24"/>
          <w:lang w:eastAsia="zh-CN"/>
        </w:rPr>
        <w:t xml:space="preserve">Costa, </w:t>
      </w:r>
      <w:proofErr w:type="spellStart"/>
      <w:r w:rsidRPr="00B57AA6">
        <w:rPr>
          <w:rFonts w:eastAsia="SimSun"/>
          <w:sz w:val="24"/>
          <w:szCs w:val="24"/>
          <w:lang w:eastAsia="zh-CN"/>
        </w:rPr>
        <w:t>Theóphilo</w:t>
      </w:r>
      <w:proofErr w:type="spellEnd"/>
      <w:r w:rsidRPr="00B57AA6">
        <w:rPr>
          <w:rFonts w:eastAsia="SimSun"/>
          <w:sz w:val="24"/>
          <w:szCs w:val="24"/>
          <w:lang w:eastAsia="zh-CN"/>
        </w:rPr>
        <w:t xml:space="preserve">, &amp; Yamamoto, 2012; </w:t>
      </w:r>
      <w:r w:rsidR="00B57AA6" w:rsidRPr="00B57AA6">
        <w:rPr>
          <w:rFonts w:eastAsia="SimSun"/>
          <w:sz w:val="24"/>
          <w:szCs w:val="24"/>
          <w:lang w:eastAsia="zh-CN"/>
        </w:rPr>
        <w:t>Silva,</w:t>
      </w:r>
      <w:r w:rsidRPr="00B57AA6">
        <w:rPr>
          <w:rFonts w:eastAsia="SimSun"/>
          <w:sz w:val="24"/>
          <w:szCs w:val="24"/>
          <w:lang w:eastAsia="zh-CN"/>
        </w:rPr>
        <w:t xml:space="preserve"> Borges, Gonçalves, &amp; Nascimento, 2017). E</w:t>
      </w:r>
      <w:r w:rsidRPr="008735CD">
        <w:rPr>
          <w:rFonts w:eastAsia="SimSun"/>
          <w:sz w:val="24"/>
          <w:szCs w:val="24"/>
          <w:lang w:eastAsia="zh-CN"/>
        </w:rPr>
        <w:t xml:space="preserve">m vista disso, a presente pesquisa </w:t>
      </w:r>
      <w:bookmarkStart w:id="1" w:name="_Toc265013892"/>
      <w:r w:rsidRPr="008735CD">
        <w:rPr>
          <w:sz w:val="24"/>
          <w:szCs w:val="24"/>
        </w:rPr>
        <w:t>busca responder o seguinte questionamento: qual o perfil das publicações científicas encontradas nos periódicos da CAPES e da SPELL que abordam o tema ensino relacionado à adoção das IFRS no Brasil?</w:t>
      </w:r>
    </w:p>
    <w:p w:rsidR="004C350D" w:rsidRDefault="00695FB4" w:rsidP="004C350D">
      <w:pPr>
        <w:autoSpaceDE w:val="0"/>
        <w:autoSpaceDN w:val="0"/>
        <w:adjustRightInd w:val="0"/>
        <w:ind w:firstLine="709"/>
        <w:jc w:val="both"/>
        <w:rPr>
          <w:rFonts w:eastAsia="SimSun"/>
          <w:spacing w:val="-2"/>
          <w:sz w:val="24"/>
          <w:szCs w:val="24"/>
          <w:lang w:eastAsia="zh-CN"/>
        </w:rPr>
      </w:pPr>
      <w:r w:rsidRPr="008735CD">
        <w:rPr>
          <w:rFonts w:eastAsia="SimSun"/>
          <w:sz w:val="24"/>
          <w:szCs w:val="24"/>
          <w:lang w:eastAsia="zh-CN"/>
        </w:rPr>
        <w:t>Dada a mudança do padrão nacional de Contabilidade para o modelo internacional, torna-se oportuna a presente indagação. Dessa forma, o objetivo do presente estudo é analisar o perfil das publicações científicas com a temática de ensino relacionadas à adoção das IFRS no Brasil</w:t>
      </w:r>
      <w:r w:rsidRPr="008735CD">
        <w:rPr>
          <w:sz w:val="24"/>
          <w:szCs w:val="24"/>
        </w:rPr>
        <w:t xml:space="preserve">. O </w:t>
      </w:r>
      <w:r w:rsidRPr="008735CD">
        <w:rPr>
          <w:rFonts w:eastAsia="SimSun"/>
          <w:sz w:val="24"/>
          <w:szCs w:val="24"/>
          <w:lang w:eastAsia="zh-CN"/>
        </w:rPr>
        <w:t>tema se torna relevante, em vista do fato de que a qualidade e a credibilidade da informação contábil</w:t>
      </w:r>
      <w:r w:rsidR="00B57AA6">
        <w:rPr>
          <w:rFonts w:eastAsia="SimSun"/>
          <w:sz w:val="24"/>
          <w:szCs w:val="24"/>
          <w:lang w:eastAsia="zh-CN"/>
        </w:rPr>
        <w:t xml:space="preserve"> estão</w:t>
      </w:r>
      <w:r w:rsidRPr="008735CD">
        <w:rPr>
          <w:rFonts w:eastAsia="SimSun"/>
          <w:sz w:val="24"/>
          <w:szCs w:val="24"/>
          <w:lang w:eastAsia="zh-CN"/>
        </w:rPr>
        <w:t xml:space="preserve"> diretamente associada</w:t>
      </w:r>
      <w:r w:rsidR="00B57AA6">
        <w:rPr>
          <w:rFonts w:eastAsia="SimSun"/>
          <w:sz w:val="24"/>
          <w:szCs w:val="24"/>
          <w:lang w:eastAsia="zh-CN"/>
        </w:rPr>
        <w:t>s</w:t>
      </w:r>
      <w:r w:rsidRPr="008735CD">
        <w:rPr>
          <w:rFonts w:eastAsia="SimSun"/>
          <w:sz w:val="24"/>
          <w:szCs w:val="24"/>
          <w:lang w:eastAsia="zh-CN"/>
        </w:rPr>
        <w:t xml:space="preserve"> à qualidade do ensino na área contábil (Barth, 2008; </w:t>
      </w:r>
      <w:proofErr w:type="spellStart"/>
      <w:r w:rsidRPr="008735CD">
        <w:rPr>
          <w:rFonts w:eastAsia="SimSun"/>
          <w:sz w:val="24"/>
          <w:szCs w:val="24"/>
          <w:lang w:eastAsia="zh-CN"/>
        </w:rPr>
        <w:t>Ce</w:t>
      </w:r>
      <w:r w:rsidRPr="00B57AA6">
        <w:rPr>
          <w:rFonts w:eastAsia="SimSun"/>
          <w:sz w:val="24"/>
          <w:szCs w:val="24"/>
          <w:lang w:eastAsia="zh-CN"/>
        </w:rPr>
        <w:t>lla</w:t>
      </w:r>
      <w:proofErr w:type="spellEnd"/>
      <w:r w:rsidRPr="00B57AA6">
        <w:rPr>
          <w:rFonts w:eastAsia="SimSun"/>
          <w:sz w:val="24"/>
          <w:szCs w:val="24"/>
          <w:lang w:eastAsia="zh-CN"/>
        </w:rPr>
        <w:t>, Rodrigues</w:t>
      </w:r>
      <w:r w:rsidR="00B57AA6" w:rsidRPr="00B57AA6">
        <w:rPr>
          <w:rFonts w:eastAsia="SimSun"/>
          <w:sz w:val="24"/>
          <w:szCs w:val="24"/>
          <w:lang w:eastAsia="zh-CN"/>
        </w:rPr>
        <w:t>,</w:t>
      </w:r>
      <w:r w:rsidRPr="00B57AA6">
        <w:rPr>
          <w:rFonts w:eastAsia="SimSun"/>
          <w:sz w:val="24"/>
          <w:szCs w:val="24"/>
          <w:lang w:eastAsia="zh-CN"/>
        </w:rPr>
        <w:t xml:space="preserve"> &amp; </w:t>
      </w:r>
      <w:proofErr w:type="spellStart"/>
      <w:r w:rsidRPr="00B57AA6">
        <w:rPr>
          <w:sz w:val="24"/>
          <w:szCs w:val="24"/>
        </w:rPr>
        <w:t>Niyama</w:t>
      </w:r>
      <w:proofErr w:type="spellEnd"/>
      <w:r w:rsidRPr="00B57AA6">
        <w:rPr>
          <w:rFonts w:eastAsia="SimSun"/>
          <w:sz w:val="24"/>
          <w:szCs w:val="24"/>
          <w:lang w:eastAsia="zh-CN"/>
        </w:rPr>
        <w:t xml:space="preserve">, 2011; Machado &amp; </w:t>
      </w:r>
      <w:proofErr w:type="spellStart"/>
      <w:r w:rsidRPr="00B57AA6">
        <w:rPr>
          <w:rFonts w:eastAsia="SimSun"/>
          <w:sz w:val="24"/>
          <w:szCs w:val="24"/>
          <w:lang w:eastAsia="zh-CN"/>
        </w:rPr>
        <w:t>Nakao</w:t>
      </w:r>
      <w:proofErr w:type="spellEnd"/>
      <w:r w:rsidRPr="00B57AA6">
        <w:rPr>
          <w:rFonts w:eastAsia="SimSun"/>
          <w:sz w:val="24"/>
          <w:szCs w:val="24"/>
          <w:lang w:eastAsia="zh-CN"/>
        </w:rPr>
        <w:t xml:space="preserve">, 2014; </w:t>
      </w:r>
      <w:r w:rsidR="00B57AA6" w:rsidRPr="00B57AA6">
        <w:rPr>
          <w:rFonts w:eastAsia="SimSun"/>
          <w:sz w:val="24"/>
          <w:szCs w:val="24"/>
          <w:lang w:eastAsia="zh-CN"/>
        </w:rPr>
        <w:t>Nunes, Marques, &amp; Costa</w:t>
      </w:r>
      <w:r w:rsidRPr="00B57AA6">
        <w:rPr>
          <w:rFonts w:eastAsia="SimSun"/>
          <w:sz w:val="24"/>
          <w:szCs w:val="24"/>
          <w:lang w:eastAsia="zh-CN"/>
        </w:rPr>
        <w:t>, 2016).</w:t>
      </w:r>
      <w:r w:rsidRPr="008735CD">
        <w:rPr>
          <w:rFonts w:eastAsia="SimSun"/>
          <w:sz w:val="24"/>
          <w:szCs w:val="24"/>
          <w:lang w:eastAsia="zh-CN"/>
        </w:rPr>
        <w:t xml:space="preserve"> </w:t>
      </w:r>
    </w:p>
    <w:p w:rsidR="004C350D" w:rsidRDefault="00695FB4" w:rsidP="004C350D">
      <w:pPr>
        <w:autoSpaceDE w:val="0"/>
        <w:autoSpaceDN w:val="0"/>
        <w:adjustRightInd w:val="0"/>
        <w:ind w:firstLine="709"/>
        <w:jc w:val="both"/>
        <w:rPr>
          <w:rFonts w:eastAsia="SimSun"/>
          <w:spacing w:val="-2"/>
          <w:sz w:val="24"/>
          <w:szCs w:val="24"/>
          <w:lang w:eastAsia="zh-CN"/>
        </w:rPr>
      </w:pPr>
      <w:r w:rsidRPr="008735CD">
        <w:rPr>
          <w:rFonts w:eastAsia="SimSun"/>
          <w:sz w:val="24"/>
          <w:szCs w:val="24"/>
          <w:lang w:eastAsia="zh-CN"/>
        </w:rPr>
        <w:t>O processo de adoção das IFRS trouxe à tona a necessidade de que as Instituições de Ensino Superior (IES) se adequem à nova realidade decorrente dessas mudanças (</w:t>
      </w:r>
      <w:proofErr w:type="spellStart"/>
      <w:r w:rsidRPr="008735CD">
        <w:rPr>
          <w:rFonts w:eastAsia="SimSun"/>
          <w:sz w:val="24"/>
          <w:szCs w:val="24"/>
          <w:lang w:eastAsia="zh-CN"/>
        </w:rPr>
        <w:t>Riccio</w:t>
      </w:r>
      <w:proofErr w:type="spellEnd"/>
      <w:r w:rsidRPr="008735CD">
        <w:rPr>
          <w:rFonts w:eastAsia="SimSun"/>
          <w:sz w:val="24"/>
          <w:szCs w:val="24"/>
          <w:lang w:eastAsia="zh-CN"/>
        </w:rPr>
        <w:t xml:space="preserve"> &amp; </w:t>
      </w:r>
      <w:proofErr w:type="spellStart"/>
      <w:r w:rsidRPr="008735CD">
        <w:rPr>
          <w:rFonts w:eastAsia="SimSun"/>
          <w:sz w:val="24"/>
          <w:szCs w:val="24"/>
          <w:lang w:eastAsia="zh-CN"/>
        </w:rPr>
        <w:lastRenderedPageBreak/>
        <w:t>Sakata</w:t>
      </w:r>
      <w:proofErr w:type="spellEnd"/>
      <w:r w:rsidRPr="008735CD">
        <w:rPr>
          <w:rFonts w:eastAsia="SimSun"/>
          <w:sz w:val="24"/>
          <w:szCs w:val="24"/>
          <w:lang w:eastAsia="zh-CN"/>
        </w:rPr>
        <w:t>, 2004), uma vez que a qualidade do ensino em Contabilidade tem o condão de influenciar a eficácia do processo de convergência em um país (</w:t>
      </w:r>
      <w:proofErr w:type="spellStart"/>
      <w:r w:rsidRPr="008735CD">
        <w:rPr>
          <w:rFonts w:eastAsia="SimSun"/>
          <w:sz w:val="24"/>
          <w:szCs w:val="24"/>
          <w:lang w:eastAsia="zh-CN"/>
        </w:rPr>
        <w:t>Ding</w:t>
      </w:r>
      <w:proofErr w:type="spellEnd"/>
      <w:r w:rsidRPr="008735CD">
        <w:rPr>
          <w:rFonts w:eastAsia="SimSun"/>
          <w:sz w:val="24"/>
          <w:szCs w:val="24"/>
          <w:lang w:eastAsia="zh-CN"/>
        </w:rPr>
        <w:t xml:space="preserve">, Hope, </w:t>
      </w:r>
      <w:proofErr w:type="spellStart"/>
      <w:r w:rsidRPr="008735CD">
        <w:rPr>
          <w:rFonts w:eastAsia="SimSun"/>
          <w:sz w:val="24"/>
          <w:szCs w:val="24"/>
          <w:lang w:eastAsia="zh-CN"/>
        </w:rPr>
        <w:t>Jeanjean</w:t>
      </w:r>
      <w:proofErr w:type="spellEnd"/>
      <w:r w:rsidRPr="008735CD">
        <w:rPr>
          <w:rFonts w:eastAsia="SimSun"/>
          <w:sz w:val="24"/>
          <w:szCs w:val="24"/>
          <w:lang w:eastAsia="zh-CN"/>
        </w:rPr>
        <w:t xml:space="preserve">, &amp; </w:t>
      </w:r>
      <w:proofErr w:type="spellStart"/>
      <w:r w:rsidRPr="008735CD">
        <w:rPr>
          <w:rFonts w:eastAsia="SimSun"/>
          <w:sz w:val="24"/>
          <w:szCs w:val="24"/>
          <w:lang w:eastAsia="zh-CN"/>
        </w:rPr>
        <w:t>Stolowy</w:t>
      </w:r>
      <w:proofErr w:type="spellEnd"/>
      <w:r w:rsidRPr="008735CD">
        <w:rPr>
          <w:rFonts w:eastAsia="SimSun"/>
          <w:sz w:val="24"/>
          <w:szCs w:val="24"/>
          <w:lang w:eastAsia="zh-CN"/>
        </w:rPr>
        <w:t>, 2007)</w:t>
      </w:r>
      <w:r w:rsidRPr="008735CD" w:rsidDel="00094889">
        <w:rPr>
          <w:rFonts w:eastAsia="SimSun"/>
          <w:sz w:val="24"/>
          <w:szCs w:val="24"/>
          <w:lang w:eastAsia="zh-CN"/>
        </w:rPr>
        <w:t xml:space="preserve"> </w:t>
      </w:r>
      <w:r w:rsidRPr="008735CD">
        <w:rPr>
          <w:rFonts w:eastAsia="SimSun"/>
          <w:sz w:val="24"/>
          <w:szCs w:val="24"/>
          <w:lang w:eastAsia="zh-CN"/>
        </w:rPr>
        <w:t xml:space="preserve">e que novas demandas nas práticas dos profissionais de Contabilidade, sugerem a adoção de novos paradigmas educacionais com a inserção de mecanismos e </w:t>
      </w:r>
      <w:r w:rsidRPr="00B57AA6">
        <w:rPr>
          <w:rFonts w:eastAsia="SimSun"/>
          <w:sz w:val="24"/>
          <w:szCs w:val="24"/>
          <w:lang w:eastAsia="zh-CN"/>
        </w:rPr>
        <w:t>didáticas de ensino na prática pedagógica</w:t>
      </w:r>
      <w:r w:rsidRPr="00B57AA6">
        <w:rPr>
          <w:sz w:val="24"/>
          <w:szCs w:val="24"/>
        </w:rPr>
        <w:t xml:space="preserve"> </w:t>
      </w:r>
      <w:r w:rsidRPr="00B57AA6">
        <w:rPr>
          <w:rFonts w:eastAsia="SimSun"/>
          <w:sz w:val="24"/>
          <w:szCs w:val="24"/>
          <w:lang w:eastAsia="zh-CN"/>
        </w:rPr>
        <w:t>(Silva, Santos, Cordeiro Filho</w:t>
      </w:r>
      <w:r w:rsidR="00B57AA6" w:rsidRPr="00B57AA6">
        <w:rPr>
          <w:rFonts w:eastAsia="SimSun"/>
          <w:sz w:val="24"/>
          <w:szCs w:val="24"/>
          <w:lang w:eastAsia="zh-CN"/>
        </w:rPr>
        <w:t>,</w:t>
      </w:r>
      <w:r w:rsidRPr="00B57AA6">
        <w:rPr>
          <w:rFonts w:eastAsia="SimSun"/>
          <w:sz w:val="24"/>
          <w:szCs w:val="24"/>
          <w:lang w:eastAsia="zh-CN"/>
        </w:rPr>
        <w:t xml:space="preserve"> &amp; Bruni, 2014)</w:t>
      </w:r>
      <w:r w:rsidRPr="00B57AA6">
        <w:rPr>
          <w:rFonts w:eastAsia="SimSun"/>
          <w:spacing w:val="-2"/>
          <w:sz w:val="24"/>
          <w:szCs w:val="24"/>
          <w:lang w:eastAsia="zh-CN"/>
        </w:rPr>
        <w:t>.</w:t>
      </w:r>
      <w:bookmarkEnd w:id="1"/>
    </w:p>
    <w:p w:rsidR="00695FB4" w:rsidRPr="004C350D" w:rsidRDefault="00695FB4" w:rsidP="004C350D">
      <w:pPr>
        <w:autoSpaceDE w:val="0"/>
        <w:autoSpaceDN w:val="0"/>
        <w:adjustRightInd w:val="0"/>
        <w:ind w:firstLine="709"/>
        <w:jc w:val="both"/>
        <w:rPr>
          <w:rFonts w:eastAsia="SimSun"/>
          <w:spacing w:val="-2"/>
          <w:sz w:val="24"/>
          <w:szCs w:val="24"/>
          <w:lang w:eastAsia="zh-CN"/>
        </w:rPr>
      </w:pPr>
      <w:r w:rsidRPr="008735CD">
        <w:rPr>
          <w:rFonts w:eastAsia="SimSun"/>
          <w:sz w:val="24"/>
          <w:szCs w:val="24"/>
          <w:lang w:eastAsia="zh-CN"/>
        </w:rPr>
        <w:t>O trabalho está dividido em três seções além desta introdução. A plataforma teórica encontra-se na seção 2 e, na sequência, são apresentados os procedimentos metodológicos, seguido dos resultados apurados e da discussão e confrontação com o quadro teórico. Por fim, são tecidas as considerações finais e sugestões para futuras investigações.</w:t>
      </w:r>
    </w:p>
    <w:p w:rsidR="00D95E8A" w:rsidRPr="008735CD" w:rsidRDefault="00D95E8A" w:rsidP="004C350D">
      <w:pPr>
        <w:widowControl w:val="0"/>
        <w:spacing w:before="240" w:after="80"/>
        <w:rPr>
          <w:b/>
          <w:sz w:val="24"/>
          <w:szCs w:val="24"/>
        </w:rPr>
      </w:pPr>
      <w:r w:rsidRPr="008735CD">
        <w:rPr>
          <w:b/>
          <w:sz w:val="24"/>
          <w:szCs w:val="24"/>
        </w:rPr>
        <w:t>2 Referencial Teórico</w:t>
      </w:r>
    </w:p>
    <w:p w:rsidR="004C350D" w:rsidRDefault="00552CCF" w:rsidP="004C350D">
      <w:pPr>
        <w:autoSpaceDE w:val="0"/>
        <w:autoSpaceDN w:val="0"/>
        <w:adjustRightInd w:val="0"/>
        <w:ind w:firstLine="709"/>
        <w:jc w:val="both"/>
        <w:rPr>
          <w:rFonts w:eastAsia="SimSun"/>
          <w:spacing w:val="-2"/>
          <w:sz w:val="24"/>
          <w:szCs w:val="24"/>
          <w:lang w:eastAsia="zh-CN"/>
        </w:rPr>
      </w:pPr>
      <w:r w:rsidRPr="008735CD">
        <w:rPr>
          <w:rFonts w:eastAsia="SimSun"/>
          <w:spacing w:val="-2"/>
          <w:sz w:val="24"/>
          <w:szCs w:val="24"/>
          <w:lang w:eastAsia="zh-CN"/>
        </w:rPr>
        <w:t xml:space="preserve">A disseminação da Teoria Positiva da Contabilidade a partir dos anos 60 revolucionou os paradigmas de pesquisa, rompendo com a visão da Contabilidade como mensuração e desenvolveu o estudo da informação disponível aos usuários (Watts &amp; </w:t>
      </w:r>
      <w:proofErr w:type="spellStart"/>
      <w:r w:rsidRPr="008735CD">
        <w:rPr>
          <w:rFonts w:eastAsia="SimSun"/>
          <w:spacing w:val="-2"/>
          <w:sz w:val="24"/>
          <w:szCs w:val="24"/>
          <w:lang w:eastAsia="zh-CN"/>
        </w:rPr>
        <w:t>Zimmerman</w:t>
      </w:r>
      <w:proofErr w:type="spellEnd"/>
      <w:r w:rsidRPr="008735CD">
        <w:rPr>
          <w:rFonts w:eastAsia="SimSun"/>
          <w:spacing w:val="-2"/>
          <w:sz w:val="24"/>
          <w:szCs w:val="24"/>
          <w:lang w:eastAsia="zh-CN"/>
        </w:rPr>
        <w:t xml:space="preserve">, 1986), tomando </w:t>
      </w:r>
      <w:r w:rsidRPr="008735CD">
        <w:rPr>
          <w:rFonts w:eastAsia="SimSun"/>
          <w:sz w:val="24"/>
          <w:szCs w:val="24"/>
          <w:lang w:eastAsia="zh-CN"/>
        </w:rPr>
        <w:t xml:space="preserve">rumos distintos nos Estados Unidos e na Europa e promovendo divergências contábeis entre os países (Weffort, 2005; </w:t>
      </w:r>
      <w:r w:rsidRPr="008735CD">
        <w:rPr>
          <w:sz w:val="24"/>
          <w:szCs w:val="24"/>
        </w:rPr>
        <w:t xml:space="preserve">Epstein &amp; </w:t>
      </w:r>
      <w:proofErr w:type="spellStart"/>
      <w:r w:rsidRPr="008735CD">
        <w:rPr>
          <w:sz w:val="24"/>
          <w:szCs w:val="24"/>
        </w:rPr>
        <w:t>Mirza</w:t>
      </w:r>
      <w:proofErr w:type="spellEnd"/>
      <w:r w:rsidRPr="008735CD">
        <w:rPr>
          <w:sz w:val="24"/>
          <w:szCs w:val="24"/>
        </w:rPr>
        <w:t>, 2006</w:t>
      </w:r>
      <w:r w:rsidRPr="008735CD">
        <w:rPr>
          <w:rFonts w:eastAsia="SimSun"/>
          <w:sz w:val="24"/>
          <w:szCs w:val="24"/>
          <w:lang w:eastAsia="zh-CN"/>
        </w:rPr>
        <w:t>). Todavia, o</w:t>
      </w:r>
      <w:r w:rsidRPr="008735CD">
        <w:rPr>
          <w:rFonts w:eastAsia="SimSun"/>
          <w:spacing w:val="-2"/>
          <w:sz w:val="24"/>
          <w:szCs w:val="24"/>
          <w:lang w:eastAsia="zh-CN"/>
        </w:rPr>
        <w:t xml:space="preserve"> estreitamento </w:t>
      </w:r>
      <w:r w:rsidRPr="008735CD">
        <w:rPr>
          <w:sz w:val="24"/>
          <w:szCs w:val="24"/>
        </w:rPr>
        <w:t xml:space="preserve">das relações entre as nações, a internacionalização e a interligação dos mercados, trouxe à tona a necessidade de normas contábeis capazes de reduzir as diferenças entre informações </w:t>
      </w:r>
      <w:r w:rsidRPr="00B57AA6">
        <w:rPr>
          <w:sz w:val="24"/>
          <w:szCs w:val="24"/>
        </w:rPr>
        <w:t>contábeis e permitir sua compreensão de forma globalizada (</w:t>
      </w:r>
      <w:proofErr w:type="spellStart"/>
      <w:r w:rsidRPr="00B57AA6">
        <w:rPr>
          <w:rFonts w:eastAsia="SimSun"/>
          <w:spacing w:val="-2"/>
          <w:sz w:val="24"/>
          <w:szCs w:val="24"/>
          <w:lang w:eastAsia="zh-CN"/>
        </w:rPr>
        <w:t>Niyama</w:t>
      </w:r>
      <w:proofErr w:type="spellEnd"/>
      <w:r w:rsidRPr="00B57AA6">
        <w:rPr>
          <w:rFonts w:eastAsia="SimSun"/>
          <w:spacing w:val="-2"/>
          <w:sz w:val="24"/>
          <w:szCs w:val="24"/>
          <w:lang w:eastAsia="zh-CN"/>
        </w:rPr>
        <w:t xml:space="preserve"> &amp; Silva</w:t>
      </w:r>
      <w:r w:rsidR="00B57AA6" w:rsidRPr="00B57AA6">
        <w:rPr>
          <w:rFonts w:eastAsia="SimSun"/>
          <w:spacing w:val="-2"/>
          <w:sz w:val="24"/>
          <w:szCs w:val="24"/>
          <w:lang w:eastAsia="zh-CN"/>
        </w:rPr>
        <w:t>,</w:t>
      </w:r>
      <w:r w:rsidRPr="00B57AA6">
        <w:rPr>
          <w:rFonts w:eastAsia="SimSun"/>
          <w:spacing w:val="-2"/>
          <w:sz w:val="24"/>
          <w:szCs w:val="24"/>
          <w:lang w:eastAsia="zh-CN"/>
        </w:rPr>
        <w:t xml:space="preserve"> 2013).</w:t>
      </w:r>
    </w:p>
    <w:p w:rsidR="004C350D" w:rsidRDefault="00552CCF" w:rsidP="004C350D">
      <w:pPr>
        <w:autoSpaceDE w:val="0"/>
        <w:autoSpaceDN w:val="0"/>
        <w:adjustRightInd w:val="0"/>
        <w:ind w:firstLine="709"/>
        <w:jc w:val="both"/>
        <w:rPr>
          <w:rFonts w:eastAsia="SimSun"/>
          <w:spacing w:val="-2"/>
          <w:sz w:val="24"/>
          <w:szCs w:val="24"/>
          <w:lang w:eastAsia="zh-CN"/>
        </w:rPr>
      </w:pPr>
      <w:r w:rsidRPr="008735CD">
        <w:rPr>
          <w:sz w:val="24"/>
          <w:szCs w:val="24"/>
        </w:rPr>
        <w:t>N</w:t>
      </w:r>
      <w:r w:rsidRPr="008735CD">
        <w:rPr>
          <w:rFonts w:eastAsia="SimSun"/>
          <w:spacing w:val="-2"/>
          <w:sz w:val="24"/>
          <w:szCs w:val="24"/>
          <w:lang w:eastAsia="zh-CN"/>
        </w:rPr>
        <w:t xml:space="preserve">o Brasil, o processo </w:t>
      </w:r>
      <w:r w:rsidRPr="008735CD">
        <w:rPr>
          <w:sz w:val="24"/>
          <w:szCs w:val="24"/>
        </w:rPr>
        <w:t xml:space="preserve">de convergência ao padrão IFRS </w:t>
      </w:r>
      <w:r w:rsidRPr="008735CD">
        <w:rPr>
          <w:rFonts w:eastAsia="SimSun"/>
          <w:spacing w:val="-2"/>
          <w:sz w:val="24"/>
          <w:szCs w:val="24"/>
          <w:lang w:eastAsia="zh-CN"/>
        </w:rPr>
        <w:t xml:space="preserve">foi deflagrado em 2005, com a implantação do CPC, e pela edição da Lei nº 11.638, que alterou a Lei das </w:t>
      </w:r>
      <w:r w:rsidRPr="008735CD">
        <w:rPr>
          <w:rFonts w:eastAsia="SimSun"/>
          <w:sz w:val="24"/>
          <w:szCs w:val="24"/>
          <w:lang w:eastAsia="zh-CN"/>
        </w:rPr>
        <w:t xml:space="preserve">Sociedades por </w:t>
      </w:r>
      <w:r w:rsidRPr="00B57AA6">
        <w:rPr>
          <w:rFonts w:eastAsia="SimSun"/>
          <w:sz w:val="24"/>
          <w:szCs w:val="24"/>
          <w:lang w:eastAsia="zh-CN"/>
        </w:rPr>
        <w:t xml:space="preserve">Ações (Martins, </w:t>
      </w:r>
      <w:proofErr w:type="spellStart"/>
      <w:r w:rsidRPr="00B57AA6">
        <w:rPr>
          <w:rFonts w:eastAsia="SimSun"/>
          <w:sz w:val="24"/>
          <w:szCs w:val="24"/>
          <w:lang w:eastAsia="zh-CN"/>
        </w:rPr>
        <w:t>Gelbcke</w:t>
      </w:r>
      <w:proofErr w:type="spellEnd"/>
      <w:r w:rsidRPr="00B57AA6">
        <w:rPr>
          <w:rFonts w:eastAsia="SimSun"/>
          <w:sz w:val="24"/>
          <w:szCs w:val="24"/>
          <w:lang w:eastAsia="zh-CN"/>
        </w:rPr>
        <w:t>, Santos,</w:t>
      </w:r>
      <w:r w:rsidR="00B57AA6" w:rsidRPr="00B57AA6">
        <w:rPr>
          <w:rFonts w:eastAsia="SimSun"/>
          <w:sz w:val="24"/>
          <w:szCs w:val="24"/>
          <w:lang w:eastAsia="zh-CN"/>
        </w:rPr>
        <w:t xml:space="preserve"> </w:t>
      </w:r>
      <w:r w:rsidRPr="00B57AA6">
        <w:rPr>
          <w:rFonts w:eastAsia="SimSun"/>
          <w:sz w:val="24"/>
          <w:szCs w:val="24"/>
          <w:lang w:eastAsia="zh-CN"/>
        </w:rPr>
        <w:t xml:space="preserve">&amp; </w:t>
      </w:r>
      <w:proofErr w:type="spellStart"/>
      <w:r w:rsidRPr="00B57AA6">
        <w:rPr>
          <w:rFonts w:eastAsia="SimSun"/>
          <w:sz w:val="24"/>
          <w:szCs w:val="24"/>
          <w:lang w:eastAsia="zh-CN"/>
        </w:rPr>
        <w:t>Iudicibus</w:t>
      </w:r>
      <w:proofErr w:type="spellEnd"/>
      <w:r w:rsidRPr="00B57AA6">
        <w:rPr>
          <w:rFonts w:eastAsia="SimSun"/>
          <w:sz w:val="24"/>
          <w:szCs w:val="24"/>
          <w:lang w:eastAsia="zh-CN"/>
        </w:rPr>
        <w:t>, 2013). A</w:t>
      </w:r>
      <w:r w:rsidRPr="00B57AA6">
        <w:rPr>
          <w:rFonts w:eastAsia="SimSun"/>
          <w:spacing w:val="-2"/>
          <w:sz w:val="24"/>
          <w:szCs w:val="24"/>
          <w:lang w:eastAsia="zh-CN"/>
        </w:rPr>
        <w:t xml:space="preserve"> adoção dessas normas trouxe significativas alterações ao processo contábil, tais como mudanças em critérios de mensuração, de reconhecimento e de evidenciação (</w:t>
      </w:r>
      <w:r w:rsidRPr="00B57AA6">
        <w:rPr>
          <w:rFonts w:eastAsia="SimSun"/>
          <w:sz w:val="24"/>
          <w:szCs w:val="24"/>
          <w:lang w:eastAsia="zh-CN"/>
        </w:rPr>
        <w:t>Martins</w:t>
      </w:r>
      <w:r w:rsidRPr="00B57AA6">
        <w:rPr>
          <w:rFonts w:eastAsia="SimSun"/>
          <w:spacing w:val="-2"/>
          <w:sz w:val="24"/>
          <w:szCs w:val="24"/>
          <w:lang w:eastAsia="zh-CN"/>
        </w:rPr>
        <w:t xml:space="preserve"> </w:t>
      </w:r>
      <w:r w:rsidRPr="00930388">
        <w:rPr>
          <w:rFonts w:eastAsia="SimSun"/>
          <w:spacing w:val="-2"/>
          <w:sz w:val="24"/>
          <w:szCs w:val="24"/>
          <w:lang w:eastAsia="zh-CN"/>
        </w:rPr>
        <w:t>et al</w:t>
      </w:r>
      <w:r w:rsidRPr="00B57AA6">
        <w:rPr>
          <w:rFonts w:eastAsia="SimSun"/>
          <w:spacing w:val="-2"/>
          <w:sz w:val="24"/>
          <w:szCs w:val="24"/>
          <w:lang w:eastAsia="zh-CN"/>
        </w:rPr>
        <w:t>., 2013; Lopes &amp; Martins 2014).</w:t>
      </w:r>
    </w:p>
    <w:p w:rsidR="004C350D" w:rsidRDefault="00552CCF" w:rsidP="004C350D">
      <w:pPr>
        <w:autoSpaceDE w:val="0"/>
        <w:autoSpaceDN w:val="0"/>
        <w:adjustRightInd w:val="0"/>
        <w:ind w:firstLine="709"/>
        <w:jc w:val="both"/>
        <w:rPr>
          <w:rFonts w:eastAsia="SimSun"/>
          <w:spacing w:val="-2"/>
          <w:sz w:val="24"/>
          <w:szCs w:val="24"/>
          <w:lang w:eastAsia="zh-CN"/>
        </w:rPr>
      </w:pPr>
      <w:r w:rsidRPr="008735CD">
        <w:rPr>
          <w:rFonts w:eastAsia="SimSun"/>
          <w:sz w:val="24"/>
          <w:szCs w:val="24"/>
          <w:lang w:eastAsia="zh-CN"/>
        </w:rPr>
        <w:t xml:space="preserve">Esse cenário tem permitido </w:t>
      </w:r>
      <w:r w:rsidRPr="008735CD">
        <w:rPr>
          <w:rFonts w:eastAsia="SimSun"/>
          <w:spacing w:val="-2"/>
          <w:sz w:val="24"/>
          <w:szCs w:val="24"/>
          <w:lang w:eastAsia="zh-CN"/>
        </w:rPr>
        <w:t xml:space="preserve">uma maior transparência das informações; no entanto, tem </w:t>
      </w:r>
      <w:r w:rsidRPr="008735CD">
        <w:rPr>
          <w:rFonts w:eastAsia="SimSun"/>
          <w:sz w:val="24"/>
          <w:szCs w:val="24"/>
          <w:lang w:eastAsia="zh-CN"/>
        </w:rPr>
        <w:t xml:space="preserve">exigido profissionais mais bem preparados e capazes de se adaptar aos novos padrões </w:t>
      </w:r>
      <w:r w:rsidRPr="00B57AA6">
        <w:rPr>
          <w:rFonts w:eastAsia="SimSun"/>
          <w:sz w:val="24"/>
          <w:szCs w:val="24"/>
          <w:lang w:eastAsia="zh-CN"/>
        </w:rPr>
        <w:t>contábeis (</w:t>
      </w:r>
      <w:r w:rsidRPr="00B57AA6">
        <w:rPr>
          <w:rFonts w:eastAsia="SimSun"/>
          <w:spacing w:val="-2"/>
          <w:sz w:val="24"/>
          <w:szCs w:val="24"/>
          <w:lang w:eastAsia="zh-CN"/>
        </w:rPr>
        <w:t>Lopes</w:t>
      </w:r>
      <w:r w:rsidRPr="008735CD">
        <w:rPr>
          <w:rFonts w:eastAsia="SimSun"/>
          <w:spacing w:val="-2"/>
          <w:sz w:val="24"/>
          <w:szCs w:val="24"/>
          <w:lang w:eastAsia="zh-CN"/>
        </w:rPr>
        <w:t xml:space="preserve"> &amp; Martins 2014)</w:t>
      </w:r>
      <w:r w:rsidRPr="008735CD">
        <w:rPr>
          <w:rFonts w:eastAsia="SimSun"/>
          <w:sz w:val="24"/>
          <w:szCs w:val="24"/>
          <w:lang w:eastAsia="zh-CN"/>
        </w:rPr>
        <w:t xml:space="preserve">. Isso porque a educação na área contábil tem significativo impacto na qualidade e no tipo de informação gerado pelo sistema contábil e na redução da lacuna entre a formação superior e as competências profissionais exigidas pelo mercado de trabalho (Mohamed &amp; </w:t>
      </w:r>
      <w:proofErr w:type="spellStart"/>
      <w:r w:rsidRPr="008735CD">
        <w:rPr>
          <w:rFonts w:eastAsia="SimSun"/>
          <w:sz w:val="24"/>
          <w:szCs w:val="24"/>
          <w:lang w:eastAsia="zh-CN"/>
        </w:rPr>
        <w:t>Lashine</w:t>
      </w:r>
      <w:proofErr w:type="spellEnd"/>
      <w:r w:rsidRPr="008735CD">
        <w:rPr>
          <w:rFonts w:eastAsia="SimSun"/>
          <w:sz w:val="24"/>
          <w:szCs w:val="24"/>
          <w:lang w:eastAsia="zh-CN"/>
        </w:rPr>
        <w:t xml:space="preserve">, 2003; </w:t>
      </w:r>
      <w:proofErr w:type="spellStart"/>
      <w:r w:rsidRPr="008735CD">
        <w:rPr>
          <w:rFonts w:eastAsia="SimSun"/>
          <w:sz w:val="24"/>
          <w:szCs w:val="24"/>
          <w:lang w:eastAsia="zh-CN"/>
        </w:rPr>
        <w:t>Niyama</w:t>
      </w:r>
      <w:proofErr w:type="spellEnd"/>
      <w:r w:rsidRPr="008735CD">
        <w:rPr>
          <w:rFonts w:eastAsia="SimSun"/>
          <w:sz w:val="24"/>
          <w:szCs w:val="24"/>
          <w:lang w:eastAsia="zh-CN"/>
        </w:rPr>
        <w:t>, 2010).</w:t>
      </w:r>
    </w:p>
    <w:p w:rsidR="004C350D" w:rsidRDefault="00552CCF" w:rsidP="004C350D">
      <w:pPr>
        <w:autoSpaceDE w:val="0"/>
        <w:autoSpaceDN w:val="0"/>
        <w:adjustRightInd w:val="0"/>
        <w:ind w:firstLine="709"/>
        <w:jc w:val="both"/>
        <w:rPr>
          <w:rFonts w:eastAsia="SimSun"/>
          <w:spacing w:val="-2"/>
          <w:sz w:val="24"/>
          <w:szCs w:val="24"/>
          <w:lang w:eastAsia="zh-CN"/>
        </w:rPr>
      </w:pPr>
      <w:r w:rsidRPr="008735CD">
        <w:rPr>
          <w:rFonts w:eastAsia="SimSun"/>
          <w:sz w:val="24"/>
          <w:szCs w:val="24"/>
          <w:lang w:eastAsia="zh-CN"/>
        </w:rPr>
        <w:t xml:space="preserve">Na área da educação contábil, o papel do professor é fundamental neste contexto de mudanças, a fim de desenvolver competências profissionais. </w:t>
      </w:r>
      <w:proofErr w:type="spellStart"/>
      <w:r w:rsidRPr="008735CD">
        <w:rPr>
          <w:rFonts w:eastAsia="SimSun"/>
          <w:sz w:val="24"/>
          <w:szCs w:val="24"/>
          <w:lang w:eastAsia="zh-CN"/>
        </w:rPr>
        <w:t>Vendruscolo</w:t>
      </w:r>
      <w:proofErr w:type="spellEnd"/>
      <w:r w:rsidRPr="008735CD">
        <w:rPr>
          <w:rFonts w:eastAsia="SimSun"/>
          <w:sz w:val="24"/>
          <w:szCs w:val="24"/>
          <w:lang w:eastAsia="zh-CN"/>
        </w:rPr>
        <w:t xml:space="preserve"> (2015) destaca que, no âmbito das competências docentes, especificamente a técnica, é exigido do docente o domínio de determinados conhecimentos, tais como: conteúdos da área de conhecimento específico, teorias relacionadas e campos de conhecimento, experiência profissional, interdisciplinaridade, princípios e normas de Contabilidade, internacionalização das normas contábeis, código de ética da profissão contábil, organizações e negócios.</w:t>
      </w:r>
    </w:p>
    <w:p w:rsidR="004C350D" w:rsidRDefault="00552CCF" w:rsidP="004C350D">
      <w:pPr>
        <w:autoSpaceDE w:val="0"/>
        <w:autoSpaceDN w:val="0"/>
        <w:adjustRightInd w:val="0"/>
        <w:ind w:firstLine="709"/>
        <w:jc w:val="both"/>
        <w:rPr>
          <w:rFonts w:eastAsia="SimSun"/>
          <w:spacing w:val="-2"/>
          <w:sz w:val="24"/>
          <w:szCs w:val="24"/>
          <w:lang w:eastAsia="zh-CN"/>
        </w:rPr>
      </w:pPr>
      <w:r w:rsidRPr="008735CD">
        <w:rPr>
          <w:rFonts w:eastAsia="SimSun"/>
          <w:sz w:val="24"/>
          <w:szCs w:val="24"/>
          <w:lang w:eastAsia="zh-CN"/>
        </w:rPr>
        <w:t>Segundo o estudo de Matos</w:t>
      </w:r>
      <w:r w:rsidR="00800342" w:rsidRPr="00800342">
        <w:rPr>
          <w:rFonts w:eastAsia="SimSun"/>
          <w:sz w:val="24"/>
          <w:szCs w:val="24"/>
          <w:lang w:eastAsia="zh-CN"/>
        </w:rPr>
        <w:t xml:space="preserve">, </w:t>
      </w:r>
      <w:proofErr w:type="spellStart"/>
      <w:r w:rsidR="00800342" w:rsidRPr="00800342">
        <w:rPr>
          <w:rFonts w:eastAsia="SimSun"/>
          <w:sz w:val="24"/>
          <w:szCs w:val="24"/>
          <w:lang w:eastAsia="zh-CN"/>
        </w:rPr>
        <w:t>Niyama</w:t>
      </w:r>
      <w:proofErr w:type="spellEnd"/>
      <w:r w:rsidR="00800342" w:rsidRPr="00800342">
        <w:rPr>
          <w:rFonts w:eastAsia="SimSun"/>
          <w:sz w:val="24"/>
          <w:szCs w:val="24"/>
          <w:lang w:eastAsia="zh-CN"/>
        </w:rPr>
        <w:t>, Fernandes, &amp; Botelho</w:t>
      </w:r>
      <w:r w:rsidRPr="008735CD">
        <w:rPr>
          <w:rFonts w:eastAsia="SimSun"/>
          <w:sz w:val="24"/>
          <w:szCs w:val="24"/>
          <w:lang w:eastAsia="zh-CN"/>
        </w:rPr>
        <w:t xml:space="preserve"> </w:t>
      </w:r>
      <w:r w:rsidRPr="00930388">
        <w:rPr>
          <w:rFonts w:eastAsia="SimSun"/>
          <w:sz w:val="24"/>
          <w:szCs w:val="24"/>
          <w:lang w:eastAsia="zh-CN"/>
        </w:rPr>
        <w:t>et al</w:t>
      </w:r>
      <w:r w:rsidRPr="008735CD">
        <w:rPr>
          <w:rFonts w:eastAsia="SimSun"/>
          <w:sz w:val="24"/>
          <w:szCs w:val="24"/>
          <w:lang w:eastAsia="zh-CN"/>
        </w:rPr>
        <w:t>. (2012), no âmbito internacional, pesquisas relacionadas à “educação” e à “instrução” revelam preocupações com a educação e com o processo de ensino superior. Em vez de memorizar regras, os alunos precisam aprender a julgar a informação financeira (Barth, 2008), o que está diretamente associado à questões educacionais. É nesse âmbito, então, que surgem desafios relacionados à qualificação do corpo docente, à qualificação dos discentes e à estrutura curricular.</w:t>
      </w:r>
    </w:p>
    <w:p w:rsidR="00552CCF" w:rsidRPr="004C350D" w:rsidRDefault="00552CCF" w:rsidP="004C350D">
      <w:pPr>
        <w:autoSpaceDE w:val="0"/>
        <w:autoSpaceDN w:val="0"/>
        <w:adjustRightInd w:val="0"/>
        <w:ind w:firstLine="709"/>
        <w:jc w:val="both"/>
        <w:rPr>
          <w:rFonts w:eastAsia="SimSun"/>
          <w:spacing w:val="-2"/>
          <w:sz w:val="24"/>
          <w:szCs w:val="24"/>
          <w:lang w:eastAsia="zh-CN"/>
        </w:rPr>
      </w:pPr>
      <w:r w:rsidRPr="008735CD">
        <w:rPr>
          <w:rFonts w:eastAsia="SimSun"/>
          <w:sz w:val="24"/>
          <w:szCs w:val="24"/>
          <w:lang w:eastAsia="zh-CN"/>
        </w:rPr>
        <w:t xml:space="preserve">A despeito disso, verifica-se que rápidas mudanças no ambiente empresarial contrastam com lentas modificações no âmbito da educação contábil, de forma que o </w:t>
      </w:r>
      <w:r w:rsidRPr="008735CD">
        <w:rPr>
          <w:rFonts w:eastAsia="SimSun"/>
          <w:sz w:val="24"/>
          <w:szCs w:val="24"/>
          <w:lang w:eastAsia="zh-CN"/>
        </w:rPr>
        <w:lastRenderedPageBreak/>
        <w:t>descontentamento com o atual sistema de ensino da Contabilidade</w:t>
      </w:r>
      <w:r w:rsidR="00B57AA6">
        <w:rPr>
          <w:rFonts w:eastAsia="SimSun"/>
          <w:sz w:val="24"/>
          <w:szCs w:val="24"/>
          <w:lang w:eastAsia="zh-CN"/>
        </w:rPr>
        <w:t xml:space="preserve"> </w:t>
      </w:r>
      <w:r w:rsidRPr="008735CD">
        <w:rPr>
          <w:rFonts w:eastAsia="SimSun"/>
          <w:sz w:val="24"/>
          <w:szCs w:val="24"/>
          <w:lang w:eastAsia="zh-CN"/>
        </w:rPr>
        <w:t xml:space="preserve">tem levado a comunidade acadêmica à necessidade de repensar e discutir o processo de ensino no intuito de buscar seu aprimoramento. Este é um dos maiores desafios a ser enfrentado pelo Brasil no processo de convergência e, segundo Matos, Gonçalves, </w:t>
      </w:r>
      <w:proofErr w:type="spellStart"/>
      <w:r w:rsidRPr="008735CD">
        <w:rPr>
          <w:rFonts w:eastAsia="SimSun"/>
          <w:sz w:val="24"/>
          <w:szCs w:val="24"/>
          <w:lang w:eastAsia="zh-CN"/>
        </w:rPr>
        <w:t>Niyama</w:t>
      </w:r>
      <w:proofErr w:type="spellEnd"/>
      <w:r w:rsidR="00B57AA6">
        <w:rPr>
          <w:rFonts w:eastAsia="SimSun"/>
          <w:sz w:val="24"/>
          <w:szCs w:val="24"/>
          <w:lang w:eastAsia="zh-CN"/>
        </w:rPr>
        <w:t>,</w:t>
      </w:r>
      <w:r w:rsidRPr="008735CD">
        <w:rPr>
          <w:rFonts w:eastAsia="SimSun"/>
          <w:sz w:val="24"/>
          <w:szCs w:val="24"/>
          <w:lang w:eastAsia="zh-CN"/>
        </w:rPr>
        <w:t xml:space="preserve"> &amp; Marques, (2013), uma oportunidade de transformação da educação e da classe contábil.</w:t>
      </w:r>
    </w:p>
    <w:p w:rsidR="00352FA9" w:rsidRPr="008735CD" w:rsidRDefault="00352FA9" w:rsidP="004C350D">
      <w:pPr>
        <w:widowControl w:val="0"/>
        <w:spacing w:before="240" w:after="80"/>
        <w:rPr>
          <w:b/>
          <w:sz w:val="24"/>
          <w:szCs w:val="24"/>
        </w:rPr>
      </w:pPr>
      <w:r w:rsidRPr="008735CD">
        <w:rPr>
          <w:b/>
          <w:sz w:val="24"/>
          <w:szCs w:val="24"/>
        </w:rPr>
        <w:t>3 Procedimentos Metodológicos</w:t>
      </w:r>
    </w:p>
    <w:p w:rsidR="004C350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Em relação à abordagem do problema, o estudo é quantitativo; descritivo, em relação à produção científica sobre ensino em Contabilidade e, por procedimento técnico, documental </w:t>
      </w:r>
      <w:r w:rsidRPr="00B57AA6">
        <w:rPr>
          <w:rFonts w:eastAsia="SimSun"/>
          <w:sz w:val="24"/>
          <w:szCs w:val="24"/>
          <w:lang w:eastAsia="zh-CN"/>
        </w:rPr>
        <w:t>(</w:t>
      </w:r>
      <w:r w:rsidRPr="00B57AA6">
        <w:rPr>
          <w:rFonts w:eastAsia="SimSun"/>
          <w:spacing w:val="-2"/>
          <w:sz w:val="24"/>
          <w:szCs w:val="24"/>
          <w:lang w:eastAsia="zh-CN"/>
        </w:rPr>
        <w:t xml:space="preserve">Raupp &amp; </w:t>
      </w:r>
      <w:proofErr w:type="spellStart"/>
      <w:r w:rsidRPr="00B57AA6">
        <w:rPr>
          <w:rFonts w:eastAsia="SimSun"/>
          <w:spacing w:val="-2"/>
          <w:sz w:val="24"/>
          <w:szCs w:val="24"/>
          <w:lang w:eastAsia="zh-CN"/>
        </w:rPr>
        <w:t>Beuren</w:t>
      </w:r>
      <w:proofErr w:type="spellEnd"/>
      <w:r w:rsidRPr="00B57AA6">
        <w:rPr>
          <w:rFonts w:eastAsia="SimSun"/>
          <w:spacing w:val="-2"/>
          <w:sz w:val="24"/>
          <w:szCs w:val="24"/>
          <w:lang w:eastAsia="zh-CN"/>
        </w:rPr>
        <w:t xml:space="preserve">, 2013; </w:t>
      </w:r>
      <w:r w:rsidRPr="00B57AA6">
        <w:rPr>
          <w:rFonts w:eastAsia="SimSun"/>
          <w:sz w:val="24"/>
          <w:szCs w:val="24"/>
          <w:lang w:eastAsia="zh-CN"/>
        </w:rPr>
        <w:t>Silva, 2003). A população da pesquisa é o conjunto dos artigos</w:t>
      </w:r>
      <w:r w:rsidRPr="008735CD">
        <w:rPr>
          <w:rFonts w:eastAsia="SimSun"/>
          <w:sz w:val="24"/>
          <w:szCs w:val="24"/>
          <w:lang w:eastAsia="zh-CN"/>
        </w:rPr>
        <w:t xml:space="preserve"> publicados em periódicos nacionais relacionados à Contabilidade no período de 2007 a 2017.</w:t>
      </w:r>
    </w:p>
    <w:p w:rsidR="004C350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Para a consulta dos periódicos, foi utilizada a base de dados Comissão de Aperfeiçoamento de Pessoal do Nível Superior (CAPES) e da </w:t>
      </w:r>
      <w:proofErr w:type="spellStart"/>
      <w:r w:rsidRPr="008735CD">
        <w:rPr>
          <w:rFonts w:eastAsia="SimSun"/>
          <w:i/>
          <w:sz w:val="24"/>
          <w:szCs w:val="24"/>
          <w:lang w:eastAsia="zh-CN"/>
        </w:rPr>
        <w:t>Scientific</w:t>
      </w:r>
      <w:proofErr w:type="spellEnd"/>
      <w:r w:rsidRPr="008735CD">
        <w:rPr>
          <w:rFonts w:eastAsia="SimSun"/>
          <w:i/>
          <w:sz w:val="24"/>
          <w:szCs w:val="24"/>
          <w:lang w:eastAsia="zh-CN"/>
        </w:rPr>
        <w:t xml:space="preserve"> </w:t>
      </w:r>
      <w:proofErr w:type="spellStart"/>
      <w:r w:rsidRPr="008735CD">
        <w:rPr>
          <w:rFonts w:eastAsia="SimSun"/>
          <w:i/>
          <w:sz w:val="24"/>
          <w:szCs w:val="24"/>
          <w:lang w:eastAsia="zh-CN"/>
        </w:rPr>
        <w:t>Periodicals</w:t>
      </w:r>
      <w:proofErr w:type="spellEnd"/>
      <w:r w:rsidRPr="008735CD">
        <w:rPr>
          <w:rFonts w:eastAsia="SimSun"/>
          <w:i/>
          <w:sz w:val="24"/>
          <w:szCs w:val="24"/>
          <w:lang w:eastAsia="zh-CN"/>
        </w:rPr>
        <w:t xml:space="preserve"> </w:t>
      </w:r>
      <w:proofErr w:type="spellStart"/>
      <w:r w:rsidRPr="008735CD">
        <w:rPr>
          <w:rFonts w:eastAsia="SimSun"/>
          <w:i/>
          <w:sz w:val="24"/>
          <w:szCs w:val="24"/>
          <w:lang w:eastAsia="zh-CN"/>
        </w:rPr>
        <w:t>Electronic</w:t>
      </w:r>
      <w:proofErr w:type="spellEnd"/>
      <w:r w:rsidRPr="008735CD">
        <w:rPr>
          <w:rFonts w:eastAsia="SimSun"/>
          <w:i/>
          <w:sz w:val="24"/>
          <w:szCs w:val="24"/>
          <w:lang w:eastAsia="zh-CN"/>
        </w:rPr>
        <w:t xml:space="preserve"> Library</w:t>
      </w:r>
      <w:r w:rsidRPr="008735CD">
        <w:rPr>
          <w:rFonts w:eastAsia="SimSun"/>
          <w:sz w:val="24"/>
          <w:szCs w:val="24"/>
          <w:lang w:eastAsia="zh-CN"/>
        </w:rPr>
        <w:t xml:space="preserve"> (SPELL). Por critérios de seleção foram utilizadas, em conjunto ou separadamente, as palavras-chave: “convergência contábil”, “normas internacionais” e “IFRS”, combinados com “ensino”, “educação” e “Contabilidade”. </w:t>
      </w:r>
    </w:p>
    <w:p w:rsidR="004C350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A busca resultou em 57 artigos selecionados por leitura do resumo e das palavras-chave de forma a verificar a ligação com o tema da pesquisa. A amostra resultante foi de 18 artigos que foram lidos de modo completo e classificados em um banco de dados elaborado no Microsoft Office Excel 2007© com dados a respeito de: (a) título, (b) autoria, (c) ano de publicação, (d) periódico, (e) palavras-chave, (f) problema de pesquisa, (g) objetivo, (h) amostra, (i) metodologia, e (j) resultados. A partir do levantamento das características de cada artigo, foi realizada a análise </w:t>
      </w:r>
      <w:proofErr w:type="spellStart"/>
      <w:r w:rsidRPr="008735CD">
        <w:rPr>
          <w:rFonts w:eastAsia="SimSun"/>
          <w:sz w:val="24"/>
          <w:szCs w:val="24"/>
          <w:lang w:eastAsia="zh-CN"/>
        </w:rPr>
        <w:t>bibliométrica</w:t>
      </w:r>
      <w:proofErr w:type="spellEnd"/>
      <w:r w:rsidRPr="008735CD">
        <w:rPr>
          <w:rFonts w:eastAsia="SimSun"/>
          <w:sz w:val="24"/>
          <w:szCs w:val="24"/>
          <w:lang w:eastAsia="zh-CN"/>
        </w:rPr>
        <w:t xml:space="preserve"> que permite identificar e potencializar as discussões inerentes às características dos estudos em sobre “Ensino e IFRS”.</w:t>
      </w:r>
    </w:p>
    <w:p w:rsidR="00552CCF" w:rsidRPr="008735C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A partir de uma análise de conteúdo nos tópicos “problema de pesquisa” e "objetivo”, os artigos foram classificados em categorias e subcategorias de assuntos (</w:t>
      </w:r>
      <w:proofErr w:type="spellStart"/>
      <w:r w:rsidRPr="008735CD">
        <w:rPr>
          <w:rFonts w:eastAsia="SimSun"/>
          <w:sz w:val="24"/>
          <w:szCs w:val="24"/>
          <w:lang w:eastAsia="zh-CN"/>
        </w:rPr>
        <w:t>Bardin</w:t>
      </w:r>
      <w:proofErr w:type="spellEnd"/>
      <w:r w:rsidRPr="008735CD">
        <w:rPr>
          <w:rFonts w:eastAsia="SimSun"/>
          <w:sz w:val="24"/>
          <w:szCs w:val="24"/>
          <w:lang w:eastAsia="zh-CN"/>
        </w:rPr>
        <w:t>, 2016). Essa classificação buscou segregar a produção científica, uma vez que os artigos analisados possuíam distintos enfoques no âmbito da educação contábil. Os artigos foram enquadrados em categorias de assuntos a partir dos critérios apresentados na Figura 1 e analisados pelo tema predominante de cada trabalho, ainda que houvesse mais de um.</w:t>
      </w:r>
    </w:p>
    <w:p w:rsidR="00552CCF" w:rsidRPr="008735CD" w:rsidRDefault="00552CCF" w:rsidP="00552CCF">
      <w:pPr>
        <w:autoSpaceDE w:val="0"/>
        <w:autoSpaceDN w:val="0"/>
        <w:adjustRightInd w:val="0"/>
        <w:ind w:firstLine="567"/>
        <w:jc w:val="both"/>
        <w:rPr>
          <w:rFonts w:eastAsia="SimSun"/>
          <w:sz w:val="24"/>
          <w:szCs w:val="24"/>
          <w:lang w:eastAsia="zh-CN"/>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7"/>
        <w:gridCol w:w="6526"/>
      </w:tblGrid>
      <w:tr w:rsidR="008735CD" w:rsidRPr="008735CD" w:rsidTr="00930388">
        <w:tc>
          <w:tcPr>
            <w:tcW w:w="1443" w:type="pct"/>
            <w:shd w:val="clear" w:color="auto" w:fill="auto"/>
          </w:tcPr>
          <w:p w:rsidR="00552CCF" w:rsidRPr="008735CD" w:rsidRDefault="00552CCF" w:rsidP="00930388">
            <w:pPr>
              <w:autoSpaceDE w:val="0"/>
              <w:autoSpaceDN w:val="0"/>
              <w:adjustRightInd w:val="0"/>
              <w:jc w:val="center"/>
              <w:rPr>
                <w:rFonts w:eastAsia="SimSun"/>
                <w:b/>
                <w:lang w:eastAsia="zh-CN"/>
              </w:rPr>
            </w:pPr>
            <w:r w:rsidRPr="008735CD">
              <w:rPr>
                <w:rFonts w:eastAsia="SimSun"/>
                <w:b/>
                <w:lang w:eastAsia="zh-CN"/>
              </w:rPr>
              <w:t>Categorias</w:t>
            </w:r>
          </w:p>
        </w:tc>
        <w:tc>
          <w:tcPr>
            <w:tcW w:w="3557" w:type="pct"/>
            <w:shd w:val="clear" w:color="auto" w:fill="auto"/>
          </w:tcPr>
          <w:p w:rsidR="00552CCF" w:rsidRPr="008735CD" w:rsidRDefault="00552CCF" w:rsidP="00930388">
            <w:pPr>
              <w:autoSpaceDE w:val="0"/>
              <w:autoSpaceDN w:val="0"/>
              <w:adjustRightInd w:val="0"/>
              <w:jc w:val="center"/>
              <w:rPr>
                <w:rFonts w:eastAsia="SimSun"/>
                <w:b/>
                <w:lang w:eastAsia="zh-CN"/>
              </w:rPr>
            </w:pPr>
            <w:r w:rsidRPr="008735CD">
              <w:rPr>
                <w:rFonts w:eastAsia="SimSun"/>
                <w:b/>
                <w:lang w:eastAsia="zh-CN"/>
              </w:rPr>
              <w:t>Descrição</w:t>
            </w:r>
          </w:p>
        </w:tc>
      </w:tr>
      <w:tr w:rsidR="008735CD" w:rsidRPr="008735CD" w:rsidTr="00930388">
        <w:tc>
          <w:tcPr>
            <w:tcW w:w="1443" w:type="pct"/>
            <w:shd w:val="clear" w:color="auto" w:fill="auto"/>
          </w:tcPr>
          <w:p w:rsidR="00552CCF" w:rsidRPr="008735CD" w:rsidRDefault="00552CCF" w:rsidP="00930388">
            <w:pPr>
              <w:autoSpaceDE w:val="0"/>
              <w:autoSpaceDN w:val="0"/>
              <w:adjustRightInd w:val="0"/>
              <w:jc w:val="both"/>
              <w:rPr>
                <w:rFonts w:eastAsia="SimSun"/>
                <w:lang w:eastAsia="zh-CN"/>
              </w:rPr>
            </w:pPr>
            <w:r w:rsidRPr="008735CD">
              <w:rPr>
                <w:rFonts w:eastAsia="SimSun"/>
                <w:lang w:eastAsia="zh-CN"/>
              </w:rPr>
              <w:t>Análise de currículo</w:t>
            </w:r>
          </w:p>
        </w:tc>
        <w:tc>
          <w:tcPr>
            <w:tcW w:w="3557" w:type="pct"/>
            <w:shd w:val="clear" w:color="auto" w:fill="auto"/>
          </w:tcPr>
          <w:p w:rsidR="00552CCF" w:rsidRPr="008735CD" w:rsidRDefault="00552CCF" w:rsidP="00930388">
            <w:pPr>
              <w:autoSpaceDE w:val="0"/>
              <w:autoSpaceDN w:val="0"/>
              <w:adjustRightInd w:val="0"/>
              <w:jc w:val="both"/>
              <w:rPr>
                <w:rFonts w:eastAsia="SimSun"/>
                <w:lang w:eastAsia="zh-CN"/>
              </w:rPr>
            </w:pPr>
            <w:r w:rsidRPr="008735CD">
              <w:rPr>
                <w:rFonts w:eastAsia="SimSun"/>
                <w:lang w:eastAsia="zh-CN"/>
              </w:rPr>
              <w:t>Artigos que identificam características da estrutura curricular relacionada ao ensino das IFRS.</w:t>
            </w:r>
          </w:p>
        </w:tc>
      </w:tr>
      <w:tr w:rsidR="008735CD" w:rsidRPr="008735CD" w:rsidTr="00930388">
        <w:tc>
          <w:tcPr>
            <w:tcW w:w="1443" w:type="pct"/>
            <w:shd w:val="clear" w:color="auto" w:fill="auto"/>
          </w:tcPr>
          <w:p w:rsidR="00552CCF" w:rsidRPr="008735CD" w:rsidRDefault="00552CCF" w:rsidP="00930388">
            <w:pPr>
              <w:autoSpaceDE w:val="0"/>
              <w:autoSpaceDN w:val="0"/>
              <w:adjustRightInd w:val="0"/>
              <w:jc w:val="both"/>
              <w:rPr>
                <w:rFonts w:eastAsia="SimSun"/>
                <w:lang w:eastAsia="zh-CN"/>
              </w:rPr>
            </w:pPr>
            <w:r w:rsidRPr="008735CD">
              <w:rPr>
                <w:rFonts w:eastAsia="SimSun"/>
                <w:lang w:eastAsia="zh-CN"/>
              </w:rPr>
              <w:t>Análise de publicações</w:t>
            </w:r>
          </w:p>
        </w:tc>
        <w:tc>
          <w:tcPr>
            <w:tcW w:w="3557" w:type="pct"/>
            <w:shd w:val="clear" w:color="auto" w:fill="auto"/>
          </w:tcPr>
          <w:p w:rsidR="00552CCF" w:rsidRPr="008735CD" w:rsidRDefault="00552CCF" w:rsidP="00930388">
            <w:pPr>
              <w:autoSpaceDE w:val="0"/>
              <w:autoSpaceDN w:val="0"/>
              <w:adjustRightInd w:val="0"/>
              <w:jc w:val="both"/>
              <w:rPr>
                <w:rFonts w:eastAsia="SimSun"/>
                <w:lang w:eastAsia="zh-CN"/>
              </w:rPr>
            </w:pPr>
            <w:r w:rsidRPr="008735CD">
              <w:rPr>
                <w:rFonts w:eastAsia="SimSun"/>
                <w:lang w:eastAsia="zh-CN"/>
              </w:rPr>
              <w:t>Artigos que analisaram e identificaram temas e publicações de ensino de contabilidade no âmbito das IFRS.</w:t>
            </w:r>
          </w:p>
        </w:tc>
      </w:tr>
      <w:tr w:rsidR="008735CD" w:rsidRPr="008735CD" w:rsidTr="00930388">
        <w:tc>
          <w:tcPr>
            <w:tcW w:w="1443" w:type="pct"/>
            <w:shd w:val="clear" w:color="auto" w:fill="auto"/>
          </w:tcPr>
          <w:p w:rsidR="00552CCF" w:rsidRPr="008735CD" w:rsidRDefault="00552CCF" w:rsidP="00930388">
            <w:pPr>
              <w:autoSpaceDE w:val="0"/>
              <w:autoSpaceDN w:val="0"/>
              <w:adjustRightInd w:val="0"/>
              <w:rPr>
                <w:rFonts w:eastAsia="SimSun"/>
                <w:lang w:eastAsia="zh-CN"/>
              </w:rPr>
            </w:pPr>
            <w:r w:rsidRPr="008735CD">
              <w:rPr>
                <w:rFonts w:eastAsia="SimSun"/>
                <w:lang w:eastAsia="zh-CN"/>
              </w:rPr>
              <w:t>Discente – Avaliação do conhecimento</w:t>
            </w:r>
          </w:p>
        </w:tc>
        <w:tc>
          <w:tcPr>
            <w:tcW w:w="3557" w:type="pct"/>
            <w:shd w:val="clear" w:color="auto" w:fill="auto"/>
          </w:tcPr>
          <w:p w:rsidR="00552CCF" w:rsidRPr="008735CD" w:rsidRDefault="00552CCF" w:rsidP="00930388">
            <w:pPr>
              <w:autoSpaceDE w:val="0"/>
              <w:autoSpaceDN w:val="0"/>
              <w:adjustRightInd w:val="0"/>
              <w:jc w:val="both"/>
              <w:rPr>
                <w:rFonts w:eastAsia="SimSun"/>
                <w:lang w:eastAsia="zh-CN"/>
              </w:rPr>
            </w:pPr>
            <w:r w:rsidRPr="008735CD">
              <w:rPr>
                <w:rFonts w:eastAsia="SimSun"/>
                <w:lang w:eastAsia="zh-CN"/>
              </w:rPr>
              <w:t>Artigos que avaliaram o nível de conhecimento dos discentes de Ciências Contábeis a respeito das IFRS.</w:t>
            </w:r>
          </w:p>
        </w:tc>
      </w:tr>
      <w:tr w:rsidR="008735CD" w:rsidRPr="008735CD" w:rsidTr="00930388">
        <w:tc>
          <w:tcPr>
            <w:tcW w:w="1443" w:type="pct"/>
            <w:shd w:val="clear" w:color="auto" w:fill="auto"/>
          </w:tcPr>
          <w:p w:rsidR="00552CCF" w:rsidRPr="008735CD" w:rsidRDefault="00552CCF" w:rsidP="00930388">
            <w:pPr>
              <w:autoSpaceDE w:val="0"/>
              <w:autoSpaceDN w:val="0"/>
              <w:adjustRightInd w:val="0"/>
              <w:rPr>
                <w:rFonts w:eastAsia="SimSun"/>
                <w:lang w:eastAsia="zh-CN"/>
              </w:rPr>
            </w:pPr>
            <w:r w:rsidRPr="008735CD">
              <w:rPr>
                <w:rFonts w:eastAsia="SimSun"/>
                <w:lang w:eastAsia="zh-CN"/>
              </w:rPr>
              <w:t>Discente – Avaliação da percepção</w:t>
            </w:r>
          </w:p>
        </w:tc>
        <w:tc>
          <w:tcPr>
            <w:tcW w:w="3557" w:type="pct"/>
            <w:shd w:val="clear" w:color="auto" w:fill="auto"/>
          </w:tcPr>
          <w:p w:rsidR="00552CCF" w:rsidRPr="008735CD" w:rsidRDefault="00552CCF" w:rsidP="00930388">
            <w:pPr>
              <w:autoSpaceDE w:val="0"/>
              <w:autoSpaceDN w:val="0"/>
              <w:adjustRightInd w:val="0"/>
              <w:jc w:val="both"/>
              <w:rPr>
                <w:rFonts w:eastAsia="SimSun"/>
                <w:lang w:eastAsia="zh-CN"/>
              </w:rPr>
            </w:pPr>
            <w:r w:rsidRPr="008735CD">
              <w:rPr>
                <w:rFonts w:eastAsia="SimSun"/>
                <w:lang w:eastAsia="zh-CN"/>
              </w:rPr>
              <w:t>Artigos que analisaram a percepção dos discentes sobre o processo de convergência.</w:t>
            </w:r>
          </w:p>
        </w:tc>
      </w:tr>
      <w:tr w:rsidR="008735CD" w:rsidRPr="008735CD" w:rsidTr="00930388">
        <w:tc>
          <w:tcPr>
            <w:tcW w:w="1443" w:type="pct"/>
            <w:shd w:val="clear" w:color="auto" w:fill="auto"/>
          </w:tcPr>
          <w:p w:rsidR="00552CCF" w:rsidRPr="008735CD" w:rsidRDefault="00552CCF" w:rsidP="00930388">
            <w:pPr>
              <w:autoSpaceDE w:val="0"/>
              <w:autoSpaceDN w:val="0"/>
              <w:adjustRightInd w:val="0"/>
              <w:rPr>
                <w:rFonts w:eastAsia="SimSun"/>
                <w:lang w:eastAsia="zh-CN"/>
              </w:rPr>
            </w:pPr>
            <w:r w:rsidRPr="008735CD">
              <w:rPr>
                <w:rFonts w:eastAsia="SimSun"/>
                <w:lang w:eastAsia="zh-CN"/>
              </w:rPr>
              <w:t>Docente – Avaliação do conhecimento</w:t>
            </w:r>
          </w:p>
        </w:tc>
        <w:tc>
          <w:tcPr>
            <w:tcW w:w="3557" w:type="pct"/>
            <w:shd w:val="clear" w:color="auto" w:fill="auto"/>
          </w:tcPr>
          <w:p w:rsidR="00552CCF" w:rsidRPr="008735CD" w:rsidRDefault="00552CCF" w:rsidP="00930388">
            <w:pPr>
              <w:autoSpaceDE w:val="0"/>
              <w:autoSpaceDN w:val="0"/>
              <w:adjustRightInd w:val="0"/>
              <w:jc w:val="both"/>
              <w:rPr>
                <w:rFonts w:eastAsia="SimSun"/>
                <w:lang w:eastAsia="zh-CN"/>
              </w:rPr>
            </w:pPr>
            <w:r w:rsidRPr="008735CD">
              <w:rPr>
                <w:rFonts w:eastAsia="SimSun"/>
                <w:lang w:eastAsia="zh-CN"/>
              </w:rPr>
              <w:t>Artigos que avaliaram o nível de conhecimento dos docentes de contabilidade a respeito das IFRS.</w:t>
            </w:r>
          </w:p>
        </w:tc>
      </w:tr>
      <w:tr w:rsidR="008735CD" w:rsidRPr="008735CD" w:rsidTr="00930388">
        <w:tc>
          <w:tcPr>
            <w:tcW w:w="1443" w:type="pct"/>
            <w:shd w:val="clear" w:color="auto" w:fill="auto"/>
          </w:tcPr>
          <w:p w:rsidR="00552CCF" w:rsidRPr="008735CD" w:rsidRDefault="00552CCF" w:rsidP="00930388">
            <w:pPr>
              <w:autoSpaceDE w:val="0"/>
              <w:autoSpaceDN w:val="0"/>
              <w:adjustRightInd w:val="0"/>
              <w:rPr>
                <w:rFonts w:eastAsia="SimSun"/>
                <w:lang w:eastAsia="zh-CN"/>
              </w:rPr>
            </w:pPr>
            <w:r w:rsidRPr="008735CD">
              <w:rPr>
                <w:rFonts w:eastAsia="SimSun"/>
                <w:lang w:eastAsia="zh-CN"/>
              </w:rPr>
              <w:t>Docente – Avaliação da percepção</w:t>
            </w:r>
          </w:p>
        </w:tc>
        <w:tc>
          <w:tcPr>
            <w:tcW w:w="3557" w:type="pct"/>
            <w:shd w:val="clear" w:color="auto" w:fill="auto"/>
          </w:tcPr>
          <w:p w:rsidR="00552CCF" w:rsidRPr="008735CD" w:rsidRDefault="00552CCF" w:rsidP="00930388">
            <w:pPr>
              <w:autoSpaceDE w:val="0"/>
              <w:autoSpaceDN w:val="0"/>
              <w:adjustRightInd w:val="0"/>
              <w:jc w:val="both"/>
              <w:rPr>
                <w:rFonts w:eastAsia="SimSun"/>
                <w:lang w:eastAsia="zh-CN"/>
              </w:rPr>
            </w:pPr>
            <w:r w:rsidRPr="008735CD">
              <w:rPr>
                <w:rFonts w:eastAsia="SimSun"/>
                <w:lang w:eastAsia="zh-CN"/>
              </w:rPr>
              <w:t>Artigos que analisaram a percepção dos docentes sobre o processo de convergência.</w:t>
            </w:r>
          </w:p>
        </w:tc>
      </w:tr>
      <w:tr w:rsidR="008735CD" w:rsidRPr="008735CD" w:rsidTr="00930388">
        <w:tc>
          <w:tcPr>
            <w:tcW w:w="1443" w:type="pct"/>
            <w:shd w:val="clear" w:color="auto" w:fill="auto"/>
          </w:tcPr>
          <w:p w:rsidR="00552CCF" w:rsidRPr="008735CD" w:rsidRDefault="00552CCF" w:rsidP="00930388">
            <w:pPr>
              <w:autoSpaceDE w:val="0"/>
              <w:autoSpaceDN w:val="0"/>
              <w:adjustRightInd w:val="0"/>
              <w:rPr>
                <w:rFonts w:eastAsia="SimSun"/>
                <w:lang w:eastAsia="zh-CN"/>
              </w:rPr>
            </w:pPr>
            <w:r w:rsidRPr="008735CD">
              <w:t xml:space="preserve">Discente e docente - </w:t>
            </w:r>
            <w:r w:rsidRPr="008735CD">
              <w:rPr>
                <w:rFonts w:eastAsia="SimSun"/>
                <w:lang w:eastAsia="zh-CN"/>
              </w:rPr>
              <w:t>Avaliação do conhecimento</w:t>
            </w:r>
          </w:p>
        </w:tc>
        <w:tc>
          <w:tcPr>
            <w:tcW w:w="3557" w:type="pct"/>
            <w:shd w:val="clear" w:color="auto" w:fill="auto"/>
          </w:tcPr>
          <w:p w:rsidR="00552CCF" w:rsidRPr="008735CD" w:rsidRDefault="00552CCF" w:rsidP="00930388">
            <w:pPr>
              <w:autoSpaceDE w:val="0"/>
              <w:autoSpaceDN w:val="0"/>
              <w:adjustRightInd w:val="0"/>
              <w:jc w:val="both"/>
              <w:rPr>
                <w:rFonts w:eastAsia="SimSun"/>
                <w:lang w:eastAsia="zh-CN"/>
              </w:rPr>
            </w:pPr>
            <w:r w:rsidRPr="008735CD">
              <w:rPr>
                <w:rFonts w:eastAsia="SimSun"/>
                <w:lang w:eastAsia="zh-CN"/>
              </w:rPr>
              <w:t>Artigos que avaliaram o nível de conhecimento dos discentes e dos docentes de contabilidade a respeito das IFRS.</w:t>
            </w:r>
          </w:p>
        </w:tc>
      </w:tr>
      <w:tr w:rsidR="008735CD" w:rsidRPr="008735CD" w:rsidTr="00930388">
        <w:tc>
          <w:tcPr>
            <w:tcW w:w="1443" w:type="pct"/>
            <w:shd w:val="clear" w:color="auto" w:fill="auto"/>
          </w:tcPr>
          <w:p w:rsidR="00552CCF" w:rsidRPr="008735CD" w:rsidRDefault="00552CCF" w:rsidP="00930388">
            <w:pPr>
              <w:autoSpaceDE w:val="0"/>
              <w:autoSpaceDN w:val="0"/>
              <w:adjustRightInd w:val="0"/>
            </w:pPr>
            <w:r w:rsidRPr="008735CD">
              <w:rPr>
                <w:rFonts w:eastAsia="SimSun"/>
                <w:lang w:eastAsia="zh-CN"/>
              </w:rPr>
              <w:t xml:space="preserve">Discente e docente – </w:t>
            </w:r>
            <w:r w:rsidRPr="008735CD">
              <w:rPr>
                <w:rFonts w:eastAsia="SimSun"/>
                <w:lang w:eastAsia="zh-CN"/>
              </w:rPr>
              <w:lastRenderedPageBreak/>
              <w:t>Avaliação da percepção</w:t>
            </w:r>
          </w:p>
        </w:tc>
        <w:tc>
          <w:tcPr>
            <w:tcW w:w="3557" w:type="pct"/>
            <w:shd w:val="clear" w:color="auto" w:fill="auto"/>
          </w:tcPr>
          <w:p w:rsidR="00552CCF" w:rsidRPr="008735CD" w:rsidRDefault="00552CCF" w:rsidP="00930388">
            <w:pPr>
              <w:autoSpaceDE w:val="0"/>
              <w:autoSpaceDN w:val="0"/>
              <w:adjustRightInd w:val="0"/>
              <w:jc w:val="both"/>
              <w:rPr>
                <w:rFonts w:eastAsia="SimSun"/>
                <w:lang w:eastAsia="zh-CN"/>
              </w:rPr>
            </w:pPr>
            <w:r w:rsidRPr="008735CD">
              <w:rPr>
                <w:rFonts w:eastAsia="SimSun"/>
                <w:lang w:eastAsia="zh-CN"/>
              </w:rPr>
              <w:lastRenderedPageBreak/>
              <w:t xml:space="preserve">Artigos que analisaram a percepção discente e docente sobre o processo de </w:t>
            </w:r>
            <w:r w:rsidRPr="008735CD">
              <w:rPr>
                <w:rFonts w:eastAsia="SimSun"/>
                <w:lang w:eastAsia="zh-CN"/>
              </w:rPr>
              <w:lastRenderedPageBreak/>
              <w:t>convergência.</w:t>
            </w:r>
          </w:p>
        </w:tc>
      </w:tr>
    </w:tbl>
    <w:p w:rsidR="00552CCF" w:rsidRPr="00B57AA6" w:rsidRDefault="00552CCF" w:rsidP="00552CCF">
      <w:pPr>
        <w:autoSpaceDE w:val="0"/>
        <w:autoSpaceDN w:val="0"/>
        <w:adjustRightInd w:val="0"/>
        <w:ind w:left="709" w:hanging="709"/>
        <w:jc w:val="both"/>
        <w:rPr>
          <w:rFonts w:eastAsia="SimSun"/>
          <w:lang w:eastAsia="zh-CN"/>
        </w:rPr>
      </w:pPr>
      <w:r w:rsidRPr="00B57AA6">
        <w:rPr>
          <w:rFonts w:eastAsia="SimSun"/>
          <w:lang w:eastAsia="zh-CN"/>
        </w:rPr>
        <w:lastRenderedPageBreak/>
        <w:t>Figura 1 Descrição das categorias de análise da amostra com base em dados do período de 2007 a 2017.</w:t>
      </w:r>
    </w:p>
    <w:p w:rsidR="00552CCF" w:rsidRPr="008735CD" w:rsidRDefault="00552CCF" w:rsidP="00552CCF">
      <w:pPr>
        <w:autoSpaceDE w:val="0"/>
        <w:autoSpaceDN w:val="0"/>
        <w:adjustRightInd w:val="0"/>
        <w:jc w:val="both"/>
        <w:rPr>
          <w:rFonts w:eastAsia="SimSun"/>
          <w:lang w:eastAsia="zh-CN"/>
        </w:rPr>
      </w:pPr>
      <w:r w:rsidRPr="008735CD">
        <w:rPr>
          <w:rFonts w:eastAsia="SimSun"/>
          <w:lang w:eastAsia="zh-CN"/>
        </w:rPr>
        <w:t>Fonte: dados da pesquisa (2018)</w:t>
      </w:r>
    </w:p>
    <w:p w:rsidR="00552CCF" w:rsidRPr="008735CD" w:rsidRDefault="00552CCF" w:rsidP="00552CCF">
      <w:pPr>
        <w:autoSpaceDE w:val="0"/>
        <w:autoSpaceDN w:val="0"/>
        <w:adjustRightInd w:val="0"/>
        <w:jc w:val="both"/>
        <w:rPr>
          <w:rFonts w:eastAsia="SimSun"/>
          <w:lang w:eastAsia="zh-CN"/>
        </w:rPr>
      </w:pPr>
    </w:p>
    <w:p w:rsidR="00552CCF" w:rsidRPr="008735CD" w:rsidRDefault="00552CCF" w:rsidP="004C350D">
      <w:pPr>
        <w:autoSpaceDE w:val="0"/>
        <w:autoSpaceDN w:val="0"/>
        <w:adjustRightInd w:val="0"/>
        <w:ind w:firstLine="709"/>
        <w:jc w:val="both"/>
        <w:rPr>
          <w:rFonts w:eastAsia="SimSun"/>
          <w:sz w:val="24"/>
          <w:lang w:eastAsia="zh-CN"/>
        </w:rPr>
      </w:pPr>
      <w:r w:rsidRPr="008735CD">
        <w:rPr>
          <w:rFonts w:eastAsia="SimSun"/>
          <w:sz w:val="24"/>
          <w:lang w:eastAsia="zh-CN"/>
        </w:rPr>
        <w:t>Por fim, as pesquisas resultantes da análise são discutidas em vista das suas contribuições para a área, destacando-se aspectos convergentes e divergentes e demonstrando-se eventuais lacunas que poderão ser objeto de pesquisas futuras.</w:t>
      </w:r>
    </w:p>
    <w:p w:rsidR="00500AA9" w:rsidRPr="008735CD" w:rsidRDefault="00500AA9" w:rsidP="00500AA9">
      <w:pPr>
        <w:widowControl w:val="0"/>
        <w:spacing w:before="240" w:after="80"/>
        <w:rPr>
          <w:b/>
          <w:sz w:val="24"/>
          <w:szCs w:val="24"/>
        </w:rPr>
      </w:pPr>
      <w:r w:rsidRPr="008735CD">
        <w:rPr>
          <w:b/>
          <w:sz w:val="24"/>
          <w:szCs w:val="24"/>
        </w:rPr>
        <w:t>4 Análise dos Dados</w:t>
      </w:r>
    </w:p>
    <w:p w:rsidR="00552CCF" w:rsidRPr="008735C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No intuito de compreender as características gerais da amostra, são evidenciadas as principais características das publicações, dos periódicos e de seus autores. A Tabela 1 demonstra os periódicos dos quais os artigos foram extraídos para compor a amostra do estudo, descritas pelos títulos, ISSN, e pela citação das correspondentes publicações.</w:t>
      </w:r>
    </w:p>
    <w:p w:rsidR="00552CCF" w:rsidRPr="008735CD" w:rsidRDefault="00552CCF" w:rsidP="00552CCF">
      <w:pPr>
        <w:autoSpaceDE w:val="0"/>
        <w:autoSpaceDN w:val="0"/>
        <w:adjustRightInd w:val="0"/>
        <w:ind w:firstLine="567"/>
        <w:jc w:val="both"/>
        <w:rPr>
          <w:rFonts w:eastAsia="SimSun"/>
          <w:sz w:val="24"/>
          <w:szCs w:val="24"/>
          <w:lang w:eastAsia="zh-CN"/>
        </w:rPr>
      </w:pPr>
    </w:p>
    <w:p w:rsidR="00B57AA6" w:rsidRDefault="00552CCF" w:rsidP="00552CCF">
      <w:pPr>
        <w:autoSpaceDE w:val="0"/>
        <w:autoSpaceDN w:val="0"/>
        <w:adjustRightInd w:val="0"/>
        <w:jc w:val="both"/>
        <w:rPr>
          <w:rFonts w:eastAsia="SimSun"/>
          <w:lang w:eastAsia="zh-CN"/>
        </w:rPr>
      </w:pPr>
      <w:r w:rsidRPr="00B57AA6">
        <w:rPr>
          <w:rFonts w:eastAsia="SimSun"/>
          <w:lang w:eastAsia="zh-CN"/>
        </w:rPr>
        <w:t>Tabela 1</w:t>
      </w:r>
    </w:p>
    <w:p w:rsidR="00552CCF" w:rsidRPr="00B57AA6" w:rsidRDefault="00552CCF" w:rsidP="00552CCF">
      <w:pPr>
        <w:autoSpaceDE w:val="0"/>
        <w:autoSpaceDN w:val="0"/>
        <w:adjustRightInd w:val="0"/>
        <w:jc w:val="both"/>
        <w:rPr>
          <w:rFonts w:eastAsia="SimSun"/>
          <w:lang w:eastAsia="zh-CN"/>
        </w:rPr>
      </w:pPr>
      <w:r w:rsidRPr="00B57AA6">
        <w:rPr>
          <w:rFonts w:eastAsia="SimSun"/>
          <w:lang w:eastAsia="zh-CN"/>
        </w:rPr>
        <w:t>Demonstração dos periódicos para amostra com base em dados do período de 2007 a 2017</w:t>
      </w:r>
    </w:p>
    <w:tbl>
      <w:tblPr>
        <w:tblW w:w="9072" w:type="dxa"/>
        <w:tblInd w:w="70"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992"/>
        <w:gridCol w:w="1134"/>
        <w:gridCol w:w="4678"/>
      </w:tblGrid>
      <w:tr w:rsidR="00552CCF" w:rsidRPr="008735CD" w:rsidTr="00930388">
        <w:trPr>
          <w:trHeight w:val="315"/>
        </w:trPr>
        <w:tc>
          <w:tcPr>
            <w:tcW w:w="2268" w:type="dxa"/>
            <w:shd w:val="clear" w:color="auto" w:fill="auto"/>
            <w:vAlign w:val="center"/>
            <w:hideMark/>
          </w:tcPr>
          <w:p w:rsidR="00552CCF" w:rsidRPr="008735CD" w:rsidRDefault="00552CCF" w:rsidP="00930388">
            <w:pPr>
              <w:ind w:left="-70" w:right="-70"/>
              <w:jc w:val="center"/>
              <w:rPr>
                <w:b/>
                <w:bCs/>
              </w:rPr>
            </w:pPr>
            <w:r w:rsidRPr="008735CD">
              <w:rPr>
                <w:b/>
                <w:bCs/>
              </w:rPr>
              <w:t>Periódico</w:t>
            </w:r>
          </w:p>
        </w:tc>
        <w:tc>
          <w:tcPr>
            <w:tcW w:w="992" w:type="dxa"/>
            <w:shd w:val="clear" w:color="auto" w:fill="auto"/>
            <w:vAlign w:val="center"/>
            <w:hideMark/>
          </w:tcPr>
          <w:p w:rsidR="00552CCF" w:rsidRPr="008735CD" w:rsidRDefault="00552CCF" w:rsidP="00930388">
            <w:pPr>
              <w:ind w:left="-70" w:right="-70"/>
              <w:jc w:val="center"/>
              <w:rPr>
                <w:b/>
                <w:bCs/>
              </w:rPr>
            </w:pPr>
            <w:r w:rsidRPr="008735CD">
              <w:rPr>
                <w:b/>
                <w:bCs/>
              </w:rPr>
              <w:t>ISSN</w:t>
            </w:r>
          </w:p>
        </w:tc>
        <w:tc>
          <w:tcPr>
            <w:tcW w:w="1134" w:type="dxa"/>
            <w:shd w:val="clear" w:color="auto" w:fill="auto"/>
            <w:vAlign w:val="center"/>
            <w:hideMark/>
          </w:tcPr>
          <w:p w:rsidR="00552CCF" w:rsidRPr="008735CD" w:rsidRDefault="00552CCF" w:rsidP="00930388">
            <w:pPr>
              <w:ind w:left="-70" w:right="-70"/>
              <w:jc w:val="center"/>
              <w:rPr>
                <w:b/>
                <w:bCs/>
              </w:rPr>
            </w:pPr>
            <w:r w:rsidRPr="008735CD">
              <w:rPr>
                <w:b/>
                <w:bCs/>
              </w:rPr>
              <w:t>Quantidade</w:t>
            </w:r>
          </w:p>
        </w:tc>
        <w:tc>
          <w:tcPr>
            <w:tcW w:w="4678" w:type="dxa"/>
            <w:shd w:val="clear" w:color="auto" w:fill="auto"/>
            <w:vAlign w:val="center"/>
            <w:hideMark/>
          </w:tcPr>
          <w:p w:rsidR="00552CCF" w:rsidRPr="008735CD" w:rsidRDefault="00552CCF" w:rsidP="00930388">
            <w:pPr>
              <w:ind w:left="-70" w:right="-70"/>
              <w:jc w:val="center"/>
              <w:rPr>
                <w:b/>
                <w:bCs/>
              </w:rPr>
            </w:pPr>
            <w:r w:rsidRPr="008735CD">
              <w:rPr>
                <w:b/>
                <w:bCs/>
              </w:rPr>
              <w:t>Autores</w:t>
            </w:r>
          </w:p>
        </w:tc>
      </w:tr>
      <w:tr w:rsidR="00552CCF" w:rsidRPr="008735CD" w:rsidTr="00930388">
        <w:trPr>
          <w:trHeight w:val="834"/>
        </w:trPr>
        <w:tc>
          <w:tcPr>
            <w:tcW w:w="2268" w:type="dxa"/>
            <w:shd w:val="clear" w:color="auto" w:fill="auto"/>
            <w:vAlign w:val="center"/>
            <w:hideMark/>
          </w:tcPr>
          <w:p w:rsidR="00552CCF" w:rsidRPr="008735CD" w:rsidRDefault="00552CCF" w:rsidP="00930388">
            <w:pPr>
              <w:ind w:left="-70" w:right="-70"/>
              <w:jc w:val="center"/>
            </w:pPr>
            <w:r w:rsidRPr="008735CD">
              <w:t>Revista Universo Contábil</w:t>
            </w:r>
          </w:p>
        </w:tc>
        <w:tc>
          <w:tcPr>
            <w:tcW w:w="992" w:type="dxa"/>
            <w:shd w:val="clear" w:color="auto" w:fill="auto"/>
            <w:vAlign w:val="center"/>
            <w:hideMark/>
          </w:tcPr>
          <w:p w:rsidR="00552CCF" w:rsidRPr="008735CD" w:rsidRDefault="00552CCF" w:rsidP="00930388">
            <w:pPr>
              <w:ind w:left="-70" w:right="-70"/>
              <w:jc w:val="center"/>
            </w:pPr>
            <w:r w:rsidRPr="008735CD">
              <w:t>1809-3337</w:t>
            </w:r>
          </w:p>
        </w:tc>
        <w:tc>
          <w:tcPr>
            <w:tcW w:w="1134" w:type="dxa"/>
            <w:shd w:val="clear" w:color="auto" w:fill="auto"/>
            <w:vAlign w:val="center"/>
            <w:hideMark/>
          </w:tcPr>
          <w:p w:rsidR="00552CCF" w:rsidRPr="008735CD" w:rsidRDefault="00552CCF" w:rsidP="00930388">
            <w:pPr>
              <w:ind w:left="-70" w:right="-70"/>
              <w:jc w:val="center"/>
            </w:pPr>
            <w:r w:rsidRPr="008735CD">
              <w:t>3</w:t>
            </w:r>
          </w:p>
        </w:tc>
        <w:tc>
          <w:tcPr>
            <w:tcW w:w="4678" w:type="dxa"/>
            <w:shd w:val="clear" w:color="auto" w:fill="auto"/>
            <w:vAlign w:val="center"/>
            <w:hideMark/>
          </w:tcPr>
          <w:p w:rsidR="00552CCF" w:rsidRPr="008735CD" w:rsidRDefault="00552CCF" w:rsidP="00930388">
            <w:pPr>
              <w:ind w:left="-70" w:right="-70"/>
              <w:jc w:val="center"/>
            </w:pPr>
            <w:r w:rsidRPr="008735CD">
              <w:t>Nunes, Marques, &amp; Costa (2016)</w:t>
            </w:r>
          </w:p>
          <w:p w:rsidR="00552CCF" w:rsidRPr="008735CD" w:rsidRDefault="00552CCF" w:rsidP="00930388">
            <w:pPr>
              <w:ind w:left="-70" w:right="-70"/>
              <w:jc w:val="center"/>
            </w:pPr>
            <w:proofErr w:type="spellStart"/>
            <w:r w:rsidRPr="008735CD">
              <w:t>Niyama</w:t>
            </w:r>
            <w:proofErr w:type="spellEnd"/>
            <w:r w:rsidRPr="008735CD">
              <w:t>, Mendonça, &amp; Aquino (2007)</w:t>
            </w:r>
          </w:p>
          <w:p w:rsidR="00552CCF" w:rsidRPr="008735CD" w:rsidRDefault="00552CCF" w:rsidP="00930388">
            <w:pPr>
              <w:ind w:left="-70" w:right="-70"/>
              <w:jc w:val="center"/>
            </w:pPr>
            <w:r w:rsidRPr="008735CD">
              <w:t xml:space="preserve">Araújo, </w:t>
            </w:r>
            <w:proofErr w:type="spellStart"/>
            <w:r w:rsidRPr="008735CD">
              <w:t>Cornacchione</w:t>
            </w:r>
            <w:proofErr w:type="spellEnd"/>
            <w:r w:rsidRPr="008735CD">
              <w:t xml:space="preserve"> Junior, </w:t>
            </w:r>
            <w:proofErr w:type="spellStart"/>
            <w:r w:rsidRPr="008735CD">
              <w:t>Reginato</w:t>
            </w:r>
            <w:proofErr w:type="spellEnd"/>
            <w:r w:rsidRPr="008735CD">
              <w:t xml:space="preserve">, &amp; </w:t>
            </w:r>
            <w:proofErr w:type="spellStart"/>
            <w:r w:rsidRPr="008735CD">
              <w:t>Suzart</w:t>
            </w:r>
            <w:proofErr w:type="spellEnd"/>
            <w:r w:rsidRPr="008735CD">
              <w:t xml:space="preserve"> (2014)</w:t>
            </w:r>
          </w:p>
        </w:tc>
      </w:tr>
      <w:tr w:rsidR="00552CCF" w:rsidRPr="008735CD" w:rsidTr="00930388">
        <w:trPr>
          <w:trHeight w:val="558"/>
        </w:trPr>
        <w:tc>
          <w:tcPr>
            <w:tcW w:w="2268" w:type="dxa"/>
            <w:shd w:val="clear" w:color="auto" w:fill="auto"/>
            <w:vAlign w:val="center"/>
            <w:hideMark/>
          </w:tcPr>
          <w:p w:rsidR="00552CCF" w:rsidRPr="008735CD" w:rsidRDefault="00552CCF" w:rsidP="00930388">
            <w:pPr>
              <w:ind w:left="-70" w:right="-70"/>
              <w:jc w:val="center"/>
            </w:pPr>
            <w:r w:rsidRPr="008735CD">
              <w:t>Revista Contabilidade e Controladoria</w:t>
            </w:r>
          </w:p>
        </w:tc>
        <w:tc>
          <w:tcPr>
            <w:tcW w:w="992" w:type="dxa"/>
            <w:shd w:val="clear" w:color="auto" w:fill="auto"/>
            <w:vAlign w:val="center"/>
            <w:hideMark/>
          </w:tcPr>
          <w:p w:rsidR="00552CCF" w:rsidRPr="008735CD" w:rsidRDefault="00552CCF" w:rsidP="00930388">
            <w:pPr>
              <w:ind w:left="-70" w:right="-70"/>
              <w:jc w:val="center"/>
            </w:pPr>
            <w:r w:rsidRPr="008735CD">
              <w:t>1984-6266</w:t>
            </w:r>
          </w:p>
        </w:tc>
        <w:tc>
          <w:tcPr>
            <w:tcW w:w="1134" w:type="dxa"/>
            <w:shd w:val="clear" w:color="auto" w:fill="auto"/>
            <w:vAlign w:val="center"/>
            <w:hideMark/>
          </w:tcPr>
          <w:p w:rsidR="00552CCF" w:rsidRPr="008735CD" w:rsidRDefault="00552CCF" w:rsidP="00930388">
            <w:pPr>
              <w:ind w:left="-70" w:right="-70"/>
              <w:jc w:val="center"/>
            </w:pPr>
            <w:r w:rsidRPr="008735CD">
              <w:t>3</w:t>
            </w:r>
          </w:p>
        </w:tc>
        <w:tc>
          <w:tcPr>
            <w:tcW w:w="4678" w:type="dxa"/>
            <w:shd w:val="clear" w:color="auto" w:fill="auto"/>
            <w:vAlign w:val="center"/>
            <w:hideMark/>
          </w:tcPr>
          <w:p w:rsidR="00552CCF" w:rsidRPr="008735CD" w:rsidRDefault="00552CCF" w:rsidP="00930388">
            <w:pPr>
              <w:ind w:left="-70" w:right="-70"/>
              <w:jc w:val="center"/>
            </w:pPr>
            <w:r w:rsidRPr="008735CD">
              <w:t>Kuhn, Machado,</w:t>
            </w:r>
            <w:r w:rsidR="00800342">
              <w:t xml:space="preserve"> &amp; Machado</w:t>
            </w:r>
            <w:r w:rsidRPr="008735CD">
              <w:t xml:space="preserve"> (2014a)</w:t>
            </w:r>
          </w:p>
          <w:p w:rsidR="00552CCF" w:rsidRPr="008735CD" w:rsidRDefault="00800342" w:rsidP="00930388">
            <w:pPr>
              <w:ind w:left="-70" w:right="-70"/>
              <w:jc w:val="center"/>
            </w:pPr>
            <w:r>
              <w:t>Fernandes,</w:t>
            </w:r>
            <w:r w:rsidR="00552CCF" w:rsidRPr="008735CD">
              <w:t xml:space="preserve"> Lima, Vieira, &amp; </w:t>
            </w:r>
            <w:proofErr w:type="spellStart"/>
            <w:r w:rsidR="00552CCF" w:rsidRPr="008735CD">
              <w:t>Niyama</w:t>
            </w:r>
            <w:proofErr w:type="spellEnd"/>
            <w:r w:rsidR="00552CCF" w:rsidRPr="008735CD">
              <w:t xml:space="preserve"> (2011)</w:t>
            </w:r>
          </w:p>
          <w:p w:rsidR="00552CCF" w:rsidRPr="008735CD" w:rsidRDefault="00552CCF" w:rsidP="00800342">
            <w:pPr>
              <w:ind w:left="-70" w:right="-70"/>
              <w:jc w:val="center"/>
            </w:pPr>
            <w:r w:rsidRPr="008735CD">
              <w:t>Amaral, Costa, &amp; Campos (2010)</w:t>
            </w:r>
          </w:p>
        </w:tc>
      </w:tr>
      <w:tr w:rsidR="00552CCF" w:rsidRPr="008735CD" w:rsidTr="00930388">
        <w:trPr>
          <w:trHeight w:val="500"/>
        </w:trPr>
        <w:tc>
          <w:tcPr>
            <w:tcW w:w="2268" w:type="dxa"/>
            <w:shd w:val="clear" w:color="auto" w:fill="auto"/>
            <w:vAlign w:val="center"/>
            <w:hideMark/>
          </w:tcPr>
          <w:p w:rsidR="00552CCF" w:rsidRPr="008735CD" w:rsidRDefault="00552CCF" w:rsidP="00930388">
            <w:pPr>
              <w:ind w:left="-70" w:right="-70"/>
              <w:jc w:val="center"/>
            </w:pPr>
            <w:r w:rsidRPr="008735CD">
              <w:t>Revista Contemporânea de Contabilidade</w:t>
            </w:r>
          </w:p>
        </w:tc>
        <w:tc>
          <w:tcPr>
            <w:tcW w:w="992" w:type="dxa"/>
            <w:shd w:val="clear" w:color="auto" w:fill="auto"/>
            <w:vAlign w:val="center"/>
            <w:hideMark/>
          </w:tcPr>
          <w:p w:rsidR="00552CCF" w:rsidRPr="008735CD" w:rsidRDefault="00552CCF" w:rsidP="00930388">
            <w:pPr>
              <w:ind w:left="-70" w:right="-70"/>
              <w:jc w:val="center"/>
            </w:pPr>
            <w:r w:rsidRPr="008735CD">
              <w:t>2175-8069</w:t>
            </w:r>
          </w:p>
        </w:tc>
        <w:tc>
          <w:tcPr>
            <w:tcW w:w="1134" w:type="dxa"/>
            <w:shd w:val="clear" w:color="auto" w:fill="auto"/>
            <w:vAlign w:val="center"/>
            <w:hideMark/>
          </w:tcPr>
          <w:p w:rsidR="00552CCF" w:rsidRPr="008735CD" w:rsidRDefault="00552CCF" w:rsidP="00930388">
            <w:pPr>
              <w:ind w:left="-70" w:right="-70"/>
              <w:jc w:val="center"/>
            </w:pPr>
            <w:r w:rsidRPr="008735CD">
              <w:t>2</w:t>
            </w:r>
          </w:p>
        </w:tc>
        <w:tc>
          <w:tcPr>
            <w:tcW w:w="4678" w:type="dxa"/>
            <w:shd w:val="clear" w:color="auto" w:fill="auto"/>
            <w:vAlign w:val="center"/>
            <w:hideMark/>
          </w:tcPr>
          <w:p w:rsidR="00552CCF" w:rsidRPr="008735CD" w:rsidRDefault="00552CCF" w:rsidP="00930388">
            <w:pPr>
              <w:ind w:left="-70" w:right="-70"/>
              <w:jc w:val="center"/>
            </w:pPr>
            <w:proofErr w:type="spellStart"/>
            <w:r w:rsidRPr="008735CD">
              <w:t>Cella</w:t>
            </w:r>
            <w:proofErr w:type="spellEnd"/>
            <w:r w:rsidRPr="008735CD">
              <w:t xml:space="preserve">, Rodrigues, &amp; </w:t>
            </w:r>
            <w:proofErr w:type="spellStart"/>
            <w:r w:rsidRPr="008735CD">
              <w:t>Niyama</w:t>
            </w:r>
            <w:proofErr w:type="spellEnd"/>
            <w:r w:rsidRPr="008735CD">
              <w:t xml:space="preserve"> (2011)</w:t>
            </w:r>
          </w:p>
          <w:p w:rsidR="00552CCF" w:rsidRPr="008735CD" w:rsidRDefault="00552CCF" w:rsidP="00930388">
            <w:pPr>
              <w:ind w:leftChars="-35" w:right="-70" w:hangingChars="35" w:hanging="70"/>
              <w:jc w:val="center"/>
            </w:pPr>
            <w:r w:rsidRPr="008735CD">
              <w:t xml:space="preserve">Alves, </w:t>
            </w:r>
            <w:proofErr w:type="spellStart"/>
            <w:r w:rsidRPr="008735CD">
              <w:t>Kronbauer</w:t>
            </w:r>
            <w:proofErr w:type="spellEnd"/>
            <w:r w:rsidRPr="008735CD">
              <w:t xml:space="preserve">, </w:t>
            </w:r>
            <w:proofErr w:type="spellStart"/>
            <w:r w:rsidRPr="008735CD">
              <w:t>Ott</w:t>
            </w:r>
            <w:proofErr w:type="spellEnd"/>
            <w:r w:rsidRPr="008735CD">
              <w:t>, &amp; Thomaz (2017)</w:t>
            </w:r>
          </w:p>
        </w:tc>
      </w:tr>
      <w:tr w:rsidR="00552CCF" w:rsidRPr="008735CD" w:rsidTr="00930388">
        <w:trPr>
          <w:trHeight w:val="540"/>
        </w:trPr>
        <w:tc>
          <w:tcPr>
            <w:tcW w:w="2268" w:type="dxa"/>
            <w:shd w:val="clear" w:color="auto" w:fill="auto"/>
            <w:vAlign w:val="center"/>
            <w:hideMark/>
          </w:tcPr>
          <w:p w:rsidR="00552CCF" w:rsidRPr="008735CD" w:rsidRDefault="00552CCF" w:rsidP="00930388">
            <w:pPr>
              <w:ind w:left="-70" w:right="-70"/>
              <w:jc w:val="center"/>
            </w:pPr>
            <w:r w:rsidRPr="008735CD">
              <w:t>Revista de Contabilidade do Mestrado em Ciências Contábeis da UERJ</w:t>
            </w:r>
          </w:p>
        </w:tc>
        <w:tc>
          <w:tcPr>
            <w:tcW w:w="992" w:type="dxa"/>
            <w:shd w:val="clear" w:color="auto" w:fill="auto"/>
            <w:vAlign w:val="center"/>
            <w:hideMark/>
          </w:tcPr>
          <w:p w:rsidR="00552CCF" w:rsidRPr="008735CD" w:rsidRDefault="00552CCF" w:rsidP="00930388">
            <w:pPr>
              <w:ind w:left="-70" w:right="-70"/>
              <w:jc w:val="center"/>
            </w:pPr>
            <w:r w:rsidRPr="008735CD">
              <w:t>1984-3291</w:t>
            </w:r>
          </w:p>
        </w:tc>
        <w:tc>
          <w:tcPr>
            <w:tcW w:w="1134" w:type="dxa"/>
            <w:shd w:val="clear" w:color="auto" w:fill="auto"/>
            <w:vAlign w:val="center"/>
            <w:hideMark/>
          </w:tcPr>
          <w:p w:rsidR="00552CCF" w:rsidRPr="008735CD" w:rsidRDefault="00552CCF" w:rsidP="00930388">
            <w:pPr>
              <w:ind w:left="-70" w:right="-70"/>
              <w:jc w:val="center"/>
            </w:pPr>
            <w:r w:rsidRPr="008735CD">
              <w:t>1</w:t>
            </w:r>
          </w:p>
        </w:tc>
        <w:tc>
          <w:tcPr>
            <w:tcW w:w="4678" w:type="dxa"/>
            <w:shd w:val="clear" w:color="auto" w:fill="auto"/>
            <w:vAlign w:val="center"/>
            <w:hideMark/>
          </w:tcPr>
          <w:p w:rsidR="00552CCF" w:rsidRPr="008735CD" w:rsidRDefault="00800342" w:rsidP="00800342">
            <w:pPr>
              <w:ind w:left="-70" w:right="-70"/>
              <w:jc w:val="center"/>
            </w:pPr>
            <w:r>
              <w:t>Kuhn, Machado, &amp; Machado</w:t>
            </w:r>
            <w:r w:rsidR="00552CCF" w:rsidRPr="008735CD">
              <w:t xml:space="preserve"> (2014b)</w:t>
            </w:r>
          </w:p>
        </w:tc>
      </w:tr>
      <w:tr w:rsidR="00552CCF" w:rsidRPr="008735CD" w:rsidTr="00930388">
        <w:trPr>
          <w:trHeight w:val="300"/>
        </w:trPr>
        <w:tc>
          <w:tcPr>
            <w:tcW w:w="2268" w:type="dxa"/>
            <w:vMerge w:val="restart"/>
            <w:shd w:val="clear" w:color="auto" w:fill="auto"/>
            <w:vAlign w:val="center"/>
            <w:hideMark/>
          </w:tcPr>
          <w:p w:rsidR="00552CCF" w:rsidRPr="008735CD" w:rsidRDefault="00552CCF" w:rsidP="00930388">
            <w:pPr>
              <w:ind w:left="-70" w:right="-70"/>
              <w:jc w:val="center"/>
            </w:pPr>
            <w:r w:rsidRPr="008735CD">
              <w:t>Revista de Contabilidade e Organizações</w:t>
            </w:r>
          </w:p>
        </w:tc>
        <w:tc>
          <w:tcPr>
            <w:tcW w:w="992" w:type="dxa"/>
            <w:vMerge w:val="restart"/>
            <w:shd w:val="clear" w:color="auto" w:fill="auto"/>
            <w:vAlign w:val="center"/>
            <w:hideMark/>
          </w:tcPr>
          <w:p w:rsidR="00552CCF" w:rsidRPr="008735CD" w:rsidRDefault="00552CCF" w:rsidP="00930388">
            <w:pPr>
              <w:ind w:left="-70" w:right="-70"/>
              <w:jc w:val="center"/>
            </w:pPr>
            <w:r w:rsidRPr="008735CD">
              <w:t>1982-6486</w:t>
            </w:r>
          </w:p>
        </w:tc>
        <w:tc>
          <w:tcPr>
            <w:tcW w:w="1134" w:type="dxa"/>
            <w:vMerge w:val="restart"/>
            <w:shd w:val="clear" w:color="auto" w:fill="auto"/>
            <w:vAlign w:val="center"/>
            <w:hideMark/>
          </w:tcPr>
          <w:p w:rsidR="00552CCF" w:rsidRPr="008735CD" w:rsidRDefault="00552CCF" w:rsidP="00930388">
            <w:pPr>
              <w:ind w:left="-70" w:right="-70"/>
              <w:jc w:val="center"/>
            </w:pPr>
            <w:r w:rsidRPr="008735CD">
              <w:t>1</w:t>
            </w:r>
          </w:p>
        </w:tc>
        <w:tc>
          <w:tcPr>
            <w:tcW w:w="4678" w:type="dxa"/>
            <w:vMerge w:val="restart"/>
            <w:shd w:val="clear" w:color="auto" w:fill="auto"/>
            <w:vAlign w:val="center"/>
            <w:hideMark/>
          </w:tcPr>
          <w:p w:rsidR="00552CCF" w:rsidRPr="008735CD" w:rsidRDefault="00552CCF" w:rsidP="00930388">
            <w:pPr>
              <w:ind w:left="-70" w:right="-70"/>
              <w:jc w:val="center"/>
            </w:pPr>
            <w:proofErr w:type="spellStart"/>
            <w:r w:rsidRPr="008735CD">
              <w:t>Niyama</w:t>
            </w:r>
            <w:proofErr w:type="spellEnd"/>
            <w:r w:rsidRPr="008735CD">
              <w:t>, Botelho, Corrêa, &amp; Santana (2008)</w:t>
            </w:r>
          </w:p>
        </w:tc>
      </w:tr>
      <w:tr w:rsidR="00552CCF" w:rsidRPr="008735CD" w:rsidTr="00930388">
        <w:trPr>
          <w:trHeight w:val="230"/>
        </w:trPr>
        <w:tc>
          <w:tcPr>
            <w:tcW w:w="2268" w:type="dxa"/>
            <w:vMerge/>
            <w:vAlign w:val="center"/>
            <w:hideMark/>
          </w:tcPr>
          <w:p w:rsidR="00552CCF" w:rsidRPr="008735CD" w:rsidRDefault="00552CCF" w:rsidP="00930388">
            <w:pPr>
              <w:ind w:left="-70" w:right="-70"/>
              <w:jc w:val="center"/>
            </w:pPr>
          </w:p>
        </w:tc>
        <w:tc>
          <w:tcPr>
            <w:tcW w:w="992" w:type="dxa"/>
            <w:vMerge/>
            <w:vAlign w:val="center"/>
            <w:hideMark/>
          </w:tcPr>
          <w:p w:rsidR="00552CCF" w:rsidRPr="008735CD" w:rsidRDefault="00552CCF" w:rsidP="00930388">
            <w:pPr>
              <w:ind w:left="-70" w:right="-70"/>
              <w:jc w:val="center"/>
            </w:pPr>
          </w:p>
        </w:tc>
        <w:tc>
          <w:tcPr>
            <w:tcW w:w="1134" w:type="dxa"/>
            <w:vMerge/>
            <w:vAlign w:val="center"/>
            <w:hideMark/>
          </w:tcPr>
          <w:p w:rsidR="00552CCF" w:rsidRPr="008735CD" w:rsidRDefault="00552CCF" w:rsidP="00930388">
            <w:pPr>
              <w:ind w:left="-70" w:right="-70"/>
              <w:jc w:val="center"/>
            </w:pPr>
          </w:p>
        </w:tc>
        <w:tc>
          <w:tcPr>
            <w:tcW w:w="4678" w:type="dxa"/>
            <w:vMerge/>
            <w:vAlign w:val="center"/>
            <w:hideMark/>
          </w:tcPr>
          <w:p w:rsidR="00552CCF" w:rsidRPr="008735CD" w:rsidRDefault="00552CCF" w:rsidP="00930388">
            <w:pPr>
              <w:ind w:left="-70" w:right="-70"/>
              <w:jc w:val="center"/>
            </w:pPr>
          </w:p>
        </w:tc>
      </w:tr>
      <w:tr w:rsidR="00552CCF" w:rsidRPr="008735CD" w:rsidTr="00930388">
        <w:trPr>
          <w:trHeight w:val="315"/>
        </w:trPr>
        <w:tc>
          <w:tcPr>
            <w:tcW w:w="2268" w:type="dxa"/>
            <w:shd w:val="clear" w:color="auto" w:fill="auto"/>
            <w:vAlign w:val="center"/>
            <w:hideMark/>
          </w:tcPr>
          <w:p w:rsidR="00552CCF" w:rsidRPr="008735CD" w:rsidRDefault="00552CCF" w:rsidP="00930388">
            <w:pPr>
              <w:ind w:left="-70" w:right="-70"/>
              <w:jc w:val="center"/>
            </w:pPr>
            <w:proofErr w:type="spellStart"/>
            <w:r w:rsidRPr="008735CD">
              <w:t>ConTexto</w:t>
            </w:r>
            <w:proofErr w:type="spellEnd"/>
          </w:p>
        </w:tc>
        <w:tc>
          <w:tcPr>
            <w:tcW w:w="992" w:type="dxa"/>
            <w:shd w:val="clear" w:color="auto" w:fill="auto"/>
            <w:vAlign w:val="center"/>
            <w:hideMark/>
          </w:tcPr>
          <w:p w:rsidR="00552CCF" w:rsidRPr="008735CD" w:rsidRDefault="00552CCF" w:rsidP="00930388">
            <w:pPr>
              <w:ind w:left="-70" w:right="-70"/>
              <w:jc w:val="center"/>
            </w:pPr>
            <w:r w:rsidRPr="008735CD">
              <w:t>2175-8751</w:t>
            </w:r>
          </w:p>
        </w:tc>
        <w:tc>
          <w:tcPr>
            <w:tcW w:w="1134" w:type="dxa"/>
            <w:shd w:val="clear" w:color="auto" w:fill="auto"/>
            <w:vAlign w:val="center"/>
            <w:hideMark/>
          </w:tcPr>
          <w:p w:rsidR="00552CCF" w:rsidRPr="008735CD" w:rsidRDefault="00552CCF" w:rsidP="00930388">
            <w:pPr>
              <w:ind w:left="-70" w:right="-70"/>
              <w:jc w:val="center"/>
            </w:pPr>
            <w:r w:rsidRPr="008735CD">
              <w:t>1</w:t>
            </w:r>
          </w:p>
        </w:tc>
        <w:tc>
          <w:tcPr>
            <w:tcW w:w="4678" w:type="dxa"/>
            <w:shd w:val="clear" w:color="auto" w:fill="auto"/>
            <w:vAlign w:val="center"/>
            <w:hideMark/>
          </w:tcPr>
          <w:p w:rsidR="00552CCF" w:rsidRPr="008735CD" w:rsidRDefault="00800342" w:rsidP="00930388">
            <w:pPr>
              <w:ind w:left="-70" w:right="-70"/>
              <w:jc w:val="center"/>
            </w:pPr>
            <w:r>
              <w:t xml:space="preserve">Matos, </w:t>
            </w:r>
            <w:proofErr w:type="spellStart"/>
            <w:r>
              <w:t>Niyama</w:t>
            </w:r>
            <w:proofErr w:type="spellEnd"/>
            <w:r>
              <w:t xml:space="preserve">, Fernandes, </w:t>
            </w:r>
            <w:r w:rsidR="00552CCF" w:rsidRPr="008735CD">
              <w:t>&amp; Botelho (2012)</w:t>
            </w:r>
          </w:p>
        </w:tc>
      </w:tr>
      <w:tr w:rsidR="00552CCF" w:rsidRPr="008735CD" w:rsidTr="00930388">
        <w:trPr>
          <w:trHeight w:val="259"/>
        </w:trPr>
        <w:tc>
          <w:tcPr>
            <w:tcW w:w="2268" w:type="dxa"/>
            <w:shd w:val="clear" w:color="auto" w:fill="auto"/>
            <w:vAlign w:val="center"/>
            <w:hideMark/>
          </w:tcPr>
          <w:p w:rsidR="00552CCF" w:rsidRPr="008735CD" w:rsidRDefault="00552CCF" w:rsidP="00930388">
            <w:pPr>
              <w:ind w:left="-70" w:right="-70"/>
              <w:jc w:val="center"/>
            </w:pPr>
            <w:r w:rsidRPr="008735CD">
              <w:t>RACE</w:t>
            </w:r>
          </w:p>
        </w:tc>
        <w:tc>
          <w:tcPr>
            <w:tcW w:w="992" w:type="dxa"/>
            <w:shd w:val="clear" w:color="auto" w:fill="auto"/>
            <w:vAlign w:val="center"/>
            <w:hideMark/>
          </w:tcPr>
          <w:p w:rsidR="00552CCF" w:rsidRPr="008735CD" w:rsidRDefault="00552CCF" w:rsidP="00930388">
            <w:pPr>
              <w:ind w:left="-70" w:right="-70"/>
              <w:jc w:val="center"/>
            </w:pPr>
            <w:r w:rsidRPr="008735CD">
              <w:t>2178-7638</w:t>
            </w:r>
          </w:p>
        </w:tc>
        <w:tc>
          <w:tcPr>
            <w:tcW w:w="1134" w:type="dxa"/>
            <w:shd w:val="clear" w:color="auto" w:fill="auto"/>
            <w:vAlign w:val="center"/>
            <w:hideMark/>
          </w:tcPr>
          <w:p w:rsidR="00552CCF" w:rsidRPr="008735CD" w:rsidRDefault="00552CCF" w:rsidP="00930388">
            <w:pPr>
              <w:ind w:left="-70" w:right="-70"/>
              <w:jc w:val="center"/>
            </w:pPr>
            <w:r w:rsidRPr="008735CD">
              <w:t>1</w:t>
            </w:r>
          </w:p>
        </w:tc>
        <w:tc>
          <w:tcPr>
            <w:tcW w:w="4678" w:type="dxa"/>
            <w:shd w:val="clear" w:color="auto" w:fill="auto"/>
            <w:vAlign w:val="center"/>
            <w:hideMark/>
          </w:tcPr>
          <w:p w:rsidR="00552CCF" w:rsidRPr="008735CD" w:rsidRDefault="00552CCF" w:rsidP="00930388">
            <w:pPr>
              <w:ind w:left="-70" w:right="-70"/>
              <w:jc w:val="center"/>
            </w:pPr>
            <w:r w:rsidRPr="008735CD">
              <w:t>Reis, Nogueira, &amp; Bim (2014)</w:t>
            </w:r>
          </w:p>
        </w:tc>
      </w:tr>
      <w:tr w:rsidR="00552CCF" w:rsidRPr="008735CD" w:rsidTr="00930388">
        <w:trPr>
          <w:trHeight w:val="315"/>
        </w:trPr>
        <w:tc>
          <w:tcPr>
            <w:tcW w:w="2268" w:type="dxa"/>
            <w:shd w:val="clear" w:color="auto" w:fill="auto"/>
            <w:vAlign w:val="center"/>
            <w:hideMark/>
          </w:tcPr>
          <w:p w:rsidR="00552CCF" w:rsidRPr="008735CD" w:rsidRDefault="00552CCF" w:rsidP="00930388">
            <w:pPr>
              <w:ind w:left="-70" w:right="-70"/>
              <w:jc w:val="center"/>
            </w:pPr>
            <w:r w:rsidRPr="008735CD">
              <w:t>Revista Ambiente Contábil</w:t>
            </w:r>
          </w:p>
        </w:tc>
        <w:tc>
          <w:tcPr>
            <w:tcW w:w="992" w:type="dxa"/>
            <w:shd w:val="clear" w:color="auto" w:fill="auto"/>
            <w:vAlign w:val="center"/>
            <w:hideMark/>
          </w:tcPr>
          <w:p w:rsidR="00552CCF" w:rsidRPr="008735CD" w:rsidRDefault="00552CCF" w:rsidP="00930388">
            <w:pPr>
              <w:ind w:left="-70" w:right="-70"/>
              <w:jc w:val="center"/>
            </w:pPr>
            <w:r w:rsidRPr="008735CD">
              <w:t>2176-9036</w:t>
            </w:r>
          </w:p>
        </w:tc>
        <w:tc>
          <w:tcPr>
            <w:tcW w:w="1134" w:type="dxa"/>
            <w:shd w:val="clear" w:color="auto" w:fill="auto"/>
            <w:vAlign w:val="center"/>
            <w:hideMark/>
          </w:tcPr>
          <w:p w:rsidR="00552CCF" w:rsidRPr="008735CD" w:rsidRDefault="00552CCF" w:rsidP="00930388">
            <w:pPr>
              <w:ind w:left="-70" w:right="-70"/>
              <w:jc w:val="center"/>
            </w:pPr>
            <w:r w:rsidRPr="008735CD">
              <w:t>1</w:t>
            </w:r>
          </w:p>
        </w:tc>
        <w:tc>
          <w:tcPr>
            <w:tcW w:w="4678" w:type="dxa"/>
            <w:shd w:val="clear" w:color="auto" w:fill="auto"/>
            <w:vAlign w:val="center"/>
            <w:hideMark/>
          </w:tcPr>
          <w:p w:rsidR="00552CCF" w:rsidRPr="008735CD" w:rsidRDefault="00800342" w:rsidP="00930388">
            <w:pPr>
              <w:ind w:left="-70" w:right="-70"/>
              <w:jc w:val="center"/>
            </w:pPr>
            <w:r>
              <w:t>Nascimento, Lopes,</w:t>
            </w:r>
            <w:r w:rsidR="00552CCF" w:rsidRPr="008735CD">
              <w:t xml:space="preserve"> </w:t>
            </w:r>
            <w:proofErr w:type="spellStart"/>
            <w:r w:rsidR="00552CCF" w:rsidRPr="008735CD">
              <w:t>Colauto</w:t>
            </w:r>
            <w:proofErr w:type="spellEnd"/>
            <w:r w:rsidR="00552CCF" w:rsidRPr="008735CD">
              <w:t>, &amp; Pederneiras (2014)</w:t>
            </w:r>
          </w:p>
        </w:tc>
      </w:tr>
      <w:tr w:rsidR="00552CCF" w:rsidRPr="008735CD" w:rsidTr="00930388">
        <w:trPr>
          <w:trHeight w:val="169"/>
        </w:trPr>
        <w:tc>
          <w:tcPr>
            <w:tcW w:w="2268" w:type="dxa"/>
            <w:shd w:val="clear" w:color="auto" w:fill="auto"/>
            <w:vAlign w:val="center"/>
            <w:hideMark/>
          </w:tcPr>
          <w:p w:rsidR="00552CCF" w:rsidRPr="008735CD" w:rsidRDefault="00552CCF" w:rsidP="00930388">
            <w:pPr>
              <w:ind w:left="-70" w:right="-70"/>
              <w:jc w:val="center"/>
            </w:pPr>
            <w:r w:rsidRPr="008735CD">
              <w:t>GECONT</w:t>
            </w:r>
          </w:p>
        </w:tc>
        <w:tc>
          <w:tcPr>
            <w:tcW w:w="992" w:type="dxa"/>
            <w:shd w:val="clear" w:color="auto" w:fill="auto"/>
            <w:vAlign w:val="center"/>
            <w:hideMark/>
          </w:tcPr>
          <w:p w:rsidR="00552CCF" w:rsidRPr="008735CD" w:rsidRDefault="00552CCF" w:rsidP="00930388">
            <w:pPr>
              <w:ind w:left="-70" w:right="-70"/>
              <w:jc w:val="center"/>
            </w:pPr>
            <w:r w:rsidRPr="008735CD">
              <w:t>2358-1735</w:t>
            </w:r>
          </w:p>
        </w:tc>
        <w:tc>
          <w:tcPr>
            <w:tcW w:w="1134" w:type="dxa"/>
            <w:shd w:val="clear" w:color="auto" w:fill="auto"/>
            <w:vAlign w:val="center"/>
            <w:hideMark/>
          </w:tcPr>
          <w:p w:rsidR="00552CCF" w:rsidRPr="008735CD" w:rsidRDefault="00552CCF" w:rsidP="00930388">
            <w:pPr>
              <w:ind w:left="-70" w:right="-70"/>
              <w:jc w:val="center"/>
            </w:pPr>
            <w:r w:rsidRPr="008735CD">
              <w:t>1</w:t>
            </w:r>
          </w:p>
        </w:tc>
        <w:tc>
          <w:tcPr>
            <w:tcW w:w="4678" w:type="dxa"/>
            <w:shd w:val="clear" w:color="auto" w:fill="auto"/>
            <w:vAlign w:val="center"/>
            <w:hideMark/>
          </w:tcPr>
          <w:p w:rsidR="00552CCF" w:rsidRPr="008735CD" w:rsidRDefault="00552CCF" w:rsidP="00800342">
            <w:pPr>
              <w:ind w:left="-70" w:right="-70"/>
              <w:jc w:val="center"/>
            </w:pPr>
            <w:r w:rsidRPr="008735CD">
              <w:t>Lima, Costa, &amp; Santana (2015)</w:t>
            </w:r>
          </w:p>
        </w:tc>
      </w:tr>
      <w:tr w:rsidR="00552CCF" w:rsidRPr="008735CD" w:rsidTr="00930388">
        <w:trPr>
          <w:trHeight w:val="315"/>
        </w:trPr>
        <w:tc>
          <w:tcPr>
            <w:tcW w:w="2268" w:type="dxa"/>
            <w:shd w:val="clear" w:color="auto" w:fill="auto"/>
            <w:vAlign w:val="center"/>
            <w:hideMark/>
          </w:tcPr>
          <w:p w:rsidR="00552CCF" w:rsidRPr="008735CD" w:rsidRDefault="00552CCF" w:rsidP="00930388">
            <w:pPr>
              <w:ind w:left="-70" w:right="-70"/>
              <w:jc w:val="center"/>
            </w:pPr>
            <w:r w:rsidRPr="008735CD">
              <w:t xml:space="preserve">Revista da </w:t>
            </w:r>
            <w:proofErr w:type="spellStart"/>
            <w:r w:rsidRPr="008735CD">
              <w:t>Unifebe</w:t>
            </w:r>
            <w:proofErr w:type="spellEnd"/>
          </w:p>
        </w:tc>
        <w:tc>
          <w:tcPr>
            <w:tcW w:w="992" w:type="dxa"/>
            <w:shd w:val="clear" w:color="auto" w:fill="auto"/>
            <w:vAlign w:val="center"/>
            <w:hideMark/>
          </w:tcPr>
          <w:p w:rsidR="00552CCF" w:rsidRPr="008735CD" w:rsidRDefault="00552CCF" w:rsidP="00930388">
            <w:pPr>
              <w:ind w:left="-70" w:right="-70"/>
              <w:jc w:val="center"/>
            </w:pPr>
            <w:r w:rsidRPr="008735CD">
              <w:t>2177-742X</w:t>
            </w:r>
          </w:p>
        </w:tc>
        <w:tc>
          <w:tcPr>
            <w:tcW w:w="1134" w:type="dxa"/>
            <w:shd w:val="clear" w:color="auto" w:fill="auto"/>
            <w:vAlign w:val="center"/>
            <w:hideMark/>
          </w:tcPr>
          <w:p w:rsidR="00552CCF" w:rsidRPr="008735CD" w:rsidRDefault="00552CCF" w:rsidP="00930388">
            <w:pPr>
              <w:ind w:left="-70" w:right="-70"/>
              <w:jc w:val="center"/>
            </w:pPr>
            <w:r w:rsidRPr="008735CD">
              <w:t>1</w:t>
            </w:r>
          </w:p>
        </w:tc>
        <w:tc>
          <w:tcPr>
            <w:tcW w:w="4678" w:type="dxa"/>
            <w:shd w:val="clear" w:color="auto" w:fill="auto"/>
            <w:vAlign w:val="center"/>
            <w:hideMark/>
          </w:tcPr>
          <w:p w:rsidR="00552CCF" w:rsidRPr="008735CD" w:rsidRDefault="00552CCF" w:rsidP="00930388">
            <w:pPr>
              <w:ind w:left="-70" w:right="-70"/>
              <w:jc w:val="center"/>
            </w:pPr>
            <w:proofErr w:type="spellStart"/>
            <w:r w:rsidRPr="008735CD">
              <w:t>Toigo</w:t>
            </w:r>
            <w:proofErr w:type="spellEnd"/>
            <w:r w:rsidRPr="008735CD">
              <w:t xml:space="preserve">, Vogt, </w:t>
            </w:r>
            <w:proofErr w:type="spellStart"/>
            <w:r w:rsidRPr="008735CD">
              <w:t>Degenhart</w:t>
            </w:r>
            <w:proofErr w:type="spellEnd"/>
            <w:r w:rsidRPr="008735CD">
              <w:t xml:space="preserve">, &amp; </w:t>
            </w:r>
            <w:proofErr w:type="spellStart"/>
            <w:r w:rsidRPr="008735CD">
              <w:t>Klann</w:t>
            </w:r>
            <w:proofErr w:type="spellEnd"/>
            <w:r w:rsidRPr="008735CD">
              <w:t xml:space="preserve"> (2014)</w:t>
            </w:r>
          </w:p>
        </w:tc>
      </w:tr>
      <w:tr w:rsidR="00552CCF" w:rsidRPr="008735CD" w:rsidTr="00930388">
        <w:trPr>
          <w:trHeight w:val="661"/>
        </w:trPr>
        <w:tc>
          <w:tcPr>
            <w:tcW w:w="2268" w:type="dxa"/>
            <w:shd w:val="clear" w:color="auto" w:fill="auto"/>
            <w:vAlign w:val="center"/>
            <w:hideMark/>
          </w:tcPr>
          <w:p w:rsidR="00552CCF" w:rsidRPr="008735CD" w:rsidRDefault="00552CCF" w:rsidP="00930388">
            <w:pPr>
              <w:ind w:left="-70" w:right="-70"/>
              <w:jc w:val="center"/>
            </w:pPr>
            <w:r w:rsidRPr="008735CD">
              <w:t>Revista de Administração, Contabilidade e Sustentabilidade</w:t>
            </w:r>
          </w:p>
        </w:tc>
        <w:tc>
          <w:tcPr>
            <w:tcW w:w="992" w:type="dxa"/>
            <w:shd w:val="clear" w:color="auto" w:fill="auto"/>
            <w:vAlign w:val="center"/>
            <w:hideMark/>
          </w:tcPr>
          <w:p w:rsidR="00552CCF" w:rsidRPr="008735CD" w:rsidRDefault="00552CCF" w:rsidP="00930388">
            <w:pPr>
              <w:ind w:left="-70" w:right="-70"/>
              <w:jc w:val="center"/>
            </w:pPr>
            <w:r w:rsidRPr="008735CD">
              <w:t>2237-3667</w:t>
            </w:r>
          </w:p>
        </w:tc>
        <w:tc>
          <w:tcPr>
            <w:tcW w:w="1134" w:type="dxa"/>
            <w:shd w:val="clear" w:color="auto" w:fill="auto"/>
            <w:vAlign w:val="center"/>
            <w:hideMark/>
          </w:tcPr>
          <w:p w:rsidR="00552CCF" w:rsidRPr="008735CD" w:rsidRDefault="00552CCF" w:rsidP="00930388">
            <w:pPr>
              <w:ind w:left="-70" w:right="-70"/>
              <w:jc w:val="center"/>
            </w:pPr>
            <w:r w:rsidRPr="008735CD">
              <w:t>1</w:t>
            </w:r>
          </w:p>
        </w:tc>
        <w:tc>
          <w:tcPr>
            <w:tcW w:w="4678" w:type="dxa"/>
            <w:shd w:val="clear" w:color="auto" w:fill="auto"/>
            <w:vAlign w:val="center"/>
            <w:hideMark/>
          </w:tcPr>
          <w:p w:rsidR="00552CCF" w:rsidRPr="008735CD" w:rsidRDefault="00800342" w:rsidP="00930388">
            <w:pPr>
              <w:ind w:left="-70" w:right="-70"/>
              <w:jc w:val="center"/>
            </w:pPr>
            <w:r>
              <w:t>Gomes,</w:t>
            </w:r>
            <w:r w:rsidR="00552CCF" w:rsidRPr="008735CD">
              <w:t xml:space="preserve"> Cruz, Souza, &amp; Gomes, I. (2015)</w:t>
            </w:r>
          </w:p>
        </w:tc>
      </w:tr>
      <w:tr w:rsidR="00552CCF" w:rsidRPr="008735CD" w:rsidTr="00930388">
        <w:trPr>
          <w:trHeight w:val="315"/>
        </w:trPr>
        <w:tc>
          <w:tcPr>
            <w:tcW w:w="2268" w:type="dxa"/>
            <w:shd w:val="clear" w:color="auto" w:fill="auto"/>
            <w:vAlign w:val="center"/>
            <w:hideMark/>
          </w:tcPr>
          <w:p w:rsidR="00552CCF" w:rsidRPr="008735CD" w:rsidRDefault="00552CCF" w:rsidP="00930388">
            <w:pPr>
              <w:ind w:left="-70" w:right="-70"/>
              <w:jc w:val="center"/>
            </w:pPr>
            <w:r w:rsidRPr="008735CD">
              <w:t>Sociais e Humanas</w:t>
            </w:r>
          </w:p>
        </w:tc>
        <w:tc>
          <w:tcPr>
            <w:tcW w:w="992" w:type="dxa"/>
            <w:shd w:val="clear" w:color="auto" w:fill="auto"/>
            <w:vAlign w:val="center"/>
            <w:hideMark/>
          </w:tcPr>
          <w:p w:rsidR="00552CCF" w:rsidRPr="008735CD" w:rsidRDefault="00552CCF" w:rsidP="00930388">
            <w:pPr>
              <w:ind w:left="-70" w:right="-70"/>
              <w:jc w:val="center"/>
            </w:pPr>
            <w:r w:rsidRPr="008735CD">
              <w:t>2317-1758</w:t>
            </w:r>
          </w:p>
        </w:tc>
        <w:tc>
          <w:tcPr>
            <w:tcW w:w="1134" w:type="dxa"/>
            <w:shd w:val="clear" w:color="auto" w:fill="auto"/>
            <w:vAlign w:val="center"/>
            <w:hideMark/>
          </w:tcPr>
          <w:p w:rsidR="00552CCF" w:rsidRPr="008735CD" w:rsidRDefault="00552CCF" w:rsidP="00930388">
            <w:pPr>
              <w:ind w:left="-70" w:right="-70"/>
              <w:jc w:val="center"/>
            </w:pPr>
            <w:r w:rsidRPr="008735CD">
              <w:t>1</w:t>
            </w:r>
          </w:p>
        </w:tc>
        <w:tc>
          <w:tcPr>
            <w:tcW w:w="4678" w:type="dxa"/>
            <w:shd w:val="clear" w:color="auto" w:fill="auto"/>
            <w:vAlign w:val="center"/>
            <w:hideMark/>
          </w:tcPr>
          <w:p w:rsidR="00552CCF" w:rsidRPr="008735CD" w:rsidRDefault="00800342" w:rsidP="00800342">
            <w:pPr>
              <w:ind w:left="-70" w:right="-70"/>
              <w:jc w:val="center"/>
              <w:rPr>
                <w:sz w:val="19"/>
                <w:szCs w:val="19"/>
                <w:lang w:val="en-US"/>
              </w:rPr>
            </w:pPr>
            <w:proofErr w:type="spellStart"/>
            <w:r>
              <w:rPr>
                <w:sz w:val="19"/>
                <w:szCs w:val="19"/>
                <w:lang w:val="en-US"/>
              </w:rPr>
              <w:t>Lunedo</w:t>
            </w:r>
            <w:proofErr w:type="spellEnd"/>
            <w:r>
              <w:rPr>
                <w:sz w:val="19"/>
                <w:szCs w:val="19"/>
                <w:lang w:val="en-US"/>
              </w:rPr>
              <w:t>,</w:t>
            </w:r>
            <w:r w:rsidR="00552CCF" w:rsidRPr="008735CD">
              <w:rPr>
                <w:sz w:val="19"/>
                <w:szCs w:val="19"/>
                <w:lang w:val="en-US"/>
              </w:rPr>
              <w:t xml:space="preserve"> Kruger, </w:t>
            </w:r>
            <w:proofErr w:type="spellStart"/>
            <w:r w:rsidR="00552CCF" w:rsidRPr="008735CD">
              <w:rPr>
                <w:sz w:val="19"/>
                <w:szCs w:val="19"/>
                <w:lang w:val="en-US"/>
              </w:rPr>
              <w:t>Mazzioni</w:t>
            </w:r>
            <w:proofErr w:type="spellEnd"/>
            <w:r w:rsidR="00552CCF" w:rsidRPr="008735CD">
              <w:rPr>
                <w:sz w:val="19"/>
                <w:szCs w:val="19"/>
                <w:lang w:val="en-US"/>
              </w:rPr>
              <w:t xml:space="preserve">, </w:t>
            </w:r>
            <w:proofErr w:type="spellStart"/>
            <w:r w:rsidR="00552CCF" w:rsidRPr="008735CD">
              <w:rPr>
                <w:sz w:val="19"/>
                <w:szCs w:val="19"/>
                <w:lang w:val="en-US"/>
              </w:rPr>
              <w:t>Lunedo</w:t>
            </w:r>
            <w:proofErr w:type="spellEnd"/>
            <w:r w:rsidR="00552CCF" w:rsidRPr="008735CD">
              <w:rPr>
                <w:sz w:val="19"/>
                <w:szCs w:val="19"/>
                <w:lang w:val="en-US"/>
              </w:rPr>
              <w:t xml:space="preserve">, &amp; </w:t>
            </w:r>
            <w:proofErr w:type="spellStart"/>
            <w:r w:rsidR="00552CCF" w:rsidRPr="008735CD">
              <w:rPr>
                <w:sz w:val="19"/>
                <w:szCs w:val="19"/>
                <w:lang w:val="en-US"/>
              </w:rPr>
              <w:t>Folletto</w:t>
            </w:r>
            <w:proofErr w:type="spellEnd"/>
            <w:r w:rsidR="00552CCF" w:rsidRPr="008735CD">
              <w:rPr>
                <w:sz w:val="19"/>
                <w:szCs w:val="19"/>
                <w:lang w:val="en-US"/>
              </w:rPr>
              <w:t xml:space="preserve"> (2014)</w:t>
            </w:r>
          </w:p>
        </w:tc>
      </w:tr>
      <w:tr w:rsidR="00552CCF" w:rsidRPr="008735CD" w:rsidTr="00930388">
        <w:trPr>
          <w:trHeight w:val="315"/>
        </w:trPr>
        <w:tc>
          <w:tcPr>
            <w:tcW w:w="2268" w:type="dxa"/>
            <w:shd w:val="clear" w:color="auto" w:fill="auto"/>
            <w:vAlign w:val="center"/>
            <w:hideMark/>
          </w:tcPr>
          <w:p w:rsidR="00552CCF" w:rsidRPr="008735CD" w:rsidRDefault="00552CCF" w:rsidP="00930388">
            <w:pPr>
              <w:ind w:left="-70" w:right="-70"/>
              <w:jc w:val="center"/>
            </w:pPr>
            <w:r w:rsidRPr="008735CD">
              <w:t>Pensar Contábil</w:t>
            </w:r>
          </w:p>
        </w:tc>
        <w:tc>
          <w:tcPr>
            <w:tcW w:w="992" w:type="dxa"/>
            <w:shd w:val="clear" w:color="auto" w:fill="auto"/>
            <w:noWrap/>
            <w:vAlign w:val="center"/>
            <w:hideMark/>
          </w:tcPr>
          <w:p w:rsidR="00552CCF" w:rsidRPr="008735CD" w:rsidRDefault="00552CCF" w:rsidP="00930388">
            <w:pPr>
              <w:ind w:left="-70" w:right="-70"/>
              <w:jc w:val="center"/>
            </w:pPr>
            <w:r w:rsidRPr="008735CD">
              <w:t>1519-0412</w:t>
            </w:r>
          </w:p>
        </w:tc>
        <w:tc>
          <w:tcPr>
            <w:tcW w:w="1134" w:type="dxa"/>
            <w:shd w:val="clear" w:color="auto" w:fill="auto"/>
            <w:vAlign w:val="center"/>
            <w:hideMark/>
          </w:tcPr>
          <w:p w:rsidR="00552CCF" w:rsidRPr="008735CD" w:rsidRDefault="00552CCF" w:rsidP="00930388">
            <w:pPr>
              <w:ind w:left="-70" w:right="-70"/>
              <w:jc w:val="center"/>
            </w:pPr>
            <w:r w:rsidRPr="008735CD">
              <w:t>1</w:t>
            </w:r>
          </w:p>
        </w:tc>
        <w:tc>
          <w:tcPr>
            <w:tcW w:w="4678" w:type="dxa"/>
            <w:shd w:val="clear" w:color="auto" w:fill="auto"/>
            <w:vAlign w:val="center"/>
            <w:hideMark/>
          </w:tcPr>
          <w:p w:rsidR="00552CCF" w:rsidRPr="008735CD" w:rsidRDefault="00552CCF" w:rsidP="00930388">
            <w:pPr>
              <w:ind w:left="-70" w:right="-70" w:firstLineChars="300" w:firstLine="600"/>
              <w:jc w:val="center"/>
            </w:pPr>
            <w:r w:rsidRPr="008735CD">
              <w:t xml:space="preserve">Cunha, </w:t>
            </w:r>
            <w:proofErr w:type="spellStart"/>
            <w:r w:rsidRPr="008735CD">
              <w:t>Guidini</w:t>
            </w:r>
            <w:proofErr w:type="spellEnd"/>
            <w:r w:rsidRPr="008735CD">
              <w:t xml:space="preserve">, &amp; </w:t>
            </w:r>
            <w:proofErr w:type="spellStart"/>
            <w:r w:rsidRPr="008735CD">
              <w:t>Klann</w:t>
            </w:r>
            <w:proofErr w:type="spellEnd"/>
            <w:r w:rsidRPr="008735CD">
              <w:t xml:space="preserve"> (2017)</w:t>
            </w:r>
          </w:p>
        </w:tc>
      </w:tr>
      <w:tr w:rsidR="00552CCF" w:rsidRPr="008735CD" w:rsidTr="00930388">
        <w:trPr>
          <w:trHeight w:val="315"/>
        </w:trPr>
        <w:tc>
          <w:tcPr>
            <w:tcW w:w="2268" w:type="dxa"/>
            <w:shd w:val="clear" w:color="auto" w:fill="auto"/>
            <w:vAlign w:val="center"/>
            <w:hideMark/>
          </w:tcPr>
          <w:p w:rsidR="00552CCF" w:rsidRPr="008735CD" w:rsidRDefault="00552CCF" w:rsidP="00930388">
            <w:pPr>
              <w:ind w:left="-70" w:right="-70"/>
              <w:jc w:val="center"/>
              <w:rPr>
                <w:b/>
                <w:bCs/>
              </w:rPr>
            </w:pPr>
            <w:r w:rsidRPr="008735CD">
              <w:rPr>
                <w:b/>
                <w:bCs/>
              </w:rPr>
              <w:t>Total</w:t>
            </w:r>
          </w:p>
        </w:tc>
        <w:tc>
          <w:tcPr>
            <w:tcW w:w="992" w:type="dxa"/>
            <w:shd w:val="clear" w:color="auto" w:fill="auto"/>
            <w:vAlign w:val="center"/>
            <w:hideMark/>
          </w:tcPr>
          <w:p w:rsidR="00552CCF" w:rsidRPr="008735CD" w:rsidRDefault="00552CCF" w:rsidP="00930388">
            <w:pPr>
              <w:ind w:left="-70" w:right="-70"/>
              <w:jc w:val="center"/>
              <w:rPr>
                <w:b/>
                <w:bCs/>
              </w:rPr>
            </w:pPr>
          </w:p>
        </w:tc>
        <w:tc>
          <w:tcPr>
            <w:tcW w:w="1134" w:type="dxa"/>
            <w:shd w:val="clear" w:color="auto" w:fill="auto"/>
            <w:vAlign w:val="center"/>
            <w:hideMark/>
          </w:tcPr>
          <w:p w:rsidR="00552CCF" w:rsidRPr="008735CD" w:rsidRDefault="00552CCF" w:rsidP="00930388">
            <w:pPr>
              <w:ind w:left="-70" w:right="-70"/>
              <w:jc w:val="center"/>
              <w:rPr>
                <w:b/>
                <w:bCs/>
              </w:rPr>
            </w:pPr>
            <w:r w:rsidRPr="008735CD">
              <w:rPr>
                <w:b/>
                <w:bCs/>
              </w:rPr>
              <w:t>18</w:t>
            </w:r>
          </w:p>
        </w:tc>
        <w:tc>
          <w:tcPr>
            <w:tcW w:w="4678" w:type="dxa"/>
            <w:shd w:val="clear" w:color="auto" w:fill="auto"/>
            <w:vAlign w:val="center"/>
            <w:hideMark/>
          </w:tcPr>
          <w:p w:rsidR="00552CCF" w:rsidRPr="008735CD" w:rsidRDefault="00552CCF" w:rsidP="00930388">
            <w:pPr>
              <w:ind w:left="-70" w:right="-70"/>
              <w:jc w:val="center"/>
            </w:pPr>
          </w:p>
        </w:tc>
      </w:tr>
    </w:tbl>
    <w:p w:rsidR="00552CCF" w:rsidRPr="008735CD" w:rsidRDefault="00552CCF" w:rsidP="00552CCF">
      <w:pPr>
        <w:autoSpaceDE w:val="0"/>
        <w:autoSpaceDN w:val="0"/>
        <w:adjustRightInd w:val="0"/>
        <w:jc w:val="both"/>
        <w:rPr>
          <w:rFonts w:eastAsia="SimSun"/>
          <w:lang w:eastAsia="zh-CN"/>
        </w:rPr>
      </w:pPr>
      <w:r w:rsidRPr="008735CD">
        <w:rPr>
          <w:rFonts w:eastAsia="SimSun"/>
          <w:lang w:eastAsia="zh-CN"/>
        </w:rPr>
        <w:t>Fonte: dados da pesquisa (2018)</w:t>
      </w:r>
    </w:p>
    <w:p w:rsidR="00552CCF" w:rsidRPr="008735CD" w:rsidRDefault="00552CCF" w:rsidP="00552CCF">
      <w:pPr>
        <w:autoSpaceDE w:val="0"/>
        <w:autoSpaceDN w:val="0"/>
        <w:adjustRightInd w:val="0"/>
        <w:jc w:val="both"/>
        <w:rPr>
          <w:rFonts w:eastAsia="SimSun"/>
          <w:lang w:eastAsia="zh-CN"/>
        </w:rPr>
      </w:pPr>
    </w:p>
    <w:p w:rsidR="004C350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Foram encontradas publicações em 18 periódicos distintos (Tabela 1); contudo, três revistas concentram 44% da amostra - Revista Contabilidade e Controladoria, Revista Universo Contábil e Revista Contemporânea de Contabilidade - vinculadas respectivamente aos Programas de Pós-Graduação da Universidade Federal do Paraná, Fundação Universidade </w:t>
      </w:r>
      <w:r w:rsidRPr="008735CD">
        <w:rPr>
          <w:rFonts w:eastAsia="SimSun"/>
          <w:sz w:val="24"/>
          <w:szCs w:val="24"/>
          <w:lang w:eastAsia="zh-CN"/>
        </w:rPr>
        <w:lastRenderedPageBreak/>
        <w:t xml:space="preserve">Regional de Blumenau e Universidade Federal de Santa Catarina, </w:t>
      </w:r>
      <w:r w:rsidR="00B57AA6" w:rsidRPr="008735CD">
        <w:rPr>
          <w:rFonts w:eastAsia="SimSun"/>
          <w:sz w:val="24"/>
          <w:szCs w:val="24"/>
          <w:lang w:eastAsia="zh-CN"/>
        </w:rPr>
        <w:t>todos os</w:t>
      </w:r>
      <w:r w:rsidRPr="008735CD">
        <w:rPr>
          <w:rFonts w:eastAsia="SimSun"/>
          <w:sz w:val="24"/>
          <w:szCs w:val="24"/>
          <w:lang w:eastAsia="zh-CN"/>
        </w:rPr>
        <w:t xml:space="preserve"> Programas de Pós-Graduação (PPG) avaliados pelo Ministério da Educação (MEC), em 2017, com nota 5. Os demais publicaram apenas um artigo em cada periódico, no período de 11 anos. </w:t>
      </w:r>
    </w:p>
    <w:p w:rsidR="00552CCF" w:rsidRPr="008735C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Esta pesquisa revela que os periódicos das três universidades com PPG de elevados rankings investem atenção especial aos reflexos das normas internacionais no ensino. Tais </w:t>
      </w:r>
      <w:r w:rsidRPr="00B57AA6">
        <w:rPr>
          <w:rFonts w:eastAsia="SimSun"/>
          <w:sz w:val="24"/>
          <w:szCs w:val="24"/>
          <w:lang w:eastAsia="zh-CN"/>
        </w:rPr>
        <w:t>achados contrapõem os resultados apresentados por Miranda, Santos, Casa Nova, &amp;</w:t>
      </w:r>
      <w:r w:rsidRPr="008735CD">
        <w:rPr>
          <w:rFonts w:eastAsia="SimSun"/>
          <w:sz w:val="24"/>
          <w:szCs w:val="24"/>
          <w:lang w:eastAsia="zh-CN"/>
        </w:rPr>
        <w:t xml:space="preserve"> </w:t>
      </w:r>
      <w:proofErr w:type="spellStart"/>
      <w:r w:rsidRPr="008735CD">
        <w:rPr>
          <w:rFonts w:eastAsia="SimSun"/>
          <w:sz w:val="24"/>
          <w:szCs w:val="24"/>
          <w:lang w:eastAsia="zh-CN"/>
        </w:rPr>
        <w:t>Cornachione</w:t>
      </w:r>
      <w:proofErr w:type="spellEnd"/>
      <w:r w:rsidRPr="008735CD">
        <w:rPr>
          <w:rFonts w:eastAsia="SimSun"/>
          <w:sz w:val="24"/>
          <w:szCs w:val="24"/>
          <w:lang w:eastAsia="zh-CN"/>
        </w:rPr>
        <w:t xml:space="preserve"> Junior (2013), que analisaram publicações sobre “educação contábil” nos periódicos Revista de Contabilidade e Finanças e Revista de Ensino e Pesquisa em Contabilidade, e não verificaram artigos com recortes comuns à “educação” e “IFRS”, ou os termos congêneres. </w:t>
      </w:r>
    </w:p>
    <w:p w:rsidR="00552CCF" w:rsidRPr="004C350D" w:rsidRDefault="00552CCF" w:rsidP="004C350D">
      <w:pPr>
        <w:widowControl w:val="0"/>
        <w:spacing w:before="240" w:after="80"/>
        <w:rPr>
          <w:b/>
          <w:sz w:val="24"/>
          <w:szCs w:val="24"/>
        </w:rPr>
      </w:pPr>
      <w:r w:rsidRPr="004C350D">
        <w:rPr>
          <w:b/>
          <w:sz w:val="24"/>
          <w:szCs w:val="24"/>
        </w:rPr>
        <w:t xml:space="preserve">4.1 Análise </w:t>
      </w:r>
      <w:proofErr w:type="spellStart"/>
      <w:r w:rsidRPr="004C350D">
        <w:rPr>
          <w:b/>
          <w:sz w:val="24"/>
          <w:szCs w:val="24"/>
        </w:rPr>
        <w:t>Bibliométrica</w:t>
      </w:r>
      <w:proofErr w:type="spellEnd"/>
    </w:p>
    <w:p w:rsidR="004C350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O crescimento da produção científica destacada por </w:t>
      </w:r>
      <w:proofErr w:type="spellStart"/>
      <w:r w:rsidRPr="008735CD">
        <w:rPr>
          <w:rFonts w:eastAsia="SimSun"/>
          <w:sz w:val="24"/>
          <w:szCs w:val="24"/>
          <w:lang w:eastAsia="zh-CN"/>
        </w:rPr>
        <w:t>Nganga</w:t>
      </w:r>
      <w:proofErr w:type="spellEnd"/>
      <w:r w:rsidRPr="008735CD">
        <w:rPr>
          <w:rFonts w:eastAsia="SimSun"/>
          <w:sz w:val="24"/>
          <w:szCs w:val="24"/>
          <w:lang w:eastAsia="zh-CN"/>
        </w:rPr>
        <w:t xml:space="preserve">, Botinha, Miranda, &amp; Leal (2016) é indicada como consequência da expansão dos PPG. As atribuições de ensino e pesquisa são as experiências mais influentes na aquisição de habilidades, o que demanda que os Programas de Pós-graduação estejam alinhados ao tema Ensino (Miranda, 2010). Os periódicos nos quais estão publicados os 18 artigos objetos desta análise possuem escopo predominante na área da Contabilidade ou em segmentos das Ciências Sociais; nenhum apresenta como escopo ou foco principal ensino ou educação em Ciências Contábeis. </w:t>
      </w:r>
    </w:p>
    <w:p w:rsidR="00552CCF" w:rsidRPr="004C350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Levando em consideração o conceito </w:t>
      </w:r>
      <w:proofErr w:type="spellStart"/>
      <w:r w:rsidRPr="008735CD">
        <w:rPr>
          <w:rFonts w:eastAsia="SimSun"/>
          <w:i/>
          <w:sz w:val="24"/>
          <w:szCs w:val="24"/>
          <w:lang w:eastAsia="zh-CN"/>
        </w:rPr>
        <w:t>Qualis</w:t>
      </w:r>
      <w:proofErr w:type="spellEnd"/>
      <w:r w:rsidRPr="008735CD">
        <w:rPr>
          <w:rFonts w:eastAsia="SimSun"/>
          <w:sz w:val="24"/>
          <w:szCs w:val="24"/>
          <w:lang w:eastAsia="zh-CN"/>
        </w:rPr>
        <w:t xml:space="preserve"> CAPES na área de Contabilidade/Administração, verificou-se que 33% dos artigos da amostra (6) estão atualmente, indexados em periódicos classificados como ‘A2’. Se fosse considerada a classificação do momento da publicação, ou do triênio 2010-2012 para artigos publicados até 2012, apenas um desses artigos seria classificado como publicado em periódico ‘A2’. Isso revela uma melhoria no reconhecimento dos periódicos que publicaram artigos relacionados à “IFRS e ensino”. A Tabela 2 apresenta, também, a estratificação dos artigos utilizados na amostra nas áreas de educação e ensino.</w:t>
      </w:r>
    </w:p>
    <w:p w:rsidR="00552CCF" w:rsidRPr="008735CD" w:rsidRDefault="00552CCF" w:rsidP="00552CCF">
      <w:pPr>
        <w:autoSpaceDE w:val="0"/>
        <w:autoSpaceDN w:val="0"/>
        <w:adjustRightInd w:val="0"/>
        <w:jc w:val="both"/>
        <w:rPr>
          <w:rFonts w:eastAsia="SimSun"/>
          <w:lang w:eastAsia="zh-CN"/>
        </w:rPr>
      </w:pPr>
    </w:p>
    <w:p w:rsidR="004C350D" w:rsidRDefault="00552CCF" w:rsidP="00552CCF">
      <w:pPr>
        <w:autoSpaceDE w:val="0"/>
        <w:autoSpaceDN w:val="0"/>
        <w:adjustRightInd w:val="0"/>
        <w:jc w:val="both"/>
        <w:rPr>
          <w:rFonts w:eastAsia="SimSun"/>
          <w:lang w:eastAsia="zh-CN"/>
        </w:rPr>
      </w:pPr>
      <w:r w:rsidRPr="008735CD">
        <w:rPr>
          <w:rFonts w:eastAsia="SimSun"/>
          <w:lang w:eastAsia="zh-CN"/>
        </w:rPr>
        <w:t>T</w:t>
      </w:r>
      <w:r w:rsidRPr="004C350D">
        <w:rPr>
          <w:rFonts w:eastAsia="SimSun"/>
          <w:lang w:eastAsia="zh-CN"/>
        </w:rPr>
        <w:t>abela 2</w:t>
      </w:r>
    </w:p>
    <w:p w:rsidR="00552CCF" w:rsidRPr="004C350D" w:rsidRDefault="00552CCF" w:rsidP="00552CCF">
      <w:pPr>
        <w:autoSpaceDE w:val="0"/>
        <w:autoSpaceDN w:val="0"/>
        <w:adjustRightInd w:val="0"/>
        <w:jc w:val="both"/>
        <w:rPr>
          <w:sz w:val="24"/>
          <w:szCs w:val="24"/>
        </w:rPr>
      </w:pPr>
      <w:r w:rsidRPr="004C350D">
        <w:rPr>
          <w:rFonts w:eastAsia="SimSun"/>
          <w:lang w:eastAsia="zh-CN"/>
        </w:rPr>
        <w:t>Classificação dos Periódicos da Amostra por estratificação CAPES</w:t>
      </w:r>
    </w:p>
    <w:tbl>
      <w:tblPr>
        <w:tblW w:w="9084" w:type="dxa"/>
        <w:tblInd w:w="58"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30"/>
        <w:gridCol w:w="1310"/>
        <w:gridCol w:w="1900"/>
        <w:gridCol w:w="2020"/>
        <w:gridCol w:w="2424"/>
      </w:tblGrid>
      <w:tr w:rsidR="00552CCF" w:rsidRPr="008735CD" w:rsidTr="00930388">
        <w:trPr>
          <w:trHeight w:val="600"/>
        </w:trPr>
        <w:tc>
          <w:tcPr>
            <w:tcW w:w="1430" w:type="dxa"/>
            <w:shd w:val="clear" w:color="auto" w:fill="auto"/>
            <w:noWrap/>
            <w:vAlign w:val="center"/>
            <w:hideMark/>
          </w:tcPr>
          <w:p w:rsidR="00552CCF" w:rsidRPr="008735CD" w:rsidRDefault="00552CCF" w:rsidP="00930388">
            <w:pPr>
              <w:suppressAutoHyphens w:val="0"/>
              <w:jc w:val="center"/>
              <w:rPr>
                <w:b/>
                <w:bCs/>
              </w:rPr>
            </w:pPr>
            <w:proofErr w:type="spellStart"/>
            <w:r w:rsidRPr="008735CD">
              <w:rPr>
                <w:b/>
                <w:bCs/>
              </w:rPr>
              <w:t>Qualis</w:t>
            </w:r>
            <w:proofErr w:type="spellEnd"/>
          </w:p>
        </w:tc>
        <w:tc>
          <w:tcPr>
            <w:tcW w:w="1310" w:type="dxa"/>
            <w:shd w:val="clear" w:color="000000" w:fill="FFFFFF"/>
            <w:vAlign w:val="bottom"/>
            <w:hideMark/>
          </w:tcPr>
          <w:p w:rsidR="00552CCF" w:rsidRPr="008735CD" w:rsidRDefault="00552CCF" w:rsidP="00930388">
            <w:pPr>
              <w:suppressAutoHyphens w:val="0"/>
              <w:jc w:val="center"/>
              <w:rPr>
                <w:b/>
                <w:bCs/>
              </w:rPr>
            </w:pPr>
            <w:r w:rsidRPr="008735CD">
              <w:rPr>
                <w:b/>
                <w:bCs/>
              </w:rPr>
              <w:t>Área ADM 2013-2016</w:t>
            </w:r>
          </w:p>
        </w:tc>
        <w:tc>
          <w:tcPr>
            <w:tcW w:w="1900" w:type="dxa"/>
            <w:shd w:val="clear" w:color="000000" w:fill="FFFFFF"/>
            <w:vAlign w:val="bottom"/>
            <w:hideMark/>
          </w:tcPr>
          <w:p w:rsidR="00552CCF" w:rsidRPr="008735CD" w:rsidRDefault="00552CCF" w:rsidP="00930388">
            <w:pPr>
              <w:suppressAutoHyphens w:val="0"/>
              <w:jc w:val="center"/>
              <w:rPr>
                <w:b/>
                <w:bCs/>
              </w:rPr>
            </w:pPr>
            <w:r w:rsidRPr="008735CD">
              <w:rPr>
                <w:b/>
                <w:bCs/>
              </w:rPr>
              <w:t>Área EDUC</w:t>
            </w:r>
          </w:p>
          <w:p w:rsidR="00552CCF" w:rsidRPr="008735CD" w:rsidRDefault="00552CCF" w:rsidP="00930388">
            <w:pPr>
              <w:suppressAutoHyphens w:val="0"/>
              <w:jc w:val="center"/>
              <w:rPr>
                <w:b/>
                <w:bCs/>
              </w:rPr>
            </w:pPr>
            <w:r w:rsidRPr="008735CD">
              <w:rPr>
                <w:b/>
                <w:bCs/>
              </w:rPr>
              <w:t>2013-2016</w:t>
            </w:r>
          </w:p>
        </w:tc>
        <w:tc>
          <w:tcPr>
            <w:tcW w:w="2020" w:type="dxa"/>
            <w:shd w:val="clear" w:color="000000" w:fill="FFFFFF"/>
            <w:vAlign w:val="bottom"/>
            <w:hideMark/>
          </w:tcPr>
          <w:p w:rsidR="00552CCF" w:rsidRPr="008735CD" w:rsidRDefault="00552CCF" w:rsidP="00930388">
            <w:pPr>
              <w:suppressAutoHyphens w:val="0"/>
              <w:jc w:val="center"/>
              <w:rPr>
                <w:b/>
                <w:bCs/>
              </w:rPr>
            </w:pPr>
            <w:r w:rsidRPr="008735CD">
              <w:rPr>
                <w:b/>
                <w:bCs/>
              </w:rPr>
              <w:t>Área ENSINO</w:t>
            </w:r>
          </w:p>
          <w:p w:rsidR="00552CCF" w:rsidRPr="008735CD" w:rsidRDefault="00552CCF" w:rsidP="00930388">
            <w:pPr>
              <w:suppressAutoHyphens w:val="0"/>
              <w:jc w:val="center"/>
              <w:rPr>
                <w:b/>
                <w:bCs/>
              </w:rPr>
            </w:pPr>
            <w:r w:rsidRPr="008735CD">
              <w:rPr>
                <w:b/>
                <w:bCs/>
              </w:rPr>
              <w:t>2013-1016</w:t>
            </w:r>
          </w:p>
        </w:tc>
        <w:tc>
          <w:tcPr>
            <w:tcW w:w="2424" w:type="dxa"/>
            <w:shd w:val="clear" w:color="000000" w:fill="FFFFFF"/>
            <w:vAlign w:val="bottom"/>
            <w:hideMark/>
          </w:tcPr>
          <w:p w:rsidR="00552CCF" w:rsidRPr="008735CD" w:rsidRDefault="00552CCF" w:rsidP="00930388">
            <w:pPr>
              <w:suppressAutoHyphens w:val="0"/>
              <w:jc w:val="center"/>
              <w:rPr>
                <w:b/>
                <w:bCs/>
              </w:rPr>
            </w:pPr>
            <w:r w:rsidRPr="008735CD">
              <w:rPr>
                <w:b/>
                <w:bCs/>
              </w:rPr>
              <w:t>Área ADM</w:t>
            </w:r>
          </w:p>
          <w:p w:rsidR="00552CCF" w:rsidRPr="008735CD" w:rsidRDefault="00552CCF" w:rsidP="00930388">
            <w:pPr>
              <w:suppressAutoHyphens w:val="0"/>
              <w:jc w:val="center"/>
              <w:rPr>
                <w:b/>
                <w:bCs/>
              </w:rPr>
            </w:pPr>
            <w:r w:rsidRPr="008735CD">
              <w:rPr>
                <w:b/>
                <w:bCs/>
              </w:rPr>
              <w:t>Publicação</w:t>
            </w:r>
          </w:p>
        </w:tc>
      </w:tr>
      <w:tr w:rsidR="00552CCF" w:rsidRPr="008735CD" w:rsidTr="00930388">
        <w:trPr>
          <w:trHeight w:val="291"/>
        </w:trPr>
        <w:tc>
          <w:tcPr>
            <w:tcW w:w="1430" w:type="dxa"/>
            <w:shd w:val="clear" w:color="auto" w:fill="auto"/>
            <w:noWrap/>
            <w:vAlign w:val="center"/>
            <w:hideMark/>
          </w:tcPr>
          <w:p w:rsidR="00552CCF" w:rsidRPr="008735CD" w:rsidRDefault="00552CCF" w:rsidP="00930388">
            <w:pPr>
              <w:suppressAutoHyphens w:val="0"/>
              <w:jc w:val="center"/>
              <w:rPr>
                <w:b/>
                <w:bCs/>
              </w:rPr>
            </w:pPr>
            <w:r w:rsidRPr="008735CD">
              <w:rPr>
                <w:b/>
                <w:bCs/>
              </w:rPr>
              <w:t>A2</w:t>
            </w:r>
          </w:p>
        </w:tc>
        <w:tc>
          <w:tcPr>
            <w:tcW w:w="1310" w:type="dxa"/>
            <w:shd w:val="clear" w:color="auto" w:fill="auto"/>
            <w:noWrap/>
            <w:vAlign w:val="bottom"/>
            <w:hideMark/>
          </w:tcPr>
          <w:p w:rsidR="00552CCF" w:rsidRPr="008735CD" w:rsidRDefault="00552CCF" w:rsidP="00930388">
            <w:pPr>
              <w:suppressAutoHyphens w:val="0"/>
              <w:jc w:val="center"/>
            </w:pPr>
            <w:r w:rsidRPr="008735CD">
              <w:t>6</w:t>
            </w:r>
          </w:p>
        </w:tc>
        <w:tc>
          <w:tcPr>
            <w:tcW w:w="1900" w:type="dxa"/>
            <w:shd w:val="clear" w:color="auto" w:fill="auto"/>
            <w:noWrap/>
            <w:vAlign w:val="bottom"/>
            <w:hideMark/>
          </w:tcPr>
          <w:p w:rsidR="00552CCF" w:rsidRPr="008735CD" w:rsidRDefault="00552CCF" w:rsidP="00930388">
            <w:pPr>
              <w:suppressAutoHyphens w:val="0"/>
              <w:jc w:val="center"/>
            </w:pPr>
          </w:p>
        </w:tc>
        <w:tc>
          <w:tcPr>
            <w:tcW w:w="2020" w:type="dxa"/>
            <w:shd w:val="clear" w:color="auto" w:fill="auto"/>
            <w:noWrap/>
            <w:vAlign w:val="bottom"/>
            <w:hideMark/>
          </w:tcPr>
          <w:p w:rsidR="00552CCF" w:rsidRPr="008735CD" w:rsidRDefault="00552CCF" w:rsidP="00930388">
            <w:pPr>
              <w:suppressAutoHyphens w:val="0"/>
              <w:jc w:val="center"/>
            </w:pPr>
          </w:p>
        </w:tc>
        <w:tc>
          <w:tcPr>
            <w:tcW w:w="2424" w:type="dxa"/>
            <w:shd w:val="clear" w:color="auto" w:fill="auto"/>
            <w:noWrap/>
            <w:vAlign w:val="bottom"/>
            <w:hideMark/>
          </w:tcPr>
          <w:p w:rsidR="00552CCF" w:rsidRPr="008735CD" w:rsidRDefault="00552CCF" w:rsidP="00930388">
            <w:pPr>
              <w:suppressAutoHyphens w:val="0"/>
              <w:jc w:val="center"/>
            </w:pPr>
            <w:r w:rsidRPr="008735CD">
              <w:t>1</w:t>
            </w:r>
          </w:p>
        </w:tc>
      </w:tr>
      <w:tr w:rsidR="00552CCF" w:rsidRPr="008735CD" w:rsidTr="00930388">
        <w:trPr>
          <w:trHeight w:val="300"/>
        </w:trPr>
        <w:tc>
          <w:tcPr>
            <w:tcW w:w="1430" w:type="dxa"/>
            <w:shd w:val="clear" w:color="auto" w:fill="auto"/>
            <w:noWrap/>
            <w:vAlign w:val="center"/>
            <w:hideMark/>
          </w:tcPr>
          <w:p w:rsidR="00552CCF" w:rsidRPr="008735CD" w:rsidRDefault="00552CCF" w:rsidP="00930388">
            <w:pPr>
              <w:suppressAutoHyphens w:val="0"/>
              <w:jc w:val="center"/>
              <w:rPr>
                <w:b/>
                <w:bCs/>
              </w:rPr>
            </w:pPr>
            <w:r w:rsidRPr="008735CD">
              <w:rPr>
                <w:b/>
                <w:bCs/>
              </w:rPr>
              <w:t>B1</w:t>
            </w:r>
          </w:p>
        </w:tc>
        <w:tc>
          <w:tcPr>
            <w:tcW w:w="1310" w:type="dxa"/>
            <w:shd w:val="clear" w:color="auto" w:fill="auto"/>
            <w:noWrap/>
            <w:vAlign w:val="bottom"/>
            <w:hideMark/>
          </w:tcPr>
          <w:p w:rsidR="00552CCF" w:rsidRPr="008735CD" w:rsidRDefault="00552CCF" w:rsidP="00930388">
            <w:pPr>
              <w:suppressAutoHyphens w:val="0"/>
              <w:jc w:val="center"/>
            </w:pPr>
          </w:p>
        </w:tc>
        <w:tc>
          <w:tcPr>
            <w:tcW w:w="1900" w:type="dxa"/>
            <w:shd w:val="clear" w:color="auto" w:fill="auto"/>
            <w:noWrap/>
            <w:vAlign w:val="bottom"/>
            <w:hideMark/>
          </w:tcPr>
          <w:p w:rsidR="00552CCF" w:rsidRPr="008735CD" w:rsidRDefault="00552CCF" w:rsidP="00930388">
            <w:pPr>
              <w:suppressAutoHyphens w:val="0"/>
              <w:jc w:val="center"/>
            </w:pPr>
          </w:p>
        </w:tc>
        <w:tc>
          <w:tcPr>
            <w:tcW w:w="2020" w:type="dxa"/>
            <w:shd w:val="clear" w:color="auto" w:fill="auto"/>
            <w:noWrap/>
            <w:vAlign w:val="bottom"/>
            <w:hideMark/>
          </w:tcPr>
          <w:p w:rsidR="00552CCF" w:rsidRPr="008735CD" w:rsidRDefault="00552CCF" w:rsidP="00930388">
            <w:pPr>
              <w:suppressAutoHyphens w:val="0"/>
              <w:jc w:val="center"/>
            </w:pPr>
          </w:p>
        </w:tc>
        <w:tc>
          <w:tcPr>
            <w:tcW w:w="2424" w:type="dxa"/>
            <w:shd w:val="clear" w:color="auto" w:fill="auto"/>
            <w:noWrap/>
            <w:vAlign w:val="bottom"/>
            <w:hideMark/>
          </w:tcPr>
          <w:p w:rsidR="00552CCF" w:rsidRPr="008735CD" w:rsidRDefault="00552CCF" w:rsidP="00930388">
            <w:pPr>
              <w:suppressAutoHyphens w:val="0"/>
              <w:jc w:val="center"/>
            </w:pPr>
            <w:r w:rsidRPr="008735CD">
              <w:t>5</w:t>
            </w:r>
          </w:p>
        </w:tc>
      </w:tr>
      <w:tr w:rsidR="00552CCF" w:rsidRPr="008735CD" w:rsidTr="00930388">
        <w:trPr>
          <w:trHeight w:val="300"/>
        </w:trPr>
        <w:tc>
          <w:tcPr>
            <w:tcW w:w="1430" w:type="dxa"/>
            <w:shd w:val="clear" w:color="auto" w:fill="auto"/>
            <w:noWrap/>
            <w:vAlign w:val="center"/>
            <w:hideMark/>
          </w:tcPr>
          <w:p w:rsidR="00552CCF" w:rsidRPr="008735CD" w:rsidRDefault="00552CCF" w:rsidP="00930388">
            <w:pPr>
              <w:suppressAutoHyphens w:val="0"/>
              <w:jc w:val="center"/>
              <w:rPr>
                <w:b/>
                <w:bCs/>
              </w:rPr>
            </w:pPr>
            <w:r w:rsidRPr="008735CD">
              <w:rPr>
                <w:b/>
                <w:bCs/>
              </w:rPr>
              <w:t>B2</w:t>
            </w:r>
          </w:p>
        </w:tc>
        <w:tc>
          <w:tcPr>
            <w:tcW w:w="1310" w:type="dxa"/>
            <w:shd w:val="clear" w:color="auto" w:fill="auto"/>
            <w:noWrap/>
            <w:vAlign w:val="bottom"/>
            <w:hideMark/>
          </w:tcPr>
          <w:p w:rsidR="00552CCF" w:rsidRPr="008735CD" w:rsidRDefault="00552CCF" w:rsidP="00930388">
            <w:pPr>
              <w:suppressAutoHyphens w:val="0"/>
              <w:jc w:val="center"/>
            </w:pPr>
            <w:r w:rsidRPr="008735CD">
              <w:t>3</w:t>
            </w:r>
          </w:p>
        </w:tc>
        <w:tc>
          <w:tcPr>
            <w:tcW w:w="1900" w:type="dxa"/>
            <w:shd w:val="clear" w:color="auto" w:fill="auto"/>
            <w:noWrap/>
            <w:vAlign w:val="bottom"/>
            <w:hideMark/>
          </w:tcPr>
          <w:p w:rsidR="00552CCF" w:rsidRPr="008735CD" w:rsidRDefault="00552CCF" w:rsidP="00930388">
            <w:pPr>
              <w:suppressAutoHyphens w:val="0"/>
              <w:jc w:val="center"/>
            </w:pPr>
          </w:p>
        </w:tc>
        <w:tc>
          <w:tcPr>
            <w:tcW w:w="2020" w:type="dxa"/>
            <w:shd w:val="clear" w:color="auto" w:fill="auto"/>
            <w:noWrap/>
            <w:vAlign w:val="bottom"/>
            <w:hideMark/>
          </w:tcPr>
          <w:p w:rsidR="00552CCF" w:rsidRPr="008735CD" w:rsidRDefault="00552CCF" w:rsidP="00930388">
            <w:pPr>
              <w:suppressAutoHyphens w:val="0"/>
              <w:jc w:val="center"/>
            </w:pPr>
            <w:r w:rsidRPr="008735CD">
              <w:t>1</w:t>
            </w:r>
          </w:p>
        </w:tc>
        <w:tc>
          <w:tcPr>
            <w:tcW w:w="2424" w:type="dxa"/>
            <w:shd w:val="clear" w:color="auto" w:fill="auto"/>
            <w:noWrap/>
            <w:vAlign w:val="bottom"/>
            <w:hideMark/>
          </w:tcPr>
          <w:p w:rsidR="00552CCF" w:rsidRPr="008735CD" w:rsidRDefault="00552CCF" w:rsidP="00930388">
            <w:pPr>
              <w:suppressAutoHyphens w:val="0"/>
              <w:jc w:val="center"/>
            </w:pPr>
            <w:r w:rsidRPr="008735CD">
              <w:t>2</w:t>
            </w:r>
          </w:p>
        </w:tc>
      </w:tr>
      <w:tr w:rsidR="00552CCF" w:rsidRPr="008735CD" w:rsidTr="00930388">
        <w:trPr>
          <w:trHeight w:val="300"/>
        </w:trPr>
        <w:tc>
          <w:tcPr>
            <w:tcW w:w="1430" w:type="dxa"/>
            <w:shd w:val="clear" w:color="auto" w:fill="auto"/>
            <w:noWrap/>
            <w:vAlign w:val="center"/>
            <w:hideMark/>
          </w:tcPr>
          <w:p w:rsidR="00552CCF" w:rsidRPr="008735CD" w:rsidRDefault="00552CCF" w:rsidP="00930388">
            <w:pPr>
              <w:suppressAutoHyphens w:val="0"/>
              <w:jc w:val="center"/>
              <w:rPr>
                <w:b/>
                <w:bCs/>
              </w:rPr>
            </w:pPr>
            <w:r w:rsidRPr="008735CD">
              <w:rPr>
                <w:b/>
                <w:bCs/>
              </w:rPr>
              <w:t>B3</w:t>
            </w:r>
          </w:p>
        </w:tc>
        <w:tc>
          <w:tcPr>
            <w:tcW w:w="1310" w:type="dxa"/>
            <w:shd w:val="clear" w:color="auto" w:fill="auto"/>
            <w:noWrap/>
            <w:vAlign w:val="bottom"/>
            <w:hideMark/>
          </w:tcPr>
          <w:p w:rsidR="00552CCF" w:rsidRPr="008735CD" w:rsidRDefault="00552CCF" w:rsidP="00930388">
            <w:pPr>
              <w:suppressAutoHyphens w:val="0"/>
              <w:jc w:val="center"/>
            </w:pPr>
            <w:r w:rsidRPr="008735CD">
              <w:t>5</w:t>
            </w:r>
          </w:p>
        </w:tc>
        <w:tc>
          <w:tcPr>
            <w:tcW w:w="1900" w:type="dxa"/>
            <w:shd w:val="clear" w:color="auto" w:fill="auto"/>
            <w:noWrap/>
            <w:vAlign w:val="bottom"/>
            <w:hideMark/>
          </w:tcPr>
          <w:p w:rsidR="00552CCF" w:rsidRPr="008735CD" w:rsidRDefault="00552CCF" w:rsidP="00930388">
            <w:pPr>
              <w:suppressAutoHyphens w:val="0"/>
              <w:jc w:val="center"/>
            </w:pPr>
            <w:r w:rsidRPr="008735CD">
              <w:t>1</w:t>
            </w:r>
          </w:p>
        </w:tc>
        <w:tc>
          <w:tcPr>
            <w:tcW w:w="2020" w:type="dxa"/>
            <w:shd w:val="clear" w:color="auto" w:fill="auto"/>
            <w:noWrap/>
            <w:vAlign w:val="bottom"/>
            <w:hideMark/>
          </w:tcPr>
          <w:p w:rsidR="00552CCF" w:rsidRPr="008735CD" w:rsidRDefault="00552CCF" w:rsidP="00930388">
            <w:pPr>
              <w:suppressAutoHyphens w:val="0"/>
              <w:jc w:val="center"/>
            </w:pPr>
            <w:r w:rsidRPr="008735CD">
              <w:t>1</w:t>
            </w:r>
          </w:p>
        </w:tc>
        <w:tc>
          <w:tcPr>
            <w:tcW w:w="2424" w:type="dxa"/>
            <w:shd w:val="clear" w:color="auto" w:fill="auto"/>
            <w:noWrap/>
            <w:vAlign w:val="bottom"/>
            <w:hideMark/>
          </w:tcPr>
          <w:p w:rsidR="00552CCF" w:rsidRPr="008735CD" w:rsidRDefault="00552CCF" w:rsidP="00930388">
            <w:pPr>
              <w:suppressAutoHyphens w:val="0"/>
              <w:jc w:val="center"/>
            </w:pPr>
            <w:r w:rsidRPr="008735CD">
              <w:t>7</w:t>
            </w:r>
          </w:p>
        </w:tc>
      </w:tr>
      <w:tr w:rsidR="00552CCF" w:rsidRPr="008735CD" w:rsidTr="00930388">
        <w:trPr>
          <w:trHeight w:val="300"/>
        </w:trPr>
        <w:tc>
          <w:tcPr>
            <w:tcW w:w="1430" w:type="dxa"/>
            <w:shd w:val="clear" w:color="auto" w:fill="auto"/>
            <w:noWrap/>
            <w:vAlign w:val="center"/>
            <w:hideMark/>
          </w:tcPr>
          <w:p w:rsidR="00552CCF" w:rsidRPr="008735CD" w:rsidRDefault="00552CCF" w:rsidP="00930388">
            <w:pPr>
              <w:suppressAutoHyphens w:val="0"/>
              <w:jc w:val="center"/>
              <w:rPr>
                <w:b/>
                <w:bCs/>
              </w:rPr>
            </w:pPr>
            <w:r w:rsidRPr="008735CD">
              <w:rPr>
                <w:b/>
                <w:bCs/>
              </w:rPr>
              <w:t>B4</w:t>
            </w:r>
          </w:p>
        </w:tc>
        <w:tc>
          <w:tcPr>
            <w:tcW w:w="1310" w:type="dxa"/>
            <w:shd w:val="clear" w:color="auto" w:fill="auto"/>
            <w:noWrap/>
            <w:vAlign w:val="bottom"/>
            <w:hideMark/>
          </w:tcPr>
          <w:p w:rsidR="00552CCF" w:rsidRPr="008735CD" w:rsidRDefault="00552CCF" w:rsidP="00930388">
            <w:pPr>
              <w:suppressAutoHyphens w:val="0"/>
              <w:jc w:val="center"/>
            </w:pPr>
            <w:r w:rsidRPr="008735CD">
              <w:t>4</w:t>
            </w:r>
          </w:p>
        </w:tc>
        <w:tc>
          <w:tcPr>
            <w:tcW w:w="1900" w:type="dxa"/>
            <w:shd w:val="clear" w:color="auto" w:fill="auto"/>
            <w:noWrap/>
            <w:vAlign w:val="bottom"/>
            <w:hideMark/>
          </w:tcPr>
          <w:p w:rsidR="00552CCF" w:rsidRPr="008735CD" w:rsidRDefault="00552CCF" w:rsidP="00930388">
            <w:pPr>
              <w:suppressAutoHyphens w:val="0"/>
              <w:jc w:val="center"/>
            </w:pPr>
            <w:r w:rsidRPr="008735CD">
              <w:t>3</w:t>
            </w:r>
          </w:p>
        </w:tc>
        <w:tc>
          <w:tcPr>
            <w:tcW w:w="2020" w:type="dxa"/>
            <w:shd w:val="clear" w:color="auto" w:fill="auto"/>
            <w:noWrap/>
            <w:vAlign w:val="bottom"/>
            <w:hideMark/>
          </w:tcPr>
          <w:p w:rsidR="00552CCF" w:rsidRPr="008735CD" w:rsidRDefault="00552CCF" w:rsidP="00930388">
            <w:pPr>
              <w:suppressAutoHyphens w:val="0"/>
              <w:jc w:val="center"/>
            </w:pPr>
          </w:p>
        </w:tc>
        <w:tc>
          <w:tcPr>
            <w:tcW w:w="2424" w:type="dxa"/>
            <w:shd w:val="clear" w:color="auto" w:fill="auto"/>
            <w:noWrap/>
            <w:vAlign w:val="bottom"/>
            <w:hideMark/>
          </w:tcPr>
          <w:p w:rsidR="00552CCF" w:rsidRPr="008735CD" w:rsidRDefault="00552CCF" w:rsidP="00930388">
            <w:pPr>
              <w:suppressAutoHyphens w:val="0"/>
              <w:jc w:val="center"/>
            </w:pPr>
            <w:r w:rsidRPr="008735CD">
              <w:t>3</w:t>
            </w:r>
          </w:p>
        </w:tc>
      </w:tr>
      <w:tr w:rsidR="00552CCF" w:rsidRPr="008735CD" w:rsidTr="00930388">
        <w:trPr>
          <w:trHeight w:val="300"/>
        </w:trPr>
        <w:tc>
          <w:tcPr>
            <w:tcW w:w="1430" w:type="dxa"/>
            <w:shd w:val="clear" w:color="auto" w:fill="auto"/>
            <w:noWrap/>
            <w:vAlign w:val="center"/>
            <w:hideMark/>
          </w:tcPr>
          <w:p w:rsidR="00552CCF" w:rsidRPr="008735CD" w:rsidRDefault="00552CCF" w:rsidP="00930388">
            <w:pPr>
              <w:suppressAutoHyphens w:val="0"/>
              <w:jc w:val="center"/>
              <w:rPr>
                <w:b/>
                <w:bCs/>
              </w:rPr>
            </w:pPr>
            <w:r w:rsidRPr="008735CD">
              <w:rPr>
                <w:b/>
                <w:bCs/>
              </w:rPr>
              <w:t>B5</w:t>
            </w:r>
          </w:p>
        </w:tc>
        <w:tc>
          <w:tcPr>
            <w:tcW w:w="1310" w:type="dxa"/>
            <w:shd w:val="clear" w:color="auto" w:fill="auto"/>
            <w:noWrap/>
            <w:vAlign w:val="bottom"/>
            <w:hideMark/>
          </w:tcPr>
          <w:p w:rsidR="00552CCF" w:rsidRPr="008735CD" w:rsidRDefault="00552CCF" w:rsidP="00930388">
            <w:pPr>
              <w:suppressAutoHyphens w:val="0"/>
              <w:jc w:val="center"/>
            </w:pPr>
          </w:p>
        </w:tc>
        <w:tc>
          <w:tcPr>
            <w:tcW w:w="1900" w:type="dxa"/>
            <w:shd w:val="clear" w:color="auto" w:fill="auto"/>
            <w:noWrap/>
            <w:vAlign w:val="bottom"/>
            <w:hideMark/>
          </w:tcPr>
          <w:p w:rsidR="00552CCF" w:rsidRPr="008735CD" w:rsidRDefault="00552CCF" w:rsidP="00930388">
            <w:pPr>
              <w:suppressAutoHyphens w:val="0"/>
              <w:jc w:val="center"/>
            </w:pPr>
            <w:r w:rsidRPr="008735CD">
              <w:t>2</w:t>
            </w:r>
          </w:p>
        </w:tc>
        <w:tc>
          <w:tcPr>
            <w:tcW w:w="2020" w:type="dxa"/>
            <w:shd w:val="clear" w:color="auto" w:fill="auto"/>
            <w:noWrap/>
            <w:vAlign w:val="bottom"/>
            <w:hideMark/>
          </w:tcPr>
          <w:p w:rsidR="00552CCF" w:rsidRPr="008735CD" w:rsidRDefault="00552CCF" w:rsidP="00930388">
            <w:pPr>
              <w:suppressAutoHyphens w:val="0"/>
              <w:jc w:val="center"/>
            </w:pPr>
          </w:p>
        </w:tc>
        <w:tc>
          <w:tcPr>
            <w:tcW w:w="2424" w:type="dxa"/>
            <w:shd w:val="clear" w:color="auto" w:fill="auto"/>
            <w:noWrap/>
            <w:vAlign w:val="bottom"/>
            <w:hideMark/>
          </w:tcPr>
          <w:p w:rsidR="00552CCF" w:rsidRPr="008735CD" w:rsidRDefault="00552CCF" w:rsidP="00930388">
            <w:pPr>
              <w:suppressAutoHyphens w:val="0"/>
              <w:jc w:val="center"/>
            </w:pPr>
          </w:p>
        </w:tc>
      </w:tr>
      <w:tr w:rsidR="00552CCF" w:rsidRPr="008735CD" w:rsidTr="00930388">
        <w:trPr>
          <w:trHeight w:val="300"/>
        </w:trPr>
        <w:tc>
          <w:tcPr>
            <w:tcW w:w="1430" w:type="dxa"/>
            <w:shd w:val="clear" w:color="auto" w:fill="auto"/>
            <w:noWrap/>
            <w:vAlign w:val="center"/>
            <w:hideMark/>
          </w:tcPr>
          <w:p w:rsidR="00552CCF" w:rsidRPr="008735CD" w:rsidRDefault="00552CCF" w:rsidP="00930388">
            <w:pPr>
              <w:suppressAutoHyphens w:val="0"/>
              <w:jc w:val="center"/>
              <w:rPr>
                <w:b/>
                <w:bCs/>
              </w:rPr>
            </w:pPr>
            <w:r w:rsidRPr="008735CD">
              <w:rPr>
                <w:b/>
                <w:bCs/>
              </w:rPr>
              <w:t>C</w:t>
            </w:r>
          </w:p>
        </w:tc>
        <w:tc>
          <w:tcPr>
            <w:tcW w:w="1310" w:type="dxa"/>
            <w:shd w:val="clear" w:color="auto" w:fill="auto"/>
            <w:noWrap/>
            <w:vAlign w:val="bottom"/>
            <w:hideMark/>
          </w:tcPr>
          <w:p w:rsidR="00552CCF" w:rsidRPr="008735CD" w:rsidRDefault="00552CCF" w:rsidP="00930388">
            <w:pPr>
              <w:suppressAutoHyphens w:val="0"/>
              <w:jc w:val="center"/>
            </w:pPr>
          </w:p>
        </w:tc>
        <w:tc>
          <w:tcPr>
            <w:tcW w:w="1900" w:type="dxa"/>
            <w:shd w:val="clear" w:color="auto" w:fill="auto"/>
            <w:noWrap/>
            <w:vAlign w:val="bottom"/>
            <w:hideMark/>
          </w:tcPr>
          <w:p w:rsidR="00552CCF" w:rsidRPr="008735CD" w:rsidRDefault="00552CCF" w:rsidP="00930388">
            <w:pPr>
              <w:suppressAutoHyphens w:val="0"/>
              <w:jc w:val="center"/>
            </w:pPr>
            <w:r w:rsidRPr="008735CD">
              <w:t>1</w:t>
            </w:r>
          </w:p>
        </w:tc>
        <w:tc>
          <w:tcPr>
            <w:tcW w:w="2020" w:type="dxa"/>
            <w:shd w:val="clear" w:color="auto" w:fill="auto"/>
            <w:noWrap/>
            <w:vAlign w:val="bottom"/>
            <w:hideMark/>
          </w:tcPr>
          <w:p w:rsidR="00552CCF" w:rsidRPr="008735CD" w:rsidRDefault="00552CCF" w:rsidP="00930388">
            <w:pPr>
              <w:suppressAutoHyphens w:val="0"/>
              <w:jc w:val="center"/>
            </w:pPr>
          </w:p>
        </w:tc>
        <w:tc>
          <w:tcPr>
            <w:tcW w:w="2424" w:type="dxa"/>
            <w:shd w:val="clear" w:color="auto" w:fill="auto"/>
            <w:noWrap/>
            <w:vAlign w:val="bottom"/>
            <w:hideMark/>
          </w:tcPr>
          <w:p w:rsidR="00552CCF" w:rsidRPr="008735CD" w:rsidRDefault="00552CCF" w:rsidP="00930388">
            <w:pPr>
              <w:suppressAutoHyphens w:val="0"/>
              <w:jc w:val="center"/>
            </w:pPr>
          </w:p>
        </w:tc>
      </w:tr>
    </w:tbl>
    <w:p w:rsidR="00552CCF" w:rsidRPr="008735CD" w:rsidRDefault="00552CCF" w:rsidP="00552CCF">
      <w:pPr>
        <w:autoSpaceDE w:val="0"/>
        <w:autoSpaceDN w:val="0"/>
        <w:adjustRightInd w:val="0"/>
        <w:jc w:val="both"/>
        <w:rPr>
          <w:rFonts w:eastAsia="SimSun"/>
          <w:lang w:eastAsia="zh-CN"/>
        </w:rPr>
      </w:pPr>
      <w:r w:rsidRPr="008735CD">
        <w:rPr>
          <w:rFonts w:eastAsia="SimSun"/>
          <w:lang w:eastAsia="zh-CN"/>
        </w:rPr>
        <w:t>Fonte: dados da pesquisa (2018)</w:t>
      </w:r>
    </w:p>
    <w:p w:rsidR="00552CCF" w:rsidRPr="008735CD" w:rsidRDefault="00552CCF" w:rsidP="00552CCF">
      <w:pPr>
        <w:autoSpaceDE w:val="0"/>
        <w:autoSpaceDN w:val="0"/>
        <w:adjustRightInd w:val="0"/>
        <w:jc w:val="both"/>
        <w:rPr>
          <w:rFonts w:eastAsia="SimSun"/>
          <w:lang w:eastAsia="zh-CN"/>
        </w:rPr>
      </w:pPr>
    </w:p>
    <w:p w:rsidR="004C350D" w:rsidRDefault="00552CCF" w:rsidP="004C350D">
      <w:pPr>
        <w:autoSpaceDE w:val="0"/>
        <w:autoSpaceDN w:val="0"/>
        <w:adjustRightInd w:val="0"/>
        <w:ind w:firstLine="709"/>
        <w:jc w:val="both"/>
        <w:rPr>
          <w:sz w:val="24"/>
          <w:szCs w:val="24"/>
        </w:rPr>
      </w:pPr>
      <w:r w:rsidRPr="008735CD">
        <w:rPr>
          <w:sz w:val="24"/>
          <w:szCs w:val="24"/>
        </w:rPr>
        <w:t xml:space="preserve">De acordo com o demonstrado na Tabela 2, apenas uma parcela dos artigos (8) está publicada em periódicos que foram avaliados nas áreas de Educação e Ensino; todos com avaliações em estratos de menor qualidade ou reconhecimento, segundo os critérios das referidas áreas temáticas. As evidências indicadas, de aceitação de artigos relacionados a </w:t>
      </w:r>
      <w:r w:rsidRPr="008735CD">
        <w:rPr>
          <w:sz w:val="24"/>
          <w:szCs w:val="24"/>
        </w:rPr>
        <w:lastRenderedPageBreak/>
        <w:t xml:space="preserve">“Ensino” em periódicos típicos de Contabilidade, podem levar à evidenciação de uma relativa “quebra do paradigma” que existe no âmbito contábil de que haveria editores de revistas de Contabilidade que recusariam trabalhos exclusivamente orientados à educação, ainda que no âmbito contábil (Pierre, Wilson, </w:t>
      </w:r>
      <w:proofErr w:type="spellStart"/>
      <w:r w:rsidRPr="008735CD">
        <w:rPr>
          <w:sz w:val="24"/>
          <w:szCs w:val="24"/>
        </w:rPr>
        <w:t>Ravenscroft</w:t>
      </w:r>
      <w:proofErr w:type="spellEnd"/>
      <w:r w:rsidRPr="008735CD">
        <w:rPr>
          <w:sz w:val="24"/>
          <w:szCs w:val="24"/>
        </w:rPr>
        <w:t>, &amp; Rebele, 2009).</w:t>
      </w:r>
    </w:p>
    <w:p w:rsidR="00552CCF" w:rsidRPr="008735CD" w:rsidRDefault="00552CCF" w:rsidP="004C350D">
      <w:pPr>
        <w:autoSpaceDE w:val="0"/>
        <w:autoSpaceDN w:val="0"/>
        <w:adjustRightInd w:val="0"/>
        <w:ind w:firstLine="709"/>
        <w:jc w:val="both"/>
        <w:rPr>
          <w:sz w:val="24"/>
          <w:szCs w:val="24"/>
        </w:rPr>
      </w:pPr>
      <w:r w:rsidRPr="008735CD">
        <w:rPr>
          <w:sz w:val="24"/>
          <w:szCs w:val="24"/>
        </w:rPr>
        <w:t xml:space="preserve">Outro aspecto relevante em relação à produção acadêmica em “IFRS e Ensino” são os perfis dos autores identificados, frente aos desafios da docência com a pesquisa (Miranda, 2010). Nos 18 artigos publicados constam 61 (sessenta e uma) autores, representando uma média de 3,6 autorias por publicação. Entre os autores predominam pesquisadores com titulação de doutorado e de pós-doutorado (31%); porém, há, também, pesquisadores que podem ser considerados “em formação” com qualificação desde bacharelandos até doutorandos (Tabela 3), o que tende a permitir uma significativa oxigenação da área do conhecimento. </w:t>
      </w:r>
    </w:p>
    <w:p w:rsidR="004C350D" w:rsidRDefault="004C350D" w:rsidP="00552CCF">
      <w:pPr>
        <w:autoSpaceDE w:val="0"/>
        <w:autoSpaceDN w:val="0"/>
        <w:adjustRightInd w:val="0"/>
        <w:jc w:val="both"/>
        <w:rPr>
          <w:rFonts w:eastAsia="SimSun"/>
          <w:lang w:eastAsia="zh-CN"/>
        </w:rPr>
      </w:pPr>
    </w:p>
    <w:p w:rsidR="004C350D" w:rsidRDefault="00552CCF" w:rsidP="00552CCF">
      <w:pPr>
        <w:autoSpaceDE w:val="0"/>
        <w:autoSpaceDN w:val="0"/>
        <w:adjustRightInd w:val="0"/>
        <w:jc w:val="both"/>
        <w:rPr>
          <w:rFonts w:eastAsia="SimSun"/>
          <w:lang w:eastAsia="zh-CN"/>
        </w:rPr>
      </w:pPr>
      <w:r w:rsidRPr="008735CD">
        <w:rPr>
          <w:rFonts w:eastAsia="SimSun"/>
          <w:lang w:eastAsia="zh-CN"/>
        </w:rPr>
        <w:t>Tabe</w:t>
      </w:r>
      <w:r w:rsidRPr="004C350D">
        <w:rPr>
          <w:rFonts w:eastAsia="SimSun"/>
          <w:lang w:eastAsia="zh-CN"/>
        </w:rPr>
        <w:t>la 3</w:t>
      </w:r>
    </w:p>
    <w:p w:rsidR="00552CCF" w:rsidRPr="004C350D" w:rsidRDefault="00552CCF" w:rsidP="00552CCF">
      <w:pPr>
        <w:autoSpaceDE w:val="0"/>
        <w:autoSpaceDN w:val="0"/>
        <w:adjustRightInd w:val="0"/>
        <w:jc w:val="both"/>
        <w:rPr>
          <w:sz w:val="24"/>
          <w:szCs w:val="24"/>
        </w:rPr>
      </w:pPr>
      <w:r w:rsidRPr="004C350D">
        <w:rPr>
          <w:rFonts w:eastAsia="SimSun"/>
          <w:lang w:eastAsia="zh-CN"/>
        </w:rPr>
        <w:t>Descrição da Titulação dos Autores da Amostra</w:t>
      </w:r>
    </w:p>
    <w:tbl>
      <w:tblPr>
        <w:tblW w:w="9082" w:type="dxa"/>
        <w:tblInd w:w="6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71"/>
        <w:gridCol w:w="1701"/>
        <w:gridCol w:w="1701"/>
        <w:gridCol w:w="2409"/>
      </w:tblGrid>
      <w:tr w:rsidR="00552CCF" w:rsidRPr="008735CD" w:rsidTr="00930388">
        <w:trPr>
          <w:trHeight w:val="300"/>
        </w:trPr>
        <w:tc>
          <w:tcPr>
            <w:tcW w:w="3271" w:type="dxa"/>
            <w:shd w:val="clear" w:color="000000" w:fill="FFFFFF"/>
            <w:vAlign w:val="bottom"/>
            <w:hideMark/>
          </w:tcPr>
          <w:p w:rsidR="00552CCF" w:rsidRPr="008735CD" w:rsidRDefault="00552CCF" w:rsidP="00930388">
            <w:pPr>
              <w:suppressAutoHyphens w:val="0"/>
              <w:jc w:val="center"/>
              <w:rPr>
                <w:b/>
                <w:bCs/>
              </w:rPr>
            </w:pPr>
            <w:r w:rsidRPr="008735CD">
              <w:rPr>
                <w:b/>
                <w:bCs/>
              </w:rPr>
              <w:t>Titulação na Publicação</w:t>
            </w:r>
          </w:p>
        </w:tc>
        <w:tc>
          <w:tcPr>
            <w:tcW w:w="1701" w:type="dxa"/>
            <w:shd w:val="clear" w:color="000000" w:fill="FFFFFF"/>
            <w:vAlign w:val="bottom"/>
            <w:hideMark/>
          </w:tcPr>
          <w:p w:rsidR="00552CCF" w:rsidRPr="008735CD" w:rsidRDefault="00552CCF" w:rsidP="00930388">
            <w:pPr>
              <w:suppressAutoHyphens w:val="0"/>
              <w:jc w:val="center"/>
              <w:rPr>
                <w:b/>
                <w:bCs/>
              </w:rPr>
            </w:pPr>
            <w:r w:rsidRPr="008735CD">
              <w:rPr>
                <w:b/>
                <w:bCs/>
              </w:rPr>
              <w:t>Quantidade</w:t>
            </w:r>
          </w:p>
        </w:tc>
        <w:tc>
          <w:tcPr>
            <w:tcW w:w="1701" w:type="dxa"/>
            <w:shd w:val="clear" w:color="auto" w:fill="auto"/>
            <w:noWrap/>
            <w:vAlign w:val="bottom"/>
            <w:hideMark/>
          </w:tcPr>
          <w:p w:rsidR="00552CCF" w:rsidRPr="008735CD" w:rsidRDefault="00552CCF" w:rsidP="00930388">
            <w:pPr>
              <w:suppressAutoHyphens w:val="0"/>
              <w:jc w:val="center"/>
              <w:rPr>
                <w:b/>
              </w:rPr>
            </w:pPr>
            <w:r w:rsidRPr="008735CD">
              <w:rPr>
                <w:b/>
              </w:rPr>
              <w:t xml:space="preserve">Frequência </w:t>
            </w:r>
          </w:p>
        </w:tc>
        <w:tc>
          <w:tcPr>
            <w:tcW w:w="2409" w:type="dxa"/>
            <w:shd w:val="clear" w:color="auto" w:fill="auto"/>
            <w:noWrap/>
            <w:vAlign w:val="bottom"/>
            <w:hideMark/>
          </w:tcPr>
          <w:p w:rsidR="00552CCF" w:rsidRPr="008735CD" w:rsidRDefault="00552CCF" w:rsidP="00930388">
            <w:pPr>
              <w:suppressAutoHyphens w:val="0"/>
              <w:jc w:val="center"/>
              <w:rPr>
                <w:b/>
              </w:rPr>
            </w:pPr>
            <w:r w:rsidRPr="008735CD">
              <w:rPr>
                <w:b/>
              </w:rPr>
              <w:t>Frequência Acumulada</w:t>
            </w:r>
          </w:p>
        </w:tc>
      </w:tr>
      <w:tr w:rsidR="00552CCF" w:rsidRPr="008735CD" w:rsidTr="00930388">
        <w:trPr>
          <w:trHeight w:val="144"/>
        </w:trPr>
        <w:tc>
          <w:tcPr>
            <w:tcW w:w="3271" w:type="dxa"/>
            <w:shd w:val="clear" w:color="auto" w:fill="auto"/>
            <w:noWrap/>
            <w:vAlign w:val="bottom"/>
            <w:hideMark/>
          </w:tcPr>
          <w:p w:rsidR="00552CCF" w:rsidRPr="008735CD" w:rsidRDefault="00552CCF" w:rsidP="00930388">
            <w:pPr>
              <w:suppressAutoHyphens w:val="0"/>
              <w:jc w:val="center"/>
            </w:pPr>
            <w:r w:rsidRPr="008735CD">
              <w:t>Bacharelando</w:t>
            </w:r>
          </w:p>
        </w:tc>
        <w:tc>
          <w:tcPr>
            <w:tcW w:w="1701" w:type="dxa"/>
            <w:shd w:val="clear" w:color="000000" w:fill="FFFFFF"/>
            <w:vAlign w:val="bottom"/>
            <w:hideMark/>
          </w:tcPr>
          <w:p w:rsidR="00552CCF" w:rsidRPr="008735CD" w:rsidRDefault="00552CCF" w:rsidP="00930388">
            <w:pPr>
              <w:suppressAutoHyphens w:val="0"/>
              <w:jc w:val="center"/>
            </w:pPr>
            <w:r w:rsidRPr="008735CD">
              <w:t>3</w:t>
            </w:r>
          </w:p>
        </w:tc>
        <w:tc>
          <w:tcPr>
            <w:tcW w:w="1701" w:type="dxa"/>
            <w:shd w:val="clear" w:color="auto" w:fill="auto"/>
            <w:noWrap/>
            <w:vAlign w:val="bottom"/>
            <w:hideMark/>
          </w:tcPr>
          <w:p w:rsidR="00552CCF" w:rsidRPr="008735CD" w:rsidRDefault="00552CCF" w:rsidP="00930388">
            <w:pPr>
              <w:suppressAutoHyphens w:val="0"/>
              <w:jc w:val="center"/>
            </w:pPr>
            <w:r w:rsidRPr="008735CD">
              <w:t>5%</w:t>
            </w:r>
          </w:p>
        </w:tc>
        <w:tc>
          <w:tcPr>
            <w:tcW w:w="2409" w:type="dxa"/>
            <w:shd w:val="clear" w:color="auto" w:fill="auto"/>
            <w:noWrap/>
            <w:vAlign w:val="bottom"/>
            <w:hideMark/>
          </w:tcPr>
          <w:p w:rsidR="00552CCF" w:rsidRPr="008735CD" w:rsidRDefault="00552CCF" w:rsidP="00930388">
            <w:pPr>
              <w:suppressAutoHyphens w:val="0"/>
              <w:jc w:val="center"/>
            </w:pPr>
            <w:r w:rsidRPr="008735CD">
              <w:t>5%</w:t>
            </w:r>
          </w:p>
        </w:tc>
      </w:tr>
      <w:tr w:rsidR="00552CCF" w:rsidRPr="008735CD" w:rsidTr="00930388">
        <w:trPr>
          <w:trHeight w:val="190"/>
        </w:trPr>
        <w:tc>
          <w:tcPr>
            <w:tcW w:w="3271" w:type="dxa"/>
            <w:shd w:val="clear" w:color="auto" w:fill="auto"/>
            <w:vAlign w:val="bottom"/>
            <w:hideMark/>
          </w:tcPr>
          <w:p w:rsidR="00552CCF" w:rsidRPr="008735CD" w:rsidRDefault="00552CCF" w:rsidP="00930388">
            <w:pPr>
              <w:suppressAutoHyphens w:val="0"/>
              <w:jc w:val="center"/>
            </w:pPr>
            <w:r w:rsidRPr="008735CD">
              <w:t>Bacharel</w:t>
            </w:r>
          </w:p>
        </w:tc>
        <w:tc>
          <w:tcPr>
            <w:tcW w:w="1701" w:type="dxa"/>
            <w:shd w:val="clear" w:color="000000" w:fill="FFFFFF"/>
            <w:vAlign w:val="bottom"/>
            <w:hideMark/>
          </w:tcPr>
          <w:p w:rsidR="00552CCF" w:rsidRPr="008735CD" w:rsidRDefault="00552CCF" w:rsidP="00930388">
            <w:pPr>
              <w:suppressAutoHyphens w:val="0"/>
              <w:jc w:val="center"/>
            </w:pPr>
            <w:r w:rsidRPr="008735CD">
              <w:t>8</w:t>
            </w:r>
          </w:p>
        </w:tc>
        <w:tc>
          <w:tcPr>
            <w:tcW w:w="1701" w:type="dxa"/>
            <w:shd w:val="clear" w:color="auto" w:fill="auto"/>
            <w:noWrap/>
            <w:vAlign w:val="bottom"/>
            <w:hideMark/>
          </w:tcPr>
          <w:p w:rsidR="00552CCF" w:rsidRPr="008735CD" w:rsidRDefault="00552CCF" w:rsidP="00930388">
            <w:pPr>
              <w:suppressAutoHyphens w:val="0"/>
              <w:jc w:val="center"/>
            </w:pPr>
            <w:r w:rsidRPr="008735CD">
              <w:t>13%</w:t>
            </w:r>
          </w:p>
        </w:tc>
        <w:tc>
          <w:tcPr>
            <w:tcW w:w="2409" w:type="dxa"/>
            <w:shd w:val="clear" w:color="auto" w:fill="auto"/>
            <w:noWrap/>
            <w:vAlign w:val="bottom"/>
            <w:hideMark/>
          </w:tcPr>
          <w:p w:rsidR="00552CCF" w:rsidRPr="008735CD" w:rsidRDefault="00552CCF" w:rsidP="00930388">
            <w:pPr>
              <w:suppressAutoHyphens w:val="0"/>
              <w:jc w:val="center"/>
            </w:pPr>
            <w:r w:rsidRPr="008735CD">
              <w:t>18%</w:t>
            </w:r>
          </w:p>
        </w:tc>
      </w:tr>
      <w:tr w:rsidR="00552CCF" w:rsidRPr="008735CD" w:rsidTr="00930388">
        <w:trPr>
          <w:trHeight w:val="94"/>
        </w:trPr>
        <w:tc>
          <w:tcPr>
            <w:tcW w:w="3271" w:type="dxa"/>
            <w:shd w:val="clear" w:color="000000" w:fill="FFFFFF"/>
            <w:noWrap/>
            <w:vAlign w:val="bottom"/>
            <w:hideMark/>
          </w:tcPr>
          <w:p w:rsidR="00552CCF" w:rsidRPr="008735CD" w:rsidRDefault="00552CCF" w:rsidP="00930388">
            <w:pPr>
              <w:suppressAutoHyphens w:val="0"/>
              <w:jc w:val="center"/>
            </w:pPr>
            <w:r w:rsidRPr="008735CD">
              <w:t>Especialista</w:t>
            </w:r>
          </w:p>
        </w:tc>
        <w:tc>
          <w:tcPr>
            <w:tcW w:w="1701" w:type="dxa"/>
            <w:shd w:val="clear" w:color="000000" w:fill="FFFFFF"/>
            <w:vAlign w:val="bottom"/>
            <w:hideMark/>
          </w:tcPr>
          <w:p w:rsidR="00552CCF" w:rsidRPr="008735CD" w:rsidRDefault="00552CCF" w:rsidP="00930388">
            <w:pPr>
              <w:suppressAutoHyphens w:val="0"/>
              <w:jc w:val="center"/>
            </w:pPr>
            <w:r w:rsidRPr="008735CD">
              <w:t>3</w:t>
            </w:r>
          </w:p>
        </w:tc>
        <w:tc>
          <w:tcPr>
            <w:tcW w:w="1701" w:type="dxa"/>
            <w:shd w:val="clear" w:color="auto" w:fill="auto"/>
            <w:noWrap/>
            <w:vAlign w:val="bottom"/>
            <w:hideMark/>
          </w:tcPr>
          <w:p w:rsidR="00552CCF" w:rsidRPr="008735CD" w:rsidRDefault="00552CCF" w:rsidP="00930388">
            <w:pPr>
              <w:suppressAutoHyphens w:val="0"/>
              <w:jc w:val="center"/>
            </w:pPr>
            <w:r w:rsidRPr="008735CD">
              <w:t>5%</w:t>
            </w:r>
          </w:p>
        </w:tc>
        <w:tc>
          <w:tcPr>
            <w:tcW w:w="2409" w:type="dxa"/>
            <w:shd w:val="clear" w:color="auto" w:fill="auto"/>
            <w:noWrap/>
            <w:vAlign w:val="bottom"/>
            <w:hideMark/>
          </w:tcPr>
          <w:p w:rsidR="00552CCF" w:rsidRPr="008735CD" w:rsidRDefault="00552CCF" w:rsidP="00930388">
            <w:pPr>
              <w:suppressAutoHyphens w:val="0"/>
              <w:jc w:val="center"/>
            </w:pPr>
            <w:r w:rsidRPr="008735CD">
              <w:t>23%</w:t>
            </w:r>
          </w:p>
        </w:tc>
      </w:tr>
      <w:tr w:rsidR="00552CCF" w:rsidRPr="008735CD" w:rsidTr="00930388">
        <w:trPr>
          <w:trHeight w:val="56"/>
        </w:trPr>
        <w:tc>
          <w:tcPr>
            <w:tcW w:w="3271" w:type="dxa"/>
            <w:shd w:val="clear" w:color="000000" w:fill="FFFFFF"/>
            <w:vAlign w:val="bottom"/>
            <w:hideMark/>
          </w:tcPr>
          <w:p w:rsidR="00552CCF" w:rsidRPr="008735CD" w:rsidRDefault="00552CCF" w:rsidP="00930388">
            <w:pPr>
              <w:suppressAutoHyphens w:val="0"/>
              <w:jc w:val="center"/>
            </w:pPr>
            <w:r w:rsidRPr="008735CD">
              <w:t>Mestranda</w:t>
            </w:r>
          </w:p>
        </w:tc>
        <w:tc>
          <w:tcPr>
            <w:tcW w:w="1701" w:type="dxa"/>
            <w:shd w:val="clear" w:color="000000" w:fill="FFFFFF"/>
            <w:vAlign w:val="bottom"/>
            <w:hideMark/>
          </w:tcPr>
          <w:p w:rsidR="00552CCF" w:rsidRPr="008735CD" w:rsidRDefault="00552CCF" w:rsidP="00930388">
            <w:pPr>
              <w:suppressAutoHyphens w:val="0"/>
              <w:jc w:val="center"/>
            </w:pPr>
            <w:r w:rsidRPr="008735CD">
              <w:t>3</w:t>
            </w:r>
          </w:p>
        </w:tc>
        <w:tc>
          <w:tcPr>
            <w:tcW w:w="1701" w:type="dxa"/>
            <w:shd w:val="clear" w:color="auto" w:fill="auto"/>
            <w:noWrap/>
            <w:vAlign w:val="bottom"/>
            <w:hideMark/>
          </w:tcPr>
          <w:p w:rsidR="00552CCF" w:rsidRPr="008735CD" w:rsidRDefault="00552CCF" w:rsidP="00930388">
            <w:pPr>
              <w:suppressAutoHyphens w:val="0"/>
              <w:jc w:val="center"/>
            </w:pPr>
            <w:r w:rsidRPr="008735CD">
              <w:t>5%</w:t>
            </w:r>
          </w:p>
        </w:tc>
        <w:tc>
          <w:tcPr>
            <w:tcW w:w="2409" w:type="dxa"/>
            <w:shd w:val="clear" w:color="auto" w:fill="auto"/>
            <w:noWrap/>
            <w:vAlign w:val="bottom"/>
            <w:hideMark/>
          </w:tcPr>
          <w:p w:rsidR="00552CCF" w:rsidRPr="008735CD" w:rsidRDefault="00552CCF" w:rsidP="00930388">
            <w:pPr>
              <w:suppressAutoHyphens w:val="0"/>
              <w:jc w:val="center"/>
            </w:pPr>
            <w:r w:rsidRPr="008735CD">
              <w:t>28%</w:t>
            </w:r>
          </w:p>
        </w:tc>
      </w:tr>
      <w:tr w:rsidR="00552CCF" w:rsidRPr="008735CD" w:rsidTr="00930388">
        <w:trPr>
          <w:trHeight w:val="56"/>
        </w:trPr>
        <w:tc>
          <w:tcPr>
            <w:tcW w:w="3271" w:type="dxa"/>
            <w:shd w:val="clear" w:color="auto" w:fill="auto"/>
            <w:vAlign w:val="bottom"/>
            <w:hideMark/>
          </w:tcPr>
          <w:p w:rsidR="00552CCF" w:rsidRPr="008735CD" w:rsidRDefault="00552CCF" w:rsidP="00930388">
            <w:pPr>
              <w:suppressAutoHyphens w:val="0"/>
              <w:jc w:val="center"/>
            </w:pPr>
            <w:r w:rsidRPr="008735CD">
              <w:t>Mestre</w:t>
            </w:r>
          </w:p>
        </w:tc>
        <w:tc>
          <w:tcPr>
            <w:tcW w:w="1701" w:type="dxa"/>
            <w:shd w:val="clear" w:color="000000" w:fill="FFFFFF"/>
            <w:vAlign w:val="bottom"/>
            <w:hideMark/>
          </w:tcPr>
          <w:p w:rsidR="00552CCF" w:rsidRPr="008735CD" w:rsidRDefault="00552CCF" w:rsidP="00930388">
            <w:pPr>
              <w:suppressAutoHyphens w:val="0"/>
              <w:jc w:val="center"/>
            </w:pPr>
            <w:r w:rsidRPr="008735CD">
              <w:t>10</w:t>
            </w:r>
          </w:p>
        </w:tc>
        <w:tc>
          <w:tcPr>
            <w:tcW w:w="1701" w:type="dxa"/>
            <w:shd w:val="clear" w:color="auto" w:fill="auto"/>
            <w:noWrap/>
            <w:vAlign w:val="bottom"/>
            <w:hideMark/>
          </w:tcPr>
          <w:p w:rsidR="00552CCF" w:rsidRPr="008735CD" w:rsidRDefault="00552CCF" w:rsidP="00930388">
            <w:pPr>
              <w:suppressAutoHyphens w:val="0"/>
              <w:jc w:val="center"/>
            </w:pPr>
            <w:r w:rsidRPr="008735CD">
              <w:t>16%</w:t>
            </w:r>
          </w:p>
        </w:tc>
        <w:tc>
          <w:tcPr>
            <w:tcW w:w="2409" w:type="dxa"/>
            <w:shd w:val="clear" w:color="auto" w:fill="auto"/>
            <w:noWrap/>
            <w:vAlign w:val="bottom"/>
            <w:hideMark/>
          </w:tcPr>
          <w:p w:rsidR="00552CCF" w:rsidRPr="008735CD" w:rsidRDefault="00552CCF" w:rsidP="00930388">
            <w:pPr>
              <w:suppressAutoHyphens w:val="0"/>
              <w:jc w:val="center"/>
            </w:pPr>
            <w:r w:rsidRPr="008735CD">
              <w:t>44%</w:t>
            </w:r>
          </w:p>
        </w:tc>
      </w:tr>
      <w:tr w:rsidR="00552CCF" w:rsidRPr="008735CD" w:rsidTr="00930388">
        <w:trPr>
          <w:trHeight w:val="76"/>
        </w:trPr>
        <w:tc>
          <w:tcPr>
            <w:tcW w:w="3271" w:type="dxa"/>
            <w:shd w:val="clear" w:color="auto" w:fill="auto"/>
            <w:vAlign w:val="bottom"/>
            <w:hideMark/>
          </w:tcPr>
          <w:p w:rsidR="00552CCF" w:rsidRPr="008735CD" w:rsidRDefault="00552CCF" w:rsidP="00930388">
            <w:pPr>
              <w:suppressAutoHyphens w:val="0"/>
              <w:jc w:val="center"/>
            </w:pPr>
            <w:r w:rsidRPr="008735CD">
              <w:t>Doutoranda</w:t>
            </w:r>
          </w:p>
        </w:tc>
        <w:tc>
          <w:tcPr>
            <w:tcW w:w="1701" w:type="dxa"/>
            <w:shd w:val="clear" w:color="000000" w:fill="FFFFFF"/>
            <w:vAlign w:val="bottom"/>
            <w:hideMark/>
          </w:tcPr>
          <w:p w:rsidR="00552CCF" w:rsidRPr="008735CD" w:rsidRDefault="00552CCF" w:rsidP="00930388">
            <w:pPr>
              <w:suppressAutoHyphens w:val="0"/>
              <w:jc w:val="center"/>
            </w:pPr>
            <w:r w:rsidRPr="008735CD">
              <w:t>15</w:t>
            </w:r>
          </w:p>
        </w:tc>
        <w:tc>
          <w:tcPr>
            <w:tcW w:w="1701" w:type="dxa"/>
            <w:shd w:val="clear" w:color="auto" w:fill="auto"/>
            <w:noWrap/>
            <w:vAlign w:val="bottom"/>
            <w:hideMark/>
          </w:tcPr>
          <w:p w:rsidR="00552CCF" w:rsidRPr="008735CD" w:rsidRDefault="00552CCF" w:rsidP="00930388">
            <w:pPr>
              <w:suppressAutoHyphens w:val="0"/>
              <w:jc w:val="center"/>
            </w:pPr>
            <w:r w:rsidRPr="008735CD">
              <w:t>25%</w:t>
            </w:r>
          </w:p>
        </w:tc>
        <w:tc>
          <w:tcPr>
            <w:tcW w:w="2409" w:type="dxa"/>
            <w:shd w:val="clear" w:color="auto" w:fill="auto"/>
            <w:noWrap/>
            <w:vAlign w:val="bottom"/>
            <w:hideMark/>
          </w:tcPr>
          <w:p w:rsidR="00552CCF" w:rsidRPr="008735CD" w:rsidRDefault="00552CCF" w:rsidP="00930388">
            <w:pPr>
              <w:suppressAutoHyphens w:val="0"/>
              <w:jc w:val="center"/>
            </w:pPr>
            <w:r w:rsidRPr="008735CD">
              <w:t>69%</w:t>
            </w:r>
          </w:p>
        </w:tc>
      </w:tr>
      <w:tr w:rsidR="00552CCF" w:rsidRPr="008735CD" w:rsidTr="00930388">
        <w:trPr>
          <w:trHeight w:val="56"/>
        </w:trPr>
        <w:tc>
          <w:tcPr>
            <w:tcW w:w="3271" w:type="dxa"/>
            <w:shd w:val="clear" w:color="auto" w:fill="auto"/>
            <w:noWrap/>
            <w:vAlign w:val="bottom"/>
            <w:hideMark/>
          </w:tcPr>
          <w:p w:rsidR="00552CCF" w:rsidRPr="008735CD" w:rsidRDefault="00552CCF" w:rsidP="00930388">
            <w:pPr>
              <w:suppressAutoHyphens w:val="0"/>
              <w:jc w:val="center"/>
            </w:pPr>
            <w:r w:rsidRPr="008735CD">
              <w:t>Doutor</w:t>
            </w:r>
          </w:p>
        </w:tc>
        <w:tc>
          <w:tcPr>
            <w:tcW w:w="1701" w:type="dxa"/>
            <w:shd w:val="clear" w:color="000000" w:fill="FFFFFF"/>
            <w:vAlign w:val="bottom"/>
            <w:hideMark/>
          </w:tcPr>
          <w:p w:rsidR="00552CCF" w:rsidRPr="008735CD" w:rsidRDefault="00552CCF" w:rsidP="00930388">
            <w:pPr>
              <w:suppressAutoHyphens w:val="0"/>
              <w:jc w:val="center"/>
            </w:pPr>
            <w:r w:rsidRPr="008735CD">
              <w:t>16</w:t>
            </w:r>
          </w:p>
        </w:tc>
        <w:tc>
          <w:tcPr>
            <w:tcW w:w="1701" w:type="dxa"/>
            <w:shd w:val="clear" w:color="auto" w:fill="auto"/>
            <w:noWrap/>
            <w:vAlign w:val="bottom"/>
            <w:hideMark/>
          </w:tcPr>
          <w:p w:rsidR="00552CCF" w:rsidRPr="008735CD" w:rsidRDefault="00552CCF" w:rsidP="00930388">
            <w:pPr>
              <w:suppressAutoHyphens w:val="0"/>
              <w:jc w:val="center"/>
            </w:pPr>
            <w:r w:rsidRPr="008735CD">
              <w:t>26%</w:t>
            </w:r>
          </w:p>
        </w:tc>
        <w:tc>
          <w:tcPr>
            <w:tcW w:w="2409" w:type="dxa"/>
            <w:shd w:val="clear" w:color="auto" w:fill="auto"/>
            <w:noWrap/>
            <w:vAlign w:val="bottom"/>
            <w:hideMark/>
          </w:tcPr>
          <w:p w:rsidR="00552CCF" w:rsidRPr="008735CD" w:rsidRDefault="00552CCF" w:rsidP="00930388">
            <w:pPr>
              <w:suppressAutoHyphens w:val="0"/>
              <w:jc w:val="center"/>
            </w:pPr>
            <w:r w:rsidRPr="008735CD">
              <w:t>95%</w:t>
            </w:r>
          </w:p>
        </w:tc>
      </w:tr>
      <w:tr w:rsidR="00552CCF" w:rsidRPr="008735CD" w:rsidTr="00930388">
        <w:trPr>
          <w:trHeight w:val="56"/>
        </w:trPr>
        <w:tc>
          <w:tcPr>
            <w:tcW w:w="3271" w:type="dxa"/>
            <w:shd w:val="clear" w:color="auto" w:fill="auto"/>
            <w:vAlign w:val="bottom"/>
            <w:hideMark/>
          </w:tcPr>
          <w:p w:rsidR="00552CCF" w:rsidRPr="008735CD" w:rsidRDefault="00552CCF" w:rsidP="00930388">
            <w:pPr>
              <w:suppressAutoHyphens w:val="0"/>
              <w:jc w:val="center"/>
            </w:pPr>
            <w:proofErr w:type="spellStart"/>
            <w:r w:rsidRPr="008735CD">
              <w:t>Pos_Doutor</w:t>
            </w:r>
            <w:proofErr w:type="spellEnd"/>
          </w:p>
        </w:tc>
        <w:tc>
          <w:tcPr>
            <w:tcW w:w="1701" w:type="dxa"/>
            <w:shd w:val="clear" w:color="000000" w:fill="FFFFFF"/>
            <w:vAlign w:val="bottom"/>
            <w:hideMark/>
          </w:tcPr>
          <w:p w:rsidR="00552CCF" w:rsidRPr="008735CD" w:rsidRDefault="00552CCF" w:rsidP="00930388">
            <w:pPr>
              <w:suppressAutoHyphens w:val="0"/>
              <w:jc w:val="center"/>
            </w:pPr>
            <w:r w:rsidRPr="008735CD">
              <w:t>3</w:t>
            </w:r>
          </w:p>
        </w:tc>
        <w:tc>
          <w:tcPr>
            <w:tcW w:w="1701" w:type="dxa"/>
            <w:shd w:val="clear" w:color="auto" w:fill="auto"/>
            <w:noWrap/>
            <w:vAlign w:val="bottom"/>
            <w:hideMark/>
          </w:tcPr>
          <w:p w:rsidR="00552CCF" w:rsidRPr="008735CD" w:rsidRDefault="00552CCF" w:rsidP="00930388">
            <w:pPr>
              <w:suppressAutoHyphens w:val="0"/>
              <w:jc w:val="center"/>
            </w:pPr>
            <w:r w:rsidRPr="008735CD">
              <w:t>5%</w:t>
            </w:r>
          </w:p>
        </w:tc>
        <w:tc>
          <w:tcPr>
            <w:tcW w:w="2409" w:type="dxa"/>
            <w:shd w:val="clear" w:color="auto" w:fill="auto"/>
            <w:noWrap/>
            <w:vAlign w:val="bottom"/>
            <w:hideMark/>
          </w:tcPr>
          <w:p w:rsidR="00552CCF" w:rsidRPr="008735CD" w:rsidRDefault="00552CCF" w:rsidP="00930388">
            <w:pPr>
              <w:suppressAutoHyphens w:val="0"/>
              <w:jc w:val="center"/>
            </w:pPr>
            <w:r w:rsidRPr="008735CD">
              <w:t>100%</w:t>
            </w:r>
          </w:p>
        </w:tc>
      </w:tr>
      <w:tr w:rsidR="00552CCF" w:rsidRPr="008735CD" w:rsidTr="00930388">
        <w:trPr>
          <w:trHeight w:val="72"/>
        </w:trPr>
        <w:tc>
          <w:tcPr>
            <w:tcW w:w="3271" w:type="dxa"/>
            <w:shd w:val="clear" w:color="auto" w:fill="auto"/>
            <w:noWrap/>
            <w:vAlign w:val="bottom"/>
            <w:hideMark/>
          </w:tcPr>
          <w:p w:rsidR="00552CCF" w:rsidRPr="008735CD" w:rsidRDefault="00552CCF" w:rsidP="00930388">
            <w:pPr>
              <w:suppressAutoHyphens w:val="0"/>
              <w:jc w:val="center"/>
              <w:rPr>
                <w:b/>
              </w:rPr>
            </w:pPr>
            <w:r w:rsidRPr="008735CD">
              <w:rPr>
                <w:b/>
              </w:rPr>
              <w:t>Total</w:t>
            </w:r>
          </w:p>
        </w:tc>
        <w:tc>
          <w:tcPr>
            <w:tcW w:w="1701" w:type="dxa"/>
            <w:shd w:val="clear" w:color="auto" w:fill="auto"/>
            <w:noWrap/>
            <w:vAlign w:val="bottom"/>
            <w:hideMark/>
          </w:tcPr>
          <w:p w:rsidR="00552CCF" w:rsidRPr="008735CD" w:rsidRDefault="00552CCF" w:rsidP="00930388">
            <w:pPr>
              <w:suppressAutoHyphens w:val="0"/>
              <w:jc w:val="center"/>
              <w:rPr>
                <w:b/>
              </w:rPr>
            </w:pPr>
            <w:r w:rsidRPr="008735CD">
              <w:rPr>
                <w:b/>
              </w:rPr>
              <w:t>61</w:t>
            </w:r>
          </w:p>
        </w:tc>
        <w:tc>
          <w:tcPr>
            <w:tcW w:w="1701" w:type="dxa"/>
            <w:shd w:val="clear" w:color="auto" w:fill="auto"/>
            <w:noWrap/>
            <w:vAlign w:val="bottom"/>
            <w:hideMark/>
          </w:tcPr>
          <w:p w:rsidR="00552CCF" w:rsidRPr="008735CD" w:rsidRDefault="00552CCF" w:rsidP="00930388">
            <w:pPr>
              <w:suppressAutoHyphens w:val="0"/>
              <w:jc w:val="center"/>
              <w:rPr>
                <w:b/>
              </w:rPr>
            </w:pPr>
            <w:r w:rsidRPr="008735CD">
              <w:rPr>
                <w:b/>
              </w:rPr>
              <w:t>100%</w:t>
            </w:r>
          </w:p>
        </w:tc>
        <w:tc>
          <w:tcPr>
            <w:tcW w:w="2409" w:type="dxa"/>
            <w:shd w:val="clear" w:color="auto" w:fill="auto"/>
            <w:noWrap/>
            <w:vAlign w:val="bottom"/>
            <w:hideMark/>
          </w:tcPr>
          <w:p w:rsidR="00552CCF" w:rsidRPr="008735CD" w:rsidRDefault="00552CCF" w:rsidP="00930388">
            <w:pPr>
              <w:suppressAutoHyphens w:val="0"/>
              <w:jc w:val="center"/>
              <w:rPr>
                <w:b/>
              </w:rPr>
            </w:pPr>
            <w:r w:rsidRPr="008735CD">
              <w:rPr>
                <w:b/>
              </w:rPr>
              <w:t> </w:t>
            </w:r>
          </w:p>
        </w:tc>
      </w:tr>
    </w:tbl>
    <w:p w:rsidR="00552CCF" w:rsidRPr="008735CD" w:rsidRDefault="00552CCF" w:rsidP="00552CCF">
      <w:pPr>
        <w:autoSpaceDE w:val="0"/>
        <w:autoSpaceDN w:val="0"/>
        <w:adjustRightInd w:val="0"/>
        <w:jc w:val="both"/>
        <w:rPr>
          <w:rFonts w:eastAsia="SimSun"/>
          <w:lang w:eastAsia="zh-CN"/>
        </w:rPr>
      </w:pPr>
      <w:r w:rsidRPr="008735CD">
        <w:rPr>
          <w:rFonts w:eastAsia="SimSun"/>
          <w:lang w:eastAsia="zh-CN"/>
        </w:rPr>
        <w:t>Fonte: dados da pesquisa (2018)</w:t>
      </w:r>
    </w:p>
    <w:p w:rsidR="00552CCF" w:rsidRPr="008735CD" w:rsidRDefault="00552CCF" w:rsidP="00552CCF">
      <w:pPr>
        <w:autoSpaceDE w:val="0"/>
        <w:autoSpaceDN w:val="0"/>
        <w:adjustRightInd w:val="0"/>
        <w:ind w:firstLine="567"/>
        <w:jc w:val="both"/>
        <w:rPr>
          <w:sz w:val="24"/>
          <w:szCs w:val="24"/>
        </w:rPr>
      </w:pPr>
    </w:p>
    <w:p w:rsidR="00552CCF" w:rsidRPr="008735CD" w:rsidRDefault="00552CCF" w:rsidP="004C350D">
      <w:pPr>
        <w:autoSpaceDE w:val="0"/>
        <w:autoSpaceDN w:val="0"/>
        <w:adjustRightInd w:val="0"/>
        <w:ind w:firstLine="709"/>
        <w:jc w:val="both"/>
        <w:rPr>
          <w:sz w:val="24"/>
          <w:szCs w:val="24"/>
        </w:rPr>
      </w:pPr>
      <w:r w:rsidRPr="008735CD">
        <w:rPr>
          <w:sz w:val="24"/>
          <w:szCs w:val="24"/>
        </w:rPr>
        <w:t xml:space="preserve">Os PPG, na sua função de formação de pesquisadores, naturalmente, buscam incentivam e procuram desenvolver as competências de pesquisa nos seus alunos (Miranda, 2010), a pesquisa evidencia que os programas estão obtendo êxito nesse processo. A pulverização entre periódicos se reflete também entre os autores, sendo que Jorge </w:t>
      </w:r>
      <w:proofErr w:type="spellStart"/>
      <w:r w:rsidRPr="008735CD">
        <w:rPr>
          <w:sz w:val="24"/>
          <w:szCs w:val="24"/>
        </w:rPr>
        <w:t>Katsumi</w:t>
      </w:r>
      <w:proofErr w:type="spellEnd"/>
      <w:r w:rsidRPr="008735CD">
        <w:rPr>
          <w:sz w:val="24"/>
          <w:szCs w:val="24"/>
        </w:rPr>
        <w:t xml:space="preserve"> </w:t>
      </w:r>
      <w:proofErr w:type="spellStart"/>
      <w:r w:rsidRPr="008735CD">
        <w:rPr>
          <w:sz w:val="24"/>
          <w:szCs w:val="24"/>
        </w:rPr>
        <w:t>Niyama</w:t>
      </w:r>
      <w:proofErr w:type="spellEnd"/>
      <w:r w:rsidRPr="008735CD">
        <w:rPr>
          <w:sz w:val="24"/>
          <w:szCs w:val="24"/>
        </w:rPr>
        <w:t xml:space="preserve"> e </w:t>
      </w:r>
      <w:proofErr w:type="spellStart"/>
      <w:r w:rsidRPr="008735CD">
        <w:rPr>
          <w:sz w:val="24"/>
          <w:szCs w:val="24"/>
        </w:rPr>
        <w:t>Ducineli</w:t>
      </w:r>
      <w:proofErr w:type="spellEnd"/>
      <w:r w:rsidRPr="008735CD">
        <w:rPr>
          <w:sz w:val="24"/>
          <w:szCs w:val="24"/>
        </w:rPr>
        <w:t xml:space="preserve"> Régis Botelho foram os autores mais profícuos no tema de “IFRS e Ensino”, conforme demonstrado na Tabela 4.</w:t>
      </w:r>
    </w:p>
    <w:p w:rsidR="00552CCF" w:rsidRPr="004C350D" w:rsidRDefault="00552CCF" w:rsidP="00552CCF">
      <w:pPr>
        <w:autoSpaceDE w:val="0"/>
        <w:autoSpaceDN w:val="0"/>
        <w:adjustRightInd w:val="0"/>
        <w:jc w:val="both"/>
        <w:rPr>
          <w:rFonts w:eastAsia="SimSun"/>
          <w:lang w:eastAsia="zh-CN"/>
        </w:rPr>
      </w:pPr>
    </w:p>
    <w:p w:rsidR="004C350D" w:rsidRDefault="00552CCF" w:rsidP="00552CCF">
      <w:pPr>
        <w:autoSpaceDE w:val="0"/>
        <w:autoSpaceDN w:val="0"/>
        <w:adjustRightInd w:val="0"/>
        <w:jc w:val="both"/>
        <w:rPr>
          <w:rFonts w:eastAsia="SimSun"/>
          <w:lang w:eastAsia="zh-CN"/>
        </w:rPr>
      </w:pPr>
      <w:r w:rsidRPr="004C350D">
        <w:rPr>
          <w:rFonts w:eastAsia="SimSun"/>
          <w:lang w:eastAsia="zh-CN"/>
        </w:rPr>
        <w:t>Tabela 4</w:t>
      </w:r>
    </w:p>
    <w:p w:rsidR="00552CCF" w:rsidRPr="004C350D" w:rsidRDefault="00552CCF" w:rsidP="00552CCF">
      <w:pPr>
        <w:autoSpaceDE w:val="0"/>
        <w:autoSpaceDN w:val="0"/>
        <w:adjustRightInd w:val="0"/>
        <w:jc w:val="both"/>
        <w:rPr>
          <w:sz w:val="24"/>
          <w:szCs w:val="24"/>
        </w:rPr>
      </w:pPr>
      <w:r w:rsidRPr="004C350D">
        <w:rPr>
          <w:rFonts w:eastAsia="SimSun"/>
          <w:lang w:eastAsia="zh-CN"/>
        </w:rPr>
        <w:t>Descrição dos Autores mais Profícuos em “IFRS e Ensino”</w:t>
      </w:r>
    </w:p>
    <w:tbl>
      <w:tblPr>
        <w:tblW w:w="9084" w:type="dxa"/>
        <w:tblInd w:w="58"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00"/>
        <w:gridCol w:w="3133"/>
        <w:gridCol w:w="2551"/>
      </w:tblGrid>
      <w:tr w:rsidR="00552CCF" w:rsidRPr="008735CD" w:rsidTr="00930388">
        <w:trPr>
          <w:trHeight w:val="300"/>
        </w:trPr>
        <w:tc>
          <w:tcPr>
            <w:tcW w:w="3400" w:type="dxa"/>
            <w:shd w:val="clear" w:color="000000" w:fill="FFFFFF"/>
            <w:noWrap/>
            <w:vAlign w:val="center"/>
            <w:hideMark/>
          </w:tcPr>
          <w:p w:rsidR="00552CCF" w:rsidRPr="008735CD" w:rsidRDefault="00552CCF" w:rsidP="00930388">
            <w:pPr>
              <w:suppressAutoHyphens w:val="0"/>
              <w:jc w:val="center"/>
              <w:rPr>
                <w:b/>
                <w:bCs/>
              </w:rPr>
            </w:pPr>
            <w:r w:rsidRPr="008735CD">
              <w:rPr>
                <w:b/>
                <w:bCs/>
              </w:rPr>
              <w:t>Autor</w:t>
            </w:r>
          </w:p>
        </w:tc>
        <w:tc>
          <w:tcPr>
            <w:tcW w:w="3133" w:type="dxa"/>
            <w:shd w:val="clear" w:color="000000" w:fill="FFFFFF"/>
            <w:noWrap/>
            <w:vAlign w:val="bottom"/>
            <w:hideMark/>
          </w:tcPr>
          <w:p w:rsidR="00552CCF" w:rsidRPr="008735CD" w:rsidRDefault="00552CCF" w:rsidP="00930388">
            <w:pPr>
              <w:suppressAutoHyphens w:val="0"/>
              <w:jc w:val="center"/>
              <w:rPr>
                <w:b/>
                <w:bCs/>
              </w:rPr>
            </w:pPr>
            <w:proofErr w:type="spellStart"/>
            <w:r w:rsidRPr="008735CD">
              <w:rPr>
                <w:b/>
                <w:bCs/>
              </w:rPr>
              <w:t>Qualis</w:t>
            </w:r>
            <w:proofErr w:type="spellEnd"/>
            <w:r w:rsidRPr="008735CD">
              <w:rPr>
                <w:b/>
                <w:bCs/>
              </w:rPr>
              <w:t xml:space="preserve"> ADM 2013-2016</w:t>
            </w:r>
          </w:p>
        </w:tc>
        <w:tc>
          <w:tcPr>
            <w:tcW w:w="2551" w:type="dxa"/>
            <w:shd w:val="clear" w:color="000000" w:fill="FFFFFF"/>
            <w:noWrap/>
            <w:vAlign w:val="bottom"/>
            <w:hideMark/>
          </w:tcPr>
          <w:p w:rsidR="00552CCF" w:rsidRPr="008735CD" w:rsidRDefault="00552CCF" w:rsidP="00930388">
            <w:pPr>
              <w:suppressAutoHyphens w:val="0"/>
              <w:jc w:val="center"/>
              <w:rPr>
                <w:b/>
                <w:bCs/>
              </w:rPr>
            </w:pPr>
            <w:r w:rsidRPr="008735CD">
              <w:rPr>
                <w:b/>
                <w:bCs/>
              </w:rPr>
              <w:t>Quantificação CAPES</w:t>
            </w:r>
          </w:p>
        </w:tc>
      </w:tr>
      <w:tr w:rsidR="00552CCF" w:rsidRPr="008735CD" w:rsidTr="00930388">
        <w:trPr>
          <w:trHeight w:val="300"/>
        </w:trPr>
        <w:tc>
          <w:tcPr>
            <w:tcW w:w="3400" w:type="dxa"/>
            <w:shd w:val="clear" w:color="000000" w:fill="FFFFFF"/>
            <w:noWrap/>
            <w:vAlign w:val="bottom"/>
            <w:hideMark/>
          </w:tcPr>
          <w:p w:rsidR="00552CCF" w:rsidRPr="008735CD" w:rsidRDefault="00552CCF" w:rsidP="00930388">
            <w:pPr>
              <w:suppressAutoHyphens w:val="0"/>
              <w:jc w:val="center"/>
            </w:pPr>
            <w:r w:rsidRPr="008735CD">
              <w:t xml:space="preserve">Jorge </w:t>
            </w:r>
            <w:proofErr w:type="spellStart"/>
            <w:r w:rsidRPr="008735CD">
              <w:t>Katsumi</w:t>
            </w:r>
            <w:proofErr w:type="spellEnd"/>
            <w:r w:rsidRPr="008735CD">
              <w:t xml:space="preserve"> </w:t>
            </w:r>
            <w:proofErr w:type="spellStart"/>
            <w:r w:rsidRPr="008735CD">
              <w:t>Niyama</w:t>
            </w:r>
            <w:proofErr w:type="spellEnd"/>
          </w:p>
        </w:tc>
        <w:tc>
          <w:tcPr>
            <w:tcW w:w="3133" w:type="dxa"/>
            <w:shd w:val="clear" w:color="000000" w:fill="FFFFFF"/>
            <w:noWrap/>
            <w:vAlign w:val="bottom"/>
            <w:hideMark/>
          </w:tcPr>
          <w:p w:rsidR="00552CCF" w:rsidRPr="008735CD" w:rsidRDefault="00552CCF" w:rsidP="00930388">
            <w:pPr>
              <w:suppressAutoHyphens w:val="0"/>
              <w:jc w:val="center"/>
            </w:pPr>
            <w:r w:rsidRPr="008735CD">
              <w:t>A2, A2, A2, B3, B4</w:t>
            </w:r>
          </w:p>
        </w:tc>
        <w:tc>
          <w:tcPr>
            <w:tcW w:w="2551" w:type="dxa"/>
            <w:shd w:val="clear" w:color="000000" w:fill="FFFFFF"/>
            <w:noWrap/>
            <w:vAlign w:val="bottom"/>
            <w:hideMark/>
          </w:tcPr>
          <w:p w:rsidR="00552CCF" w:rsidRPr="008735CD" w:rsidRDefault="00552CCF" w:rsidP="00930388">
            <w:pPr>
              <w:suppressAutoHyphens w:val="0"/>
              <w:jc w:val="center"/>
            </w:pPr>
            <w:r w:rsidRPr="008735CD">
              <w:t>290</w:t>
            </w:r>
          </w:p>
        </w:tc>
      </w:tr>
      <w:tr w:rsidR="00552CCF" w:rsidRPr="008735CD" w:rsidTr="00930388">
        <w:trPr>
          <w:trHeight w:val="300"/>
        </w:trPr>
        <w:tc>
          <w:tcPr>
            <w:tcW w:w="3400" w:type="dxa"/>
            <w:shd w:val="clear" w:color="000000" w:fill="FFFFFF"/>
            <w:noWrap/>
            <w:vAlign w:val="bottom"/>
            <w:hideMark/>
          </w:tcPr>
          <w:p w:rsidR="00552CCF" w:rsidRPr="008735CD" w:rsidRDefault="00552CCF" w:rsidP="00930388">
            <w:pPr>
              <w:suppressAutoHyphens w:val="0"/>
              <w:jc w:val="center"/>
            </w:pPr>
            <w:proofErr w:type="spellStart"/>
            <w:r w:rsidRPr="008735CD">
              <w:t>Ducineli</w:t>
            </w:r>
            <w:proofErr w:type="spellEnd"/>
            <w:r w:rsidRPr="008735CD">
              <w:t xml:space="preserve"> Régis Botelho</w:t>
            </w:r>
          </w:p>
        </w:tc>
        <w:tc>
          <w:tcPr>
            <w:tcW w:w="3133" w:type="dxa"/>
            <w:shd w:val="clear" w:color="000000" w:fill="FFFFFF"/>
            <w:vAlign w:val="bottom"/>
            <w:hideMark/>
          </w:tcPr>
          <w:p w:rsidR="00552CCF" w:rsidRPr="008735CD" w:rsidRDefault="00552CCF" w:rsidP="00930388">
            <w:pPr>
              <w:suppressAutoHyphens w:val="0"/>
              <w:jc w:val="center"/>
            </w:pPr>
            <w:r w:rsidRPr="008735CD">
              <w:t>A2, A2, B4</w:t>
            </w:r>
          </w:p>
        </w:tc>
        <w:tc>
          <w:tcPr>
            <w:tcW w:w="2551" w:type="dxa"/>
            <w:shd w:val="clear" w:color="000000" w:fill="FFFFFF"/>
            <w:vAlign w:val="bottom"/>
            <w:hideMark/>
          </w:tcPr>
          <w:p w:rsidR="00552CCF" w:rsidRPr="008735CD" w:rsidRDefault="00552CCF" w:rsidP="00930388">
            <w:pPr>
              <w:suppressAutoHyphens w:val="0"/>
              <w:jc w:val="center"/>
            </w:pPr>
            <w:r w:rsidRPr="008735CD">
              <w:t>180</w:t>
            </w:r>
          </w:p>
        </w:tc>
      </w:tr>
      <w:tr w:rsidR="00552CCF" w:rsidRPr="008735CD" w:rsidTr="00930388">
        <w:trPr>
          <w:trHeight w:val="300"/>
        </w:trPr>
        <w:tc>
          <w:tcPr>
            <w:tcW w:w="3400" w:type="dxa"/>
            <w:shd w:val="clear" w:color="000000" w:fill="FFFFFF"/>
            <w:noWrap/>
            <w:vAlign w:val="bottom"/>
            <w:hideMark/>
          </w:tcPr>
          <w:p w:rsidR="00552CCF" w:rsidRPr="008735CD" w:rsidRDefault="00552CCF" w:rsidP="00930388">
            <w:pPr>
              <w:suppressAutoHyphens w:val="0"/>
              <w:jc w:val="center"/>
            </w:pPr>
            <w:r w:rsidRPr="008735CD">
              <w:t>Claudio Moreira Santana</w:t>
            </w:r>
          </w:p>
        </w:tc>
        <w:tc>
          <w:tcPr>
            <w:tcW w:w="3133" w:type="dxa"/>
            <w:shd w:val="clear" w:color="000000" w:fill="FFFFFF"/>
            <w:vAlign w:val="bottom"/>
            <w:hideMark/>
          </w:tcPr>
          <w:p w:rsidR="00552CCF" w:rsidRPr="008735CD" w:rsidRDefault="00552CCF" w:rsidP="00930388">
            <w:pPr>
              <w:suppressAutoHyphens w:val="0"/>
              <w:jc w:val="center"/>
            </w:pPr>
            <w:r w:rsidRPr="008735CD">
              <w:t>A2, B4</w:t>
            </w:r>
          </w:p>
        </w:tc>
        <w:tc>
          <w:tcPr>
            <w:tcW w:w="2551" w:type="dxa"/>
            <w:shd w:val="clear" w:color="000000" w:fill="FFFFFF"/>
            <w:vAlign w:val="bottom"/>
            <w:hideMark/>
          </w:tcPr>
          <w:p w:rsidR="00552CCF" w:rsidRPr="008735CD" w:rsidRDefault="00552CCF" w:rsidP="00930388">
            <w:pPr>
              <w:suppressAutoHyphens w:val="0"/>
              <w:jc w:val="center"/>
            </w:pPr>
            <w:r w:rsidRPr="008735CD">
              <w:t>100</w:t>
            </w:r>
          </w:p>
        </w:tc>
      </w:tr>
    </w:tbl>
    <w:p w:rsidR="00552CCF" w:rsidRPr="008735CD" w:rsidRDefault="00552CCF" w:rsidP="00552CCF">
      <w:pPr>
        <w:autoSpaceDE w:val="0"/>
        <w:autoSpaceDN w:val="0"/>
        <w:adjustRightInd w:val="0"/>
        <w:jc w:val="both"/>
      </w:pPr>
      <w:r w:rsidRPr="008735CD">
        <w:rPr>
          <w:rFonts w:eastAsia="SimSun"/>
          <w:lang w:eastAsia="zh-CN"/>
        </w:rPr>
        <w:t xml:space="preserve">Nota. </w:t>
      </w:r>
      <w:r w:rsidRPr="008735CD" w:rsidDel="004C7FC6">
        <w:t xml:space="preserve"> </w:t>
      </w:r>
      <w:r w:rsidRPr="008735CD">
        <w:t>A2 = 80 pontos; B2 = 50 pontos; B3 = 30 pontos; B4 = 20 pontos.</w:t>
      </w:r>
    </w:p>
    <w:p w:rsidR="00552CCF" w:rsidRPr="008735CD" w:rsidRDefault="00552CCF" w:rsidP="00552CCF">
      <w:pPr>
        <w:autoSpaceDE w:val="0"/>
        <w:autoSpaceDN w:val="0"/>
        <w:adjustRightInd w:val="0"/>
        <w:jc w:val="both"/>
        <w:rPr>
          <w:rFonts w:eastAsia="SimSun"/>
          <w:lang w:eastAsia="zh-CN"/>
        </w:rPr>
      </w:pPr>
      <w:r w:rsidRPr="008735CD">
        <w:rPr>
          <w:rFonts w:eastAsia="SimSun"/>
          <w:lang w:eastAsia="zh-CN"/>
        </w:rPr>
        <w:t>Fonte: dados da pesquisa (2018)</w:t>
      </w:r>
    </w:p>
    <w:p w:rsidR="00552CCF" w:rsidRPr="008735CD" w:rsidRDefault="00552CCF" w:rsidP="00552CCF">
      <w:pPr>
        <w:autoSpaceDE w:val="0"/>
        <w:autoSpaceDN w:val="0"/>
        <w:adjustRightInd w:val="0"/>
        <w:jc w:val="both"/>
      </w:pPr>
    </w:p>
    <w:p w:rsidR="004C350D" w:rsidRDefault="00552CCF" w:rsidP="004C350D">
      <w:pPr>
        <w:autoSpaceDE w:val="0"/>
        <w:autoSpaceDN w:val="0"/>
        <w:adjustRightInd w:val="0"/>
        <w:ind w:firstLine="709"/>
        <w:jc w:val="both"/>
        <w:rPr>
          <w:sz w:val="24"/>
          <w:szCs w:val="24"/>
        </w:rPr>
      </w:pPr>
      <w:r w:rsidRPr="008735CD">
        <w:rPr>
          <w:sz w:val="24"/>
          <w:szCs w:val="24"/>
        </w:rPr>
        <w:t xml:space="preserve">Tomando como parâmetro a pontuação atribuída pela CAPES, na área de Administração Pública e de Empresas, Ciências Contábeis e Turismo, os autores que apresentaram pontuação acima de 100 foram Jorge </w:t>
      </w:r>
      <w:proofErr w:type="spellStart"/>
      <w:r w:rsidRPr="008735CD">
        <w:rPr>
          <w:sz w:val="24"/>
          <w:szCs w:val="24"/>
        </w:rPr>
        <w:t>Katsumi</w:t>
      </w:r>
      <w:proofErr w:type="spellEnd"/>
      <w:r w:rsidRPr="008735CD">
        <w:rPr>
          <w:sz w:val="24"/>
          <w:szCs w:val="24"/>
        </w:rPr>
        <w:t xml:space="preserve"> </w:t>
      </w:r>
      <w:proofErr w:type="spellStart"/>
      <w:r w:rsidRPr="008735CD">
        <w:rPr>
          <w:sz w:val="24"/>
          <w:szCs w:val="24"/>
        </w:rPr>
        <w:t>Niyama</w:t>
      </w:r>
      <w:proofErr w:type="spellEnd"/>
      <w:r w:rsidRPr="008735CD">
        <w:rPr>
          <w:sz w:val="24"/>
          <w:szCs w:val="24"/>
        </w:rPr>
        <w:t xml:space="preserve">, </w:t>
      </w:r>
      <w:proofErr w:type="spellStart"/>
      <w:r w:rsidRPr="008735CD">
        <w:rPr>
          <w:sz w:val="24"/>
          <w:szCs w:val="24"/>
        </w:rPr>
        <w:t>Ducineli</w:t>
      </w:r>
      <w:proofErr w:type="spellEnd"/>
      <w:r w:rsidRPr="008735CD">
        <w:rPr>
          <w:sz w:val="24"/>
          <w:szCs w:val="24"/>
        </w:rPr>
        <w:t xml:space="preserve"> Régis Botelho e Claudio Moreira Santana, os quais possuem publicações em conjunto, o que evidencia a </w:t>
      </w:r>
      <w:r w:rsidRPr="008735CD">
        <w:rPr>
          <w:sz w:val="24"/>
          <w:szCs w:val="24"/>
        </w:rPr>
        <w:lastRenderedPageBreak/>
        <w:t xml:space="preserve">importância das redes de relacionamento em pesquisa. Contudo, tal </w:t>
      </w:r>
      <w:proofErr w:type="spellStart"/>
      <w:r w:rsidRPr="008735CD">
        <w:rPr>
          <w:sz w:val="24"/>
          <w:szCs w:val="24"/>
        </w:rPr>
        <w:t>ranqueamento</w:t>
      </w:r>
      <w:proofErr w:type="spellEnd"/>
      <w:r w:rsidRPr="008735CD">
        <w:rPr>
          <w:sz w:val="24"/>
          <w:szCs w:val="24"/>
        </w:rPr>
        <w:t xml:space="preserve"> não inclui pontuação relativa à área de Ensino, ou com foco no tema, diferentemente do que ocorre no âmbito internacional, cuja especialização dos periódicos, como o</w:t>
      </w:r>
      <w:r w:rsidRPr="008735CD">
        <w:rPr>
          <w:rFonts w:eastAsia="SimSun"/>
          <w:sz w:val="24"/>
          <w:szCs w:val="24"/>
          <w:lang w:eastAsia="zh-CN"/>
        </w:rPr>
        <w:t xml:space="preserve"> </w:t>
      </w:r>
      <w:proofErr w:type="spellStart"/>
      <w:r w:rsidRPr="008735CD">
        <w:rPr>
          <w:rFonts w:eastAsia="SimSun"/>
          <w:i/>
          <w:sz w:val="24"/>
          <w:szCs w:val="24"/>
          <w:lang w:eastAsia="zh-CN"/>
        </w:rPr>
        <w:t>Journal</w:t>
      </w:r>
      <w:proofErr w:type="spellEnd"/>
      <w:r w:rsidRPr="008735CD">
        <w:rPr>
          <w:rFonts w:eastAsia="SimSun"/>
          <w:i/>
          <w:sz w:val="24"/>
          <w:szCs w:val="24"/>
          <w:lang w:eastAsia="zh-CN"/>
        </w:rPr>
        <w:t xml:space="preserve"> </w:t>
      </w:r>
      <w:proofErr w:type="spellStart"/>
      <w:r w:rsidRPr="008735CD">
        <w:rPr>
          <w:rFonts w:eastAsia="SimSun"/>
          <w:i/>
          <w:sz w:val="24"/>
          <w:szCs w:val="24"/>
          <w:lang w:eastAsia="zh-CN"/>
        </w:rPr>
        <w:t>of</w:t>
      </w:r>
      <w:proofErr w:type="spellEnd"/>
      <w:r w:rsidRPr="008735CD">
        <w:rPr>
          <w:rFonts w:eastAsia="SimSun"/>
          <w:i/>
          <w:sz w:val="24"/>
          <w:szCs w:val="24"/>
          <w:lang w:eastAsia="zh-CN"/>
        </w:rPr>
        <w:t xml:space="preserve"> </w:t>
      </w:r>
      <w:proofErr w:type="spellStart"/>
      <w:r w:rsidRPr="008735CD">
        <w:rPr>
          <w:rFonts w:eastAsia="SimSun"/>
          <w:i/>
          <w:sz w:val="24"/>
          <w:szCs w:val="24"/>
          <w:lang w:eastAsia="zh-CN"/>
        </w:rPr>
        <w:t>Accounting</w:t>
      </w:r>
      <w:proofErr w:type="spellEnd"/>
      <w:r w:rsidRPr="008735CD">
        <w:rPr>
          <w:rFonts w:eastAsia="SimSun"/>
          <w:i/>
          <w:sz w:val="24"/>
          <w:szCs w:val="24"/>
          <w:lang w:eastAsia="zh-CN"/>
        </w:rPr>
        <w:t xml:space="preserve"> </w:t>
      </w:r>
      <w:proofErr w:type="spellStart"/>
      <w:r w:rsidRPr="008735CD">
        <w:rPr>
          <w:rFonts w:eastAsia="SimSun"/>
          <w:i/>
          <w:sz w:val="24"/>
          <w:szCs w:val="24"/>
          <w:lang w:eastAsia="zh-CN"/>
        </w:rPr>
        <w:t>Education</w:t>
      </w:r>
      <w:proofErr w:type="spellEnd"/>
      <w:r w:rsidRPr="008735CD">
        <w:rPr>
          <w:rFonts w:eastAsia="SimSun"/>
          <w:sz w:val="24"/>
          <w:szCs w:val="24"/>
          <w:lang w:eastAsia="zh-CN"/>
        </w:rPr>
        <w:t xml:space="preserve"> demonstra haver </w:t>
      </w:r>
      <w:r w:rsidRPr="008735CD">
        <w:rPr>
          <w:sz w:val="24"/>
          <w:szCs w:val="24"/>
        </w:rPr>
        <w:t xml:space="preserve">pontuação relativa à área de Ensino </w:t>
      </w:r>
      <w:r w:rsidRPr="008735CD">
        <w:rPr>
          <w:rFonts w:eastAsia="SimSun"/>
          <w:sz w:val="24"/>
          <w:szCs w:val="24"/>
          <w:lang w:eastAsia="zh-CN"/>
        </w:rPr>
        <w:t>(Matos et al., 2012).</w:t>
      </w:r>
    </w:p>
    <w:p w:rsidR="00552CCF" w:rsidRPr="004C350D" w:rsidRDefault="00552CCF" w:rsidP="004C350D">
      <w:pPr>
        <w:autoSpaceDE w:val="0"/>
        <w:autoSpaceDN w:val="0"/>
        <w:adjustRightInd w:val="0"/>
        <w:ind w:firstLine="709"/>
        <w:jc w:val="both"/>
        <w:rPr>
          <w:sz w:val="24"/>
          <w:szCs w:val="24"/>
        </w:rPr>
      </w:pPr>
      <w:r w:rsidRPr="008735CD">
        <w:rPr>
          <w:rFonts w:eastAsia="SimSun"/>
          <w:sz w:val="24"/>
          <w:szCs w:val="24"/>
          <w:lang w:eastAsia="zh-CN"/>
        </w:rPr>
        <w:t xml:space="preserve">A amostra contemplou, ainda, um estudo bibliográfico e um estudo de caso. À exceção dos anos de 2009 e 2013, foi publicado, ao menos um artigo por ano. Nos anos de 2011, 2015 e 2017 foram publicados dois artigos e no ano de 2014 houve 7 publicações, ou seja, 38,8% da amostra, conforme Figura 2. </w:t>
      </w:r>
    </w:p>
    <w:p w:rsidR="00552CCF" w:rsidRPr="008735CD" w:rsidRDefault="00552CCF" w:rsidP="00552CCF">
      <w:pPr>
        <w:autoSpaceDE w:val="0"/>
        <w:autoSpaceDN w:val="0"/>
        <w:adjustRightInd w:val="0"/>
        <w:ind w:firstLine="567"/>
        <w:jc w:val="both"/>
        <w:rPr>
          <w:rFonts w:eastAsia="SimSun"/>
          <w:sz w:val="24"/>
          <w:szCs w:val="24"/>
          <w:lang w:eastAsia="zh-CN"/>
        </w:rPr>
      </w:pPr>
    </w:p>
    <w:p w:rsidR="00552CCF" w:rsidRPr="008735CD" w:rsidRDefault="00552CCF" w:rsidP="00552CCF">
      <w:pPr>
        <w:autoSpaceDE w:val="0"/>
        <w:autoSpaceDN w:val="0"/>
        <w:adjustRightInd w:val="0"/>
        <w:jc w:val="both"/>
        <w:rPr>
          <w:rFonts w:eastAsia="SimSun"/>
          <w:sz w:val="24"/>
          <w:szCs w:val="24"/>
          <w:lang w:eastAsia="zh-CN"/>
        </w:rPr>
      </w:pPr>
      <w:r w:rsidRPr="008735CD">
        <w:rPr>
          <w:noProof/>
        </w:rPr>
        <w:drawing>
          <wp:inline distT="0" distB="0" distL="0" distR="0" wp14:anchorId="493CDE77" wp14:editId="3F2F6089">
            <wp:extent cx="5629275" cy="1828800"/>
            <wp:effectExtent l="19050" t="19050" r="28575" b="1905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2"/>
                    <pic:cNvPicPr>
                      <a:picLocks noChangeArrowheads="1"/>
                    </pic:cNvPicPr>
                  </pic:nvPicPr>
                  <pic:blipFill>
                    <a:blip r:embed="rId9">
                      <a:extLst>
                        <a:ext uri="{28A0092B-C50C-407E-A947-70E740481C1C}">
                          <a14:useLocalDpi xmlns:a14="http://schemas.microsoft.com/office/drawing/2010/main" val="0"/>
                        </a:ext>
                      </a:extLst>
                    </a:blip>
                    <a:srcRect b="-174"/>
                    <a:stretch>
                      <a:fillRect/>
                    </a:stretch>
                  </pic:blipFill>
                  <pic:spPr bwMode="auto">
                    <a:xfrm>
                      <a:off x="0" y="0"/>
                      <a:ext cx="5629275" cy="1828800"/>
                    </a:xfrm>
                    <a:prstGeom prst="rect">
                      <a:avLst/>
                    </a:prstGeom>
                    <a:noFill/>
                    <a:ln w="6350" cmpd="sng">
                      <a:solidFill>
                        <a:srgbClr val="000000"/>
                      </a:solidFill>
                      <a:miter lim="800000"/>
                      <a:headEnd/>
                      <a:tailEnd/>
                    </a:ln>
                    <a:effectLst/>
                  </pic:spPr>
                </pic:pic>
              </a:graphicData>
            </a:graphic>
          </wp:inline>
        </w:drawing>
      </w:r>
    </w:p>
    <w:p w:rsidR="00552CCF" w:rsidRPr="004C350D" w:rsidRDefault="00552CCF" w:rsidP="00552CCF">
      <w:pPr>
        <w:keepNext/>
        <w:autoSpaceDE w:val="0"/>
        <w:autoSpaceDN w:val="0"/>
        <w:adjustRightInd w:val="0"/>
        <w:jc w:val="both"/>
        <w:rPr>
          <w:rFonts w:eastAsia="SimSun"/>
          <w:lang w:eastAsia="zh-CN"/>
        </w:rPr>
      </w:pPr>
      <w:r w:rsidRPr="004C350D">
        <w:rPr>
          <w:rFonts w:eastAsia="SimSun"/>
          <w:lang w:eastAsia="zh-CN"/>
        </w:rPr>
        <w:t xml:space="preserve">Figura 2. Ano de publicação dos artigos da pesquisa </w:t>
      </w:r>
    </w:p>
    <w:p w:rsidR="00552CCF" w:rsidRPr="008735CD" w:rsidRDefault="00552CCF" w:rsidP="00552CCF">
      <w:pPr>
        <w:autoSpaceDE w:val="0"/>
        <w:autoSpaceDN w:val="0"/>
        <w:adjustRightInd w:val="0"/>
        <w:spacing w:line="360" w:lineRule="auto"/>
        <w:jc w:val="both"/>
        <w:rPr>
          <w:rFonts w:eastAsia="SimSun"/>
          <w:lang w:eastAsia="zh-CN"/>
        </w:rPr>
      </w:pPr>
      <w:r w:rsidRPr="008735CD">
        <w:rPr>
          <w:rFonts w:eastAsia="SimSun"/>
          <w:lang w:eastAsia="zh-CN"/>
        </w:rPr>
        <w:t>Fonte: dados da pesquisa (2018)</w:t>
      </w:r>
    </w:p>
    <w:p w:rsidR="00552CCF" w:rsidRPr="008735CD" w:rsidRDefault="00552CCF" w:rsidP="00552CCF">
      <w:pPr>
        <w:autoSpaceDE w:val="0"/>
        <w:autoSpaceDN w:val="0"/>
        <w:adjustRightInd w:val="0"/>
        <w:ind w:firstLine="567"/>
        <w:jc w:val="both"/>
        <w:rPr>
          <w:rFonts w:eastAsia="SimSun"/>
          <w:sz w:val="24"/>
          <w:szCs w:val="24"/>
          <w:lang w:eastAsia="zh-CN"/>
        </w:rPr>
      </w:pPr>
    </w:p>
    <w:p w:rsidR="00552CCF" w:rsidRPr="008735C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Essa variação quantitativa de publicações pode ser parcialmente explicada pelas transformações oriundas da expansão dos PPG em Contabilidade e das normas internacionais de Contabilidade (Miranda </w:t>
      </w:r>
      <w:r w:rsidRPr="00930388">
        <w:rPr>
          <w:rFonts w:eastAsia="SimSun"/>
          <w:sz w:val="24"/>
          <w:szCs w:val="24"/>
          <w:lang w:eastAsia="zh-CN"/>
        </w:rPr>
        <w:t>et al.,</w:t>
      </w:r>
      <w:r w:rsidRPr="008735CD">
        <w:rPr>
          <w:rFonts w:eastAsia="SimSun"/>
          <w:sz w:val="24"/>
          <w:szCs w:val="24"/>
          <w:lang w:eastAsia="zh-CN"/>
        </w:rPr>
        <w:t xml:space="preserve"> 2013).</w:t>
      </w:r>
    </w:p>
    <w:p w:rsidR="00552CCF" w:rsidRPr="004C350D" w:rsidRDefault="00552CCF" w:rsidP="004C350D">
      <w:pPr>
        <w:widowControl w:val="0"/>
        <w:spacing w:before="240" w:after="80"/>
        <w:rPr>
          <w:b/>
          <w:sz w:val="24"/>
          <w:szCs w:val="24"/>
        </w:rPr>
      </w:pPr>
      <w:r w:rsidRPr="004C350D">
        <w:rPr>
          <w:b/>
          <w:sz w:val="24"/>
          <w:szCs w:val="24"/>
        </w:rPr>
        <w:t>4.2 Análise de Conteúdo</w:t>
      </w:r>
    </w:p>
    <w:p w:rsidR="00552CCF" w:rsidRPr="008735C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A análise do conteúdo dos artigos da amostra permitiu avaliar as palavras-chave de cada publicação. Constatou-se, conforme disposto na Tabela 5, que 44% dos artigos continham palavras-ch</w:t>
      </w:r>
      <w:r w:rsidR="004C350D">
        <w:rPr>
          <w:rFonts w:eastAsia="SimSun"/>
          <w:sz w:val="24"/>
          <w:szCs w:val="24"/>
          <w:lang w:eastAsia="zh-CN"/>
        </w:rPr>
        <w:t>a</w:t>
      </w:r>
      <w:r w:rsidRPr="008735CD">
        <w:rPr>
          <w:rFonts w:eastAsia="SimSun"/>
          <w:sz w:val="24"/>
          <w:szCs w:val="24"/>
          <w:lang w:eastAsia="zh-CN"/>
        </w:rPr>
        <w:t>ve relacionadas às normas internacionais de contabilidade e à convergência, enquanto que 32,9% continham palavras-chave afins a ensino de contabilidade, educação, docentes e discentes. Essas palavras-chave possuem relação com as que foram utilizadas para seleção dos artigos que compuseram a amostra do presente estudo na base de dados CAPES.</w:t>
      </w:r>
    </w:p>
    <w:p w:rsidR="00552CCF" w:rsidRPr="008735CD" w:rsidRDefault="00552CCF" w:rsidP="00552CCF">
      <w:pPr>
        <w:autoSpaceDE w:val="0"/>
        <w:autoSpaceDN w:val="0"/>
        <w:adjustRightInd w:val="0"/>
        <w:jc w:val="both"/>
        <w:rPr>
          <w:rFonts w:eastAsia="SimSun"/>
          <w:lang w:eastAsia="zh-CN"/>
        </w:rPr>
      </w:pPr>
    </w:p>
    <w:p w:rsidR="004C350D" w:rsidRDefault="00552CCF" w:rsidP="00552CCF">
      <w:pPr>
        <w:autoSpaceDE w:val="0"/>
        <w:autoSpaceDN w:val="0"/>
        <w:adjustRightInd w:val="0"/>
        <w:jc w:val="both"/>
        <w:rPr>
          <w:rFonts w:eastAsia="SimSun"/>
          <w:lang w:eastAsia="zh-CN"/>
        </w:rPr>
      </w:pPr>
      <w:r w:rsidRPr="004C350D">
        <w:rPr>
          <w:rFonts w:eastAsia="SimSun"/>
          <w:lang w:eastAsia="zh-CN"/>
        </w:rPr>
        <w:t>Tabela 5</w:t>
      </w:r>
    </w:p>
    <w:p w:rsidR="00552CCF" w:rsidRPr="004C350D" w:rsidRDefault="00552CCF" w:rsidP="00552CCF">
      <w:pPr>
        <w:autoSpaceDE w:val="0"/>
        <w:autoSpaceDN w:val="0"/>
        <w:adjustRightInd w:val="0"/>
        <w:jc w:val="both"/>
        <w:rPr>
          <w:rFonts w:eastAsia="SimSun"/>
          <w:lang w:eastAsia="zh-CN"/>
        </w:rPr>
      </w:pPr>
      <w:r w:rsidRPr="004C350D">
        <w:rPr>
          <w:rFonts w:eastAsia="SimSun"/>
          <w:lang w:eastAsia="zh-CN"/>
        </w:rPr>
        <w:t>Relação das palavras-chave dos artigos para amostra do período de 2007 a 2017</w:t>
      </w:r>
    </w:p>
    <w:tbl>
      <w:tblPr>
        <w:tblW w:w="9100" w:type="dxa"/>
        <w:tblCellMar>
          <w:left w:w="70" w:type="dxa"/>
          <w:right w:w="70" w:type="dxa"/>
        </w:tblCellMar>
        <w:tblLook w:val="04A0" w:firstRow="1" w:lastRow="0" w:firstColumn="1" w:lastColumn="0" w:noHBand="0" w:noVBand="1"/>
      </w:tblPr>
      <w:tblGrid>
        <w:gridCol w:w="6096"/>
        <w:gridCol w:w="3004"/>
      </w:tblGrid>
      <w:tr w:rsidR="00552CCF" w:rsidRPr="008735CD" w:rsidTr="00930388">
        <w:trPr>
          <w:trHeight w:val="205"/>
        </w:trPr>
        <w:tc>
          <w:tcPr>
            <w:tcW w:w="6096" w:type="dxa"/>
            <w:tcBorders>
              <w:top w:val="single" w:sz="4" w:space="0" w:color="auto"/>
              <w:left w:val="nil"/>
              <w:bottom w:val="single" w:sz="4" w:space="0" w:color="auto"/>
              <w:right w:val="nil"/>
            </w:tcBorders>
            <w:shd w:val="clear" w:color="auto" w:fill="auto"/>
            <w:vAlign w:val="bottom"/>
            <w:hideMark/>
          </w:tcPr>
          <w:p w:rsidR="00552CCF" w:rsidRPr="008735CD" w:rsidRDefault="00552CCF" w:rsidP="00930388">
            <w:pPr>
              <w:rPr>
                <w:b/>
                <w:bCs/>
              </w:rPr>
            </w:pPr>
            <w:r w:rsidRPr="008735CD">
              <w:rPr>
                <w:b/>
                <w:bCs/>
              </w:rPr>
              <w:t>Palavras-chave identificadas nos artigos relacionadas a</w:t>
            </w:r>
          </w:p>
        </w:tc>
        <w:tc>
          <w:tcPr>
            <w:tcW w:w="3004" w:type="dxa"/>
            <w:tcBorders>
              <w:top w:val="single" w:sz="4" w:space="0" w:color="auto"/>
              <w:left w:val="nil"/>
              <w:bottom w:val="single" w:sz="4" w:space="0" w:color="auto"/>
              <w:right w:val="nil"/>
            </w:tcBorders>
            <w:shd w:val="clear" w:color="auto" w:fill="auto"/>
            <w:vAlign w:val="center"/>
            <w:hideMark/>
          </w:tcPr>
          <w:p w:rsidR="00552CCF" w:rsidRPr="008735CD" w:rsidRDefault="00552CCF" w:rsidP="00930388">
            <w:pPr>
              <w:jc w:val="center"/>
              <w:rPr>
                <w:b/>
                <w:bCs/>
              </w:rPr>
            </w:pPr>
            <w:r w:rsidRPr="008735CD">
              <w:rPr>
                <w:b/>
                <w:bCs/>
              </w:rPr>
              <w:t>Número de palavras-chave</w:t>
            </w:r>
          </w:p>
        </w:tc>
      </w:tr>
      <w:tr w:rsidR="00552CCF" w:rsidRPr="008735CD" w:rsidTr="00930388">
        <w:trPr>
          <w:trHeight w:val="300"/>
        </w:trPr>
        <w:tc>
          <w:tcPr>
            <w:tcW w:w="6096" w:type="dxa"/>
            <w:tcBorders>
              <w:top w:val="nil"/>
              <w:left w:val="nil"/>
              <w:bottom w:val="nil"/>
              <w:right w:val="nil"/>
            </w:tcBorders>
            <w:shd w:val="clear" w:color="auto" w:fill="auto"/>
            <w:vAlign w:val="bottom"/>
            <w:hideMark/>
          </w:tcPr>
          <w:p w:rsidR="00552CCF" w:rsidRPr="008735CD" w:rsidRDefault="00552CCF" w:rsidP="00930388">
            <w:r w:rsidRPr="008735CD">
              <w:t>Normas internacionais, convergência, harmonização e pronunciamentos</w:t>
            </w:r>
          </w:p>
        </w:tc>
        <w:tc>
          <w:tcPr>
            <w:tcW w:w="3004" w:type="dxa"/>
            <w:tcBorders>
              <w:top w:val="nil"/>
              <w:left w:val="nil"/>
              <w:bottom w:val="nil"/>
              <w:right w:val="nil"/>
            </w:tcBorders>
            <w:shd w:val="clear" w:color="auto" w:fill="auto"/>
            <w:noWrap/>
            <w:vAlign w:val="center"/>
            <w:hideMark/>
          </w:tcPr>
          <w:p w:rsidR="00552CCF" w:rsidRPr="008735CD" w:rsidRDefault="00552CCF" w:rsidP="00930388">
            <w:pPr>
              <w:jc w:val="center"/>
            </w:pPr>
            <w:r w:rsidRPr="008735CD">
              <w:t>31</w:t>
            </w:r>
          </w:p>
        </w:tc>
      </w:tr>
      <w:tr w:rsidR="00552CCF" w:rsidRPr="008735CD" w:rsidTr="00930388">
        <w:trPr>
          <w:trHeight w:val="300"/>
        </w:trPr>
        <w:tc>
          <w:tcPr>
            <w:tcW w:w="6096" w:type="dxa"/>
            <w:tcBorders>
              <w:top w:val="nil"/>
              <w:left w:val="nil"/>
              <w:bottom w:val="nil"/>
              <w:right w:val="nil"/>
            </w:tcBorders>
            <w:shd w:val="clear" w:color="auto" w:fill="auto"/>
            <w:vAlign w:val="bottom"/>
            <w:hideMark/>
          </w:tcPr>
          <w:p w:rsidR="00552CCF" w:rsidRPr="008735CD" w:rsidRDefault="00552CCF" w:rsidP="00930388">
            <w:r w:rsidRPr="008735CD">
              <w:t>Ensino de contabilidade, educação, docentes e discentes</w:t>
            </w:r>
          </w:p>
        </w:tc>
        <w:tc>
          <w:tcPr>
            <w:tcW w:w="3004" w:type="dxa"/>
            <w:tcBorders>
              <w:top w:val="nil"/>
              <w:left w:val="nil"/>
              <w:bottom w:val="nil"/>
              <w:right w:val="nil"/>
            </w:tcBorders>
            <w:shd w:val="clear" w:color="auto" w:fill="auto"/>
            <w:noWrap/>
            <w:vAlign w:val="center"/>
            <w:hideMark/>
          </w:tcPr>
          <w:p w:rsidR="00552CCF" w:rsidRPr="008735CD" w:rsidRDefault="00552CCF" w:rsidP="00930388">
            <w:pPr>
              <w:jc w:val="center"/>
            </w:pPr>
            <w:r w:rsidRPr="008735CD">
              <w:t>23</w:t>
            </w:r>
          </w:p>
        </w:tc>
      </w:tr>
      <w:tr w:rsidR="00552CCF" w:rsidRPr="008735CD" w:rsidTr="00930388">
        <w:trPr>
          <w:trHeight w:val="300"/>
        </w:trPr>
        <w:tc>
          <w:tcPr>
            <w:tcW w:w="6096" w:type="dxa"/>
            <w:tcBorders>
              <w:top w:val="nil"/>
              <w:left w:val="nil"/>
              <w:bottom w:val="nil"/>
              <w:right w:val="nil"/>
            </w:tcBorders>
            <w:shd w:val="clear" w:color="auto" w:fill="auto"/>
            <w:noWrap/>
            <w:vAlign w:val="bottom"/>
            <w:hideMark/>
          </w:tcPr>
          <w:p w:rsidR="00552CCF" w:rsidRPr="008735CD" w:rsidRDefault="00552CCF" w:rsidP="00930388">
            <w:r w:rsidRPr="008735CD">
              <w:t>Outros</w:t>
            </w:r>
          </w:p>
        </w:tc>
        <w:tc>
          <w:tcPr>
            <w:tcW w:w="3004" w:type="dxa"/>
            <w:tcBorders>
              <w:top w:val="nil"/>
              <w:left w:val="nil"/>
              <w:bottom w:val="nil"/>
              <w:right w:val="nil"/>
            </w:tcBorders>
            <w:shd w:val="clear" w:color="auto" w:fill="auto"/>
            <w:noWrap/>
            <w:vAlign w:val="center"/>
            <w:hideMark/>
          </w:tcPr>
          <w:p w:rsidR="00552CCF" w:rsidRPr="008735CD" w:rsidRDefault="00552CCF" w:rsidP="00930388">
            <w:pPr>
              <w:jc w:val="center"/>
            </w:pPr>
            <w:r w:rsidRPr="008735CD">
              <w:t>16</w:t>
            </w:r>
          </w:p>
        </w:tc>
      </w:tr>
      <w:tr w:rsidR="00552CCF" w:rsidRPr="008735CD" w:rsidTr="00930388">
        <w:trPr>
          <w:trHeight w:val="300"/>
        </w:trPr>
        <w:tc>
          <w:tcPr>
            <w:tcW w:w="6096" w:type="dxa"/>
            <w:tcBorders>
              <w:top w:val="single" w:sz="4" w:space="0" w:color="auto"/>
              <w:left w:val="nil"/>
              <w:bottom w:val="single" w:sz="4" w:space="0" w:color="auto"/>
              <w:right w:val="nil"/>
            </w:tcBorders>
            <w:shd w:val="clear" w:color="auto" w:fill="auto"/>
            <w:vAlign w:val="bottom"/>
            <w:hideMark/>
          </w:tcPr>
          <w:p w:rsidR="00552CCF" w:rsidRPr="008735CD" w:rsidRDefault="00552CCF" w:rsidP="00930388">
            <w:pPr>
              <w:rPr>
                <w:b/>
                <w:bCs/>
              </w:rPr>
            </w:pPr>
            <w:r w:rsidRPr="008735CD">
              <w:rPr>
                <w:b/>
                <w:bCs/>
              </w:rPr>
              <w:t>Total</w:t>
            </w:r>
          </w:p>
        </w:tc>
        <w:tc>
          <w:tcPr>
            <w:tcW w:w="3004" w:type="dxa"/>
            <w:tcBorders>
              <w:top w:val="single" w:sz="4" w:space="0" w:color="auto"/>
              <w:left w:val="nil"/>
              <w:bottom w:val="single" w:sz="4" w:space="0" w:color="auto"/>
              <w:right w:val="nil"/>
            </w:tcBorders>
            <w:shd w:val="clear" w:color="auto" w:fill="auto"/>
            <w:noWrap/>
            <w:vAlign w:val="center"/>
            <w:hideMark/>
          </w:tcPr>
          <w:p w:rsidR="00552CCF" w:rsidRPr="008735CD" w:rsidRDefault="00552CCF" w:rsidP="00930388">
            <w:pPr>
              <w:jc w:val="center"/>
              <w:rPr>
                <w:b/>
                <w:bCs/>
              </w:rPr>
            </w:pPr>
            <w:r w:rsidRPr="008735CD">
              <w:rPr>
                <w:b/>
                <w:bCs/>
              </w:rPr>
              <w:t>70</w:t>
            </w:r>
          </w:p>
        </w:tc>
      </w:tr>
    </w:tbl>
    <w:p w:rsidR="00552CCF" w:rsidRPr="008735CD" w:rsidRDefault="00552CCF" w:rsidP="00552CCF">
      <w:pPr>
        <w:autoSpaceDE w:val="0"/>
        <w:autoSpaceDN w:val="0"/>
        <w:adjustRightInd w:val="0"/>
        <w:jc w:val="both"/>
        <w:rPr>
          <w:rFonts w:eastAsia="SimSun"/>
          <w:lang w:eastAsia="zh-CN"/>
        </w:rPr>
      </w:pPr>
      <w:r w:rsidRPr="008735CD">
        <w:rPr>
          <w:rFonts w:eastAsia="SimSun"/>
          <w:lang w:eastAsia="zh-CN"/>
        </w:rPr>
        <w:t>Fonte: dados da pesquisa (2018)</w:t>
      </w:r>
    </w:p>
    <w:p w:rsidR="00552CCF" w:rsidRPr="008735CD" w:rsidRDefault="00552CCF" w:rsidP="00552CCF">
      <w:pPr>
        <w:autoSpaceDE w:val="0"/>
        <w:autoSpaceDN w:val="0"/>
        <w:adjustRightInd w:val="0"/>
        <w:jc w:val="both"/>
        <w:rPr>
          <w:rFonts w:eastAsia="SimSun"/>
          <w:lang w:eastAsia="zh-CN"/>
        </w:rPr>
      </w:pPr>
    </w:p>
    <w:p w:rsidR="004C350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lastRenderedPageBreak/>
        <w:t xml:space="preserve">Os artigos foram analisados, ainda, em relação à metodologia descrita. A identificação dos tipos metodológicos empregados em cada área de estudos </w:t>
      </w:r>
      <w:r w:rsidRPr="008735CD">
        <w:rPr>
          <w:sz w:val="24"/>
          <w:szCs w:val="24"/>
        </w:rPr>
        <w:t xml:space="preserve">da educação contábil é uma importante ferramenta para a melhoria da compreensão das metodologias empregadas e possibilidades de estudos futuros para os diferentes temas, com abordagens distintas e complementares (Matos </w:t>
      </w:r>
      <w:r w:rsidRPr="00930388">
        <w:rPr>
          <w:iCs/>
          <w:sz w:val="24"/>
          <w:szCs w:val="24"/>
        </w:rPr>
        <w:t>et al</w:t>
      </w:r>
      <w:r w:rsidRPr="008735CD">
        <w:rPr>
          <w:i/>
          <w:iCs/>
          <w:sz w:val="24"/>
          <w:szCs w:val="24"/>
        </w:rPr>
        <w:t>.</w:t>
      </w:r>
      <w:r w:rsidRPr="008735CD">
        <w:rPr>
          <w:iCs/>
          <w:sz w:val="24"/>
          <w:szCs w:val="24"/>
        </w:rPr>
        <w:t xml:space="preserve"> 2012)</w:t>
      </w:r>
      <w:r w:rsidRPr="008735CD">
        <w:rPr>
          <w:sz w:val="24"/>
          <w:szCs w:val="24"/>
        </w:rPr>
        <w:t>.</w:t>
      </w:r>
    </w:p>
    <w:p w:rsidR="004C350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Verificou-se que, quanto aos objetivos, a maior parte dos artigos estava classificada como descritiva, seguida das pesquisas exploratórias. Não foram encontradas pesquisas de cunho explicativo. No que diz respeito aos procedimentos, mais de 50% da amostra utilizou levantamento, por meio de questionários, como procedimento de coleta de dados. O segundo tipo de pesquisa mais utilizada foi a documental.</w:t>
      </w:r>
    </w:p>
    <w:p w:rsidR="00552CCF" w:rsidRPr="008735CD" w:rsidRDefault="00552CCF"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O resultado da análise dos artigos, conforme as categorias descritas na metodologia, está apresentado na Tabela 6. Em nível de categorias de assuntos, “docente” é o que possui maior representatividade – 38,9% dos artigos analisados adotaram essa perspectiva de análise. Com menor representatividade deste item, aparecem assuntos como discente, análise de publicações e análise de curricular, com 22,2%, 16,7% e 16,7% das publicações sobre cada assunto. O único artigo que contemplou análise docente e discente – concomitantemente – trouxe uma avaliação de percepção.</w:t>
      </w:r>
    </w:p>
    <w:p w:rsidR="00552CCF" w:rsidRPr="008735CD" w:rsidRDefault="00552CCF" w:rsidP="00552CCF">
      <w:pPr>
        <w:autoSpaceDE w:val="0"/>
        <w:autoSpaceDN w:val="0"/>
        <w:adjustRightInd w:val="0"/>
        <w:ind w:firstLine="567"/>
        <w:jc w:val="both"/>
        <w:rPr>
          <w:rFonts w:eastAsia="SimSun"/>
          <w:sz w:val="24"/>
          <w:szCs w:val="24"/>
          <w:lang w:eastAsia="zh-CN"/>
        </w:rPr>
      </w:pPr>
    </w:p>
    <w:p w:rsidR="004C350D" w:rsidRDefault="00552CCF" w:rsidP="00552CCF">
      <w:pPr>
        <w:autoSpaceDE w:val="0"/>
        <w:autoSpaceDN w:val="0"/>
        <w:adjustRightInd w:val="0"/>
        <w:jc w:val="both"/>
        <w:rPr>
          <w:rFonts w:eastAsia="SimSun"/>
          <w:lang w:eastAsia="zh-CN"/>
        </w:rPr>
      </w:pPr>
      <w:r w:rsidRPr="004C350D">
        <w:rPr>
          <w:rFonts w:eastAsia="SimSun"/>
          <w:lang w:eastAsia="zh-CN"/>
        </w:rPr>
        <w:t xml:space="preserve">Tabela </w:t>
      </w:r>
      <w:r w:rsidR="004C350D">
        <w:rPr>
          <w:rFonts w:eastAsia="SimSun"/>
          <w:lang w:eastAsia="zh-CN"/>
        </w:rPr>
        <w:t>6</w:t>
      </w:r>
    </w:p>
    <w:p w:rsidR="00552CCF" w:rsidRPr="004C350D" w:rsidRDefault="00552CCF" w:rsidP="00552CCF">
      <w:pPr>
        <w:autoSpaceDE w:val="0"/>
        <w:autoSpaceDN w:val="0"/>
        <w:adjustRightInd w:val="0"/>
        <w:jc w:val="both"/>
        <w:rPr>
          <w:rFonts w:eastAsia="SimSun"/>
          <w:lang w:eastAsia="zh-CN"/>
        </w:rPr>
      </w:pPr>
      <w:r w:rsidRPr="004C350D">
        <w:rPr>
          <w:rFonts w:eastAsia="SimSun"/>
          <w:lang w:eastAsia="zh-CN"/>
        </w:rPr>
        <w:t xml:space="preserve">Classificação dos artigos por assunto </w:t>
      </w:r>
    </w:p>
    <w:tbl>
      <w:tblPr>
        <w:tblW w:w="5000" w:type="pct"/>
        <w:tblCellMar>
          <w:left w:w="70" w:type="dxa"/>
          <w:right w:w="70" w:type="dxa"/>
        </w:tblCellMar>
        <w:tblLook w:val="04A0" w:firstRow="1" w:lastRow="0" w:firstColumn="1" w:lastColumn="0" w:noHBand="0" w:noVBand="1"/>
      </w:tblPr>
      <w:tblGrid>
        <w:gridCol w:w="2337"/>
        <w:gridCol w:w="2635"/>
        <w:gridCol w:w="1445"/>
        <w:gridCol w:w="1394"/>
        <w:gridCol w:w="1394"/>
      </w:tblGrid>
      <w:tr w:rsidR="008735CD" w:rsidRPr="008735CD" w:rsidTr="00930388">
        <w:trPr>
          <w:trHeight w:val="570"/>
        </w:trPr>
        <w:tc>
          <w:tcPr>
            <w:tcW w:w="1269" w:type="pct"/>
            <w:tcBorders>
              <w:top w:val="single" w:sz="4" w:space="0" w:color="auto"/>
              <w:left w:val="nil"/>
              <w:bottom w:val="single" w:sz="4" w:space="0" w:color="auto"/>
              <w:right w:val="single" w:sz="4" w:space="0" w:color="auto"/>
            </w:tcBorders>
            <w:shd w:val="clear" w:color="auto" w:fill="auto"/>
            <w:vAlign w:val="center"/>
            <w:hideMark/>
          </w:tcPr>
          <w:p w:rsidR="00552CCF" w:rsidRPr="008735CD" w:rsidRDefault="00552CCF" w:rsidP="00930388">
            <w:pPr>
              <w:jc w:val="center"/>
              <w:rPr>
                <w:b/>
                <w:bCs/>
              </w:rPr>
            </w:pPr>
            <w:r w:rsidRPr="008735CD">
              <w:rPr>
                <w:b/>
                <w:bCs/>
              </w:rPr>
              <w:t>Categorias de assuntos</w:t>
            </w:r>
          </w:p>
        </w:tc>
        <w:tc>
          <w:tcPr>
            <w:tcW w:w="14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2CCF" w:rsidRPr="008735CD" w:rsidRDefault="00552CCF" w:rsidP="00930388">
            <w:pPr>
              <w:jc w:val="center"/>
              <w:rPr>
                <w:b/>
                <w:bCs/>
              </w:rPr>
            </w:pPr>
            <w:r w:rsidRPr="008735CD">
              <w:rPr>
                <w:b/>
                <w:bCs/>
              </w:rPr>
              <w:t>Subcategorias de assuntos</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52CCF" w:rsidRPr="008735CD" w:rsidRDefault="00552CCF" w:rsidP="00930388">
            <w:pPr>
              <w:jc w:val="center"/>
              <w:rPr>
                <w:b/>
                <w:bCs/>
              </w:rPr>
            </w:pPr>
            <w:r w:rsidRPr="008735CD">
              <w:rPr>
                <w:b/>
                <w:bCs/>
              </w:rPr>
              <w:t>Número de artigos por subcategorias</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52CCF" w:rsidRPr="008735CD" w:rsidRDefault="00552CCF" w:rsidP="00930388">
            <w:pPr>
              <w:jc w:val="center"/>
              <w:rPr>
                <w:b/>
                <w:bCs/>
              </w:rPr>
            </w:pPr>
            <w:r w:rsidRPr="008735CD">
              <w:rPr>
                <w:b/>
                <w:bCs/>
              </w:rPr>
              <w:t>Porcentagem artigos por subcategoria</w:t>
            </w:r>
          </w:p>
        </w:tc>
        <w:tc>
          <w:tcPr>
            <w:tcW w:w="757" w:type="pct"/>
            <w:tcBorders>
              <w:top w:val="single" w:sz="4" w:space="0" w:color="auto"/>
              <w:left w:val="single" w:sz="4" w:space="0" w:color="auto"/>
              <w:bottom w:val="single" w:sz="4" w:space="0" w:color="auto"/>
              <w:right w:val="nil"/>
            </w:tcBorders>
            <w:shd w:val="clear" w:color="auto" w:fill="auto"/>
            <w:vAlign w:val="center"/>
            <w:hideMark/>
          </w:tcPr>
          <w:p w:rsidR="00552CCF" w:rsidRPr="008735CD" w:rsidRDefault="00552CCF" w:rsidP="00930388">
            <w:pPr>
              <w:jc w:val="center"/>
              <w:rPr>
                <w:b/>
                <w:bCs/>
              </w:rPr>
            </w:pPr>
            <w:r w:rsidRPr="008735CD">
              <w:rPr>
                <w:b/>
                <w:bCs/>
              </w:rPr>
              <w:t>Porcentagem artigos por assunto</w:t>
            </w:r>
          </w:p>
        </w:tc>
      </w:tr>
      <w:tr w:rsidR="008735CD" w:rsidRPr="008735CD" w:rsidTr="00930388">
        <w:trPr>
          <w:trHeight w:val="300"/>
        </w:trPr>
        <w:tc>
          <w:tcPr>
            <w:tcW w:w="1269" w:type="pct"/>
            <w:tcBorders>
              <w:top w:val="nil"/>
              <w:left w:val="nil"/>
              <w:bottom w:val="single" w:sz="4" w:space="0" w:color="auto"/>
              <w:right w:val="single" w:sz="4" w:space="0" w:color="auto"/>
            </w:tcBorders>
            <w:shd w:val="clear" w:color="auto" w:fill="auto"/>
            <w:vAlign w:val="center"/>
            <w:hideMark/>
          </w:tcPr>
          <w:p w:rsidR="00552CCF" w:rsidRPr="008735CD" w:rsidRDefault="00552CCF" w:rsidP="00930388">
            <w:pPr>
              <w:jc w:val="center"/>
            </w:pPr>
            <w:r w:rsidRPr="008735CD">
              <w:t>Análise curricular</w:t>
            </w:r>
          </w:p>
        </w:tc>
        <w:tc>
          <w:tcPr>
            <w:tcW w:w="1431" w:type="pct"/>
            <w:tcBorders>
              <w:top w:val="nil"/>
              <w:left w:val="single" w:sz="4" w:space="0" w:color="auto"/>
              <w:bottom w:val="single" w:sz="4" w:space="0" w:color="auto"/>
              <w:right w:val="single" w:sz="4" w:space="0" w:color="auto"/>
            </w:tcBorders>
            <w:shd w:val="clear" w:color="auto" w:fill="auto"/>
            <w:noWrap/>
            <w:vAlign w:val="center"/>
            <w:hideMark/>
          </w:tcPr>
          <w:p w:rsidR="00552CCF" w:rsidRPr="008735CD" w:rsidRDefault="00552CCF" w:rsidP="00930388">
            <w:pPr>
              <w:jc w:val="center"/>
            </w:pPr>
          </w:p>
        </w:tc>
        <w:tc>
          <w:tcPr>
            <w:tcW w:w="785" w:type="pct"/>
            <w:tcBorders>
              <w:top w:val="nil"/>
              <w:left w:val="single" w:sz="4" w:space="0" w:color="auto"/>
              <w:bottom w:val="single" w:sz="4" w:space="0" w:color="auto"/>
              <w:right w:val="single" w:sz="4" w:space="0" w:color="auto"/>
            </w:tcBorders>
            <w:shd w:val="clear" w:color="auto" w:fill="auto"/>
            <w:vAlign w:val="center"/>
            <w:hideMark/>
          </w:tcPr>
          <w:p w:rsidR="00552CCF" w:rsidRPr="008735CD" w:rsidRDefault="00552CCF" w:rsidP="00930388">
            <w:pPr>
              <w:jc w:val="center"/>
            </w:pPr>
            <w:r w:rsidRPr="008735CD">
              <w:t>3</w:t>
            </w:r>
          </w:p>
        </w:tc>
        <w:tc>
          <w:tcPr>
            <w:tcW w:w="757" w:type="pct"/>
            <w:tcBorders>
              <w:top w:val="nil"/>
              <w:left w:val="single" w:sz="4" w:space="0" w:color="auto"/>
              <w:bottom w:val="single" w:sz="4" w:space="0" w:color="auto"/>
              <w:right w:val="single" w:sz="4" w:space="0" w:color="auto"/>
            </w:tcBorders>
            <w:shd w:val="clear" w:color="auto" w:fill="auto"/>
            <w:noWrap/>
            <w:vAlign w:val="center"/>
            <w:hideMark/>
          </w:tcPr>
          <w:p w:rsidR="00552CCF" w:rsidRPr="008735CD" w:rsidRDefault="00552CCF" w:rsidP="00930388">
            <w:pPr>
              <w:jc w:val="center"/>
            </w:pPr>
            <w:r w:rsidRPr="008735CD">
              <w:t>16,7%</w:t>
            </w:r>
          </w:p>
        </w:tc>
        <w:tc>
          <w:tcPr>
            <w:tcW w:w="757" w:type="pct"/>
            <w:tcBorders>
              <w:top w:val="nil"/>
              <w:left w:val="single" w:sz="4" w:space="0" w:color="auto"/>
              <w:bottom w:val="single" w:sz="4" w:space="0" w:color="auto"/>
              <w:right w:val="nil"/>
            </w:tcBorders>
            <w:shd w:val="clear" w:color="auto" w:fill="auto"/>
            <w:vAlign w:val="center"/>
            <w:hideMark/>
          </w:tcPr>
          <w:p w:rsidR="00552CCF" w:rsidRPr="008735CD" w:rsidRDefault="00552CCF" w:rsidP="00930388">
            <w:pPr>
              <w:jc w:val="center"/>
            </w:pPr>
            <w:r w:rsidRPr="008735CD">
              <w:t>16,7%</w:t>
            </w:r>
          </w:p>
        </w:tc>
      </w:tr>
      <w:tr w:rsidR="008735CD" w:rsidRPr="008735CD" w:rsidTr="00930388">
        <w:trPr>
          <w:trHeight w:val="300"/>
        </w:trPr>
        <w:tc>
          <w:tcPr>
            <w:tcW w:w="1269" w:type="pct"/>
            <w:tcBorders>
              <w:top w:val="single" w:sz="4" w:space="0" w:color="auto"/>
              <w:left w:val="nil"/>
              <w:bottom w:val="single" w:sz="4" w:space="0" w:color="auto"/>
              <w:right w:val="single" w:sz="4" w:space="0" w:color="auto"/>
            </w:tcBorders>
            <w:shd w:val="clear" w:color="auto" w:fill="auto"/>
            <w:vAlign w:val="center"/>
            <w:hideMark/>
          </w:tcPr>
          <w:p w:rsidR="00552CCF" w:rsidRPr="008735CD" w:rsidRDefault="00552CCF" w:rsidP="00930388">
            <w:pPr>
              <w:jc w:val="center"/>
            </w:pPr>
            <w:r w:rsidRPr="008735CD">
              <w:t>Análise de publicações</w:t>
            </w:r>
          </w:p>
        </w:tc>
        <w:tc>
          <w:tcPr>
            <w:tcW w:w="14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2CCF" w:rsidRPr="008735CD" w:rsidRDefault="00552CCF" w:rsidP="00930388">
            <w:pPr>
              <w:jc w:val="center"/>
            </w:pP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52CCF" w:rsidRPr="008735CD" w:rsidRDefault="00552CCF" w:rsidP="00930388">
            <w:pPr>
              <w:jc w:val="center"/>
            </w:pPr>
            <w:r w:rsidRPr="008735CD">
              <w:t>3</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2CCF" w:rsidRPr="008735CD" w:rsidRDefault="00552CCF" w:rsidP="00930388">
            <w:pPr>
              <w:jc w:val="center"/>
            </w:pPr>
            <w:r w:rsidRPr="008735CD">
              <w:t>16,7%</w:t>
            </w:r>
          </w:p>
        </w:tc>
        <w:tc>
          <w:tcPr>
            <w:tcW w:w="757" w:type="pct"/>
            <w:tcBorders>
              <w:top w:val="single" w:sz="4" w:space="0" w:color="auto"/>
              <w:left w:val="single" w:sz="4" w:space="0" w:color="auto"/>
              <w:bottom w:val="single" w:sz="4" w:space="0" w:color="auto"/>
              <w:right w:val="nil"/>
            </w:tcBorders>
            <w:shd w:val="clear" w:color="auto" w:fill="auto"/>
            <w:vAlign w:val="center"/>
            <w:hideMark/>
          </w:tcPr>
          <w:p w:rsidR="00552CCF" w:rsidRPr="008735CD" w:rsidRDefault="00552CCF" w:rsidP="00930388">
            <w:pPr>
              <w:jc w:val="center"/>
            </w:pPr>
            <w:r w:rsidRPr="008735CD">
              <w:t>16,7%</w:t>
            </w:r>
          </w:p>
        </w:tc>
      </w:tr>
      <w:tr w:rsidR="008735CD" w:rsidRPr="008735CD" w:rsidTr="00930388">
        <w:trPr>
          <w:trHeight w:val="300"/>
        </w:trPr>
        <w:tc>
          <w:tcPr>
            <w:tcW w:w="1269" w:type="pct"/>
            <w:vMerge w:val="restart"/>
            <w:tcBorders>
              <w:top w:val="single" w:sz="4" w:space="0" w:color="auto"/>
              <w:left w:val="nil"/>
              <w:bottom w:val="nil"/>
              <w:right w:val="single" w:sz="4" w:space="0" w:color="auto"/>
            </w:tcBorders>
            <w:shd w:val="clear" w:color="auto" w:fill="auto"/>
            <w:vAlign w:val="center"/>
            <w:hideMark/>
          </w:tcPr>
          <w:p w:rsidR="00552CCF" w:rsidRPr="008735CD" w:rsidRDefault="00552CCF" w:rsidP="00930388">
            <w:pPr>
              <w:jc w:val="center"/>
            </w:pPr>
            <w:r w:rsidRPr="008735CD">
              <w:t>Discente</w:t>
            </w:r>
          </w:p>
        </w:tc>
        <w:tc>
          <w:tcPr>
            <w:tcW w:w="1431" w:type="pct"/>
            <w:tcBorders>
              <w:top w:val="single" w:sz="4" w:space="0" w:color="auto"/>
              <w:left w:val="single" w:sz="4" w:space="0" w:color="auto"/>
              <w:bottom w:val="nil"/>
              <w:right w:val="single" w:sz="4" w:space="0" w:color="auto"/>
            </w:tcBorders>
            <w:shd w:val="clear" w:color="auto" w:fill="auto"/>
            <w:noWrap/>
            <w:vAlign w:val="center"/>
            <w:hideMark/>
          </w:tcPr>
          <w:p w:rsidR="00552CCF" w:rsidRPr="008735CD" w:rsidRDefault="00552CCF" w:rsidP="00930388">
            <w:pPr>
              <w:jc w:val="center"/>
            </w:pPr>
            <w:r w:rsidRPr="008735CD">
              <w:t>Avaliação do conhecimento</w:t>
            </w:r>
          </w:p>
        </w:tc>
        <w:tc>
          <w:tcPr>
            <w:tcW w:w="785" w:type="pct"/>
            <w:tcBorders>
              <w:top w:val="single" w:sz="4" w:space="0" w:color="auto"/>
              <w:left w:val="single" w:sz="4" w:space="0" w:color="auto"/>
              <w:bottom w:val="nil"/>
              <w:right w:val="single" w:sz="4" w:space="0" w:color="auto"/>
            </w:tcBorders>
            <w:shd w:val="clear" w:color="auto" w:fill="auto"/>
            <w:noWrap/>
            <w:vAlign w:val="center"/>
            <w:hideMark/>
          </w:tcPr>
          <w:p w:rsidR="00552CCF" w:rsidRPr="008735CD" w:rsidRDefault="00552CCF" w:rsidP="00930388">
            <w:pPr>
              <w:jc w:val="center"/>
            </w:pPr>
            <w:r w:rsidRPr="008735CD">
              <w:t>3</w:t>
            </w:r>
          </w:p>
        </w:tc>
        <w:tc>
          <w:tcPr>
            <w:tcW w:w="757" w:type="pct"/>
            <w:tcBorders>
              <w:top w:val="single" w:sz="4" w:space="0" w:color="auto"/>
              <w:left w:val="single" w:sz="4" w:space="0" w:color="auto"/>
              <w:bottom w:val="nil"/>
              <w:right w:val="single" w:sz="4" w:space="0" w:color="auto"/>
            </w:tcBorders>
            <w:shd w:val="clear" w:color="auto" w:fill="auto"/>
            <w:vAlign w:val="center"/>
            <w:hideMark/>
          </w:tcPr>
          <w:p w:rsidR="00552CCF" w:rsidRPr="008735CD" w:rsidRDefault="00552CCF" w:rsidP="00930388">
            <w:pPr>
              <w:jc w:val="center"/>
            </w:pPr>
            <w:r w:rsidRPr="008735CD">
              <w:t>16,7%</w:t>
            </w:r>
          </w:p>
        </w:tc>
        <w:tc>
          <w:tcPr>
            <w:tcW w:w="757" w:type="pct"/>
            <w:vMerge w:val="restart"/>
            <w:tcBorders>
              <w:top w:val="single" w:sz="4" w:space="0" w:color="auto"/>
              <w:left w:val="single" w:sz="4" w:space="0" w:color="auto"/>
              <w:bottom w:val="nil"/>
              <w:right w:val="nil"/>
            </w:tcBorders>
            <w:shd w:val="clear" w:color="auto" w:fill="auto"/>
            <w:vAlign w:val="center"/>
            <w:hideMark/>
          </w:tcPr>
          <w:p w:rsidR="00552CCF" w:rsidRPr="008735CD" w:rsidRDefault="00552CCF" w:rsidP="00930388">
            <w:pPr>
              <w:jc w:val="center"/>
            </w:pPr>
            <w:r w:rsidRPr="008735CD">
              <w:t>22,2%</w:t>
            </w:r>
          </w:p>
        </w:tc>
      </w:tr>
      <w:tr w:rsidR="008735CD" w:rsidRPr="008735CD" w:rsidTr="00930388">
        <w:trPr>
          <w:trHeight w:val="300"/>
        </w:trPr>
        <w:tc>
          <w:tcPr>
            <w:tcW w:w="1269" w:type="pct"/>
            <w:vMerge/>
            <w:tcBorders>
              <w:top w:val="nil"/>
              <w:left w:val="nil"/>
              <w:bottom w:val="single" w:sz="4" w:space="0" w:color="auto"/>
              <w:right w:val="single" w:sz="4" w:space="0" w:color="auto"/>
            </w:tcBorders>
            <w:vAlign w:val="center"/>
            <w:hideMark/>
          </w:tcPr>
          <w:p w:rsidR="00552CCF" w:rsidRPr="008735CD" w:rsidRDefault="00552CCF" w:rsidP="00930388">
            <w:pPr>
              <w:jc w:val="center"/>
            </w:pPr>
          </w:p>
        </w:tc>
        <w:tc>
          <w:tcPr>
            <w:tcW w:w="1431" w:type="pct"/>
            <w:tcBorders>
              <w:top w:val="nil"/>
              <w:left w:val="single" w:sz="4" w:space="0" w:color="auto"/>
              <w:bottom w:val="single" w:sz="4" w:space="0" w:color="auto"/>
              <w:right w:val="single" w:sz="4" w:space="0" w:color="auto"/>
            </w:tcBorders>
            <w:shd w:val="clear" w:color="auto" w:fill="auto"/>
            <w:noWrap/>
            <w:vAlign w:val="center"/>
            <w:hideMark/>
          </w:tcPr>
          <w:p w:rsidR="00552CCF" w:rsidRPr="008735CD" w:rsidRDefault="00552CCF" w:rsidP="00930388">
            <w:pPr>
              <w:jc w:val="center"/>
            </w:pPr>
            <w:r w:rsidRPr="008735CD">
              <w:t>Avaliação da percepção</w:t>
            </w:r>
          </w:p>
        </w:tc>
        <w:tc>
          <w:tcPr>
            <w:tcW w:w="785" w:type="pct"/>
            <w:tcBorders>
              <w:top w:val="nil"/>
              <w:left w:val="single" w:sz="4" w:space="0" w:color="auto"/>
              <w:bottom w:val="single" w:sz="4" w:space="0" w:color="auto"/>
              <w:right w:val="single" w:sz="4" w:space="0" w:color="auto"/>
            </w:tcBorders>
            <w:shd w:val="clear" w:color="auto" w:fill="auto"/>
            <w:noWrap/>
            <w:vAlign w:val="center"/>
            <w:hideMark/>
          </w:tcPr>
          <w:p w:rsidR="00552CCF" w:rsidRPr="008735CD" w:rsidRDefault="00552CCF" w:rsidP="00930388">
            <w:pPr>
              <w:jc w:val="center"/>
            </w:pPr>
            <w:r w:rsidRPr="008735CD">
              <w:t>1</w:t>
            </w:r>
          </w:p>
        </w:tc>
        <w:tc>
          <w:tcPr>
            <w:tcW w:w="757" w:type="pct"/>
            <w:tcBorders>
              <w:top w:val="nil"/>
              <w:left w:val="single" w:sz="4" w:space="0" w:color="auto"/>
              <w:bottom w:val="single" w:sz="4" w:space="0" w:color="auto"/>
              <w:right w:val="single" w:sz="4" w:space="0" w:color="auto"/>
            </w:tcBorders>
            <w:shd w:val="clear" w:color="auto" w:fill="auto"/>
            <w:vAlign w:val="center"/>
            <w:hideMark/>
          </w:tcPr>
          <w:p w:rsidR="00552CCF" w:rsidRPr="008735CD" w:rsidRDefault="00552CCF" w:rsidP="00930388">
            <w:pPr>
              <w:jc w:val="center"/>
            </w:pPr>
            <w:r w:rsidRPr="008735CD">
              <w:t>5,6%</w:t>
            </w:r>
          </w:p>
        </w:tc>
        <w:tc>
          <w:tcPr>
            <w:tcW w:w="757" w:type="pct"/>
            <w:vMerge/>
            <w:tcBorders>
              <w:top w:val="nil"/>
              <w:left w:val="single" w:sz="4" w:space="0" w:color="auto"/>
              <w:bottom w:val="single" w:sz="4" w:space="0" w:color="auto"/>
              <w:right w:val="nil"/>
            </w:tcBorders>
            <w:vAlign w:val="center"/>
            <w:hideMark/>
          </w:tcPr>
          <w:p w:rsidR="00552CCF" w:rsidRPr="008735CD" w:rsidRDefault="00552CCF" w:rsidP="00930388">
            <w:pPr>
              <w:jc w:val="center"/>
            </w:pPr>
          </w:p>
        </w:tc>
      </w:tr>
      <w:tr w:rsidR="008735CD" w:rsidRPr="008735CD" w:rsidTr="00930388">
        <w:trPr>
          <w:trHeight w:val="300"/>
        </w:trPr>
        <w:tc>
          <w:tcPr>
            <w:tcW w:w="1269" w:type="pct"/>
            <w:vMerge w:val="restart"/>
            <w:tcBorders>
              <w:top w:val="single" w:sz="4" w:space="0" w:color="auto"/>
              <w:left w:val="nil"/>
              <w:bottom w:val="nil"/>
              <w:right w:val="single" w:sz="4" w:space="0" w:color="auto"/>
            </w:tcBorders>
            <w:shd w:val="clear" w:color="auto" w:fill="auto"/>
            <w:vAlign w:val="center"/>
            <w:hideMark/>
          </w:tcPr>
          <w:p w:rsidR="00552CCF" w:rsidRPr="008735CD" w:rsidRDefault="00552CCF" w:rsidP="00930388">
            <w:pPr>
              <w:jc w:val="center"/>
            </w:pPr>
            <w:r w:rsidRPr="008735CD">
              <w:t>Docente</w:t>
            </w:r>
          </w:p>
        </w:tc>
        <w:tc>
          <w:tcPr>
            <w:tcW w:w="1431" w:type="pct"/>
            <w:tcBorders>
              <w:top w:val="single" w:sz="4" w:space="0" w:color="auto"/>
              <w:left w:val="single" w:sz="4" w:space="0" w:color="auto"/>
              <w:bottom w:val="nil"/>
              <w:right w:val="single" w:sz="4" w:space="0" w:color="auto"/>
            </w:tcBorders>
            <w:shd w:val="clear" w:color="auto" w:fill="auto"/>
            <w:noWrap/>
            <w:vAlign w:val="center"/>
            <w:hideMark/>
          </w:tcPr>
          <w:p w:rsidR="00552CCF" w:rsidRPr="008735CD" w:rsidRDefault="00552CCF" w:rsidP="00930388">
            <w:pPr>
              <w:jc w:val="center"/>
            </w:pPr>
            <w:r w:rsidRPr="008735CD">
              <w:t>Avaliação do conhecimento</w:t>
            </w:r>
          </w:p>
        </w:tc>
        <w:tc>
          <w:tcPr>
            <w:tcW w:w="785" w:type="pct"/>
            <w:tcBorders>
              <w:top w:val="single" w:sz="4" w:space="0" w:color="auto"/>
              <w:left w:val="single" w:sz="4" w:space="0" w:color="auto"/>
              <w:bottom w:val="nil"/>
              <w:right w:val="single" w:sz="4" w:space="0" w:color="auto"/>
            </w:tcBorders>
            <w:shd w:val="clear" w:color="auto" w:fill="auto"/>
            <w:noWrap/>
            <w:vAlign w:val="center"/>
            <w:hideMark/>
          </w:tcPr>
          <w:p w:rsidR="00552CCF" w:rsidRPr="008735CD" w:rsidRDefault="00552CCF" w:rsidP="00930388">
            <w:pPr>
              <w:jc w:val="center"/>
            </w:pPr>
            <w:r w:rsidRPr="008735CD">
              <w:t>3</w:t>
            </w:r>
          </w:p>
        </w:tc>
        <w:tc>
          <w:tcPr>
            <w:tcW w:w="757" w:type="pct"/>
            <w:tcBorders>
              <w:top w:val="single" w:sz="4" w:space="0" w:color="auto"/>
              <w:left w:val="single" w:sz="4" w:space="0" w:color="auto"/>
              <w:bottom w:val="nil"/>
              <w:right w:val="single" w:sz="4" w:space="0" w:color="auto"/>
            </w:tcBorders>
            <w:shd w:val="clear" w:color="auto" w:fill="auto"/>
            <w:vAlign w:val="center"/>
            <w:hideMark/>
          </w:tcPr>
          <w:p w:rsidR="00552CCF" w:rsidRPr="008735CD" w:rsidRDefault="00552CCF" w:rsidP="00930388">
            <w:pPr>
              <w:jc w:val="center"/>
            </w:pPr>
            <w:r w:rsidRPr="008735CD">
              <w:t>16,7%</w:t>
            </w:r>
          </w:p>
        </w:tc>
        <w:tc>
          <w:tcPr>
            <w:tcW w:w="757" w:type="pct"/>
            <w:vMerge w:val="restart"/>
            <w:tcBorders>
              <w:top w:val="single" w:sz="4" w:space="0" w:color="auto"/>
              <w:left w:val="single" w:sz="4" w:space="0" w:color="auto"/>
              <w:bottom w:val="nil"/>
              <w:right w:val="nil"/>
            </w:tcBorders>
            <w:shd w:val="clear" w:color="auto" w:fill="auto"/>
            <w:vAlign w:val="center"/>
            <w:hideMark/>
          </w:tcPr>
          <w:p w:rsidR="00552CCF" w:rsidRPr="008735CD" w:rsidRDefault="00552CCF" w:rsidP="00930388">
            <w:pPr>
              <w:jc w:val="center"/>
            </w:pPr>
            <w:r w:rsidRPr="008735CD">
              <w:t>38,9%</w:t>
            </w:r>
          </w:p>
        </w:tc>
      </w:tr>
      <w:tr w:rsidR="008735CD" w:rsidRPr="008735CD" w:rsidTr="00930388">
        <w:trPr>
          <w:trHeight w:val="300"/>
        </w:trPr>
        <w:tc>
          <w:tcPr>
            <w:tcW w:w="1269" w:type="pct"/>
            <w:vMerge/>
            <w:tcBorders>
              <w:top w:val="nil"/>
              <w:left w:val="nil"/>
              <w:bottom w:val="single" w:sz="4" w:space="0" w:color="auto"/>
              <w:right w:val="single" w:sz="4" w:space="0" w:color="auto"/>
            </w:tcBorders>
            <w:vAlign w:val="center"/>
            <w:hideMark/>
          </w:tcPr>
          <w:p w:rsidR="00552CCF" w:rsidRPr="008735CD" w:rsidRDefault="00552CCF" w:rsidP="00930388">
            <w:pPr>
              <w:jc w:val="center"/>
            </w:pPr>
          </w:p>
        </w:tc>
        <w:tc>
          <w:tcPr>
            <w:tcW w:w="1431" w:type="pct"/>
            <w:tcBorders>
              <w:top w:val="nil"/>
              <w:left w:val="single" w:sz="4" w:space="0" w:color="auto"/>
              <w:bottom w:val="single" w:sz="4" w:space="0" w:color="auto"/>
              <w:right w:val="single" w:sz="4" w:space="0" w:color="auto"/>
            </w:tcBorders>
            <w:shd w:val="clear" w:color="auto" w:fill="auto"/>
            <w:noWrap/>
            <w:vAlign w:val="center"/>
            <w:hideMark/>
          </w:tcPr>
          <w:p w:rsidR="00552CCF" w:rsidRPr="008735CD" w:rsidRDefault="00552CCF" w:rsidP="00930388">
            <w:pPr>
              <w:jc w:val="center"/>
            </w:pPr>
            <w:r w:rsidRPr="008735CD">
              <w:t>Avaliação da percepção</w:t>
            </w:r>
          </w:p>
        </w:tc>
        <w:tc>
          <w:tcPr>
            <w:tcW w:w="785" w:type="pct"/>
            <w:tcBorders>
              <w:top w:val="nil"/>
              <w:left w:val="single" w:sz="4" w:space="0" w:color="auto"/>
              <w:bottom w:val="single" w:sz="4" w:space="0" w:color="auto"/>
              <w:right w:val="single" w:sz="4" w:space="0" w:color="auto"/>
            </w:tcBorders>
            <w:shd w:val="clear" w:color="auto" w:fill="auto"/>
            <w:noWrap/>
            <w:vAlign w:val="center"/>
            <w:hideMark/>
          </w:tcPr>
          <w:p w:rsidR="00552CCF" w:rsidRPr="008735CD" w:rsidRDefault="00552CCF" w:rsidP="00930388">
            <w:pPr>
              <w:jc w:val="center"/>
            </w:pPr>
            <w:r w:rsidRPr="008735CD">
              <w:t>4</w:t>
            </w:r>
          </w:p>
        </w:tc>
        <w:tc>
          <w:tcPr>
            <w:tcW w:w="757" w:type="pct"/>
            <w:tcBorders>
              <w:top w:val="nil"/>
              <w:left w:val="single" w:sz="4" w:space="0" w:color="auto"/>
              <w:bottom w:val="single" w:sz="4" w:space="0" w:color="auto"/>
              <w:right w:val="single" w:sz="4" w:space="0" w:color="auto"/>
            </w:tcBorders>
            <w:shd w:val="clear" w:color="auto" w:fill="auto"/>
            <w:vAlign w:val="center"/>
            <w:hideMark/>
          </w:tcPr>
          <w:p w:rsidR="00552CCF" w:rsidRPr="008735CD" w:rsidRDefault="00552CCF" w:rsidP="00930388">
            <w:pPr>
              <w:jc w:val="center"/>
            </w:pPr>
            <w:r w:rsidRPr="008735CD">
              <w:t>22,2%</w:t>
            </w:r>
          </w:p>
        </w:tc>
        <w:tc>
          <w:tcPr>
            <w:tcW w:w="757" w:type="pct"/>
            <w:vMerge/>
            <w:tcBorders>
              <w:top w:val="nil"/>
              <w:left w:val="single" w:sz="4" w:space="0" w:color="auto"/>
              <w:bottom w:val="single" w:sz="4" w:space="0" w:color="auto"/>
              <w:right w:val="nil"/>
            </w:tcBorders>
            <w:vAlign w:val="center"/>
            <w:hideMark/>
          </w:tcPr>
          <w:p w:rsidR="00552CCF" w:rsidRPr="008735CD" w:rsidRDefault="00552CCF" w:rsidP="00930388">
            <w:pPr>
              <w:jc w:val="center"/>
            </w:pPr>
          </w:p>
        </w:tc>
      </w:tr>
      <w:tr w:rsidR="008735CD" w:rsidRPr="008735CD" w:rsidTr="00930388">
        <w:trPr>
          <w:trHeight w:val="300"/>
        </w:trPr>
        <w:tc>
          <w:tcPr>
            <w:tcW w:w="1269" w:type="pct"/>
            <w:vMerge w:val="restart"/>
            <w:tcBorders>
              <w:top w:val="single" w:sz="4" w:space="0" w:color="auto"/>
              <w:left w:val="nil"/>
              <w:bottom w:val="single" w:sz="4" w:space="0" w:color="000000"/>
              <w:right w:val="single" w:sz="4" w:space="0" w:color="auto"/>
            </w:tcBorders>
            <w:shd w:val="clear" w:color="auto" w:fill="auto"/>
            <w:vAlign w:val="center"/>
            <w:hideMark/>
          </w:tcPr>
          <w:p w:rsidR="00552CCF" w:rsidRPr="008735CD" w:rsidRDefault="00552CCF" w:rsidP="00930388">
            <w:pPr>
              <w:jc w:val="center"/>
            </w:pPr>
            <w:r w:rsidRPr="008735CD">
              <w:t>Discente e docente</w:t>
            </w:r>
          </w:p>
        </w:tc>
        <w:tc>
          <w:tcPr>
            <w:tcW w:w="1431" w:type="pct"/>
            <w:tcBorders>
              <w:top w:val="single" w:sz="4" w:space="0" w:color="auto"/>
              <w:left w:val="single" w:sz="4" w:space="0" w:color="auto"/>
              <w:bottom w:val="nil"/>
              <w:right w:val="single" w:sz="4" w:space="0" w:color="auto"/>
            </w:tcBorders>
            <w:shd w:val="clear" w:color="auto" w:fill="auto"/>
            <w:noWrap/>
            <w:vAlign w:val="center"/>
            <w:hideMark/>
          </w:tcPr>
          <w:p w:rsidR="00552CCF" w:rsidRPr="008735CD" w:rsidRDefault="00552CCF" w:rsidP="00930388">
            <w:pPr>
              <w:jc w:val="center"/>
            </w:pPr>
            <w:r w:rsidRPr="008735CD">
              <w:t>Avaliação do conhecimento</w:t>
            </w:r>
          </w:p>
        </w:tc>
        <w:tc>
          <w:tcPr>
            <w:tcW w:w="785" w:type="pct"/>
            <w:tcBorders>
              <w:top w:val="single" w:sz="4" w:space="0" w:color="auto"/>
              <w:left w:val="single" w:sz="4" w:space="0" w:color="auto"/>
              <w:bottom w:val="nil"/>
              <w:right w:val="single" w:sz="4" w:space="0" w:color="auto"/>
            </w:tcBorders>
            <w:shd w:val="clear" w:color="auto" w:fill="auto"/>
            <w:noWrap/>
            <w:vAlign w:val="center"/>
            <w:hideMark/>
          </w:tcPr>
          <w:p w:rsidR="00552CCF" w:rsidRPr="008735CD" w:rsidRDefault="00552CCF" w:rsidP="00930388">
            <w:pPr>
              <w:jc w:val="center"/>
            </w:pPr>
            <w:r w:rsidRPr="008735CD">
              <w:t>0</w:t>
            </w:r>
          </w:p>
        </w:tc>
        <w:tc>
          <w:tcPr>
            <w:tcW w:w="757" w:type="pct"/>
            <w:tcBorders>
              <w:top w:val="single" w:sz="4" w:space="0" w:color="auto"/>
              <w:left w:val="single" w:sz="4" w:space="0" w:color="auto"/>
              <w:bottom w:val="nil"/>
              <w:right w:val="single" w:sz="4" w:space="0" w:color="auto"/>
            </w:tcBorders>
            <w:shd w:val="clear" w:color="auto" w:fill="auto"/>
            <w:vAlign w:val="center"/>
            <w:hideMark/>
          </w:tcPr>
          <w:p w:rsidR="00552CCF" w:rsidRPr="008735CD" w:rsidRDefault="00552CCF" w:rsidP="00930388">
            <w:pPr>
              <w:jc w:val="center"/>
            </w:pPr>
            <w:r w:rsidRPr="008735CD">
              <w:t>0,0%</w:t>
            </w:r>
          </w:p>
        </w:tc>
        <w:tc>
          <w:tcPr>
            <w:tcW w:w="757" w:type="pct"/>
            <w:vMerge w:val="restart"/>
            <w:tcBorders>
              <w:top w:val="single" w:sz="4" w:space="0" w:color="auto"/>
              <w:left w:val="single" w:sz="4" w:space="0" w:color="auto"/>
              <w:bottom w:val="single" w:sz="4" w:space="0" w:color="000000"/>
              <w:right w:val="nil"/>
            </w:tcBorders>
            <w:shd w:val="clear" w:color="auto" w:fill="auto"/>
            <w:vAlign w:val="center"/>
            <w:hideMark/>
          </w:tcPr>
          <w:p w:rsidR="00552CCF" w:rsidRPr="008735CD" w:rsidRDefault="00552CCF" w:rsidP="00930388">
            <w:pPr>
              <w:jc w:val="center"/>
            </w:pPr>
            <w:r w:rsidRPr="008735CD">
              <w:t>5,6%</w:t>
            </w:r>
          </w:p>
        </w:tc>
      </w:tr>
      <w:tr w:rsidR="008735CD" w:rsidRPr="008735CD" w:rsidTr="00930388">
        <w:trPr>
          <w:trHeight w:val="300"/>
        </w:trPr>
        <w:tc>
          <w:tcPr>
            <w:tcW w:w="1269" w:type="pct"/>
            <w:vMerge/>
            <w:tcBorders>
              <w:top w:val="nil"/>
              <w:left w:val="nil"/>
              <w:bottom w:val="single" w:sz="4" w:space="0" w:color="000000"/>
              <w:right w:val="single" w:sz="4" w:space="0" w:color="auto"/>
            </w:tcBorders>
            <w:vAlign w:val="center"/>
            <w:hideMark/>
          </w:tcPr>
          <w:p w:rsidR="00552CCF" w:rsidRPr="008735CD" w:rsidRDefault="00552CCF" w:rsidP="00930388">
            <w:pPr>
              <w:jc w:val="center"/>
            </w:pPr>
          </w:p>
        </w:tc>
        <w:tc>
          <w:tcPr>
            <w:tcW w:w="1431" w:type="pct"/>
            <w:tcBorders>
              <w:top w:val="nil"/>
              <w:left w:val="single" w:sz="4" w:space="0" w:color="auto"/>
              <w:bottom w:val="nil"/>
              <w:right w:val="single" w:sz="4" w:space="0" w:color="auto"/>
            </w:tcBorders>
            <w:shd w:val="clear" w:color="auto" w:fill="auto"/>
            <w:noWrap/>
            <w:vAlign w:val="center"/>
            <w:hideMark/>
          </w:tcPr>
          <w:p w:rsidR="00552CCF" w:rsidRPr="008735CD" w:rsidRDefault="00552CCF" w:rsidP="00930388">
            <w:pPr>
              <w:jc w:val="center"/>
            </w:pPr>
            <w:r w:rsidRPr="008735CD">
              <w:t>Avaliação da percepção</w:t>
            </w:r>
          </w:p>
        </w:tc>
        <w:tc>
          <w:tcPr>
            <w:tcW w:w="785" w:type="pct"/>
            <w:tcBorders>
              <w:top w:val="nil"/>
              <w:left w:val="single" w:sz="4" w:space="0" w:color="auto"/>
              <w:bottom w:val="nil"/>
              <w:right w:val="single" w:sz="4" w:space="0" w:color="auto"/>
            </w:tcBorders>
            <w:shd w:val="clear" w:color="auto" w:fill="auto"/>
            <w:noWrap/>
            <w:vAlign w:val="center"/>
            <w:hideMark/>
          </w:tcPr>
          <w:p w:rsidR="00552CCF" w:rsidRPr="008735CD" w:rsidRDefault="00552CCF" w:rsidP="00930388">
            <w:pPr>
              <w:jc w:val="center"/>
            </w:pPr>
            <w:r w:rsidRPr="008735CD">
              <w:t>1</w:t>
            </w:r>
          </w:p>
        </w:tc>
        <w:tc>
          <w:tcPr>
            <w:tcW w:w="757" w:type="pct"/>
            <w:tcBorders>
              <w:top w:val="nil"/>
              <w:left w:val="single" w:sz="4" w:space="0" w:color="auto"/>
              <w:bottom w:val="nil"/>
              <w:right w:val="single" w:sz="4" w:space="0" w:color="auto"/>
            </w:tcBorders>
            <w:shd w:val="clear" w:color="auto" w:fill="auto"/>
            <w:vAlign w:val="center"/>
            <w:hideMark/>
          </w:tcPr>
          <w:p w:rsidR="00552CCF" w:rsidRPr="008735CD" w:rsidRDefault="00552CCF" w:rsidP="00930388">
            <w:pPr>
              <w:jc w:val="center"/>
            </w:pPr>
            <w:r w:rsidRPr="008735CD">
              <w:t>5,6%</w:t>
            </w:r>
          </w:p>
        </w:tc>
        <w:tc>
          <w:tcPr>
            <w:tcW w:w="757" w:type="pct"/>
            <w:vMerge/>
            <w:tcBorders>
              <w:top w:val="nil"/>
              <w:left w:val="single" w:sz="4" w:space="0" w:color="auto"/>
              <w:bottom w:val="single" w:sz="4" w:space="0" w:color="000000"/>
              <w:right w:val="nil"/>
            </w:tcBorders>
            <w:vAlign w:val="center"/>
            <w:hideMark/>
          </w:tcPr>
          <w:p w:rsidR="00552CCF" w:rsidRPr="008735CD" w:rsidRDefault="00552CCF" w:rsidP="00930388">
            <w:pPr>
              <w:jc w:val="center"/>
            </w:pPr>
          </w:p>
        </w:tc>
      </w:tr>
      <w:tr w:rsidR="008735CD" w:rsidRPr="008735CD" w:rsidTr="00930388">
        <w:trPr>
          <w:trHeight w:val="300"/>
        </w:trPr>
        <w:tc>
          <w:tcPr>
            <w:tcW w:w="1269" w:type="pct"/>
            <w:tcBorders>
              <w:top w:val="nil"/>
              <w:left w:val="nil"/>
              <w:bottom w:val="single" w:sz="4" w:space="0" w:color="auto"/>
              <w:right w:val="single" w:sz="4" w:space="0" w:color="auto"/>
            </w:tcBorders>
            <w:shd w:val="clear" w:color="auto" w:fill="auto"/>
            <w:vAlign w:val="center"/>
            <w:hideMark/>
          </w:tcPr>
          <w:p w:rsidR="00552CCF" w:rsidRPr="008735CD" w:rsidRDefault="00552CCF" w:rsidP="00930388">
            <w:pPr>
              <w:jc w:val="center"/>
              <w:rPr>
                <w:b/>
                <w:bCs/>
              </w:rPr>
            </w:pPr>
            <w:r w:rsidRPr="008735CD">
              <w:rPr>
                <w:b/>
                <w:bCs/>
              </w:rPr>
              <w:t>Total</w:t>
            </w:r>
          </w:p>
        </w:tc>
        <w:tc>
          <w:tcPr>
            <w:tcW w:w="14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2CCF" w:rsidRPr="008735CD" w:rsidRDefault="00552CCF" w:rsidP="00930388">
            <w:pPr>
              <w:jc w:val="center"/>
              <w:rPr>
                <w:b/>
                <w:bCs/>
              </w:rPr>
            </w:pP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2CCF" w:rsidRPr="008735CD" w:rsidRDefault="00552CCF" w:rsidP="00930388">
            <w:pPr>
              <w:jc w:val="center"/>
              <w:rPr>
                <w:b/>
                <w:bCs/>
              </w:rPr>
            </w:pPr>
            <w:r w:rsidRPr="008735CD">
              <w:rPr>
                <w:b/>
                <w:bCs/>
              </w:rPr>
              <w:t>18</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52CCF" w:rsidRPr="008735CD" w:rsidRDefault="00552CCF" w:rsidP="00930388">
            <w:pPr>
              <w:jc w:val="center"/>
              <w:rPr>
                <w:b/>
                <w:bCs/>
              </w:rPr>
            </w:pPr>
          </w:p>
        </w:tc>
        <w:tc>
          <w:tcPr>
            <w:tcW w:w="757" w:type="pct"/>
            <w:tcBorders>
              <w:top w:val="nil"/>
              <w:left w:val="single" w:sz="4" w:space="0" w:color="auto"/>
              <w:bottom w:val="single" w:sz="4" w:space="0" w:color="auto"/>
              <w:right w:val="nil"/>
            </w:tcBorders>
            <w:shd w:val="clear" w:color="auto" w:fill="auto"/>
            <w:noWrap/>
            <w:vAlign w:val="center"/>
            <w:hideMark/>
          </w:tcPr>
          <w:p w:rsidR="00552CCF" w:rsidRPr="008735CD" w:rsidRDefault="00552CCF" w:rsidP="00930388">
            <w:pPr>
              <w:jc w:val="center"/>
              <w:rPr>
                <w:b/>
                <w:bCs/>
              </w:rPr>
            </w:pPr>
            <w:r w:rsidRPr="008735CD">
              <w:rPr>
                <w:b/>
                <w:bCs/>
              </w:rPr>
              <w:t>100%</w:t>
            </w:r>
          </w:p>
        </w:tc>
      </w:tr>
    </w:tbl>
    <w:p w:rsidR="00552CCF" w:rsidRPr="008735CD" w:rsidRDefault="00552CCF" w:rsidP="00552CCF">
      <w:pPr>
        <w:autoSpaceDE w:val="0"/>
        <w:autoSpaceDN w:val="0"/>
        <w:adjustRightInd w:val="0"/>
        <w:jc w:val="both"/>
        <w:rPr>
          <w:rFonts w:eastAsia="SimSun"/>
          <w:lang w:eastAsia="zh-CN"/>
        </w:rPr>
      </w:pPr>
      <w:r w:rsidRPr="008735CD">
        <w:rPr>
          <w:rFonts w:eastAsia="SimSun"/>
          <w:lang w:eastAsia="zh-CN"/>
        </w:rPr>
        <w:t>Fonte: dados da pesquisa (2018)</w:t>
      </w:r>
    </w:p>
    <w:p w:rsidR="00552CCF" w:rsidRPr="008735CD" w:rsidRDefault="00552CCF" w:rsidP="00552CCF">
      <w:pPr>
        <w:autoSpaceDE w:val="0"/>
        <w:autoSpaceDN w:val="0"/>
        <w:adjustRightInd w:val="0"/>
        <w:ind w:firstLine="567"/>
        <w:jc w:val="both"/>
        <w:rPr>
          <w:sz w:val="24"/>
          <w:szCs w:val="24"/>
        </w:rPr>
      </w:pPr>
    </w:p>
    <w:p w:rsidR="004C350D" w:rsidRDefault="008735CD"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Houve apenas um artigo que apresentou a percepção discente sobre o processo de convergência no âmbito do ensino de Contabilidade. Nenhum artigo contemplou, simultaneamente, avaliação de conhecimentos de discentes e de docentes. Foram encontrados dois artigos que fizeram análise curricular e dois que trouxeram avaliação de conhecimentos de docentes sobre as IFRS.</w:t>
      </w:r>
    </w:p>
    <w:p w:rsidR="008735CD" w:rsidRPr="008735CD" w:rsidRDefault="008735CD" w:rsidP="004C350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Os dados do estudo permitiram verificar que, apesar de, à primeira vista, a amostra (18 artigos) parecer pouco representativa em relação à quantidade de artigos publicados nos últimos anos sobre o tema convergência internacional como um todo, ela indica um universo particular no campo do ensino brevemente apresentado por Matos </w:t>
      </w:r>
      <w:r w:rsidRPr="00930388">
        <w:rPr>
          <w:rFonts w:eastAsia="SimSun"/>
          <w:sz w:val="24"/>
          <w:szCs w:val="24"/>
          <w:lang w:eastAsia="zh-CN"/>
        </w:rPr>
        <w:t>et al</w:t>
      </w:r>
      <w:r w:rsidRPr="008735CD">
        <w:rPr>
          <w:rFonts w:eastAsia="SimSun"/>
          <w:sz w:val="24"/>
          <w:szCs w:val="24"/>
          <w:lang w:eastAsia="zh-CN"/>
        </w:rPr>
        <w:t xml:space="preserve">. (2012). Segundo </w:t>
      </w:r>
      <w:proofErr w:type="spellStart"/>
      <w:r w:rsidRPr="008735CD">
        <w:rPr>
          <w:rFonts w:eastAsia="SimSun"/>
          <w:sz w:val="24"/>
          <w:szCs w:val="24"/>
          <w:lang w:eastAsia="zh-CN"/>
        </w:rPr>
        <w:t>Niyama</w:t>
      </w:r>
      <w:proofErr w:type="spellEnd"/>
      <w:r w:rsidRPr="008735CD">
        <w:rPr>
          <w:rFonts w:eastAsia="SimSun"/>
          <w:sz w:val="24"/>
          <w:szCs w:val="24"/>
          <w:lang w:eastAsia="zh-CN"/>
        </w:rPr>
        <w:t xml:space="preserve"> (2010) a qualidade da educação contábil impacta significativamente na qualidade e no tipo de informação gerada para a sociedade, principalmente por três fatores: poucos são os </w:t>
      </w:r>
      <w:r w:rsidRPr="008735CD">
        <w:rPr>
          <w:rFonts w:eastAsia="SimSun"/>
          <w:sz w:val="24"/>
          <w:szCs w:val="24"/>
          <w:lang w:eastAsia="zh-CN"/>
        </w:rPr>
        <w:lastRenderedPageBreak/>
        <w:t>cursos superiores de excelente qualidade, poucos são os docentes com formação acadêmica e titulação adequad</w:t>
      </w:r>
      <w:r w:rsidR="006E471D">
        <w:rPr>
          <w:rFonts w:eastAsia="SimSun"/>
          <w:sz w:val="24"/>
          <w:szCs w:val="24"/>
          <w:lang w:eastAsia="zh-CN"/>
        </w:rPr>
        <w:t>o</w:t>
      </w:r>
      <w:r w:rsidRPr="008735CD">
        <w:rPr>
          <w:rFonts w:eastAsia="SimSun"/>
          <w:sz w:val="24"/>
          <w:szCs w:val="24"/>
          <w:lang w:eastAsia="zh-CN"/>
        </w:rPr>
        <w:t xml:space="preserve">s e pouca é a participação e a capacidade de influência da academia e da profissão contábil sobre as regras do </w:t>
      </w:r>
      <w:r w:rsidRPr="008735CD">
        <w:rPr>
          <w:rFonts w:eastAsia="SimSun"/>
          <w:i/>
          <w:sz w:val="24"/>
          <w:szCs w:val="24"/>
          <w:lang w:eastAsia="zh-CN"/>
        </w:rPr>
        <w:t xml:space="preserve">financial </w:t>
      </w:r>
      <w:proofErr w:type="spellStart"/>
      <w:r w:rsidRPr="008735CD">
        <w:rPr>
          <w:rFonts w:eastAsia="SimSun"/>
          <w:i/>
          <w:sz w:val="24"/>
          <w:szCs w:val="24"/>
          <w:lang w:eastAsia="zh-CN"/>
        </w:rPr>
        <w:t>reporting</w:t>
      </w:r>
      <w:proofErr w:type="spellEnd"/>
      <w:r w:rsidRPr="008735CD">
        <w:rPr>
          <w:rFonts w:eastAsia="SimSun"/>
          <w:sz w:val="24"/>
          <w:szCs w:val="24"/>
          <w:lang w:eastAsia="zh-CN"/>
        </w:rPr>
        <w:t>.</w:t>
      </w:r>
    </w:p>
    <w:p w:rsidR="008735CD" w:rsidRPr="008735CD" w:rsidRDefault="008735CD" w:rsidP="004C350D">
      <w:pPr>
        <w:widowControl w:val="0"/>
        <w:spacing w:before="240" w:after="80"/>
        <w:rPr>
          <w:sz w:val="24"/>
          <w:szCs w:val="24"/>
        </w:rPr>
      </w:pPr>
      <w:r w:rsidRPr="004C350D">
        <w:rPr>
          <w:b/>
          <w:sz w:val="24"/>
          <w:szCs w:val="24"/>
        </w:rPr>
        <w:t>4.3 Pesquisas em Ensino e IFRS</w:t>
      </w:r>
    </w:p>
    <w:p w:rsidR="006E471D" w:rsidRDefault="008735CD" w:rsidP="006E471D">
      <w:pPr>
        <w:autoSpaceDE w:val="0"/>
        <w:autoSpaceDN w:val="0"/>
        <w:adjustRightInd w:val="0"/>
        <w:ind w:firstLine="709"/>
        <w:jc w:val="both"/>
        <w:rPr>
          <w:sz w:val="24"/>
          <w:szCs w:val="24"/>
        </w:rPr>
      </w:pPr>
      <w:r w:rsidRPr="008735CD">
        <w:rPr>
          <w:rFonts w:eastAsia="SimSun"/>
          <w:sz w:val="24"/>
          <w:szCs w:val="24"/>
          <w:lang w:eastAsia="zh-CN"/>
        </w:rPr>
        <w:t xml:space="preserve">Matos et al. (2012) revelou que a pesquisa sobre educação contábil internacional é crescente, principalmente sobre </w:t>
      </w:r>
      <w:r w:rsidRPr="008735CD">
        <w:rPr>
          <w:rFonts w:eastAsia="SimSun"/>
          <w:i/>
          <w:sz w:val="24"/>
          <w:szCs w:val="24"/>
          <w:lang w:eastAsia="zh-CN"/>
        </w:rPr>
        <w:t>curriculum</w:t>
      </w:r>
      <w:r w:rsidRPr="008735CD">
        <w:rPr>
          <w:rFonts w:eastAsia="SimSun"/>
          <w:sz w:val="24"/>
          <w:szCs w:val="24"/>
          <w:lang w:eastAsia="zh-CN"/>
        </w:rPr>
        <w:t xml:space="preserve">, instrução e métodos de ensino, empregando métodos predominantemente empírico/prático. </w:t>
      </w:r>
      <w:proofErr w:type="spellStart"/>
      <w:r w:rsidRPr="008735CD">
        <w:rPr>
          <w:rFonts w:eastAsia="SimSun"/>
          <w:sz w:val="24"/>
          <w:szCs w:val="24"/>
          <w:lang w:eastAsia="zh-CN"/>
        </w:rPr>
        <w:t>Cella</w:t>
      </w:r>
      <w:proofErr w:type="spellEnd"/>
      <w:r w:rsidRPr="008735CD">
        <w:rPr>
          <w:rFonts w:eastAsia="SimSun"/>
          <w:sz w:val="24"/>
          <w:szCs w:val="24"/>
          <w:lang w:eastAsia="zh-CN"/>
        </w:rPr>
        <w:t xml:space="preserve">, Rodrigues e </w:t>
      </w:r>
      <w:proofErr w:type="spellStart"/>
      <w:r w:rsidRPr="008735CD">
        <w:rPr>
          <w:rFonts w:eastAsia="SimSun"/>
          <w:sz w:val="24"/>
          <w:szCs w:val="24"/>
          <w:lang w:eastAsia="zh-CN"/>
        </w:rPr>
        <w:t>Niyama</w:t>
      </w:r>
      <w:proofErr w:type="spellEnd"/>
      <w:r w:rsidRPr="008735CD">
        <w:rPr>
          <w:rFonts w:eastAsia="SimSun"/>
          <w:sz w:val="24"/>
          <w:szCs w:val="24"/>
          <w:lang w:eastAsia="zh-CN"/>
        </w:rPr>
        <w:t xml:space="preserve"> (2011) </w:t>
      </w:r>
      <w:r w:rsidRPr="008735CD">
        <w:rPr>
          <w:sz w:val="24"/>
          <w:szCs w:val="24"/>
        </w:rPr>
        <w:t xml:space="preserve">revelaram que nos </w:t>
      </w:r>
      <w:proofErr w:type="spellStart"/>
      <w:r w:rsidRPr="008735CD">
        <w:rPr>
          <w:i/>
          <w:sz w:val="24"/>
          <w:szCs w:val="24"/>
        </w:rPr>
        <w:t>journals</w:t>
      </w:r>
      <w:proofErr w:type="spellEnd"/>
      <w:r w:rsidRPr="008735CD">
        <w:rPr>
          <w:sz w:val="24"/>
          <w:szCs w:val="24"/>
        </w:rPr>
        <w:t xml:space="preserve"> internacionais, os principais tópicos relaciona</w:t>
      </w:r>
      <w:r w:rsidR="006E471D">
        <w:rPr>
          <w:sz w:val="24"/>
          <w:szCs w:val="24"/>
        </w:rPr>
        <w:t>do</w:t>
      </w:r>
      <w:r w:rsidRPr="008735CD">
        <w:rPr>
          <w:sz w:val="24"/>
          <w:szCs w:val="24"/>
        </w:rPr>
        <w:t xml:space="preserve">s às pesquisas são: educação continuada da classe contábil, harmonização e convergência internacional da Contabilidade, e assuntos para pesquisa em Contabilidade. </w:t>
      </w:r>
      <w:proofErr w:type="spellStart"/>
      <w:r w:rsidRPr="006E471D">
        <w:rPr>
          <w:iCs/>
          <w:sz w:val="24"/>
          <w:szCs w:val="24"/>
        </w:rPr>
        <w:t>Lunedo</w:t>
      </w:r>
      <w:proofErr w:type="spellEnd"/>
      <w:r w:rsidRPr="006E471D">
        <w:rPr>
          <w:iCs/>
          <w:sz w:val="24"/>
          <w:szCs w:val="24"/>
        </w:rPr>
        <w:t xml:space="preserve"> et al. (2014) identificaram trabalhos sobre métodos de ensino-aprendizagem que demandam conhecimentos sobre IFRS.</w:t>
      </w:r>
    </w:p>
    <w:p w:rsidR="006E471D" w:rsidRDefault="008735CD" w:rsidP="006E471D">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Em se tratando dos docentes das disciplinas de Contabilidade, Amaral, Costa e Campos (2010), identificaram que diversos docentes não se consideraram preparados para as mudanças exigidas pelas IFRS. Apesar desse reconhecimento de limitação da capacidade, a maior parte dos docentes já avaliava o processo de convergência como significativo e, com o passar do tempo, passaram a sentirem-se preparados para lecionar, embora reconhecessem que as instituições educacionais brasileiras não estariam preparad</w:t>
      </w:r>
      <w:r w:rsidR="006E471D">
        <w:rPr>
          <w:rFonts w:eastAsia="SimSun"/>
          <w:sz w:val="24"/>
          <w:szCs w:val="24"/>
          <w:lang w:eastAsia="zh-CN"/>
        </w:rPr>
        <w:t>a</w:t>
      </w:r>
      <w:r w:rsidRPr="008735CD">
        <w:rPr>
          <w:rFonts w:eastAsia="SimSun"/>
          <w:sz w:val="24"/>
          <w:szCs w:val="24"/>
          <w:lang w:eastAsia="zh-CN"/>
        </w:rPr>
        <w:t xml:space="preserve">s para subsidiar esse processo (Fernandes </w:t>
      </w:r>
      <w:r w:rsidRPr="00930388">
        <w:rPr>
          <w:rFonts w:eastAsia="SimSun"/>
          <w:sz w:val="24"/>
          <w:szCs w:val="24"/>
          <w:lang w:eastAsia="zh-CN"/>
        </w:rPr>
        <w:t>et al</w:t>
      </w:r>
      <w:r w:rsidRPr="008735CD">
        <w:rPr>
          <w:rFonts w:eastAsia="SimSun"/>
          <w:sz w:val="24"/>
          <w:szCs w:val="24"/>
          <w:lang w:eastAsia="zh-CN"/>
        </w:rPr>
        <w:t>., 2011).</w:t>
      </w:r>
    </w:p>
    <w:p w:rsidR="00867A0C" w:rsidRDefault="008735CD" w:rsidP="00867A0C">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Reis, Nogueira e Bim (2014) destacam que os docentes detêm conhecimento a respeito das mudanças; no entanto, ainda apresentariam certa resistência à promoção de alterações conceituais. Kuhn, Machado e Machado (2014a) identificaram nível de conhecimento baixo e professores desatualizados em relação às IFRS, e que poderia ser melhorado com a participação em cursos de atualização sobre as normas internacionais Kuhn, Machado e Machado (2014b).</w:t>
      </w:r>
    </w:p>
    <w:p w:rsidR="00867A0C" w:rsidRDefault="008735CD" w:rsidP="00867A0C">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A incorporação das IFRS ao ensino, com qualidade, passa pela melhoria dos currículos escolares, pois, mesmo no início do processo de convergência, as grades curriculares dos cursos de graduação em Ciências Contábeis seriam carentes de abordagem da Contab</w:t>
      </w:r>
      <w:r w:rsidRPr="006E471D">
        <w:rPr>
          <w:rFonts w:eastAsia="SimSun"/>
          <w:sz w:val="24"/>
          <w:szCs w:val="24"/>
          <w:lang w:eastAsia="zh-CN"/>
        </w:rPr>
        <w:t xml:space="preserve">ilidade Internacional </w:t>
      </w:r>
      <w:proofErr w:type="spellStart"/>
      <w:r w:rsidRPr="006E471D">
        <w:rPr>
          <w:rFonts w:eastAsia="SimSun"/>
          <w:sz w:val="24"/>
          <w:szCs w:val="24"/>
          <w:lang w:eastAsia="zh-CN"/>
        </w:rPr>
        <w:t>Niyama</w:t>
      </w:r>
      <w:proofErr w:type="spellEnd"/>
      <w:r w:rsidRPr="006E471D">
        <w:rPr>
          <w:rFonts w:eastAsia="SimSun"/>
          <w:sz w:val="24"/>
          <w:szCs w:val="24"/>
          <w:lang w:eastAsia="zh-CN"/>
        </w:rPr>
        <w:t xml:space="preserve"> </w:t>
      </w:r>
      <w:r w:rsidRPr="00930388">
        <w:rPr>
          <w:rFonts w:eastAsia="SimSun"/>
          <w:sz w:val="24"/>
          <w:szCs w:val="24"/>
          <w:lang w:eastAsia="zh-CN"/>
        </w:rPr>
        <w:t>et al</w:t>
      </w:r>
      <w:r w:rsidRPr="006E471D">
        <w:rPr>
          <w:rFonts w:eastAsia="SimSun"/>
          <w:sz w:val="24"/>
          <w:szCs w:val="24"/>
          <w:lang w:eastAsia="zh-CN"/>
        </w:rPr>
        <w:t>. (2008), o que persiste nos dias atuais, uma vez que</w:t>
      </w:r>
      <w:r w:rsidRPr="008735CD">
        <w:rPr>
          <w:rFonts w:eastAsia="SimSun"/>
          <w:sz w:val="24"/>
          <w:szCs w:val="24"/>
          <w:lang w:eastAsia="zh-CN"/>
        </w:rPr>
        <w:t xml:space="preserve"> há </w:t>
      </w:r>
      <w:r w:rsidRPr="008735CD">
        <w:rPr>
          <w:sz w:val="24"/>
          <w:szCs w:val="24"/>
        </w:rPr>
        <w:t xml:space="preserve">baixa aderência das IES no Brasil em relação aos </w:t>
      </w:r>
      <w:proofErr w:type="spellStart"/>
      <w:r w:rsidRPr="008735CD">
        <w:rPr>
          <w:sz w:val="24"/>
          <w:szCs w:val="24"/>
        </w:rPr>
        <w:t>CPCs</w:t>
      </w:r>
      <w:proofErr w:type="spellEnd"/>
      <w:r w:rsidRPr="008735CD">
        <w:rPr>
          <w:sz w:val="24"/>
          <w:szCs w:val="24"/>
        </w:rPr>
        <w:t xml:space="preserve">, </w:t>
      </w:r>
      <w:r w:rsidRPr="008735CD">
        <w:rPr>
          <w:rFonts w:eastAsia="SimSun"/>
          <w:sz w:val="24"/>
          <w:szCs w:val="24"/>
          <w:lang w:eastAsia="zh-CN"/>
        </w:rPr>
        <w:t xml:space="preserve">conforme constatado por </w:t>
      </w:r>
      <w:r w:rsidRPr="0079513E">
        <w:rPr>
          <w:iCs/>
          <w:sz w:val="24"/>
          <w:szCs w:val="24"/>
        </w:rPr>
        <w:t>Alves et</w:t>
      </w:r>
      <w:r w:rsidRPr="006E471D">
        <w:rPr>
          <w:iCs/>
          <w:sz w:val="24"/>
          <w:szCs w:val="24"/>
        </w:rPr>
        <w:t xml:space="preserve"> al. (2017)</w:t>
      </w:r>
      <w:r w:rsidRPr="006E471D">
        <w:rPr>
          <w:sz w:val="24"/>
          <w:szCs w:val="24"/>
        </w:rPr>
        <w:t>.</w:t>
      </w:r>
    </w:p>
    <w:p w:rsidR="00867A0C" w:rsidRDefault="008735CD" w:rsidP="00867A0C">
      <w:pPr>
        <w:autoSpaceDE w:val="0"/>
        <w:autoSpaceDN w:val="0"/>
        <w:adjustRightInd w:val="0"/>
        <w:ind w:firstLine="709"/>
        <w:jc w:val="both"/>
        <w:rPr>
          <w:rFonts w:eastAsia="SimSun"/>
          <w:sz w:val="24"/>
          <w:szCs w:val="24"/>
          <w:lang w:eastAsia="zh-CN"/>
        </w:rPr>
      </w:pPr>
      <w:r w:rsidRPr="008735CD">
        <w:rPr>
          <w:sz w:val="24"/>
          <w:szCs w:val="24"/>
        </w:rPr>
        <w:t xml:space="preserve">Em contraponto, a pesquisa de </w:t>
      </w:r>
      <w:r w:rsidRPr="008735CD">
        <w:rPr>
          <w:rFonts w:eastAsia="SimSun"/>
          <w:sz w:val="24"/>
          <w:szCs w:val="24"/>
          <w:lang w:eastAsia="zh-CN"/>
        </w:rPr>
        <w:t>Lima, Costa e Santana (2015) identificou currículos alinhados entre si e com os conhecimentos sugeridos pelo</w:t>
      </w:r>
      <w:r w:rsidR="00867A0C">
        <w:rPr>
          <w:rFonts w:eastAsia="SimSun"/>
          <w:sz w:val="24"/>
          <w:szCs w:val="24"/>
          <w:lang w:eastAsia="zh-CN"/>
        </w:rPr>
        <w:t>s organismos internacionais</w:t>
      </w:r>
      <w:r w:rsidRPr="008735CD">
        <w:rPr>
          <w:rFonts w:eastAsia="SimSun"/>
          <w:sz w:val="24"/>
          <w:szCs w:val="24"/>
          <w:lang w:eastAsia="zh-CN"/>
        </w:rPr>
        <w:t xml:space="preserve">. Cunha, </w:t>
      </w:r>
      <w:proofErr w:type="spellStart"/>
      <w:r w:rsidRPr="008735CD">
        <w:rPr>
          <w:rFonts w:eastAsia="SimSun"/>
          <w:sz w:val="24"/>
          <w:szCs w:val="24"/>
          <w:lang w:eastAsia="zh-CN"/>
        </w:rPr>
        <w:t>Guidini</w:t>
      </w:r>
      <w:proofErr w:type="spellEnd"/>
      <w:r w:rsidRPr="008735CD">
        <w:rPr>
          <w:rFonts w:eastAsia="SimSun"/>
          <w:sz w:val="24"/>
          <w:szCs w:val="24"/>
          <w:lang w:eastAsia="zh-CN"/>
        </w:rPr>
        <w:t xml:space="preserve"> e </w:t>
      </w:r>
      <w:proofErr w:type="spellStart"/>
      <w:r w:rsidRPr="008735CD">
        <w:rPr>
          <w:rFonts w:eastAsia="SimSun"/>
          <w:sz w:val="24"/>
          <w:szCs w:val="24"/>
          <w:lang w:eastAsia="zh-CN"/>
        </w:rPr>
        <w:t>Klan</w:t>
      </w:r>
      <w:proofErr w:type="spellEnd"/>
      <w:r w:rsidRPr="008735CD">
        <w:rPr>
          <w:rFonts w:eastAsia="SimSun"/>
          <w:sz w:val="24"/>
          <w:szCs w:val="24"/>
          <w:lang w:eastAsia="zh-CN"/>
        </w:rPr>
        <w:t xml:space="preserve"> (2017), ao relacionarem a disciplina de Teoria da Contabilidade e a convergência às normas internacionais relataram os conteúdos mais enfatizados pelos professores na pós-graduação.</w:t>
      </w:r>
    </w:p>
    <w:p w:rsidR="00867A0C" w:rsidRDefault="008735CD" w:rsidP="00867A0C">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No que tange à opinião dos discentes, em 2007, </w:t>
      </w:r>
      <w:proofErr w:type="spellStart"/>
      <w:r w:rsidRPr="008735CD">
        <w:rPr>
          <w:rFonts w:eastAsia="SimSun"/>
          <w:sz w:val="24"/>
          <w:szCs w:val="24"/>
          <w:lang w:eastAsia="zh-CN"/>
        </w:rPr>
        <w:t>Niyama</w:t>
      </w:r>
      <w:proofErr w:type="spellEnd"/>
      <w:r w:rsidRPr="008735CD">
        <w:rPr>
          <w:rFonts w:eastAsia="SimSun"/>
          <w:sz w:val="24"/>
          <w:szCs w:val="24"/>
          <w:lang w:eastAsia="zh-CN"/>
        </w:rPr>
        <w:t xml:space="preserve">, Mendonça e Aquino (2007) revelaram a incipiência, no âmbito acadêmico, do assunto “Contabilidade Internacional”. Em 2014, Reis, Nogueira e Bim (2014) revelaram, ainda que a maioria absoluta dos discentes detivesse conhecimentos a respeito da existência do referido processo de convergência, o domínio pautava-se, especialmente, em relação às questões formais, como a nomenclatura dos grupos patrimoniais, em detrimento de aspectos conceituais. </w:t>
      </w:r>
    </w:p>
    <w:p w:rsidR="008735CD" w:rsidRPr="008735CD" w:rsidRDefault="008735CD" w:rsidP="00867A0C">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A pesquisa de </w:t>
      </w:r>
      <w:proofErr w:type="spellStart"/>
      <w:r w:rsidRPr="008735CD">
        <w:rPr>
          <w:rFonts w:eastAsia="SimSun"/>
          <w:sz w:val="24"/>
          <w:szCs w:val="24"/>
          <w:lang w:eastAsia="zh-CN"/>
        </w:rPr>
        <w:t>Toigo</w:t>
      </w:r>
      <w:proofErr w:type="spellEnd"/>
      <w:r w:rsidRPr="008735CD">
        <w:rPr>
          <w:rFonts w:eastAsia="SimSun"/>
          <w:sz w:val="24"/>
          <w:szCs w:val="24"/>
          <w:lang w:eastAsia="zh-CN"/>
        </w:rPr>
        <w:t xml:space="preserve"> </w:t>
      </w:r>
      <w:r w:rsidRPr="00930388">
        <w:rPr>
          <w:rFonts w:eastAsia="SimSun"/>
          <w:sz w:val="24"/>
          <w:szCs w:val="24"/>
          <w:lang w:eastAsia="zh-CN"/>
        </w:rPr>
        <w:t>et al.</w:t>
      </w:r>
      <w:r w:rsidRPr="008735CD">
        <w:rPr>
          <w:rFonts w:eastAsia="SimSun"/>
          <w:sz w:val="24"/>
          <w:szCs w:val="24"/>
          <w:lang w:eastAsia="zh-CN"/>
        </w:rPr>
        <w:t xml:space="preserve"> (2014) revelou que a familiaridade com a norma contábil é essencial para o adequado julgamento e interpretação dos </w:t>
      </w:r>
      <w:proofErr w:type="spellStart"/>
      <w:r w:rsidRPr="008735CD">
        <w:rPr>
          <w:rFonts w:eastAsia="SimSun"/>
          <w:sz w:val="24"/>
          <w:szCs w:val="24"/>
          <w:lang w:eastAsia="zh-CN"/>
        </w:rPr>
        <w:t>CPCs</w:t>
      </w:r>
      <w:proofErr w:type="spellEnd"/>
      <w:r w:rsidRPr="008735CD">
        <w:rPr>
          <w:rFonts w:eastAsia="SimSun"/>
          <w:sz w:val="24"/>
          <w:szCs w:val="24"/>
          <w:lang w:eastAsia="zh-CN"/>
        </w:rPr>
        <w:t xml:space="preserve">. Nesse sentido, em 2016, Nunes, Marques e Costa (2016) identificaram </w:t>
      </w:r>
      <w:r w:rsidRPr="00867A0C">
        <w:rPr>
          <w:rFonts w:eastAsia="SimSun"/>
          <w:sz w:val="24"/>
          <w:szCs w:val="24"/>
          <w:lang w:eastAsia="zh-CN"/>
        </w:rPr>
        <w:t xml:space="preserve">baixo índice de acertos em questões sobre </w:t>
      </w:r>
      <w:r w:rsidRPr="00867A0C">
        <w:rPr>
          <w:rFonts w:eastAsia="SimSun"/>
          <w:sz w:val="24"/>
          <w:szCs w:val="24"/>
          <w:lang w:eastAsia="zh-CN"/>
        </w:rPr>
        <w:lastRenderedPageBreak/>
        <w:t>conceitos básicos presentes nas Normas Brasileiras de Contabilidade,</w:t>
      </w:r>
      <w:r w:rsidRPr="008735CD">
        <w:rPr>
          <w:rFonts w:eastAsia="SimSun"/>
          <w:sz w:val="24"/>
          <w:szCs w:val="24"/>
          <w:lang w:eastAsia="zh-CN"/>
        </w:rPr>
        <w:t xml:space="preserve"> o que corrobora os achados de </w:t>
      </w:r>
      <w:r w:rsidRPr="00930388">
        <w:rPr>
          <w:rFonts w:eastAsia="SimSun"/>
          <w:sz w:val="24"/>
          <w:szCs w:val="24"/>
          <w:lang w:eastAsia="zh-CN"/>
        </w:rPr>
        <w:t>Gomes et al.</w:t>
      </w:r>
      <w:r w:rsidRPr="008735CD">
        <w:rPr>
          <w:rFonts w:eastAsia="SimSun"/>
          <w:sz w:val="24"/>
          <w:szCs w:val="24"/>
          <w:lang w:eastAsia="zh-CN"/>
        </w:rPr>
        <w:t xml:space="preserve"> (2015) em relação ao insatisfatório conhecimento dos discentes em relação ao assunto. </w:t>
      </w:r>
    </w:p>
    <w:p w:rsidR="002B3B4F" w:rsidRPr="004C350D" w:rsidRDefault="002B3B4F" w:rsidP="002B3B4F">
      <w:pPr>
        <w:widowControl w:val="0"/>
        <w:spacing w:before="240" w:after="80"/>
        <w:rPr>
          <w:b/>
          <w:sz w:val="24"/>
          <w:szCs w:val="24"/>
        </w:rPr>
      </w:pPr>
      <w:r w:rsidRPr="008735CD">
        <w:rPr>
          <w:b/>
          <w:sz w:val="24"/>
          <w:szCs w:val="24"/>
        </w:rPr>
        <w:t>5 Considerações Finais</w:t>
      </w:r>
    </w:p>
    <w:p w:rsidR="00867A0C" w:rsidRDefault="008735CD" w:rsidP="00867A0C">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O presente estudo buscou analisar o perfil das publicações de artigos em periódicos nacionais de Contabilidade com a temática de ensino em relação à adoção das IFRS</w:t>
      </w:r>
      <w:r w:rsidRPr="008735CD">
        <w:rPr>
          <w:sz w:val="24"/>
          <w:szCs w:val="24"/>
        </w:rPr>
        <w:t xml:space="preserve">. </w:t>
      </w:r>
      <w:r w:rsidRPr="008735CD">
        <w:rPr>
          <w:rFonts w:eastAsia="SimSun"/>
          <w:sz w:val="24"/>
          <w:szCs w:val="24"/>
          <w:lang w:eastAsia="zh-CN"/>
        </w:rPr>
        <w:t xml:space="preserve">O estudo das normas internacionais é relevante em razão das </w:t>
      </w:r>
      <w:r w:rsidRPr="008735CD">
        <w:rPr>
          <w:rFonts w:eastAsia="SimSun"/>
          <w:spacing w:val="-2"/>
          <w:sz w:val="24"/>
          <w:szCs w:val="24"/>
          <w:lang w:eastAsia="zh-CN"/>
        </w:rPr>
        <w:t xml:space="preserve">alterações no processo contábil delas decorrentes. Maior transparência nas informações tem </w:t>
      </w:r>
      <w:r w:rsidRPr="008735CD">
        <w:rPr>
          <w:rFonts w:eastAsia="SimSun"/>
          <w:sz w:val="24"/>
          <w:szCs w:val="24"/>
          <w:lang w:eastAsia="zh-CN"/>
        </w:rPr>
        <w:t>exigido profissionais mais bem preparados e capazes de se adaptar a esses novos padrões contábeis e isso passa, necessariamente, pela questão educacional.</w:t>
      </w:r>
    </w:p>
    <w:p w:rsidR="00867A0C" w:rsidRDefault="008735CD" w:rsidP="00867A0C">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De forma geral, considerando as limitações da pesquisa, o estudo mostra que, no período de 2007 a 2017 foram encontrados 18 artigos tratando do tema “ensino e IFRS”. Boa parte deles continha, nas palavras-chave, “normas internacionais de Contabilidade”, “convergência”, “ensino de Contabilidade”, “educação”, “docentes” e “discentes”. Mais da metade da amostra utilizou levantamento como procedimento de coleta de dados e boa parte deles foram publicados no ano de 2014. Os artigos foram categorizados em assuntos, o que permitiu a identificação das abordagens predominantes na amostra - avaliação do conhecimento e percepção do docente em relação à convergência internacional. </w:t>
      </w:r>
    </w:p>
    <w:p w:rsidR="00867A0C" w:rsidRDefault="008735CD" w:rsidP="00867A0C">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 xml:space="preserve">Os achados da pesquisa corroboram o contexto identificado por Matos </w:t>
      </w:r>
      <w:r w:rsidRPr="00930388">
        <w:rPr>
          <w:rFonts w:eastAsia="SimSun"/>
          <w:sz w:val="24"/>
          <w:szCs w:val="24"/>
          <w:lang w:eastAsia="zh-CN"/>
        </w:rPr>
        <w:t>et al</w:t>
      </w:r>
      <w:r w:rsidRPr="008735CD">
        <w:rPr>
          <w:rFonts w:eastAsia="SimSun"/>
          <w:sz w:val="24"/>
          <w:szCs w:val="24"/>
          <w:lang w:eastAsia="zh-CN"/>
        </w:rPr>
        <w:t>. (2012) no âmbito dos periódicos internacionais. Estudos a respeito do tema “ensino e IFRS” devem ser considerados atuais, relevantes e carecedores de pesquisas mais aprofundadas. Os periódicos com maior número de artigos selecionados são as Revistas Contabilidade e Controladoria, Universo Contábil e Contemporânea de Contabilidade, sendo que 33% dos artigos estão em periódicos classificados como ‘A2’</w:t>
      </w:r>
      <w:r w:rsidR="00867A0C">
        <w:rPr>
          <w:rFonts w:eastAsia="SimSun"/>
          <w:sz w:val="24"/>
          <w:szCs w:val="24"/>
          <w:lang w:eastAsia="zh-CN"/>
        </w:rPr>
        <w:t>.</w:t>
      </w:r>
    </w:p>
    <w:p w:rsidR="00867A0C" w:rsidRDefault="008735CD" w:rsidP="00867A0C">
      <w:pPr>
        <w:autoSpaceDE w:val="0"/>
        <w:autoSpaceDN w:val="0"/>
        <w:adjustRightInd w:val="0"/>
        <w:ind w:firstLine="709"/>
        <w:jc w:val="both"/>
        <w:rPr>
          <w:rFonts w:eastAsia="SimSun"/>
          <w:sz w:val="24"/>
          <w:szCs w:val="24"/>
          <w:lang w:eastAsia="zh-CN"/>
        </w:rPr>
      </w:pPr>
      <w:r w:rsidRPr="008735CD">
        <w:rPr>
          <w:sz w:val="24"/>
          <w:szCs w:val="24"/>
        </w:rPr>
        <w:t xml:space="preserve">Esse recorte do conhecimento é muito germinativo para seus autores, destes, 31% têm titulação de doutorado ou de pós-doutorado, mas há, também, bastante aceitação de artigos de autoria de pesquisadores em formação - desde bacharelandos até doutorandos. Apesar da pulverização de autorias, os autores mais produtivos identificados foram </w:t>
      </w:r>
      <w:proofErr w:type="spellStart"/>
      <w:r w:rsidRPr="008735CD">
        <w:rPr>
          <w:sz w:val="24"/>
          <w:szCs w:val="24"/>
        </w:rPr>
        <w:t>Niyama</w:t>
      </w:r>
      <w:proofErr w:type="spellEnd"/>
      <w:r w:rsidRPr="008735CD">
        <w:rPr>
          <w:sz w:val="24"/>
          <w:szCs w:val="24"/>
        </w:rPr>
        <w:t xml:space="preserve"> e Botelho. </w:t>
      </w:r>
      <w:r w:rsidRPr="008735CD">
        <w:rPr>
          <w:rFonts w:eastAsia="SimSun"/>
          <w:sz w:val="24"/>
          <w:szCs w:val="24"/>
          <w:lang w:eastAsia="zh-CN"/>
        </w:rPr>
        <w:t xml:space="preserve">O grau de desenvolvimento da educação na área Contábil afeta diretamente o grau de desenvolvimento econômico da sociedade. O aumento do nível de qualificação dos profissionais contábeis – no sentido amplo – será capaz de melhorar a percepção social da profissão e a qualidade da informação gerada para a sociedade. </w:t>
      </w:r>
    </w:p>
    <w:p w:rsidR="00867A0C" w:rsidRDefault="008735CD" w:rsidP="00867A0C">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No universo de pesquisas contábeis sobre IFRS, poucas são aquelas que abordam a relação da adoção das normas internacionais com o ensino, um tema atual, relevante e carecedor de pesquisas mais aprofundadas. Os desafios existentes no âmbito da educação contábil, especialmente aqueles relacionados à qualificação do corpo docente, dos discentes e da estrutura curricular precisam ser superados. Repensar o ensino é uma tarefa que não pode mais ser adiada.</w:t>
      </w:r>
    </w:p>
    <w:p w:rsidR="008735CD" w:rsidRPr="008735CD" w:rsidRDefault="008735CD" w:rsidP="00867A0C">
      <w:pPr>
        <w:autoSpaceDE w:val="0"/>
        <w:autoSpaceDN w:val="0"/>
        <w:adjustRightInd w:val="0"/>
        <w:ind w:firstLine="709"/>
        <w:jc w:val="both"/>
        <w:rPr>
          <w:rFonts w:eastAsia="SimSun"/>
          <w:sz w:val="24"/>
          <w:szCs w:val="24"/>
          <w:lang w:eastAsia="zh-CN"/>
        </w:rPr>
      </w:pPr>
      <w:r w:rsidRPr="008735CD">
        <w:rPr>
          <w:rFonts w:eastAsia="SimSun"/>
          <w:sz w:val="24"/>
          <w:szCs w:val="24"/>
          <w:lang w:eastAsia="zh-CN"/>
        </w:rPr>
        <w:t>Para pesquisas futuras, sugere-se a avaliação do nível de capacitação docente em relação às normas internacionais de contabilidade aplicáveis no Brasil, bem como estudos comparativos do nível de qualificação docente e do grau de conhecimento discente, simultaneamente, quanto às IFRS.</w:t>
      </w:r>
    </w:p>
    <w:p w:rsidR="002B3B4F" w:rsidRPr="008735CD" w:rsidRDefault="002B3B4F" w:rsidP="008735CD">
      <w:pPr>
        <w:widowControl w:val="0"/>
        <w:spacing w:before="240" w:after="80"/>
        <w:rPr>
          <w:b/>
          <w:sz w:val="24"/>
          <w:szCs w:val="24"/>
        </w:rPr>
      </w:pPr>
      <w:r w:rsidRPr="008735CD">
        <w:rPr>
          <w:b/>
          <w:sz w:val="24"/>
          <w:szCs w:val="24"/>
        </w:rPr>
        <w:t>Referências</w:t>
      </w:r>
    </w:p>
    <w:p w:rsidR="0079513E" w:rsidRPr="00DA48C3" w:rsidRDefault="0079513E" w:rsidP="0079513E">
      <w:pPr>
        <w:suppressAutoHyphens w:val="0"/>
        <w:ind w:left="426" w:hanging="426"/>
        <w:jc w:val="both"/>
        <w:rPr>
          <w:sz w:val="24"/>
          <w:szCs w:val="24"/>
        </w:rPr>
      </w:pPr>
      <w:r w:rsidRPr="00DA48C3">
        <w:rPr>
          <w:sz w:val="24"/>
          <w:szCs w:val="24"/>
          <w:lang w:val="en-US"/>
        </w:rPr>
        <w:lastRenderedPageBreak/>
        <w:t xml:space="preserve">Alves, D. S., </w:t>
      </w:r>
      <w:proofErr w:type="spellStart"/>
      <w:r w:rsidRPr="00DA48C3">
        <w:rPr>
          <w:sz w:val="24"/>
          <w:szCs w:val="24"/>
          <w:lang w:val="en-US"/>
        </w:rPr>
        <w:t>Kronbauer</w:t>
      </w:r>
      <w:proofErr w:type="spellEnd"/>
      <w:r w:rsidRPr="00DA48C3">
        <w:rPr>
          <w:sz w:val="24"/>
          <w:szCs w:val="24"/>
          <w:lang w:val="en-US"/>
        </w:rPr>
        <w:t xml:space="preserve">, C. A., </w:t>
      </w:r>
      <w:proofErr w:type="spellStart"/>
      <w:r w:rsidRPr="00DA48C3">
        <w:rPr>
          <w:sz w:val="24"/>
          <w:szCs w:val="24"/>
          <w:lang w:val="en-US"/>
        </w:rPr>
        <w:t>Ott</w:t>
      </w:r>
      <w:proofErr w:type="spellEnd"/>
      <w:r w:rsidRPr="00DA48C3">
        <w:rPr>
          <w:sz w:val="24"/>
          <w:szCs w:val="24"/>
          <w:lang w:val="en-US"/>
        </w:rPr>
        <w:t xml:space="preserve">, E., &amp; </w:t>
      </w:r>
      <w:proofErr w:type="spellStart"/>
      <w:r w:rsidRPr="00DA48C3">
        <w:rPr>
          <w:sz w:val="24"/>
          <w:szCs w:val="24"/>
          <w:lang w:val="en-US"/>
        </w:rPr>
        <w:t>Thomaz</w:t>
      </w:r>
      <w:proofErr w:type="spellEnd"/>
      <w:r w:rsidRPr="00DA48C3">
        <w:rPr>
          <w:sz w:val="24"/>
          <w:szCs w:val="24"/>
          <w:lang w:val="en-US"/>
        </w:rPr>
        <w:t xml:space="preserve">, J. L. P. (2017). </w:t>
      </w:r>
      <w:r w:rsidRPr="00DA48C3">
        <w:rPr>
          <w:sz w:val="24"/>
          <w:szCs w:val="24"/>
        </w:rPr>
        <w:t xml:space="preserve">O ensino dos </w:t>
      </w:r>
      <w:proofErr w:type="spellStart"/>
      <w:r w:rsidRPr="00DA48C3">
        <w:rPr>
          <w:sz w:val="24"/>
          <w:szCs w:val="24"/>
        </w:rPr>
        <w:t>CPCs</w:t>
      </w:r>
      <w:proofErr w:type="spellEnd"/>
      <w:r w:rsidRPr="00DA48C3">
        <w:rPr>
          <w:sz w:val="24"/>
          <w:szCs w:val="24"/>
        </w:rPr>
        <w:t xml:space="preserve"> nos cursos de ciências contábeis em instituições de ensino superior do Brasil. </w:t>
      </w:r>
      <w:r w:rsidRPr="00DA48C3">
        <w:rPr>
          <w:i/>
          <w:iCs/>
          <w:sz w:val="24"/>
          <w:szCs w:val="24"/>
        </w:rPr>
        <w:t>Revista Contemporânea de Contabilidade</w:t>
      </w:r>
      <w:r w:rsidRPr="00DA48C3">
        <w:rPr>
          <w:sz w:val="24"/>
          <w:szCs w:val="24"/>
        </w:rPr>
        <w:t xml:space="preserve">, </w:t>
      </w:r>
      <w:r w:rsidRPr="00DA48C3">
        <w:rPr>
          <w:i/>
          <w:iCs/>
          <w:sz w:val="24"/>
          <w:szCs w:val="24"/>
        </w:rPr>
        <w:t>14</w:t>
      </w:r>
      <w:r w:rsidRPr="00DA48C3">
        <w:rPr>
          <w:sz w:val="24"/>
          <w:szCs w:val="24"/>
        </w:rPr>
        <w:t>(32), 48–70.</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Amaral, M., Costa, C., &amp; Campos, F. (2010). Capacitação Profissional: um Estudo Sobre a Adoção das IFRS Normas Internacionais de Contabilidade Nas Instituições Particulares de Ensino Superior do ABC. </w:t>
      </w:r>
      <w:r w:rsidRPr="00DA48C3">
        <w:rPr>
          <w:i/>
          <w:iCs/>
          <w:sz w:val="24"/>
          <w:szCs w:val="24"/>
        </w:rPr>
        <w:t>Revista Contemporânea de Contabilidade</w:t>
      </w:r>
      <w:r w:rsidRPr="00DA48C3">
        <w:rPr>
          <w:sz w:val="24"/>
          <w:szCs w:val="24"/>
        </w:rPr>
        <w:t xml:space="preserve">, </w:t>
      </w:r>
      <w:r w:rsidRPr="00DA48C3">
        <w:rPr>
          <w:i/>
          <w:iCs/>
          <w:sz w:val="24"/>
          <w:szCs w:val="24"/>
        </w:rPr>
        <w:t>2</w:t>
      </w:r>
      <w:r w:rsidRPr="00DA48C3">
        <w:rPr>
          <w:sz w:val="24"/>
          <w:szCs w:val="24"/>
        </w:rPr>
        <w:t>(1), 117-139.</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Araújo, K. D. de, </w:t>
      </w:r>
      <w:proofErr w:type="spellStart"/>
      <w:r w:rsidRPr="00DA48C3">
        <w:rPr>
          <w:sz w:val="24"/>
          <w:szCs w:val="24"/>
        </w:rPr>
        <w:t>Cornacchione</w:t>
      </w:r>
      <w:proofErr w:type="spellEnd"/>
      <w:r w:rsidRPr="00DA48C3">
        <w:rPr>
          <w:sz w:val="24"/>
          <w:szCs w:val="24"/>
        </w:rPr>
        <w:t xml:space="preserve"> Junior, E. B., </w:t>
      </w:r>
      <w:proofErr w:type="spellStart"/>
      <w:r w:rsidRPr="00DA48C3">
        <w:rPr>
          <w:sz w:val="24"/>
          <w:szCs w:val="24"/>
        </w:rPr>
        <w:t>Reginato</w:t>
      </w:r>
      <w:proofErr w:type="spellEnd"/>
      <w:r w:rsidRPr="00DA48C3">
        <w:rPr>
          <w:sz w:val="24"/>
          <w:szCs w:val="24"/>
        </w:rPr>
        <w:t xml:space="preserve">, L., &amp; </w:t>
      </w:r>
      <w:proofErr w:type="spellStart"/>
      <w:r w:rsidRPr="00DA48C3">
        <w:rPr>
          <w:sz w:val="24"/>
          <w:szCs w:val="24"/>
        </w:rPr>
        <w:t>Suzart</w:t>
      </w:r>
      <w:proofErr w:type="spellEnd"/>
      <w:r w:rsidRPr="00DA48C3">
        <w:rPr>
          <w:sz w:val="24"/>
          <w:szCs w:val="24"/>
        </w:rPr>
        <w:t xml:space="preserve">, J. A. da S. (2014). Percepção dos Impactos da Adoção das IFRS na Contabilidade Gerencial sob a ótica dos Professores de Programas de Stricto Sensu em Contabilidade. </w:t>
      </w:r>
      <w:r w:rsidRPr="00DA48C3">
        <w:rPr>
          <w:i/>
          <w:sz w:val="24"/>
          <w:szCs w:val="24"/>
        </w:rPr>
        <w:t>Revista Universo Contábil, 10</w:t>
      </w:r>
      <w:r w:rsidRPr="00DA48C3">
        <w:rPr>
          <w:sz w:val="24"/>
          <w:szCs w:val="24"/>
        </w:rPr>
        <w:t>(2), 105-124.</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proofErr w:type="spellStart"/>
      <w:r w:rsidRPr="00DA48C3">
        <w:rPr>
          <w:sz w:val="24"/>
          <w:szCs w:val="24"/>
        </w:rPr>
        <w:t>Bardin</w:t>
      </w:r>
      <w:proofErr w:type="spellEnd"/>
      <w:r w:rsidRPr="00DA48C3">
        <w:rPr>
          <w:sz w:val="24"/>
          <w:szCs w:val="24"/>
        </w:rPr>
        <w:t xml:space="preserve">, L. (2016). </w:t>
      </w:r>
      <w:r w:rsidRPr="00DA48C3">
        <w:rPr>
          <w:i/>
          <w:sz w:val="24"/>
          <w:szCs w:val="24"/>
        </w:rPr>
        <w:t>Análise de Conteúdo</w:t>
      </w:r>
      <w:r w:rsidRPr="00DA48C3">
        <w:rPr>
          <w:sz w:val="24"/>
          <w:szCs w:val="24"/>
        </w:rPr>
        <w:t>. São Paulo: Edições 70.</w:t>
      </w:r>
    </w:p>
    <w:p w:rsidR="0079513E" w:rsidRPr="00DA48C3" w:rsidRDefault="0079513E" w:rsidP="0079513E">
      <w:pPr>
        <w:suppressAutoHyphens w:val="0"/>
        <w:ind w:left="426" w:hanging="426"/>
        <w:jc w:val="both"/>
        <w:rPr>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lang w:val="en-US"/>
        </w:rPr>
      </w:pPr>
      <w:r w:rsidRPr="00DA48C3">
        <w:rPr>
          <w:spacing w:val="-5"/>
          <w:sz w:val="24"/>
          <w:szCs w:val="24"/>
        </w:rPr>
        <w:t xml:space="preserve">Barth, M. E. (2008). </w:t>
      </w:r>
      <w:r w:rsidRPr="00DA48C3">
        <w:rPr>
          <w:spacing w:val="-5"/>
          <w:sz w:val="24"/>
          <w:szCs w:val="24"/>
          <w:lang w:val="en-US"/>
        </w:rPr>
        <w:t xml:space="preserve">Global Financial Reporting: Implications for U.S. Academics. </w:t>
      </w:r>
      <w:r w:rsidRPr="00DA48C3">
        <w:rPr>
          <w:i/>
          <w:spacing w:val="-5"/>
          <w:sz w:val="24"/>
          <w:szCs w:val="24"/>
          <w:lang w:val="en-US"/>
        </w:rPr>
        <w:t>The Accounting Review</w:t>
      </w:r>
      <w:r w:rsidRPr="00DA48C3">
        <w:rPr>
          <w:spacing w:val="-5"/>
          <w:sz w:val="24"/>
          <w:szCs w:val="24"/>
          <w:lang w:val="en-US"/>
        </w:rPr>
        <w:t xml:space="preserve">, </w:t>
      </w:r>
      <w:r w:rsidRPr="00DA48C3">
        <w:rPr>
          <w:i/>
          <w:spacing w:val="-5"/>
          <w:sz w:val="24"/>
          <w:szCs w:val="24"/>
          <w:lang w:val="en-US"/>
        </w:rPr>
        <w:t>83</w:t>
      </w:r>
      <w:r w:rsidRPr="00DA48C3">
        <w:rPr>
          <w:spacing w:val="-5"/>
          <w:sz w:val="24"/>
          <w:szCs w:val="24"/>
          <w:lang w:val="en-US"/>
        </w:rPr>
        <w:t>(5), 1159-1179.</w:t>
      </w:r>
    </w:p>
    <w:p w:rsidR="0079513E" w:rsidRPr="00DA48C3" w:rsidRDefault="0079513E" w:rsidP="0079513E">
      <w:pPr>
        <w:suppressAutoHyphens w:val="0"/>
        <w:ind w:left="426" w:hanging="426"/>
        <w:jc w:val="both"/>
        <w:rPr>
          <w:sz w:val="24"/>
          <w:szCs w:val="24"/>
          <w:lang w:val="en-US"/>
        </w:rPr>
      </w:pPr>
    </w:p>
    <w:p w:rsidR="0079513E" w:rsidRPr="00DA48C3" w:rsidRDefault="0079513E" w:rsidP="0079513E">
      <w:pPr>
        <w:suppressAutoHyphens w:val="0"/>
        <w:ind w:left="426" w:hanging="426"/>
        <w:jc w:val="both"/>
        <w:rPr>
          <w:sz w:val="24"/>
          <w:szCs w:val="24"/>
        </w:rPr>
      </w:pPr>
      <w:proofErr w:type="spellStart"/>
      <w:r w:rsidRPr="00DA48C3">
        <w:rPr>
          <w:sz w:val="24"/>
          <w:szCs w:val="24"/>
          <w:lang w:val="en-US"/>
        </w:rPr>
        <w:t>Cella</w:t>
      </w:r>
      <w:proofErr w:type="spellEnd"/>
      <w:r w:rsidRPr="00DA48C3">
        <w:rPr>
          <w:sz w:val="24"/>
          <w:szCs w:val="24"/>
          <w:lang w:val="en-US"/>
        </w:rPr>
        <w:t xml:space="preserve">, G., Rodrigues, J. M., &amp; </w:t>
      </w:r>
      <w:proofErr w:type="spellStart"/>
      <w:r w:rsidRPr="00DA48C3">
        <w:rPr>
          <w:sz w:val="24"/>
          <w:szCs w:val="24"/>
          <w:lang w:val="en-US"/>
        </w:rPr>
        <w:t>Niyama</w:t>
      </w:r>
      <w:proofErr w:type="spellEnd"/>
      <w:r w:rsidRPr="00DA48C3">
        <w:rPr>
          <w:sz w:val="24"/>
          <w:szCs w:val="24"/>
          <w:lang w:val="en-US"/>
        </w:rPr>
        <w:t xml:space="preserve">, J. K. (2011). </w:t>
      </w:r>
      <w:r w:rsidRPr="00DA48C3">
        <w:rPr>
          <w:sz w:val="24"/>
          <w:szCs w:val="24"/>
        </w:rPr>
        <w:t xml:space="preserve">Contabilidade Internacional – análise dos periódicos internacionais sobre pesquisas em educação contábil face à convergência e globalização. </w:t>
      </w:r>
      <w:r w:rsidRPr="00DA48C3">
        <w:rPr>
          <w:i/>
          <w:iCs/>
          <w:sz w:val="24"/>
          <w:szCs w:val="24"/>
        </w:rPr>
        <w:t>Revista Contemporânea de Contabilidade</w:t>
      </w:r>
      <w:r w:rsidRPr="00DA48C3">
        <w:rPr>
          <w:sz w:val="24"/>
          <w:szCs w:val="24"/>
        </w:rPr>
        <w:t xml:space="preserve">, </w:t>
      </w:r>
      <w:r w:rsidRPr="00DA48C3">
        <w:rPr>
          <w:i/>
          <w:iCs/>
          <w:sz w:val="24"/>
          <w:szCs w:val="24"/>
        </w:rPr>
        <w:t>8</w:t>
      </w:r>
      <w:r w:rsidRPr="00DA48C3">
        <w:rPr>
          <w:sz w:val="24"/>
          <w:szCs w:val="24"/>
        </w:rPr>
        <w:t>(15), 177–198.</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Costa, J. A., </w:t>
      </w:r>
      <w:proofErr w:type="spellStart"/>
      <w:r w:rsidRPr="00DA48C3">
        <w:rPr>
          <w:sz w:val="24"/>
          <w:szCs w:val="24"/>
        </w:rPr>
        <w:t>Theophilo</w:t>
      </w:r>
      <w:proofErr w:type="spellEnd"/>
      <w:r w:rsidRPr="00DA48C3">
        <w:rPr>
          <w:sz w:val="24"/>
          <w:szCs w:val="24"/>
        </w:rPr>
        <w:t xml:space="preserve">, C. R., &amp; Yamamoto, M. M. (2012). A Aderência dos Pronunciamentos Contábeis do CPC às Normas Internacionais de Contabilidade. </w:t>
      </w:r>
      <w:r w:rsidRPr="00DA48C3">
        <w:rPr>
          <w:i/>
          <w:iCs/>
          <w:sz w:val="24"/>
          <w:szCs w:val="24"/>
        </w:rPr>
        <w:t>Contabilidade, Gestão E Governança</w:t>
      </w:r>
      <w:r w:rsidRPr="00DA48C3">
        <w:rPr>
          <w:sz w:val="24"/>
          <w:szCs w:val="24"/>
        </w:rPr>
        <w:t xml:space="preserve">, </w:t>
      </w:r>
      <w:r w:rsidRPr="00DA48C3">
        <w:rPr>
          <w:i/>
          <w:iCs/>
          <w:sz w:val="24"/>
          <w:szCs w:val="24"/>
        </w:rPr>
        <w:t>15</w:t>
      </w:r>
      <w:r w:rsidRPr="00DA48C3">
        <w:rPr>
          <w:sz w:val="24"/>
          <w:szCs w:val="24"/>
        </w:rPr>
        <w:t>(2), 110–126.</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lang w:val="en-US"/>
        </w:rPr>
      </w:pPr>
      <w:r w:rsidRPr="00DA48C3">
        <w:rPr>
          <w:sz w:val="24"/>
          <w:szCs w:val="24"/>
        </w:rPr>
        <w:t xml:space="preserve">Cunha, L. C., </w:t>
      </w:r>
      <w:proofErr w:type="spellStart"/>
      <w:r w:rsidRPr="00DA48C3">
        <w:rPr>
          <w:sz w:val="24"/>
          <w:szCs w:val="24"/>
        </w:rPr>
        <w:t>Guidini</w:t>
      </w:r>
      <w:proofErr w:type="spellEnd"/>
      <w:r w:rsidRPr="00DA48C3">
        <w:rPr>
          <w:sz w:val="24"/>
          <w:szCs w:val="24"/>
        </w:rPr>
        <w:t xml:space="preserve">, A., &amp; </w:t>
      </w:r>
      <w:proofErr w:type="spellStart"/>
      <w:r w:rsidRPr="00DA48C3">
        <w:rPr>
          <w:sz w:val="24"/>
          <w:szCs w:val="24"/>
        </w:rPr>
        <w:t>Klann</w:t>
      </w:r>
      <w:proofErr w:type="spellEnd"/>
      <w:r w:rsidRPr="00DA48C3">
        <w:rPr>
          <w:sz w:val="24"/>
          <w:szCs w:val="24"/>
        </w:rPr>
        <w:t xml:space="preserve">, R. C. (2017). A Disciplina de Teoria da Contabilidade e a Convergência às Normas Internacionais de Contabilidade: Percepção dos Professores dos Programas Stricto Sensu em Contabilidade. </w:t>
      </w:r>
      <w:proofErr w:type="spellStart"/>
      <w:r w:rsidRPr="00DA48C3">
        <w:rPr>
          <w:i/>
          <w:iCs/>
          <w:sz w:val="24"/>
          <w:szCs w:val="24"/>
          <w:lang w:val="en-US"/>
        </w:rPr>
        <w:t>Pensar</w:t>
      </w:r>
      <w:proofErr w:type="spellEnd"/>
      <w:r w:rsidRPr="00DA48C3">
        <w:rPr>
          <w:i/>
          <w:iCs/>
          <w:sz w:val="24"/>
          <w:szCs w:val="24"/>
          <w:lang w:val="en-US"/>
        </w:rPr>
        <w:t xml:space="preserve"> </w:t>
      </w:r>
      <w:proofErr w:type="spellStart"/>
      <w:r w:rsidRPr="00DA48C3">
        <w:rPr>
          <w:i/>
          <w:iCs/>
          <w:sz w:val="24"/>
          <w:szCs w:val="24"/>
          <w:lang w:val="en-US"/>
        </w:rPr>
        <w:t>Contábil</w:t>
      </w:r>
      <w:proofErr w:type="spellEnd"/>
      <w:r w:rsidRPr="00DA48C3">
        <w:rPr>
          <w:sz w:val="24"/>
          <w:szCs w:val="24"/>
          <w:lang w:val="en-US"/>
        </w:rPr>
        <w:t xml:space="preserve">, </w:t>
      </w:r>
      <w:r w:rsidRPr="00DA48C3">
        <w:rPr>
          <w:i/>
          <w:iCs/>
          <w:sz w:val="24"/>
          <w:szCs w:val="24"/>
          <w:lang w:val="en-US"/>
        </w:rPr>
        <w:t>19</w:t>
      </w:r>
      <w:r w:rsidRPr="00DA48C3">
        <w:rPr>
          <w:sz w:val="24"/>
          <w:szCs w:val="24"/>
          <w:lang w:val="en-US"/>
        </w:rPr>
        <w:t>(68), 4–16.</w:t>
      </w:r>
    </w:p>
    <w:p w:rsidR="0079513E" w:rsidRPr="00DA48C3" w:rsidRDefault="0079513E" w:rsidP="0079513E">
      <w:pPr>
        <w:tabs>
          <w:tab w:val="left" w:pos="240"/>
        </w:tabs>
        <w:autoSpaceDE w:val="0"/>
        <w:autoSpaceDN w:val="0"/>
        <w:adjustRightInd w:val="0"/>
        <w:ind w:left="426" w:hanging="426"/>
        <w:jc w:val="both"/>
        <w:outlineLvl w:val="0"/>
        <w:rPr>
          <w:sz w:val="24"/>
          <w:szCs w:val="24"/>
          <w:shd w:val="clear" w:color="auto" w:fill="FFFFFF"/>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lang w:val="en-US"/>
        </w:rPr>
      </w:pPr>
      <w:r w:rsidRPr="00DA48C3">
        <w:rPr>
          <w:sz w:val="24"/>
          <w:szCs w:val="24"/>
          <w:shd w:val="clear" w:color="auto" w:fill="FFFFFF"/>
        </w:rPr>
        <w:t>Damascena, L. G., Duarte, F. C. L., &amp; Paulo, E. (2017). Meta-Análise dos Efeitos da Adoção das IFRS na Qualidade da Informação Contábil no Brasil . </w:t>
      </w:r>
      <w:r w:rsidRPr="00DA48C3">
        <w:rPr>
          <w:rStyle w:val="nfase"/>
          <w:sz w:val="24"/>
          <w:szCs w:val="24"/>
          <w:bdr w:val="none" w:sz="0" w:space="0" w:color="auto" w:frame="1"/>
          <w:shd w:val="clear" w:color="auto" w:fill="FFFFFF"/>
        </w:rPr>
        <w:t>Revista de Contabilidade do Mestrado em Ciências Contábeis da UERJ</w:t>
      </w:r>
      <w:r w:rsidRPr="00DA48C3">
        <w:rPr>
          <w:sz w:val="24"/>
          <w:szCs w:val="24"/>
          <w:shd w:val="clear" w:color="auto" w:fill="FFFFFF"/>
        </w:rPr>
        <w:t>, 22(1), 28-48.</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lang w:val="en-US"/>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lang w:val="en-US"/>
        </w:rPr>
      </w:pPr>
      <w:r w:rsidRPr="00DA48C3">
        <w:rPr>
          <w:spacing w:val="-5"/>
          <w:sz w:val="24"/>
          <w:szCs w:val="24"/>
          <w:lang w:val="en-US"/>
        </w:rPr>
        <w:t xml:space="preserve">Ding, Y., Hope, O. -K., </w:t>
      </w:r>
      <w:proofErr w:type="spellStart"/>
      <w:r w:rsidRPr="00DA48C3">
        <w:rPr>
          <w:spacing w:val="-5"/>
          <w:sz w:val="24"/>
          <w:szCs w:val="24"/>
          <w:lang w:val="en-US"/>
        </w:rPr>
        <w:t>Jeanjean</w:t>
      </w:r>
      <w:proofErr w:type="spellEnd"/>
      <w:r w:rsidRPr="00DA48C3">
        <w:rPr>
          <w:spacing w:val="-5"/>
          <w:sz w:val="24"/>
          <w:szCs w:val="24"/>
          <w:lang w:val="en-US"/>
        </w:rPr>
        <w:t xml:space="preserve">, T., &amp; </w:t>
      </w:r>
      <w:proofErr w:type="spellStart"/>
      <w:r w:rsidRPr="00DA48C3">
        <w:rPr>
          <w:spacing w:val="-5"/>
          <w:sz w:val="24"/>
          <w:szCs w:val="24"/>
          <w:lang w:val="en-US"/>
        </w:rPr>
        <w:t>Stolowy</w:t>
      </w:r>
      <w:proofErr w:type="spellEnd"/>
      <w:r w:rsidRPr="00DA48C3">
        <w:rPr>
          <w:spacing w:val="-5"/>
          <w:sz w:val="24"/>
          <w:szCs w:val="24"/>
          <w:lang w:val="en-US"/>
        </w:rPr>
        <w:t>, H. (2007). Differences between domestic accounting standards and IAS: measurement, determinants and implications. </w:t>
      </w:r>
      <w:r w:rsidRPr="00DA48C3">
        <w:rPr>
          <w:i/>
          <w:spacing w:val="-5"/>
          <w:sz w:val="24"/>
          <w:szCs w:val="24"/>
          <w:lang w:val="en-US"/>
        </w:rPr>
        <w:t>Journal of Accounting and Public Policy</w:t>
      </w:r>
      <w:r w:rsidRPr="00DA48C3">
        <w:rPr>
          <w:spacing w:val="-5"/>
          <w:sz w:val="24"/>
          <w:szCs w:val="24"/>
          <w:lang w:val="en-US"/>
        </w:rPr>
        <w:t>, 26, 1-38.</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lang w:val="en-US"/>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r w:rsidRPr="00DA48C3">
        <w:rPr>
          <w:spacing w:val="-5"/>
          <w:sz w:val="24"/>
          <w:szCs w:val="24"/>
          <w:lang w:val="en-US"/>
        </w:rPr>
        <w:t xml:space="preserve">Epstein, B. J., Mirza, A. A. (2006). </w:t>
      </w:r>
      <w:r w:rsidRPr="00DA48C3">
        <w:rPr>
          <w:i/>
          <w:spacing w:val="-5"/>
          <w:sz w:val="24"/>
          <w:szCs w:val="24"/>
          <w:lang w:val="en-US"/>
        </w:rPr>
        <w:t>IFRS: Interpretation and Application of International Financial Reporting Standards</w:t>
      </w:r>
      <w:r w:rsidRPr="00DA48C3">
        <w:rPr>
          <w:spacing w:val="-5"/>
          <w:sz w:val="24"/>
          <w:szCs w:val="24"/>
          <w:lang w:val="en-US"/>
        </w:rPr>
        <w:t xml:space="preserve">. </w:t>
      </w:r>
      <w:r w:rsidRPr="00DA48C3">
        <w:rPr>
          <w:spacing w:val="-5"/>
          <w:sz w:val="24"/>
          <w:szCs w:val="24"/>
        </w:rPr>
        <w:t xml:space="preserve">New Jersey: John </w:t>
      </w:r>
      <w:proofErr w:type="spellStart"/>
      <w:r w:rsidRPr="00DA48C3">
        <w:rPr>
          <w:spacing w:val="-5"/>
          <w:sz w:val="24"/>
          <w:szCs w:val="24"/>
        </w:rPr>
        <w:t>Wiley</w:t>
      </w:r>
      <w:proofErr w:type="spellEnd"/>
      <w:r w:rsidRPr="00DA48C3">
        <w:rPr>
          <w:spacing w:val="-5"/>
          <w:sz w:val="24"/>
          <w:szCs w:val="24"/>
        </w:rPr>
        <w:t xml:space="preserve"> &amp; Sons.</w:t>
      </w:r>
    </w:p>
    <w:p w:rsidR="0079513E" w:rsidRPr="00DA48C3" w:rsidRDefault="0079513E" w:rsidP="0079513E">
      <w:pPr>
        <w:tabs>
          <w:tab w:val="left" w:pos="240"/>
        </w:tabs>
        <w:autoSpaceDE w:val="0"/>
        <w:autoSpaceDN w:val="0"/>
        <w:adjustRightInd w:val="0"/>
        <w:ind w:left="426" w:hanging="426"/>
        <w:jc w:val="both"/>
        <w:outlineLvl w:val="0"/>
        <w:rPr>
          <w:sz w:val="24"/>
          <w:szCs w:val="24"/>
          <w:shd w:val="clear" w:color="auto" w:fill="FFFFFF"/>
        </w:rPr>
      </w:pPr>
    </w:p>
    <w:p w:rsidR="0079513E" w:rsidRPr="00DA48C3" w:rsidRDefault="0079513E" w:rsidP="0079513E">
      <w:pPr>
        <w:tabs>
          <w:tab w:val="left" w:pos="240"/>
        </w:tabs>
        <w:autoSpaceDE w:val="0"/>
        <w:autoSpaceDN w:val="0"/>
        <w:adjustRightInd w:val="0"/>
        <w:ind w:left="426" w:hanging="426"/>
        <w:jc w:val="both"/>
        <w:outlineLvl w:val="0"/>
        <w:rPr>
          <w:sz w:val="24"/>
          <w:szCs w:val="24"/>
          <w:shd w:val="clear" w:color="auto" w:fill="FFFFFF"/>
        </w:rPr>
      </w:pPr>
      <w:r w:rsidRPr="00DA48C3">
        <w:rPr>
          <w:sz w:val="24"/>
          <w:szCs w:val="24"/>
          <w:shd w:val="clear" w:color="auto" w:fill="FFFFFF"/>
        </w:rPr>
        <w:t>Ettore, L. A. G., Silva, C. A. O., &amp; Macedo, M. A. S. (2017). Análise do Comportamento de Futuros Contadores Frente à Ocorrência do Efeito Formulação/</w:t>
      </w:r>
      <w:proofErr w:type="spellStart"/>
      <w:r w:rsidRPr="00DA48C3">
        <w:rPr>
          <w:sz w:val="24"/>
          <w:szCs w:val="24"/>
          <w:shd w:val="clear" w:color="auto" w:fill="FFFFFF"/>
        </w:rPr>
        <w:t>Framing</w:t>
      </w:r>
      <w:proofErr w:type="spellEnd"/>
      <w:r w:rsidRPr="00DA48C3">
        <w:rPr>
          <w:sz w:val="24"/>
          <w:szCs w:val="24"/>
          <w:shd w:val="clear" w:color="auto" w:fill="FFFFFF"/>
        </w:rPr>
        <w:t xml:space="preserve"> e de Seus Vieses: Um Estudo com Foco na Adoção das IFRS no Brasil. </w:t>
      </w:r>
      <w:r w:rsidRPr="00DA48C3">
        <w:rPr>
          <w:rStyle w:val="nfase"/>
          <w:sz w:val="24"/>
          <w:szCs w:val="24"/>
          <w:bdr w:val="none" w:sz="0" w:space="0" w:color="auto" w:frame="1"/>
          <w:shd w:val="clear" w:color="auto" w:fill="FFFFFF"/>
        </w:rPr>
        <w:t>Contexto - Revista do Programa de Pós-Graduação em Controladoria e Contabilidade da UFRGS</w:t>
      </w:r>
      <w:r w:rsidRPr="00DA48C3">
        <w:rPr>
          <w:sz w:val="24"/>
          <w:szCs w:val="24"/>
          <w:shd w:val="clear" w:color="auto" w:fill="FFFFFF"/>
        </w:rPr>
        <w:t>, 17(35), 19-35.</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Fernandes, B. V. R., Lima, D. H. S., Vieira, E. T., &amp; </w:t>
      </w:r>
      <w:proofErr w:type="spellStart"/>
      <w:r w:rsidRPr="00DA48C3">
        <w:rPr>
          <w:sz w:val="24"/>
          <w:szCs w:val="24"/>
        </w:rPr>
        <w:t>Niyama</w:t>
      </w:r>
      <w:proofErr w:type="spellEnd"/>
      <w:r w:rsidRPr="00DA48C3">
        <w:rPr>
          <w:sz w:val="24"/>
          <w:szCs w:val="24"/>
        </w:rPr>
        <w:t xml:space="preserve">, J. K. (2011). Análise da Percepção dos Docentes dos Cursos de Graduação em Ciências Contábeis do Brasil Quanto ao Processo de </w:t>
      </w:r>
      <w:proofErr w:type="spellStart"/>
      <w:r w:rsidRPr="00DA48C3">
        <w:rPr>
          <w:sz w:val="24"/>
          <w:szCs w:val="24"/>
        </w:rPr>
        <w:t>COnvergência</w:t>
      </w:r>
      <w:proofErr w:type="spellEnd"/>
      <w:r w:rsidRPr="00DA48C3">
        <w:rPr>
          <w:sz w:val="24"/>
          <w:szCs w:val="24"/>
        </w:rPr>
        <w:t xml:space="preserve"> às Normas Internacionais de Contabilidade Aplicadas No Brasil. </w:t>
      </w:r>
      <w:r w:rsidRPr="00DA48C3">
        <w:rPr>
          <w:i/>
          <w:iCs/>
          <w:sz w:val="24"/>
          <w:szCs w:val="24"/>
        </w:rPr>
        <w:t>Revista de Contabilidade E Controladoria</w:t>
      </w:r>
      <w:r w:rsidRPr="00DA48C3">
        <w:rPr>
          <w:sz w:val="24"/>
          <w:szCs w:val="24"/>
        </w:rPr>
        <w:t xml:space="preserve">, </w:t>
      </w:r>
      <w:r w:rsidRPr="00DA48C3">
        <w:rPr>
          <w:i/>
          <w:iCs/>
          <w:sz w:val="24"/>
          <w:szCs w:val="24"/>
        </w:rPr>
        <w:t>3</w:t>
      </w:r>
      <w:r w:rsidRPr="00DA48C3">
        <w:rPr>
          <w:sz w:val="24"/>
          <w:szCs w:val="24"/>
        </w:rPr>
        <w:t>(3), 24–50.</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r w:rsidRPr="00DA48C3">
        <w:rPr>
          <w:spacing w:val="-5"/>
          <w:sz w:val="24"/>
          <w:szCs w:val="24"/>
        </w:rPr>
        <w:t xml:space="preserve">Gill, L. M. (2007) IFRS: </w:t>
      </w:r>
      <w:proofErr w:type="spellStart"/>
      <w:r w:rsidRPr="00DA48C3">
        <w:rPr>
          <w:spacing w:val="-5"/>
          <w:sz w:val="24"/>
          <w:szCs w:val="24"/>
        </w:rPr>
        <w:t>Coming</w:t>
      </w:r>
      <w:proofErr w:type="spellEnd"/>
      <w:r w:rsidRPr="00DA48C3">
        <w:rPr>
          <w:spacing w:val="-5"/>
          <w:sz w:val="24"/>
          <w:szCs w:val="24"/>
        </w:rPr>
        <w:t xml:space="preserve"> </w:t>
      </w:r>
      <w:proofErr w:type="spellStart"/>
      <w:r w:rsidRPr="00DA48C3">
        <w:rPr>
          <w:spacing w:val="-5"/>
          <w:sz w:val="24"/>
          <w:szCs w:val="24"/>
        </w:rPr>
        <w:t>to</w:t>
      </w:r>
      <w:proofErr w:type="spellEnd"/>
      <w:r w:rsidRPr="00DA48C3">
        <w:rPr>
          <w:spacing w:val="-5"/>
          <w:sz w:val="24"/>
          <w:szCs w:val="24"/>
        </w:rPr>
        <w:t xml:space="preserve"> </w:t>
      </w:r>
      <w:proofErr w:type="spellStart"/>
      <w:r w:rsidRPr="00DA48C3">
        <w:rPr>
          <w:spacing w:val="-5"/>
          <w:sz w:val="24"/>
          <w:szCs w:val="24"/>
        </w:rPr>
        <w:t>America</w:t>
      </w:r>
      <w:proofErr w:type="spellEnd"/>
      <w:r w:rsidRPr="00DA48C3">
        <w:rPr>
          <w:spacing w:val="-5"/>
          <w:sz w:val="24"/>
          <w:szCs w:val="24"/>
        </w:rPr>
        <w:t xml:space="preserve">. </w:t>
      </w:r>
      <w:proofErr w:type="spellStart"/>
      <w:r w:rsidRPr="00DA48C3">
        <w:rPr>
          <w:i/>
          <w:spacing w:val="-5"/>
          <w:sz w:val="24"/>
          <w:szCs w:val="24"/>
        </w:rPr>
        <w:t>Journal</w:t>
      </w:r>
      <w:proofErr w:type="spellEnd"/>
      <w:r w:rsidRPr="00DA48C3">
        <w:rPr>
          <w:i/>
          <w:spacing w:val="-5"/>
          <w:sz w:val="24"/>
          <w:szCs w:val="24"/>
        </w:rPr>
        <w:t xml:space="preserve"> </w:t>
      </w:r>
      <w:proofErr w:type="spellStart"/>
      <w:r w:rsidRPr="00DA48C3">
        <w:rPr>
          <w:i/>
          <w:spacing w:val="-5"/>
          <w:sz w:val="24"/>
          <w:szCs w:val="24"/>
        </w:rPr>
        <w:t>of</w:t>
      </w:r>
      <w:proofErr w:type="spellEnd"/>
      <w:r w:rsidRPr="00DA48C3">
        <w:rPr>
          <w:i/>
          <w:spacing w:val="-5"/>
          <w:sz w:val="24"/>
          <w:szCs w:val="24"/>
        </w:rPr>
        <w:t xml:space="preserve"> </w:t>
      </w:r>
      <w:proofErr w:type="spellStart"/>
      <w:r w:rsidRPr="00DA48C3">
        <w:rPr>
          <w:i/>
          <w:spacing w:val="-5"/>
          <w:sz w:val="24"/>
          <w:szCs w:val="24"/>
        </w:rPr>
        <w:t>Accountancy</w:t>
      </w:r>
      <w:proofErr w:type="spellEnd"/>
      <w:r w:rsidRPr="00DA48C3">
        <w:rPr>
          <w:spacing w:val="-5"/>
          <w:sz w:val="24"/>
          <w:szCs w:val="24"/>
        </w:rPr>
        <w:t>, 70-73.</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Gomes, M. da S. G., Cruz, T. S. da, Souza, L. E., &amp; Gomes, I. B. (2015). Nível de Conhecimento dos Futuros Profissionais de Contabilidade do Estado da Bahia : Uma Análise à Luz dos Conceitos Básicos Presentes nas Normas Brasileiras de Contabilidade </w:t>
      </w:r>
      <w:proofErr w:type="spellStart"/>
      <w:r w:rsidRPr="00DA48C3">
        <w:rPr>
          <w:sz w:val="24"/>
          <w:szCs w:val="24"/>
        </w:rPr>
        <w:t>Knowledge</w:t>
      </w:r>
      <w:proofErr w:type="spellEnd"/>
      <w:r w:rsidRPr="00DA48C3">
        <w:rPr>
          <w:sz w:val="24"/>
          <w:szCs w:val="24"/>
        </w:rPr>
        <w:t xml:space="preserve"> </w:t>
      </w:r>
      <w:proofErr w:type="spellStart"/>
      <w:r w:rsidRPr="00DA48C3">
        <w:rPr>
          <w:sz w:val="24"/>
          <w:szCs w:val="24"/>
        </w:rPr>
        <w:t>Level</w:t>
      </w:r>
      <w:proofErr w:type="spellEnd"/>
      <w:r w:rsidRPr="00DA48C3">
        <w:rPr>
          <w:sz w:val="24"/>
          <w:szCs w:val="24"/>
        </w:rPr>
        <w:t xml:space="preserve"> </w:t>
      </w:r>
      <w:proofErr w:type="spellStart"/>
      <w:r w:rsidRPr="00DA48C3">
        <w:rPr>
          <w:sz w:val="24"/>
          <w:szCs w:val="24"/>
        </w:rPr>
        <w:t>of</w:t>
      </w:r>
      <w:proofErr w:type="spellEnd"/>
      <w:r w:rsidRPr="00DA48C3">
        <w:rPr>
          <w:sz w:val="24"/>
          <w:szCs w:val="24"/>
        </w:rPr>
        <w:t xml:space="preserve"> Future </w:t>
      </w:r>
      <w:proofErr w:type="spellStart"/>
      <w:r w:rsidRPr="00DA48C3">
        <w:rPr>
          <w:sz w:val="24"/>
          <w:szCs w:val="24"/>
        </w:rPr>
        <w:t>Professionals</w:t>
      </w:r>
      <w:proofErr w:type="spellEnd"/>
      <w:r w:rsidRPr="00DA48C3">
        <w:rPr>
          <w:sz w:val="24"/>
          <w:szCs w:val="24"/>
        </w:rPr>
        <w:t xml:space="preserve"> </w:t>
      </w:r>
      <w:proofErr w:type="spellStart"/>
      <w:r w:rsidRPr="00DA48C3">
        <w:rPr>
          <w:sz w:val="24"/>
          <w:szCs w:val="24"/>
        </w:rPr>
        <w:t>of</w:t>
      </w:r>
      <w:proofErr w:type="spellEnd"/>
      <w:r w:rsidRPr="00DA48C3">
        <w:rPr>
          <w:sz w:val="24"/>
          <w:szCs w:val="24"/>
        </w:rPr>
        <w:t xml:space="preserve"> </w:t>
      </w:r>
      <w:proofErr w:type="spellStart"/>
      <w:r w:rsidRPr="00DA48C3">
        <w:rPr>
          <w:sz w:val="24"/>
          <w:szCs w:val="24"/>
        </w:rPr>
        <w:t>Accounting</w:t>
      </w:r>
      <w:proofErr w:type="spellEnd"/>
      <w:r w:rsidRPr="00DA48C3">
        <w:rPr>
          <w:sz w:val="24"/>
          <w:szCs w:val="24"/>
        </w:rPr>
        <w:t xml:space="preserve"> in </w:t>
      </w:r>
      <w:proofErr w:type="spellStart"/>
      <w:r w:rsidRPr="00DA48C3">
        <w:rPr>
          <w:sz w:val="24"/>
          <w:szCs w:val="24"/>
        </w:rPr>
        <w:t>the</w:t>
      </w:r>
      <w:proofErr w:type="spellEnd"/>
      <w:r w:rsidRPr="00DA48C3">
        <w:rPr>
          <w:sz w:val="24"/>
          <w:szCs w:val="24"/>
        </w:rPr>
        <w:t xml:space="preserve"> </w:t>
      </w:r>
      <w:proofErr w:type="spellStart"/>
      <w:r w:rsidRPr="00DA48C3">
        <w:rPr>
          <w:sz w:val="24"/>
          <w:szCs w:val="24"/>
        </w:rPr>
        <w:t>State</w:t>
      </w:r>
      <w:proofErr w:type="spellEnd"/>
      <w:r w:rsidRPr="00DA48C3">
        <w:rPr>
          <w:sz w:val="24"/>
          <w:szCs w:val="24"/>
        </w:rPr>
        <w:t xml:space="preserve"> </w:t>
      </w:r>
      <w:proofErr w:type="spellStart"/>
      <w:r w:rsidRPr="00DA48C3">
        <w:rPr>
          <w:sz w:val="24"/>
          <w:szCs w:val="24"/>
        </w:rPr>
        <w:t>of</w:t>
      </w:r>
      <w:proofErr w:type="spellEnd"/>
      <w:r w:rsidRPr="00DA48C3">
        <w:rPr>
          <w:sz w:val="24"/>
          <w:szCs w:val="24"/>
        </w:rPr>
        <w:t xml:space="preserve"> Bahia : A. </w:t>
      </w:r>
      <w:r w:rsidRPr="00DA48C3">
        <w:rPr>
          <w:i/>
          <w:iCs/>
          <w:sz w:val="24"/>
          <w:szCs w:val="24"/>
        </w:rPr>
        <w:t>REUNIR</w:t>
      </w:r>
      <w:r w:rsidRPr="00DA48C3">
        <w:rPr>
          <w:sz w:val="24"/>
          <w:szCs w:val="24"/>
        </w:rPr>
        <w:t xml:space="preserve">, </w:t>
      </w:r>
      <w:r w:rsidRPr="00DA48C3">
        <w:rPr>
          <w:i/>
          <w:iCs/>
          <w:sz w:val="24"/>
          <w:szCs w:val="24"/>
        </w:rPr>
        <w:t>5</w:t>
      </w:r>
      <w:r w:rsidRPr="00DA48C3">
        <w:rPr>
          <w:sz w:val="24"/>
          <w:szCs w:val="24"/>
        </w:rPr>
        <w:t>(2), 104–121.</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Kuhn, J., Machado, L. de S., &amp; Machado, M. R. R. (2014a). Conhecimento dos Docentes de Contabilidade Sobre as Normas Internacionais. </w:t>
      </w:r>
      <w:r w:rsidRPr="00DA48C3">
        <w:rPr>
          <w:i/>
          <w:iCs/>
          <w:sz w:val="24"/>
          <w:szCs w:val="24"/>
        </w:rPr>
        <w:t>Revista de Contabilidade E Controladoria</w:t>
      </w:r>
      <w:r w:rsidRPr="00DA48C3">
        <w:rPr>
          <w:sz w:val="24"/>
          <w:szCs w:val="24"/>
        </w:rPr>
        <w:t xml:space="preserve">, </w:t>
      </w:r>
      <w:r w:rsidRPr="00DA48C3">
        <w:rPr>
          <w:i/>
          <w:iCs/>
          <w:sz w:val="24"/>
          <w:szCs w:val="24"/>
        </w:rPr>
        <w:t>6</w:t>
      </w:r>
      <w:r w:rsidRPr="00DA48C3">
        <w:rPr>
          <w:sz w:val="24"/>
          <w:szCs w:val="24"/>
        </w:rPr>
        <w:t>(1), 28–42.</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Kuhn, J., Machado, M. R. R., &amp; Machado, L. de S. (2014b). Avaliação do Conhecimento dos Docentes da Grande Goiânia sobre Pronunciamentos Contábeis. </w:t>
      </w:r>
      <w:r w:rsidRPr="00DA48C3">
        <w:rPr>
          <w:i/>
          <w:iCs/>
          <w:sz w:val="24"/>
          <w:szCs w:val="24"/>
        </w:rPr>
        <w:t>Revista de Contabilidade Do Mestrado Em Ciências Contábeis Da UERJ (Online)</w:t>
      </w:r>
      <w:r w:rsidRPr="00DA48C3">
        <w:rPr>
          <w:sz w:val="24"/>
          <w:szCs w:val="24"/>
        </w:rPr>
        <w:t xml:space="preserve">, </w:t>
      </w:r>
      <w:r w:rsidRPr="00DA48C3">
        <w:rPr>
          <w:i/>
          <w:iCs/>
          <w:sz w:val="24"/>
          <w:szCs w:val="24"/>
        </w:rPr>
        <w:t>19</w:t>
      </w:r>
      <w:r w:rsidRPr="00DA48C3">
        <w:rPr>
          <w:sz w:val="24"/>
          <w:szCs w:val="24"/>
        </w:rPr>
        <w:t>(2), 2–22.</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Lima, R. L., Costa, A. de J. B., &amp; Santana, C. M. (2015). Educação Contábil em Tempos de IFRS: Um Estudo de Caso entre uma Universidade Brasileira e outra Alemã. </w:t>
      </w:r>
      <w:r w:rsidRPr="00DA48C3">
        <w:rPr>
          <w:i/>
          <w:iCs/>
          <w:sz w:val="24"/>
          <w:szCs w:val="24"/>
        </w:rPr>
        <w:t>Revista de Gestão e Contabilidade de UFPI</w:t>
      </w:r>
      <w:r w:rsidRPr="00DA48C3">
        <w:rPr>
          <w:sz w:val="24"/>
          <w:szCs w:val="24"/>
        </w:rPr>
        <w:t xml:space="preserve">, </w:t>
      </w:r>
      <w:r w:rsidRPr="00DA48C3">
        <w:rPr>
          <w:i/>
          <w:iCs/>
          <w:sz w:val="24"/>
          <w:szCs w:val="24"/>
        </w:rPr>
        <w:t>2</w:t>
      </w:r>
      <w:r w:rsidRPr="00DA48C3">
        <w:rPr>
          <w:sz w:val="24"/>
          <w:szCs w:val="24"/>
        </w:rPr>
        <w:t>(1), 61–76.</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r w:rsidRPr="00DA48C3">
        <w:rPr>
          <w:spacing w:val="-5"/>
          <w:sz w:val="24"/>
          <w:szCs w:val="24"/>
        </w:rPr>
        <w:t xml:space="preserve">Lopes, A. B., Martins, E. (2014). </w:t>
      </w:r>
      <w:r w:rsidRPr="00DA48C3">
        <w:rPr>
          <w:i/>
          <w:spacing w:val="-5"/>
          <w:sz w:val="24"/>
          <w:szCs w:val="24"/>
        </w:rPr>
        <w:t>Teoria da contabilidade: uma nova abordagem</w:t>
      </w:r>
      <w:r w:rsidRPr="00DA48C3">
        <w:rPr>
          <w:spacing w:val="-5"/>
          <w:sz w:val="24"/>
          <w:szCs w:val="24"/>
        </w:rPr>
        <w:t>. São Paulo: Atlas.</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proofErr w:type="spellStart"/>
      <w:r w:rsidRPr="00DA48C3">
        <w:rPr>
          <w:sz w:val="24"/>
          <w:szCs w:val="24"/>
        </w:rPr>
        <w:t>Lunedo</w:t>
      </w:r>
      <w:proofErr w:type="spellEnd"/>
      <w:r w:rsidRPr="00DA48C3">
        <w:rPr>
          <w:sz w:val="24"/>
          <w:szCs w:val="24"/>
        </w:rPr>
        <w:t xml:space="preserve">, A. C. B., </w:t>
      </w:r>
      <w:proofErr w:type="spellStart"/>
      <w:r w:rsidRPr="00DA48C3">
        <w:rPr>
          <w:sz w:val="24"/>
          <w:szCs w:val="24"/>
        </w:rPr>
        <w:t>Kruger</w:t>
      </w:r>
      <w:proofErr w:type="spellEnd"/>
      <w:r w:rsidRPr="00DA48C3">
        <w:rPr>
          <w:sz w:val="24"/>
          <w:szCs w:val="24"/>
        </w:rPr>
        <w:t xml:space="preserve">, S. D., </w:t>
      </w:r>
      <w:proofErr w:type="spellStart"/>
      <w:r w:rsidRPr="00DA48C3">
        <w:rPr>
          <w:sz w:val="24"/>
          <w:szCs w:val="24"/>
        </w:rPr>
        <w:t>Mazzioni</w:t>
      </w:r>
      <w:proofErr w:type="spellEnd"/>
      <w:r w:rsidRPr="00DA48C3">
        <w:rPr>
          <w:sz w:val="24"/>
          <w:szCs w:val="24"/>
        </w:rPr>
        <w:t xml:space="preserve">, S., </w:t>
      </w:r>
      <w:proofErr w:type="spellStart"/>
      <w:r w:rsidRPr="00DA48C3">
        <w:rPr>
          <w:sz w:val="24"/>
          <w:szCs w:val="24"/>
        </w:rPr>
        <w:t>Lunedo</w:t>
      </w:r>
      <w:proofErr w:type="spellEnd"/>
      <w:r w:rsidRPr="00DA48C3">
        <w:rPr>
          <w:sz w:val="24"/>
          <w:szCs w:val="24"/>
        </w:rPr>
        <w:t xml:space="preserve">, R., &amp; </w:t>
      </w:r>
      <w:proofErr w:type="spellStart"/>
      <w:r w:rsidRPr="00DA48C3">
        <w:rPr>
          <w:sz w:val="24"/>
          <w:szCs w:val="24"/>
        </w:rPr>
        <w:t>Folletto</w:t>
      </w:r>
      <w:proofErr w:type="spellEnd"/>
      <w:r w:rsidRPr="00DA48C3">
        <w:rPr>
          <w:sz w:val="24"/>
          <w:szCs w:val="24"/>
        </w:rPr>
        <w:t xml:space="preserve">, E. P. (2014). As Características Das Publicações Brasileiras Sobre As IFRS E Os Pronunciamentos Contábeis Em Periódicos de Alto Impacto. </w:t>
      </w:r>
      <w:r w:rsidRPr="00DA48C3">
        <w:rPr>
          <w:i/>
          <w:iCs/>
          <w:sz w:val="24"/>
          <w:szCs w:val="24"/>
        </w:rPr>
        <w:t>Sociais E Humanas, UFSM</w:t>
      </w:r>
      <w:r w:rsidRPr="00DA48C3">
        <w:rPr>
          <w:sz w:val="24"/>
          <w:szCs w:val="24"/>
        </w:rPr>
        <w:t xml:space="preserve">, </w:t>
      </w:r>
      <w:r w:rsidRPr="00DA48C3">
        <w:rPr>
          <w:i/>
          <w:iCs/>
          <w:sz w:val="24"/>
          <w:szCs w:val="24"/>
        </w:rPr>
        <w:t>27</w:t>
      </w:r>
      <w:r w:rsidRPr="00DA48C3">
        <w:rPr>
          <w:sz w:val="24"/>
          <w:szCs w:val="24"/>
        </w:rPr>
        <w:t>(2), 40–57.</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Machado, M. C., &amp; </w:t>
      </w:r>
      <w:proofErr w:type="spellStart"/>
      <w:r w:rsidRPr="00DA48C3">
        <w:rPr>
          <w:sz w:val="24"/>
          <w:szCs w:val="24"/>
        </w:rPr>
        <w:t>Nakao</w:t>
      </w:r>
      <w:proofErr w:type="spellEnd"/>
      <w:r w:rsidRPr="00DA48C3">
        <w:rPr>
          <w:sz w:val="24"/>
          <w:szCs w:val="24"/>
        </w:rPr>
        <w:t xml:space="preserve">, S. H. (2014). Influência das Diferenças Culturais, Econômicas e Sociais na Adoção das IFRS. </w:t>
      </w:r>
      <w:r w:rsidRPr="00DA48C3">
        <w:rPr>
          <w:i/>
          <w:iCs/>
          <w:sz w:val="24"/>
          <w:szCs w:val="24"/>
        </w:rPr>
        <w:t>Revista Universo Contábil</w:t>
      </w:r>
      <w:r w:rsidRPr="00DA48C3">
        <w:rPr>
          <w:sz w:val="24"/>
          <w:szCs w:val="24"/>
        </w:rPr>
        <w:t xml:space="preserve">, </w:t>
      </w:r>
      <w:r w:rsidRPr="00DA48C3">
        <w:rPr>
          <w:i/>
          <w:iCs/>
          <w:sz w:val="24"/>
          <w:szCs w:val="24"/>
        </w:rPr>
        <w:t>10</w:t>
      </w:r>
      <w:r w:rsidRPr="00DA48C3">
        <w:rPr>
          <w:sz w:val="24"/>
          <w:szCs w:val="24"/>
        </w:rPr>
        <w:t xml:space="preserve">(1), 104–125. </w:t>
      </w:r>
    </w:p>
    <w:p w:rsidR="0079513E" w:rsidRPr="00DA48C3" w:rsidRDefault="0079513E" w:rsidP="0079513E">
      <w:pPr>
        <w:suppressAutoHyphens w:val="0"/>
        <w:ind w:left="426" w:hanging="426"/>
        <w:jc w:val="both"/>
        <w:rPr>
          <w:sz w:val="24"/>
          <w:szCs w:val="24"/>
          <w:shd w:val="clear" w:color="auto" w:fill="FFFFFF"/>
        </w:rPr>
      </w:pPr>
    </w:p>
    <w:p w:rsidR="0079513E" w:rsidRPr="00DA48C3" w:rsidRDefault="0079513E" w:rsidP="0079513E">
      <w:pPr>
        <w:suppressAutoHyphens w:val="0"/>
        <w:ind w:left="426" w:hanging="426"/>
        <w:jc w:val="both"/>
        <w:rPr>
          <w:sz w:val="24"/>
          <w:szCs w:val="24"/>
        </w:rPr>
      </w:pPr>
      <w:r w:rsidRPr="00DA48C3">
        <w:rPr>
          <w:sz w:val="24"/>
          <w:szCs w:val="24"/>
          <w:shd w:val="clear" w:color="auto" w:fill="FFFFFF"/>
        </w:rPr>
        <w:t xml:space="preserve">Machado, V. N., Victor, F. G., &amp; </w:t>
      </w:r>
      <w:proofErr w:type="spellStart"/>
      <w:r w:rsidRPr="00DA48C3">
        <w:rPr>
          <w:sz w:val="24"/>
          <w:szCs w:val="24"/>
          <w:shd w:val="clear" w:color="auto" w:fill="FFFFFF"/>
        </w:rPr>
        <w:t>Matts</w:t>
      </w:r>
      <w:proofErr w:type="spellEnd"/>
      <w:r w:rsidRPr="00DA48C3">
        <w:rPr>
          <w:sz w:val="24"/>
          <w:szCs w:val="24"/>
          <w:shd w:val="clear" w:color="auto" w:fill="FFFFFF"/>
        </w:rPr>
        <w:t>, J. S. (2016). Ativos biológicos: uma análise da aderência ao CPC 29 pelas companhias listadas na BM&amp;FBOVESPA de 2007 a 2015. </w:t>
      </w:r>
      <w:r w:rsidRPr="00DA48C3">
        <w:rPr>
          <w:rStyle w:val="nfase"/>
          <w:sz w:val="24"/>
          <w:szCs w:val="24"/>
          <w:bdr w:val="none" w:sz="0" w:space="0" w:color="auto" w:frame="1"/>
          <w:shd w:val="clear" w:color="auto" w:fill="FFFFFF"/>
        </w:rPr>
        <w:t>Contexto - Revista do Programa de Pós-Graduação em Controladoria e Contabilidade da UFRGS</w:t>
      </w:r>
      <w:r w:rsidRPr="00DA48C3">
        <w:rPr>
          <w:sz w:val="24"/>
          <w:szCs w:val="24"/>
          <w:shd w:val="clear" w:color="auto" w:fill="FFFFFF"/>
        </w:rPr>
        <w:t>, 16(34), 35-52.</w:t>
      </w:r>
    </w:p>
    <w:p w:rsidR="0079513E" w:rsidRPr="00DA48C3" w:rsidRDefault="0079513E" w:rsidP="0079513E">
      <w:pPr>
        <w:tabs>
          <w:tab w:val="left" w:pos="240"/>
        </w:tabs>
        <w:autoSpaceDE w:val="0"/>
        <w:autoSpaceDN w:val="0"/>
        <w:adjustRightInd w:val="0"/>
        <w:ind w:left="426" w:hanging="426"/>
        <w:jc w:val="both"/>
        <w:outlineLvl w:val="0"/>
        <w:rPr>
          <w:rFonts w:eastAsia="SimSun"/>
          <w:sz w:val="24"/>
          <w:szCs w:val="24"/>
          <w:lang w:eastAsia="zh-CN"/>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r w:rsidRPr="00DA48C3">
        <w:rPr>
          <w:rFonts w:eastAsia="SimSun"/>
          <w:sz w:val="24"/>
          <w:szCs w:val="24"/>
          <w:lang w:eastAsia="zh-CN"/>
        </w:rPr>
        <w:t xml:space="preserve">Martins, E., </w:t>
      </w:r>
      <w:proofErr w:type="spellStart"/>
      <w:r w:rsidRPr="00DA48C3">
        <w:rPr>
          <w:rFonts w:eastAsia="SimSun"/>
          <w:sz w:val="24"/>
          <w:szCs w:val="24"/>
          <w:lang w:eastAsia="zh-CN"/>
        </w:rPr>
        <w:t>Gelbcke</w:t>
      </w:r>
      <w:proofErr w:type="spellEnd"/>
      <w:r w:rsidRPr="00DA48C3">
        <w:rPr>
          <w:rFonts w:eastAsia="SimSun"/>
          <w:sz w:val="24"/>
          <w:szCs w:val="24"/>
          <w:lang w:eastAsia="zh-CN"/>
        </w:rPr>
        <w:t xml:space="preserve">, E. R., Santos, A., </w:t>
      </w:r>
      <w:proofErr w:type="spellStart"/>
      <w:r w:rsidRPr="00DA48C3">
        <w:rPr>
          <w:rFonts w:eastAsia="SimSun"/>
          <w:sz w:val="24"/>
          <w:szCs w:val="24"/>
          <w:lang w:eastAsia="zh-CN"/>
        </w:rPr>
        <w:t>Iudicibus</w:t>
      </w:r>
      <w:proofErr w:type="spellEnd"/>
      <w:r w:rsidRPr="00DA48C3">
        <w:rPr>
          <w:rFonts w:eastAsia="SimSun"/>
          <w:sz w:val="24"/>
          <w:szCs w:val="24"/>
          <w:lang w:eastAsia="zh-CN"/>
        </w:rPr>
        <w:t>, S.</w:t>
      </w:r>
      <w:r w:rsidRPr="00DA48C3">
        <w:rPr>
          <w:spacing w:val="-5"/>
          <w:sz w:val="24"/>
          <w:szCs w:val="24"/>
        </w:rPr>
        <w:t xml:space="preserve"> (2013). </w:t>
      </w:r>
      <w:r w:rsidRPr="00DA48C3">
        <w:rPr>
          <w:i/>
          <w:spacing w:val="-5"/>
          <w:sz w:val="24"/>
          <w:szCs w:val="24"/>
        </w:rPr>
        <w:t>Manual de Contabilidade Societária</w:t>
      </w:r>
      <w:r w:rsidRPr="00DA48C3">
        <w:rPr>
          <w:spacing w:val="-5"/>
          <w:sz w:val="24"/>
          <w:szCs w:val="24"/>
        </w:rPr>
        <w:t>. 2.ed. São Paulo: Atlas.</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r w:rsidRPr="00DA48C3">
        <w:rPr>
          <w:spacing w:val="-5"/>
          <w:sz w:val="24"/>
          <w:szCs w:val="24"/>
        </w:rPr>
        <w:lastRenderedPageBreak/>
        <w:t xml:space="preserve">Matos, E. B. S., Gonçalves, R.S., </w:t>
      </w:r>
      <w:proofErr w:type="spellStart"/>
      <w:r w:rsidRPr="00DA48C3">
        <w:rPr>
          <w:spacing w:val="-5"/>
          <w:sz w:val="24"/>
          <w:szCs w:val="24"/>
        </w:rPr>
        <w:t>Niyama</w:t>
      </w:r>
      <w:proofErr w:type="spellEnd"/>
      <w:r w:rsidRPr="00DA48C3">
        <w:rPr>
          <w:spacing w:val="-5"/>
          <w:sz w:val="24"/>
          <w:szCs w:val="24"/>
        </w:rPr>
        <w:t xml:space="preserve">, J. K., &amp; Marques, M. M. (2013) Convergência internacional: análise da relação entre o processo normativo e a composição dos membros do IASB. </w:t>
      </w:r>
      <w:proofErr w:type="spellStart"/>
      <w:r w:rsidRPr="00DA48C3">
        <w:rPr>
          <w:i/>
          <w:spacing w:val="-5"/>
          <w:sz w:val="24"/>
          <w:szCs w:val="24"/>
        </w:rPr>
        <w:t>Advances</w:t>
      </w:r>
      <w:proofErr w:type="spellEnd"/>
      <w:r w:rsidRPr="00DA48C3">
        <w:rPr>
          <w:i/>
          <w:spacing w:val="-5"/>
          <w:sz w:val="24"/>
          <w:szCs w:val="24"/>
        </w:rPr>
        <w:t xml:space="preserve"> in </w:t>
      </w:r>
      <w:proofErr w:type="spellStart"/>
      <w:r w:rsidRPr="00DA48C3">
        <w:rPr>
          <w:i/>
          <w:spacing w:val="-5"/>
          <w:sz w:val="24"/>
          <w:szCs w:val="24"/>
        </w:rPr>
        <w:t>Scientific</w:t>
      </w:r>
      <w:proofErr w:type="spellEnd"/>
      <w:r w:rsidRPr="00DA48C3">
        <w:rPr>
          <w:i/>
          <w:spacing w:val="-5"/>
          <w:sz w:val="24"/>
          <w:szCs w:val="24"/>
        </w:rPr>
        <w:t xml:space="preserve"> </w:t>
      </w:r>
      <w:proofErr w:type="spellStart"/>
      <w:r w:rsidRPr="00DA48C3">
        <w:rPr>
          <w:i/>
          <w:spacing w:val="-5"/>
          <w:sz w:val="24"/>
          <w:szCs w:val="24"/>
        </w:rPr>
        <w:t>and</w:t>
      </w:r>
      <w:proofErr w:type="spellEnd"/>
      <w:r w:rsidRPr="00DA48C3">
        <w:rPr>
          <w:i/>
          <w:spacing w:val="-5"/>
          <w:sz w:val="24"/>
          <w:szCs w:val="24"/>
        </w:rPr>
        <w:t xml:space="preserve"> </w:t>
      </w:r>
      <w:proofErr w:type="spellStart"/>
      <w:r w:rsidRPr="00DA48C3">
        <w:rPr>
          <w:i/>
          <w:spacing w:val="-5"/>
          <w:sz w:val="24"/>
          <w:szCs w:val="24"/>
        </w:rPr>
        <w:t>Applied</w:t>
      </w:r>
      <w:proofErr w:type="spellEnd"/>
      <w:r w:rsidRPr="00DA48C3">
        <w:rPr>
          <w:i/>
          <w:spacing w:val="-5"/>
          <w:sz w:val="24"/>
          <w:szCs w:val="24"/>
        </w:rPr>
        <w:t xml:space="preserve"> </w:t>
      </w:r>
      <w:proofErr w:type="spellStart"/>
      <w:r w:rsidRPr="00DA48C3">
        <w:rPr>
          <w:i/>
          <w:spacing w:val="-5"/>
          <w:sz w:val="24"/>
          <w:szCs w:val="24"/>
        </w:rPr>
        <w:t>Accounting</w:t>
      </w:r>
      <w:proofErr w:type="spellEnd"/>
      <w:r w:rsidRPr="00DA48C3">
        <w:rPr>
          <w:spacing w:val="-5"/>
          <w:sz w:val="24"/>
          <w:szCs w:val="24"/>
        </w:rPr>
        <w:t>, 6(1), 66-91.</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Matos, E. B. S. de, </w:t>
      </w:r>
      <w:proofErr w:type="spellStart"/>
      <w:r w:rsidRPr="00DA48C3">
        <w:rPr>
          <w:sz w:val="24"/>
          <w:szCs w:val="24"/>
        </w:rPr>
        <w:t>Niyama</w:t>
      </w:r>
      <w:proofErr w:type="spellEnd"/>
      <w:r w:rsidRPr="00DA48C3">
        <w:rPr>
          <w:sz w:val="24"/>
          <w:szCs w:val="24"/>
        </w:rPr>
        <w:t xml:space="preserve">, J. K., Fernandes, J. L. T., &amp; Botelho, D. R. (2012). Um estudo sobre a pesquisa em educação contábil em periódicos internacionais: Temáticas envolvendo as normas internacionais de contabilidade. </w:t>
      </w:r>
      <w:proofErr w:type="spellStart"/>
      <w:r w:rsidRPr="00DA48C3">
        <w:rPr>
          <w:i/>
          <w:iCs/>
          <w:sz w:val="24"/>
          <w:szCs w:val="24"/>
        </w:rPr>
        <w:t>ConTexto</w:t>
      </w:r>
      <w:proofErr w:type="spellEnd"/>
      <w:r w:rsidRPr="00DA48C3">
        <w:rPr>
          <w:sz w:val="24"/>
          <w:szCs w:val="24"/>
        </w:rPr>
        <w:t xml:space="preserve">, </w:t>
      </w:r>
      <w:r w:rsidRPr="00DA48C3">
        <w:rPr>
          <w:i/>
          <w:iCs/>
          <w:sz w:val="24"/>
          <w:szCs w:val="24"/>
        </w:rPr>
        <w:t>12</w:t>
      </w:r>
      <w:r w:rsidRPr="00DA48C3">
        <w:rPr>
          <w:sz w:val="24"/>
          <w:szCs w:val="24"/>
        </w:rPr>
        <w:t xml:space="preserve">(22), 59–73. </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Miranda, G. J. (2010). Docência Universitária: Uma Análise das Disciplinas na </w:t>
      </w:r>
      <w:proofErr w:type="spellStart"/>
      <w:r w:rsidRPr="00DA48C3">
        <w:rPr>
          <w:sz w:val="24"/>
          <w:szCs w:val="24"/>
        </w:rPr>
        <w:t>àrea</w:t>
      </w:r>
      <w:proofErr w:type="spellEnd"/>
      <w:r w:rsidRPr="00DA48C3">
        <w:rPr>
          <w:sz w:val="24"/>
          <w:szCs w:val="24"/>
        </w:rPr>
        <w:t xml:space="preserve"> de Formação pedagógica Oferecidas pelos Programas de Pós-graduação Stricto Sensu em Ciências Contábeis. </w:t>
      </w:r>
      <w:r w:rsidRPr="00DA48C3">
        <w:rPr>
          <w:i/>
          <w:iCs/>
          <w:sz w:val="24"/>
          <w:szCs w:val="24"/>
        </w:rPr>
        <w:t>Revista de Educação E Pesquisa Em Contabilidade</w:t>
      </w:r>
      <w:r w:rsidRPr="00DA48C3">
        <w:rPr>
          <w:sz w:val="24"/>
          <w:szCs w:val="24"/>
        </w:rPr>
        <w:t xml:space="preserve">, </w:t>
      </w:r>
      <w:r w:rsidRPr="00DA48C3">
        <w:rPr>
          <w:i/>
          <w:iCs/>
          <w:sz w:val="24"/>
          <w:szCs w:val="24"/>
        </w:rPr>
        <w:t>4</w:t>
      </w:r>
      <w:r w:rsidRPr="00DA48C3">
        <w:rPr>
          <w:sz w:val="24"/>
          <w:szCs w:val="24"/>
        </w:rPr>
        <w:t>(4), 81–98.</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Miranda, G. J., Casa Nova, S. P. de C., &amp; </w:t>
      </w:r>
      <w:proofErr w:type="spellStart"/>
      <w:r w:rsidRPr="00DA48C3">
        <w:rPr>
          <w:sz w:val="24"/>
          <w:szCs w:val="24"/>
        </w:rPr>
        <w:t>Cornachione</w:t>
      </w:r>
      <w:proofErr w:type="spellEnd"/>
      <w:r w:rsidRPr="00DA48C3">
        <w:rPr>
          <w:sz w:val="24"/>
          <w:szCs w:val="24"/>
        </w:rPr>
        <w:t xml:space="preserve"> Junior, E. B. (2012). Os Saberes dos Professores-Referência no Ensino de Contabilidade. </w:t>
      </w:r>
      <w:r w:rsidRPr="00DA48C3">
        <w:rPr>
          <w:i/>
          <w:iCs/>
          <w:sz w:val="24"/>
          <w:szCs w:val="24"/>
        </w:rPr>
        <w:t>R. Cont. Fin. USP</w:t>
      </w:r>
      <w:r w:rsidRPr="00DA48C3">
        <w:rPr>
          <w:sz w:val="24"/>
          <w:szCs w:val="24"/>
        </w:rPr>
        <w:t xml:space="preserve">, </w:t>
      </w:r>
      <w:r w:rsidRPr="00DA48C3">
        <w:rPr>
          <w:i/>
          <w:iCs/>
          <w:sz w:val="24"/>
          <w:szCs w:val="24"/>
        </w:rPr>
        <w:t>23</w:t>
      </w:r>
      <w:r w:rsidRPr="00DA48C3">
        <w:rPr>
          <w:sz w:val="24"/>
          <w:szCs w:val="24"/>
        </w:rPr>
        <w:t>(59), 142–153.</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lang w:val="en-US"/>
        </w:rPr>
      </w:pPr>
      <w:r w:rsidRPr="00DA48C3">
        <w:rPr>
          <w:sz w:val="24"/>
          <w:szCs w:val="24"/>
        </w:rPr>
        <w:t xml:space="preserve">Miranda, G. J., Santos, L. de A. A., Casa Nova, S. P. de C., &amp; </w:t>
      </w:r>
      <w:proofErr w:type="spellStart"/>
      <w:r w:rsidRPr="00DA48C3">
        <w:rPr>
          <w:sz w:val="24"/>
          <w:szCs w:val="24"/>
        </w:rPr>
        <w:t>Cornachione</w:t>
      </w:r>
      <w:proofErr w:type="spellEnd"/>
      <w:r w:rsidRPr="00DA48C3">
        <w:rPr>
          <w:sz w:val="24"/>
          <w:szCs w:val="24"/>
        </w:rPr>
        <w:t xml:space="preserve"> Junior, E. B. (2013). A Pesquisa em Educação Contábil: Produção Científica e Preferências de Doutores no Período de 2005 a 2009. </w:t>
      </w:r>
      <w:r w:rsidRPr="00DA48C3">
        <w:rPr>
          <w:i/>
          <w:iCs/>
          <w:sz w:val="24"/>
          <w:szCs w:val="24"/>
          <w:lang w:val="en-US"/>
        </w:rPr>
        <w:t>R. Cont. Fin. – USP,</w:t>
      </w:r>
      <w:r w:rsidRPr="00DA48C3">
        <w:rPr>
          <w:sz w:val="24"/>
          <w:szCs w:val="24"/>
          <w:lang w:val="en-US"/>
        </w:rPr>
        <w:t xml:space="preserve"> </w:t>
      </w:r>
      <w:r w:rsidRPr="00DA48C3">
        <w:rPr>
          <w:i/>
          <w:iCs/>
          <w:sz w:val="24"/>
          <w:szCs w:val="24"/>
          <w:lang w:val="en-US"/>
        </w:rPr>
        <w:t>24</w:t>
      </w:r>
      <w:r w:rsidRPr="00DA48C3">
        <w:rPr>
          <w:sz w:val="24"/>
          <w:szCs w:val="24"/>
          <w:lang w:val="en-US"/>
        </w:rPr>
        <w:t>(61), 75–88.</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lang w:val="en-US"/>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r w:rsidRPr="00DA48C3">
        <w:rPr>
          <w:spacing w:val="-5"/>
          <w:sz w:val="24"/>
          <w:szCs w:val="24"/>
          <w:lang w:val="en-US"/>
        </w:rPr>
        <w:t xml:space="preserve">Mohamed, E. K. A., &amp; </w:t>
      </w:r>
      <w:proofErr w:type="spellStart"/>
      <w:r w:rsidRPr="00DA48C3">
        <w:rPr>
          <w:spacing w:val="-5"/>
          <w:sz w:val="24"/>
          <w:szCs w:val="24"/>
          <w:lang w:val="en-US"/>
        </w:rPr>
        <w:t>Lashine</w:t>
      </w:r>
      <w:proofErr w:type="spellEnd"/>
      <w:r w:rsidRPr="00DA48C3">
        <w:rPr>
          <w:spacing w:val="-5"/>
          <w:sz w:val="24"/>
          <w:szCs w:val="24"/>
          <w:lang w:val="en-US"/>
        </w:rPr>
        <w:t xml:space="preserve">, S. H. (2003). Accounting Knowledge and Skills and the Challenges of a Global Business Environment. </w:t>
      </w:r>
      <w:proofErr w:type="spellStart"/>
      <w:r w:rsidRPr="00DA48C3">
        <w:rPr>
          <w:i/>
          <w:spacing w:val="-5"/>
          <w:sz w:val="24"/>
          <w:szCs w:val="24"/>
        </w:rPr>
        <w:t>Managerial</w:t>
      </w:r>
      <w:proofErr w:type="spellEnd"/>
      <w:r w:rsidRPr="00DA48C3">
        <w:rPr>
          <w:i/>
          <w:spacing w:val="-5"/>
          <w:sz w:val="24"/>
          <w:szCs w:val="24"/>
        </w:rPr>
        <w:t xml:space="preserve"> </w:t>
      </w:r>
      <w:proofErr w:type="spellStart"/>
      <w:r w:rsidRPr="00DA48C3">
        <w:rPr>
          <w:i/>
          <w:spacing w:val="-5"/>
          <w:sz w:val="24"/>
          <w:szCs w:val="24"/>
        </w:rPr>
        <w:t>Finance</w:t>
      </w:r>
      <w:proofErr w:type="spellEnd"/>
      <w:r w:rsidRPr="00DA48C3">
        <w:rPr>
          <w:spacing w:val="-5"/>
          <w:sz w:val="24"/>
          <w:szCs w:val="24"/>
        </w:rPr>
        <w:t xml:space="preserve">, </w:t>
      </w:r>
      <w:r w:rsidRPr="00DA48C3">
        <w:rPr>
          <w:i/>
          <w:spacing w:val="-5"/>
          <w:sz w:val="24"/>
          <w:szCs w:val="24"/>
        </w:rPr>
        <w:t>29</w:t>
      </w:r>
      <w:r w:rsidRPr="00DA48C3">
        <w:rPr>
          <w:spacing w:val="-5"/>
          <w:sz w:val="24"/>
          <w:szCs w:val="24"/>
        </w:rPr>
        <w:t>(7), 3-16.</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Nascimento, S. G. O. de, Lopes, J. E. de G., </w:t>
      </w:r>
      <w:proofErr w:type="spellStart"/>
      <w:r w:rsidRPr="00DA48C3">
        <w:rPr>
          <w:sz w:val="24"/>
          <w:szCs w:val="24"/>
        </w:rPr>
        <w:t>Colauto</w:t>
      </w:r>
      <w:proofErr w:type="spellEnd"/>
      <w:r w:rsidRPr="00DA48C3">
        <w:rPr>
          <w:sz w:val="24"/>
          <w:szCs w:val="24"/>
        </w:rPr>
        <w:t xml:space="preserve">, R. D., &amp; Pederneiras, M. M. M. (2014). Colonização da Contabilidade: um Estudo sobre o Processo de Convergência da Contabilidade Brasileira aos Padrões Internacionais. </w:t>
      </w:r>
      <w:r w:rsidRPr="00DA48C3">
        <w:rPr>
          <w:i/>
          <w:iCs/>
          <w:sz w:val="24"/>
          <w:szCs w:val="24"/>
        </w:rPr>
        <w:t>Revista Ambiente Contábil</w:t>
      </w:r>
      <w:r w:rsidRPr="00DA48C3">
        <w:rPr>
          <w:sz w:val="24"/>
          <w:szCs w:val="24"/>
        </w:rPr>
        <w:t xml:space="preserve">, </w:t>
      </w:r>
      <w:r w:rsidRPr="00DA48C3">
        <w:rPr>
          <w:i/>
          <w:iCs/>
          <w:sz w:val="24"/>
          <w:szCs w:val="24"/>
        </w:rPr>
        <w:t>6</w:t>
      </w:r>
      <w:r w:rsidRPr="00DA48C3">
        <w:rPr>
          <w:sz w:val="24"/>
          <w:szCs w:val="24"/>
        </w:rPr>
        <w:t>(2), 134–151.</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proofErr w:type="spellStart"/>
      <w:r w:rsidRPr="00DA48C3">
        <w:rPr>
          <w:sz w:val="24"/>
          <w:szCs w:val="24"/>
        </w:rPr>
        <w:t>Nganga</w:t>
      </w:r>
      <w:proofErr w:type="spellEnd"/>
      <w:r w:rsidRPr="00DA48C3">
        <w:rPr>
          <w:sz w:val="24"/>
          <w:szCs w:val="24"/>
        </w:rPr>
        <w:t xml:space="preserve">, C. S. N., Botinha, R. A., Miranda, G. J., &amp; Leal, E. A. (2016). Mestres e Doutores em Contabilidade no Brasil: uma Análise dos Componentes Pedagógicos de sua Formação Inicial. </w:t>
      </w:r>
      <w:r w:rsidRPr="00DA48C3">
        <w:rPr>
          <w:i/>
          <w:iCs/>
          <w:sz w:val="24"/>
          <w:szCs w:val="24"/>
        </w:rPr>
        <w:t xml:space="preserve">Revista </w:t>
      </w:r>
      <w:proofErr w:type="spellStart"/>
      <w:r w:rsidRPr="00DA48C3">
        <w:rPr>
          <w:i/>
          <w:iCs/>
          <w:sz w:val="24"/>
          <w:szCs w:val="24"/>
        </w:rPr>
        <w:t>Iberoamericana</w:t>
      </w:r>
      <w:proofErr w:type="spellEnd"/>
      <w:r w:rsidRPr="00DA48C3">
        <w:rPr>
          <w:i/>
          <w:iCs/>
          <w:sz w:val="24"/>
          <w:szCs w:val="24"/>
        </w:rPr>
        <w:t xml:space="preserve"> sobre </w:t>
      </w:r>
      <w:proofErr w:type="spellStart"/>
      <w:r w:rsidRPr="00DA48C3">
        <w:rPr>
          <w:i/>
          <w:iCs/>
          <w:sz w:val="24"/>
          <w:szCs w:val="24"/>
        </w:rPr>
        <w:t>Calidad</w:t>
      </w:r>
      <w:proofErr w:type="spellEnd"/>
      <w:r w:rsidRPr="00DA48C3">
        <w:rPr>
          <w:i/>
          <w:iCs/>
          <w:sz w:val="24"/>
          <w:szCs w:val="24"/>
        </w:rPr>
        <w:t xml:space="preserve">, </w:t>
      </w:r>
      <w:proofErr w:type="spellStart"/>
      <w:r w:rsidRPr="00DA48C3">
        <w:rPr>
          <w:i/>
          <w:iCs/>
          <w:sz w:val="24"/>
          <w:szCs w:val="24"/>
        </w:rPr>
        <w:t>Eficacia</w:t>
      </w:r>
      <w:proofErr w:type="spellEnd"/>
      <w:r w:rsidRPr="00DA48C3">
        <w:rPr>
          <w:i/>
          <w:iCs/>
          <w:sz w:val="24"/>
          <w:szCs w:val="24"/>
        </w:rPr>
        <w:t xml:space="preserve"> Y Cambio </w:t>
      </w:r>
      <w:proofErr w:type="spellStart"/>
      <w:r w:rsidRPr="00DA48C3">
        <w:rPr>
          <w:i/>
          <w:iCs/>
          <w:sz w:val="24"/>
          <w:szCs w:val="24"/>
        </w:rPr>
        <w:t>en</w:t>
      </w:r>
      <w:proofErr w:type="spellEnd"/>
      <w:r w:rsidRPr="00DA48C3">
        <w:rPr>
          <w:i/>
          <w:iCs/>
          <w:sz w:val="24"/>
          <w:szCs w:val="24"/>
        </w:rPr>
        <w:t xml:space="preserve"> </w:t>
      </w:r>
      <w:proofErr w:type="spellStart"/>
      <w:r w:rsidRPr="00DA48C3">
        <w:rPr>
          <w:i/>
          <w:iCs/>
          <w:sz w:val="24"/>
          <w:szCs w:val="24"/>
        </w:rPr>
        <w:t>Educación</w:t>
      </w:r>
      <w:proofErr w:type="spellEnd"/>
      <w:r w:rsidRPr="00DA48C3">
        <w:rPr>
          <w:sz w:val="24"/>
          <w:szCs w:val="24"/>
        </w:rPr>
        <w:t xml:space="preserve">, </w:t>
      </w:r>
      <w:r w:rsidRPr="00DA48C3">
        <w:rPr>
          <w:i/>
          <w:iCs/>
          <w:sz w:val="24"/>
          <w:szCs w:val="24"/>
        </w:rPr>
        <w:t>14</w:t>
      </w:r>
      <w:r w:rsidRPr="00DA48C3">
        <w:rPr>
          <w:sz w:val="24"/>
          <w:szCs w:val="24"/>
        </w:rPr>
        <w:t>(1), 83–99. https://doi.org/10.15366/reice2016.14.1.005</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roofErr w:type="spellStart"/>
      <w:r w:rsidRPr="00DA48C3">
        <w:rPr>
          <w:spacing w:val="-5"/>
          <w:sz w:val="24"/>
          <w:szCs w:val="24"/>
        </w:rPr>
        <w:t>Niyama</w:t>
      </w:r>
      <w:proofErr w:type="spellEnd"/>
      <w:r w:rsidRPr="00DA48C3">
        <w:rPr>
          <w:spacing w:val="-5"/>
          <w:sz w:val="24"/>
          <w:szCs w:val="24"/>
        </w:rPr>
        <w:t xml:space="preserve">, J. K. (2010) </w:t>
      </w:r>
      <w:r w:rsidRPr="00DA48C3">
        <w:rPr>
          <w:i/>
          <w:spacing w:val="-5"/>
          <w:sz w:val="24"/>
          <w:szCs w:val="24"/>
        </w:rPr>
        <w:t>Contabilidade Internacional</w:t>
      </w:r>
      <w:r w:rsidRPr="00DA48C3">
        <w:rPr>
          <w:spacing w:val="-5"/>
          <w:sz w:val="24"/>
          <w:szCs w:val="24"/>
        </w:rPr>
        <w:t>. 2.ed. São Paulo: Atlas.</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proofErr w:type="spellStart"/>
      <w:r w:rsidRPr="00DA48C3">
        <w:rPr>
          <w:sz w:val="24"/>
          <w:szCs w:val="24"/>
        </w:rPr>
        <w:t>Niyama</w:t>
      </w:r>
      <w:proofErr w:type="spellEnd"/>
      <w:r w:rsidRPr="00DA48C3">
        <w:rPr>
          <w:sz w:val="24"/>
          <w:szCs w:val="24"/>
        </w:rPr>
        <w:t xml:space="preserve">, J. K., Botelho, D. R., Corrêa, B. M., &amp; Santana, C. M. (2008). Conhecimento de Contabilidade nos Cursos de Graduação em Ciências Contábeis: Estudo da Oferta nas Instituições de Ensino Superior das Capitais Brasileiras. </w:t>
      </w:r>
      <w:r w:rsidRPr="00DA48C3">
        <w:rPr>
          <w:i/>
          <w:iCs/>
          <w:sz w:val="24"/>
          <w:szCs w:val="24"/>
        </w:rPr>
        <w:t xml:space="preserve">RCO – Revista de Contabilidade E </w:t>
      </w:r>
      <w:proofErr w:type="spellStart"/>
      <w:r w:rsidRPr="00DA48C3">
        <w:rPr>
          <w:i/>
          <w:iCs/>
          <w:sz w:val="24"/>
          <w:szCs w:val="24"/>
        </w:rPr>
        <w:t>Organizaçõe</w:t>
      </w:r>
      <w:proofErr w:type="spellEnd"/>
      <w:r w:rsidRPr="00DA48C3">
        <w:rPr>
          <w:sz w:val="24"/>
          <w:szCs w:val="24"/>
        </w:rPr>
        <w:t xml:space="preserve">, </w:t>
      </w:r>
      <w:r w:rsidRPr="00DA48C3">
        <w:rPr>
          <w:i/>
          <w:iCs/>
          <w:sz w:val="24"/>
          <w:szCs w:val="24"/>
        </w:rPr>
        <w:t>2</w:t>
      </w:r>
      <w:r w:rsidRPr="00DA48C3">
        <w:rPr>
          <w:sz w:val="24"/>
          <w:szCs w:val="24"/>
        </w:rPr>
        <w:t>(2), 100–117.</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proofErr w:type="spellStart"/>
      <w:r w:rsidRPr="00DA48C3">
        <w:rPr>
          <w:sz w:val="24"/>
          <w:szCs w:val="24"/>
        </w:rPr>
        <w:t>Niyama</w:t>
      </w:r>
      <w:proofErr w:type="spellEnd"/>
      <w:r w:rsidRPr="00DA48C3">
        <w:rPr>
          <w:sz w:val="24"/>
          <w:szCs w:val="24"/>
        </w:rPr>
        <w:t xml:space="preserve">, J. K., Mendonça, A. C. dos S., &amp; Aquino, D. R. B. de. (2007). Estudo </w:t>
      </w:r>
      <w:proofErr w:type="spellStart"/>
      <w:r w:rsidRPr="00DA48C3">
        <w:rPr>
          <w:sz w:val="24"/>
          <w:szCs w:val="24"/>
        </w:rPr>
        <w:t>empirico</w:t>
      </w:r>
      <w:proofErr w:type="spellEnd"/>
      <w:r w:rsidRPr="00DA48C3">
        <w:rPr>
          <w:sz w:val="24"/>
          <w:szCs w:val="24"/>
        </w:rPr>
        <w:t xml:space="preserve"> da percepção dos alunos de graduação em Ciências Contábeis do Distrito Federal quanto às causas das diferenças internacionais no financial </w:t>
      </w:r>
      <w:proofErr w:type="spellStart"/>
      <w:r w:rsidRPr="00DA48C3">
        <w:rPr>
          <w:sz w:val="24"/>
          <w:szCs w:val="24"/>
        </w:rPr>
        <w:t>reporting</w:t>
      </w:r>
      <w:proofErr w:type="spellEnd"/>
      <w:r w:rsidRPr="00DA48C3">
        <w:rPr>
          <w:sz w:val="24"/>
          <w:szCs w:val="24"/>
        </w:rPr>
        <w:t xml:space="preserve"> das empresas. </w:t>
      </w:r>
      <w:r w:rsidRPr="00DA48C3">
        <w:rPr>
          <w:i/>
          <w:iCs/>
          <w:sz w:val="24"/>
          <w:szCs w:val="24"/>
        </w:rPr>
        <w:t>Revista Universo Contábil (Online)</w:t>
      </w:r>
      <w:r w:rsidRPr="00DA48C3">
        <w:rPr>
          <w:sz w:val="24"/>
          <w:szCs w:val="24"/>
        </w:rPr>
        <w:t xml:space="preserve">, </w:t>
      </w:r>
      <w:r w:rsidRPr="00DA48C3">
        <w:rPr>
          <w:i/>
          <w:iCs/>
          <w:sz w:val="24"/>
          <w:szCs w:val="24"/>
        </w:rPr>
        <w:t>3</w:t>
      </w:r>
      <w:r w:rsidRPr="00DA48C3">
        <w:rPr>
          <w:sz w:val="24"/>
          <w:szCs w:val="24"/>
        </w:rPr>
        <w:t>(2), 22–38.</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roofErr w:type="spellStart"/>
      <w:r w:rsidRPr="00DA48C3">
        <w:rPr>
          <w:spacing w:val="-5"/>
          <w:sz w:val="24"/>
          <w:szCs w:val="24"/>
        </w:rPr>
        <w:t>Niyama</w:t>
      </w:r>
      <w:proofErr w:type="spellEnd"/>
      <w:r w:rsidRPr="00DA48C3">
        <w:rPr>
          <w:spacing w:val="-5"/>
          <w:sz w:val="24"/>
          <w:szCs w:val="24"/>
        </w:rPr>
        <w:t xml:space="preserve">, J. K., Silva, C. A. T. (2013) </w:t>
      </w:r>
      <w:r w:rsidRPr="00DA48C3">
        <w:rPr>
          <w:i/>
          <w:spacing w:val="-5"/>
          <w:sz w:val="24"/>
          <w:szCs w:val="24"/>
        </w:rPr>
        <w:t>Teoria da Contabilidade</w:t>
      </w:r>
      <w:r w:rsidRPr="00DA48C3">
        <w:rPr>
          <w:spacing w:val="-5"/>
          <w:sz w:val="24"/>
          <w:szCs w:val="24"/>
        </w:rPr>
        <w:t>. 3.ed. São Paulo: Atlas.</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Nunes, I. V., Marques, A. V. da C., &amp; Costa, P. de S. (2016). Nível de Conhecimento dos Discentes em Ciências Contábeis Sobre o Pronunciamento Conceitual Básico. </w:t>
      </w:r>
      <w:r w:rsidRPr="00DA48C3">
        <w:rPr>
          <w:i/>
          <w:iCs/>
          <w:sz w:val="24"/>
          <w:szCs w:val="24"/>
        </w:rPr>
        <w:t>Revista Universo Contábil</w:t>
      </w:r>
      <w:r w:rsidRPr="00DA48C3">
        <w:rPr>
          <w:sz w:val="24"/>
          <w:szCs w:val="24"/>
        </w:rPr>
        <w:t xml:space="preserve">, </w:t>
      </w:r>
      <w:r w:rsidRPr="00DA48C3">
        <w:rPr>
          <w:i/>
          <w:iCs/>
          <w:sz w:val="24"/>
          <w:szCs w:val="24"/>
        </w:rPr>
        <w:t>12</w:t>
      </w:r>
      <w:r w:rsidRPr="00DA48C3">
        <w:rPr>
          <w:sz w:val="24"/>
          <w:szCs w:val="24"/>
        </w:rPr>
        <w:t>(1), 87–104. https://doi.org/10.4270/ruc.2016105</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Pierre, K. S., Wilson, R. M. S., </w:t>
      </w:r>
      <w:proofErr w:type="spellStart"/>
      <w:r w:rsidRPr="00DA48C3">
        <w:rPr>
          <w:sz w:val="24"/>
          <w:szCs w:val="24"/>
        </w:rPr>
        <w:t>Ravenscroft</w:t>
      </w:r>
      <w:proofErr w:type="spellEnd"/>
      <w:r w:rsidRPr="00DA48C3">
        <w:rPr>
          <w:sz w:val="24"/>
          <w:szCs w:val="24"/>
        </w:rPr>
        <w:t xml:space="preserve">, S. P., &amp; Rebele, J. E. (2009). </w:t>
      </w:r>
      <w:r w:rsidRPr="00DA48C3">
        <w:rPr>
          <w:sz w:val="24"/>
          <w:szCs w:val="24"/>
          <w:lang w:val="en-US"/>
        </w:rPr>
        <w:t xml:space="preserve">The Role of Accounting Education Research in our Discipline - An Editorial. </w:t>
      </w:r>
      <w:proofErr w:type="spellStart"/>
      <w:r w:rsidRPr="00DA48C3">
        <w:rPr>
          <w:i/>
          <w:iCs/>
          <w:sz w:val="24"/>
          <w:szCs w:val="24"/>
        </w:rPr>
        <w:t>Accounting</w:t>
      </w:r>
      <w:proofErr w:type="spellEnd"/>
      <w:r w:rsidRPr="00DA48C3">
        <w:rPr>
          <w:i/>
          <w:iCs/>
          <w:sz w:val="24"/>
          <w:szCs w:val="24"/>
        </w:rPr>
        <w:t xml:space="preserve"> </w:t>
      </w:r>
      <w:proofErr w:type="spellStart"/>
      <w:r w:rsidRPr="00DA48C3">
        <w:rPr>
          <w:i/>
          <w:iCs/>
          <w:sz w:val="24"/>
          <w:szCs w:val="24"/>
        </w:rPr>
        <w:t>Education</w:t>
      </w:r>
      <w:proofErr w:type="spellEnd"/>
      <w:r w:rsidRPr="00DA48C3">
        <w:rPr>
          <w:sz w:val="24"/>
          <w:szCs w:val="24"/>
        </w:rPr>
        <w:t xml:space="preserve">, </w:t>
      </w:r>
      <w:r w:rsidRPr="00DA48C3">
        <w:rPr>
          <w:i/>
          <w:iCs/>
          <w:sz w:val="24"/>
          <w:szCs w:val="24"/>
        </w:rPr>
        <w:t>24</w:t>
      </w:r>
      <w:r w:rsidRPr="00DA48C3">
        <w:rPr>
          <w:sz w:val="24"/>
          <w:szCs w:val="24"/>
        </w:rPr>
        <w:t>(2), 123–130.</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r w:rsidRPr="00DA48C3">
        <w:rPr>
          <w:spacing w:val="-5"/>
          <w:sz w:val="24"/>
          <w:szCs w:val="24"/>
        </w:rPr>
        <w:t xml:space="preserve">Raupp, F. M.; </w:t>
      </w:r>
      <w:proofErr w:type="spellStart"/>
      <w:r w:rsidRPr="00DA48C3">
        <w:rPr>
          <w:spacing w:val="-5"/>
          <w:sz w:val="24"/>
          <w:szCs w:val="24"/>
        </w:rPr>
        <w:t>Beuren</w:t>
      </w:r>
      <w:proofErr w:type="spellEnd"/>
      <w:r w:rsidRPr="00DA48C3">
        <w:rPr>
          <w:spacing w:val="-5"/>
          <w:sz w:val="24"/>
          <w:szCs w:val="24"/>
        </w:rPr>
        <w:t xml:space="preserve">, I. M. (2013) Metodologia da Pesquisa Aplicável às Ciências Sociais. In: </w:t>
      </w:r>
      <w:proofErr w:type="spellStart"/>
      <w:r w:rsidRPr="00DA48C3">
        <w:rPr>
          <w:spacing w:val="-5"/>
          <w:sz w:val="24"/>
          <w:szCs w:val="24"/>
        </w:rPr>
        <w:t>Beuren</w:t>
      </w:r>
      <w:proofErr w:type="spellEnd"/>
      <w:r w:rsidRPr="00DA48C3">
        <w:rPr>
          <w:spacing w:val="-5"/>
          <w:sz w:val="24"/>
          <w:szCs w:val="24"/>
        </w:rPr>
        <w:t xml:space="preserve">, </w:t>
      </w:r>
      <w:proofErr w:type="spellStart"/>
      <w:r w:rsidRPr="00DA48C3">
        <w:rPr>
          <w:spacing w:val="-5"/>
          <w:sz w:val="24"/>
          <w:szCs w:val="24"/>
        </w:rPr>
        <w:t>Ilse</w:t>
      </w:r>
      <w:proofErr w:type="spellEnd"/>
      <w:r w:rsidRPr="00DA48C3">
        <w:rPr>
          <w:spacing w:val="-5"/>
          <w:sz w:val="24"/>
          <w:szCs w:val="24"/>
        </w:rPr>
        <w:t xml:space="preserve"> Maria (Org.) </w:t>
      </w:r>
      <w:r w:rsidRPr="00DA48C3">
        <w:rPr>
          <w:i/>
          <w:spacing w:val="-5"/>
          <w:sz w:val="24"/>
          <w:szCs w:val="24"/>
        </w:rPr>
        <w:t>Como Elaborar Trabalhos Monográficos em Contabilidade</w:t>
      </w:r>
      <w:r w:rsidRPr="00DA48C3">
        <w:rPr>
          <w:spacing w:val="-5"/>
          <w:sz w:val="24"/>
          <w:szCs w:val="24"/>
        </w:rPr>
        <w:t>: Teoria e Prática. (3ª. Ed,). São Paulo: Atlas.</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Reis, L. G. dos, Nogueira, D. R., &amp; Bim, E. A. (2014). Convergência às Normas Internacionais de Contabilidade: uma Análise sob a Perspectiva Docente e Discente. </w:t>
      </w:r>
      <w:r w:rsidRPr="00DA48C3">
        <w:rPr>
          <w:i/>
          <w:iCs/>
          <w:sz w:val="24"/>
          <w:szCs w:val="24"/>
        </w:rPr>
        <w:t>Revista de Administração, Contabilidade E Economia Da FUNDACE</w:t>
      </w:r>
      <w:r w:rsidRPr="00DA48C3">
        <w:rPr>
          <w:sz w:val="24"/>
          <w:szCs w:val="24"/>
        </w:rPr>
        <w:t xml:space="preserve">, </w:t>
      </w:r>
      <w:r w:rsidRPr="00DA48C3">
        <w:rPr>
          <w:i/>
          <w:iCs/>
          <w:sz w:val="24"/>
          <w:szCs w:val="24"/>
        </w:rPr>
        <w:t>43</w:t>
      </w:r>
      <w:r w:rsidRPr="00DA48C3">
        <w:rPr>
          <w:sz w:val="24"/>
          <w:szCs w:val="24"/>
        </w:rPr>
        <w:t>(9), 1–14.</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roofErr w:type="spellStart"/>
      <w:r w:rsidRPr="00DA48C3">
        <w:rPr>
          <w:spacing w:val="-5"/>
          <w:sz w:val="24"/>
          <w:szCs w:val="24"/>
        </w:rPr>
        <w:t>Riccio</w:t>
      </w:r>
      <w:proofErr w:type="spellEnd"/>
      <w:r w:rsidRPr="00DA48C3">
        <w:rPr>
          <w:spacing w:val="-5"/>
          <w:sz w:val="24"/>
          <w:szCs w:val="24"/>
        </w:rPr>
        <w:t xml:space="preserve">, E. L.; </w:t>
      </w:r>
      <w:proofErr w:type="spellStart"/>
      <w:r w:rsidRPr="00DA48C3">
        <w:rPr>
          <w:spacing w:val="-5"/>
          <w:sz w:val="24"/>
          <w:szCs w:val="24"/>
        </w:rPr>
        <w:t>Sakata</w:t>
      </w:r>
      <w:proofErr w:type="spellEnd"/>
      <w:r w:rsidRPr="00DA48C3">
        <w:rPr>
          <w:spacing w:val="-5"/>
          <w:sz w:val="24"/>
          <w:szCs w:val="24"/>
        </w:rPr>
        <w:t xml:space="preserve">, M. C. G. (2004) Evidências da globalização na educação contábil: estudo das grades curriculares dos cursos de graduação em universidades brasileiras e portuguesas. </w:t>
      </w:r>
      <w:r w:rsidRPr="00DA48C3">
        <w:rPr>
          <w:i/>
          <w:spacing w:val="-5"/>
          <w:sz w:val="24"/>
          <w:szCs w:val="24"/>
        </w:rPr>
        <w:t>Revista Contabilidade &amp; Finanças</w:t>
      </w:r>
      <w:r w:rsidRPr="00DA48C3">
        <w:rPr>
          <w:spacing w:val="-5"/>
          <w:sz w:val="24"/>
          <w:szCs w:val="24"/>
        </w:rPr>
        <w:t xml:space="preserve">, </w:t>
      </w:r>
      <w:r w:rsidRPr="00DA48C3">
        <w:rPr>
          <w:i/>
          <w:spacing w:val="-5"/>
          <w:sz w:val="24"/>
          <w:szCs w:val="24"/>
        </w:rPr>
        <w:t>15</w:t>
      </w:r>
      <w:r w:rsidRPr="00DA48C3">
        <w:rPr>
          <w:spacing w:val="-5"/>
          <w:sz w:val="24"/>
          <w:szCs w:val="24"/>
        </w:rPr>
        <w:t>(35), 35-44.</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r w:rsidRPr="00DA48C3">
        <w:rPr>
          <w:spacing w:val="-5"/>
          <w:sz w:val="24"/>
          <w:szCs w:val="24"/>
        </w:rPr>
        <w:t xml:space="preserve">Silva, A. C. R. (2003) </w:t>
      </w:r>
      <w:r w:rsidRPr="00DA48C3">
        <w:rPr>
          <w:i/>
          <w:spacing w:val="-5"/>
          <w:sz w:val="24"/>
          <w:szCs w:val="24"/>
        </w:rPr>
        <w:t>Metodologia da pesquisa aplicada à contabilidade: orientações de estudos, projetos, relatórios, monografias, dissertações, teses</w:t>
      </w:r>
      <w:r w:rsidRPr="00DA48C3">
        <w:rPr>
          <w:spacing w:val="-5"/>
          <w:sz w:val="24"/>
          <w:szCs w:val="24"/>
        </w:rPr>
        <w:t>. São Paulo: Atlas.</w:t>
      </w:r>
    </w:p>
    <w:p w:rsidR="0079513E" w:rsidRPr="00DA48C3" w:rsidRDefault="0079513E" w:rsidP="0079513E">
      <w:pPr>
        <w:suppressAutoHyphens w:val="0"/>
        <w:ind w:left="426" w:hanging="426"/>
        <w:jc w:val="both"/>
        <w:rPr>
          <w:sz w:val="24"/>
          <w:szCs w:val="24"/>
        </w:rPr>
      </w:pPr>
    </w:p>
    <w:p w:rsidR="0079513E" w:rsidRPr="00DA48C3" w:rsidRDefault="0079513E" w:rsidP="0079513E">
      <w:pPr>
        <w:suppressAutoHyphens w:val="0"/>
        <w:ind w:left="426" w:hanging="426"/>
        <w:jc w:val="both"/>
        <w:rPr>
          <w:sz w:val="24"/>
          <w:szCs w:val="24"/>
        </w:rPr>
      </w:pPr>
      <w:r w:rsidRPr="00DA48C3">
        <w:rPr>
          <w:sz w:val="24"/>
          <w:szCs w:val="24"/>
        </w:rPr>
        <w:t xml:space="preserve">Silva, J. P., Borges, T. J. G., Gonçalves, R. de S., &amp; Nascimento, D. V. R. do. (2017). Convergência ao Padrão IFRS e Suavização de Resultados em Empresas de Energia Elétrica. </w:t>
      </w:r>
      <w:r w:rsidRPr="00DA48C3">
        <w:rPr>
          <w:i/>
          <w:iCs/>
          <w:sz w:val="24"/>
          <w:szCs w:val="24"/>
        </w:rPr>
        <w:t xml:space="preserve">BASE - Revista de Administração e Contabilidade da </w:t>
      </w:r>
      <w:proofErr w:type="spellStart"/>
      <w:r w:rsidRPr="00DA48C3">
        <w:rPr>
          <w:i/>
          <w:iCs/>
          <w:sz w:val="24"/>
          <w:szCs w:val="24"/>
        </w:rPr>
        <w:t>Unisinos</w:t>
      </w:r>
      <w:proofErr w:type="spellEnd"/>
      <w:r w:rsidRPr="00DA48C3">
        <w:rPr>
          <w:sz w:val="24"/>
          <w:szCs w:val="24"/>
        </w:rPr>
        <w:t xml:space="preserve">, </w:t>
      </w:r>
      <w:r w:rsidRPr="00DA48C3">
        <w:rPr>
          <w:i/>
          <w:iCs/>
          <w:sz w:val="24"/>
          <w:szCs w:val="24"/>
        </w:rPr>
        <w:t>14</w:t>
      </w:r>
      <w:r w:rsidRPr="00DA48C3">
        <w:rPr>
          <w:sz w:val="24"/>
          <w:szCs w:val="24"/>
        </w:rPr>
        <w:t xml:space="preserve">(4), 281–296. </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r w:rsidRPr="00DA48C3">
        <w:rPr>
          <w:spacing w:val="-5"/>
          <w:sz w:val="24"/>
          <w:szCs w:val="24"/>
        </w:rPr>
        <w:t xml:space="preserve">Silva, U. B., Santos, E. B., Cordeiro Filho, J. B., Bruni, A. L. (2014). Concepções pedagógicas e mudanças nas práticas contábeis: um estudo sobre o modelo educacional adotado em uma universidade pública e a formação crítico-reflexiva do contador. </w:t>
      </w:r>
      <w:r w:rsidRPr="00DA48C3">
        <w:rPr>
          <w:i/>
          <w:spacing w:val="-5"/>
          <w:sz w:val="24"/>
          <w:szCs w:val="24"/>
        </w:rPr>
        <w:t>Revista de Contabilidade e Controladoria</w:t>
      </w:r>
      <w:r w:rsidRPr="00DA48C3">
        <w:rPr>
          <w:spacing w:val="-5"/>
          <w:sz w:val="24"/>
          <w:szCs w:val="24"/>
        </w:rPr>
        <w:t xml:space="preserve">, </w:t>
      </w:r>
      <w:r w:rsidRPr="00DA48C3">
        <w:rPr>
          <w:i/>
          <w:spacing w:val="-5"/>
          <w:sz w:val="24"/>
          <w:szCs w:val="24"/>
        </w:rPr>
        <w:t>6</w:t>
      </w:r>
      <w:r w:rsidRPr="00DA48C3">
        <w:rPr>
          <w:spacing w:val="-5"/>
          <w:sz w:val="24"/>
          <w:szCs w:val="24"/>
        </w:rPr>
        <w:t>(2), 54-66.</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r w:rsidRPr="00DA48C3">
        <w:rPr>
          <w:sz w:val="24"/>
          <w:szCs w:val="24"/>
          <w:shd w:val="clear" w:color="auto" w:fill="FFFFFF"/>
        </w:rPr>
        <w:t>Sousa, R. L. S., &amp; Santos, O. M. D. (2017). Nível de Evidenciação das Instituições Financeiras à Luz das Exigências DOCPC 40 – Instrumentos Financeiros. </w:t>
      </w:r>
      <w:r w:rsidRPr="00DA48C3">
        <w:rPr>
          <w:rStyle w:val="nfase"/>
          <w:sz w:val="24"/>
          <w:szCs w:val="24"/>
          <w:bdr w:val="none" w:sz="0" w:space="0" w:color="auto" w:frame="1"/>
          <w:shd w:val="clear" w:color="auto" w:fill="FFFFFF"/>
        </w:rPr>
        <w:t>Contexto - Revista do Programa de Pós-Graduação em Controladoria e Contabilidade da UFRGS</w:t>
      </w:r>
      <w:r w:rsidRPr="00DA48C3">
        <w:rPr>
          <w:sz w:val="24"/>
          <w:szCs w:val="24"/>
          <w:shd w:val="clear" w:color="auto" w:fill="FFFFFF"/>
        </w:rPr>
        <w:t>, 17(35), 105-122.</w:t>
      </w:r>
    </w:p>
    <w:p w:rsidR="0079513E" w:rsidRPr="00DA48C3" w:rsidRDefault="0079513E" w:rsidP="0079513E">
      <w:pPr>
        <w:suppressAutoHyphens w:val="0"/>
        <w:ind w:left="426" w:hanging="426"/>
        <w:jc w:val="both"/>
        <w:rPr>
          <w:sz w:val="24"/>
          <w:szCs w:val="24"/>
          <w:lang w:val="en-US"/>
        </w:rPr>
      </w:pPr>
    </w:p>
    <w:p w:rsidR="0079513E" w:rsidRPr="00DA48C3" w:rsidRDefault="0079513E" w:rsidP="0079513E">
      <w:pPr>
        <w:suppressAutoHyphens w:val="0"/>
        <w:ind w:left="426" w:hanging="426"/>
        <w:jc w:val="both"/>
        <w:rPr>
          <w:sz w:val="24"/>
          <w:szCs w:val="24"/>
        </w:rPr>
      </w:pPr>
      <w:proofErr w:type="spellStart"/>
      <w:r w:rsidRPr="00DA48C3">
        <w:rPr>
          <w:sz w:val="24"/>
          <w:szCs w:val="24"/>
          <w:lang w:val="en-US"/>
        </w:rPr>
        <w:t>Toigo</w:t>
      </w:r>
      <w:proofErr w:type="spellEnd"/>
      <w:r w:rsidRPr="00DA48C3">
        <w:rPr>
          <w:sz w:val="24"/>
          <w:szCs w:val="24"/>
          <w:lang w:val="en-US"/>
        </w:rPr>
        <w:t xml:space="preserve">, L. A., </w:t>
      </w:r>
      <w:proofErr w:type="spellStart"/>
      <w:r w:rsidRPr="00DA48C3">
        <w:rPr>
          <w:sz w:val="24"/>
          <w:szCs w:val="24"/>
          <w:lang w:val="en-US"/>
        </w:rPr>
        <w:t>Pletsch</w:t>
      </w:r>
      <w:proofErr w:type="spellEnd"/>
      <w:r w:rsidRPr="00DA48C3">
        <w:rPr>
          <w:sz w:val="24"/>
          <w:szCs w:val="24"/>
          <w:lang w:val="en-US"/>
        </w:rPr>
        <w:t xml:space="preserve">, C. S., Vogt, M., </w:t>
      </w:r>
      <w:proofErr w:type="spellStart"/>
      <w:r w:rsidRPr="00DA48C3">
        <w:rPr>
          <w:sz w:val="24"/>
          <w:szCs w:val="24"/>
          <w:lang w:val="en-US"/>
        </w:rPr>
        <w:t>Degenhart</w:t>
      </w:r>
      <w:proofErr w:type="spellEnd"/>
      <w:r w:rsidRPr="00DA48C3">
        <w:rPr>
          <w:sz w:val="24"/>
          <w:szCs w:val="24"/>
          <w:lang w:val="en-US"/>
        </w:rPr>
        <w:t xml:space="preserve">, L., &amp; </w:t>
      </w:r>
      <w:proofErr w:type="spellStart"/>
      <w:r w:rsidRPr="00DA48C3">
        <w:rPr>
          <w:sz w:val="24"/>
          <w:szCs w:val="24"/>
          <w:lang w:val="en-US"/>
        </w:rPr>
        <w:t>Klann</w:t>
      </w:r>
      <w:proofErr w:type="spellEnd"/>
      <w:r w:rsidRPr="00DA48C3">
        <w:rPr>
          <w:sz w:val="24"/>
          <w:szCs w:val="24"/>
          <w:lang w:val="en-US"/>
        </w:rPr>
        <w:t xml:space="preserve">, R. C. (2014). </w:t>
      </w:r>
      <w:r w:rsidRPr="00DA48C3">
        <w:rPr>
          <w:sz w:val="24"/>
          <w:szCs w:val="24"/>
        </w:rPr>
        <w:t xml:space="preserve">Características que Afetam o Julgamento dos Acadêmicos de Ciências Contábeis Quanto aos Pronunciamentos Técnicos do CPC. </w:t>
      </w:r>
      <w:r w:rsidRPr="00DA48C3">
        <w:rPr>
          <w:i/>
          <w:iCs/>
          <w:sz w:val="24"/>
          <w:szCs w:val="24"/>
        </w:rPr>
        <w:t>Revista Da UNIFEBE</w:t>
      </w:r>
      <w:r w:rsidRPr="00DA48C3">
        <w:rPr>
          <w:sz w:val="24"/>
          <w:szCs w:val="24"/>
        </w:rPr>
        <w:t xml:space="preserve">, </w:t>
      </w:r>
      <w:r w:rsidRPr="00DA48C3">
        <w:rPr>
          <w:i/>
          <w:iCs/>
          <w:sz w:val="24"/>
          <w:szCs w:val="24"/>
        </w:rPr>
        <w:t>14</w:t>
      </w:r>
      <w:r w:rsidRPr="00DA48C3">
        <w:rPr>
          <w:sz w:val="24"/>
          <w:szCs w:val="24"/>
        </w:rPr>
        <w:t>, 155–170.</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r w:rsidRPr="00DA48C3">
        <w:rPr>
          <w:spacing w:val="-5"/>
          <w:sz w:val="24"/>
          <w:szCs w:val="24"/>
        </w:rPr>
        <w:t xml:space="preserve">Vasconcelos, M. L. M. C. (1996). </w:t>
      </w:r>
      <w:r w:rsidRPr="00DA48C3">
        <w:rPr>
          <w:i/>
          <w:spacing w:val="-5"/>
          <w:sz w:val="24"/>
          <w:szCs w:val="24"/>
        </w:rPr>
        <w:t>A formação do professor de terceiro grau</w:t>
      </w:r>
      <w:r w:rsidRPr="00DA48C3">
        <w:rPr>
          <w:spacing w:val="-5"/>
          <w:sz w:val="24"/>
          <w:szCs w:val="24"/>
        </w:rPr>
        <w:t>. São Paulo: Pioneira.</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roofErr w:type="spellStart"/>
      <w:r w:rsidRPr="00DA48C3">
        <w:rPr>
          <w:spacing w:val="-5"/>
          <w:sz w:val="24"/>
          <w:szCs w:val="24"/>
        </w:rPr>
        <w:lastRenderedPageBreak/>
        <w:t>Vendruscolo</w:t>
      </w:r>
      <w:proofErr w:type="spellEnd"/>
      <w:r w:rsidRPr="00DA48C3">
        <w:rPr>
          <w:spacing w:val="-5"/>
          <w:sz w:val="24"/>
          <w:szCs w:val="24"/>
        </w:rPr>
        <w:t xml:space="preserve">, M. I. (2015). </w:t>
      </w:r>
      <w:r w:rsidRPr="00DA48C3">
        <w:rPr>
          <w:i/>
          <w:spacing w:val="-5"/>
          <w:sz w:val="24"/>
          <w:szCs w:val="24"/>
        </w:rPr>
        <w:t xml:space="preserve">Modelo pedagógico para o desenvolvimento de competências docentes em Contabilidade por educação à distância. </w:t>
      </w:r>
      <w:r w:rsidRPr="00DA48C3">
        <w:rPr>
          <w:spacing w:val="-5"/>
          <w:sz w:val="24"/>
          <w:szCs w:val="24"/>
        </w:rPr>
        <w:t>Tese de Doutorado. Universidade Federal do Rio Grande do Sul, Brasil.</w:t>
      </w:r>
    </w:p>
    <w:p w:rsidR="0079513E" w:rsidRPr="00DA48C3" w:rsidRDefault="0079513E" w:rsidP="0079513E">
      <w:pPr>
        <w:tabs>
          <w:tab w:val="left" w:pos="240"/>
        </w:tabs>
        <w:autoSpaceDE w:val="0"/>
        <w:autoSpaceDN w:val="0"/>
        <w:adjustRightInd w:val="0"/>
        <w:ind w:left="426" w:hanging="426"/>
        <w:jc w:val="both"/>
        <w:outlineLvl w:val="0"/>
        <w:rPr>
          <w:sz w:val="24"/>
          <w:szCs w:val="24"/>
          <w:shd w:val="clear" w:color="auto" w:fill="FFFFFF"/>
        </w:rPr>
      </w:pP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roofErr w:type="spellStart"/>
      <w:r w:rsidRPr="00DA48C3">
        <w:rPr>
          <w:sz w:val="24"/>
          <w:szCs w:val="24"/>
          <w:shd w:val="clear" w:color="auto" w:fill="FFFFFF"/>
        </w:rPr>
        <w:t>Zortea</w:t>
      </w:r>
      <w:proofErr w:type="spellEnd"/>
      <w:r w:rsidRPr="00DA48C3">
        <w:rPr>
          <w:sz w:val="24"/>
          <w:szCs w:val="24"/>
          <w:shd w:val="clear" w:color="auto" w:fill="FFFFFF"/>
        </w:rPr>
        <w:t xml:space="preserve">, C. T., Galdi, F. C., Monte-mor, D. S., &amp; </w:t>
      </w:r>
      <w:proofErr w:type="spellStart"/>
      <w:r w:rsidRPr="00DA48C3">
        <w:rPr>
          <w:sz w:val="24"/>
          <w:szCs w:val="24"/>
          <w:shd w:val="clear" w:color="auto" w:fill="FFFFFF"/>
        </w:rPr>
        <w:t>Beiruth</w:t>
      </w:r>
      <w:proofErr w:type="spellEnd"/>
      <w:r w:rsidRPr="00DA48C3">
        <w:rPr>
          <w:sz w:val="24"/>
          <w:szCs w:val="24"/>
          <w:shd w:val="clear" w:color="auto" w:fill="FFFFFF"/>
        </w:rPr>
        <w:t xml:space="preserve">, A. X. (2017). Eficiência do Mercado de Capitais Após a Adoção da IFRS no Brasil: Aplicando o Teste de </w:t>
      </w:r>
      <w:proofErr w:type="spellStart"/>
      <w:r w:rsidRPr="00DA48C3">
        <w:rPr>
          <w:sz w:val="24"/>
          <w:szCs w:val="24"/>
          <w:shd w:val="clear" w:color="auto" w:fill="FFFFFF"/>
        </w:rPr>
        <w:t>Mishkin</w:t>
      </w:r>
      <w:proofErr w:type="spellEnd"/>
      <w:r w:rsidRPr="00DA48C3">
        <w:rPr>
          <w:sz w:val="24"/>
          <w:szCs w:val="24"/>
          <w:shd w:val="clear" w:color="auto" w:fill="FFFFFF"/>
        </w:rPr>
        <w:t xml:space="preserve"> . </w:t>
      </w:r>
      <w:r w:rsidRPr="00DA48C3">
        <w:rPr>
          <w:rStyle w:val="nfase"/>
          <w:sz w:val="24"/>
          <w:szCs w:val="24"/>
          <w:bdr w:val="none" w:sz="0" w:space="0" w:color="auto" w:frame="1"/>
          <w:shd w:val="clear" w:color="auto" w:fill="FFFFFF"/>
        </w:rPr>
        <w:t>Revista Contemporânea de Contabilidade</w:t>
      </w:r>
      <w:r w:rsidRPr="00DA48C3">
        <w:rPr>
          <w:sz w:val="24"/>
          <w:szCs w:val="24"/>
          <w:shd w:val="clear" w:color="auto" w:fill="FFFFFF"/>
        </w:rPr>
        <w:t>, 14(32), 141-156.</w:t>
      </w:r>
    </w:p>
    <w:p w:rsidR="0079513E" w:rsidRPr="00DA48C3" w:rsidRDefault="0079513E" w:rsidP="0079513E">
      <w:pPr>
        <w:tabs>
          <w:tab w:val="left" w:pos="240"/>
        </w:tabs>
        <w:autoSpaceDE w:val="0"/>
        <w:autoSpaceDN w:val="0"/>
        <w:adjustRightInd w:val="0"/>
        <w:ind w:left="426" w:hanging="426"/>
        <w:jc w:val="both"/>
        <w:outlineLvl w:val="0"/>
        <w:rPr>
          <w:spacing w:val="-5"/>
          <w:sz w:val="24"/>
          <w:szCs w:val="24"/>
        </w:rPr>
      </w:pPr>
    </w:p>
    <w:p w:rsidR="0079513E" w:rsidRPr="0079513E" w:rsidRDefault="0079513E" w:rsidP="0079513E">
      <w:pPr>
        <w:tabs>
          <w:tab w:val="left" w:pos="240"/>
        </w:tabs>
        <w:autoSpaceDE w:val="0"/>
        <w:autoSpaceDN w:val="0"/>
        <w:adjustRightInd w:val="0"/>
        <w:ind w:left="426" w:hanging="426"/>
        <w:jc w:val="both"/>
        <w:outlineLvl w:val="0"/>
        <w:rPr>
          <w:spacing w:val="-5"/>
          <w:sz w:val="24"/>
          <w:szCs w:val="24"/>
        </w:rPr>
      </w:pPr>
      <w:r w:rsidRPr="00DA48C3">
        <w:rPr>
          <w:spacing w:val="-5"/>
          <w:sz w:val="24"/>
          <w:szCs w:val="24"/>
        </w:rPr>
        <w:t xml:space="preserve">Watts, R. L., </w:t>
      </w:r>
      <w:proofErr w:type="spellStart"/>
      <w:r w:rsidRPr="00DA48C3">
        <w:rPr>
          <w:spacing w:val="-5"/>
          <w:sz w:val="24"/>
          <w:szCs w:val="24"/>
        </w:rPr>
        <w:t>Zimmerman</w:t>
      </w:r>
      <w:proofErr w:type="spellEnd"/>
      <w:r w:rsidRPr="00DA48C3">
        <w:rPr>
          <w:spacing w:val="-5"/>
          <w:sz w:val="24"/>
          <w:szCs w:val="24"/>
        </w:rPr>
        <w:t xml:space="preserve">, J. L. (1986). </w:t>
      </w:r>
      <w:r w:rsidRPr="00DA48C3">
        <w:rPr>
          <w:i/>
          <w:spacing w:val="-5"/>
          <w:sz w:val="24"/>
          <w:szCs w:val="24"/>
          <w:lang w:val="en-US"/>
        </w:rPr>
        <w:t>Positive Accounting Theory</w:t>
      </w:r>
      <w:r w:rsidRPr="00DA48C3">
        <w:rPr>
          <w:spacing w:val="-5"/>
          <w:sz w:val="24"/>
          <w:szCs w:val="24"/>
          <w:lang w:val="en-US"/>
        </w:rPr>
        <w:t xml:space="preserve">. </w:t>
      </w:r>
      <w:proofErr w:type="spellStart"/>
      <w:r w:rsidRPr="00DA48C3">
        <w:rPr>
          <w:spacing w:val="-5"/>
          <w:sz w:val="24"/>
          <w:szCs w:val="24"/>
        </w:rPr>
        <w:t>Englewood</w:t>
      </w:r>
      <w:proofErr w:type="spellEnd"/>
      <w:r w:rsidRPr="00DA48C3">
        <w:rPr>
          <w:spacing w:val="-5"/>
          <w:sz w:val="24"/>
          <w:szCs w:val="24"/>
        </w:rPr>
        <w:t xml:space="preserve"> </w:t>
      </w:r>
      <w:proofErr w:type="spellStart"/>
      <w:r w:rsidRPr="00DA48C3">
        <w:rPr>
          <w:spacing w:val="-5"/>
          <w:sz w:val="24"/>
          <w:szCs w:val="24"/>
        </w:rPr>
        <w:t>Cliffs</w:t>
      </w:r>
      <w:proofErr w:type="spellEnd"/>
      <w:r w:rsidRPr="00DA48C3">
        <w:rPr>
          <w:spacing w:val="-5"/>
          <w:sz w:val="24"/>
          <w:szCs w:val="24"/>
        </w:rPr>
        <w:t>: Prentice Hall.</w:t>
      </w:r>
    </w:p>
    <w:sectPr w:rsidR="0079513E" w:rsidRPr="0079513E" w:rsidSect="00C04F45">
      <w:headerReference w:type="default" r:id="rId10"/>
      <w:footerReference w:type="default" r:id="rId11"/>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71F" w:rsidRDefault="00B6071F" w:rsidP="008A5824">
      <w:r>
        <w:separator/>
      </w:r>
    </w:p>
  </w:endnote>
  <w:endnote w:type="continuationSeparator" w:id="0">
    <w:p w:rsidR="00B6071F" w:rsidRDefault="00B6071F"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923060369"/>
      <w:docPartObj>
        <w:docPartGallery w:val="Page Numbers (Bottom of Page)"/>
        <w:docPartUnique/>
      </w:docPartObj>
    </w:sdtPr>
    <w:sdtEndPr/>
    <w:sdtContent>
      <w:p w:rsidR="00930388" w:rsidRDefault="00930388">
        <w:pPr>
          <w:pStyle w:val="Rodap"/>
          <w:jc w:val="right"/>
          <w:rPr>
            <w:rFonts w:ascii="Times New Roman" w:hAnsi="Times New Roman" w:cs="Times New Roman"/>
          </w:rPr>
        </w:pPr>
      </w:p>
      <w:p w:rsidR="00930388" w:rsidRPr="00C04F45" w:rsidRDefault="00930388">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72E8CF36" wp14:editId="68623730">
              <wp:simplePos x="0" y="0"/>
              <wp:positionH relativeFrom="column">
                <wp:posOffset>241300</wp:posOffset>
              </wp:positionH>
              <wp:positionV relativeFrom="paragraph">
                <wp:posOffset>149225</wp:posOffset>
              </wp:positionV>
              <wp:extent cx="5562600" cy="728980"/>
              <wp:effectExtent l="19050" t="0" r="0" b="0"/>
              <wp:wrapNone/>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E014F9">
          <w:rPr>
            <w:rFonts w:ascii="Times New Roman" w:hAnsi="Times New Roman" w:cs="Times New Roman"/>
            <w:noProof/>
          </w:rPr>
          <w:t>1</w:t>
        </w:r>
        <w:r w:rsidRPr="00C04F45">
          <w:rPr>
            <w:rFonts w:ascii="Times New Roman" w:hAnsi="Times New Roman" w:cs="Times New Roman"/>
          </w:rPr>
          <w:fldChar w:fldCharType="end"/>
        </w:r>
      </w:p>
    </w:sdtContent>
  </w:sdt>
  <w:p w:rsidR="00930388" w:rsidRDefault="00930388">
    <w:pPr>
      <w:pStyle w:val="Rodap"/>
      <w:rPr>
        <w:rFonts w:ascii="Times New Roman" w:hAnsi="Times New Roman" w:cs="Times New Roman"/>
      </w:rPr>
    </w:pPr>
  </w:p>
  <w:p w:rsidR="00930388" w:rsidRPr="00C04F45" w:rsidRDefault="00930388"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71F" w:rsidRDefault="00B6071F" w:rsidP="008A5824">
      <w:r>
        <w:separator/>
      </w:r>
    </w:p>
  </w:footnote>
  <w:footnote w:type="continuationSeparator" w:id="0">
    <w:p w:rsidR="00B6071F" w:rsidRDefault="00B6071F"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388" w:rsidRPr="00E361F4" w:rsidRDefault="00930388" w:rsidP="00E361F4">
    <w:pPr>
      <w:pStyle w:val="Cabealho"/>
    </w:pPr>
    <w:r>
      <w:rPr>
        <w:noProof/>
        <w:lang w:eastAsia="pt-BR"/>
      </w:rPr>
      <w:drawing>
        <wp:inline distT="0" distB="0" distL="0" distR="0" wp14:anchorId="17F56EB4" wp14:editId="3DA4B60C">
          <wp:extent cx="5756275" cy="10864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67126"/>
    <w:rsid w:val="001338AB"/>
    <w:rsid w:val="0016220D"/>
    <w:rsid w:val="00194BA9"/>
    <w:rsid w:val="001A4423"/>
    <w:rsid w:val="001C328B"/>
    <w:rsid w:val="001F6A6D"/>
    <w:rsid w:val="002B0015"/>
    <w:rsid w:val="002B2B78"/>
    <w:rsid w:val="002B3B4F"/>
    <w:rsid w:val="002F2366"/>
    <w:rsid w:val="00352FA9"/>
    <w:rsid w:val="0036377D"/>
    <w:rsid w:val="0038579D"/>
    <w:rsid w:val="003F0AD9"/>
    <w:rsid w:val="004020EB"/>
    <w:rsid w:val="0045142C"/>
    <w:rsid w:val="00473887"/>
    <w:rsid w:val="00491708"/>
    <w:rsid w:val="004C350D"/>
    <w:rsid w:val="00500AA9"/>
    <w:rsid w:val="00552CCF"/>
    <w:rsid w:val="005A105D"/>
    <w:rsid w:val="005B18B5"/>
    <w:rsid w:val="005C236D"/>
    <w:rsid w:val="006064A3"/>
    <w:rsid w:val="00631DCF"/>
    <w:rsid w:val="00686527"/>
    <w:rsid w:val="00695FB4"/>
    <w:rsid w:val="006E471D"/>
    <w:rsid w:val="0072578D"/>
    <w:rsid w:val="0079513E"/>
    <w:rsid w:val="007D3A2B"/>
    <w:rsid w:val="00800342"/>
    <w:rsid w:val="00860B20"/>
    <w:rsid w:val="00867A0C"/>
    <w:rsid w:val="008735CD"/>
    <w:rsid w:val="008A5824"/>
    <w:rsid w:val="008D4F05"/>
    <w:rsid w:val="009213AF"/>
    <w:rsid w:val="00930388"/>
    <w:rsid w:val="009833D5"/>
    <w:rsid w:val="00A472A8"/>
    <w:rsid w:val="00A86ECF"/>
    <w:rsid w:val="00B32719"/>
    <w:rsid w:val="00B41CAF"/>
    <w:rsid w:val="00B57AA6"/>
    <w:rsid w:val="00B6071F"/>
    <w:rsid w:val="00B74F81"/>
    <w:rsid w:val="00BD0F13"/>
    <w:rsid w:val="00C04F45"/>
    <w:rsid w:val="00C30374"/>
    <w:rsid w:val="00C57F58"/>
    <w:rsid w:val="00CA2367"/>
    <w:rsid w:val="00CA25AA"/>
    <w:rsid w:val="00CE5296"/>
    <w:rsid w:val="00CF645C"/>
    <w:rsid w:val="00D91EAD"/>
    <w:rsid w:val="00D95E8A"/>
    <w:rsid w:val="00DF1416"/>
    <w:rsid w:val="00E014F9"/>
    <w:rsid w:val="00E361F4"/>
    <w:rsid w:val="00E6136F"/>
    <w:rsid w:val="00EB0A6C"/>
    <w:rsid w:val="00ED7A83"/>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paragraph" w:styleId="Legenda">
    <w:name w:val="caption"/>
    <w:basedOn w:val="Normal"/>
    <w:next w:val="Normal"/>
    <w:uiPriority w:val="35"/>
    <w:unhideWhenUsed/>
    <w:qFormat/>
    <w:rsid w:val="00500AA9"/>
    <w:rPr>
      <w:b/>
      <w:bCs/>
    </w:rPr>
  </w:style>
  <w:style w:type="character" w:styleId="Refdecomentrio">
    <w:name w:val="annotation reference"/>
    <w:uiPriority w:val="99"/>
    <w:semiHidden/>
    <w:unhideWhenUsed/>
    <w:rsid w:val="008735CD"/>
    <w:rPr>
      <w:sz w:val="16"/>
      <w:szCs w:val="16"/>
    </w:rPr>
  </w:style>
  <w:style w:type="paragraph" w:styleId="Textodecomentrio">
    <w:name w:val="annotation text"/>
    <w:basedOn w:val="Normal"/>
    <w:link w:val="TextodecomentrioChar"/>
    <w:uiPriority w:val="99"/>
    <w:semiHidden/>
    <w:unhideWhenUsed/>
    <w:rsid w:val="008735CD"/>
    <w:rPr>
      <w:lang w:val="x-none" w:eastAsia="x-none"/>
    </w:rPr>
  </w:style>
  <w:style w:type="character" w:customStyle="1" w:styleId="TextodecomentrioChar">
    <w:name w:val="Texto de comentário Char"/>
    <w:basedOn w:val="Fontepargpadro"/>
    <w:link w:val="Textodecomentrio"/>
    <w:uiPriority w:val="99"/>
    <w:semiHidden/>
    <w:rsid w:val="008735CD"/>
    <w:rPr>
      <w:rFonts w:ascii="Times New Roman" w:eastAsia="Times New Roman" w:hAnsi="Times New Roman" w:cs="Times New Roman"/>
      <w:sz w:val="20"/>
      <w:szCs w:val="20"/>
      <w:lang w:val="x-none" w:eastAsia="x-none"/>
    </w:rPr>
  </w:style>
  <w:style w:type="character" w:styleId="nfase">
    <w:name w:val="Emphasis"/>
    <w:uiPriority w:val="20"/>
    <w:qFormat/>
    <w:rsid w:val="008735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paragraph" w:styleId="Legenda">
    <w:name w:val="caption"/>
    <w:basedOn w:val="Normal"/>
    <w:next w:val="Normal"/>
    <w:uiPriority w:val="35"/>
    <w:unhideWhenUsed/>
    <w:qFormat/>
    <w:rsid w:val="00500AA9"/>
    <w:rPr>
      <w:b/>
      <w:bCs/>
    </w:rPr>
  </w:style>
  <w:style w:type="character" w:styleId="Refdecomentrio">
    <w:name w:val="annotation reference"/>
    <w:uiPriority w:val="99"/>
    <w:semiHidden/>
    <w:unhideWhenUsed/>
    <w:rsid w:val="008735CD"/>
    <w:rPr>
      <w:sz w:val="16"/>
      <w:szCs w:val="16"/>
    </w:rPr>
  </w:style>
  <w:style w:type="paragraph" w:styleId="Textodecomentrio">
    <w:name w:val="annotation text"/>
    <w:basedOn w:val="Normal"/>
    <w:link w:val="TextodecomentrioChar"/>
    <w:uiPriority w:val="99"/>
    <w:semiHidden/>
    <w:unhideWhenUsed/>
    <w:rsid w:val="008735CD"/>
    <w:rPr>
      <w:lang w:val="x-none" w:eastAsia="x-none"/>
    </w:rPr>
  </w:style>
  <w:style w:type="character" w:customStyle="1" w:styleId="TextodecomentrioChar">
    <w:name w:val="Texto de comentário Char"/>
    <w:basedOn w:val="Fontepargpadro"/>
    <w:link w:val="Textodecomentrio"/>
    <w:uiPriority w:val="99"/>
    <w:semiHidden/>
    <w:rsid w:val="008735CD"/>
    <w:rPr>
      <w:rFonts w:ascii="Times New Roman" w:eastAsia="Times New Roman" w:hAnsi="Times New Roman" w:cs="Times New Roman"/>
      <w:sz w:val="20"/>
      <w:szCs w:val="20"/>
      <w:lang w:val="x-none" w:eastAsia="x-none"/>
    </w:rPr>
  </w:style>
  <w:style w:type="character" w:styleId="nfase">
    <w:name w:val="Emphasis"/>
    <w:uiPriority w:val="20"/>
    <w:qFormat/>
    <w:rsid w:val="008735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A20D0-3BEF-40CF-99A8-0A178F63F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6622</Words>
  <Characters>35761</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Willian</cp:lastModifiedBy>
  <cp:revision>11</cp:revision>
  <cp:lastPrinted>2018-05-07T00:37:00Z</cp:lastPrinted>
  <dcterms:created xsi:type="dcterms:W3CDTF">2018-04-29T18:39:00Z</dcterms:created>
  <dcterms:modified xsi:type="dcterms:W3CDTF">2018-05-07T01:13:00Z</dcterms:modified>
</cp:coreProperties>
</file>