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8996A" w14:textId="6E06D066" w:rsidR="001D2029" w:rsidRPr="00B5040A" w:rsidRDefault="001D2029" w:rsidP="001D2029">
      <w:pPr>
        <w:jc w:val="center"/>
        <w:rPr>
          <w:b/>
          <w:bCs/>
          <w:sz w:val="24"/>
          <w:szCs w:val="24"/>
        </w:rPr>
      </w:pPr>
      <w:r w:rsidRPr="00B5040A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elação </w:t>
      </w:r>
      <w:r w:rsidR="00755445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ntre Características do Conselho de Administração e a Divulgação da Sustentabilidade</w:t>
      </w:r>
    </w:p>
    <w:p w14:paraId="4E1238D8" w14:textId="77777777" w:rsidR="001D2029" w:rsidRPr="00B5040A" w:rsidRDefault="001D2029" w:rsidP="001D2029">
      <w:pPr>
        <w:rPr>
          <w:sz w:val="24"/>
          <w:szCs w:val="24"/>
        </w:rPr>
      </w:pPr>
    </w:p>
    <w:p w14:paraId="2C1B9F4C" w14:textId="77777777" w:rsidR="001D2029" w:rsidRPr="001D2029" w:rsidRDefault="001D2029" w:rsidP="001D2029">
      <w:pPr>
        <w:jc w:val="right"/>
        <w:rPr>
          <w:b/>
          <w:sz w:val="24"/>
          <w:szCs w:val="24"/>
        </w:rPr>
      </w:pPr>
      <w:r w:rsidRPr="00B5040A">
        <w:rPr>
          <w:sz w:val="24"/>
          <w:szCs w:val="24"/>
        </w:rPr>
        <w:tab/>
      </w:r>
      <w:r w:rsidRPr="00B5040A">
        <w:rPr>
          <w:sz w:val="24"/>
          <w:szCs w:val="24"/>
        </w:rPr>
        <w:tab/>
      </w:r>
      <w:r w:rsidRPr="00B5040A">
        <w:rPr>
          <w:sz w:val="24"/>
          <w:szCs w:val="24"/>
        </w:rPr>
        <w:tab/>
      </w:r>
      <w:r w:rsidRPr="00B5040A">
        <w:rPr>
          <w:sz w:val="24"/>
          <w:szCs w:val="24"/>
        </w:rPr>
        <w:tab/>
      </w:r>
      <w:r w:rsidRPr="00B5040A">
        <w:rPr>
          <w:sz w:val="24"/>
          <w:szCs w:val="24"/>
        </w:rPr>
        <w:tab/>
      </w:r>
      <w:r w:rsidRPr="00B5040A">
        <w:rPr>
          <w:sz w:val="24"/>
          <w:szCs w:val="24"/>
        </w:rPr>
        <w:tab/>
      </w:r>
      <w:r w:rsidRPr="001D2029">
        <w:rPr>
          <w:b/>
          <w:sz w:val="24"/>
          <w:szCs w:val="24"/>
        </w:rPr>
        <w:t>Evandro De Nez</w:t>
      </w:r>
    </w:p>
    <w:p w14:paraId="3ABADE82" w14:textId="77777777" w:rsidR="001D2029" w:rsidRDefault="001D2029" w:rsidP="001D2029">
      <w:pPr>
        <w:jc w:val="right"/>
        <w:rPr>
          <w:sz w:val="24"/>
          <w:szCs w:val="24"/>
        </w:rPr>
      </w:pPr>
      <w:r>
        <w:rPr>
          <w:sz w:val="24"/>
          <w:szCs w:val="24"/>
        </w:rPr>
        <w:t>Universidade Regional de Blumenau – Furb</w:t>
      </w:r>
    </w:p>
    <w:p w14:paraId="2DF6E809" w14:textId="77777777" w:rsidR="001D2029" w:rsidRDefault="005A0953" w:rsidP="001D2029">
      <w:pPr>
        <w:jc w:val="right"/>
        <w:rPr>
          <w:sz w:val="24"/>
          <w:szCs w:val="24"/>
        </w:rPr>
      </w:pPr>
      <w:hyperlink r:id="rId9" w:history="1">
        <w:r w:rsidR="001D2029" w:rsidRPr="00903C59">
          <w:rPr>
            <w:rStyle w:val="Hyperlink"/>
            <w:sz w:val="24"/>
            <w:szCs w:val="24"/>
          </w:rPr>
          <w:t>evandronez@hotmail.com</w:t>
        </w:r>
      </w:hyperlink>
    </w:p>
    <w:p w14:paraId="74306DB2" w14:textId="77777777" w:rsidR="001D2029" w:rsidRPr="00B5040A" w:rsidRDefault="001D2029" w:rsidP="001D2029">
      <w:pPr>
        <w:jc w:val="right"/>
        <w:rPr>
          <w:sz w:val="24"/>
          <w:szCs w:val="24"/>
        </w:rPr>
      </w:pPr>
    </w:p>
    <w:p w14:paraId="00ED29FF" w14:textId="77777777" w:rsidR="001D2029" w:rsidRPr="001D2029" w:rsidRDefault="001D2029" w:rsidP="001D2029">
      <w:pPr>
        <w:jc w:val="right"/>
        <w:rPr>
          <w:b/>
          <w:sz w:val="24"/>
          <w:szCs w:val="24"/>
        </w:rPr>
      </w:pPr>
      <w:r w:rsidRPr="00B5040A">
        <w:rPr>
          <w:sz w:val="24"/>
          <w:szCs w:val="24"/>
        </w:rPr>
        <w:tab/>
      </w:r>
      <w:r w:rsidRPr="001D2029">
        <w:rPr>
          <w:b/>
          <w:sz w:val="24"/>
          <w:szCs w:val="24"/>
        </w:rPr>
        <w:t>Daniele de Lourdes Curto da Costa Martins</w:t>
      </w:r>
    </w:p>
    <w:p w14:paraId="2570D782" w14:textId="77777777" w:rsidR="001D2029" w:rsidRDefault="001D2029" w:rsidP="001D2029">
      <w:pPr>
        <w:jc w:val="right"/>
        <w:rPr>
          <w:sz w:val="24"/>
          <w:szCs w:val="24"/>
        </w:rPr>
      </w:pPr>
      <w:r>
        <w:rPr>
          <w:sz w:val="24"/>
          <w:szCs w:val="24"/>
        </w:rPr>
        <w:t>Universidade Regional de Blumenau – Furb</w:t>
      </w:r>
    </w:p>
    <w:p w14:paraId="75084EB9" w14:textId="77777777" w:rsidR="001D2029" w:rsidRDefault="005A0953" w:rsidP="001D2029">
      <w:pPr>
        <w:jc w:val="right"/>
        <w:rPr>
          <w:sz w:val="24"/>
          <w:szCs w:val="24"/>
        </w:rPr>
      </w:pPr>
      <w:hyperlink r:id="rId10" w:history="1">
        <w:r w:rsidR="001D2029" w:rsidRPr="00903C59">
          <w:rPr>
            <w:rStyle w:val="Hyperlink"/>
            <w:sz w:val="24"/>
            <w:szCs w:val="24"/>
          </w:rPr>
          <w:t>danielecurto@yahoo.com.br</w:t>
        </w:r>
      </w:hyperlink>
    </w:p>
    <w:p w14:paraId="5AC0F2E6" w14:textId="77777777" w:rsidR="001D2029" w:rsidRPr="00B5040A" w:rsidRDefault="001D2029" w:rsidP="001D2029">
      <w:pPr>
        <w:jc w:val="right"/>
        <w:rPr>
          <w:sz w:val="24"/>
          <w:szCs w:val="24"/>
        </w:rPr>
      </w:pPr>
    </w:p>
    <w:p w14:paraId="37334223" w14:textId="77777777" w:rsidR="001D2029" w:rsidRPr="001D2029" w:rsidRDefault="001D2029" w:rsidP="001D2029">
      <w:pPr>
        <w:jc w:val="right"/>
        <w:rPr>
          <w:b/>
          <w:sz w:val="24"/>
          <w:szCs w:val="24"/>
        </w:rPr>
      </w:pPr>
      <w:r w:rsidRPr="001D2029">
        <w:rPr>
          <w:b/>
          <w:sz w:val="24"/>
          <w:szCs w:val="24"/>
        </w:rPr>
        <w:t>Roberto Carlos Klann</w:t>
      </w:r>
    </w:p>
    <w:p w14:paraId="447D17B9" w14:textId="77777777" w:rsidR="001D2029" w:rsidRDefault="001D2029" w:rsidP="001D2029">
      <w:pPr>
        <w:jc w:val="right"/>
        <w:rPr>
          <w:sz w:val="24"/>
          <w:szCs w:val="24"/>
        </w:rPr>
      </w:pPr>
      <w:r>
        <w:rPr>
          <w:sz w:val="24"/>
          <w:szCs w:val="24"/>
        </w:rPr>
        <w:t>Universidade Regional de Blumenau – Furb</w:t>
      </w:r>
    </w:p>
    <w:p w14:paraId="0E03FA56" w14:textId="77777777" w:rsidR="001D2029" w:rsidRDefault="001D2029" w:rsidP="001D2029">
      <w:pPr>
        <w:jc w:val="right"/>
        <w:rPr>
          <w:sz w:val="24"/>
          <w:szCs w:val="24"/>
        </w:rPr>
      </w:pPr>
      <w:r>
        <w:rPr>
          <w:sz w:val="24"/>
          <w:szCs w:val="24"/>
        </w:rPr>
        <w:t>rklann@furb.br</w:t>
      </w:r>
    </w:p>
    <w:p w14:paraId="49A77ED2" w14:textId="77777777" w:rsidR="001D2029" w:rsidRPr="00B5040A" w:rsidRDefault="001D2029" w:rsidP="001D2029">
      <w:pPr>
        <w:jc w:val="both"/>
        <w:rPr>
          <w:sz w:val="24"/>
          <w:szCs w:val="24"/>
        </w:rPr>
      </w:pPr>
    </w:p>
    <w:p w14:paraId="39B9265D" w14:textId="77777777" w:rsidR="001D2029" w:rsidRDefault="001D2029" w:rsidP="001D2029">
      <w:pPr>
        <w:jc w:val="both"/>
        <w:rPr>
          <w:b/>
          <w:bCs/>
          <w:sz w:val="24"/>
          <w:szCs w:val="24"/>
        </w:rPr>
      </w:pPr>
      <w:r w:rsidRPr="00B5040A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esumo</w:t>
      </w:r>
    </w:p>
    <w:p w14:paraId="0F01A317" w14:textId="77777777" w:rsidR="001D2029" w:rsidRPr="00B5040A" w:rsidRDefault="001D2029" w:rsidP="001D2029">
      <w:pPr>
        <w:jc w:val="both"/>
      </w:pPr>
      <w:r w:rsidRPr="00B5040A">
        <w:rPr>
          <w:sz w:val="24"/>
          <w:szCs w:val="24"/>
        </w:rPr>
        <w:t xml:space="preserve">O entendimento que envolve a sustentabilidade está pautado no equilíbrio entre os aspectos econômicos, ambientais e sociais. Porém, indo além dos aspectos financeiros e buscando maior credibilidade diante dos seus </w:t>
      </w:r>
      <w:proofErr w:type="spellStart"/>
      <w:r w:rsidRPr="00B5040A">
        <w:rPr>
          <w:i/>
          <w:sz w:val="24"/>
          <w:szCs w:val="24"/>
        </w:rPr>
        <w:t>stakeholders</w:t>
      </w:r>
      <w:proofErr w:type="spellEnd"/>
      <w:r w:rsidRPr="00B5040A">
        <w:rPr>
          <w:sz w:val="24"/>
          <w:szCs w:val="24"/>
        </w:rPr>
        <w:t xml:space="preserve">, as empresas, além de divulgarem seus resultados financeiros, fazem também a divulgação dos dados relacionados à sustentabilidade, por meio dos relatórios de sustentabilidade corporativa. Neste cenário, o conselho de administração (CA), como mecanismo de governança corporativa, além de tomar decisões em nome dos acionistas, busca transmitir maior transparência e confiabilidade para o mercado. Assim, o objetivo deste estudo é analisar a relação entre características do conselho de administração e a divulgação da sustentabilidade. A partir desse objetivo foram elaboradas cinco hipóteses, uma para cada variável das características do conselho: </w:t>
      </w:r>
      <w:r w:rsidRPr="00F93AC6">
        <w:rPr>
          <w:sz w:val="24"/>
        </w:rPr>
        <w:t xml:space="preserve">tamanho, número de reuniões, independência, dualidade e número de laços do </w:t>
      </w:r>
      <w:proofErr w:type="spellStart"/>
      <w:r w:rsidRPr="00F93AC6">
        <w:rPr>
          <w:i/>
          <w:sz w:val="24"/>
        </w:rPr>
        <w:t>board</w:t>
      </w:r>
      <w:proofErr w:type="spellEnd"/>
      <w:r w:rsidRPr="00F93AC6">
        <w:rPr>
          <w:i/>
          <w:sz w:val="24"/>
        </w:rPr>
        <w:t xml:space="preserve"> </w:t>
      </w:r>
      <w:proofErr w:type="spellStart"/>
      <w:r w:rsidRPr="00F93AC6">
        <w:rPr>
          <w:i/>
          <w:sz w:val="24"/>
        </w:rPr>
        <w:t>interlocking</w:t>
      </w:r>
      <w:proofErr w:type="spellEnd"/>
      <w:r w:rsidRPr="00F93AC6">
        <w:rPr>
          <w:sz w:val="24"/>
        </w:rPr>
        <w:t xml:space="preserve">. Foram analisados 123 relatórios de sustentabilidade divulgados entre 2012 e 2015. A amostra da pesquisa foi composta por todas as empresas listadas na </w:t>
      </w:r>
      <w:proofErr w:type="gramStart"/>
      <w:r w:rsidRPr="00F93AC6">
        <w:rPr>
          <w:sz w:val="24"/>
        </w:rPr>
        <w:t>BM&amp;FBovespa</w:t>
      </w:r>
      <w:proofErr w:type="gramEnd"/>
      <w:r w:rsidRPr="00F93AC6">
        <w:rPr>
          <w:sz w:val="24"/>
        </w:rPr>
        <w:t xml:space="preserve"> que divulgaram o relatório de sustentabilidade pelo padrão do modelo internacional GRI até o ano de 2015. A análise foi quantitativa, realizada por meio de regressão linear múltipla. Os resultados apontam que das cinco variáveis analisadas, três (tamanho do conselho, proporção de conselheiros independentes e número de laços do </w:t>
      </w:r>
      <w:proofErr w:type="spellStart"/>
      <w:r w:rsidRPr="00F93AC6">
        <w:rPr>
          <w:i/>
          <w:sz w:val="24"/>
        </w:rPr>
        <w:t>board</w:t>
      </w:r>
      <w:proofErr w:type="spellEnd"/>
      <w:r w:rsidRPr="00F93AC6">
        <w:rPr>
          <w:i/>
          <w:sz w:val="24"/>
        </w:rPr>
        <w:t xml:space="preserve"> </w:t>
      </w:r>
      <w:proofErr w:type="spellStart"/>
      <w:r w:rsidRPr="00F93AC6">
        <w:rPr>
          <w:i/>
          <w:sz w:val="24"/>
        </w:rPr>
        <w:t>interlocking</w:t>
      </w:r>
      <w:proofErr w:type="spellEnd"/>
      <w:r w:rsidRPr="00F93AC6">
        <w:rPr>
          <w:sz w:val="24"/>
        </w:rPr>
        <w:t xml:space="preserve">) demonstraram influência positiva e significativa na divulgação da sustentabilidade. Destaca-se ainda que as demais variáveis também </w:t>
      </w:r>
      <w:proofErr w:type="gramStart"/>
      <w:r w:rsidRPr="00F93AC6">
        <w:rPr>
          <w:sz w:val="24"/>
        </w:rPr>
        <w:t>apresentaram</w:t>
      </w:r>
      <w:proofErr w:type="gramEnd"/>
      <w:r w:rsidRPr="00F93AC6">
        <w:rPr>
          <w:sz w:val="24"/>
        </w:rPr>
        <w:t xml:space="preserve"> resultados positivos, porém, não significativos.</w:t>
      </w:r>
    </w:p>
    <w:p w14:paraId="4CDA7302" w14:textId="77777777" w:rsidR="001D2029" w:rsidRPr="00B5040A" w:rsidRDefault="001D2029" w:rsidP="001D2029"/>
    <w:p w14:paraId="737B02C4" w14:textId="77777777" w:rsidR="001D2029" w:rsidRDefault="001D2029" w:rsidP="001D2029">
      <w:pPr>
        <w:jc w:val="both"/>
        <w:rPr>
          <w:sz w:val="24"/>
        </w:rPr>
      </w:pPr>
      <w:r w:rsidRPr="00F93AC6">
        <w:rPr>
          <w:b/>
          <w:sz w:val="24"/>
        </w:rPr>
        <w:t>Palavras-Chave</w:t>
      </w:r>
      <w:r w:rsidRPr="00F93AC6">
        <w:rPr>
          <w:sz w:val="24"/>
        </w:rPr>
        <w:t>: Conselho de Administração</w:t>
      </w:r>
      <w:r>
        <w:rPr>
          <w:sz w:val="24"/>
        </w:rPr>
        <w:t>;</w:t>
      </w:r>
      <w:r w:rsidRPr="00F93AC6">
        <w:rPr>
          <w:sz w:val="24"/>
        </w:rPr>
        <w:t xml:space="preserve"> Divulgação</w:t>
      </w:r>
      <w:r>
        <w:rPr>
          <w:sz w:val="24"/>
        </w:rPr>
        <w:t>;</w:t>
      </w:r>
      <w:r w:rsidRPr="00F93AC6">
        <w:rPr>
          <w:sz w:val="24"/>
        </w:rPr>
        <w:t xml:space="preserve"> Sustentabilidade.</w:t>
      </w:r>
    </w:p>
    <w:p w14:paraId="512620BF" w14:textId="77777777" w:rsidR="001D2029" w:rsidRDefault="001D2029" w:rsidP="001D2029">
      <w:pPr>
        <w:jc w:val="both"/>
        <w:rPr>
          <w:sz w:val="24"/>
        </w:rPr>
      </w:pPr>
    </w:p>
    <w:p w14:paraId="3EC32FDB" w14:textId="585BC7AC" w:rsidR="001D2029" w:rsidRPr="00F93AC6" w:rsidRDefault="001D2029" w:rsidP="001D2029">
      <w:pPr>
        <w:jc w:val="both"/>
      </w:pPr>
      <w:r w:rsidRPr="00093A82">
        <w:rPr>
          <w:b/>
          <w:sz w:val="24"/>
        </w:rPr>
        <w:t>Linha Temática</w:t>
      </w:r>
      <w:r>
        <w:rPr>
          <w:sz w:val="24"/>
        </w:rPr>
        <w:t>:</w:t>
      </w:r>
      <w:r w:rsidR="00755445">
        <w:rPr>
          <w:sz w:val="24"/>
        </w:rPr>
        <w:t xml:space="preserve"> Responsabilidade Social e Ambiental.</w:t>
      </w:r>
    </w:p>
    <w:p w14:paraId="5407E627" w14:textId="77777777" w:rsidR="00755445" w:rsidRDefault="00755445" w:rsidP="001D2029">
      <w:pPr>
        <w:jc w:val="both"/>
        <w:rPr>
          <w:b/>
          <w:sz w:val="24"/>
        </w:rPr>
      </w:pPr>
    </w:p>
    <w:p w14:paraId="31FA1865" w14:textId="77777777" w:rsidR="001D2029" w:rsidRPr="00F93AC6" w:rsidRDefault="001D2029" w:rsidP="001D2029">
      <w:pPr>
        <w:jc w:val="both"/>
        <w:rPr>
          <w:b/>
          <w:sz w:val="24"/>
        </w:rPr>
      </w:pPr>
      <w:r w:rsidRPr="00F93AC6">
        <w:rPr>
          <w:b/>
          <w:sz w:val="24"/>
        </w:rPr>
        <w:t xml:space="preserve">1 INTRODUÇÃO </w:t>
      </w:r>
    </w:p>
    <w:p w14:paraId="6286A6F7" w14:textId="77777777" w:rsidR="001D2029" w:rsidRPr="00F93AC6" w:rsidRDefault="001D2029" w:rsidP="001D2029">
      <w:pPr>
        <w:ind w:firstLine="705"/>
        <w:jc w:val="both"/>
      </w:pPr>
      <w:r w:rsidRPr="00F93AC6">
        <w:rPr>
          <w:sz w:val="24"/>
        </w:rPr>
        <w:t>A governança corporativa pode ser entendida como mecanismos e princípios que norteiam o processo decisório de uma organização (C</w:t>
      </w:r>
      <w:r w:rsidR="004129B0">
        <w:rPr>
          <w:sz w:val="24"/>
        </w:rPr>
        <w:t>arvalho</w:t>
      </w:r>
      <w:r w:rsidRPr="00F93AC6">
        <w:rPr>
          <w:sz w:val="24"/>
        </w:rPr>
        <w:t xml:space="preserve">, 2002). Sabe-se do esforço que envolve o seu estudo em uma organização, pois </w:t>
      </w:r>
      <w:r w:rsidR="003847CF" w:rsidRPr="00F93AC6">
        <w:rPr>
          <w:sz w:val="24"/>
        </w:rPr>
        <w:t>se busca</w:t>
      </w:r>
      <w:r w:rsidRPr="00F93AC6">
        <w:rPr>
          <w:sz w:val="24"/>
        </w:rPr>
        <w:t xml:space="preserve"> o equilíbrio entre o poder dos gestores e dos acionistas em um ambiente que pede, cada vez mais, informações confiáveis e que contribuam para avaliar o desempenho da empresa. </w:t>
      </w:r>
    </w:p>
    <w:p w14:paraId="62C04E7C" w14:textId="77777777" w:rsidR="001D2029" w:rsidRPr="00F93AC6" w:rsidRDefault="001D2029" w:rsidP="001D2029">
      <w:pPr>
        <w:ind w:firstLine="705"/>
        <w:jc w:val="both"/>
      </w:pPr>
      <w:r w:rsidRPr="00F93AC6">
        <w:rPr>
          <w:sz w:val="24"/>
        </w:rPr>
        <w:lastRenderedPageBreak/>
        <w:t>Neste cenário, o conselho de administração, como um mecanismo de governança corporativa, atua como um órgão que toma as decisões em nome dos acionistas. É responsável por monitorar as decisões, definir a remuneração dos executivos, garantir a proteção dos investimentos e o alinhamento dos interesses das partes interessadas (A</w:t>
      </w:r>
      <w:r w:rsidR="004129B0">
        <w:rPr>
          <w:sz w:val="24"/>
        </w:rPr>
        <w:t>ndrade</w:t>
      </w:r>
      <w:r w:rsidRPr="00F93AC6">
        <w:rPr>
          <w:sz w:val="24"/>
        </w:rPr>
        <w:t xml:space="preserve">, </w:t>
      </w:r>
      <w:proofErr w:type="gramStart"/>
      <w:r w:rsidRPr="00F93AC6">
        <w:rPr>
          <w:sz w:val="24"/>
        </w:rPr>
        <w:t>et</w:t>
      </w:r>
      <w:proofErr w:type="gramEnd"/>
      <w:r w:rsidRPr="00F93AC6">
        <w:rPr>
          <w:sz w:val="24"/>
        </w:rPr>
        <w:t xml:space="preserve"> al., 2009). </w:t>
      </w:r>
    </w:p>
    <w:p w14:paraId="068FD573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O tema sustentabilidade vem a cada dia ganhando mais relevância no meio empresarial e acadêmico, buscando-se dentro desse contexto, o equilíbrio entre os interesses econômicos, ambientais e sociais (</w:t>
      </w:r>
      <w:proofErr w:type="spellStart"/>
      <w:r w:rsidRPr="00F93AC6">
        <w:rPr>
          <w:sz w:val="24"/>
        </w:rPr>
        <w:t>A</w:t>
      </w:r>
      <w:r w:rsidR="004129B0">
        <w:rPr>
          <w:sz w:val="24"/>
        </w:rPr>
        <w:t>sif</w:t>
      </w:r>
      <w:proofErr w:type="spellEnd"/>
      <w:r w:rsidRPr="00F93AC6">
        <w:rPr>
          <w:sz w:val="24"/>
        </w:rPr>
        <w:t xml:space="preserve">, 2011). Devido à importância do tema, as empresas, além de divulgarem seus resultados financeiros, fazem também a divulgação dos dados relacionados à sustentabilidade, que são os relatórios de sustentabilidade corporativa. O objetivo dessa divulgação é buscar a confiança e credibilidade do mercado perante as ações das empresas, indo além do que é exigido por lei, ou seja, extrapolando os limites internos da empresa para atingir os seus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i/>
          <w:sz w:val="24"/>
        </w:rPr>
        <w:t xml:space="preserve"> </w:t>
      </w:r>
      <w:r w:rsidRPr="00F93AC6">
        <w:rPr>
          <w:sz w:val="24"/>
        </w:rPr>
        <w:t>(W</w:t>
      </w:r>
      <w:r w:rsidR="004129B0">
        <w:rPr>
          <w:sz w:val="24"/>
        </w:rPr>
        <w:t>eber &amp;</w:t>
      </w:r>
      <w:r w:rsidRPr="00F93AC6">
        <w:rPr>
          <w:sz w:val="24"/>
        </w:rPr>
        <w:t xml:space="preserve"> M</w:t>
      </w:r>
      <w:r w:rsidR="004129B0">
        <w:rPr>
          <w:sz w:val="24"/>
        </w:rPr>
        <w:t>arley</w:t>
      </w:r>
      <w:r w:rsidRPr="00F93AC6">
        <w:rPr>
          <w:sz w:val="24"/>
        </w:rPr>
        <w:t xml:space="preserve">, 2012; </w:t>
      </w:r>
      <w:proofErr w:type="spellStart"/>
      <w:r w:rsidRPr="00F93AC6">
        <w:rPr>
          <w:sz w:val="24"/>
        </w:rPr>
        <w:t>M</w:t>
      </w:r>
      <w:r w:rsidR="004129B0">
        <w:rPr>
          <w:sz w:val="24"/>
        </w:rPr>
        <w:t>ichelon</w:t>
      </w:r>
      <w:proofErr w:type="spellEnd"/>
      <w:r w:rsidR="004129B0">
        <w:rPr>
          <w:sz w:val="24"/>
        </w:rPr>
        <w:t xml:space="preserve"> &amp; </w:t>
      </w:r>
      <w:proofErr w:type="spellStart"/>
      <w:r w:rsidR="004129B0">
        <w:rPr>
          <w:sz w:val="24"/>
        </w:rPr>
        <w:t>Parbonetti</w:t>
      </w:r>
      <w:proofErr w:type="spellEnd"/>
      <w:r w:rsidRPr="00F93AC6">
        <w:rPr>
          <w:sz w:val="24"/>
        </w:rPr>
        <w:t>, 2012). O foco principal volta-se, portanto, para a redução da assimetria de informação (</w:t>
      </w:r>
      <w:proofErr w:type="spellStart"/>
      <w:r w:rsidRPr="00F93AC6">
        <w:rPr>
          <w:sz w:val="24"/>
        </w:rPr>
        <w:t>J</w:t>
      </w:r>
      <w:r w:rsidR="004129B0">
        <w:rPr>
          <w:sz w:val="24"/>
        </w:rPr>
        <w:t>o</w:t>
      </w:r>
      <w:proofErr w:type="spellEnd"/>
      <w:r w:rsidR="004129B0">
        <w:rPr>
          <w:sz w:val="24"/>
        </w:rPr>
        <w:t xml:space="preserve"> &amp; </w:t>
      </w:r>
      <w:proofErr w:type="spellStart"/>
      <w:r w:rsidR="004129B0">
        <w:rPr>
          <w:sz w:val="24"/>
        </w:rPr>
        <w:t>Harjoto</w:t>
      </w:r>
      <w:proofErr w:type="spellEnd"/>
      <w:r w:rsidRPr="00F93AC6">
        <w:rPr>
          <w:sz w:val="24"/>
        </w:rPr>
        <w:t xml:space="preserve">, 2012; </w:t>
      </w:r>
      <w:proofErr w:type="spellStart"/>
      <w:r w:rsidRPr="00F93AC6">
        <w:rPr>
          <w:sz w:val="24"/>
        </w:rPr>
        <w:t>A</w:t>
      </w:r>
      <w:r w:rsidR="004129B0">
        <w:rPr>
          <w:sz w:val="24"/>
        </w:rPr>
        <w:t>shcrofth</w:t>
      </w:r>
      <w:proofErr w:type="spellEnd"/>
      <w:r w:rsidRPr="00F93AC6">
        <w:rPr>
          <w:sz w:val="24"/>
        </w:rPr>
        <w:t>, 2012).</w:t>
      </w:r>
    </w:p>
    <w:p w14:paraId="56FC4D8E" w14:textId="77777777" w:rsidR="001D2029" w:rsidRPr="00F93AC6" w:rsidRDefault="001D2029" w:rsidP="001D2029">
      <w:pPr>
        <w:ind w:firstLine="708"/>
        <w:jc w:val="both"/>
        <w:rPr>
          <w:sz w:val="24"/>
        </w:rPr>
      </w:pPr>
      <w:proofErr w:type="spellStart"/>
      <w:r w:rsidRPr="00F93AC6">
        <w:rPr>
          <w:sz w:val="24"/>
        </w:rPr>
        <w:t>Kolk</w:t>
      </w:r>
      <w:proofErr w:type="spellEnd"/>
      <w:r w:rsidRPr="00F93AC6">
        <w:rPr>
          <w:sz w:val="24"/>
        </w:rPr>
        <w:t xml:space="preserve"> (2008) descreve que as organizações passaram por momentos de pressão com o seu desenvolvimento, principalmente em empresas </w:t>
      </w:r>
      <w:proofErr w:type="gramStart"/>
      <w:r w:rsidRPr="00F93AC6">
        <w:rPr>
          <w:sz w:val="24"/>
        </w:rPr>
        <w:t>que atuam em todo o mundo, haja vista que sua atuação em vários países e setores fez com que aumentasse a imposição de clareza em suas ações, não somente quanto às ações financeiras, mas aquelas relacionadas à divulgação de suas políticas de governança corporativa, o que</w:t>
      </w:r>
      <w:proofErr w:type="gramEnd"/>
      <w:r w:rsidRPr="00F93AC6">
        <w:rPr>
          <w:sz w:val="24"/>
        </w:rPr>
        <w:t xml:space="preserve"> inclui a exposição de questões éticas e de sustentabilidade, abrangendo assim, as questões ambientais e sociais (</w:t>
      </w:r>
      <w:proofErr w:type="spellStart"/>
      <w:r w:rsidRPr="00F93AC6">
        <w:rPr>
          <w:sz w:val="24"/>
        </w:rPr>
        <w:t>K</w:t>
      </w:r>
      <w:r w:rsidR="004129B0">
        <w:rPr>
          <w:sz w:val="24"/>
        </w:rPr>
        <w:t>olk</w:t>
      </w:r>
      <w:proofErr w:type="spellEnd"/>
      <w:r w:rsidRPr="00F93AC6">
        <w:rPr>
          <w:sz w:val="24"/>
        </w:rPr>
        <w:t>, 2008).</w:t>
      </w:r>
    </w:p>
    <w:p w14:paraId="283823F1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Pautado nestas considerações, os aspectos que interligam os conceitos, nesta proposta, são analisados a partir da relação entre a caracterização do CA com os demais envolvidos nas relações organizacionais e com o mercado (</w:t>
      </w:r>
      <w:proofErr w:type="spellStart"/>
      <w:r w:rsidRPr="00F93AC6">
        <w:rPr>
          <w:sz w:val="24"/>
        </w:rPr>
        <w:t>H</w:t>
      </w:r>
      <w:r w:rsidR="004129B0">
        <w:rPr>
          <w:sz w:val="24"/>
        </w:rPr>
        <w:t>aunschild</w:t>
      </w:r>
      <w:proofErr w:type="spellEnd"/>
      <w:r w:rsidRPr="00F93AC6">
        <w:rPr>
          <w:sz w:val="24"/>
        </w:rPr>
        <w:t xml:space="preserve">, 1993; </w:t>
      </w:r>
      <w:proofErr w:type="spellStart"/>
      <w:r w:rsidRPr="00F93AC6">
        <w:rPr>
          <w:sz w:val="24"/>
        </w:rPr>
        <w:t>C</w:t>
      </w:r>
      <w:r w:rsidR="004129B0">
        <w:rPr>
          <w:sz w:val="24"/>
        </w:rPr>
        <w:t>arpentel</w:t>
      </w:r>
      <w:proofErr w:type="spellEnd"/>
      <w:r w:rsidR="004129B0">
        <w:rPr>
          <w:sz w:val="24"/>
        </w:rPr>
        <w:t xml:space="preserve"> &amp;</w:t>
      </w:r>
      <w:r w:rsidRPr="00F93AC6">
        <w:rPr>
          <w:sz w:val="24"/>
        </w:rPr>
        <w:t xml:space="preserve"> </w:t>
      </w:r>
      <w:proofErr w:type="spellStart"/>
      <w:r w:rsidRPr="00F93AC6">
        <w:rPr>
          <w:sz w:val="24"/>
        </w:rPr>
        <w:t>W</w:t>
      </w:r>
      <w:r w:rsidR="004129B0">
        <w:rPr>
          <w:sz w:val="24"/>
        </w:rPr>
        <w:t>estphal</w:t>
      </w:r>
      <w:proofErr w:type="spellEnd"/>
      <w:r w:rsidRPr="00F93AC6">
        <w:rPr>
          <w:sz w:val="24"/>
        </w:rPr>
        <w:t>, 2001). Nessa perspectiva, o interesse está em verificar a relação entre a composição do conselho e a divulgação dos resultados sobre a sustentabilidade. A relação entre essas partes é também analisada a partir das experiências dos conselheiros e da sua relação de confiança para com o mercado (</w:t>
      </w:r>
      <w:proofErr w:type="spellStart"/>
      <w:r w:rsidRPr="00F93AC6">
        <w:rPr>
          <w:sz w:val="24"/>
        </w:rPr>
        <w:t>C</w:t>
      </w:r>
      <w:r w:rsidR="004129B0">
        <w:rPr>
          <w:sz w:val="24"/>
        </w:rPr>
        <w:t>arpentel</w:t>
      </w:r>
      <w:proofErr w:type="spellEnd"/>
      <w:r w:rsidR="004129B0">
        <w:rPr>
          <w:sz w:val="24"/>
        </w:rPr>
        <w:t xml:space="preserve"> &amp; </w:t>
      </w:r>
      <w:proofErr w:type="spellStart"/>
      <w:r w:rsidR="004129B0">
        <w:rPr>
          <w:sz w:val="24"/>
        </w:rPr>
        <w:t>Westphal</w:t>
      </w:r>
      <w:proofErr w:type="spellEnd"/>
      <w:r w:rsidRPr="00F93AC6">
        <w:rPr>
          <w:sz w:val="24"/>
        </w:rPr>
        <w:t xml:space="preserve">, 2001; </w:t>
      </w:r>
      <w:proofErr w:type="spellStart"/>
      <w:r w:rsidRPr="00F93AC6">
        <w:rPr>
          <w:sz w:val="24"/>
        </w:rPr>
        <w:t>B</w:t>
      </w:r>
      <w:r w:rsidR="004129B0">
        <w:rPr>
          <w:sz w:val="24"/>
        </w:rPr>
        <w:t>ouwman</w:t>
      </w:r>
      <w:proofErr w:type="spellEnd"/>
      <w:r w:rsidRPr="00F93AC6">
        <w:rPr>
          <w:sz w:val="24"/>
        </w:rPr>
        <w:t>, 2011).</w:t>
      </w:r>
    </w:p>
    <w:p w14:paraId="0CC7A8D9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Ferreira (2004) afirma que as pesquisas que promovem o acompanhamento da rentabilidade dos fundos de Investimento Socialmente Responsáveis (SRI) têm uma tendência de comprovar a boa governança corporativa, a responsabilidade social e o retorno (valorização das ações). Porém, o autor destaca que quantificar essas boas ações da governança corporativa ainda é difícil para os pesquisadores, pelo fato de que os métodos científicos que possibilitam uma demonstração quantitativa ainda dependem de considerações subjetivas e carregadas de premissas dos gestores. Mecanismos de governança corporativa interna favorecem os interesses dos acionistas e outros </w:t>
      </w:r>
      <w:proofErr w:type="spellStart"/>
      <w:r w:rsidRPr="00F93AC6">
        <w:rPr>
          <w:i/>
          <w:sz w:val="24"/>
        </w:rPr>
        <w:t>stak</w:t>
      </w:r>
      <w:r w:rsidR="001C5552">
        <w:rPr>
          <w:i/>
          <w:sz w:val="24"/>
        </w:rPr>
        <w:t>e</w:t>
      </w:r>
      <w:r w:rsidRPr="00F93AC6">
        <w:rPr>
          <w:i/>
          <w:sz w:val="24"/>
        </w:rPr>
        <w:t>holders</w:t>
      </w:r>
      <w:proofErr w:type="spellEnd"/>
      <w:r w:rsidRPr="00F93AC6">
        <w:rPr>
          <w:sz w:val="24"/>
        </w:rPr>
        <w:t>, haja vista que estes mecanismos, tais como a dualidade do cargo de CEO, o tamanho do conselho e a frequência de reuniões podem gerar maior cuidado da organização em relação à responsabilidade social corporativa (</w:t>
      </w:r>
      <w:proofErr w:type="spellStart"/>
      <w:r w:rsidRPr="00F93AC6">
        <w:rPr>
          <w:sz w:val="24"/>
        </w:rPr>
        <w:t>J</w:t>
      </w:r>
      <w:r w:rsidR="004129B0">
        <w:rPr>
          <w:sz w:val="24"/>
        </w:rPr>
        <w:t>izi</w:t>
      </w:r>
      <w:proofErr w:type="spellEnd"/>
      <w:r w:rsidRPr="00F93AC6">
        <w:rPr>
          <w:sz w:val="24"/>
        </w:rPr>
        <w:t xml:space="preserve"> </w:t>
      </w:r>
      <w:proofErr w:type="gramStart"/>
      <w:r w:rsidRPr="00F93AC6">
        <w:rPr>
          <w:sz w:val="24"/>
        </w:rPr>
        <w:t>et</w:t>
      </w:r>
      <w:proofErr w:type="gramEnd"/>
      <w:r w:rsidRPr="00F93AC6">
        <w:rPr>
          <w:sz w:val="24"/>
        </w:rPr>
        <w:t xml:space="preserve"> al., 2014).</w:t>
      </w:r>
    </w:p>
    <w:p w14:paraId="62A54D91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A partir da contextualização apresentada neste artigo, pretende-se discutir e contribuir para a análise da relação entre os aspectos relacionados à governança corporativa, pautado nas características do conselho de administração, e a sustentabilidade, a partir da divulgação dos dados das empresas listadas em bolsa. Portanto, elaborou-se a seguinte pergunta de pesquisa: Quais características do conselho de administração influenciam a divulgação de práticas de sustentabilidade de empresas brasileiras listadas na BM&amp;FBOVESPA? O estudo tem como objetivo analisar a relação entre as características do conselho de administração e a divulgação da sustentabilidade. </w:t>
      </w:r>
    </w:p>
    <w:p w14:paraId="7A9DB17A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lastRenderedPageBreak/>
        <w:t xml:space="preserve">Desta forma, se destaca a lacuna de pesquisa, que consiste na importância de estudos empíricos sobre a divulgação da sustentabilidade, produzindo, assim, uma literatura mais completa, podendo ser constatado se diversas características do conselho de administração podem apresentar-se associadas à exposição das questões sustentáveis pelas organizações. Este trabalho complementa o que foi tratado por Gray, </w:t>
      </w:r>
      <w:proofErr w:type="spellStart"/>
      <w:r w:rsidRPr="00F93AC6">
        <w:rPr>
          <w:sz w:val="24"/>
        </w:rPr>
        <w:t>Kouhy</w:t>
      </w:r>
      <w:proofErr w:type="spellEnd"/>
      <w:r w:rsidRPr="00F93AC6">
        <w:rPr>
          <w:sz w:val="24"/>
        </w:rPr>
        <w:t xml:space="preserve"> e </w:t>
      </w:r>
      <w:proofErr w:type="spellStart"/>
      <w:r w:rsidRPr="00F93AC6">
        <w:rPr>
          <w:sz w:val="24"/>
        </w:rPr>
        <w:t>Lavers</w:t>
      </w:r>
      <w:proofErr w:type="spellEnd"/>
      <w:r w:rsidRPr="00F93AC6">
        <w:rPr>
          <w:sz w:val="24"/>
        </w:rPr>
        <w:t xml:space="preserve"> (1995).</w:t>
      </w:r>
    </w:p>
    <w:p w14:paraId="0EAE948D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Como contribuição, este estudo permite identificar quais características do CA estão mais presentes em empresas que apresentam maior divulgação de suas ações de responsabilidade social. Destaca-se que algumas características listadas neste estudo são fundamentalmente importantes para explicar esta relação, sendo elas o tamanho do conselho, proporção de conselheiros independentes e a ocorrência do </w:t>
      </w:r>
      <w:proofErr w:type="spellStart"/>
      <w:r w:rsidRPr="00F93AC6">
        <w:rPr>
          <w:i/>
          <w:sz w:val="24"/>
        </w:rPr>
        <w:t>Board</w:t>
      </w:r>
      <w:proofErr w:type="spellEnd"/>
      <w:r w:rsidRPr="00F93AC6">
        <w:rPr>
          <w:i/>
          <w:sz w:val="24"/>
        </w:rPr>
        <w:t xml:space="preserve"> </w:t>
      </w:r>
      <w:proofErr w:type="spellStart"/>
      <w:r w:rsidRPr="00F93AC6">
        <w:rPr>
          <w:i/>
          <w:sz w:val="24"/>
        </w:rPr>
        <w:t>Interlocking</w:t>
      </w:r>
      <w:proofErr w:type="spellEnd"/>
      <w:r w:rsidRPr="00F93AC6">
        <w:rPr>
          <w:sz w:val="24"/>
        </w:rPr>
        <w:t xml:space="preserve"> (BI). Assim, torna-se importante para as empresas, no momento de compor o seu conselho, analisar estas características buscando melhores resultados frente ao mercado quanto à confiabilidade das informações.</w:t>
      </w:r>
    </w:p>
    <w:p w14:paraId="5A85A92E" w14:textId="77777777" w:rsidR="001D2029" w:rsidRPr="00F93AC6" w:rsidRDefault="001D2029" w:rsidP="001D2029">
      <w:pPr>
        <w:jc w:val="both"/>
        <w:rPr>
          <w:sz w:val="24"/>
        </w:rPr>
      </w:pPr>
    </w:p>
    <w:p w14:paraId="54B8403F" w14:textId="77777777" w:rsidR="001D2029" w:rsidRPr="00F93AC6" w:rsidRDefault="001D2029" w:rsidP="001D2029">
      <w:pPr>
        <w:jc w:val="both"/>
        <w:rPr>
          <w:b/>
          <w:sz w:val="24"/>
        </w:rPr>
      </w:pPr>
      <w:proofErr w:type="gramStart"/>
      <w:r w:rsidRPr="00F93AC6">
        <w:rPr>
          <w:b/>
          <w:sz w:val="24"/>
        </w:rPr>
        <w:t>2 REFERENCIAL</w:t>
      </w:r>
      <w:proofErr w:type="gramEnd"/>
      <w:r w:rsidRPr="00F93AC6">
        <w:rPr>
          <w:b/>
          <w:sz w:val="24"/>
        </w:rPr>
        <w:t xml:space="preserve"> TEÓRICO</w:t>
      </w:r>
    </w:p>
    <w:p w14:paraId="3B85985D" w14:textId="77777777" w:rsidR="001D2029" w:rsidRPr="00F93AC6" w:rsidRDefault="001D2029" w:rsidP="001D2029">
      <w:pPr>
        <w:pStyle w:val="PargrafodaLista"/>
        <w:ind w:left="0"/>
        <w:jc w:val="both"/>
        <w:rPr>
          <w:b/>
          <w:sz w:val="24"/>
        </w:rPr>
      </w:pPr>
      <w:proofErr w:type="gramStart"/>
      <w:r w:rsidRPr="00F93AC6">
        <w:rPr>
          <w:b/>
          <w:sz w:val="24"/>
        </w:rPr>
        <w:t>2.1 Responsabilidade</w:t>
      </w:r>
      <w:proofErr w:type="gramEnd"/>
      <w:r w:rsidRPr="00F93AC6">
        <w:rPr>
          <w:b/>
          <w:sz w:val="24"/>
        </w:rPr>
        <w:t xml:space="preserve"> Social Corporativa e Governança Corporativa</w:t>
      </w:r>
    </w:p>
    <w:p w14:paraId="0F32FBB5" w14:textId="77777777" w:rsidR="001D2029" w:rsidRPr="00F93AC6" w:rsidRDefault="001D2029" w:rsidP="001D2029">
      <w:pPr>
        <w:pStyle w:val="paragraph"/>
        <w:spacing w:beforeAutospacing="0" w:after="0" w:afterAutospacing="0"/>
        <w:ind w:firstLine="705"/>
        <w:jc w:val="both"/>
        <w:textAlignment w:val="baseline"/>
        <w:rPr>
          <w:rFonts w:ascii="Segoe UI" w:hAnsi="Segoe UI"/>
          <w:sz w:val="12"/>
        </w:rPr>
      </w:pPr>
      <w:r w:rsidRPr="00F93AC6">
        <w:rPr>
          <w:rStyle w:val="normaltextrun"/>
        </w:rPr>
        <w:t>A Responsabilidade Social, para Ferreira (2004), pode ser entendida como um conjunto de ações desenvolvidas pela empresa que afetam todos os seus</w:t>
      </w:r>
      <w:r w:rsidRPr="00F93AC6">
        <w:rPr>
          <w:rStyle w:val="apple-converted-space"/>
        </w:rPr>
        <w:t> </w:t>
      </w:r>
      <w:proofErr w:type="spellStart"/>
      <w:r w:rsidRPr="00F93AC6">
        <w:rPr>
          <w:rStyle w:val="normaltextrun"/>
          <w:i/>
        </w:rPr>
        <w:t>stakeholders</w:t>
      </w:r>
      <w:proofErr w:type="spellEnd"/>
      <w:r w:rsidRPr="00F93AC6">
        <w:rPr>
          <w:rStyle w:val="normaltextrun"/>
        </w:rPr>
        <w:t>. Especificamente, a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Responsabilidade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Social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Corporativa (RSC) é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entendida a partir das escolhas que as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empresas fazem no que diz respeito ao seu modo de operar dentro dos padrões sociais, políticos, legais e éticos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no ambiente em que estão inseridas. A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RSC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deve estar incorporada à estratégia das empresas a partir de suas propostas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de valor aos seus clientes, trabalhadores,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fornecedores, acionistas ou outros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que sejam chave para seus negócios, para assim garantir as ações e seu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desenvolvimento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(</w:t>
      </w:r>
      <w:proofErr w:type="spellStart"/>
      <w:r w:rsidRPr="00F93AC6">
        <w:rPr>
          <w:rStyle w:val="normaltextrun"/>
        </w:rPr>
        <w:t>D</w:t>
      </w:r>
      <w:r w:rsidR="00A34842">
        <w:rPr>
          <w:rStyle w:val="normaltextrun"/>
        </w:rPr>
        <w:t>evinney</w:t>
      </w:r>
      <w:proofErr w:type="spellEnd"/>
      <w:r w:rsidR="00A34842">
        <w:rPr>
          <w:rStyle w:val="normaltextrun"/>
        </w:rPr>
        <w:t xml:space="preserve">, </w:t>
      </w:r>
      <w:proofErr w:type="spellStart"/>
      <w:r w:rsidR="00A34842">
        <w:rPr>
          <w:rStyle w:val="normaltextrun"/>
        </w:rPr>
        <w:t>Schwalbach</w:t>
      </w:r>
      <w:proofErr w:type="spellEnd"/>
      <w:r w:rsidR="00A34842">
        <w:rPr>
          <w:rStyle w:val="normaltextrun"/>
        </w:rPr>
        <w:t xml:space="preserve"> &amp; Williams</w:t>
      </w:r>
      <w:r w:rsidRPr="00F93AC6">
        <w:rPr>
          <w:rStyle w:val="normaltextrun"/>
        </w:rPr>
        <w:t>, 2013). </w:t>
      </w:r>
      <w:proofErr w:type="gramStart"/>
      <w:r w:rsidRPr="00F93AC6">
        <w:rPr>
          <w:rStyle w:val="eop"/>
        </w:rPr>
        <w:t> </w:t>
      </w:r>
    </w:p>
    <w:p w14:paraId="31EF1304" w14:textId="77777777" w:rsidR="001D2029" w:rsidRPr="00F93AC6" w:rsidRDefault="001D2029" w:rsidP="001D2029">
      <w:pPr>
        <w:ind w:firstLine="708"/>
        <w:jc w:val="both"/>
        <w:rPr>
          <w:sz w:val="24"/>
        </w:rPr>
      </w:pPr>
      <w:proofErr w:type="gramEnd"/>
      <w:r w:rsidRPr="00F93AC6">
        <w:rPr>
          <w:sz w:val="24"/>
        </w:rPr>
        <w:t xml:space="preserve">Dentro do Conceito de Responsabilidade Social e Corporativa, tem-se imbricado o conceito de sustentabilidade. Hart e Milstein (2003) consideram que a conceituação de sustentabilidade provoca o desenvolvimento de forma sustentável. Esta condição faz despontar duas suposições sobre a sustentabilidade empresarial: (a) é sinônimo de desenvolvimento sustentável; e (b) a organização sustentável encontrar-se-á somente se admitir e </w:t>
      </w:r>
      <w:proofErr w:type="gramStart"/>
      <w:r w:rsidRPr="00F93AC6">
        <w:rPr>
          <w:sz w:val="24"/>
        </w:rPr>
        <w:t>implementar</w:t>
      </w:r>
      <w:proofErr w:type="gramEnd"/>
      <w:r w:rsidRPr="00F93AC6">
        <w:rPr>
          <w:sz w:val="24"/>
        </w:rPr>
        <w:t xml:space="preserve"> temas relacionados a questões ambientais e sociais ao seu planejamento estratégico (A</w:t>
      </w:r>
      <w:r w:rsidR="00A34842">
        <w:rPr>
          <w:sz w:val="24"/>
        </w:rPr>
        <w:t xml:space="preserve">ras &amp; </w:t>
      </w:r>
      <w:proofErr w:type="spellStart"/>
      <w:r w:rsidR="00A34842">
        <w:rPr>
          <w:sz w:val="24"/>
        </w:rPr>
        <w:t>Crowther</w:t>
      </w:r>
      <w:proofErr w:type="spellEnd"/>
      <w:r w:rsidRPr="00F93AC6">
        <w:rPr>
          <w:sz w:val="24"/>
        </w:rPr>
        <w:t>, 2008). Os autores também descrevem que as responsabilidades relacionadas à sustentabilidade são relevantes para a sociedade e para a organização. Para a sociedade, de uma forma abrangente, e para a organização, dentro de seus limites (</w:t>
      </w:r>
      <w:proofErr w:type="spellStart"/>
      <w:r w:rsidRPr="00F93AC6">
        <w:rPr>
          <w:sz w:val="24"/>
        </w:rPr>
        <w:t>A</w:t>
      </w:r>
      <w:r w:rsidR="00A34842">
        <w:rPr>
          <w:sz w:val="24"/>
        </w:rPr>
        <w:t>sif</w:t>
      </w:r>
      <w:proofErr w:type="spellEnd"/>
      <w:r w:rsidRPr="00F93AC6">
        <w:rPr>
          <w:sz w:val="24"/>
        </w:rPr>
        <w:t>, 2011).</w:t>
      </w:r>
    </w:p>
    <w:p w14:paraId="3BB94623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A sustentabilidade empresarial é uma definição ativa e suas prioridades ambientais, econômicas e sociais </w:t>
      </w:r>
      <w:proofErr w:type="gramStart"/>
      <w:r w:rsidRPr="00F93AC6">
        <w:rPr>
          <w:sz w:val="24"/>
        </w:rPr>
        <w:t>estão</w:t>
      </w:r>
      <w:proofErr w:type="gramEnd"/>
      <w:r w:rsidRPr="00F93AC6">
        <w:rPr>
          <w:sz w:val="24"/>
        </w:rPr>
        <w:t xml:space="preserve"> em constante mudança devido o contexto das organizações (</w:t>
      </w:r>
      <w:proofErr w:type="spellStart"/>
      <w:r w:rsidRPr="00F93AC6">
        <w:rPr>
          <w:sz w:val="24"/>
        </w:rPr>
        <w:t>A</w:t>
      </w:r>
      <w:r w:rsidR="00A34842">
        <w:rPr>
          <w:sz w:val="24"/>
        </w:rPr>
        <w:t>sif</w:t>
      </w:r>
      <w:proofErr w:type="spellEnd"/>
      <w:r w:rsidRPr="00F93AC6">
        <w:rPr>
          <w:sz w:val="24"/>
        </w:rPr>
        <w:t xml:space="preserve">, 2011). Para </w:t>
      </w:r>
      <w:proofErr w:type="spellStart"/>
      <w:r w:rsidRPr="00F93AC6">
        <w:rPr>
          <w:sz w:val="24"/>
        </w:rPr>
        <w:t>Marrewijk</w:t>
      </w:r>
      <w:proofErr w:type="spellEnd"/>
      <w:r w:rsidRPr="00F93AC6">
        <w:rPr>
          <w:sz w:val="24"/>
        </w:rPr>
        <w:t xml:space="preserve"> e </w:t>
      </w:r>
      <w:proofErr w:type="spellStart"/>
      <w:r w:rsidRPr="00F93AC6">
        <w:rPr>
          <w:sz w:val="24"/>
        </w:rPr>
        <w:t>Werre</w:t>
      </w:r>
      <w:proofErr w:type="spellEnd"/>
      <w:r w:rsidRPr="00F93AC6">
        <w:rPr>
          <w:sz w:val="24"/>
        </w:rPr>
        <w:t xml:space="preserve"> (2003, 95-96), “um intenso debate tem ocorrido entre os acadêmicos, consultores e executivos de empresas, resultando em muitas definições de uma forma mais humana, mais ética e uma forma mais transparente de fazer negócios”. Dessa forma, os conceitos podem sofrer alterações de concepções constantes.</w:t>
      </w:r>
    </w:p>
    <w:p w14:paraId="4DC483B5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Essas alterações podem ser provenientes de propósitos internos e externos da organização, principalmente relacionados aos recursos utilizados, expostos a circunstâncias políticas, normas governamentais, opositores, escassez de recursos, dentre outros (</w:t>
      </w:r>
      <w:proofErr w:type="spellStart"/>
      <w:r w:rsidRPr="00F93AC6">
        <w:rPr>
          <w:sz w:val="24"/>
        </w:rPr>
        <w:t>G</w:t>
      </w:r>
      <w:r w:rsidR="00A34842">
        <w:rPr>
          <w:sz w:val="24"/>
        </w:rPr>
        <w:t>root</w:t>
      </w:r>
      <w:proofErr w:type="spellEnd"/>
      <w:r w:rsidRPr="00F93AC6">
        <w:rPr>
          <w:sz w:val="24"/>
        </w:rPr>
        <w:t xml:space="preserve">, 2002). Outra condição de mudança nos conceitos, verificado por Mitchell </w:t>
      </w:r>
      <w:proofErr w:type="gramStart"/>
      <w:r w:rsidRPr="00F93AC6">
        <w:rPr>
          <w:i/>
          <w:sz w:val="24"/>
        </w:rPr>
        <w:t>et</w:t>
      </w:r>
      <w:proofErr w:type="gramEnd"/>
      <w:r w:rsidRPr="00F93AC6">
        <w:rPr>
          <w:i/>
          <w:sz w:val="24"/>
        </w:rPr>
        <w:t xml:space="preserve"> al. </w:t>
      </w:r>
      <w:r w:rsidRPr="00F93AC6">
        <w:rPr>
          <w:sz w:val="24"/>
        </w:rPr>
        <w:t xml:space="preserve">(1997), é a ágil mudança dentro das organizações, necessitando a urgência na legitimidade e poder dentro delas. Um terceiro fator exposto por </w:t>
      </w:r>
      <w:proofErr w:type="spellStart"/>
      <w:r w:rsidRPr="00F93AC6">
        <w:rPr>
          <w:sz w:val="24"/>
        </w:rPr>
        <w:t>Asif</w:t>
      </w:r>
      <w:proofErr w:type="spellEnd"/>
      <w:r w:rsidRPr="00F93AC6">
        <w:rPr>
          <w:sz w:val="24"/>
        </w:rPr>
        <w:t xml:space="preserve"> (2011) está relacionado </w:t>
      </w:r>
      <w:proofErr w:type="gramStart"/>
      <w:r w:rsidRPr="00F93AC6">
        <w:rPr>
          <w:sz w:val="24"/>
        </w:rPr>
        <w:t>a</w:t>
      </w:r>
      <w:proofErr w:type="gramEnd"/>
      <w:r w:rsidRPr="00F93AC6">
        <w:rPr>
          <w:sz w:val="24"/>
        </w:rPr>
        <w:t xml:space="preserve"> diversificação das </w:t>
      </w:r>
      <w:r w:rsidRPr="00F93AC6">
        <w:rPr>
          <w:sz w:val="24"/>
        </w:rPr>
        <w:lastRenderedPageBreak/>
        <w:t>atividades das empresas, sendo necessário mudanças e, por consequência, adaptações em tratamentos relacionados à sustentabilidade.</w:t>
      </w:r>
    </w:p>
    <w:p w14:paraId="06FD8C2D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De acordo com Schwartz e Carroll (2003), a sustentabilidade empresarial demanda atenção no tripé: ambiental, social e econômica. Estas áreas devem estar em perfeito equilíbrio, não devendo uma sobrepor </w:t>
      </w:r>
      <w:proofErr w:type="gramStart"/>
      <w:r w:rsidRPr="00F93AC6">
        <w:rPr>
          <w:sz w:val="24"/>
        </w:rPr>
        <w:t>a</w:t>
      </w:r>
      <w:proofErr w:type="gramEnd"/>
      <w:r w:rsidRPr="00F93AC6">
        <w:rPr>
          <w:sz w:val="24"/>
        </w:rPr>
        <w:t xml:space="preserve"> outra, sendo que se isso acontecer, pode refletir na instabilidade e, em consequência, dificuldades para a gestão das empresas (S</w:t>
      </w:r>
      <w:r w:rsidR="00A34842">
        <w:rPr>
          <w:sz w:val="24"/>
        </w:rPr>
        <w:t>chwartz &amp; Carroll</w:t>
      </w:r>
      <w:r w:rsidRPr="00F93AC6">
        <w:rPr>
          <w:sz w:val="24"/>
        </w:rPr>
        <w:t xml:space="preserve">, 2003). </w:t>
      </w:r>
    </w:p>
    <w:p w14:paraId="47F75085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A área ambiental pode levar as organizações a considerar que suas atividades estão impactando no ambiente no qual a organização está inserida, alterando, assim, sua forma de agir, auxiliando a inserção da administração integrada no cotidiano de trabalho das organizações (</w:t>
      </w:r>
      <w:proofErr w:type="spellStart"/>
      <w:r w:rsidRPr="00F93AC6">
        <w:rPr>
          <w:sz w:val="24"/>
        </w:rPr>
        <w:t>S</w:t>
      </w:r>
      <w:r w:rsidR="00A34842">
        <w:rPr>
          <w:sz w:val="24"/>
        </w:rPr>
        <w:t>pangenberg</w:t>
      </w:r>
      <w:proofErr w:type="spellEnd"/>
      <w:r w:rsidR="00A34842">
        <w:rPr>
          <w:sz w:val="24"/>
        </w:rPr>
        <w:t xml:space="preserve"> &amp; </w:t>
      </w:r>
      <w:proofErr w:type="spellStart"/>
      <w:r w:rsidR="00A34842">
        <w:rPr>
          <w:sz w:val="24"/>
        </w:rPr>
        <w:t>Bonniot</w:t>
      </w:r>
      <w:proofErr w:type="spellEnd"/>
      <w:r w:rsidRPr="00F93AC6">
        <w:rPr>
          <w:sz w:val="24"/>
        </w:rPr>
        <w:t xml:space="preserve">, 1998). </w:t>
      </w:r>
      <w:proofErr w:type="spellStart"/>
      <w:r w:rsidRPr="00F93AC6">
        <w:rPr>
          <w:sz w:val="24"/>
        </w:rPr>
        <w:t>Marrewijk</w:t>
      </w:r>
      <w:proofErr w:type="spellEnd"/>
      <w:r w:rsidRPr="00F93AC6">
        <w:rPr>
          <w:sz w:val="24"/>
        </w:rPr>
        <w:t xml:space="preserve"> e </w:t>
      </w:r>
      <w:proofErr w:type="spellStart"/>
      <w:r w:rsidRPr="00F93AC6">
        <w:rPr>
          <w:sz w:val="24"/>
        </w:rPr>
        <w:t>Werre</w:t>
      </w:r>
      <w:proofErr w:type="spellEnd"/>
      <w:r w:rsidRPr="00F93AC6">
        <w:rPr>
          <w:sz w:val="24"/>
        </w:rPr>
        <w:t xml:space="preserve"> (2003) apontam que na prática esta preocupação reduz os efeitos ambientais negativos por intermédio de monitoramento, integração de tecnologia no processo, análise de ciclo de vida dos produtos e administração integrada da cadeia de produção.</w:t>
      </w:r>
    </w:p>
    <w:p w14:paraId="75D8E4AA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A área social traduz-se na qualidade de vida dos seres humanos, compreendendo o ambiente externo e interno da organização. Esta área é fundamentada na qualidade de vida do empregado e, em consequência, da sociedade. A medição desta área pode ser realizada por diversos parâmetros, conforme cada organização, porém, algumas são habituais a todas as organizações, tais como: horas de trabalho coerente, ambiente de trabalho saudável e seguro, compensação financeira justa, não utilização de mão de obra infantil e trabalho escravo, respeito aos direitos humanos, tratamento justo para com os trabalhadores, dentre outras (</w:t>
      </w:r>
      <w:proofErr w:type="spellStart"/>
      <w:r w:rsidRPr="00F93AC6">
        <w:rPr>
          <w:sz w:val="24"/>
        </w:rPr>
        <w:t>S</w:t>
      </w:r>
      <w:r w:rsidR="00A34842">
        <w:rPr>
          <w:sz w:val="24"/>
        </w:rPr>
        <w:t>pangenberg</w:t>
      </w:r>
      <w:proofErr w:type="spellEnd"/>
      <w:r w:rsidR="00A34842">
        <w:rPr>
          <w:sz w:val="24"/>
        </w:rPr>
        <w:t xml:space="preserve"> &amp; </w:t>
      </w:r>
      <w:proofErr w:type="spellStart"/>
      <w:r w:rsidR="00A34842">
        <w:rPr>
          <w:sz w:val="24"/>
        </w:rPr>
        <w:t>Bonniot</w:t>
      </w:r>
      <w:proofErr w:type="spellEnd"/>
      <w:r w:rsidRPr="00F93AC6">
        <w:rPr>
          <w:sz w:val="24"/>
        </w:rPr>
        <w:t>, 1998).</w:t>
      </w:r>
    </w:p>
    <w:p w14:paraId="1CC9529C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A terceira área, econômica, engloba as atividades informais além da economia formal, atendendo os indivíduos, adicionando renda financeira e melhorando o seu padrão de vida. O lucro obtido pela organização e proveniente da produção de bens e serviços atende às necessidades humanas, além da geração de renda para proprietários, gestores e empregados. O retorno financeiro da organização espelha a satisfação dos consumidores de seus bens e serviços, assim como a competência da organização em gerir seu capital, recursos naturais, conhecimento e mão de obra (</w:t>
      </w:r>
      <w:proofErr w:type="spellStart"/>
      <w:r w:rsidR="00A34842" w:rsidRPr="00F93AC6">
        <w:rPr>
          <w:sz w:val="24"/>
        </w:rPr>
        <w:t>S</w:t>
      </w:r>
      <w:r w:rsidR="00A34842">
        <w:rPr>
          <w:sz w:val="24"/>
        </w:rPr>
        <w:t>pangenberg</w:t>
      </w:r>
      <w:proofErr w:type="spellEnd"/>
      <w:r w:rsidR="00A34842">
        <w:rPr>
          <w:sz w:val="24"/>
        </w:rPr>
        <w:t xml:space="preserve"> &amp; </w:t>
      </w:r>
      <w:proofErr w:type="spellStart"/>
      <w:r w:rsidR="00A34842">
        <w:rPr>
          <w:sz w:val="24"/>
        </w:rPr>
        <w:t>Bonniot</w:t>
      </w:r>
      <w:proofErr w:type="spellEnd"/>
      <w:r w:rsidR="00A34842" w:rsidRPr="00F93AC6">
        <w:rPr>
          <w:sz w:val="24"/>
        </w:rPr>
        <w:t>, 1998</w:t>
      </w:r>
      <w:r w:rsidRPr="00F93AC6">
        <w:rPr>
          <w:sz w:val="24"/>
        </w:rPr>
        <w:t>). Conforme exposto por Schwartz e Carroll (2003), as três áreas devem estar em perfeito equilíbrio, formando, assim, o tripé da sustentabilidade empresarial.</w:t>
      </w:r>
    </w:p>
    <w:p w14:paraId="7272E018" w14:textId="77777777" w:rsidR="001D2029" w:rsidRPr="00F93AC6" w:rsidRDefault="001D2029" w:rsidP="001D2029">
      <w:pPr>
        <w:pStyle w:val="paragraph"/>
        <w:spacing w:beforeAutospacing="0" w:after="0" w:afterAutospacing="0"/>
        <w:ind w:firstLine="705"/>
        <w:jc w:val="both"/>
        <w:textAlignment w:val="baseline"/>
        <w:rPr>
          <w:rFonts w:ascii="Segoe UI" w:hAnsi="Segoe UI"/>
          <w:sz w:val="12"/>
        </w:rPr>
      </w:pPr>
      <w:r w:rsidRPr="00F93AC6">
        <w:rPr>
          <w:rStyle w:val="normaltextrun"/>
        </w:rPr>
        <w:t>Ainda em relação</w:t>
      </w:r>
      <w:r w:rsidRPr="00F93AC6">
        <w:rPr>
          <w:rStyle w:val="apple-converted-space"/>
        </w:rPr>
        <w:t> à </w:t>
      </w:r>
      <w:r w:rsidRPr="00F93AC6">
        <w:rPr>
          <w:rStyle w:val="normaltextrun"/>
        </w:rPr>
        <w:t xml:space="preserve">definição de RSC, </w:t>
      </w:r>
      <w:proofErr w:type="spellStart"/>
      <w:r w:rsidRPr="00F93AC6">
        <w:rPr>
          <w:rStyle w:val="spellingerror"/>
        </w:rPr>
        <w:t>Dahlsrud</w:t>
      </w:r>
      <w:proofErr w:type="spellEnd"/>
      <w:r w:rsidRPr="00F93AC6">
        <w:rPr>
          <w:rStyle w:val="apple-converted-space"/>
        </w:rPr>
        <w:t> </w:t>
      </w:r>
      <w:r w:rsidRPr="00F93AC6">
        <w:rPr>
          <w:rStyle w:val="normaltextrun"/>
        </w:rPr>
        <w:t>(2008) fez um extenso estudo sobre trinta e sete definições encontradas sobre essa temática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a partir de 27 autores. Ele chegou</w:t>
      </w:r>
      <w:r w:rsidRPr="00F93AC6">
        <w:rPr>
          <w:rStyle w:val="apple-converted-space"/>
        </w:rPr>
        <w:t> </w:t>
      </w:r>
      <w:proofErr w:type="gramStart"/>
      <w:r w:rsidRPr="00F93AC6">
        <w:rPr>
          <w:rStyle w:val="normaltextrun"/>
        </w:rPr>
        <w:t>a</w:t>
      </w:r>
      <w:proofErr w:type="gramEnd"/>
      <w:r w:rsidRPr="00F93AC6">
        <w:rPr>
          <w:rStyle w:val="apple-converted-space"/>
        </w:rPr>
        <w:t> </w:t>
      </w:r>
      <w:r w:rsidRPr="00F93AC6">
        <w:rPr>
          <w:rStyle w:val="normaltextrun"/>
        </w:rPr>
        <w:t>conclusão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de que, embora existam muitas definições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e que falta um tratamento universal ao termo, elas constantemente se referem a cinco dimensões, sendo elas a ambiental, social, econômica, voluntariedade e</w:t>
      </w:r>
      <w:r w:rsidRPr="00F93AC6">
        <w:rPr>
          <w:rStyle w:val="apple-converted-space"/>
        </w:rPr>
        <w:t> </w:t>
      </w:r>
      <w:proofErr w:type="spellStart"/>
      <w:r w:rsidRPr="00F93AC6">
        <w:rPr>
          <w:rStyle w:val="normaltextrun"/>
          <w:i/>
        </w:rPr>
        <w:t>stakeholders</w:t>
      </w:r>
      <w:proofErr w:type="spellEnd"/>
      <w:r w:rsidRPr="00F93AC6">
        <w:rPr>
          <w:rStyle w:val="normaltextrun"/>
        </w:rPr>
        <w:t>. </w:t>
      </w:r>
      <w:r w:rsidRPr="00F93AC6">
        <w:rPr>
          <w:rStyle w:val="eop"/>
        </w:rPr>
        <w:t> </w:t>
      </w:r>
    </w:p>
    <w:p w14:paraId="3C0BE61D" w14:textId="77777777" w:rsidR="001D2029" w:rsidRPr="00F93AC6" w:rsidRDefault="001D2029" w:rsidP="001D2029">
      <w:pPr>
        <w:pStyle w:val="paragraph"/>
        <w:spacing w:beforeAutospacing="0" w:after="0" w:afterAutospacing="0"/>
        <w:ind w:firstLine="705"/>
        <w:jc w:val="both"/>
        <w:textAlignment w:val="baseline"/>
        <w:rPr>
          <w:rStyle w:val="normaltextrun"/>
        </w:rPr>
      </w:pPr>
      <w:r w:rsidRPr="00F93AC6">
        <w:rPr>
          <w:rStyle w:val="normaltextrun"/>
        </w:rPr>
        <w:t>O autor explica que as três primeiras são apenas diferentes categorias de impactos de forma distinta no negócio. Além disso, a distinção é útil uma vez que diferentes conjuntos de ferramentas devem ser</w:t>
      </w:r>
      <w:r w:rsidRPr="00F93AC6">
        <w:rPr>
          <w:rStyle w:val="apple-converted-space"/>
        </w:rPr>
        <w:t> </w:t>
      </w:r>
      <w:proofErr w:type="gramStart"/>
      <w:r w:rsidRPr="00F93AC6">
        <w:rPr>
          <w:rStyle w:val="normaltextrun"/>
        </w:rPr>
        <w:t>usadas</w:t>
      </w:r>
      <w:proofErr w:type="gramEnd"/>
      <w:r w:rsidRPr="00F93AC6">
        <w:rPr>
          <w:rStyle w:val="apple-converted-space"/>
        </w:rPr>
        <w:t> </w:t>
      </w:r>
      <w:r w:rsidRPr="00F93AC6">
        <w:rPr>
          <w:rStyle w:val="normaltextrun"/>
        </w:rPr>
        <w:t>na análise e gestão para verificar os impactos das ações das empresas nos âmbitos sociais, ambientais e econômicos dos negócios. Já a dimensão voluntariedade implica que o negócio deve ir além dos requisitos regulamentares no que se refere</w:t>
      </w:r>
      <w:r w:rsidRPr="00F93AC6">
        <w:rPr>
          <w:rStyle w:val="apple-converted-space"/>
        </w:rPr>
        <w:t> à </w:t>
      </w:r>
      <w:r w:rsidRPr="00F93AC6">
        <w:rPr>
          <w:rStyle w:val="normaltextrun"/>
        </w:rPr>
        <w:t>RSC, pois o que é obrigatório define apenas o nível mínimo de desempenho considerado aceitável. Já na dimensão dos</w:t>
      </w:r>
      <w:r w:rsidRPr="00F93AC6">
        <w:rPr>
          <w:rStyle w:val="apple-converted-space"/>
        </w:rPr>
        <w:t> </w:t>
      </w:r>
      <w:proofErr w:type="spellStart"/>
      <w:r w:rsidRPr="00F93AC6">
        <w:rPr>
          <w:rStyle w:val="normaltextrun"/>
          <w:i/>
        </w:rPr>
        <w:t>stakeholders</w:t>
      </w:r>
      <w:proofErr w:type="spellEnd"/>
      <w:r w:rsidRPr="00F93AC6">
        <w:rPr>
          <w:rStyle w:val="apple-converted-space"/>
        </w:rPr>
        <w:t> </w:t>
      </w:r>
      <w:r w:rsidRPr="00F93AC6">
        <w:rPr>
          <w:rStyle w:val="normaltextrun"/>
        </w:rPr>
        <w:t>as definições se referem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 xml:space="preserve">ao nível de envolvimento das empresas com os seus funcionários, fornecedores, clientes e comunidades. Busca compreender, também, como devem ser tratados todos aqueles que de alguma forma interagem com a empresa. </w:t>
      </w:r>
    </w:p>
    <w:p w14:paraId="2F87C7DE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lastRenderedPageBreak/>
        <w:t xml:space="preserve">Essa relação pode ser explicada por meio da teoria dos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 xml:space="preserve">. Para Freeman (1984), o conceito é entendido como sendo um grupo ou uma pessoa que tem relacionamento com uma determinada empresa, que influencia ou é influenciado pelo alcance dos objetivos. </w:t>
      </w:r>
      <w:proofErr w:type="spellStart"/>
      <w:r w:rsidRPr="00F93AC6">
        <w:rPr>
          <w:sz w:val="24"/>
        </w:rPr>
        <w:t>Clarkson</w:t>
      </w:r>
      <w:proofErr w:type="spellEnd"/>
      <w:r w:rsidRPr="00F93AC6">
        <w:rPr>
          <w:sz w:val="24"/>
        </w:rPr>
        <w:t xml:space="preserve"> (1995) apresentou um entendimento mais abrangente, afirmando que o termo </w:t>
      </w:r>
      <w:proofErr w:type="spellStart"/>
      <w:r w:rsidRPr="00F93AC6">
        <w:rPr>
          <w:i/>
          <w:sz w:val="24"/>
        </w:rPr>
        <w:t>stakeholder</w:t>
      </w:r>
      <w:proofErr w:type="spellEnd"/>
      <w:r w:rsidRPr="00F93AC6">
        <w:rPr>
          <w:sz w:val="24"/>
        </w:rPr>
        <w:t xml:space="preserve"> se refere a todos aqueles que têm ou buscam possuir direitos ou interesses em uma determinada empresa, podendo estar relacionado a atividades do presente, futuro ou passado.</w:t>
      </w:r>
    </w:p>
    <w:p w14:paraId="070B679E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A teoria dos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 xml:space="preserve"> pode ser entendida a partir de três perspectivas. A primeira é descritiva, uma vez que apresenta um modelo e descreve o que é organização, tanto no ambiente interno, quanto no externo. A segunda é instrumental, por apresentar uma estrutura analítica para verificar as relações entre a prática dos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 xml:space="preserve"> e a obtenção de resultados, ou seja, é utilizada como uma ferramenta de gestão. A terceira é a normativa, pois define o padrão de comportamento da organização perante os envolvidos, assim, reconhece o interesse de todos eles (</w:t>
      </w:r>
      <w:proofErr w:type="spellStart"/>
      <w:r w:rsidRPr="00F93AC6">
        <w:rPr>
          <w:sz w:val="24"/>
        </w:rPr>
        <w:t>D</w:t>
      </w:r>
      <w:r w:rsidR="005428C1">
        <w:rPr>
          <w:sz w:val="24"/>
        </w:rPr>
        <w:t>onaldson</w:t>
      </w:r>
      <w:proofErr w:type="spellEnd"/>
      <w:r w:rsidR="005428C1">
        <w:rPr>
          <w:sz w:val="24"/>
        </w:rPr>
        <w:t xml:space="preserve"> &amp; Preston</w:t>
      </w:r>
      <w:r w:rsidRPr="00F93AC6">
        <w:rPr>
          <w:sz w:val="24"/>
        </w:rPr>
        <w:t xml:space="preserve">, 1995). </w:t>
      </w:r>
    </w:p>
    <w:p w14:paraId="5B92D550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Nesse caso, tem-se como argumentação central para essa teoria que os administradores, gestores ou conselheiros devem tomar suas decisões levando em consideração os interesses de todos os grupos envolvidos, tanto os primários (acionistas e credores) como os secundários (comunidades, funcionários, fornecedores, entre outros) (R</w:t>
      </w:r>
      <w:r w:rsidR="005428C1">
        <w:rPr>
          <w:sz w:val="24"/>
        </w:rPr>
        <w:t>ezende, Nunes &amp; Portela</w:t>
      </w:r>
      <w:r w:rsidRPr="00F93AC6">
        <w:rPr>
          <w:sz w:val="24"/>
        </w:rPr>
        <w:t>, 2008).</w:t>
      </w:r>
    </w:p>
    <w:p w14:paraId="2B0E51C1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Nesse caso, o objetivo é gerenciar o ambiente de negócio de modo ativo, promovendo os diferentes interesses. Um aspecto importante é o estabelecimento de uma base que se analisa a relação entre os grupos ou pessoas e as organizações (S</w:t>
      </w:r>
      <w:r w:rsidR="005428C1">
        <w:rPr>
          <w:sz w:val="24"/>
        </w:rPr>
        <w:t xml:space="preserve">ilveira, </w:t>
      </w:r>
      <w:proofErr w:type="spellStart"/>
      <w:r w:rsidR="005428C1">
        <w:rPr>
          <w:sz w:val="24"/>
        </w:rPr>
        <w:t>Yoshinaga</w:t>
      </w:r>
      <w:proofErr w:type="spellEnd"/>
      <w:r w:rsidR="005428C1">
        <w:rPr>
          <w:sz w:val="24"/>
        </w:rPr>
        <w:t xml:space="preserve"> &amp; Borba</w:t>
      </w:r>
      <w:r w:rsidRPr="00F93AC6">
        <w:rPr>
          <w:sz w:val="24"/>
        </w:rPr>
        <w:t xml:space="preserve">, 2005). Ainda, a partir dessa teoria, observou-se um aumento quanto </w:t>
      </w:r>
      <w:proofErr w:type="gramStart"/>
      <w:r w:rsidRPr="00F93AC6">
        <w:rPr>
          <w:sz w:val="24"/>
        </w:rPr>
        <w:t>a</w:t>
      </w:r>
      <w:proofErr w:type="gramEnd"/>
      <w:r w:rsidRPr="00F93AC6">
        <w:rPr>
          <w:sz w:val="24"/>
        </w:rPr>
        <w:t xml:space="preserve"> existência da responsabilidade social das empresas, bem como das suas práticas de divulgação social e ambiental para a sociedade de uma forma geral (F</w:t>
      </w:r>
      <w:r w:rsidR="005428C1">
        <w:rPr>
          <w:sz w:val="24"/>
        </w:rPr>
        <w:t xml:space="preserve">reeman &amp; </w:t>
      </w:r>
      <w:proofErr w:type="spellStart"/>
      <w:r w:rsidR="005428C1">
        <w:rPr>
          <w:sz w:val="24"/>
        </w:rPr>
        <w:t>Macvea</w:t>
      </w:r>
      <w:proofErr w:type="spellEnd"/>
      <w:r w:rsidRPr="00F93AC6">
        <w:rPr>
          <w:sz w:val="24"/>
        </w:rPr>
        <w:t xml:space="preserve">, 2000). </w:t>
      </w:r>
    </w:p>
    <w:p w14:paraId="5F631DF9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Dentro desta perspectiva, a governança corporativa, segundo o IBGC (2012), preocupa-se em criar um conjunto eficiente de mecanismos, que ao mesmo tempo possa incentivar, mas também controlar, o comportamento dos gestores, a fim de que estes ajam sempre alinhados aos interesses da empresa. Nesse caso envolve os relacionamentos entre proprietários, conselho de administração, diretoria e órgãos de controle.</w:t>
      </w:r>
    </w:p>
    <w:p w14:paraId="7881B085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Conceitualmente, a governança corporativa (GC) foi descrita como o conjunto de processos, costumes, políticas, leis e instituições que afetam a maneira pela qual uma empresa é dirigida, administrada ou controlada (G</w:t>
      </w:r>
      <w:r w:rsidR="0077658F">
        <w:rPr>
          <w:sz w:val="24"/>
        </w:rPr>
        <w:t>ill</w:t>
      </w:r>
      <w:r w:rsidRPr="00F93AC6">
        <w:rPr>
          <w:sz w:val="24"/>
        </w:rPr>
        <w:t xml:space="preserve">, 2008). Dentro dessa perspectiva, a GC significa reduzir a assimetria de informação entre a empresa e os diversos atores envolvidos, como acionistas, credores, fornecedores e empregados. </w:t>
      </w:r>
    </w:p>
    <w:p w14:paraId="225DE112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Essa maior transparência vinda da GC pode levar à redução do custo de capital, pois os credores terão maior credibilidade nos dados da empresa. Por sua vez, os acionistas poderão investir mais se identificarem que os gestores não agirão </w:t>
      </w:r>
      <w:r w:rsidR="0077658F">
        <w:rPr>
          <w:sz w:val="24"/>
        </w:rPr>
        <w:t>em benefício próprio (Vieira &amp; Mendes</w:t>
      </w:r>
      <w:r w:rsidRPr="00F93AC6">
        <w:rPr>
          <w:sz w:val="24"/>
        </w:rPr>
        <w:t xml:space="preserve">, 2006). </w:t>
      </w:r>
    </w:p>
    <w:p w14:paraId="069021AC" w14:textId="77777777" w:rsidR="001D2029" w:rsidRPr="00F93AC6" w:rsidRDefault="001D2029" w:rsidP="001D2029">
      <w:pPr>
        <w:pStyle w:val="paragraph"/>
        <w:spacing w:beforeAutospacing="0" w:after="0" w:afterAutospacing="0"/>
        <w:ind w:firstLine="705"/>
        <w:jc w:val="both"/>
        <w:textAlignment w:val="baseline"/>
        <w:rPr>
          <w:rFonts w:ascii="Segoe UI" w:hAnsi="Segoe UI"/>
          <w:sz w:val="12"/>
        </w:rPr>
      </w:pPr>
      <w:r w:rsidRPr="00F93AC6">
        <w:rPr>
          <w:rStyle w:val="normaltextrun"/>
        </w:rPr>
        <w:t>A governança corporativa, fazendo uma referência de seu conceito com a responsabilidade social, pode ser considerada como um ambiente de confiança, ética e valores morais - como um esforço sinérgico de todos os componentes da sociedade -</w:t>
      </w:r>
      <w:r w:rsidRPr="00F93AC6">
        <w:rPr>
          <w:rStyle w:val="apple-converted-space"/>
        </w:rPr>
        <w:t> </w:t>
      </w:r>
      <w:r w:rsidRPr="00F93AC6">
        <w:rPr>
          <w:rStyle w:val="normaltextrun"/>
        </w:rPr>
        <w:t>incluindo o governo, serviço profissional, fornecedores, dentre outros (A</w:t>
      </w:r>
      <w:r w:rsidR="0077658F">
        <w:rPr>
          <w:rStyle w:val="normaltextrun"/>
        </w:rPr>
        <w:t xml:space="preserve">ras &amp; </w:t>
      </w:r>
      <w:proofErr w:type="spellStart"/>
      <w:r w:rsidRPr="00F93AC6">
        <w:rPr>
          <w:rStyle w:val="normaltextrun"/>
        </w:rPr>
        <w:t>C</w:t>
      </w:r>
      <w:r w:rsidR="0077658F">
        <w:rPr>
          <w:rStyle w:val="normaltextrun"/>
        </w:rPr>
        <w:t>rowther</w:t>
      </w:r>
      <w:proofErr w:type="spellEnd"/>
      <w:r w:rsidRPr="00F93AC6">
        <w:rPr>
          <w:rStyle w:val="normaltextrun"/>
        </w:rPr>
        <w:t>, 2008).</w:t>
      </w:r>
      <w:r w:rsidRPr="00F93AC6">
        <w:rPr>
          <w:rStyle w:val="eop"/>
        </w:rPr>
        <w:t> </w:t>
      </w:r>
    </w:p>
    <w:p w14:paraId="62686473" w14:textId="77777777" w:rsidR="001D2029" w:rsidRPr="00F93AC6" w:rsidRDefault="001D2029" w:rsidP="001D2029">
      <w:pPr>
        <w:jc w:val="both"/>
        <w:rPr>
          <w:sz w:val="24"/>
        </w:rPr>
      </w:pPr>
    </w:p>
    <w:p w14:paraId="59E28CFB" w14:textId="77777777" w:rsidR="001D2029" w:rsidRPr="00B5040A" w:rsidRDefault="001D2029" w:rsidP="001D2029">
      <w:pPr>
        <w:pStyle w:val="PargrafodaLista"/>
        <w:ind w:left="0"/>
      </w:pPr>
      <w:proofErr w:type="gramStart"/>
      <w:r w:rsidRPr="00B5040A">
        <w:rPr>
          <w:b/>
          <w:sz w:val="24"/>
          <w:szCs w:val="24"/>
        </w:rPr>
        <w:t>2.2 Construção</w:t>
      </w:r>
      <w:proofErr w:type="gramEnd"/>
      <w:r w:rsidRPr="00B5040A">
        <w:rPr>
          <w:b/>
          <w:sz w:val="24"/>
          <w:szCs w:val="24"/>
        </w:rPr>
        <w:t xml:space="preserve"> das Hipóteses</w:t>
      </w:r>
    </w:p>
    <w:p w14:paraId="63476707" w14:textId="77777777" w:rsidR="001D2029" w:rsidRPr="00B5040A" w:rsidRDefault="001D2029" w:rsidP="001D2029">
      <w:pPr>
        <w:pStyle w:val="PargrafodaLista"/>
        <w:ind w:left="0" w:firstLine="709"/>
        <w:jc w:val="both"/>
        <w:rPr>
          <w:sz w:val="24"/>
          <w:szCs w:val="24"/>
        </w:rPr>
      </w:pPr>
      <w:r w:rsidRPr="00F93AC6">
        <w:rPr>
          <w:sz w:val="24"/>
        </w:rPr>
        <w:t xml:space="preserve">O conselho de administração é um dos principais mecanismos de governança corporativa, pois auxilia o monitoramento da gestão dos administradores, além do </w:t>
      </w:r>
      <w:r w:rsidRPr="00F93AC6">
        <w:rPr>
          <w:sz w:val="24"/>
        </w:rPr>
        <w:lastRenderedPageBreak/>
        <w:t>estabelecimento das estratégias das empresas (S</w:t>
      </w:r>
      <w:r w:rsidR="004C1F12">
        <w:rPr>
          <w:sz w:val="24"/>
        </w:rPr>
        <w:t>antos &amp; Silveira</w:t>
      </w:r>
      <w:r w:rsidRPr="00F93AC6">
        <w:rPr>
          <w:sz w:val="24"/>
        </w:rPr>
        <w:t xml:space="preserve">, 2007). Para Andrade e </w:t>
      </w:r>
      <w:proofErr w:type="spellStart"/>
      <w:r w:rsidRPr="00F93AC6">
        <w:rPr>
          <w:sz w:val="24"/>
        </w:rPr>
        <w:t>Rosseti</w:t>
      </w:r>
      <w:proofErr w:type="spellEnd"/>
      <w:r w:rsidRPr="00F93AC6">
        <w:rPr>
          <w:sz w:val="24"/>
        </w:rPr>
        <w:t xml:space="preserve"> (2004</w:t>
      </w:r>
      <w:r w:rsidRPr="00B5040A">
        <w:rPr>
          <w:sz w:val="24"/>
          <w:szCs w:val="24"/>
        </w:rPr>
        <w:t xml:space="preserve">, p. 127), “as decisões de controle competem ao conselho de administração e as decisões de gestão competem à direção executiva”. Andrade e Rossetti (2004, p. 128) destacam ainda que “a importância dos conselhos como força interna de controle é de tal ordem que não é possível dissociar as expressões governança corporativa e conselho de administração”. </w:t>
      </w:r>
    </w:p>
    <w:p w14:paraId="45485C52" w14:textId="77777777" w:rsidR="001D2029" w:rsidRPr="00B5040A" w:rsidRDefault="001D2029" w:rsidP="001D2029">
      <w:pPr>
        <w:ind w:firstLine="708"/>
        <w:jc w:val="both"/>
        <w:rPr>
          <w:sz w:val="24"/>
        </w:rPr>
      </w:pPr>
      <w:r w:rsidRPr="00B5040A">
        <w:rPr>
          <w:sz w:val="24"/>
        </w:rPr>
        <w:t xml:space="preserve">Destaca-se que como parte da Governança Corporativa, como apontado por Silveira, Barros e </w:t>
      </w:r>
      <w:proofErr w:type="spellStart"/>
      <w:r w:rsidRPr="00B5040A">
        <w:rPr>
          <w:sz w:val="24"/>
        </w:rPr>
        <w:t>Famá</w:t>
      </w:r>
      <w:proofErr w:type="spellEnd"/>
      <w:r w:rsidRPr="00B5040A">
        <w:rPr>
          <w:sz w:val="24"/>
        </w:rPr>
        <w:t xml:space="preserve"> (2003), o CA deve ser </w:t>
      </w:r>
      <w:proofErr w:type="gramStart"/>
      <w:r w:rsidRPr="00B5040A">
        <w:rPr>
          <w:sz w:val="24"/>
        </w:rPr>
        <w:t>composto</w:t>
      </w:r>
      <w:proofErr w:type="gramEnd"/>
      <w:r w:rsidRPr="00B5040A">
        <w:rPr>
          <w:sz w:val="24"/>
        </w:rPr>
        <w:t xml:space="preserve"> por uma maioria de membros externos – não executivos – na companhia. Isso porque, a ideia do CA é verificar e monitorar a gestão da empresa e não atuar como mecanismo de defesa para os gestores. Desse modo, cabe ao CA controlar a alta gestão, em que as empresas com conselhos mais independentes tenderiam a ter melhores resultados e maior criação de valor para o acionista (S</w:t>
      </w:r>
      <w:r w:rsidR="004C1F12">
        <w:rPr>
          <w:sz w:val="24"/>
        </w:rPr>
        <w:t>ilveira</w:t>
      </w:r>
      <w:r w:rsidRPr="00B5040A">
        <w:rPr>
          <w:sz w:val="24"/>
        </w:rPr>
        <w:t xml:space="preserve">, 2004). </w:t>
      </w:r>
    </w:p>
    <w:p w14:paraId="040A9B65" w14:textId="77777777" w:rsidR="001D2029" w:rsidRPr="00F93AC6" w:rsidRDefault="001D2029" w:rsidP="001D2029">
      <w:pPr>
        <w:jc w:val="both"/>
        <w:rPr>
          <w:sz w:val="24"/>
        </w:rPr>
      </w:pPr>
      <w:r w:rsidRPr="00F93AC6">
        <w:rPr>
          <w:sz w:val="24"/>
        </w:rPr>
        <w:tab/>
      </w:r>
      <w:proofErr w:type="spellStart"/>
      <w:r w:rsidRPr="00F93AC6">
        <w:rPr>
          <w:sz w:val="24"/>
        </w:rPr>
        <w:t>Michelon</w:t>
      </w:r>
      <w:proofErr w:type="spellEnd"/>
      <w:r w:rsidRPr="00F93AC6">
        <w:rPr>
          <w:sz w:val="24"/>
        </w:rPr>
        <w:t xml:space="preserve"> e </w:t>
      </w:r>
      <w:proofErr w:type="spellStart"/>
      <w:r w:rsidRPr="00F93AC6">
        <w:rPr>
          <w:sz w:val="24"/>
        </w:rPr>
        <w:t>Parbonetti</w:t>
      </w:r>
      <w:proofErr w:type="spellEnd"/>
      <w:r w:rsidRPr="00F93AC6">
        <w:rPr>
          <w:sz w:val="24"/>
        </w:rPr>
        <w:t xml:space="preserve"> (2012) indicam que a boa governança corporativa e a divulgação da sustentabilidade podem ser vistas como mecanismos complementares de legitimidade que as empresas usam para dialogar com as partes interessadas. Especificamente, </w:t>
      </w:r>
      <w:proofErr w:type="gramStart"/>
      <w:r w:rsidRPr="00F93AC6">
        <w:rPr>
          <w:sz w:val="24"/>
        </w:rPr>
        <w:t>afirmam</w:t>
      </w:r>
      <w:proofErr w:type="gramEnd"/>
      <w:r w:rsidRPr="00F93AC6">
        <w:rPr>
          <w:sz w:val="24"/>
        </w:rPr>
        <w:t xml:space="preserve"> que, como as políticas de divulgação emanam do conselho de administração, a divulgação da sustentabilidade poderia ser uma função dos atributos do conselho. </w:t>
      </w:r>
    </w:p>
    <w:p w14:paraId="25F830DC" w14:textId="77777777" w:rsidR="001D2029" w:rsidRPr="00F93AC6" w:rsidRDefault="001D2029" w:rsidP="001D2029">
      <w:pPr>
        <w:jc w:val="both"/>
        <w:rPr>
          <w:sz w:val="24"/>
        </w:rPr>
      </w:pPr>
      <w:r w:rsidRPr="00F93AC6">
        <w:rPr>
          <w:sz w:val="24"/>
        </w:rPr>
        <w:tab/>
        <w:t xml:space="preserve">A divulgação da sustentabilidade tem como propósito a exposição da responsabilidade social da organização perante seus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 xml:space="preserve">, assim, pode ser considerada como uma ampliação das boas práticas de governança corporativa adotadas pelas organizações, visando, com isso, a redução da assimetria informacional para com todos os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 xml:space="preserve"> (</w:t>
      </w:r>
      <w:proofErr w:type="spellStart"/>
      <w:r w:rsidRPr="00F93AC6">
        <w:rPr>
          <w:sz w:val="24"/>
        </w:rPr>
        <w:t>J</w:t>
      </w:r>
      <w:r w:rsidR="004C1F12">
        <w:rPr>
          <w:sz w:val="24"/>
        </w:rPr>
        <w:t>o</w:t>
      </w:r>
      <w:proofErr w:type="spellEnd"/>
      <w:r w:rsidR="004C1F12">
        <w:rPr>
          <w:sz w:val="24"/>
        </w:rPr>
        <w:t xml:space="preserve"> &amp; </w:t>
      </w:r>
      <w:proofErr w:type="spellStart"/>
      <w:r w:rsidR="004C1F12">
        <w:rPr>
          <w:sz w:val="24"/>
        </w:rPr>
        <w:t>Harjoto</w:t>
      </w:r>
      <w:proofErr w:type="spellEnd"/>
      <w:r w:rsidRPr="00F93AC6">
        <w:rPr>
          <w:sz w:val="24"/>
        </w:rPr>
        <w:t xml:space="preserve">, 2012; </w:t>
      </w:r>
      <w:proofErr w:type="spellStart"/>
      <w:r w:rsidRPr="00F93AC6">
        <w:rPr>
          <w:sz w:val="24"/>
        </w:rPr>
        <w:t>A</w:t>
      </w:r>
      <w:r w:rsidR="004C1F12">
        <w:rPr>
          <w:sz w:val="24"/>
        </w:rPr>
        <w:t>shcrofth</w:t>
      </w:r>
      <w:proofErr w:type="spellEnd"/>
      <w:r w:rsidRPr="00F93AC6">
        <w:rPr>
          <w:sz w:val="24"/>
        </w:rPr>
        <w:t>, 2012).</w:t>
      </w:r>
    </w:p>
    <w:p w14:paraId="3D77201E" w14:textId="77777777" w:rsidR="001D2029" w:rsidRPr="00F93AC6" w:rsidRDefault="001D2029" w:rsidP="001D2029">
      <w:pPr>
        <w:ind w:firstLine="705"/>
        <w:jc w:val="both"/>
        <w:rPr>
          <w:sz w:val="24"/>
        </w:rPr>
      </w:pPr>
      <w:proofErr w:type="spellStart"/>
      <w:r w:rsidRPr="00B5040A">
        <w:rPr>
          <w:sz w:val="24"/>
        </w:rPr>
        <w:t>Jizi</w:t>
      </w:r>
      <w:proofErr w:type="spellEnd"/>
      <w:r w:rsidRPr="00B5040A">
        <w:rPr>
          <w:sz w:val="24"/>
        </w:rPr>
        <w:t xml:space="preserve"> </w:t>
      </w:r>
      <w:proofErr w:type="gramStart"/>
      <w:r w:rsidRPr="00B5040A">
        <w:rPr>
          <w:i/>
          <w:sz w:val="24"/>
        </w:rPr>
        <w:t>et</w:t>
      </w:r>
      <w:proofErr w:type="gramEnd"/>
      <w:r w:rsidRPr="00B5040A">
        <w:rPr>
          <w:i/>
          <w:sz w:val="24"/>
        </w:rPr>
        <w:t xml:space="preserve"> al.</w:t>
      </w:r>
      <w:r w:rsidRPr="00B5040A">
        <w:rPr>
          <w:sz w:val="24"/>
        </w:rPr>
        <w:t xml:space="preserve"> (2014) examinaram o impacto da governança corporativa, com particular referência ao papel do conselho de administração, na qualidade da RSC em relatórios anuais divulgados pelos bancos após a crise </w:t>
      </w:r>
      <w:proofErr w:type="spellStart"/>
      <w:r w:rsidRPr="00B5040A">
        <w:rPr>
          <w:i/>
          <w:sz w:val="24"/>
        </w:rPr>
        <w:t>sub-prime</w:t>
      </w:r>
      <w:proofErr w:type="spellEnd"/>
      <w:r w:rsidRPr="00B5040A">
        <w:rPr>
          <w:sz w:val="24"/>
        </w:rPr>
        <w:t xml:space="preserve"> hipotecária nos EUA. Eles usaram em uma amostra de grandes bancos comerciais norte-americanos, para </w:t>
      </w:r>
      <w:proofErr w:type="gramStart"/>
      <w:r w:rsidRPr="00B5040A">
        <w:rPr>
          <w:sz w:val="24"/>
        </w:rPr>
        <w:t>o período 2009-2011, variáveis para as características do comitê de auditoria, frequência de reunião do conselho, lucratividade, tamanho</w:t>
      </w:r>
      <w:proofErr w:type="gramEnd"/>
      <w:r w:rsidRPr="00B5040A">
        <w:rPr>
          <w:sz w:val="24"/>
        </w:rPr>
        <w:t xml:space="preserve"> e risco.  Os achados apontaram que as características independência e tamanho do conselho de administração estavam </w:t>
      </w:r>
      <w:proofErr w:type="gramStart"/>
      <w:r w:rsidRPr="00B5040A">
        <w:rPr>
          <w:sz w:val="24"/>
        </w:rPr>
        <w:t>relacionadas</w:t>
      </w:r>
      <w:proofErr w:type="gramEnd"/>
      <w:r w:rsidRPr="00B5040A">
        <w:rPr>
          <w:sz w:val="24"/>
        </w:rPr>
        <w:t xml:space="preserve"> positivamente com a RSC, indicando que estes mecanismos de governança corporativa interna favoreciam os interesses de acionistas e outros </w:t>
      </w:r>
      <w:proofErr w:type="spellStart"/>
      <w:r w:rsidRPr="00B5040A">
        <w:rPr>
          <w:i/>
          <w:sz w:val="24"/>
        </w:rPr>
        <w:t>stakeholders</w:t>
      </w:r>
      <w:proofErr w:type="spellEnd"/>
      <w:r w:rsidRPr="00B5040A">
        <w:rPr>
          <w:i/>
          <w:sz w:val="24"/>
        </w:rPr>
        <w:t xml:space="preserve">. </w:t>
      </w:r>
      <w:r w:rsidRPr="00B5040A">
        <w:rPr>
          <w:sz w:val="24"/>
        </w:rPr>
        <w:t xml:space="preserve">O resultado para a dualidade de CEO também apresentou relação positiva, apontando que os </w:t>
      </w:r>
      <w:proofErr w:type="spellStart"/>
      <w:r w:rsidRPr="00B5040A">
        <w:rPr>
          <w:sz w:val="24"/>
        </w:rPr>
        <w:t>CEOs</w:t>
      </w:r>
      <w:proofErr w:type="spellEnd"/>
      <w:r w:rsidRPr="00B5040A">
        <w:rPr>
          <w:sz w:val="24"/>
        </w:rPr>
        <w:t xml:space="preserve"> podem promover a transparência sobre as atividades de responsabilidade social para seus benefícios privados. </w:t>
      </w:r>
    </w:p>
    <w:p w14:paraId="1E180195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Estudo de Aguilera </w:t>
      </w:r>
      <w:proofErr w:type="gramStart"/>
      <w:r w:rsidRPr="00F93AC6">
        <w:rPr>
          <w:sz w:val="24"/>
        </w:rPr>
        <w:t>et</w:t>
      </w:r>
      <w:proofErr w:type="gramEnd"/>
      <w:r w:rsidRPr="00F93AC6">
        <w:rPr>
          <w:sz w:val="24"/>
        </w:rPr>
        <w:t xml:space="preserve"> al. (2006) buscou verificar as principais diferenças entre o Reino Unido e os Estados Unidos na importância atribuída às responsabilidades sociais das organizações e seu reflexo nas diferenças dos arranjos de governança corporativa nesses dois países. Especificamente, analisaram o papel de um tipo saliente de proprietário no Reino Unido e nos Estados Unidos, os investidores institucionais, e enfatizaram ações de responsabilidade corporativa das organizações. Concluíram que a diferença entre o volume de informações divulgado pelas organizações nestes países se devia aos mecanismos de governança corporativa de cada um deles, tais como: tamanho do conselho de administração, independência do conselho de administração e dualidade do cargo de CEO e presidente do conselho de administração.  </w:t>
      </w:r>
    </w:p>
    <w:p w14:paraId="1A016D13" w14:textId="77777777" w:rsidR="001D2029" w:rsidRPr="00F93AC6" w:rsidRDefault="001D2029" w:rsidP="001D2029">
      <w:pPr>
        <w:jc w:val="both"/>
        <w:rPr>
          <w:sz w:val="24"/>
        </w:rPr>
      </w:pPr>
      <w:r w:rsidRPr="00F93AC6">
        <w:rPr>
          <w:sz w:val="24"/>
        </w:rPr>
        <w:tab/>
        <w:t xml:space="preserve">No Brasil, Bomfim, Teixeira e Monte (2015) investigaram em empresas nacionais a relação entre o </w:t>
      </w:r>
      <w:proofErr w:type="spellStart"/>
      <w:r w:rsidRPr="00F93AC6">
        <w:rPr>
          <w:i/>
          <w:sz w:val="24"/>
        </w:rPr>
        <w:t>disclosure</w:t>
      </w:r>
      <w:proofErr w:type="spellEnd"/>
      <w:r w:rsidRPr="00F93AC6">
        <w:rPr>
          <w:i/>
          <w:sz w:val="24"/>
        </w:rPr>
        <w:t xml:space="preserve"> </w:t>
      </w:r>
      <w:r w:rsidRPr="00F93AC6">
        <w:rPr>
          <w:sz w:val="24"/>
        </w:rPr>
        <w:t xml:space="preserve">da sustentabilidade e algumas características de governança corporativa nas organizações brasileiras de capital aberto. A análise teve como base 76 empresas listadas no IBRX-100 da </w:t>
      </w:r>
      <w:proofErr w:type="gramStart"/>
      <w:r w:rsidRPr="00F93AC6">
        <w:rPr>
          <w:sz w:val="24"/>
        </w:rPr>
        <w:t>BM&amp;FBovespa</w:t>
      </w:r>
      <w:proofErr w:type="gramEnd"/>
      <w:r w:rsidRPr="00F93AC6">
        <w:rPr>
          <w:sz w:val="24"/>
        </w:rPr>
        <w:t xml:space="preserve"> que foram acompanhadas no período de </w:t>
      </w:r>
      <w:r w:rsidRPr="00F93AC6">
        <w:rPr>
          <w:sz w:val="24"/>
        </w:rPr>
        <w:lastRenderedPageBreak/>
        <w:t xml:space="preserve">2009 a 2011. Os resultados encontrados demonstram que algumas variáveis, tais como a administração familiar, a idade da companhia, a influência da comunidade, a presença de um comitê de sustentabilidade, o tamanho e o desempenho apresentam efeito positivo na evidenciação da sustentabilidade. </w:t>
      </w:r>
    </w:p>
    <w:p w14:paraId="43C2315E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Conforme discorrem </w:t>
      </w:r>
      <w:proofErr w:type="spellStart"/>
      <w:r w:rsidRPr="00F93AC6">
        <w:rPr>
          <w:sz w:val="24"/>
        </w:rPr>
        <w:t>Salotti</w:t>
      </w:r>
      <w:proofErr w:type="spellEnd"/>
      <w:r w:rsidRPr="00F93AC6">
        <w:rPr>
          <w:sz w:val="24"/>
        </w:rPr>
        <w:t xml:space="preserve"> e Yamamoto (2005), o número de conselheiros no conselho de administração influencia a divulgação de informações relevantes da organização para seus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 xml:space="preserve">. Para </w:t>
      </w:r>
      <w:proofErr w:type="spellStart"/>
      <w:r w:rsidRPr="00F93AC6">
        <w:rPr>
          <w:sz w:val="24"/>
        </w:rPr>
        <w:t>Hsu</w:t>
      </w:r>
      <w:proofErr w:type="spellEnd"/>
      <w:r w:rsidRPr="00F93AC6">
        <w:rPr>
          <w:sz w:val="24"/>
        </w:rPr>
        <w:t xml:space="preserve"> e </w:t>
      </w:r>
      <w:proofErr w:type="spellStart"/>
      <w:r w:rsidRPr="00F93AC6">
        <w:rPr>
          <w:sz w:val="24"/>
        </w:rPr>
        <w:t>Petchakulwong</w:t>
      </w:r>
      <w:proofErr w:type="spellEnd"/>
      <w:r w:rsidRPr="00F93AC6">
        <w:rPr>
          <w:sz w:val="24"/>
        </w:rPr>
        <w:t xml:space="preserve"> (2010), um número maior de conselheiros é favorável a um melhor desempenho e eficiência da empresa, gerando maior conhecimento e experiência, sendo disseminada tal situação nas informações que a empresa repassa a terceiros. </w:t>
      </w:r>
      <w:proofErr w:type="spellStart"/>
      <w:r w:rsidRPr="00F93AC6">
        <w:rPr>
          <w:sz w:val="24"/>
        </w:rPr>
        <w:t>Patten</w:t>
      </w:r>
      <w:proofErr w:type="spellEnd"/>
      <w:r w:rsidRPr="00F93AC6">
        <w:rPr>
          <w:sz w:val="24"/>
        </w:rPr>
        <w:t xml:space="preserve"> (1991) e </w:t>
      </w:r>
      <w:proofErr w:type="spellStart"/>
      <w:r w:rsidRPr="00F93AC6">
        <w:rPr>
          <w:sz w:val="24"/>
        </w:rPr>
        <w:t>Domench</w:t>
      </w:r>
      <w:proofErr w:type="spellEnd"/>
      <w:r w:rsidRPr="00F93AC6">
        <w:rPr>
          <w:sz w:val="24"/>
        </w:rPr>
        <w:t xml:space="preserve"> (2003) discorrem que um número maior de conselheiros tende a ser favorável à divulgação das ações pela organização. </w:t>
      </w:r>
    </w:p>
    <w:p w14:paraId="0BECB739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Desta forma, pode-se inferir que o tamanho do conselho de administração ajuda a explicar a divulgação da sustentabilidade pelas organizações. Estabelece-se, assim, a hipótese 1 da pesquisa:</w:t>
      </w:r>
    </w:p>
    <w:p w14:paraId="133DB18B" w14:textId="77777777" w:rsidR="001D2029" w:rsidRPr="00F93AC6" w:rsidRDefault="001D2029" w:rsidP="001D2029">
      <w:pPr>
        <w:jc w:val="both"/>
        <w:rPr>
          <w:sz w:val="24"/>
        </w:rPr>
      </w:pPr>
    </w:p>
    <w:p w14:paraId="40D0DEF0" w14:textId="77777777" w:rsidR="001D2029" w:rsidRPr="00F93AC6" w:rsidRDefault="001D2029" w:rsidP="001D2029">
      <w:pPr>
        <w:jc w:val="both"/>
        <w:rPr>
          <w:i/>
          <w:sz w:val="24"/>
        </w:rPr>
      </w:pPr>
      <w:r w:rsidRPr="00F93AC6">
        <w:rPr>
          <w:i/>
          <w:sz w:val="24"/>
        </w:rPr>
        <w:t>H</w:t>
      </w:r>
      <w:r w:rsidRPr="00F93AC6">
        <w:rPr>
          <w:i/>
          <w:sz w:val="24"/>
          <w:vertAlign w:val="subscript"/>
        </w:rPr>
        <w:t>1</w:t>
      </w:r>
      <w:r w:rsidRPr="00F93AC6">
        <w:rPr>
          <w:i/>
          <w:sz w:val="24"/>
        </w:rPr>
        <w:t>: O tamanho do conselho de administração está positivamente associado com a divulgação da sustentabilidade nas organizações.</w:t>
      </w:r>
    </w:p>
    <w:p w14:paraId="280574EE" w14:textId="77777777" w:rsidR="001D2029" w:rsidRPr="00F93AC6" w:rsidRDefault="001D2029" w:rsidP="001D2029">
      <w:pPr>
        <w:jc w:val="both"/>
        <w:rPr>
          <w:sz w:val="24"/>
        </w:rPr>
      </w:pPr>
    </w:p>
    <w:p w14:paraId="74639CD5" w14:textId="77777777" w:rsidR="001D2029" w:rsidRPr="00F93AC6" w:rsidRDefault="001D2029" w:rsidP="001D2029">
      <w:pPr>
        <w:ind w:firstLine="708"/>
        <w:jc w:val="both"/>
        <w:rPr>
          <w:sz w:val="24"/>
        </w:rPr>
      </w:pPr>
      <w:proofErr w:type="spellStart"/>
      <w:r w:rsidRPr="00F93AC6">
        <w:rPr>
          <w:sz w:val="24"/>
        </w:rPr>
        <w:t>Haunschild</w:t>
      </w:r>
      <w:proofErr w:type="spellEnd"/>
      <w:r w:rsidRPr="00F93AC6">
        <w:rPr>
          <w:sz w:val="24"/>
        </w:rPr>
        <w:t xml:space="preserve"> (1993) e </w:t>
      </w:r>
      <w:proofErr w:type="spellStart"/>
      <w:r w:rsidRPr="00F93AC6">
        <w:rPr>
          <w:sz w:val="24"/>
        </w:rPr>
        <w:t>Bouwman</w:t>
      </w:r>
      <w:proofErr w:type="spellEnd"/>
      <w:r w:rsidRPr="00F93AC6">
        <w:rPr>
          <w:sz w:val="24"/>
        </w:rPr>
        <w:t xml:space="preserve"> (2011) destacam que o número de reuniões do CA fornece um cenário propício à disseminação do conhecimento e experiências entre os conselheiros e, em consequência, uma maior divulgação das ações realizadas pela organização. </w:t>
      </w:r>
      <w:proofErr w:type="spellStart"/>
      <w:r w:rsidRPr="00F93AC6">
        <w:rPr>
          <w:sz w:val="24"/>
        </w:rPr>
        <w:t>Carpentel</w:t>
      </w:r>
      <w:proofErr w:type="spellEnd"/>
      <w:r w:rsidRPr="00F93AC6">
        <w:rPr>
          <w:sz w:val="24"/>
        </w:rPr>
        <w:t xml:space="preserve"> e </w:t>
      </w:r>
      <w:proofErr w:type="spellStart"/>
      <w:r w:rsidRPr="00F93AC6">
        <w:rPr>
          <w:sz w:val="24"/>
        </w:rPr>
        <w:t>Westphal</w:t>
      </w:r>
      <w:proofErr w:type="spellEnd"/>
      <w:r w:rsidRPr="00F93AC6">
        <w:rPr>
          <w:sz w:val="24"/>
        </w:rPr>
        <w:t xml:space="preserve"> (2001) relacionam que quanto maior a frequência das reuniões dos conselheiros, maior é a divulgação das informações da organização, sejam elas </w:t>
      </w:r>
      <w:proofErr w:type="gramStart"/>
      <w:r w:rsidRPr="00F93AC6">
        <w:rPr>
          <w:sz w:val="24"/>
        </w:rPr>
        <w:t>financeiras, econômicas</w:t>
      </w:r>
      <w:proofErr w:type="gramEnd"/>
      <w:r w:rsidRPr="00F93AC6">
        <w:rPr>
          <w:sz w:val="24"/>
        </w:rPr>
        <w:t xml:space="preserve"> ou estratégicas. </w:t>
      </w:r>
    </w:p>
    <w:p w14:paraId="2C84976F" w14:textId="77777777" w:rsidR="001D2029" w:rsidRPr="00F93AC6" w:rsidRDefault="001D2029" w:rsidP="001D2029">
      <w:pPr>
        <w:ind w:firstLine="708"/>
        <w:jc w:val="both"/>
        <w:rPr>
          <w:sz w:val="24"/>
        </w:rPr>
      </w:pPr>
      <w:proofErr w:type="spellStart"/>
      <w:r w:rsidRPr="00F93AC6">
        <w:rPr>
          <w:sz w:val="24"/>
        </w:rPr>
        <w:t>Michelon</w:t>
      </w:r>
      <w:proofErr w:type="spellEnd"/>
      <w:r w:rsidRPr="00F93AC6">
        <w:rPr>
          <w:sz w:val="24"/>
        </w:rPr>
        <w:t xml:space="preserve"> e </w:t>
      </w:r>
      <w:proofErr w:type="spellStart"/>
      <w:r w:rsidRPr="00F93AC6">
        <w:rPr>
          <w:sz w:val="24"/>
        </w:rPr>
        <w:t>Parbonetti</w:t>
      </w:r>
      <w:proofErr w:type="spellEnd"/>
      <w:r w:rsidRPr="00F93AC6">
        <w:rPr>
          <w:sz w:val="24"/>
        </w:rPr>
        <w:t xml:space="preserve"> (2012) descrevem que as políticas de divulgação das informações das organizações provêm do conselho de administração e que nos encontros dos conselheiros são definidas estas políticas. Deste modo, com o intuito de averiguar a influência das reuniões na divulgação da sustentabilidade das organizações, formulou-se a hipótese 2:</w:t>
      </w:r>
    </w:p>
    <w:p w14:paraId="75B24122" w14:textId="77777777" w:rsidR="001D2029" w:rsidRPr="00F93AC6" w:rsidRDefault="001D2029" w:rsidP="001D2029">
      <w:pPr>
        <w:jc w:val="both"/>
        <w:rPr>
          <w:sz w:val="24"/>
        </w:rPr>
      </w:pPr>
    </w:p>
    <w:p w14:paraId="52799DF3" w14:textId="77777777" w:rsidR="001D2029" w:rsidRPr="00F93AC6" w:rsidRDefault="001D2029" w:rsidP="001D2029">
      <w:pPr>
        <w:jc w:val="both"/>
        <w:rPr>
          <w:i/>
          <w:sz w:val="24"/>
        </w:rPr>
      </w:pPr>
      <w:r w:rsidRPr="00F93AC6">
        <w:rPr>
          <w:i/>
          <w:sz w:val="24"/>
        </w:rPr>
        <w:t>H</w:t>
      </w:r>
      <w:r w:rsidRPr="00F93AC6">
        <w:rPr>
          <w:i/>
          <w:sz w:val="24"/>
          <w:vertAlign w:val="subscript"/>
        </w:rPr>
        <w:t>2</w:t>
      </w:r>
      <w:r w:rsidRPr="00F93AC6">
        <w:rPr>
          <w:i/>
          <w:sz w:val="24"/>
        </w:rPr>
        <w:t>: O número de reuniões anuais do conselho de administração está positivamente associado com a divulgação da sustentabilidade nas organizações.</w:t>
      </w:r>
    </w:p>
    <w:p w14:paraId="1EAD62FF" w14:textId="77777777" w:rsidR="001D2029" w:rsidRPr="00F93AC6" w:rsidRDefault="001D2029" w:rsidP="001D2029">
      <w:pPr>
        <w:ind w:firstLine="708"/>
        <w:jc w:val="both"/>
        <w:rPr>
          <w:i/>
          <w:sz w:val="24"/>
        </w:rPr>
      </w:pPr>
    </w:p>
    <w:p w14:paraId="7CBBA3CE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Conselheiros independentes são indivíduos que participam do CA, mas que não possuem relação empregatícia com a organização. Tais conselheiros são aptos a trabalharem livremente e não estão suscetíveis à influência de partes interessadas somente nos resultados da organização, sendo suas ações voltadas para atender a todos os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 xml:space="preserve"> envolvidos com a organização (</w:t>
      </w:r>
      <w:proofErr w:type="spellStart"/>
      <w:r w:rsidRPr="00F93AC6">
        <w:rPr>
          <w:sz w:val="24"/>
        </w:rPr>
        <w:t>H</w:t>
      </w:r>
      <w:r w:rsidR="004C1F12">
        <w:rPr>
          <w:sz w:val="24"/>
        </w:rPr>
        <w:t>su</w:t>
      </w:r>
      <w:proofErr w:type="spellEnd"/>
      <w:r w:rsidR="004C1F12">
        <w:rPr>
          <w:sz w:val="24"/>
        </w:rPr>
        <w:t xml:space="preserve"> &amp; </w:t>
      </w:r>
      <w:proofErr w:type="spellStart"/>
      <w:r w:rsidR="004C1F12">
        <w:rPr>
          <w:sz w:val="24"/>
        </w:rPr>
        <w:t>Petchsakulwong</w:t>
      </w:r>
      <w:proofErr w:type="spellEnd"/>
      <w:r w:rsidRPr="00F93AC6">
        <w:rPr>
          <w:sz w:val="24"/>
        </w:rPr>
        <w:t>, 2010),</w:t>
      </w:r>
    </w:p>
    <w:p w14:paraId="45880781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Quando conselheiros independentes fazem parte do CA o esperado quanto à divulgação de informações das organizações é um aumento na quantidade e qualidade, haja vista que estes conselheiros têm suas ações voltadas para a divulgação em todos os níveis de interesse (</w:t>
      </w:r>
      <w:proofErr w:type="spellStart"/>
      <w:r w:rsidRPr="00F93AC6">
        <w:rPr>
          <w:sz w:val="24"/>
        </w:rPr>
        <w:t>E</w:t>
      </w:r>
      <w:r w:rsidR="004C1F12">
        <w:rPr>
          <w:sz w:val="24"/>
        </w:rPr>
        <w:t>ng</w:t>
      </w:r>
      <w:proofErr w:type="spellEnd"/>
      <w:r w:rsidR="004C1F12">
        <w:rPr>
          <w:sz w:val="24"/>
        </w:rPr>
        <w:t xml:space="preserve"> &amp; </w:t>
      </w:r>
      <w:proofErr w:type="spellStart"/>
      <w:r w:rsidR="004C1F12">
        <w:rPr>
          <w:sz w:val="24"/>
        </w:rPr>
        <w:t>Mak</w:t>
      </w:r>
      <w:proofErr w:type="spellEnd"/>
      <w:r w:rsidRPr="00F93AC6">
        <w:rPr>
          <w:sz w:val="24"/>
        </w:rPr>
        <w:t>, 2003). Estudos já realizados concluíram que existe uma relação positiva entre a proporção de diretores independentes e a divulgação de informações das organizações (C</w:t>
      </w:r>
      <w:r w:rsidR="004C1F12">
        <w:rPr>
          <w:sz w:val="24"/>
        </w:rPr>
        <w:t xml:space="preserve">hen &amp; </w:t>
      </w:r>
      <w:proofErr w:type="spellStart"/>
      <w:r w:rsidR="004C1F12">
        <w:rPr>
          <w:sz w:val="24"/>
        </w:rPr>
        <w:t>Jaggi</w:t>
      </w:r>
      <w:proofErr w:type="spellEnd"/>
      <w:r w:rsidRPr="00F93AC6">
        <w:rPr>
          <w:sz w:val="24"/>
        </w:rPr>
        <w:t xml:space="preserve">, 2000; </w:t>
      </w:r>
      <w:proofErr w:type="spellStart"/>
      <w:r w:rsidRPr="00F93AC6">
        <w:rPr>
          <w:sz w:val="24"/>
        </w:rPr>
        <w:t>M</w:t>
      </w:r>
      <w:r w:rsidR="004C1F12">
        <w:rPr>
          <w:sz w:val="24"/>
        </w:rPr>
        <w:t>ichelon</w:t>
      </w:r>
      <w:proofErr w:type="spellEnd"/>
      <w:r w:rsidR="004C1F12">
        <w:rPr>
          <w:sz w:val="24"/>
        </w:rPr>
        <w:t xml:space="preserve"> &amp; </w:t>
      </w:r>
      <w:proofErr w:type="spellStart"/>
      <w:r w:rsidR="004C1F12">
        <w:rPr>
          <w:sz w:val="24"/>
        </w:rPr>
        <w:t>Parbonetti</w:t>
      </w:r>
      <w:proofErr w:type="spellEnd"/>
      <w:r w:rsidRPr="00F93AC6">
        <w:rPr>
          <w:sz w:val="24"/>
        </w:rPr>
        <w:t>, 2012). Em vista disso, elaborou-se a hipótese 3 de pesquisa:</w:t>
      </w:r>
    </w:p>
    <w:p w14:paraId="0E94A879" w14:textId="77777777" w:rsidR="001D2029" w:rsidRPr="00F93AC6" w:rsidRDefault="001D2029" w:rsidP="001D2029">
      <w:pPr>
        <w:ind w:firstLine="708"/>
        <w:jc w:val="both"/>
        <w:rPr>
          <w:sz w:val="24"/>
        </w:rPr>
      </w:pPr>
    </w:p>
    <w:p w14:paraId="780FDDCE" w14:textId="77777777" w:rsidR="001D2029" w:rsidRPr="00F93AC6" w:rsidRDefault="001D2029" w:rsidP="001D2029">
      <w:pPr>
        <w:jc w:val="both"/>
        <w:rPr>
          <w:i/>
          <w:sz w:val="24"/>
        </w:rPr>
      </w:pPr>
      <w:r w:rsidRPr="00F93AC6">
        <w:rPr>
          <w:i/>
          <w:sz w:val="24"/>
        </w:rPr>
        <w:t>H</w:t>
      </w:r>
      <w:r w:rsidRPr="00F93AC6">
        <w:rPr>
          <w:i/>
          <w:sz w:val="24"/>
          <w:vertAlign w:val="subscript"/>
        </w:rPr>
        <w:t>3</w:t>
      </w:r>
      <w:r w:rsidRPr="00F93AC6">
        <w:rPr>
          <w:i/>
          <w:sz w:val="24"/>
        </w:rPr>
        <w:t>: A proporção de conselheiros independentes no CA está positivamente associada à divulgação da sustentabilidade nas organizações.</w:t>
      </w:r>
    </w:p>
    <w:p w14:paraId="13BD1C5A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lastRenderedPageBreak/>
        <w:t>A dualidade do cargo de CEO e Presidente do CA já foi estudada quanto à sua influência na divulgação de informações empresariais (H</w:t>
      </w:r>
      <w:r w:rsidR="0026270C">
        <w:rPr>
          <w:sz w:val="24"/>
        </w:rPr>
        <w:t>o &amp; Wong</w:t>
      </w:r>
      <w:r w:rsidRPr="00F93AC6">
        <w:rPr>
          <w:sz w:val="24"/>
        </w:rPr>
        <w:t xml:space="preserve">, 2001; </w:t>
      </w:r>
      <w:proofErr w:type="spellStart"/>
      <w:r w:rsidRPr="00F93AC6">
        <w:rPr>
          <w:sz w:val="24"/>
        </w:rPr>
        <w:t>C</w:t>
      </w:r>
      <w:r w:rsidR="0026270C">
        <w:rPr>
          <w:sz w:val="24"/>
        </w:rPr>
        <w:t>heng</w:t>
      </w:r>
      <w:proofErr w:type="spellEnd"/>
      <w:r w:rsidR="0026270C">
        <w:rPr>
          <w:sz w:val="24"/>
        </w:rPr>
        <w:t xml:space="preserve"> &amp; </w:t>
      </w:r>
      <w:proofErr w:type="spellStart"/>
      <w:r w:rsidR="0026270C">
        <w:rPr>
          <w:sz w:val="24"/>
        </w:rPr>
        <w:t>Courtenay</w:t>
      </w:r>
      <w:proofErr w:type="spellEnd"/>
      <w:r w:rsidRPr="00F93AC6">
        <w:rPr>
          <w:sz w:val="24"/>
        </w:rPr>
        <w:t xml:space="preserve">, 2006). Para Ho e Wong (2001), o CEO, por sua posição, tende a não realizar todas as divulgações possíveis, haja vista que tem como princípio o seu próprio benefício. Para isso, muitas vezes tende a ocultar informações importantes dos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 xml:space="preserve"> da organização. Assim, a posição de CEO é determinante para a divulgação das informações, mesmo que este indivíduo seja o Presidente do CA (H</w:t>
      </w:r>
      <w:r w:rsidR="0026270C">
        <w:rPr>
          <w:sz w:val="24"/>
        </w:rPr>
        <w:t>o &amp; Wong</w:t>
      </w:r>
      <w:r w:rsidRPr="00F93AC6">
        <w:rPr>
          <w:sz w:val="24"/>
        </w:rPr>
        <w:t xml:space="preserve">, 2001). </w:t>
      </w:r>
    </w:p>
    <w:p w14:paraId="58F56D8E" w14:textId="77777777" w:rsidR="001D2029" w:rsidRPr="00F93AC6" w:rsidRDefault="001D2029" w:rsidP="001D2029">
      <w:pPr>
        <w:ind w:firstLine="708"/>
        <w:jc w:val="both"/>
        <w:rPr>
          <w:sz w:val="24"/>
        </w:rPr>
      </w:pPr>
      <w:proofErr w:type="spellStart"/>
      <w:r w:rsidRPr="00F93AC6">
        <w:rPr>
          <w:sz w:val="24"/>
        </w:rPr>
        <w:t>Gul</w:t>
      </w:r>
      <w:proofErr w:type="spellEnd"/>
      <w:r w:rsidRPr="00F93AC6">
        <w:rPr>
          <w:sz w:val="24"/>
        </w:rPr>
        <w:t xml:space="preserve"> e Leung (2004) descrevem que o presidente do CA deve primar pela divulgação de todas as informações disponíveis para terceiros, pois </w:t>
      </w:r>
      <w:proofErr w:type="gramStart"/>
      <w:r w:rsidRPr="00F93AC6">
        <w:rPr>
          <w:sz w:val="24"/>
        </w:rPr>
        <w:t>o CA</w:t>
      </w:r>
      <w:proofErr w:type="gramEnd"/>
      <w:r w:rsidRPr="00F93AC6">
        <w:rPr>
          <w:sz w:val="24"/>
        </w:rPr>
        <w:t xml:space="preserve">, como um todo, tem como um dos objetivos a proteção dos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>. Contudo, os autores indicam que quando o cargo de presidente do CA é exercido pelo CEO da organização, a vontade deste último supera o esperado pelo cargo de presidente do CA. Deste modo, se expõe a quarta hipótese de pesquisa:</w:t>
      </w:r>
    </w:p>
    <w:p w14:paraId="5A78B7A7" w14:textId="77777777" w:rsidR="001D2029" w:rsidRPr="00F93AC6" w:rsidRDefault="001D2029" w:rsidP="001D2029">
      <w:pPr>
        <w:jc w:val="both"/>
        <w:rPr>
          <w:sz w:val="24"/>
        </w:rPr>
      </w:pPr>
    </w:p>
    <w:p w14:paraId="642A5E0D" w14:textId="77777777" w:rsidR="001D2029" w:rsidRPr="00F93AC6" w:rsidRDefault="001D2029" w:rsidP="001D2029">
      <w:pPr>
        <w:jc w:val="both"/>
        <w:rPr>
          <w:i/>
          <w:sz w:val="24"/>
        </w:rPr>
      </w:pPr>
      <w:r w:rsidRPr="00F93AC6">
        <w:rPr>
          <w:i/>
          <w:sz w:val="24"/>
        </w:rPr>
        <w:t>H</w:t>
      </w:r>
      <w:r w:rsidRPr="00F93AC6">
        <w:rPr>
          <w:i/>
          <w:sz w:val="24"/>
          <w:vertAlign w:val="subscript"/>
        </w:rPr>
        <w:t>4</w:t>
      </w:r>
      <w:r w:rsidRPr="00F93AC6">
        <w:rPr>
          <w:i/>
          <w:sz w:val="24"/>
        </w:rPr>
        <w:t>: A dualidade de cargo de CEO e Presidente do CA está negativamente associada à divulgação da sustentabilidade nas organizações.</w:t>
      </w:r>
    </w:p>
    <w:p w14:paraId="48671780" w14:textId="77777777" w:rsidR="001D2029" w:rsidRPr="00F93AC6" w:rsidRDefault="001D2029" w:rsidP="001D2029">
      <w:pPr>
        <w:jc w:val="both"/>
        <w:rPr>
          <w:sz w:val="24"/>
        </w:rPr>
      </w:pPr>
    </w:p>
    <w:p w14:paraId="35FD703A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Quando um ou mais conselheiros ou diretores de uma organização A participam ao mesmo tempo no conselho de outra </w:t>
      </w:r>
      <w:proofErr w:type="gramStart"/>
      <w:r w:rsidRPr="00F93AC6">
        <w:rPr>
          <w:sz w:val="24"/>
        </w:rPr>
        <w:t>organização B ou em mais organizações, ou ainda, quando um conselheiro da organização X e outro da organização Y participam concomitantemente em uma terceira organização</w:t>
      </w:r>
      <w:proofErr w:type="gramEnd"/>
      <w:r w:rsidRPr="00F93AC6">
        <w:rPr>
          <w:sz w:val="24"/>
        </w:rPr>
        <w:t xml:space="preserve"> Z, é verificada a ocorrência de ligações entre organizações por meio do CA, o que a literatura denomina de </w:t>
      </w:r>
      <w:proofErr w:type="spellStart"/>
      <w:r w:rsidRPr="00F93AC6">
        <w:rPr>
          <w:i/>
          <w:sz w:val="24"/>
        </w:rPr>
        <w:t>Board</w:t>
      </w:r>
      <w:proofErr w:type="spellEnd"/>
      <w:r w:rsidRPr="00F93AC6">
        <w:rPr>
          <w:i/>
          <w:sz w:val="24"/>
        </w:rPr>
        <w:t xml:space="preserve"> </w:t>
      </w:r>
      <w:proofErr w:type="spellStart"/>
      <w:r w:rsidRPr="00F93AC6">
        <w:rPr>
          <w:i/>
          <w:sz w:val="24"/>
        </w:rPr>
        <w:t>Interlocking</w:t>
      </w:r>
      <w:proofErr w:type="spellEnd"/>
      <w:r w:rsidRPr="00F93AC6">
        <w:rPr>
          <w:sz w:val="24"/>
        </w:rPr>
        <w:t xml:space="preserve"> (BI) (</w:t>
      </w:r>
      <w:proofErr w:type="spellStart"/>
      <w:r w:rsidRPr="00F93AC6">
        <w:rPr>
          <w:sz w:val="24"/>
        </w:rPr>
        <w:t>P</w:t>
      </w:r>
      <w:r w:rsidR="0026270C">
        <w:rPr>
          <w:sz w:val="24"/>
        </w:rPr>
        <w:t>ennings</w:t>
      </w:r>
      <w:proofErr w:type="spellEnd"/>
      <w:r w:rsidRPr="00F93AC6">
        <w:rPr>
          <w:sz w:val="24"/>
        </w:rPr>
        <w:t xml:space="preserve">, 1980; </w:t>
      </w:r>
      <w:proofErr w:type="spellStart"/>
      <w:r w:rsidRPr="00F93AC6">
        <w:rPr>
          <w:sz w:val="24"/>
        </w:rPr>
        <w:t>M</w:t>
      </w:r>
      <w:r w:rsidR="0026270C">
        <w:rPr>
          <w:sz w:val="24"/>
        </w:rPr>
        <w:t>izruchi</w:t>
      </w:r>
      <w:proofErr w:type="spellEnd"/>
      <w:r w:rsidRPr="00F93AC6">
        <w:rPr>
          <w:sz w:val="24"/>
        </w:rPr>
        <w:t xml:space="preserve">, 1996; </w:t>
      </w:r>
      <w:proofErr w:type="spellStart"/>
      <w:r w:rsidRPr="00F93AC6">
        <w:rPr>
          <w:sz w:val="24"/>
        </w:rPr>
        <w:t>F</w:t>
      </w:r>
      <w:r w:rsidR="0026270C">
        <w:rPr>
          <w:sz w:val="24"/>
        </w:rPr>
        <w:t>ich</w:t>
      </w:r>
      <w:proofErr w:type="spellEnd"/>
      <w:r w:rsidR="0026270C">
        <w:rPr>
          <w:sz w:val="24"/>
        </w:rPr>
        <w:t xml:space="preserve"> &amp; White</w:t>
      </w:r>
      <w:r w:rsidRPr="00F93AC6">
        <w:rPr>
          <w:sz w:val="24"/>
        </w:rPr>
        <w:t xml:space="preserve">, 2005). A ocorrência do BI  pode ser um fator preponderante para o gestor em sua tomada de decisão, de considerar as propensões de seus </w:t>
      </w:r>
      <w:proofErr w:type="spellStart"/>
      <w:r w:rsidRPr="00F93AC6">
        <w:rPr>
          <w:i/>
          <w:sz w:val="24"/>
        </w:rPr>
        <w:t>stakeholders</w:t>
      </w:r>
      <w:proofErr w:type="spellEnd"/>
      <w:r w:rsidRPr="00F93AC6">
        <w:rPr>
          <w:sz w:val="24"/>
        </w:rPr>
        <w:t>, tanto para crescimento econômico e financeiro, quanto para questões relacionadas com a sustentabilidade (</w:t>
      </w:r>
      <w:proofErr w:type="spellStart"/>
      <w:r w:rsidRPr="00F93AC6">
        <w:rPr>
          <w:sz w:val="24"/>
        </w:rPr>
        <w:t>D</w:t>
      </w:r>
      <w:r w:rsidR="0026270C">
        <w:rPr>
          <w:sz w:val="24"/>
        </w:rPr>
        <w:t>ooley</w:t>
      </w:r>
      <w:proofErr w:type="spellEnd"/>
      <w:r w:rsidRPr="00F93AC6">
        <w:rPr>
          <w:sz w:val="24"/>
        </w:rPr>
        <w:t>, 1969). Assim, em organizações em que o seu conselho de administração pratica o BI, pode haver maior propensão de evidenciação das informações da empresa, haja vista que essa maior evidenciação serve como ferramenta de reconhecimento das ações realizadas pela organização. Destarte, é desenvolvida a quinta hipótese de pesquisa:</w:t>
      </w:r>
    </w:p>
    <w:p w14:paraId="56C73C08" w14:textId="77777777" w:rsidR="001D2029" w:rsidRPr="00F93AC6" w:rsidRDefault="001D2029" w:rsidP="001D2029">
      <w:pPr>
        <w:ind w:firstLine="708"/>
        <w:jc w:val="both"/>
        <w:rPr>
          <w:sz w:val="24"/>
        </w:rPr>
      </w:pPr>
    </w:p>
    <w:p w14:paraId="3456EC61" w14:textId="77777777" w:rsidR="001D2029" w:rsidRPr="00F93AC6" w:rsidRDefault="001D2029" w:rsidP="001D2029">
      <w:pPr>
        <w:jc w:val="both"/>
        <w:rPr>
          <w:i/>
          <w:sz w:val="24"/>
        </w:rPr>
      </w:pPr>
      <w:r w:rsidRPr="00F93AC6">
        <w:rPr>
          <w:i/>
          <w:sz w:val="24"/>
        </w:rPr>
        <w:t>H</w:t>
      </w:r>
      <w:r w:rsidRPr="00F93AC6">
        <w:rPr>
          <w:i/>
          <w:sz w:val="24"/>
          <w:vertAlign w:val="subscript"/>
        </w:rPr>
        <w:t>5</w:t>
      </w:r>
      <w:r w:rsidRPr="00F93AC6">
        <w:rPr>
          <w:i/>
          <w:sz w:val="24"/>
        </w:rPr>
        <w:t xml:space="preserve">: A ocorrência do BI está positivamente associada à divulgação da sustentabilidade nas organizações. </w:t>
      </w:r>
    </w:p>
    <w:p w14:paraId="05B7072E" w14:textId="77777777" w:rsidR="001D2029" w:rsidRPr="00F93AC6" w:rsidRDefault="001D2029" w:rsidP="001D2029">
      <w:pPr>
        <w:jc w:val="both"/>
        <w:rPr>
          <w:sz w:val="24"/>
        </w:rPr>
      </w:pPr>
    </w:p>
    <w:p w14:paraId="599B1D31" w14:textId="77777777" w:rsidR="001D2029" w:rsidRPr="00B5040A" w:rsidRDefault="001D2029" w:rsidP="001D2029">
      <w:pPr>
        <w:pStyle w:val="PargrafodaLista"/>
        <w:ind w:left="0"/>
      </w:pPr>
      <w:r w:rsidRPr="00B5040A">
        <w:rPr>
          <w:b/>
          <w:bCs/>
          <w:sz w:val="24"/>
          <w:szCs w:val="24"/>
        </w:rPr>
        <w:t xml:space="preserve">3 ASPECTOS </w:t>
      </w:r>
      <w:r w:rsidRPr="00B5040A">
        <w:rPr>
          <w:b/>
          <w:sz w:val="24"/>
        </w:rPr>
        <w:t xml:space="preserve">METODOLÓGICOS DA PESQUISA </w:t>
      </w:r>
    </w:p>
    <w:p w14:paraId="2EBBC475" w14:textId="77777777" w:rsidR="001D2029" w:rsidRPr="00B5040A" w:rsidRDefault="001D2029" w:rsidP="001D2029">
      <w:pPr>
        <w:ind w:firstLine="708"/>
        <w:jc w:val="both"/>
        <w:rPr>
          <w:sz w:val="24"/>
        </w:rPr>
      </w:pPr>
      <w:r w:rsidRPr="00B5040A">
        <w:rPr>
          <w:sz w:val="24"/>
        </w:rPr>
        <w:t xml:space="preserve">A população da pesquisa foi composta por todas as empresas listadas na </w:t>
      </w:r>
      <w:proofErr w:type="gramStart"/>
      <w:r w:rsidRPr="00B5040A">
        <w:rPr>
          <w:sz w:val="24"/>
        </w:rPr>
        <w:t>BM&amp;FBovespa</w:t>
      </w:r>
      <w:proofErr w:type="gramEnd"/>
      <w:r w:rsidRPr="00B5040A">
        <w:rPr>
          <w:sz w:val="24"/>
        </w:rPr>
        <w:t xml:space="preserve">. A amostra contempla as empresas que divulgaram o relatório de sustentabilidade pelo padrão do modelo internacional GRI, entre os anos de 2012 a 2015, totalizando 123 empresas listadas. </w:t>
      </w:r>
    </w:p>
    <w:p w14:paraId="746C864E" w14:textId="77777777" w:rsidR="001D2029" w:rsidRPr="00B5040A" w:rsidRDefault="001D2029" w:rsidP="001D2029">
      <w:pPr>
        <w:ind w:firstLine="708"/>
        <w:jc w:val="both"/>
        <w:rPr>
          <w:sz w:val="24"/>
        </w:rPr>
      </w:pPr>
      <w:r w:rsidRPr="00B5040A">
        <w:rPr>
          <w:sz w:val="24"/>
        </w:rPr>
        <w:t xml:space="preserve">Cabe ressaltar que só foram incluídos os dados de um relatório de sustentabilidade por empresa, sendo utilizado o mais recente dentre o período de análise. No estudo foi utilizado um </w:t>
      </w:r>
      <w:proofErr w:type="spellStart"/>
      <w:r w:rsidRPr="00B5040A">
        <w:rPr>
          <w:i/>
          <w:sz w:val="24"/>
        </w:rPr>
        <w:t>checklis</w:t>
      </w:r>
      <w:r w:rsidRPr="00B5040A">
        <w:rPr>
          <w:sz w:val="24"/>
        </w:rPr>
        <w:t>t</w:t>
      </w:r>
      <w:proofErr w:type="spellEnd"/>
      <w:r w:rsidRPr="00B5040A">
        <w:rPr>
          <w:sz w:val="24"/>
        </w:rPr>
        <w:t xml:space="preserve"> para determinar se os itens divulgados pelas organizações estavam consoantes com os requisitos do modelo GRI. Os requisitos foram divididos em 10 grupos, possuindo 123 indicadores, conforme demonstra </w:t>
      </w:r>
      <w:r w:rsidR="002C565C">
        <w:rPr>
          <w:sz w:val="24"/>
        </w:rPr>
        <w:t>a</w:t>
      </w:r>
      <w:r w:rsidRPr="00B5040A">
        <w:rPr>
          <w:sz w:val="24"/>
        </w:rPr>
        <w:t xml:space="preserve"> </w:t>
      </w:r>
      <w:r w:rsidR="002C565C">
        <w:rPr>
          <w:sz w:val="24"/>
        </w:rPr>
        <w:t>Tabela</w:t>
      </w:r>
      <w:r w:rsidRPr="00B5040A">
        <w:rPr>
          <w:sz w:val="24"/>
        </w:rPr>
        <w:t xml:space="preserve"> 1.</w:t>
      </w:r>
    </w:p>
    <w:p w14:paraId="02695B52" w14:textId="77777777" w:rsidR="001D2029" w:rsidRPr="00F93AC6" w:rsidRDefault="001D2029" w:rsidP="001D2029">
      <w:pPr>
        <w:ind w:firstLine="708"/>
        <w:jc w:val="both"/>
        <w:rPr>
          <w:sz w:val="24"/>
        </w:rPr>
      </w:pPr>
    </w:p>
    <w:p w14:paraId="1EE10B5E" w14:textId="77777777" w:rsidR="001D2029" w:rsidRPr="00F93AC6" w:rsidRDefault="002C565C" w:rsidP="001D2029">
      <w:pPr>
        <w:jc w:val="both"/>
        <w:rPr>
          <w:b/>
        </w:rPr>
      </w:pPr>
      <w:r>
        <w:rPr>
          <w:b/>
        </w:rPr>
        <w:t>Tabela</w:t>
      </w:r>
      <w:r w:rsidR="001D2029" w:rsidRPr="00F93AC6">
        <w:rPr>
          <w:b/>
        </w:rPr>
        <w:t xml:space="preserve"> 1 – Grupos de requisitos e número de indicadores do modelo GRI</w:t>
      </w:r>
    </w:p>
    <w:tbl>
      <w:tblPr>
        <w:tblStyle w:val="Tabelacomgrade"/>
        <w:tblW w:w="9072" w:type="dxa"/>
        <w:tblInd w:w="103" w:type="dxa"/>
        <w:tblBorders>
          <w:left w:val="none" w:sz="0" w:space="0" w:color="auto"/>
          <w:right w:val="none" w:sz="0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05"/>
        <w:gridCol w:w="4467"/>
      </w:tblGrid>
      <w:tr w:rsidR="001D2029" w:rsidRPr="00B5040A" w14:paraId="6A124ECA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3A7DDFEE" w14:textId="77777777" w:rsidR="001D2029" w:rsidRPr="00F93AC6" w:rsidRDefault="001D2029" w:rsidP="001D2029">
            <w:pPr>
              <w:jc w:val="center"/>
              <w:rPr>
                <w:b/>
              </w:rPr>
            </w:pPr>
            <w:r w:rsidRPr="00F93AC6">
              <w:rPr>
                <w:b/>
              </w:rPr>
              <w:t>Grupos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0A048295" w14:textId="77777777" w:rsidR="001D2029" w:rsidRPr="00F93AC6" w:rsidRDefault="001D2029" w:rsidP="001D2029">
            <w:pPr>
              <w:jc w:val="center"/>
              <w:rPr>
                <w:b/>
              </w:rPr>
            </w:pPr>
            <w:r w:rsidRPr="00F93AC6">
              <w:rPr>
                <w:b/>
              </w:rPr>
              <w:t>Número de Indicadores</w:t>
            </w:r>
          </w:p>
        </w:tc>
      </w:tr>
      <w:tr w:rsidR="001D2029" w:rsidRPr="00B5040A" w14:paraId="4701BF50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5B659238" w14:textId="77777777" w:rsidR="001D2029" w:rsidRPr="00F93AC6" w:rsidRDefault="001D2029" w:rsidP="001D2029">
            <w:pPr>
              <w:jc w:val="both"/>
            </w:pPr>
            <w:r w:rsidRPr="00F93AC6">
              <w:t>Perfil Organizacional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62A74B54" w14:textId="77777777" w:rsidR="001D2029" w:rsidRPr="00F93AC6" w:rsidRDefault="001D2029" w:rsidP="001D2029">
            <w:pPr>
              <w:jc w:val="center"/>
            </w:pPr>
            <w:r w:rsidRPr="00F93AC6">
              <w:t>10</w:t>
            </w:r>
          </w:p>
        </w:tc>
      </w:tr>
      <w:tr w:rsidR="001D2029" w:rsidRPr="00B5040A" w14:paraId="14B47B92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29154C30" w14:textId="77777777" w:rsidR="001D2029" w:rsidRPr="00F93AC6" w:rsidRDefault="001D2029" w:rsidP="001D2029">
            <w:pPr>
              <w:jc w:val="both"/>
            </w:pPr>
            <w:r w:rsidRPr="00F93AC6">
              <w:lastRenderedPageBreak/>
              <w:t>Estratégia e Análise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31188509" w14:textId="77777777" w:rsidR="001D2029" w:rsidRPr="00F93AC6" w:rsidRDefault="001D2029" w:rsidP="001D2029">
            <w:pPr>
              <w:jc w:val="center"/>
            </w:pPr>
            <w:r w:rsidRPr="00F93AC6">
              <w:t>2</w:t>
            </w:r>
          </w:p>
        </w:tc>
      </w:tr>
      <w:tr w:rsidR="001D2029" w:rsidRPr="00B5040A" w14:paraId="0001F91C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6AF54696" w14:textId="77777777" w:rsidR="001D2029" w:rsidRPr="00F93AC6" w:rsidRDefault="001D2029" w:rsidP="001D2029">
            <w:pPr>
              <w:jc w:val="both"/>
            </w:pPr>
            <w:r w:rsidRPr="00F93AC6">
              <w:t>Perfil do Relatório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5EA1CB52" w14:textId="77777777" w:rsidR="001D2029" w:rsidRPr="00F93AC6" w:rsidRDefault="001D2029" w:rsidP="001D2029">
            <w:pPr>
              <w:jc w:val="center"/>
            </w:pPr>
            <w:r w:rsidRPr="00F93AC6">
              <w:t>13</w:t>
            </w:r>
          </w:p>
        </w:tc>
      </w:tr>
      <w:tr w:rsidR="001D2029" w:rsidRPr="00B5040A" w14:paraId="03657B71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66BE655C" w14:textId="77777777" w:rsidR="001D2029" w:rsidRPr="00F93AC6" w:rsidRDefault="001D2029" w:rsidP="001D2029">
            <w:pPr>
              <w:jc w:val="both"/>
            </w:pPr>
            <w:r w:rsidRPr="00F93AC6">
              <w:t xml:space="preserve">Governança, Compromisso e </w:t>
            </w:r>
            <w:proofErr w:type="gramStart"/>
            <w:r w:rsidRPr="00F93AC6">
              <w:t>Engajamento</w:t>
            </w:r>
            <w:proofErr w:type="gramEnd"/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3143717C" w14:textId="77777777" w:rsidR="001D2029" w:rsidRPr="00F93AC6" w:rsidRDefault="001D2029" w:rsidP="001D2029">
            <w:pPr>
              <w:jc w:val="center"/>
            </w:pPr>
            <w:r w:rsidRPr="00F93AC6">
              <w:t>17</w:t>
            </w:r>
          </w:p>
        </w:tc>
      </w:tr>
      <w:tr w:rsidR="001D2029" w:rsidRPr="00B5040A" w14:paraId="5C411DD1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673D45E9" w14:textId="77777777" w:rsidR="001D2029" w:rsidRPr="00F93AC6" w:rsidRDefault="001D2029" w:rsidP="001D2029">
            <w:pPr>
              <w:jc w:val="both"/>
            </w:pPr>
            <w:r w:rsidRPr="00F93AC6">
              <w:t>Desempenho Econômico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34AFEDC3" w14:textId="77777777" w:rsidR="001D2029" w:rsidRPr="00F93AC6" w:rsidRDefault="001D2029" w:rsidP="001D2029">
            <w:pPr>
              <w:jc w:val="center"/>
            </w:pPr>
            <w:r w:rsidRPr="00F93AC6">
              <w:t>9</w:t>
            </w:r>
          </w:p>
        </w:tc>
      </w:tr>
      <w:tr w:rsidR="001D2029" w:rsidRPr="00B5040A" w14:paraId="53D7107C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4921BBCF" w14:textId="77777777" w:rsidR="001D2029" w:rsidRPr="00F93AC6" w:rsidRDefault="001D2029" w:rsidP="001D2029">
            <w:pPr>
              <w:jc w:val="both"/>
            </w:pPr>
            <w:r w:rsidRPr="00F93AC6">
              <w:t>Desempenho Ambiental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2E2EC8B8" w14:textId="77777777" w:rsidR="001D2029" w:rsidRPr="00F93AC6" w:rsidRDefault="001D2029" w:rsidP="001D2029">
            <w:pPr>
              <w:jc w:val="center"/>
            </w:pPr>
            <w:r w:rsidRPr="00F93AC6">
              <w:t>30</w:t>
            </w:r>
          </w:p>
        </w:tc>
      </w:tr>
      <w:tr w:rsidR="001D2029" w:rsidRPr="00B5040A" w14:paraId="0914CFBE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7CA0567C" w14:textId="77777777" w:rsidR="001D2029" w:rsidRPr="00F93AC6" w:rsidRDefault="001D2029" w:rsidP="001D2029">
            <w:pPr>
              <w:jc w:val="both"/>
            </w:pPr>
            <w:r w:rsidRPr="00F93AC6">
              <w:t>Práticas Trabalhistas e Trabalho Decente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2E22D367" w14:textId="77777777" w:rsidR="001D2029" w:rsidRPr="00F93AC6" w:rsidRDefault="001D2029" w:rsidP="001D2029">
            <w:pPr>
              <w:jc w:val="center"/>
            </w:pPr>
            <w:r w:rsidRPr="00F93AC6">
              <w:t>14</w:t>
            </w:r>
          </w:p>
        </w:tc>
      </w:tr>
      <w:tr w:rsidR="001D2029" w:rsidRPr="00B5040A" w14:paraId="664F84F6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7E725DC6" w14:textId="77777777" w:rsidR="001D2029" w:rsidRPr="00F93AC6" w:rsidRDefault="001D2029" w:rsidP="001D2029">
            <w:pPr>
              <w:jc w:val="both"/>
            </w:pPr>
            <w:r w:rsidRPr="00F93AC6">
              <w:t>Direitos Humanos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04846626" w14:textId="77777777" w:rsidR="001D2029" w:rsidRPr="00F93AC6" w:rsidRDefault="001D2029" w:rsidP="001D2029">
            <w:pPr>
              <w:jc w:val="center"/>
            </w:pPr>
            <w:r w:rsidRPr="00F93AC6">
              <w:t>9</w:t>
            </w:r>
          </w:p>
        </w:tc>
      </w:tr>
      <w:tr w:rsidR="001D2029" w:rsidRPr="00B5040A" w14:paraId="567CABDC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13ACC44F" w14:textId="77777777" w:rsidR="001D2029" w:rsidRPr="00F93AC6" w:rsidRDefault="001D2029" w:rsidP="001D2029">
            <w:pPr>
              <w:jc w:val="both"/>
            </w:pPr>
            <w:r w:rsidRPr="00F93AC6">
              <w:t>Sociedade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65F3D699" w14:textId="77777777" w:rsidR="001D2029" w:rsidRPr="00F93AC6" w:rsidRDefault="001D2029" w:rsidP="001D2029">
            <w:pPr>
              <w:jc w:val="center"/>
            </w:pPr>
            <w:r w:rsidRPr="00F93AC6">
              <w:t>9</w:t>
            </w:r>
          </w:p>
        </w:tc>
      </w:tr>
      <w:tr w:rsidR="001D2029" w:rsidRPr="00B5040A" w14:paraId="72C8EEBA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07D9EF91" w14:textId="77777777" w:rsidR="001D2029" w:rsidRPr="00F93AC6" w:rsidRDefault="001D2029" w:rsidP="001D2029">
            <w:pPr>
              <w:jc w:val="both"/>
            </w:pPr>
            <w:r w:rsidRPr="00F93AC6">
              <w:t>Responsabilidade sobre o Produto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4EC83C95" w14:textId="77777777" w:rsidR="001D2029" w:rsidRPr="00F93AC6" w:rsidRDefault="001D2029" w:rsidP="001D2029">
            <w:pPr>
              <w:jc w:val="center"/>
            </w:pPr>
            <w:r w:rsidRPr="00F93AC6">
              <w:t>9</w:t>
            </w:r>
          </w:p>
        </w:tc>
      </w:tr>
      <w:tr w:rsidR="001D2029" w:rsidRPr="00B5040A" w14:paraId="5014DF07" w14:textId="77777777" w:rsidTr="002C565C">
        <w:tc>
          <w:tcPr>
            <w:tcW w:w="4604" w:type="dxa"/>
            <w:shd w:val="clear" w:color="auto" w:fill="auto"/>
            <w:tcMar>
              <w:left w:w="103" w:type="dxa"/>
            </w:tcMar>
          </w:tcPr>
          <w:p w14:paraId="217B442B" w14:textId="77777777" w:rsidR="001D2029" w:rsidRPr="00F93AC6" w:rsidRDefault="001D2029" w:rsidP="001D2029">
            <w:pPr>
              <w:jc w:val="both"/>
              <w:rPr>
                <w:b/>
              </w:rPr>
            </w:pPr>
            <w:r w:rsidRPr="00F93AC6">
              <w:rPr>
                <w:b/>
              </w:rPr>
              <w:t>Total</w:t>
            </w:r>
          </w:p>
        </w:tc>
        <w:tc>
          <w:tcPr>
            <w:tcW w:w="4467" w:type="dxa"/>
            <w:shd w:val="clear" w:color="auto" w:fill="auto"/>
            <w:tcMar>
              <w:left w:w="103" w:type="dxa"/>
            </w:tcMar>
          </w:tcPr>
          <w:p w14:paraId="10F2DCFF" w14:textId="77777777" w:rsidR="001D2029" w:rsidRPr="00F93AC6" w:rsidRDefault="001D2029" w:rsidP="001D2029">
            <w:pPr>
              <w:jc w:val="center"/>
              <w:rPr>
                <w:b/>
              </w:rPr>
            </w:pPr>
            <w:r w:rsidRPr="00F93AC6">
              <w:rPr>
                <w:b/>
              </w:rPr>
              <w:t>123</w:t>
            </w:r>
          </w:p>
        </w:tc>
      </w:tr>
    </w:tbl>
    <w:p w14:paraId="4BBCF8D1" w14:textId="77777777" w:rsidR="001D2029" w:rsidRPr="00F93AC6" w:rsidRDefault="001D2029" w:rsidP="001D2029">
      <w:pPr>
        <w:jc w:val="both"/>
      </w:pPr>
      <w:r w:rsidRPr="00F93AC6">
        <w:t>Fonte: GRI (1997).</w:t>
      </w:r>
    </w:p>
    <w:p w14:paraId="2BA24BA2" w14:textId="77777777" w:rsidR="001D2029" w:rsidRPr="00F93AC6" w:rsidRDefault="001D2029" w:rsidP="001D2029">
      <w:pPr>
        <w:ind w:firstLine="708"/>
        <w:jc w:val="both"/>
        <w:rPr>
          <w:sz w:val="24"/>
        </w:rPr>
      </w:pPr>
    </w:p>
    <w:p w14:paraId="0C3C5A4D" w14:textId="77777777" w:rsidR="001D2029" w:rsidRPr="00F93AC6" w:rsidRDefault="001D2029" w:rsidP="001D2029">
      <w:pPr>
        <w:ind w:firstLine="709"/>
        <w:jc w:val="both"/>
        <w:rPr>
          <w:sz w:val="24"/>
        </w:rPr>
      </w:pPr>
      <w:r w:rsidRPr="00F93AC6">
        <w:rPr>
          <w:sz w:val="24"/>
        </w:rPr>
        <w:t xml:space="preserve">Para averiguar a concordância dos relatórios de sustentabilidade em relação ao modelo GRI foi fixada uma equivalência para cada indicador: zero para os indicadores que se encontravam no </w:t>
      </w:r>
      <w:proofErr w:type="spellStart"/>
      <w:r w:rsidRPr="00F93AC6">
        <w:rPr>
          <w:i/>
          <w:sz w:val="24"/>
        </w:rPr>
        <w:t>checklist</w:t>
      </w:r>
      <w:proofErr w:type="spellEnd"/>
      <w:r w:rsidRPr="00F93AC6">
        <w:rPr>
          <w:sz w:val="24"/>
        </w:rPr>
        <w:t>, mas que não foram evidenciados nos relatórios de sustentabilidade; 0,5 para os itens evidenciados parcialmente; e 1 para os itens evidenciados totalmente nos relatórios de sustentabilidade.</w:t>
      </w:r>
    </w:p>
    <w:p w14:paraId="0260E44A" w14:textId="6F1644ED" w:rsidR="001D2029" w:rsidRPr="00F93AC6" w:rsidRDefault="001D2029" w:rsidP="001D2029">
      <w:pPr>
        <w:ind w:firstLine="709"/>
        <w:jc w:val="both"/>
        <w:rPr>
          <w:sz w:val="24"/>
        </w:rPr>
      </w:pPr>
      <w:r w:rsidRPr="00F93AC6">
        <w:rPr>
          <w:sz w:val="24"/>
        </w:rPr>
        <w:t xml:space="preserve">As variáveis independentes das características do Conselho de Administração (CA) utilizadas no estudo foram: tamanho, número de reuniões anuais do conselho, independência, dualidade do cargo de CEO e Presidente do CA e ocorrência de </w:t>
      </w:r>
      <w:proofErr w:type="spellStart"/>
      <w:r w:rsidRPr="00F93AC6">
        <w:rPr>
          <w:i/>
          <w:sz w:val="24"/>
        </w:rPr>
        <w:t>board</w:t>
      </w:r>
      <w:proofErr w:type="spellEnd"/>
      <w:r w:rsidRPr="00F93AC6">
        <w:rPr>
          <w:i/>
          <w:sz w:val="24"/>
        </w:rPr>
        <w:t xml:space="preserve"> </w:t>
      </w:r>
      <w:proofErr w:type="spellStart"/>
      <w:r w:rsidRPr="00F93AC6">
        <w:rPr>
          <w:i/>
          <w:sz w:val="24"/>
        </w:rPr>
        <w:t>interlocking</w:t>
      </w:r>
      <w:proofErr w:type="spellEnd"/>
      <w:r w:rsidRPr="00F93AC6">
        <w:rPr>
          <w:sz w:val="24"/>
        </w:rPr>
        <w:t xml:space="preserve"> no CA. Para a operacionalização destas variáveis foram coletados os dados provenientes do Formulário de Referência do mesmo ano de divulgação do relatório de sustentabilidade. Também foram utilizadas variáveis de controle: tamanho da empresa</w:t>
      </w:r>
      <w:proofErr w:type="gramStart"/>
      <w:r w:rsidRPr="00F93AC6">
        <w:rPr>
          <w:sz w:val="24"/>
        </w:rPr>
        <w:t>, se eram</w:t>
      </w:r>
      <w:proofErr w:type="gramEnd"/>
      <w:r w:rsidRPr="00F93AC6">
        <w:rPr>
          <w:sz w:val="24"/>
        </w:rPr>
        <w:t xml:space="preserve"> auditadas por uma firma de auditoria </w:t>
      </w:r>
      <w:r w:rsidRPr="00F93AC6">
        <w:rPr>
          <w:i/>
          <w:sz w:val="24"/>
        </w:rPr>
        <w:t>big</w:t>
      </w:r>
      <w:r w:rsidR="004F0CDE">
        <w:rPr>
          <w:i/>
          <w:sz w:val="24"/>
        </w:rPr>
        <w:t xml:space="preserve"> </w:t>
      </w:r>
      <w:r w:rsidRPr="00F93AC6">
        <w:rPr>
          <w:i/>
          <w:sz w:val="24"/>
        </w:rPr>
        <w:t xml:space="preserve">four </w:t>
      </w:r>
      <w:r w:rsidRPr="00F93AC6">
        <w:rPr>
          <w:sz w:val="24"/>
        </w:rPr>
        <w:t>e setor</w:t>
      </w:r>
      <w:r w:rsidRPr="00F93AC6">
        <w:rPr>
          <w:i/>
          <w:sz w:val="24"/>
        </w:rPr>
        <w:t xml:space="preserve">. </w:t>
      </w:r>
      <w:r w:rsidRPr="00F93AC6">
        <w:rPr>
          <w:sz w:val="24"/>
        </w:rPr>
        <w:t>Quanto à indicação de quais organizações realizam a divulgação, alguns estudos apontam que as de maior tamanho são as que mais divulgam estes relatórios, bem como são os relatórios com melhor qualidade nas informações divulgadas (</w:t>
      </w:r>
      <w:proofErr w:type="spellStart"/>
      <w:r w:rsidRPr="00F93AC6">
        <w:rPr>
          <w:sz w:val="24"/>
        </w:rPr>
        <w:t>H</w:t>
      </w:r>
      <w:r w:rsidR="0026270C">
        <w:rPr>
          <w:sz w:val="24"/>
        </w:rPr>
        <w:t>ackston</w:t>
      </w:r>
      <w:proofErr w:type="spellEnd"/>
      <w:r w:rsidR="0026270C">
        <w:rPr>
          <w:sz w:val="24"/>
        </w:rPr>
        <w:t xml:space="preserve"> &amp; </w:t>
      </w:r>
      <w:proofErr w:type="spellStart"/>
      <w:r w:rsidR="0026270C">
        <w:rPr>
          <w:sz w:val="24"/>
        </w:rPr>
        <w:t>Milne</w:t>
      </w:r>
      <w:proofErr w:type="spellEnd"/>
      <w:r w:rsidR="0026270C">
        <w:rPr>
          <w:sz w:val="24"/>
        </w:rPr>
        <w:t>,</w:t>
      </w:r>
      <w:r w:rsidRPr="00F93AC6">
        <w:rPr>
          <w:sz w:val="24"/>
        </w:rPr>
        <w:t xml:space="preserve"> 1996; </w:t>
      </w:r>
      <w:proofErr w:type="spellStart"/>
      <w:r w:rsidRPr="00F93AC6">
        <w:rPr>
          <w:sz w:val="24"/>
        </w:rPr>
        <w:t>D</w:t>
      </w:r>
      <w:r w:rsidR="0026270C">
        <w:rPr>
          <w:sz w:val="24"/>
        </w:rPr>
        <w:t>omench</w:t>
      </w:r>
      <w:proofErr w:type="spellEnd"/>
      <w:r w:rsidRPr="00F93AC6">
        <w:rPr>
          <w:sz w:val="24"/>
        </w:rPr>
        <w:t xml:space="preserve">, 2003; </w:t>
      </w:r>
      <w:proofErr w:type="spellStart"/>
      <w:r w:rsidRPr="00F93AC6">
        <w:rPr>
          <w:sz w:val="24"/>
        </w:rPr>
        <w:t>A</w:t>
      </w:r>
      <w:r w:rsidR="0026270C">
        <w:rPr>
          <w:sz w:val="24"/>
        </w:rPr>
        <w:t>rchel</w:t>
      </w:r>
      <w:proofErr w:type="spellEnd"/>
      <w:r w:rsidR="0026270C">
        <w:rPr>
          <w:sz w:val="24"/>
        </w:rPr>
        <w:t xml:space="preserve">, </w:t>
      </w:r>
      <w:r w:rsidRPr="00F93AC6">
        <w:rPr>
          <w:sz w:val="24"/>
        </w:rPr>
        <w:t>F</w:t>
      </w:r>
      <w:r w:rsidR="0026270C">
        <w:rPr>
          <w:sz w:val="24"/>
        </w:rPr>
        <w:t xml:space="preserve">ernández &amp; </w:t>
      </w:r>
      <w:proofErr w:type="spellStart"/>
      <w:r w:rsidR="0026270C">
        <w:rPr>
          <w:sz w:val="24"/>
        </w:rPr>
        <w:t>Larrinaga</w:t>
      </w:r>
      <w:proofErr w:type="spellEnd"/>
      <w:r w:rsidRPr="00F93AC6">
        <w:rPr>
          <w:sz w:val="24"/>
        </w:rPr>
        <w:t xml:space="preserve">, 2008). Esta condição pode ser justificada por dois motivos: a) grandes organizações devem cumprir obrigações legais associadas </w:t>
      </w:r>
      <w:r w:rsidR="004F0CDE" w:rsidRPr="00F93AC6">
        <w:rPr>
          <w:sz w:val="24"/>
        </w:rPr>
        <w:t>à</w:t>
      </w:r>
      <w:r w:rsidRPr="00F93AC6">
        <w:rPr>
          <w:sz w:val="24"/>
        </w:rPr>
        <w:t xml:space="preserve"> sua atividade, sendo uma delas a obrigatoriedade de informar suas questões sociais e ambientais (</w:t>
      </w:r>
      <w:proofErr w:type="spellStart"/>
      <w:r w:rsidRPr="00F93AC6">
        <w:rPr>
          <w:sz w:val="24"/>
        </w:rPr>
        <w:t>T</w:t>
      </w:r>
      <w:r w:rsidR="0026270C">
        <w:rPr>
          <w:sz w:val="24"/>
        </w:rPr>
        <w:t>ilt</w:t>
      </w:r>
      <w:proofErr w:type="spellEnd"/>
      <w:r w:rsidRPr="00F93AC6">
        <w:rPr>
          <w:sz w:val="24"/>
        </w:rPr>
        <w:t xml:space="preserve">, 1994; </w:t>
      </w:r>
      <w:proofErr w:type="spellStart"/>
      <w:r w:rsidRPr="00F93AC6">
        <w:rPr>
          <w:sz w:val="24"/>
        </w:rPr>
        <w:t>W</w:t>
      </w:r>
      <w:r w:rsidR="0026270C">
        <w:rPr>
          <w:sz w:val="24"/>
        </w:rPr>
        <w:t>ilmshurst</w:t>
      </w:r>
      <w:proofErr w:type="spellEnd"/>
      <w:r w:rsidR="0026270C">
        <w:rPr>
          <w:sz w:val="24"/>
        </w:rPr>
        <w:t xml:space="preserve"> &amp; </w:t>
      </w:r>
      <w:proofErr w:type="spellStart"/>
      <w:r w:rsidR="0026270C">
        <w:rPr>
          <w:sz w:val="24"/>
        </w:rPr>
        <w:t>Frost</w:t>
      </w:r>
      <w:proofErr w:type="spellEnd"/>
      <w:r w:rsidR="0026270C">
        <w:rPr>
          <w:sz w:val="24"/>
        </w:rPr>
        <w:t>,</w:t>
      </w:r>
      <w:r w:rsidRPr="00F93AC6">
        <w:rPr>
          <w:sz w:val="24"/>
        </w:rPr>
        <w:t xml:space="preserve"> 2000); b) também são as mais expostas e sujeitas a pressões públicas quanto </w:t>
      </w:r>
      <w:proofErr w:type="gramStart"/>
      <w:r w:rsidRPr="00F93AC6">
        <w:rPr>
          <w:sz w:val="24"/>
        </w:rPr>
        <w:t>a</w:t>
      </w:r>
      <w:proofErr w:type="gramEnd"/>
      <w:r w:rsidRPr="00F93AC6">
        <w:rPr>
          <w:sz w:val="24"/>
        </w:rPr>
        <w:t xml:space="preserve"> comunicação de sua questão social e ambiental (</w:t>
      </w:r>
      <w:proofErr w:type="spellStart"/>
      <w:r w:rsidRPr="00F93AC6">
        <w:rPr>
          <w:sz w:val="24"/>
        </w:rPr>
        <w:t>P</w:t>
      </w:r>
      <w:r w:rsidR="0026270C">
        <w:rPr>
          <w:sz w:val="24"/>
        </w:rPr>
        <w:t>atten</w:t>
      </w:r>
      <w:proofErr w:type="spellEnd"/>
      <w:r w:rsidRPr="00F93AC6">
        <w:rPr>
          <w:sz w:val="24"/>
        </w:rPr>
        <w:t xml:space="preserve">, 1991; </w:t>
      </w:r>
      <w:proofErr w:type="spellStart"/>
      <w:r w:rsidRPr="00F93AC6">
        <w:rPr>
          <w:sz w:val="24"/>
        </w:rPr>
        <w:t>B</w:t>
      </w:r>
      <w:r w:rsidR="0026270C">
        <w:rPr>
          <w:sz w:val="24"/>
        </w:rPr>
        <w:t>ansal</w:t>
      </w:r>
      <w:proofErr w:type="spellEnd"/>
      <w:r w:rsidRPr="00F93AC6">
        <w:rPr>
          <w:sz w:val="24"/>
        </w:rPr>
        <w:t xml:space="preserve">; 2005). </w:t>
      </w:r>
    </w:p>
    <w:p w14:paraId="5A2293B8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>Outra particularidade específica também traz diferenças significativas na quantidade e qualidade das informações divulgadas, o setor de atividade da organização (</w:t>
      </w:r>
      <w:proofErr w:type="spellStart"/>
      <w:r w:rsidRPr="00F93AC6">
        <w:rPr>
          <w:sz w:val="24"/>
        </w:rPr>
        <w:t>D</w:t>
      </w:r>
      <w:r w:rsidR="0026270C">
        <w:rPr>
          <w:sz w:val="24"/>
        </w:rPr>
        <w:t>eegan</w:t>
      </w:r>
      <w:proofErr w:type="spellEnd"/>
      <w:r w:rsidR="0026270C">
        <w:rPr>
          <w:sz w:val="24"/>
        </w:rPr>
        <w:t xml:space="preserve"> &amp; Gordon</w:t>
      </w:r>
      <w:r w:rsidRPr="00F93AC6">
        <w:rPr>
          <w:sz w:val="24"/>
        </w:rPr>
        <w:t xml:space="preserve">, 1996; </w:t>
      </w:r>
      <w:proofErr w:type="spellStart"/>
      <w:r w:rsidRPr="00F93AC6">
        <w:rPr>
          <w:sz w:val="24"/>
        </w:rPr>
        <w:t>K</w:t>
      </w:r>
      <w:r w:rsidR="0026270C">
        <w:rPr>
          <w:sz w:val="24"/>
        </w:rPr>
        <w:t>olk</w:t>
      </w:r>
      <w:proofErr w:type="spellEnd"/>
      <w:r w:rsidRPr="00F93AC6">
        <w:rPr>
          <w:sz w:val="24"/>
        </w:rPr>
        <w:t xml:space="preserve">, 2004). Isso se deve ao fato do cumprimento obrigatório quanto </w:t>
      </w:r>
      <w:proofErr w:type="gramStart"/>
      <w:r w:rsidRPr="00F93AC6">
        <w:rPr>
          <w:sz w:val="24"/>
        </w:rPr>
        <w:t>a</w:t>
      </w:r>
      <w:proofErr w:type="gramEnd"/>
      <w:r w:rsidRPr="00F93AC6">
        <w:rPr>
          <w:sz w:val="24"/>
        </w:rPr>
        <w:t xml:space="preserve"> legislação de cada setor, sendo as de maior impacto exigida uma maior divulgação. Contudo, </w:t>
      </w:r>
      <w:proofErr w:type="spellStart"/>
      <w:r w:rsidRPr="00F93AC6">
        <w:rPr>
          <w:sz w:val="24"/>
        </w:rPr>
        <w:t>Kolk</w:t>
      </w:r>
      <w:proofErr w:type="spellEnd"/>
      <w:r w:rsidRPr="00F93AC6">
        <w:rPr>
          <w:sz w:val="24"/>
        </w:rPr>
        <w:t xml:space="preserve"> (2008) destaca que setores com menor impacto ambiental, tais como setor de comunicação e financeiro, estão aumentando sua divulgação, objetivando maior transparência de suas ações.</w:t>
      </w:r>
    </w:p>
    <w:p w14:paraId="7B89D375" w14:textId="77777777" w:rsidR="001D2029" w:rsidRPr="00F93AC6" w:rsidRDefault="002C565C" w:rsidP="001D2029">
      <w:pPr>
        <w:ind w:firstLine="708"/>
        <w:jc w:val="both"/>
        <w:rPr>
          <w:sz w:val="24"/>
        </w:rPr>
      </w:pPr>
      <w:r>
        <w:rPr>
          <w:sz w:val="24"/>
        </w:rPr>
        <w:t xml:space="preserve">A Tabela </w:t>
      </w:r>
      <w:r w:rsidR="001D2029" w:rsidRPr="00F93AC6">
        <w:rPr>
          <w:sz w:val="24"/>
        </w:rPr>
        <w:t>2 descreve as variáveis independentes e de controle, sua mensuração e autores que as sustentam.</w:t>
      </w:r>
    </w:p>
    <w:p w14:paraId="718229A2" w14:textId="77777777" w:rsidR="001D2029" w:rsidRPr="00F93AC6" w:rsidRDefault="001D2029" w:rsidP="001D2029">
      <w:pPr>
        <w:ind w:firstLine="708"/>
        <w:jc w:val="both"/>
        <w:rPr>
          <w:sz w:val="24"/>
        </w:rPr>
      </w:pPr>
    </w:p>
    <w:p w14:paraId="29842F0D" w14:textId="77777777" w:rsidR="001D2029" w:rsidRPr="00F93AC6" w:rsidRDefault="002C565C" w:rsidP="001D2029">
      <w:pPr>
        <w:jc w:val="both"/>
        <w:rPr>
          <w:b/>
        </w:rPr>
      </w:pPr>
      <w:proofErr w:type="gramStart"/>
      <w:r>
        <w:rPr>
          <w:b/>
        </w:rPr>
        <w:t xml:space="preserve">Tabela </w:t>
      </w:r>
      <w:r w:rsidR="001D2029" w:rsidRPr="00F93AC6">
        <w:rPr>
          <w:b/>
        </w:rPr>
        <w:t>2 – Variáveis da caracterização do conselho de administração</w:t>
      </w:r>
      <w:proofErr w:type="gramEnd"/>
    </w:p>
    <w:tbl>
      <w:tblPr>
        <w:tblStyle w:val="Tabelacomgrade"/>
        <w:tblW w:w="9072" w:type="dxa"/>
        <w:tblInd w:w="-5" w:type="dxa"/>
        <w:tblBorders>
          <w:left w:val="none" w:sz="0" w:space="0" w:color="auto"/>
          <w:right w:val="none" w:sz="0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75"/>
        <w:gridCol w:w="2837"/>
        <w:gridCol w:w="3260"/>
      </w:tblGrid>
      <w:tr w:rsidR="001D2029" w:rsidRPr="00B5040A" w14:paraId="1823DF18" w14:textId="77777777" w:rsidTr="002C565C"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4F0DE1A9" w14:textId="77777777" w:rsidR="001D2029" w:rsidRPr="00F93AC6" w:rsidRDefault="001D2029" w:rsidP="001D2029">
            <w:pPr>
              <w:ind w:left="-214"/>
              <w:jc w:val="center"/>
              <w:rPr>
                <w:b/>
              </w:rPr>
            </w:pPr>
            <w:r w:rsidRPr="00F93AC6">
              <w:rPr>
                <w:b/>
              </w:rPr>
              <w:t>Variáveis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14:paraId="6296E55D" w14:textId="77777777" w:rsidR="001D2029" w:rsidRPr="00F93AC6" w:rsidRDefault="001D2029" w:rsidP="001D2029">
            <w:pPr>
              <w:jc w:val="center"/>
              <w:rPr>
                <w:b/>
              </w:rPr>
            </w:pPr>
            <w:r w:rsidRPr="00F93AC6">
              <w:rPr>
                <w:b/>
              </w:rPr>
              <w:t>Mensuração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14:paraId="51E9F9E0" w14:textId="77777777" w:rsidR="001D2029" w:rsidRPr="00F93AC6" w:rsidRDefault="001D2029" w:rsidP="001D2029">
            <w:pPr>
              <w:jc w:val="center"/>
              <w:rPr>
                <w:b/>
              </w:rPr>
            </w:pPr>
            <w:r w:rsidRPr="00F93AC6">
              <w:rPr>
                <w:b/>
              </w:rPr>
              <w:t>Autores</w:t>
            </w:r>
          </w:p>
        </w:tc>
      </w:tr>
      <w:tr w:rsidR="001D2029" w:rsidRPr="004F0CDE" w14:paraId="47DC5B4D" w14:textId="77777777" w:rsidTr="002C565C"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33325198" w14:textId="77777777" w:rsidR="001D2029" w:rsidRPr="00F93AC6" w:rsidRDefault="001D2029" w:rsidP="001D2029">
            <w:pPr>
              <w:ind w:left="-72"/>
              <w:jc w:val="both"/>
            </w:pPr>
            <w:r w:rsidRPr="00F93AC6">
              <w:t>Tamanho do CA (TAMCON)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14:paraId="2C70FEB3" w14:textId="77777777" w:rsidR="001D2029" w:rsidRPr="00F93AC6" w:rsidRDefault="001D2029" w:rsidP="001D2029">
            <w:pPr>
              <w:jc w:val="center"/>
            </w:pPr>
            <w:r w:rsidRPr="00F93AC6">
              <w:t>Número de conselheiros efetivos de cada CA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14:paraId="05E7E1A3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r w:rsidRPr="00F93AC6">
              <w:rPr>
                <w:lang w:val="en-US"/>
              </w:rPr>
              <w:t>Patten (1991)</w:t>
            </w:r>
          </w:p>
          <w:p w14:paraId="2BC7DE11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proofErr w:type="spellStart"/>
            <w:r w:rsidRPr="00F93AC6">
              <w:rPr>
                <w:lang w:val="en-US"/>
              </w:rPr>
              <w:t>Domench</w:t>
            </w:r>
            <w:proofErr w:type="spellEnd"/>
            <w:r w:rsidRPr="00F93AC6">
              <w:rPr>
                <w:lang w:val="en-US"/>
              </w:rPr>
              <w:t xml:space="preserve"> (2003)</w:t>
            </w:r>
          </w:p>
          <w:p w14:paraId="2D9F0054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proofErr w:type="spellStart"/>
            <w:r w:rsidRPr="00F93AC6">
              <w:rPr>
                <w:lang w:val="en-US"/>
              </w:rPr>
              <w:t>Salotti</w:t>
            </w:r>
            <w:proofErr w:type="spellEnd"/>
            <w:r w:rsidRPr="00F93AC6">
              <w:rPr>
                <w:lang w:val="en-US"/>
              </w:rPr>
              <w:t xml:space="preserve"> e Yamamoto (2005)</w:t>
            </w:r>
          </w:p>
        </w:tc>
      </w:tr>
      <w:tr w:rsidR="001D2029" w:rsidRPr="004F0CDE" w14:paraId="152405CF" w14:textId="77777777" w:rsidTr="002C565C"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BA76912" w14:textId="77777777" w:rsidR="001D2029" w:rsidRPr="00F93AC6" w:rsidRDefault="001D2029" w:rsidP="001D2029">
            <w:pPr>
              <w:jc w:val="both"/>
            </w:pPr>
            <w:r w:rsidRPr="00F93AC6">
              <w:t>Número de reuniões anuais do CA (REUN)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14:paraId="1076B80D" w14:textId="77777777" w:rsidR="001D2029" w:rsidRPr="00F93AC6" w:rsidRDefault="001D2029" w:rsidP="001D2029">
            <w:pPr>
              <w:jc w:val="center"/>
            </w:pPr>
            <w:r w:rsidRPr="00F93AC6">
              <w:t>Quantidade de reuniões do CA nos últimos 12 meses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14:paraId="357F7C67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proofErr w:type="spellStart"/>
            <w:r w:rsidRPr="00F93AC6">
              <w:rPr>
                <w:lang w:val="en-US"/>
              </w:rPr>
              <w:t>Haunschild</w:t>
            </w:r>
            <w:proofErr w:type="spellEnd"/>
            <w:r w:rsidRPr="00F93AC6">
              <w:rPr>
                <w:lang w:val="en-US"/>
              </w:rPr>
              <w:t xml:space="preserve"> (1993)</w:t>
            </w:r>
          </w:p>
          <w:p w14:paraId="76D43F4D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proofErr w:type="spellStart"/>
            <w:r w:rsidRPr="00F93AC6">
              <w:rPr>
                <w:lang w:val="en-US"/>
              </w:rPr>
              <w:t>Carpentel</w:t>
            </w:r>
            <w:proofErr w:type="spellEnd"/>
            <w:r w:rsidRPr="00F93AC6">
              <w:rPr>
                <w:lang w:val="en-US"/>
              </w:rPr>
              <w:t xml:space="preserve"> e </w:t>
            </w:r>
            <w:proofErr w:type="spellStart"/>
            <w:r w:rsidRPr="00F93AC6">
              <w:rPr>
                <w:lang w:val="en-US"/>
              </w:rPr>
              <w:t>Westphal</w:t>
            </w:r>
            <w:proofErr w:type="spellEnd"/>
            <w:r w:rsidRPr="00F93AC6">
              <w:rPr>
                <w:lang w:val="en-US"/>
              </w:rPr>
              <w:t xml:space="preserve"> (2001)</w:t>
            </w:r>
          </w:p>
          <w:p w14:paraId="478D5C8A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proofErr w:type="spellStart"/>
            <w:r w:rsidRPr="00F93AC6">
              <w:rPr>
                <w:lang w:val="en-US"/>
              </w:rPr>
              <w:t>Bouwman</w:t>
            </w:r>
            <w:proofErr w:type="spellEnd"/>
            <w:r w:rsidRPr="00F93AC6">
              <w:rPr>
                <w:lang w:val="en-US"/>
              </w:rPr>
              <w:t xml:space="preserve"> (2011)</w:t>
            </w:r>
          </w:p>
        </w:tc>
      </w:tr>
      <w:tr w:rsidR="001D2029" w:rsidRPr="00B5040A" w14:paraId="0C37D054" w14:textId="77777777" w:rsidTr="002C565C"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21FF8A5A" w14:textId="77777777" w:rsidR="001D2029" w:rsidRPr="00F93AC6" w:rsidRDefault="001D2029" w:rsidP="001D2029">
            <w:pPr>
              <w:jc w:val="both"/>
            </w:pPr>
            <w:r w:rsidRPr="00F93AC6">
              <w:lastRenderedPageBreak/>
              <w:t>Independência do CA (IND)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14:paraId="636B625B" w14:textId="77777777" w:rsidR="001D2029" w:rsidRPr="00F93AC6" w:rsidRDefault="001D2029" w:rsidP="001D2029">
            <w:pPr>
              <w:jc w:val="center"/>
            </w:pPr>
            <w:r w:rsidRPr="00F93AC6">
              <w:t>Número de membros independentes dividido pelo total de membros do conselho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14:paraId="29A917B9" w14:textId="77777777" w:rsidR="001D2029" w:rsidRPr="00F93AC6" w:rsidRDefault="001D2029" w:rsidP="001D2029">
            <w:pPr>
              <w:jc w:val="center"/>
            </w:pPr>
            <w:r w:rsidRPr="00F93AC6">
              <w:t xml:space="preserve">Chen e </w:t>
            </w:r>
            <w:proofErr w:type="spellStart"/>
            <w:r w:rsidRPr="00F93AC6">
              <w:t>Jaggi</w:t>
            </w:r>
            <w:proofErr w:type="spellEnd"/>
            <w:r w:rsidRPr="00F93AC6">
              <w:t xml:space="preserve"> (2000)</w:t>
            </w:r>
          </w:p>
          <w:p w14:paraId="56FFE5CE" w14:textId="77777777" w:rsidR="001D2029" w:rsidRPr="00F93AC6" w:rsidRDefault="001D2029" w:rsidP="001D2029">
            <w:pPr>
              <w:jc w:val="center"/>
            </w:pPr>
            <w:proofErr w:type="spellStart"/>
            <w:r w:rsidRPr="00F93AC6">
              <w:t>Eng</w:t>
            </w:r>
            <w:proofErr w:type="spellEnd"/>
            <w:r w:rsidRPr="00F93AC6">
              <w:t xml:space="preserve"> e </w:t>
            </w:r>
            <w:proofErr w:type="spellStart"/>
            <w:r w:rsidRPr="00F93AC6">
              <w:t>Mak</w:t>
            </w:r>
            <w:proofErr w:type="spellEnd"/>
            <w:r w:rsidRPr="00F93AC6">
              <w:t xml:space="preserve"> (2003)</w:t>
            </w:r>
          </w:p>
          <w:p w14:paraId="321FE242" w14:textId="77777777" w:rsidR="001D2029" w:rsidRPr="00F93AC6" w:rsidRDefault="001D2029" w:rsidP="001D2029">
            <w:pPr>
              <w:jc w:val="center"/>
            </w:pPr>
            <w:proofErr w:type="spellStart"/>
            <w:r w:rsidRPr="00F93AC6">
              <w:t>Michelon</w:t>
            </w:r>
            <w:proofErr w:type="spellEnd"/>
            <w:r w:rsidRPr="00F93AC6">
              <w:t xml:space="preserve"> e </w:t>
            </w:r>
            <w:proofErr w:type="spellStart"/>
            <w:r w:rsidRPr="00F93AC6">
              <w:t>Parbonetti</w:t>
            </w:r>
            <w:proofErr w:type="spellEnd"/>
            <w:r w:rsidRPr="00F93AC6">
              <w:t xml:space="preserve"> (2012)</w:t>
            </w:r>
          </w:p>
        </w:tc>
      </w:tr>
      <w:tr w:rsidR="001D2029" w:rsidRPr="00B5040A" w14:paraId="258493FC" w14:textId="77777777" w:rsidTr="002C565C"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543FCB88" w14:textId="77777777" w:rsidR="001D2029" w:rsidRPr="00F93AC6" w:rsidRDefault="001D2029" w:rsidP="001D2029">
            <w:pPr>
              <w:jc w:val="both"/>
            </w:pPr>
            <w:r w:rsidRPr="00F93AC6">
              <w:t>Dualidade do Cargo de CEO e Presidente do CA (DUA)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14:paraId="2E6FEFE8" w14:textId="2D6E6A34" w:rsidR="001D2029" w:rsidRPr="00F93AC6" w:rsidRDefault="001D2029" w:rsidP="001D2029">
            <w:pPr>
              <w:jc w:val="center"/>
            </w:pPr>
            <w:proofErr w:type="spellStart"/>
            <w:r w:rsidRPr="00F93AC6">
              <w:t>Dummy</w:t>
            </w:r>
            <w:proofErr w:type="spellEnd"/>
            <w:r w:rsidRPr="00F93AC6">
              <w:t>: Atribui-se 1 para empresa em que o cargo de CEO e Presidente do conselho é ocupado pela mesm</w:t>
            </w:r>
            <w:r w:rsidR="004F0CDE">
              <w:t xml:space="preserve">a </w:t>
            </w:r>
            <w:r w:rsidRPr="00F93AC6">
              <w:t>pessoa e 0 caso contrário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14:paraId="17536669" w14:textId="77777777" w:rsidR="001D2029" w:rsidRPr="00F93AC6" w:rsidRDefault="001D2029" w:rsidP="001D2029">
            <w:pPr>
              <w:jc w:val="center"/>
            </w:pPr>
            <w:r w:rsidRPr="00F93AC6">
              <w:t>Ho e Wong (2001)</w:t>
            </w:r>
          </w:p>
          <w:p w14:paraId="758C766D" w14:textId="77777777" w:rsidR="001D2029" w:rsidRPr="00F93AC6" w:rsidRDefault="001D2029" w:rsidP="001D2029">
            <w:pPr>
              <w:jc w:val="center"/>
            </w:pPr>
            <w:proofErr w:type="spellStart"/>
            <w:r w:rsidRPr="00F93AC6">
              <w:t>Gul</w:t>
            </w:r>
            <w:proofErr w:type="spellEnd"/>
            <w:r w:rsidRPr="00F93AC6">
              <w:t xml:space="preserve"> e Leung (2004)</w:t>
            </w:r>
          </w:p>
          <w:p w14:paraId="28A81ADA" w14:textId="77777777" w:rsidR="001D2029" w:rsidRPr="00F93AC6" w:rsidRDefault="001D2029" w:rsidP="001D2029">
            <w:pPr>
              <w:jc w:val="center"/>
            </w:pPr>
            <w:proofErr w:type="spellStart"/>
            <w:r w:rsidRPr="00F93AC6">
              <w:t>Cheg</w:t>
            </w:r>
            <w:proofErr w:type="spellEnd"/>
            <w:r w:rsidRPr="00F93AC6">
              <w:t xml:space="preserve"> e </w:t>
            </w:r>
            <w:proofErr w:type="spellStart"/>
            <w:r w:rsidRPr="00F93AC6">
              <w:t>Courtenay</w:t>
            </w:r>
            <w:proofErr w:type="spellEnd"/>
            <w:r w:rsidRPr="00F93AC6">
              <w:t xml:space="preserve"> (2006)</w:t>
            </w:r>
          </w:p>
          <w:p w14:paraId="541ADC5C" w14:textId="77777777" w:rsidR="001D2029" w:rsidRPr="00F93AC6" w:rsidRDefault="001D2029" w:rsidP="001D2029">
            <w:pPr>
              <w:jc w:val="center"/>
            </w:pPr>
          </w:p>
        </w:tc>
      </w:tr>
      <w:tr w:rsidR="001D2029" w:rsidRPr="004F0CDE" w14:paraId="2EAD7943" w14:textId="77777777" w:rsidTr="002C565C"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A2DE6DD" w14:textId="77777777" w:rsidR="001D2029" w:rsidRPr="00F93AC6" w:rsidRDefault="001D2029" w:rsidP="001D2029">
            <w:pPr>
              <w:jc w:val="both"/>
            </w:pPr>
            <w:proofErr w:type="spellStart"/>
            <w:r w:rsidRPr="00F93AC6">
              <w:rPr>
                <w:i/>
              </w:rPr>
              <w:t>Board</w:t>
            </w:r>
            <w:proofErr w:type="spellEnd"/>
            <w:r w:rsidRPr="00F93AC6">
              <w:rPr>
                <w:i/>
              </w:rPr>
              <w:t xml:space="preserve"> </w:t>
            </w:r>
            <w:proofErr w:type="spellStart"/>
            <w:r w:rsidRPr="00F93AC6">
              <w:rPr>
                <w:i/>
              </w:rPr>
              <w:t>Interlocking</w:t>
            </w:r>
            <w:proofErr w:type="spellEnd"/>
            <w:r w:rsidRPr="00F93AC6">
              <w:rPr>
                <w:i/>
              </w:rPr>
              <w:t xml:space="preserve"> </w:t>
            </w:r>
            <w:r w:rsidRPr="00F93AC6">
              <w:t>(BI)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14:paraId="7DFE8E96" w14:textId="77777777" w:rsidR="001D2029" w:rsidRPr="00F93AC6" w:rsidRDefault="001D2029" w:rsidP="001D2029">
            <w:pPr>
              <w:jc w:val="center"/>
            </w:pPr>
            <w:r w:rsidRPr="00F93AC6">
              <w:t>Valor numérico indicando quantos laços cada empresa possui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14:paraId="29B11CAF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r w:rsidRPr="00F93AC6">
              <w:rPr>
                <w:lang w:val="en-US"/>
              </w:rPr>
              <w:t>Dooley (1969)</w:t>
            </w:r>
          </w:p>
          <w:p w14:paraId="0AA639B9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proofErr w:type="spellStart"/>
            <w:r w:rsidRPr="00F93AC6">
              <w:rPr>
                <w:lang w:val="en-US"/>
              </w:rPr>
              <w:t>Pennings</w:t>
            </w:r>
            <w:proofErr w:type="spellEnd"/>
            <w:r w:rsidRPr="00F93AC6">
              <w:rPr>
                <w:lang w:val="en-US"/>
              </w:rPr>
              <w:t xml:space="preserve"> (1980)</w:t>
            </w:r>
          </w:p>
          <w:p w14:paraId="26012103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r w:rsidRPr="00F93AC6">
              <w:rPr>
                <w:lang w:val="en-US"/>
              </w:rPr>
              <w:t xml:space="preserve"> </w:t>
            </w:r>
            <w:proofErr w:type="spellStart"/>
            <w:r w:rsidRPr="00F93AC6">
              <w:rPr>
                <w:lang w:val="en-US"/>
              </w:rPr>
              <w:t>Mizruchi</w:t>
            </w:r>
            <w:proofErr w:type="spellEnd"/>
            <w:r w:rsidRPr="00F93AC6">
              <w:rPr>
                <w:lang w:val="en-US"/>
              </w:rPr>
              <w:t xml:space="preserve"> (1996)</w:t>
            </w:r>
          </w:p>
          <w:p w14:paraId="145C296A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proofErr w:type="spellStart"/>
            <w:r w:rsidRPr="00F93AC6">
              <w:rPr>
                <w:lang w:val="en-US"/>
              </w:rPr>
              <w:t>Fich</w:t>
            </w:r>
            <w:proofErr w:type="spellEnd"/>
            <w:r w:rsidRPr="00F93AC6">
              <w:rPr>
                <w:lang w:val="en-US"/>
              </w:rPr>
              <w:t xml:space="preserve"> e White (2005)</w:t>
            </w:r>
          </w:p>
        </w:tc>
      </w:tr>
      <w:tr w:rsidR="001D2029" w:rsidRPr="00B5040A" w14:paraId="54BF8760" w14:textId="77777777" w:rsidTr="002C565C"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5011CA31" w14:textId="77777777" w:rsidR="001D2029" w:rsidRPr="00F93AC6" w:rsidRDefault="001D2029" w:rsidP="001D2029">
            <w:pPr>
              <w:jc w:val="both"/>
            </w:pPr>
            <w:r w:rsidRPr="00F93AC6">
              <w:t>Tamanho da empresa (TAM)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14:paraId="5586A53F" w14:textId="77777777" w:rsidR="001D2029" w:rsidRPr="00F93AC6" w:rsidRDefault="001D2029" w:rsidP="001D2029">
            <w:pPr>
              <w:jc w:val="center"/>
            </w:pPr>
            <w:r w:rsidRPr="00F93AC6">
              <w:rPr>
                <w:i/>
              </w:rPr>
              <w:t>Log</w:t>
            </w:r>
            <w:r w:rsidRPr="00F93AC6">
              <w:t xml:space="preserve"> do Ativo Total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14:paraId="297E4DDC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r w:rsidRPr="00F93AC6">
              <w:rPr>
                <w:lang w:val="en-US"/>
              </w:rPr>
              <w:t>Dooley (1969)</w:t>
            </w:r>
          </w:p>
          <w:p w14:paraId="6D7DC0F1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r w:rsidRPr="00F93AC6">
              <w:rPr>
                <w:lang w:val="en-US"/>
              </w:rPr>
              <w:t xml:space="preserve">Davison, </w:t>
            </w:r>
            <w:proofErr w:type="spellStart"/>
            <w:r w:rsidRPr="00F93AC6">
              <w:rPr>
                <w:lang w:val="en-US"/>
              </w:rPr>
              <w:t>Stening</w:t>
            </w:r>
            <w:proofErr w:type="spellEnd"/>
            <w:r w:rsidRPr="00F93AC6">
              <w:rPr>
                <w:lang w:val="en-US"/>
              </w:rPr>
              <w:t xml:space="preserve"> e Way (1984)</w:t>
            </w:r>
          </w:p>
          <w:p w14:paraId="0C5FDD75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proofErr w:type="spellStart"/>
            <w:r w:rsidRPr="00F93AC6">
              <w:rPr>
                <w:lang w:val="en-US"/>
              </w:rPr>
              <w:t>Mizruchi</w:t>
            </w:r>
            <w:proofErr w:type="spellEnd"/>
            <w:r w:rsidRPr="00F93AC6">
              <w:rPr>
                <w:lang w:val="en-US"/>
              </w:rPr>
              <w:t xml:space="preserve"> (1996)</w:t>
            </w:r>
          </w:p>
        </w:tc>
      </w:tr>
      <w:tr w:rsidR="001D2029" w:rsidRPr="004F0CDE" w14:paraId="0B91F9B4" w14:textId="77777777" w:rsidTr="002C565C"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52B95EB7" w14:textId="7FED1A5D" w:rsidR="001D2029" w:rsidRPr="004F0CDE" w:rsidRDefault="001D2029" w:rsidP="001D2029">
            <w:pPr>
              <w:jc w:val="both"/>
              <w:rPr>
                <w:lang w:val="en-US"/>
              </w:rPr>
            </w:pPr>
            <w:r w:rsidRPr="004F0CDE">
              <w:rPr>
                <w:lang w:val="en-US"/>
              </w:rPr>
              <w:t xml:space="preserve">Firma de Auditoria </w:t>
            </w:r>
            <w:r w:rsidRPr="004F0CDE">
              <w:rPr>
                <w:i/>
                <w:lang w:val="en-US"/>
              </w:rPr>
              <w:t>Big</w:t>
            </w:r>
            <w:r w:rsidR="004F0CDE" w:rsidRPr="004F0CDE">
              <w:rPr>
                <w:i/>
                <w:lang w:val="en-US"/>
              </w:rPr>
              <w:t xml:space="preserve"> </w:t>
            </w:r>
            <w:r w:rsidRPr="004F0CDE">
              <w:rPr>
                <w:i/>
                <w:lang w:val="en-US"/>
              </w:rPr>
              <w:t xml:space="preserve">Four </w:t>
            </w:r>
            <w:r w:rsidRPr="004F0CDE">
              <w:rPr>
                <w:lang w:val="en-US"/>
              </w:rPr>
              <w:t>(BIGFOUR)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14:paraId="2C738173" w14:textId="77777777" w:rsidR="001D2029" w:rsidRPr="00F93AC6" w:rsidRDefault="001D2029" w:rsidP="001D2029">
            <w:pPr>
              <w:jc w:val="center"/>
            </w:pPr>
            <w:proofErr w:type="spellStart"/>
            <w:r w:rsidRPr="00F93AC6">
              <w:t>Dummy</w:t>
            </w:r>
            <w:proofErr w:type="spellEnd"/>
            <w:r w:rsidRPr="00F93AC6">
              <w:t xml:space="preserve">: Atribuiu-se 1para firmas </w:t>
            </w:r>
            <w:r w:rsidRPr="00F93AC6">
              <w:rPr>
                <w:i/>
              </w:rPr>
              <w:t xml:space="preserve">big four </w:t>
            </w:r>
            <w:r w:rsidRPr="00F93AC6">
              <w:t xml:space="preserve">e 0 para firmas não </w:t>
            </w:r>
            <w:r w:rsidRPr="00F93AC6">
              <w:rPr>
                <w:i/>
              </w:rPr>
              <w:t>big four.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14:paraId="6639F2FD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r w:rsidRPr="00F93AC6">
              <w:rPr>
                <w:lang w:val="en-US"/>
              </w:rPr>
              <w:t>Dooley (1969)</w:t>
            </w:r>
          </w:p>
          <w:p w14:paraId="582BC86C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r w:rsidRPr="00F93AC6">
              <w:rPr>
                <w:lang w:val="en-US"/>
              </w:rPr>
              <w:t xml:space="preserve">Davison, </w:t>
            </w:r>
            <w:proofErr w:type="spellStart"/>
            <w:r w:rsidRPr="00F93AC6">
              <w:rPr>
                <w:lang w:val="en-US"/>
              </w:rPr>
              <w:t>Stening</w:t>
            </w:r>
            <w:proofErr w:type="spellEnd"/>
            <w:r w:rsidRPr="00F93AC6">
              <w:rPr>
                <w:lang w:val="en-US"/>
              </w:rPr>
              <w:t xml:space="preserve"> e Way (1984)</w:t>
            </w:r>
          </w:p>
          <w:p w14:paraId="22B4C262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</w:p>
        </w:tc>
      </w:tr>
      <w:tr w:rsidR="001D2029" w:rsidRPr="00B5040A" w14:paraId="32E116EE" w14:textId="77777777" w:rsidTr="002C565C"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A252888" w14:textId="77777777" w:rsidR="001D2029" w:rsidRPr="00F93AC6" w:rsidRDefault="001D2029" w:rsidP="001D2029">
            <w:pPr>
              <w:jc w:val="both"/>
            </w:pPr>
            <w:r w:rsidRPr="00F93AC6">
              <w:t>Setor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14:paraId="7E90E7CF" w14:textId="77777777" w:rsidR="001D2029" w:rsidRPr="00F93AC6" w:rsidRDefault="001D2029" w:rsidP="001D2029">
            <w:pPr>
              <w:jc w:val="center"/>
            </w:pPr>
            <w:proofErr w:type="spellStart"/>
            <w:r>
              <w:t>Dummies</w:t>
            </w:r>
            <w:proofErr w:type="spellEnd"/>
            <w:r>
              <w:t xml:space="preserve"> de setor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14:paraId="1819DA86" w14:textId="77777777" w:rsidR="001D2029" w:rsidRPr="00F93AC6" w:rsidRDefault="001D2029" w:rsidP="001D2029">
            <w:pPr>
              <w:jc w:val="center"/>
              <w:rPr>
                <w:lang w:val="en-US"/>
              </w:rPr>
            </w:pPr>
            <w:r w:rsidRPr="00B5040A">
              <w:t xml:space="preserve">Silveira, Barros e </w:t>
            </w:r>
            <w:proofErr w:type="spellStart"/>
            <w:r w:rsidRPr="00B5040A">
              <w:t>Famá</w:t>
            </w:r>
            <w:proofErr w:type="spellEnd"/>
            <w:r w:rsidRPr="00B5040A">
              <w:t xml:space="preserve"> (2003) Silveira </w:t>
            </w:r>
            <w:proofErr w:type="gramStart"/>
            <w:r w:rsidRPr="00B5040A">
              <w:t>et</w:t>
            </w:r>
            <w:proofErr w:type="gramEnd"/>
            <w:r w:rsidRPr="00B5040A">
              <w:t xml:space="preserve"> al. (2004)</w:t>
            </w:r>
          </w:p>
        </w:tc>
      </w:tr>
    </w:tbl>
    <w:p w14:paraId="0039708C" w14:textId="77777777" w:rsidR="001D2029" w:rsidRPr="00F93AC6" w:rsidRDefault="001D2029" w:rsidP="001D2029">
      <w:pPr>
        <w:jc w:val="both"/>
      </w:pPr>
      <w:r w:rsidRPr="00F93AC6">
        <w:t>Fonte: Elaborado pelos autores.</w:t>
      </w:r>
    </w:p>
    <w:p w14:paraId="369F544C" w14:textId="77777777" w:rsidR="001D2029" w:rsidRPr="00F93AC6" w:rsidRDefault="001D2029" w:rsidP="001D2029">
      <w:pPr>
        <w:jc w:val="both"/>
        <w:rPr>
          <w:sz w:val="24"/>
        </w:rPr>
      </w:pPr>
    </w:p>
    <w:p w14:paraId="1971AC3F" w14:textId="77777777" w:rsidR="001D2029" w:rsidRPr="00F93AC6" w:rsidRDefault="001D2029" w:rsidP="001D2029">
      <w:pPr>
        <w:ind w:firstLine="709"/>
        <w:jc w:val="both"/>
        <w:rPr>
          <w:sz w:val="24"/>
        </w:rPr>
      </w:pPr>
      <w:r w:rsidRPr="00F93AC6">
        <w:rPr>
          <w:sz w:val="24"/>
        </w:rPr>
        <w:t>A partir das variáveis depende</w:t>
      </w:r>
      <w:r w:rsidRPr="005C7A33">
        <w:rPr>
          <w:sz w:val="24"/>
        </w:rPr>
        <w:t xml:space="preserve">ntes (divulgação da sustentabilidade) e independentes (características do conselho de administração), foi verificada a relação entre elas por meio de regressão </w:t>
      </w:r>
      <w:r>
        <w:rPr>
          <w:sz w:val="24"/>
        </w:rPr>
        <w:t xml:space="preserve">OLS </w:t>
      </w:r>
      <w:r w:rsidRPr="005C7A33">
        <w:rPr>
          <w:sz w:val="24"/>
        </w:rPr>
        <w:t>com efeitos fixos</w:t>
      </w:r>
      <w:r>
        <w:rPr>
          <w:sz w:val="24"/>
        </w:rPr>
        <w:t xml:space="preserve"> de setor</w:t>
      </w:r>
      <w:r w:rsidRPr="005C7A33">
        <w:rPr>
          <w:sz w:val="24"/>
        </w:rPr>
        <w:t xml:space="preserve">. Antes da regressão foram analisados os pressupostos de análise multivariada, como a identificação da existência de </w:t>
      </w:r>
      <w:proofErr w:type="spellStart"/>
      <w:r w:rsidRPr="005C7A33">
        <w:rPr>
          <w:sz w:val="24"/>
        </w:rPr>
        <w:t>autocorrelação</w:t>
      </w:r>
      <w:proofErr w:type="spellEnd"/>
      <w:r w:rsidRPr="005C7A33">
        <w:rPr>
          <w:sz w:val="24"/>
        </w:rPr>
        <w:t xml:space="preserve">, </w:t>
      </w:r>
      <w:proofErr w:type="spellStart"/>
      <w:r w:rsidRPr="005C7A33">
        <w:rPr>
          <w:sz w:val="24"/>
        </w:rPr>
        <w:t>homocedasticidade</w:t>
      </w:r>
      <w:proofErr w:type="spellEnd"/>
      <w:r w:rsidRPr="005C7A33">
        <w:rPr>
          <w:sz w:val="24"/>
        </w:rPr>
        <w:t xml:space="preserve">, </w:t>
      </w:r>
      <w:proofErr w:type="spellStart"/>
      <w:r w:rsidRPr="005C7A33">
        <w:rPr>
          <w:sz w:val="24"/>
        </w:rPr>
        <w:t>multicolinearidade</w:t>
      </w:r>
      <w:proofErr w:type="spellEnd"/>
      <w:r w:rsidRPr="005C7A33">
        <w:rPr>
          <w:sz w:val="24"/>
        </w:rPr>
        <w:t xml:space="preserve"> e normalidade, conforme sugerem </w:t>
      </w:r>
      <w:proofErr w:type="spellStart"/>
      <w:r w:rsidRPr="005C7A33">
        <w:rPr>
          <w:sz w:val="24"/>
        </w:rPr>
        <w:t>Hair</w:t>
      </w:r>
      <w:proofErr w:type="spellEnd"/>
      <w:r w:rsidRPr="005C7A33">
        <w:rPr>
          <w:sz w:val="24"/>
        </w:rPr>
        <w:t xml:space="preserve"> </w:t>
      </w:r>
      <w:proofErr w:type="gramStart"/>
      <w:r w:rsidRPr="005C7A33">
        <w:rPr>
          <w:sz w:val="24"/>
        </w:rPr>
        <w:t>et</w:t>
      </w:r>
      <w:proofErr w:type="gramEnd"/>
      <w:r w:rsidRPr="005C7A33">
        <w:rPr>
          <w:sz w:val="24"/>
        </w:rPr>
        <w:t xml:space="preserve"> al. (</w:t>
      </w:r>
      <w:r w:rsidRPr="00F93AC6">
        <w:rPr>
          <w:sz w:val="24"/>
        </w:rPr>
        <w:t>2009) e Fávero et al. (2009), sendo aceitos os preceitos da regressão. A equação geral aplicada ao estudo pode ser descrita da seguinte maneira:</w:t>
      </w:r>
    </w:p>
    <w:p w14:paraId="38E9BD6F" w14:textId="77777777" w:rsidR="001D2029" w:rsidRPr="00F93AC6" w:rsidRDefault="001D2029" w:rsidP="001D2029">
      <w:pPr>
        <w:jc w:val="center"/>
        <w:rPr>
          <w:sz w:val="24"/>
        </w:rPr>
      </w:pPr>
    </w:p>
    <w:p w14:paraId="7A152F46" w14:textId="77777777" w:rsidR="001D2029" w:rsidRPr="00F93AC6" w:rsidRDefault="005A0953" w:rsidP="001D2029">
      <w:pPr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GRI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it</m:t>
            </m:r>
          </m:sub>
        </m:sSub>
      </m:oMath>
      <w:r w:rsidR="001D2029" w:rsidRPr="00F93AC6">
        <w:rPr>
          <w:sz w:val="24"/>
        </w:rPr>
        <w:t xml:space="preserve"> = β</w:t>
      </w:r>
      <w:r w:rsidR="001D2029" w:rsidRPr="00F93AC6">
        <w:rPr>
          <w:color w:val="000000"/>
          <w:sz w:val="24"/>
          <w:vertAlign w:val="subscript"/>
        </w:rPr>
        <w:t>0</w:t>
      </w:r>
      <w:r w:rsidR="001D2029" w:rsidRPr="00F93AC6">
        <w:rPr>
          <w:sz w:val="24"/>
        </w:rPr>
        <w:t xml:space="preserve"> + β</w:t>
      </w:r>
      <w:r w:rsidR="001D2029" w:rsidRPr="00F93AC6">
        <w:rPr>
          <w:color w:val="000000"/>
          <w:sz w:val="24"/>
          <w:vertAlign w:val="subscript"/>
        </w:rPr>
        <w:t xml:space="preserve">1 </w:t>
      </w:r>
      <w:proofErr w:type="spellStart"/>
      <w:proofErr w:type="gramStart"/>
      <w:r w:rsidR="001D2029" w:rsidRPr="00F93AC6">
        <w:rPr>
          <w:sz w:val="24"/>
        </w:rPr>
        <w:t>TAMCON</w:t>
      </w:r>
      <w:r w:rsidR="001D2029" w:rsidRPr="00F93AC6">
        <w:rPr>
          <w:sz w:val="24"/>
          <w:vertAlign w:val="subscript"/>
        </w:rPr>
        <w:t>it</w:t>
      </w:r>
      <w:proofErr w:type="spellEnd"/>
      <w:proofErr w:type="gramEnd"/>
      <w:r w:rsidR="001D2029" w:rsidRPr="00F93AC6">
        <w:rPr>
          <w:sz w:val="24"/>
        </w:rPr>
        <w:t xml:space="preserve"> + β</w:t>
      </w:r>
      <w:r w:rsidR="001D2029" w:rsidRPr="00F93AC6">
        <w:rPr>
          <w:color w:val="000000"/>
          <w:sz w:val="24"/>
          <w:vertAlign w:val="subscript"/>
        </w:rPr>
        <w:t xml:space="preserve">2 </w:t>
      </w:r>
      <w:proofErr w:type="spellStart"/>
      <w:r w:rsidR="001D2029" w:rsidRPr="00F93AC6">
        <w:rPr>
          <w:sz w:val="24"/>
        </w:rPr>
        <w:t>REUN</w:t>
      </w:r>
      <w:r w:rsidR="001D2029" w:rsidRPr="00F93AC6">
        <w:rPr>
          <w:sz w:val="24"/>
          <w:vertAlign w:val="subscript"/>
        </w:rPr>
        <w:t>it</w:t>
      </w:r>
      <w:proofErr w:type="spellEnd"/>
      <w:r w:rsidR="001D2029" w:rsidRPr="00F93AC6">
        <w:rPr>
          <w:sz w:val="24"/>
        </w:rPr>
        <w:t xml:space="preserve"> + β</w:t>
      </w:r>
      <w:r w:rsidR="001D2029" w:rsidRPr="00F93AC6">
        <w:rPr>
          <w:color w:val="000000"/>
          <w:sz w:val="24"/>
          <w:vertAlign w:val="subscript"/>
        </w:rPr>
        <w:t xml:space="preserve">3 </w:t>
      </w:r>
      <w:proofErr w:type="spellStart"/>
      <w:r w:rsidR="001D2029" w:rsidRPr="00F93AC6">
        <w:rPr>
          <w:sz w:val="24"/>
        </w:rPr>
        <w:t>IND</w:t>
      </w:r>
      <w:r w:rsidR="001D2029" w:rsidRPr="00F93AC6">
        <w:rPr>
          <w:sz w:val="24"/>
          <w:vertAlign w:val="subscript"/>
        </w:rPr>
        <w:t>it</w:t>
      </w:r>
      <w:proofErr w:type="spellEnd"/>
      <w:r w:rsidR="001D2029" w:rsidRPr="00F93AC6">
        <w:rPr>
          <w:sz w:val="24"/>
        </w:rPr>
        <w:t xml:space="preserve"> - β</w:t>
      </w:r>
      <w:r w:rsidR="001D2029" w:rsidRPr="00F93AC6">
        <w:rPr>
          <w:color w:val="000000"/>
          <w:sz w:val="24"/>
          <w:vertAlign w:val="subscript"/>
        </w:rPr>
        <w:t xml:space="preserve">4 </w:t>
      </w:r>
      <w:proofErr w:type="spellStart"/>
      <w:r w:rsidR="001D2029" w:rsidRPr="00F93AC6">
        <w:rPr>
          <w:sz w:val="24"/>
        </w:rPr>
        <w:t>DUA</w:t>
      </w:r>
      <w:r w:rsidR="001D2029" w:rsidRPr="00F93AC6">
        <w:rPr>
          <w:sz w:val="24"/>
          <w:vertAlign w:val="subscript"/>
        </w:rPr>
        <w:t>it</w:t>
      </w:r>
      <w:proofErr w:type="spellEnd"/>
      <w:r w:rsidR="001D2029" w:rsidRPr="00F93AC6">
        <w:rPr>
          <w:sz w:val="24"/>
        </w:rPr>
        <w:t xml:space="preserve"> + β</w:t>
      </w:r>
      <w:r w:rsidR="001D2029" w:rsidRPr="00F93AC6">
        <w:rPr>
          <w:color w:val="000000"/>
          <w:sz w:val="24"/>
          <w:vertAlign w:val="subscript"/>
        </w:rPr>
        <w:t xml:space="preserve">5 </w:t>
      </w:r>
      <w:proofErr w:type="spellStart"/>
      <w:r w:rsidR="001D2029" w:rsidRPr="00F93AC6">
        <w:rPr>
          <w:sz w:val="24"/>
        </w:rPr>
        <w:t>BI</w:t>
      </w:r>
      <w:r w:rsidR="001D2029" w:rsidRPr="00F93AC6">
        <w:rPr>
          <w:sz w:val="24"/>
          <w:vertAlign w:val="subscript"/>
        </w:rPr>
        <w:t>it</w:t>
      </w:r>
      <w:proofErr w:type="spellEnd"/>
      <w:r w:rsidR="001D2029" w:rsidRPr="00F93AC6">
        <w:rPr>
          <w:sz w:val="24"/>
        </w:rPr>
        <w:t xml:space="preserve"> + β</w:t>
      </w:r>
      <w:r w:rsidR="001D2029" w:rsidRPr="00F93AC6">
        <w:rPr>
          <w:color w:val="000000"/>
          <w:sz w:val="24"/>
          <w:vertAlign w:val="subscript"/>
        </w:rPr>
        <w:t xml:space="preserve">6 </w:t>
      </w:r>
      <w:proofErr w:type="spellStart"/>
      <w:r w:rsidR="001D2029" w:rsidRPr="00F93AC6">
        <w:rPr>
          <w:sz w:val="24"/>
        </w:rPr>
        <w:t>TAM</w:t>
      </w:r>
      <w:r w:rsidR="001D2029" w:rsidRPr="00F93AC6">
        <w:rPr>
          <w:sz w:val="24"/>
          <w:vertAlign w:val="subscript"/>
        </w:rPr>
        <w:t>it</w:t>
      </w:r>
      <w:proofErr w:type="spellEnd"/>
      <w:r w:rsidR="001D2029" w:rsidRPr="00F93AC6">
        <w:rPr>
          <w:sz w:val="24"/>
        </w:rPr>
        <w:t xml:space="preserve"> + </w:t>
      </w:r>
    </w:p>
    <w:p w14:paraId="19C39C79" w14:textId="77777777" w:rsidR="001D2029" w:rsidRPr="00B5040A" w:rsidRDefault="001D2029" w:rsidP="001D2029">
      <w:pPr>
        <w:jc w:val="center"/>
        <w:rPr>
          <w:sz w:val="24"/>
          <w:vertAlign w:val="subscript"/>
          <w:lang w:val="en-US"/>
        </w:rPr>
      </w:pPr>
      <w:r w:rsidRPr="00F93AC6">
        <w:rPr>
          <w:sz w:val="24"/>
        </w:rPr>
        <w:t>β</w:t>
      </w:r>
      <w:r w:rsidRPr="00F93AC6">
        <w:rPr>
          <w:color w:val="000000"/>
          <w:sz w:val="24"/>
          <w:vertAlign w:val="subscript"/>
          <w:lang w:val="en-US"/>
        </w:rPr>
        <w:t xml:space="preserve">7 </w:t>
      </w:r>
      <w:proofErr w:type="spellStart"/>
      <w:proofErr w:type="gramStart"/>
      <w:r w:rsidRPr="00F93AC6">
        <w:rPr>
          <w:sz w:val="24"/>
          <w:lang w:val="en-US"/>
        </w:rPr>
        <w:t>BIGFOUR</w:t>
      </w:r>
      <w:r w:rsidRPr="00F93AC6">
        <w:rPr>
          <w:sz w:val="24"/>
          <w:vertAlign w:val="subscript"/>
          <w:lang w:val="en-US"/>
        </w:rPr>
        <w:t>it</w:t>
      </w:r>
      <w:proofErr w:type="spellEnd"/>
      <w:proofErr w:type="gramEnd"/>
      <w:r w:rsidRPr="00B5040A">
        <w:rPr>
          <w:sz w:val="24"/>
          <w:szCs w:val="24"/>
          <w:lang w:val="en-US"/>
        </w:rPr>
        <w:t xml:space="preserve"> + ∑</w:t>
      </w:r>
      <w:proofErr w:type="spellStart"/>
      <w:r w:rsidRPr="00B5040A">
        <w:rPr>
          <w:sz w:val="24"/>
          <w:szCs w:val="24"/>
          <w:lang w:val="en-US"/>
        </w:rPr>
        <w:t>Efeito</w:t>
      </w:r>
      <w:proofErr w:type="spellEnd"/>
      <w:r w:rsidRPr="00B5040A">
        <w:rPr>
          <w:sz w:val="24"/>
          <w:szCs w:val="24"/>
          <w:lang w:val="en-US"/>
        </w:rPr>
        <w:t xml:space="preserve"> </w:t>
      </w:r>
      <w:proofErr w:type="spellStart"/>
      <w:r w:rsidRPr="00B5040A">
        <w:rPr>
          <w:sz w:val="24"/>
          <w:szCs w:val="24"/>
          <w:lang w:val="en-US"/>
        </w:rPr>
        <w:t>fixo_Setor</w:t>
      </w:r>
      <w:proofErr w:type="spellEnd"/>
      <w:r w:rsidRPr="00B5040A">
        <w:rPr>
          <w:sz w:val="24"/>
          <w:szCs w:val="24"/>
          <w:lang w:val="en-US"/>
        </w:rPr>
        <w:t xml:space="preserve"> +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5040A">
        <w:rPr>
          <w:rFonts w:eastAsiaTheme="minorEastAsia"/>
          <w:sz w:val="28"/>
          <w:szCs w:val="28"/>
          <w:vertAlign w:val="subscript"/>
          <w:lang w:val="en-US"/>
        </w:rPr>
        <w:t>it</w:t>
      </w:r>
    </w:p>
    <w:p w14:paraId="0056942B" w14:textId="77777777" w:rsidR="001D2029" w:rsidRPr="005C7A33" w:rsidRDefault="001D2029" w:rsidP="001D2029">
      <w:pPr>
        <w:jc w:val="both"/>
        <w:rPr>
          <w:sz w:val="24"/>
          <w:lang w:val="en-US"/>
        </w:rPr>
      </w:pPr>
    </w:p>
    <w:p w14:paraId="147EF0AB" w14:textId="77777777" w:rsidR="001D2029" w:rsidRPr="005C7A33" w:rsidRDefault="001D2029" w:rsidP="001D2029">
      <w:pPr>
        <w:pStyle w:val="PargrafodaLista"/>
        <w:ind w:left="0"/>
        <w:jc w:val="both"/>
      </w:pPr>
      <w:r w:rsidRPr="005C7A33">
        <w:rPr>
          <w:b/>
          <w:sz w:val="24"/>
        </w:rPr>
        <w:t>4 APRESENTAÇÃO E ANÁLISE DOS RESULTADOS</w:t>
      </w:r>
    </w:p>
    <w:p w14:paraId="64E388B1" w14:textId="77777777" w:rsidR="001D2029" w:rsidRPr="00B5040A" w:rsidRDefault="001D2029" w:rsidP="003847CF">
      <w:pPr>
        <w:ind w:firstLine="708"/>
        <w:jc w:val="both"/>
        <w:rPr>
          <w:sz w:val="24"/>
          <w:szCs w:val="24"/>
        </w:rPr>
      </w:pPr>
      <w:r w:rsidRPr="005C7A33">
        <w:rPr>
          <w:sz w:val="24"/>
        </w:rPr>
        <w:t xml:space="preserve">Esta seção </w:t>
      </w:r>
      <w:r w:rsidRPr="00F93AC6">
        <w:rPr>
          <w:sz w:val="24"/>
        </w:rPr>
        <w:t>apresenta os resultados obtidos a partir da pesquisa realizada e está dividida em duas subseções. A primeira subseção refere-se à análise descritiva das variáveis e a segunda contempla a análise multivariada, formada pelos pressupostos da regressão e análise da regressão linear múltipla.</w:t>
      </w:r>
    </w:p>
    <w:p w14:paraId="07FFDBD5" w14:textId="77777777" w:rsidR="001D2029" w:rsidRPr="00F93AC6" w:rsidRDefault="001D2029" w:rsidP="001D2029">
      <w:pPr>
        <w:jc w:val="both"/>
        <w:rPr>
          <w:sz w:val="24"/>
        </w:rPr>
      </w:pPr>
    </w:p>
    <w:p w14:paraId="7DA124C9" w14:textId="77777777" w:rsidR="001D2029" w:rsidRPr="00F93AC6" w:rsidRDefault="001D2029" w:rsidP="001D2029">
      <w:pPr>
        <w:jc w:val="both"/>
        <w:rPr>
          <w:b/>
          <w:sz w:val="24"/>
        </w:rPr>
      </w:pPr>
      <w:proofErr w:type="gramStart"/>
      <w:r w:rsidRPr="00F93AC6">
        <w:rPr>
          <w:b/>
          <w:sz w:val="24"/>
        </w:rPr>
        <w:t>4.1 Análise</w:t>
      </w:r>
      <w:proofErr w:type="gramEnd"/>
      <w:r w:rsidRPr="00F93AC6">
        <w:rPr>
          <w:b/>
          <w:sz w:val="24"/>
        </w:rPr>
        <w:t xml:space="preserve"> descritiva das variáveis</w:t>
      </w:r>
    </w:p>
    <w:p w14:paraId="2A0D2BE1" w14:textId="77777777" w:rsidR="001D2029" w:rsidRPr="00F93AC6" w:rsidRDefault="001D2029" w:rsidP="001D2029">
      <w:pPr>
        <w:jc w:val="both"/>
        <w:rPr>
          <w:sz w:val="24"/>
        </w:rPr>
      </w:pPr>
      <w:r w:rsidRPr="00F93AC6">
        <w:rPr>
          <w:sz w:val="24"/>
        </w:rPr>
        <w:tab/>
        <w:t xml:space="preserve">A estatística descritiva das variáveis dependente, independentes e de controle para as 123 empresas que, entre 2012 e 2015, emitiram o relatório de sustentabilidade, é apresentada na Tabela </w:t>
      </w:r>
      <w:r w:rsidR="002C565C">
        <w:rPr>
          <w:sz w:val="24"/>
        </w:rPr>
        <w:t>3</w:t>
      </w:r>
      <w:r w:rsidRPr="00F93AC6">
        <w:rPr>
          <w:sz w:val="24"/>
        </w:rPr>
        <w:t>.</w:t>
      </w:r>
    </w:p>
    <w:p w14:paraId="56593020" w14:textId="77777777" w:rsidR="001D2029" w:rsidRPr="00F93AC6" w:rsidRDefault="001D2029" w:rsidP="001D2029">
      <w:pPr>
        <w:jc w:val="both"/>
        <w:rPr>
          <w:sz w:val="24"/>
        </w:rPr>
      </w:pPr>
    </w:p>
    <w:p w14:paraId="36983037" w14:textId="77777777" w:rsidR="001D2029" w:rsidRPr="00F93AC6" w:rsidRDefault="001D2029" w:rsidP="001D2029">
      <w:pPr>
        <w:jc w:val="both"/>
        <w:rPr>
          <w:b/>
        </w:rPr>
      </w:pPr>
      <w:r w:rsidRPr="00F93AC6">
        <w:rPr>
          <w:b/>
        </w:rPr>
        <w:t xml:space="preserve">Tabela </w:t>
      </w:r>
      <w:r w:rsidR="002C565C">
        <w:rPr>
          <w:b/>
        </w:rPr>
        <w:t>3</w:t>
      </w:r>
      <w:r w:rsidRPr="00F93AC6">
        <w:rPr>
          <w:b/>
        </w:rPr>
        <w:t xml:space="preserve"> – Estatística descritiva das variáveis</w:t>
      </w:r>
    </w:p>
    <w:tbl>
      <w:tblPr>
        <w:tblW w:w="9061" w:type="dxa"/>
        <w:tblInd w:w="55" w:type="dxa"/>
        <w:tblBorders>
          <w:top w:val="single" w:sz="12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6"/>
        <w:gridCol w:w="851"/>
        <w:gridCol w:w="850"/>
        <w:gridCol w:w="851"/>
        <w:gridCol w:w="759"/>
        <w:gridCol w:w="897"/>
        <w:gridCol w:w="1437"/>
      </w:tblGrid>
      <w:tr w:rsidR="001D2029" w:rsidRPr="00B5040A" w14:paraId="6EB82216" w14:textId="77777777" w:rsidTr="001D2029">
        <w:trPr>
          <w:trHeight w:val="113"/>
        </w:trPr>
        <w:tc>
          <w:tcPr>
            <w:tcW w:w="3416" w:type="dxa"/>
            <w:tcBorders>
              <w:top w:val="single" w:sz="12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77E79BD" w14:textId="77777777" w:rsidR="001D2029" w:rsidRPr="00F93AC6" w:rsidRDefault="001D2029" w:rsidP="001D2029">
            <w:pPr>
              <w:jc w:val="center"/>
              <w:rPr>
                <w:b/>
                <w:color w:val="000000"/>
              </w:rPr>
            </w:pPr>
            <w:r w:rsidRPr="00F93AC6">
              <w:rPr>
                <w:b/>
                <w:color w:val="000000"/>
              </w:rPr>
              <w:t> Variáveis</w:t>
            </w:r>
          </w:p>
        </w:tc>
        <w:tc>
          <w:tcPr>
            <w:tcW w:w="851" w:type="dxa"/>
            <w:tcBorders>
              <w:top w:val="single" w:sz="12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A10ED47" w14:textId="77777777" w:rsidR="001D2029" w:rsidRPr="00F93AC6" w:rsidRDefault="001D2029" w:rsidP="001D2029">
            <w:pPr>
              <w:jc w:val="center"/>
              <w:rPr>
                <w:b/>
                <w:color w:val="000000"/>
              </w:rPr>
            </w:pPr>
            <w:r w:rsidRPr="00F93AC6">
              <w:rPr>
                <w:b/>
                <w:color w:val="000000"/>
              </w:rPr>
              <w:t>Média</w:t>
            </w:r>
          </w:p>
        </w:tc>
        <w:tc>
          <w:tcPr>
            <w:tcW w:w="850" w:type="dxa"/>
            <w:tcBorders>
              <w:top w:val="single" w:sz="12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66B7751" w14:textId="77777777" w:rsidR="001D2029" w:rsidRPr="00F93AC6" w:rsidRDefault="001D2029" w:rsidP="001D2029">
            <w:pPr>
              <w:jc w:val="center"/>
              <w:rPr>
                <w:b/>
                <w:color w:val="000000"/>
              </w:rPr>
            </w:pPr>
            <w:r w:rsidRPr="00F93AC6">
              <w:rPr>
                <w:b/>
                <w:color w:val="000000"/>
              </w:rPr>
              <w:t>Mínimo</w:t>
            </w:r>
          </w:p>
        </w:tc>
        <w:tc>
          <w:tcPr>
            <w:tcW w:w="851" w:type="dxa"/>
            <w:tcBorders>
              <w:top w:val="single" w:sz="12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3CD0C95" w14:textId="77777777" w:rsidR="001D2029" w:rsidRPr="00F93AC6" w:rsidRDefault="001D2029" w:rsidP="001D2029">
            <w:pPr>
              <w:jc w:val="center"/>
              <w:rPr>
                <w:b/>
                <w:color w:val="000000"/>
              </w:rPr>
            </w:pPr>
            <w:r w:rsidRPr="00F93AC6">
              <w:rPr>
                <w:b/>
                <w:color w:val="000000"/>
              </w:rPr>
              <w:t>Máximo</w:t>
            </w:r>
          </w:p>
        </w:tc>
        <w:tc>
          <w:tcPr>
            <w:tcW w:w="759" w:type="dxa"/>
            <w:tcBorders>
              <w:top w:val="single" w:sz="12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5C6885C5" w14:textId="77777777" w:rsidR="001D2029" w:rsidRPr="00F93AC6" w:rsidRDefault="001D2029" w:rsidP="001D2029">
            <w:pPr>
              <w:jc w:val="center"/>
              <w:rPr>
                <w:b/>
                <w:color w:val="000000"/>
              </w:rPr>
            </w:pPr>
            <w:r w:rsidRPr="00F93AC6">
              <w:rPr>
                <w:b/>
                <w:color w:val="000000"/>
              </w:rPr>
              <w:t>Moda</w:t>
            </w:r>
          </w:p>
        </w:tc>
        <w:tc>
          <w:tcPr>
            <w:tcW w:w="897" w:type="dxa"/>
            <w:tcBorders>
              <w:top w:val="single" w:sz="12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0E0C802" w14:textId="77777777" w:rsidR="001D2029" w:rsidRPr="00F93AC6" w:rsidRDefault="001D2029" w:rsidP="001D2029">
            <w:pPr>
              <w:jc w:val="center"/>
              <w:rPr>
                <w:b/>
                <w:color w:val="000000"/>
              </w:rPr>
            </w:pPr>
            <w:r w:rsidRPr="00F93AC6">
              <w:rPr>
                <w:b/>
                <w:color w:val="000000"/>
              </w:rPr>
              <w:t>Mediana</w:t>
            </w:r>
          </w:p>
        </w:tc>
        <w:tc>
          <w:tcPr>
            <w:tcW w:w="1437" w:type="dxa"/>
            <w:tcBorders>
              <w:top w:val="single" w:sz="12" w:space="0" w:color="00000A"/>
              <w:left w:val="single" w:sz="4" w:space="0" w:color="00000A"/>
              <w:bottom w:val="single" w:sz="8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3A65CEB7" w14:textId="77777777" w:rsidR="001D2029" w:rsidRPr="00F93AC6" w:rsidRDefault="001D2029" w:rsidP="001D2029">
            <w:pPr>
              <w:jc w:val="center"/>
              <w:rPr>
                <w:b/>
                <w:color w:val="000000"/>
              </w:rPr>
            </w:pPr>
            <w:r w:rsidRPr="00F93AC6">
              <w:rPr>
                <w:b/>
                <w:color w:val="000000"/>
              </w:rPr>
              <w:t>Desvio Padrão</w:t>
            </w:r>
          </w:p>
        </w:tc>
      </w:tr>
      <w:tr w:rsidR="001D2029" w:rsidRPr="00B5040A" w14:paraId="17A72CEA" w14:textId="77777777" w:rsidTr="001D2029">
        <w:trPr>
          <w:trHeight w:val="113"/>
        </w:trPr>
        <w:tc>
          <w:tcPr>
            <w:tcW w:w="9061" w:type="dxa"/>
            <w:gridSpan w:val="7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29009D81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Dependente</w:t>
            </w:r>
          </w:p>
        </w:tc>
      </w:tr>
      <w:tr w:rsidR="001D2029" w:rsidRPr="00B5040A" w14:paraId="5DD3BA04" w14:textId="77777777" w:rsidTr="001D2029">
        <w:trPr>
          <w:trHeight w:val="113"/>
        </w:trPr>
        <w:tc>
          <w:tcPr>
            <w:tcW w:w="34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372D8B0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GRI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7EF9CF2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95,74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E64D4E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D490F84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123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6E51431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99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D448273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99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484D7023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14,17</w:t>
            </w:r>
          </w:p>
        </w:tc>
      </w:tr>
      <w:tr w:rsidR="001D2029" w:rsidRPr="00B5040A" w14:paraId="32C39B94" w14:textId="77777777" w:rsidTr="001D2029">
        <w:trPr>
          <w:trHeight w:val="113"/>
        </w:trPr>
        <w:tc>
          <w:tcPr>
            <w:tcW w:w="9061" w:type="dxa"/>
            <w:gridSpan w:val="7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1E941A59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Independentes</w:t>
            </w:r>
          </w:p>
        </w:tc>
      </w:tr>
      <w:tr w:rsidR="001D2029" w:rsidRPr="00B5040A" w14:paraId="1DD2B7AC" w14:textId="77777777" w:rsidTr="001D2029">
        <w:trPr>
          <w:trHeight w:val="113"/>
        </w:trPr>
        <w:tc>
          <w:tcPr>
            <w:tcW w:w="34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5344F0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TAMCON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2C8F70C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6,68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2BA349E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C816025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15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A5267F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5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66B911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6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37AA5D86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2,70</w:t>
            </w:r>
          </w:p>
        </w:tc>
      </w:tr>
      <w:tr w:rsidR="001D2029" w:rsidRPr="00B5040A" w14:paraId="135F32AB" w14:textId="77777777" w:rsidTr="001D2029">
        <w:trPr>
          <w:trHeight w:val="113"/>
        </w:trPr>
        <w:tc>
          <w:tcPr>
            <w:tcW w:w="34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7DCFABB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REUN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38BA915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7,21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FE2599B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9945404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26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A680CF2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4C5848C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6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787AA029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4,05</w:t>
            </w:r>
          </w:p>
        </w:tc>
      </w:tr>
      <w:tr w:rsidR="001D2029" w:rsidRPr="00B5040A" w14:paraId="50EBD6F4" w14:textId="77777777" w:rsidTr="001D2029">
        <w:trPr>
          <w:trHeight w:val="113"/>
        </w:trPr>
        <w:tc>
          <w:tcPr>
            <w:tcW w:w="34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62781A5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lastRenderedPageBreak/>
              <w:t>IND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4A56144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19,25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791751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246229C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100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7AAB568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AFE1EA3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10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41EA3479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23,19</w:t>
            </w:r>
          </w:p>
        </w:tc>
      </w:tr>
      <w:tr w:rsidR="001D2029" w:rsidRPr="00B5040A" w14:paraId="1132FDDD" w14:textId="77777777" w:rsidTr="001D2029">
        <w:trPr>
          <w:trHeight w:val="113"/>
        </w:trPr>
        <w:tc>
          <w:tcPr>
            <w:tcW w:w="34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2A2360C" w14:textId="77777777" w:rsidR="001D2029" w:rsidRPr="00F93AC6" w:rsidRDefault="001D2029" w:rsidP="001D2029">
            <w:pPr>
              <w:jc w:val="center"/>
              <w:rPr>
                <w:color w:val="000000"/>
                <w:sz w:val="18"/>
              </w:rPr>
            </w:pPr>
            <w:r w:rsidRPr="00F93AC6">
              <w:rPr>
                <w:color w:val="000000"/>
                <w:sz w:val="18"/>
              </w:rPr>
              <w:t>DUA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40010F3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0,13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19702A9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94DE9B6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D0B9634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08E0D61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34A3F677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0,34</w:t>
            </w:r>
          </w:p>
        </w:tc>
      </w:tr>
      <w:tr w:rsidR="001D2029" w:rsidRPr="00B5040A" w14:paraId="4A917999" w14:textId="77777777" w:rsidTr="001D2029">
        <w:trPr>
          <w:trHeight w:val="113"/>
        </w:trPr>
        <w:tc>
          <w:tcPr>
            <w:tcW w:w="34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C41B776" w14:textId="77777777" w:rsidR="001D2029" w:rsidRPr="00F93AC6" w:rsidRDefault="001D2029" w:rsidP="001D2029">
            <w:pPr>
              <w:jc w:val="center"/>
              <w:rPr>
                <w:i/>
                <w:color w:val="000000"/>
              </w:rPr>
            </w:pPr>
            <w:r w:rsidRPr="00F93AC6">
              <w:rPr>
                <w:i/>
                <w:color w:val="000000"/>
              </w:rPr>
              <w:t>BI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0282234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6,84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0EB4F3F1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EFF303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31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2EEA0C72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3EC300D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4,95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76FC5D3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0,39</w:t>
            </w:r>
          </w:p>
        </w:tc>
      </w:tr>
      <w:tr w:rsidR="001D2029" w:rsidRPr="00B5040A" w14:paraId="01194290" w14:textId="77777777" w:rsidTr="001D2029">
        <w:trPr>
          <w:trHeight w:val="113"/>
        </w:trPr>
        <w:tc>
          <w:tcPr>
            <w:tcW w:w="9061" w:type="dxa"/>
            <w:gridSpan w:val="7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49F2C26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Controle</w:t>
            </w:r>
          </w:p>
        </w:tc>
      </w:tr>
      <w:tr w:rsidR="001D2029" w:rsidRPr="00B5040A" w14:paraId="58F937FF" w14:textId="77777777" w:rsidTr="001D2029">
        <w:trPr>
          <w:trHeight w:val="113"/>
        </w:trPr>
        <w:tc>
          <w:tcPr>
            <w:tcW w:w="3416" w:type="dxa"/>
            <w:tcBorders>
              <w:top w:val="single" w:sz="4" w:space="0" w:color="00000A"/>
              <w:left w:val="nil"/>
              <w:bottom w:val="single" w:sz="4" w:space="0" w:color="auto"/>
              <w:right w:val="single" w:sz="4" w:space="0" w:color="00000A"/>
            </w:tcBorders>
            <w:shd w:val="clear" w:color="auto" w:fill="auto"/>
            <w:vAlign w:val="bottom"/>
          </w:tcPr>
          <w:p w14:paraId="411B50ED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TAM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FFC59EE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9,07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1F12EFDB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3,69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348869B8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11,83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04C846B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9,39</w:t>
            </w:r>
          </w:p>
        </w:tc>
        <w:tc>
          <w:tcPr>
            <w:tcW w:w="89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4280EF23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9,39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6762EBB4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1,33</w:t>
            </w:r>
          </w:p>
        </w:tc>
      </w:tr>
      <w:tr w:rsidR="001D2029" w:rsidRPr="00B5040A" w14:paraId="1D9C3930" w14:textId="77777777" w:rsidTr="001D2029">
        <w:trPr>
          <w:trHeight w:val="113"/>
        </w:trPr>
        <w:tc>
          <w:tcPr>
            <w:tcW w:w="3416" w:type="dxa"/>
            <w:tcBorders>
              <w:top w:val="single" w:sz="4" w:space="0" w:color="auto"/>
              <w:bottom w:val="single" w:sz="12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BE62925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BIG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7C565C7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ADE6E83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2429518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7F5E9D25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bottom"/>
          </w:tcPr>
          <w:p w14:paraId="6BBF9624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14:paraId="2FEFCD1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F93AC6">
              <w:rPr>
                <w:color w:val="000000"/>
              </w:rPr>
              <w:t>0,37</w:t>
            </w:r>
          </w:p>
        </w:tc>
      </w:tr>
    </w:tbl>
    <w:p w14:paraId="0D4A98A5" w14:textId="77777777" w:rsidR="001D2029" w:rsidRPr="00B5040A" w:rsidRDefault="001D2029" w:rsidP="001D2029">
      <w:r w:rsidRPr="00B5040A">
        <w:t xml:space="preserve">GRI: Divulgação da Sustentabilidade; TAMCOM: Tamanho do Conselho de Administração; REUN: Número de reuniões anuais do CA; IND: Independência do CA; DUA: Dualidade do Cargo de CEO e Presidente do CA; BI: Número de laços do </w:t>
      </w:r>
      <w:proofErr w:type="spellStart"/>
      <w:r w:rsidRPr="00B5040A">
        <w:t>Board</w:t>
      </w:r>
      <w:proofErr w:type="spellEnd"/>
      <w:r w:rsidRPr="00B5040A">
        <w:t xml:space="preserve"> </w:t>
      </w:r>
      <w:proofErr w:type="spellStart"/>
      <w:r w:rsidRPr="00B5040A">
        <w:t>Interlocking</w:t>
      </w:r>
      <w:proofErr w:type="spellEnd"/>
      <w:r w:rsidRPr="00B5040A">
        <w:t xml:space="preserve">; TAM: Tamanho da Empresa; BIG: Auditada por </w:t>
      </w:r>
      <w:proofErr w:type="gramStart"/>
      <w:r w:rsidRPr="00B5040A">
        <w:t>uma Big Four</w:t>
      </w:r>
      <w:proofErr w:type="gramEnd"/>
      <w:r w:rsidRPr="00B5040A">
        <w:t>.</w:t>
      </w:r>
    </w:p>
    <w:p w14:paraId="01CE99E2" w14:textId="77777777" w:rsidR="001D2029" w:rsidRPr="00F93AC6" w:rsidRDefault="001D2029" w:rsidP="001D2029">
      <w:pPr>
        <w:jc w:val="both"/>
      </w:pPr>
      <w:r w:rsidRPr="00F93AC6">
        <w:t>Fonte: Dados da pesquisa.</w:t>
      </w:r>
    </w:p>
    <w:p w14:paraId="6DF21F75" w14:textId="77777777" w:rsidR="001D2029" w:rsidRPr="00F93AC6" w:rsidRDefault="001D2029" w:rsidP="001D2029">
      <w:pPr>
        <w:jc w:val="both"/>
        <w:rPr>
          <w:sz w:val="24"/>
        </w:rPr>
      </w:pPr>
    </w:p>
    <w:p w14:paraId="7CADB9B9" w14:textId="77777777" w:rsidR="001D2029" w:rsidRPr="00F93AC6" w:rsidRDefault="001D2029" w:rsidP="001D2029">
      <w:pPr>
        <w:jc w:val="both"/>
        <w:rPr>
          <w:color w:val="000000"/>
          <w:sz w:val="24"/>
        </w:rPr>
      </w:pPr>
      <w:r w:rsidRPr="00F93AC6">
        <w:rPr>
          <w:sz w:val="24"/>
        </w:rPr>
        <w:tab/>
      </w:r>
      <w:r w:rsidRPr="00F93AC6">
        <w:rPr>
          <w:color w:val="000000"/>
          <w:sz w:val="24"/>
        </w:rPr>
        <w:t xml:space="preserve">Os resultados expostos na Tabela </w:t>
      </w:r>
      <w:r w:rsidR="002C565C">
        <w:rPr>
          <w:color w:val="000000"/>
          <w:sz w:val="24"/>
        </w:rPr>
        <w:t>3</w:t>
      </w:r>
      <w:r w:rsidRPr="00F93AC6">
        <w:rPr>
          <w:color w:val="000000"/>
          <w:sz w:val="24"/>
        </w:rPr>
        <w:t>, relacionados à variável dependente GRI</w:t>
      </w:r>
      <w:r w:rsidRPr="00F93AC6">
        <w:rPr>
          <w:i/>
          <w:color w:val="000000"/>
          <w:sz w:val="24"/>
        </w:rPr>
        <w:t xml:space="preserve">, </w:t>
      </w:r>
      <w:r w:rsidRPr="00F93AC6">
        <w:rPr>
          <w:color w:val="000000"/>
          <w:sz w:val="24"/>
        </w:rPr>
        <w:t xml:space="preserve">indicam um valor médio de 95,74 pontos na evidenciação da sustentabilidade das empresas da amostra, com mínimo de 50 e máximo de 123 (pontuação máxima que uma empresa poderia atingir). Assim, considerando a média, combinada com a moda e mediana de 99, pode-se inferir que as empresas pesquisadas apresentam um resultado satisfatório quanto à quantidade de informações evidenciadas nos relatórios de sustentabilidade. Este resultado confirma o encontrado por </w:t>
      </w:r>
      <w:proofErr w:type="spellStart"/>
      <w:r w:rsidRPr="00F93AC6">
        <w:rPr>
          <w:color w:val="000000"/>
          <w:sz w:val="24"/>
        </w:rPr>
        <w:t>Larrinaga</w:t>
      </w:r>
      <w:proofErr w:type="spellEnd"/>
      <w:r w:rsidRPr="00F93AC6">
        <w:rPr>
          <w:color w:val="000000"/>
          <w:sz w:val="24"/>
        </w:rPr>
        <w:t xml:space="preserve"> </w:t>
      </w:r>
      <w:proofErr w:type="gramStart"/>
      <w:r w:rsidRPr="00F93AC6">
        <w:rPr>
          <w:color w:val="000000"/>
          <w:sz w:val="24"/>
        </w:rPr>
        <w:t>et</w:t>
      </w:r>
      <w:proofErr w:type="gramEnd"/>
      <w:r w:rsidRPr="00F93AC6">
        <w:rPr>
          <w:color w:val="000000"/>
          <w:sz w:val="24"/>
        </w:rPr>
        <w:t xml:space="preserve"> al. (2002) e </w:t>
      </w:r>
      <w:proofErr w:type="spellStart"/>
      <w:r w:rsidRPr="00F93AC6">
        <w:rPr>
          <w:color w:val="000000"/>
          <w:sz w:val="24"/>
        </w:rPr>
        <w:t>Kolk</w:t>
      </w:r>
      <w:proofErr w:type="spellEnd"/>
      <w:r w:rsidRPr="00F93AC6">
        <w:rPr>
          <w:color w:val="000000"/>
          <w:sz w:val="24"/>
        </w:rPr>
        <w:t xml:space="preserve"> (2008), que apontam a implantação de relatórios de sustentabilidade como uma importante ferramenta para a organização exteriorizar suas condições perante a terceiros.</w:t>
      </w:r>
    </w:p>
    <w:p w14:paraId="2FBAE678" w14:textId="77777777" w:rsidR="001D2029" w:rsidRPr="00F93AC6" w:rsidRDefault="001D2029" w:rsidP="002C565C">
      <w:pPr>
        <w:jc w:val="both"/>
        <w:rPr>
          <w:color w:val="000000"/>
          <w:sz w:val="24"/>
        </w:rPr>
      </w:pPr>
      <w:r w:rsidRPr="00F93AC6">
        <w:rPr>
          <w:color w:val="000000"/>
          <w:sz w:val="24"/>
        </w:rPr>
        <w:tab/>
        <w:t xml:space="preserve">Para a variável independente Tamanho do CA, observa-se que o valor mínimo foi 2, ou seja, existe ao menos uma empresa com apenas 2 conselheiros, enquanto o número máximo foi de 15, resultando em uma média de 6,68, com moda de 5 e mediana de 6. Ressalta-se, com isso, que o número de conselheiros pode ser considerado baixo nas empresas da amostra, haja vista que estão próximos da quantidade mínima indicada pelo IBGC (2012), de 5 conselheiros. </w:t>
      </w:r>
    </w:p>
    <w:p w14:paraId="3028519A" w14:textId="77777777" w:rsidR="001D2029" w:rsidRPr="00F93AC6" w:rsidRDefault="001D2029" w:rsidP="002C565C">
      <w:pPr>
        <w:jc w:val="both"/>
        <w:rPr>
          <w:color w:val="000000"/>
          <w:sz w:val="24"/>
        </w:rPr>
      </w:pPr>
      <w:r w:rsidRPr="00F93AC6">
        <w:rPr>
          <w:color w:val="000000"/>
          <w:sz w:val="24"/>
        </w:rPr>
        <w:tab/>
        <w:t xml:space="preserve">O resultado da variável Reunião do CA, que indica o número de reuniões nos últimos 12 meses, demonstrou a existência de empresas que realizaram apenas duas reuniões anuais. A média de reuniões das empresas foi ligeiramente superior a 7, ou seja, praticamente uma a cada dois meses. Ressalta-se que o resultado da mediana indica que metade das empresas realizou menos de 6 reuniões ao ano. Destaca-se que a frequência de reuniões é de fundamental importância para a propensão de compartilhamento de experiências e conhecimento e, em consequência, maior divulgação das ações realizadas pelas empresas, conforme preconizam </w:t>
      </w:r>
      <w:proofErr w:type="spellStart"/>
      <w:r w:rsidRPr="00F93AC6">
        <w:rPr>
          <w:color w:val="000000"/>
          <w:sz w:val="24"/>
        </w:rPr>
        <w:t>Haunschild</w:t>
      </w:r>
      <w:proofErr w:type="spellEnd"/>
      <w:r w:rsidRPr="00F93AC6">
        <w:rPr>
          <w:color w:val="000000"/>
          <w:sz w:val="24"/>
        </w:rPr>
        <w:t xml:space="preserve"> (1993), </w:t>
      </w:r>
      <w:proofErr w:type="spellStart"/>
      <w:r w:rsidRPr="00F93AC6">
        <w:rPr>
          <w:color w:val="000000"/>
          <w:sz w:val="24"/>
        </w:rPr>
        <w:t>Carpentel</w:t>
      </w:r>
      <w:proofErr w:type="spellEnd"/>
      <w:r w:rsidRPr="00F93AC6">
        <w:rPr>
          <w:color w:val="000000"/>
          <w:sz w:val="24"/>
        </w:rPr>
        <w:t xml:space="preserve"> e </w:t>
      </w:r>
      <w:proofErr w:type="spellStart"/>
      <w:r w:rsidRPr="00F93AC6">
        <w:rPr>
          <w:color w:val="000000"/>
          <w:sz w:val="24"/>
        </w:rPr>
        <w:t>Westphal</w:t>
      </w:r>
      <w:proofErr w:type="spellEnd"/>
      <w:r w:rsidRPr="00F93AC6">
        <w:rPr>
          <w:color w:val="000000"/>
          <w:sz w:val="24"/>
        </w:rPr>
        <w:t xml:space="preserve"> (2001) e </w:t>
      </w:r>
      <w:proofErr w:type="spellStart"/>
      <w:r w:rsidRPr="00F93AC6">
        <w:rPr>
          <w:color w:val="000000"/>
          <w:sz w:val="24"/>
        </w:rPr>
        <w:t>Bouwman</w:t>
      </w:r>
      <w:proofErr w:type="spellEnd"/>
      <w:r w:rsidRPr="00F93AC6">
        <w:rPr>
          <w:color w:val="000000"/>
          <w:sz w:val="24"/>
        </w:rPr>
        <w:t xml:space="preserve"> (2011).</w:t>
      </w:r>
    </w:p>
    <w:p w14:paraId="15CF49C7" w14:textId="77777777" w:rsidR="001D2029" w:rsidRPr="00F93AC6" w:rsidRDefault="001D2029" w:rsidP="001D2029">
      <w:pPr>
        <w:ind w:firstLine="709"/>
        <w:jc w:val="both"/>
        <w:rPr>
          <w:color w:val="000000"/>
          <w:sz w:val="24"/>
        </w:rPr>
      </w:pPr>
      <w:r w:rsidRPr="00F93AC6">
        <w:rPr>
          <w:color w:val="000000"/>
          <w:sz w:val="24"/>
        </w:rPr>
        <w:t xml:space="preserve">A variável Independência do CA apresentou média de apenas 19,25%. Ainda que existam empresas com todos os membros independentes no CA, o resultado geral da amostra pode ser considerado baixo. Salienta-se ainda que a moda </w:t>
      </w:r>
      <w:proofErr w:type="gramStart"/>
      <w:r w:rsidRPr="00F93AC6">
        <w:rPr>
          <w:color w:val="000000"/>
          <w:sz w:val="24"/>
        </w:rPr>
        <w:t>é</w:t>
      </w:r>
      <w:proofErr w:type="gramEnd"/>
      <w:r w:rsidRPr="00F93AC6">
        <w:rPr>
          <w:color w:val="000000"/>
          <w:sz w:val="24"/>
        </w:rPr>
        <w:t xml:space="preserve"> 0 e a mediana indica que metade das empresas possui independência do CA abaixo dos 10%. Quanto à variável de Dualidade do cargo de CEO e Presidente do CA, os resultados indicam que em apenas 13% das empresas da amostra esta situação é verificada.</w:t>
      </w:r>
    </w:p>
    <w:p w14:paraId="4C4E200C" w14:textId="77777777" w:rsidR="001D2029" w:rsidRPr="00F93AC6" w:rsidRDefault="001D2029" w:rsidP="001D2029">
      <w:pPr>
        <w:ind w:firstLine="709"/>
        <w:jc w:val="both"/>
        <w:rPr>
          <w:color w:val="000000"/>
          <w:sz w:val="24"/>
        </w:rPr>
      </w:pPr>
      <w:r w:rsidRPr="00F93AC6">
        <w:rPr>
          <w:color w:val="000000"/>
          <w:sz w:val="24"/>
        </w:rPr>
        <w:t xml:space="preserve">Pela Tabela </w:t>
      </w:r>
      <w:r w:rsidR="002C565C">
        <w:rPr>
          <w:color w:val="000000"/>
          <w:sz w:val="24"/>
        </w:rPr>
        <w:t>3</w:t>
      </w:r>
      <w:r w:rsidRPr="00F93AC6">
        <w:rPr>
          <w:color w:val="000000"/>
          <w:sz w:val="24"/>
        </w:rPr>
        <w:t>, constata-se ainda que 72% das empresas praticavam o BI</w:t>
      </w:r>
      <w:r w:rsidRPr="00F93AC6">
        <w:rPr>
          <w:i/>
          <w:color w:val="000000"/>
          <w:sz w:val="24"/>
        </w:rPr>
        <w:t xml:space="preserve"> </w:t>
      </w:r>
      <w:r w:rsidRPr="00F93AC6">
        <w:rPr>
          <w:color w:val="000000"/>
          <w:sz w:val="24"/>
        </w:rPr>
        <w:t xml:space="preserve">no momento da divulgação do relatório de sustentabilidade, com uma média de 6,84 laços. Conforme preconiza </w:t>
      </w:r>
      <w:proofErr w:type="spellStart"/>
      <w:r w:rsidRPr="00F93AC6">
        <w:rPr>
          <w:color w:val="000000"/>
          <w:sz w:val="24"/>
        </w:rPr>
        <w:t>Dooley</w:t>
      </w:r>
      <w:proofErr w:type="spellEnd"/>
      <w:r w:rsidRPr="00F93AC6">
        <w:rPr>
          <w:color w:val="000000"/>
          <w:sz w:val="24"/>
        </w:rPr>
        <w:t xml:space="preserve"> (1969), a ocorrência do BI pode ser um fator preponderante quanto à divulgação da sustentabilidade, haja vista que uma maior evidenciação das informações da empresa servirá para reconhecer as ações realizadas pelos gestores. </w:t>
      </w:r>
    </w:p>
    <w:p w14:paraId="6C305482" w14:textId="46195AF2" w:rsidR="001D2029" w:rsidRPr="00F93AC6" w:rsidRDefault="001D2029" w:rsidP="001D2029">
      <w:pPr>
        <w:ind w:firstLine="709"/>
        <w:jc w:val="both"/>
        <w:rPr>
          <w:color w:val="000000"/>
          <w:sz w:val="24"/>
        </w:rPr>
      </w:pPr>
      <w:r w:rsidRPr="00F93AC6">
        <w:rPr>
          <w:color w:val="000000"/>
          <w:sz w:val="24"/>
        </w:rPr>
        <w:t xml:space="preserve">Quanto à variável de controle Firma de Auditoria </w:t>
      </w:r>
      <w:r w:rsidRPr="00F93AC6">
        <w:rPr>
          <w:i/>
          <w:color w:val="000000"/>
          <w:sz w:val="24"/>
        </w:rPr>
        <w:t>Big</w:t>
      </w:r>
      <w:r w:rsidR="004F0CDE">
        <w:rPr>
          <w:i/>
          <w:color w:val="000000"/>
          <w:sz w:val="24"/>
        </w:rPr>
        <w:t xml:space="preserve"> </w:t>
      </w:r>
      <w:r w:rsidRPr="00F93AC6">
        <w:rPr>
          <w:i/>
          <w:color w:val="000000"/>
          <w:sz w:val="24"/>
        </w:rPr>
        <w:t>Four</w:t>
      </w:r>
      <w:r w:rsidRPr="00F93AC6">
        <w:rPr>
          <w:color w:val="000000"/>
          <w:sz w:val="24"/>
        </w:rPr>
        <w:t xml:space="preserve">, constatou-se que quase 85% das empresas eram auditadas por uma grande firma de auditoria, denominada </w:t>
      </w:r>
      <w:proofErr w:type="spellStart"/>
      <w:r w:rsidRPr="00F93AC6">
        <w:rPr>
          <w:i/>
          <w:color w:val="000000"/>
          <w:sz w:val="24"/>
        </w:rPr>
        <w:t>bigfour</w:t>
      </w:r>
      <w:proofErr w:type="spellEnd"/>
      <w:r w:rsidRPr="00F93AC6">
        <w:rPr>
          <w:i/>
          <w:color w:val="000000"/>
          <w:sz w:val="24"/>
        </w:rPr>
        <w:t>.</w:t>
      </w:r>
      <w:r w:rsidRPr="00B5040A">
        <w:rPr>
          <w:i/>
          <w:color w:val="000000"/>
          <w:sz w:val="24"/>
        </w:rPr>
        <w:t xml:space="preserve"> </w:t>
      </w:r>
      <w:r w:rsidRPr="00B5040A">
        <w:rPr>
          <w:color w:val="000000"/>
          <w:sz w:val="24"/>
        </w:rPr>
        <w:t xml:space="preserve">Quanto à </w:t>
      </w:r>
      <w:proofErr w:type="gramStart"/>
      <w:r w:rsidRPr="00B5040A">
        <w:rPr>
          <w:color w:val="000000"/>
          <w:sz w:val="24"/>
        </w:rPr>
        <w:t>variável tamanho</w:t>
      </w:r>
      <w:proofErr w:type="gramEnd"/>
      <w:r w:rsidRPr="00B5040A">
        <w:rPr>
          <w:color w:val="000000"/>
          <w:sz w:val="24"/>
        </w:rPr>
        <w:t xml:space="preserve">, observa-se pela estatística descritiva que há certa homogeneidade </w:t>
      </w:r>
      <w:r w:rsidRPr="00B5040A">
        <w:rPr>
          <w:color w:val="000000"/>
          <w:sz w:val="24"/>
        </w:rPr>
        <w:lastRenderedPageBreak/>
        <w:t>nas empresas da amostra, esta situação pode ser decorrente do fato de que a amostra tem grande participação de setores específicos, tais como energia elétrica e indústrias de bens de consumo.</w:t>
      </w:r>
      <w:r w:rsidRPr="00F93AC6">
        <w:rPr>
          <w:color w:val="000000"/>
          <w:sz w:val="24"/>
        </w:rPr>
        <w:t xml:space="preserve"> </w:t>
      </w:r>
    </w:p>
    <w:p w14:paraId="1526EB80" w14:textId="77777777" w:rsidR="001D2029" w:rsidRPr="00F93AC6" w:rsidRDefault="001D2029" w:rsidP="001D2029">
      <w:pPr>
        <w:jc w:val="both"/>
        <w:rPr>
          <w:sz w:val="24"/>
        </w:rPr>
      </w:pPr>
    </w:p>
    <w:p w14:paraId="1125531D" w14:textId="77777777" w:rsidR="001D2029" w:rsidRPr="00F93AC6" w:rsidRDefault="001D2029" w:rsidP="001D2029">
      <w:pPr>
        <w:jc w:val="both"/>
        <w:rPr>
          <w:b/>
          <w:sz w:val="24"/>
        </w:rPr>
      </w:pPr>
      <w:proofErr w:type="gramStart"/>
      <w:r w:rsidRPr="00F93AC6">
        <w:rPr>
          <w:b/>
          <w:sz w:val="24"/>
        </w:rPr>
        <w:t>4.2 Análise</w:t>
      </w:r>
      <w:proofErr w:type="gramEnd"/>
      <w:r w:rsidRPr="00F93AC6">
        <w:rPr>
          <w:b/>
          <w:sz w:val="24"/>
        </w:rPr>
        <w:t xml:space="preserve"> multivariada</w:t>
      </w:r>
    </w:p>
    <w:p w14:paraId="5FF22932" w14:textId="77777777" w:rsidR="001D2029" w:rsidRPr="00F93AC6" w:rsidRDefault="001D2029" w:rsidP="001D2029">
      <w:pPr>
        <w:ind w:firstLine="708"/>
        <w:jc w:val="both"/>
        <w:rPr>
          <w:sz w:val="24"/>
        </w:rPr>
      </w:pPr>
      <w:r w:rsidRPr="00F93AC6">
        <w:rPr>
          <w:sz w:val="24"/>
        </w:rPr>
        <w:t xml:space="preserve">Para aceitar ou refutar as hipóteses da pesquisa, são apresentados os resultados quanto à relação entre a divulgação de itens do GRI e as características do CA, por intermédio da regressão linear múltipla. </w:t>
      </w:r>
    </w:p>
    <w:p w14:paraId="68233CB4" w14:textId="77777777" w:rsidR="001D2029" w:rsidRDefault="001D2029" w:rsidP="001D2029">
      <w:pPr>
        <w:ind w:firstLine="708"/>
        <w:jc w:val="both"/>
        <w:rPr>
          <w:color w:val="000000"/>
          <w:sz w:val="24"/>
        </w:rPr>
      </w:pPr>
      <w:r w:rsidRPr="00F93AC6">
        <w:rPr>
          <w:sz w:val="24"/>
        </w:rPr>
        <w:t xml:space="preserve">Por meio do teste de </w:t>
      </w:r>
      <w:proofErr w:type="spellStart"/>
      <w:r w:rsidRPr="00F93AC6">
        <w:rPr>
          <w:sz w:val="24"/>
        </w:rPr>
        <w:t>Durbin</w:t>
      </w:r>
      <w:proofErr w:type="spellEnd"/>
      <w:r w:rsidRPr="00F93AC6">
        <w:rPr>
          <w:sz w:val="24"/>
        </w:rPr>
        <w:t xml:space="preserve">-Watson, identificou-se que as variáveis do estudo apresentaram índices dentro dos parâmetros aceitáveis, não demonstrando, portanto, </w:t>
      </w:r>
      <w:proofErr w:type="spellStart"/>
      <w:r w:rsidRPr="00F93AC6">
        <w:rPr>
          <w:sz w:val="24"/>
        </w:rPr>
        <w:t>autocorrelação</w:t>
      </w:r>
      <w:proofErr w:type="spellEnd"/>
      <w:r w:rsidRPr="00F93AC6">
        <w:rPr>
          <w:sz w:val="24"/>
        </w:rPr>
        <w:t xml:space="preserve"> entre os resíduos. Pelo teste </w:t>
      </w:r>
      <w:proofErr w:type="spellStart"/>
      <w:r w:rsidRPr="00F93AC6">
        <w:rPr>
          <w:i/>
          <w:sz w:val="24"/>
        </w:rPr>
        <w:t>Variance</w:t>
      </w:r>
      <w:proofErr w:type="spellEnd"/>
      <w:r w:rsidRPr="00F93AC6">
        <w:rPr>
          <w:i/>
          <w:sz w:val="24"/>
        </w:rPr>
        <w:t xml:space="preserve"> </w:t>
      </w:r>
      <w:proofErr w:type="spellStart"/>
      <w:r w:rsidRPr="00F93AC6">
        <w:rPr>
          <w:i/>
          <w:sz w:val="24"/>
        </w:rPr>
        <w:t>Inflation</w:t>
      </w:r>
      <w:proofErr w:type="spellEnd"/>
      <w:r w:rsidRPr="00F93AC6">
        <w:rPr>
          <w:i/>
          <w:sz w:val="24"/>
        </w:rPr>
        <w:t xml:space="preserve"> </w:t>
      </w:r>
      <w:proofErr w:type="spellStart"/>
      <w:r w:rsidRPr="00F93AC6">
        <w:rPr>
          <w:i/>
          <w:sz w:val="24"/>
        </w:rPr>
        <w:t>Factor</w:t>
      </w:r>
      <w:proofErr w:type="spellEnd"/>
      <w:r w:rsidRPr="00F93AC6">
        <w:rPr>
          <w:sz w:val="24"/>
        </w:rPr>
        <w:t xml:space="preserve"> (VIF) verificou-se que há </w:t>
      </w:r>
      <w:proofErr w:type="spellStart"/>
      <w:r w:rsidRPr="00F93AC6">
        <w:rPr>
          <w:sz w:val="24"/>
        </w:rPr>
        <w:t>multicolinearidade</w:t>
      </w:r>
      <w:proofErr w:type="spellEnd"/>
      <w:r w:rsidRPr="00F93AC6">
        <w:rPr>
          <w:sz w:val="24"/>
        </w:rPr>
        <w:t xml:space="preserve"> aceitável, conforme apontam </w:t>
      </w:r>
      <w:proofErr w:type="spellStart"/>
      <w:r w:rsidRPr="00F93AC6">
        <w:rPr>
          <w:sz w:val="24"/>
        </w:rPr>
        <w:t>Hair</w:t>
      </w:r>
      <w:proofErr w:type="spellEnd"/>
      <w:r w:rsidRPr="00F93AC6">
        <w:rPr>
          <w:sz w:val="24"/>
        </w:rPr>
        <w:t xml:space="preserve"> </w:t>
      </w:r>
      <w:proofErr w:type="gramStart"/>
      <w:r w:rsidRPr="00F93AC6">
        <w:rPr>
          <w:sz w:val="24"/>
        </w:rPr>
        <w:t>et</w:t>
      </w:r>
      <w:proofErr w:type="gramEnd"/>
      <w:r w:rsidRPr="00F93AC6">
        <w:rPr>
          <w:sz w:val="24"/>
        </w:rPr>
        <w:t xml:space="preserve"> al. (2009), pois o resultado encontra-se entre 1 e 10. </w:t>
      </w:r>
      <w:r w:rsidRPr="00B5040A">
        <w:rPr>
          <w:sz w:val="24"/>
        </w:rPr>
        <w:t xml:space="preserve">Nos dados também foi verificada ausência de </w:t>
      </w:r>
      <w:proofErr w:type="spellStart"/>
      <w:r w:rsidRPr="00B5040A">
        <w:rPr>
          <w:sz w:val="24"/>
        </w:rPr>
        <w:t>heterocedasticidade</w:t>
      </w:r>
      <w:proofErr w:type="spellEnd"/>
      <w:r w:rsidRPr="00B5040A">
        <w:rPr>
          <w:sz w:val="24"/>
        </w:rPr>
        <w:t xml:space="preserve">, não sendo necessário realizar correções. </w:t>
      </w:r>
      <w:r w:rsidRPr="00F93AC6">
        <w:rPr>
          <w:sz w:val="24"/>
        </w:rPr>
        <w:t>Quanto à normalidade, julga-se sua existência para a amostra utilizada, visto o pressuposto de normalidade para amostras acima de 100 observações, conforme descrita no Teorema do Limite Central (TLC) (</w:t>
      </w:r>
      <w:proofErr w:type="spellStart"/>
      <w:r w:rsidRPr="00F93AC6">
        <w:rPr>
          <w:sz w:val="24"/>
        </w:rPr>
        <w:t>G</w:t>
      </w:r>
      <w:r w:rsidR="00263031">
        <w:rPr>
          <w:sz w:val="24"/>
        </w:rPr>
        <w:t>ujarati</w:t>
      </w:r>
      <w:proofErr w:type="spellEnd"/>
      <w:r w:rsidRPr="00F93AC6">
        <w:rPr>
          <w:sz w:val="24"/>
        </w:rPr>
        <w:t xml:space="preserve">, 2006). </w:t>
      </w:r>
      <w:r w:rsidRPr="00F93AC6">
        <w:rPr>
          <w:color w:val="000000"/>
          <w:sz w:val="24"/>
        </w:rPr>
        <w:t xml:space="preserve">Assim, a Tabela </w:t>
      </w:r>
      <w:r w:rsidR="002C565C">
        <w:rPr>
          <w:color w:val="000000"/>
          <w:sz w:val="24"/>
        </w:rPr>
        <w:t>4</w:t>
      </w:r>
      <w:r w:rsidRPr="00F93AC6">
        <w:rPr>
          <w:color w:val="000000"/>
          <w:sz w:val="24"/>
        </w:rPr>
        <w:t xml:space="preserve"> apresenta o resultado da estatística multivariada.</w:t>
      </w:r>
    </w:p>
    <w:p w14:paraId="2ADCA18E" w14:textId="77777777" w:rsidR="001D2029" w:rsidRPr="00F93AC6" w:rsidRDefault="001D2029" w:rsidP="001D2029">
      <w:pPr>
        <w:ind w:firstLine="708"/>
        <w:jc w:val="both"/>
        <w:rPr>
          <w:sz w:val="24"/>
        </w:rPr>
      </w:pPr>
    </w:p>
    <w:p w14:paraId="6D2E8818" w14:textId="77777777" w:rsidR="001D2029" w:rsidRPr="00F93AC6" w:rsidRDefault="001D2029" w:rsidP="001D2029">
      <w:pPr>
        <w:jc w:val="both"/>
        <w:rPr>
          <w:b/>
          <w:color w:val="000000"/>
        </w:rPr>
      </w:pPr>
      <w:r w:rsidRPr="00F93AC6">
        <w:rPr>
          <w:b/>
          <w:color w:val="000000"/>
        </w:rPr>
        <w:t xml:space="preserve">Tabela </w:t>
      </w:r>
      <w:r w:rsidR="002C565C">
        <w:rPr>
          <w:b/>
          <w:color w:val="000000"/>
        </w:rPr>
        <w:t>4</w:t>
      </w:r>
      <w:r w:rsidRPr="00F93AC6">
        <w:rPr>
          <w:b/>
          <w:color w:val="000000"/>
        </w:rPr>
        <w:t xml:space="preserve"> – Estatística Multivariada</w:t>
      </w:r>
    </w:p>
    <w:tbl>
      <w:tblPr>
        <w:tblW w:w="888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0"/>
        <w:gridCol w:w="943"/>
        <w:gridCol w:w="1831"/>
        <w:gridCol w:w="1865"/>
        <w:gridCol w:w="1553"/>
      </w:tblGrid>
      <w:tr w:rsidR="001D2029" w:rsidRPr="00B5040A" w14:paraId="771F36A4" w14:textId="77777777" w:rsidTr="001D2029">
        <w:trPr>
          <w:trHeight w:val="20"/>
        </w:trPr>
        <w:tc>
          <w:tcPr>
            <w:tcW w:w="15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3CF" w14:textId="77777777" w:rsidR="001D2029" w:rsidRPr="00B5040A" w:rsidRDefault="001D2029" w:rsidP="001D2029">
            <w:pPr>
              <w:jc w:val="center"/>
              <w:rPr>
                <w:b/>
                <w:color w:val="000000"/>
              </w:rPr>
            </w:pPr>
            <w:r w:rsidRPr="00B5040A">
              <w:rPr>
                <w:b/>
                <w:color w:val="000000"/>
              </w:rPr>
              <w:t>Variáveis</w:t>
            </w:r>
          </w:p>
        </w:tc>
        <w:tc>
          <w:tcPr>
            <w:tcW w:w="53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2609" w14:textId="77777777" w:rsidR="001D2029" w:rsidRPr="00B5040A" w:rsidRDefault="001D2029" w:rsidP="001D2029">
            <w:pPr>
              <w:jc w:val="center"/>
              <w:rPr>
                <w:b/>
                <w:color w:val="000000"/>
              </w:rPr>
            </w:pPr>
            <w:r w:rsidRPr="00B5040A">
              <w:rPr>
                <w:b/>
                <w:color w:val="000000"/>
              </w:rPr>
              <w:t>Sinal</w:t>
            </w:r>
          </w:p>
        </w:tc>
        <w:tc>
          <w:tcPr>
            <w:tcW w:w="103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DD1F4E" w14:textId="77777777" w:rsidR="001D2029" w:rsidRPr="00B5040A" w:rsidRDefault="001D2029" w:rsidP="001D2029">
            <w:pPr>
              <w:jc w:val="center"/>
              <w:rPr>
                <w:b/>
                <w:color w:val="000000"/>
              </w:rPr>
            </w:pPr>
            <w:r w:rsidRPr="00B5040A">
              <w:rPr>
                <w:b/>
                <w:color w:val="000000"/>
              </w:rPr>
              <w:t>Modelo 1</w:t>
            </w:r>
          </w:p>
        </w:tc>
        <w:tc>
          <w:tcPr>
            <w:tcW w:w="105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06CCE1" w14:textId="77777777" w:rsidR="001D2029" w:rsidRPr="00B5040A" w:rsidRDefault="001D2029" w:rsidP="001D2029">
            <w:pPr>
              <w:jc w:val="center"/>
              <w:rPr>
                <w:b/>
                <w:color w:val="000000"/>
              </w:rPr>
            </w:pPr>
            <w:r w:rsidRPr="00B5040A">
              <w:rPr>
                <w:b/>
                <w:color w:val="000000"/>
              </w:rPr>
              <w:t>Modelo 2</w:t>
            </w:r>
          </w:p>
        </w:tc>
        <w:tc>
          <w:tcPr>
            <w:tcW w:w="87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EE8989" w14:textId="77777777" w:rsidR="001D2029" w:rsidRPr="00B5040A" w:rsidRDefault="001D2029" w:rsidP="001D2029">
            <w:pPr>
              <w:jc w:val="center"/>
              <w:rPr>
                <w:b/>
                <w:color w:val="000000"/>
              </w:rPr>
            </w:pPr>
            <w:r w:rsidRPr="00B5040A">
              <w:rPr>
                <w:b/>
                <w:color w:val="000000"/>
              </w:rPr>
              <w:t>Modelo 3</w:t>
            </w:r>
          </w:p>
        </w:tc>
      </w:tr>
      <w:tr w:rsidR="001D2029" w:rsidRPr="00B5040A" w14:paraId="2AB1BC96" w14:textId="77777777" w:rsidTr="001D2029">
        <w:trPr>
          <w:trHeight w:val="20"/>
        </w:trPr>
        <w:tc>
          <w:tcPr>
            <w:tcW w:w="15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38024AC" w14:textId="77777777" w:rsidR="001D2029" w:rsidRPr="00B5040A" w:rsidRDefault="001D2029" w:rsidP="001C5552">
            <w:pPr>
              <w:rPr>
                <w:color w:val="000000"/>
              </w:rPr>
            </w:pPr>
            <w:r w:rsidRPr="00B5040A">
              <w:rPr>
                <w:color w:val="000000"/>
              </w:rPr>
              <w:t>Constante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B8DF5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+/-</w:t>
            </w:r>
          </w:p>
        </w:tc>
        <w:tc>
          <w:tcPr>
            <w:tcW w:w="1031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6451E80A" w14:textId="77777777" w:rsidR="001C5552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7,674</w:t>
            </w:r>
            <w:r w:rsidR="001C5552">
              <w:rPr>
                <w:color w:val="000000"/>
              </w:rPr>
              <w:t xml:space="preserve"> </w:t>
            </w:r>
          </w:p>
          <w:p w14:paraId="353FA106" w14:textId="77777777" w:rsidR="001D2029" w:rsidRPr="00B5040A" w:rsidRDefault="001D2029" w:rsidP="001C55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(2,608)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nil"/>
            </w:tcBorders>
          </w:tcPr>
          <w:p w14:paraId="65113167" w14:textId="77777777" w:rsidR="001D2029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8,728</w:t>
            </w:r>
          </w:p>
          <w:p w14:paraId="5FA12E88" w14:textId="77777777" w:rsidR="001D2029" w:rsidRPr="00B5040A" w:rsidRDefault="001D2029" w:rsidP="001C55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(2,922)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nil"/>
            </w:tcBorders>
          </w:tcPr>
          <w:p w14:paraId="458309BF" w14:textId="77777777" w:rsidR="001D2029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6,905</w:t>
            </w:r>
          </w:p>
          <w:p w14:paraId="4F19C545" w14:textId="77777777" w:rsidR="001D2029" w:rsidRPr="00F93AC6" w:rsidRDefault="001D2029" w:rsidP="001C55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(2,394)</w:t>
            </w:r>
          </w:p>
        </w:tc>
      </w:tr>
      <w:tr w:rsidR="001D2029" w:rsidRPr="00B5040A" w14:paraId="14224180" w14:textId="77777777" w:rsidTr="001C5552">
        <w:trPr>
          <w:trHeight w:val="20"/>
        </w:trPr>
        <w:tc>
          <w:tcPr>
            <w:tcW w:w="15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F9C9C22" w14:textId="77777777" w:rsidR="001D2029" w:rsidRPr="00B5040A" w:rsidRDefault="001D2029" w:rsidP="001C5552">
            <w:pPr>
              <w:rPr>
                <w:color w:val="000000"/>
              </w:rPr>
            </w:pPr>
            <w:r w:rsidRPr="00B5040A">
              <w:rPr>
                <w:color w:val="000000"/>
              </w:rPr>
              <w:t>TAMCON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EB5CB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+</w:t>
            </w:r>
          </w:p>
        </w:tc>
        <w:tc>
          <w:tcPr>
            <w:tcW w:w="1031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33106E2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0,367*</w:t>
            </w:r>
          </w:p>
          <w:p w14:paraId="1AE1F9A6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(0,594)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331E35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0,241</w:t>
            </w:r>
          </w:p>
          <w:p w14:paraId="461ACD57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(0,187)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4466A3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</w:p>
        </w:tc>
      </w:tr>
      <w:tr w:rsidR="001D2029" w:rsidRPr="00B5040A" w14:paraId="75FAD0A7" w14:textId="77777777" w:rsidTr="001D2029">
        <w:trPr>
          <w:trHeight w:val="20"/>
        </w:trPr>
        <w:tc>
          <w:tcPr>
            <w:tcW w:w="15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378D84" w14:textId="77777777" w:rsidR="001D2029" w:rsidRPr="00B5040A" w:rsidRDefault="001D2029" w:rsidP="001D2029">
            <w:pPr>
              <w:rPr>
                <w:color w:val="000000"/>
              </w:rPr>
            </w:pPr>
            <w:r w:rsidRPr="00B5040A">
              <w:rPr>
                <w:color w:val="000000"/>
              </w:rPr>
              <w:t>REU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3CB567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+</w:t>
            </w:r>
          </w:p>
        </w:tc>
        <w:tc>
          <w:tcPr>
            <w:tcW w:w="1031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3080FF3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0,201</w:t>
            </w:r>
          </w:p>
          <w:p w14:paraId="1758D949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(0,341)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9490AC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0,198</w:t>
            </w:r>
          </w:p>
          <w:p w14:paraId="4C7EF771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(0,329)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DE7858A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</w:p>
        </w:tc>
      </w:tr>
      <w:tr w:rsidR="001D2029" w:rsidRPr="00B5040A" w14:paraId="483D6D9E" w14:textId="77777777" w:rsidTr="001D2029">
        <w:trPr>
          <w:trHeight w:val="20"/>
        </w:trPr>
        <w:tc>
          <w:tcPr>
            <w:tcW w:w="15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223887C" w14:textId="77777777" w:rsidR="001D2029" w:rsidRPr="00B5040A" w:rsidRDefault="001D2029" w:rsidP="001D2029">
            <w:pPr>
              <w:rPr>
                <w:color w:val="000000"/>
              </w:rPr>
            </w:pPr>
            <w:r w:rsidRPr="00B5040A">
              <w:rPr>
                <w:color w:val="000000"/>
              </w:rPr>
              <w:t>IND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7D398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+</w:t>
            </w:r>
          </w:p>
        </w:tc>
        <w:tc>
          <w:tcPr>
            <w:tcW w:w="1031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0BD19D4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0,123*</w:t>
            </w:r>
          </w:p>
          <w:p w14:paraId="6194A8EA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(1,132)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F20FD1D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-0,008</w:t>
            </w:r>
          </w:p>
          <w:p w14:paraId="4F9B0EC9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(-0,337)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931947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</w:p>
        </w:tc>
      </w:tr>
      <w:tr w:rsidR="001D2029" w:rsidRPr="00B5040A" w14:paraId="22D36941" w14:textId="77777777" w:rsidTr="001D2029">
        <w:trPr>
          <w:trHeight w:val="20"/>
        </w:trPr>
        <w:tc>
          <w:tcPr>
            <w:tcW w:w="151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7A32268" w14:textId="77777777" w:rsidR="001D2029" w:rsidRPr="00B5040A" w:rsidRDefault="001D2029" w:rsidP="001D2029">
            <w:pPr>
              <w:rPr>
                <w:color w:val="000000"/>
              </w:rPr>
            </w:pPr>
            <w:r w:rsidRPr="00B5040A">
              <w:rPr>
                <w:color w:val="000000"/>
              </w:rPr>
              <w:t>DUA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86BF215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-</w:t>
            </w:r>
          </w:p>
        </w:tc>
        <w:tc>
          <w:tcPr>
            <w:tcW w:w="1031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E4AB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1,027</w:t>
            </w:r>
          </w:p>
          <w:p w14:paraId="6B7B7A8A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(0,574)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</w:tcBorders>
            <w:vAlign w:val="center"/>
          </w:tcPr>
          <w:p w14:paraId="7B18FB3D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0,732</w:t>
            </w:r>
          </w:p>
          <w:p w14:paraId="086B3DC9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(0,199)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</w:tcBorders>
            <w:vAlign w:val="center"/>
          </w:tcPr>
          <w:p w14:paraId="152E0DC8" w14:textId="77777777" w:rsidR="001D2029" w:rsidRPr="00F93AC6" w:rsidRDefault="001D2029" w:rsidP="001D2029">
            <w:pPr>
              <w:jc w:val="center"/>
              <w:rPr>
                <w:color w:val="000000"/>
              </w:rPr>
            </w:pPr>
          </w:p>
        </w:tc>
      </w:tr>
      <w:tr w:rsidR="001D2029" w:rsidRPr="00B5040A" w14:paraId="0967AE6C" w14:textId="77777777" w:rsidTr="001D2029">
        <w:trPr>
          <w:trHeight w:val="20"/>
        </w:trPr>
        <w:tc>
          <w:tcPr>
            <w:tcW w:w="1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9B3EA" w14:textId="77777777" w:rsidR="001D2029" w:rsidRPr="00B5040A" w:rsidRDefault="001D2029" w:rsidP="001D2029">
            <w:pPr>
              <w:rPr>
                <w:color w:val="000000"/>
              </w:rPr>
            </w:pPr>
            <w:r w:rsidRPr="00B5040A">
              <w:rPr>
                <w:color w:val="000000"/>
              </w:rPr>
              <w:t>BI</w:t>
            </w:r>
          </w:p>
          <w:p w14:paraId="0EF7CE8F" w14:textId="77777777" w:rsidR="001D2029" w:rsidRPr="00B5040A" w:rsidRDefault="001D2029" w:rsidP="001D2029">
            <w:pPr>
              <w:rPr>
                <w:color w:val="000000"/>
              </w:rPr>
            </w:pPr>
          </w:p>
          <w:p w14:paraId="53BC006A" w14:textId="77777777" w:rsidR="001D2029" w:rsidRPr="00B5040A" w:rsidRDefault="001D2029" w:rsidP="001D2029">
            <w:pPr>
              <w:rPr>
                <w:color w:val="000000"/>
              </w:rPr>
            </w:pPr>
            <w:r w:rsidRPr="00B5040A">
              <w:rPr>
                <w:color w:val="000000"/>
              </w:rPr>
              <w:t>TAM</w:t>
            </w:r>
          </w:p>
          <w:p w14:paraId="6E68D2BF" w14:textId="77777777" w:rsidR="001D2029" w:rsidRPr="00B5040A" w:rsidRDefault="001D2029" w:rsidP="001D2029">
            <w:pPr>
              <w:rPr>
                <w:color w:val="000000"/>
              </w:rPr>
            </w:pPr>
          </w:p>
          <w:p w14:paraId="4669ED56" w14:textId="77777777" w:rsidR="001D2029" w:rsidRPr="00B5040A" w:rsidRDefault="001D2029" w:rsidP="001D2029">
            <w:pPr>
              <w:rPr>
                <w:color w:val="000000"/>
              </w:rPr>
            </w:pPr>
            <w:r w:rsidRPr="00B5040A">
              <w:rPr>
                <w:color w:val="000000"/>
              </w:rPr>
              <w:t>BIG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D122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+</w:t>
            </w:r>
          </w:p>
          <w:p w14:paraId="14DDFDD7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</w:p>
          <w:p w14:paraId="235FD795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+</w:t>
            </w:r>
          </w:p>
          <w:p w14:paraId="2EDE24A1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</w:p>
          <w:p w14:paraId="1B30027E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+</w:t>
            </w:r>
          </w:p>
        </w:tc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52A0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3,047*</w:t>
            </w:r>
          </w:p>
          <w:p w14:paraId="6E5A761A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(1,227)</w:t>
            </w:r>
          </w:p>
          <w:p w14:paraId="1F71A335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0,116</w:t>
            </w:r>
          </w:p>
          <w:p w14:paraId="658EE11F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(0,097)</w:t>
            </w:r>
          </w:p>
          <w:p w14:paraId="355F5D4C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1,067</w:t>
            </w:r>
          </w:p>
          <w:p w14:paraId="268AE9D4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(0,346)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A392CDA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</w:p>
          <w:p w14:paraId="3E7A81EF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</w:p>
          <w:p w14:paraId="7CD78663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0,207</w:t>
            </w:r>
          </w:p>
          <w:p w14:paraId="734B78A0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(0,119)</w:t>
            </w:r>
          </w:p>
          <w:p w14:paraId="315F8B49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0,674</w:t>
            </w:r>
          </w:p>
          <w:p w14:paraId="396F3E6B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(0,801)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BBA72F9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2,067*</w:t>
            </w:r>
          </w:p>
          <w:p w14:paraId="3AD9AE12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(0,837)</w:t>
            </w:r>
          </w:p>
          <w:p w14:paraId="4BF7CCDE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0,196</w:t>
            </w:r>
          </w:p>
          <w:p w14:paraId="7C7B42CD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(0,237)</w:t>
            </w:r>
          </w:p>
          <w:p w14:paraId="1FBEB0BB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0,874</w:t>
            </w:r>
          </w:p>
          <w:p w14:paraId="718EABF4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(0,507)</w:t>
            </w:r>
          </w:p>
        </w:tc>
      </w:tr>
      <w:tr w:rsidR="001D2029" w:rsidRPr="00B5040A" w14:paraId="34B8489F" w14:textId="77777777" w:rsidTr="001D2029">
        <w:trPr>
          <w:trHeight w:val="20"/>
        </w:trPr>
        <w:tc>
          <w:tcPr>
            <w:tcW w:w="2045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699B2598" w14:textId="77777777" w:rsidR="001D2029" w:rsidRPr="00B5040A" w:rsidRDefault="001D2029" w:rsidP="001D2029">
            <w:pPr>
              <w:rPr>
                <w:color w:val="000000"/>
              </w:rPr>
            </w:pPr>
            <w:r w:rsidRPr="00B5040A">
              <w:rPr>
                <w:color w:val="000000"/>
              </w:rPr>
              <w:t>Efeitos fixos setor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FE398B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Sim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F276F7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Sim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CACA1B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Sim</w:t>
            </w:r>
          </w:p>
        </w:tc>
      </w:tr>
      <w:tr w:rsidR="001D2029" w:rsidRPr="00B5040A" w14:paraId="06999779" w14:textId="77777777" w:rsidTr="001D2029">
        <w:trPr>
          <w:trHeight w:val="20"/>
        </w:trPr>
        <w:tc>
          <w:tcPr>
            <w:tcW w:w="2045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1CC6DB4C" w14:textId="77777777" w:rsidR="001D2029" w:rsidRPr="00B5040A" w:rsidRDefault="001D2029" w:rsidP="001D2029">
            <w:pPr>
              <w:rPr>
                <w:color w:val="000000"/>
              </w:rPr>
            </w:pPr>
            <w:r w:rsidRPr="00B5040A">
              <w:rPr>
                <w:color w:val="000000"/>
              </w:rPr>
              <w:t>R</w:t>
            </w:r>
            <w:r w:rsidRPr="00B5040A">
              <w:rPr>
                <w:color w:val="000000"/>
                <w:vertAlign w:val="superscript"/>
              </w:rPr>
              <w:t>2</w:t>
            </w:r>
            <w:r w:rsidRPr="00B5040A">
              <w:rPr>
                <w:color w:val="000000"/>
              </w:rPr>
              <w:t xml:space="preserve"> ajustado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D7BCCB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0,309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72647A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0,170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D858704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0,269</w:t>
            </w:r>
          </w:p>
        </w:tc>
      </w:tr>
      <w:tr w:rsidR="001D2029" w:rsidRPr="00B5040A" w14:paraId="21079C60" w14:textId="77777777" w:rsidTr="001D2029">
        <w:trPr>
          <w:trHeight w:val="20"/>
        </w:trPr>
        <w:tc>
          <w:tcPr>
            <w:tcW w:w="2045" w:type="pct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4D54A98A" w14:textId="77777777" w:rsidR="001D2029" w:rsidRPr="00B5040A" w:rsidRDefault="001D2029" w:rsidP="001D2029">
            <w:pPr>
              <w:rPr>
                <w:color w:val="000000"/>
              </w:rPr>
            </w:pPr>
            <w:proofErr w:type="spellStart"/>
            <w:r w:rsidRPr="00B5040A">
              <w:rPr>
                <w:color w:val="000000"/>
              </w:rPr>
              <w:t>Sig</w:t>
            </w:r>
            <w:proofErr w:type="spellEnd"/>
            <w:r w:rsidRPr="00B5040A">
              <w:rPr>
                <w:color w:val="000000"/>
              </w:rPr>
              <w:t xml:space="preserve"> (F)</w:t>
            </w:r>
          </w:p>
        </w:tc>
        <w:tc>
          <w:tcPr>
            <w:tcW w:w="103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F8EFE5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0,073**</w:t>
            </w:r>
          </w:p>
        </w:tc>
        <w:tc>
          <w:tcPr>
            <w:tcW w:w="1050" w:type="pct"/>
            <w:tcBorders>
              <w:left w:val="single" w:sz="4" w:space="0" w:color="auto"/>
            </w:tcBorders>
            <w:vAlign w:val="center"/>
          </w:tcPr>
          <w:p w14:paraId="4017F916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0,374</w:t>
            </w:r>
          </w:p>
        </w:tc>
        <w:tc>
          <w:tcPr>
            <w:tcW w:w="874" w:type="pct"/>
            <w:tcBorders>
              <w:left w:val="single" w:sz="4" w:space="0" w:color="auto"/>
            </w:tcBorders>
            <w:vAlign w:val="center"/>
          </w:tcPr>
          <w:p w14:paraId="72BB931C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0,091**</w:t>
            </w:r>
          </w:p>
        </w:tc>
      </w:tr>
      <w:tr w:rsidR="001D2029" w:rsidRPr="00B5040A" w14:paraId="7BE2BE81" w14:textId="77777777" w:rsidTr="001D2029">
        <w:trPr>
          <w:trHeight w:val="20"/>
        </w:trPr>
        <w:tc>
          <w:tcPr>
            <w:tcW w:w="2045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</w:tcPr>
          <w:p w14:paraId="3C06C473" w14:textId="77777777" w:rsidR="001D2029" w:rsidRPr="00B5040A" w:rsidRDefault="001D2029" w:rsidP="001D2029">
            <w:pPr>
              <w:rPr>
                <w:color w:val="000000"/>
              </w:rPr>
            </w:pPr>
            <w:r w:rsidRPr="00B5040A">
              <w:rPr>
                <w:color w:val="000000"/>
              </w:rPr>
              <w:t>N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AB44BE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123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7792C7A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123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EAC1D0A" w14:textId="77777777" w:rsidR="001D2029" w:rsidRPr="00B5040A" w:rsidRDefault="001D2029" w:rsidP="001D2029">
            <w:pPr>
              <w:jc w:val="center"/>
              <w:rPr>
                <w:color w:val="000000"/>
              </w:rPr>
            </w:pPr>
            <w:r w:rsidRPr="00B5040A">
              <w:rPr>
                <w:color w:val="000000"/>
              </w:rPr>
              <w:t>123</w:t>
            </w:r>
          </w:p>
        </w:tc>
      </w:tr>
    </w:tbl>
    <w:p w14:paraId="44B34BB5" w14:textId="77777777" w:rsidR="001D2029" w:rsidRPr="00B5040A" w:rsidRDefault="001D2029" w:rsidP="001D2029">
      <w:pPr>
        <w:rPr>
          <w:sz w:val="16"/>
          <w:szCs w:val="16"/>
        </w:rPr>
      </w:pPr>
      <w:r w:rsidRPr="00B5040A">
        <w:rPr>
          <w:sz w:val="16"/>
          <w:szCs w:val="16"/>
        </w:rPr>
        <w:t>*valores entre parênteses (t-</w:t>
      </w:r>
      <w:proofErr w:type="spellStart"/>
      <w:r w:rsidRPr="00B5040A">
        <w:rPr>
          <w:sz w:val="16"/>
          <w:szCs w:val="16"/>
        </w:rPr>
        <w:t>statistic</w:t>
      </w:r>
      <w:proofErr w:type="spellEnd"/>
      <w:r w:rsidRPr="00B5040A">
        <w:rPr>
          <w:sz w:val="16"/>
          <w:szCs w:val="16"/>
        </w:rPr>
        <w:t>); * significativo ao nível de 95%. ** significativo ao nível de 90%.</w:t>
      </w:r>
    </w:p>
    <w:p w14:paraId="2D6C2783" w14:textId="77777777" w:rsidR="001D2029" w:rsidRPr="00B5040A" w:rsidRDefault="001D2029" w:rsidP="001D2029">
      <w:pPr>
        <w:rPr>
          <w:sz w:val="16"/>
          <w:szCs w:val="16"/>
        </w:rPr>
      </w:pPr>
      <w:r w:rsidRPr="00B5040A">
        <w:rPr>
          <w:sz w:val="16"/>
          <w:szCs w:val="16"/>
        </w:rPr>
        <w:t xml:space="preserve">GRI: Divulgação da Sustentabilidade; TAMCOM: Tamanho do Conselho de Administração; REUN: Número de reuniões anuais do CA; IND: Independência do CA; DUA: Dualidade do Cargo de CEO e Presidente do CA; BI: Número de laços do </w:t>
      </w:r>
      <w:proofErr w:type="spellStart"/>
      <w:r w:rsidRPr="00B5040A">
        <w:rPr>
          <w:sz w:val="16"/>
          <w:szCs w:val="16"/>
        </w:rPr>
        <w:t>Board</w:t>
      </w:r>
      <w:proofErr w:type="spellEnd"/>
      <w:r w:rsidRPr="00B5040A">
        <w:rPr>
          <w:sz w:val="16"/>
          <w:szCs w:val="16"/>
        </w:rPr>
        <w:t xml:space="preserve"> </w:t>
      </w:r>
      <w:proofErr w:type="spellStart"/>
      <w:r w:rsidRPr="00B5040A">
        <w:rPr>
          <w:sz w:val="16"/>
          <w:szCs w:val="16"/>
        </w:rPr>
        <w:t>Interlocking</w:t>
      </w:r>
      <w:proofErr w:type="spellEnd"/>
      <w:r w:rsidRPr="00B5040A">
        <w:rPr>
          <w:sz w:val="16"/>
          <w:szCs w:val="16"/>
        </w:rPr>
        <w:t xml:space="preserve">; TAM: Tamanho da Empresa; BIG: Auditada por </w:t>
      </w:r>
      <w:proofErr w:type="gramStart"/>
      <w:r w:rsidRPr="00B5040A">
        <w:rPr>
          <w:sz w:val="16"/>
          <w:szCs w:val="16"/>
        </w:rPr>
        <w:t>uma Big Four</w:t>
      </w:r>
      <w:proofErr w:type="gramEnd"/>
      <w:r w:rsidRPr="00B5040A">
        <w:rPr>
          <w:sz w:val="16"/>
          <w:szCs w:val="16"/>
        </w:rPr>
        <w:t>.</w:t>
      </w:r>
    </w:p>
    <w:p w14:paraId="29348E61" w14:textId="77777777" w:rsidR="001D2029" w:rsidRPr="00B5040A" w:rsidRDefault="001D2029" w:rsidP="001D2029">
      <w:r w:rsidRPr="00B5040A">
        <w:t>Fonte: dados da pesquisa.</w:t>
      </w:r>
    </w:p>
    <w:p w14:paraId="6046E525" w14:textId="77777777" w:rsidR="001D2029" w:rsidRPr="005C7A33" w:rsidRDefault="001D2029" w:rsidP="001D2029">
      <w:pPr>
        <w:jc w:val="both"/>
        <w:rPr>
          <w:b/>
          <w:sz w:val="24"/>
        </w:rPr>
      </w:pPr>
    </w:p>
    <w:p w14:paraId="1AD1A857" w14:textId="77777777" w:rsidR="001D2029" w:rsidRPr="009D688F" w:rsidRDefault="001D2029" w:rsidP="001D2029">
      <w:pPr>
        <w:ind w:firstLine="709"/>
        <w:jc w:val="both"/>
        <w:rPr>
          <w:sz w:val="24"/>
        </w:rPr>
      </w:pPr>
      <w:r w:rsidRPr="009D688F">
        <w:rPr>
          <w:sz w:val="24"/>
        </w:rPr>
        <w:t xml:space="preserve">O resultado de R² exposto na Tabela </w:t>
      </w:r>
      <w:r w:rsidR="002C565C">
        <w:rPr>
          <w:sz w:val="24"/>
        </w:rPr>
        <w:t>4</w:t>
      </w:r>
      <w:r w:rsidRPr="009D688F">
        <w:rPr>
          <w:sz w:val="24"/>
        </w:rPr>
        <w:t xml:space="preserve"> é de 0,</w:t>
      </w:r>
      <w:r w:rsidRPr="00B5040A">
        <w:rPr>
          <w:sz w:val="24"/>
          <w:szCs w:val="24"/>
        </w:rPr>
        <w:t>309</w:t>
      </w:r>
      <w:r w:rsidRPr="009D688F">
        <w:rPr>
          <w:sz w:val="24"/>
        </w:rPr>
        <w:t>, 0,</w:t>
      </w:r>
      <w:r w:rsidRPr="00B5040A">
        <w:rPr>
          <w:sz w:val="24"/>
          <w:szCs w:val="24"/>
        </w:rPr>
        <w:t>170</w:t>
      </w:r>
      <w:r w:rsidRPr="009D688F">
        <w:rPr>
          <w:sz w:val="24"/>
        </w:rPr>
        <w:t xml:space="preserve"> e 0,</w:t>
      </w:r>
      <w:r w:rsidRPr="00B5040A">
        <w:rPr>
          <w:sz w:val="24"/>
          <w:szCs w:val="24"/>
        </w:rPr>
        <w:t>269</w:t>
      </w:r>
      <w:r w:rsidRPr="009D688F">
        <w:rPr>
          <w:sz w:val="24"/>
        </w:rPr>
        <w:t xml:space="preserve"> para os Modelos 1 a 3, respectivamente, o que significa que as variáveis independentes e as de controle explicam entre </w:t>
      </w:r>
      <w:r w:rsidRPr="00B5040A">
        <w:rPr>
          <w:sz w:val="24"/>
        </w:rPr>
        <w:t>17</w:t>
      </w:r>
      <w:r w:rsidRPr="009D688F">
        <w:rPr>
          <w:sz w:val="24"/>
        </w:rPr>
        <w:t>% a 30% da variabilidade da divulgação da sustentabilidade.</w:t>
      </w:r>
    </w:p>
    <w:p w14:paraId="7833DAA8" w14:textId="77777777" w:rsidR="001D2029" w:rsidRPr="00B5040A" w:rsidRDefault="001D2029" w:rsidP="001D2029">
      <w:pPr>
        <w:ind w:firstLine="709"/>
        <w:jc w:val="both"/>
        <w:rPr>
          <w:sz w:val="24"/>
          <w:szCs w:val="24"/>
        </w:rPr>
      </w:pPr>
      <w:r w:rsidRPr="009D688F">
        <w:rPr>
          <w:sz w:val="24"/>
        </w:rPr>
        <w:t xml:space="preserve">Quanto ao Modelo 1, nota-se, no que se refere aos coeficientes da regressão, que a divulgação da sustentabilidade é influenciada de modo significativo pelas variáveis: tamanho do conselho, independência do CA e BI, considerando para isso coeficientes de significância </w:t>
      </w:r>
      <w:r w:rsidRPr="009D688F">
        <w:rPr>
          <w:sz w:val="24"/>
        </w:rPr>
        <w:lastRenderedPageBreak/>
        <w:t xml:space="preserve">inferiores a α = 5%. O restante das variáveis independentes, bem como as de controle, não </w:t>
      </w:r>
      <w:proofErr w:type="gramStart"/>
      <w:r w:rsidRPr="009D688F">
        <w:rPr>
          <w:sz w:val="24"/>
        </w:rPr>
        <w:t>revelaram</w:t>
      </w:r>
      <w:proofErr w:type="gramEnd"/>
      <w:r w:rsidRPr="009D688F">
        <w:rPr>
          <w:sz w:val="24"/>
        </w:rPr>
        <w:t xml:space="preserve"> significância estatística.</w:t>
      </w:r>
    </w:p>
    <w:p w14:paraId="7858630D" w14:textId="77777777" w:rsidR="001D2029" w:rsidRPr="00B5040A" w:rsidRDefault="001D2029" w:rsidP="001D2029">
      <w:pPr>
        <w:ind w:firstLine="709"/>
        <w:jc w:val="both"/>
        <w:rPr>
          <w:sz w:val="24"/>
          <w:szCs w:val="24"/>
        </w:rPr>
      </w:pPr>
      <w:r w:rsidRPr="00D8209D">
        <w:rPr>
          <w:sz w:val="24"/>
        </w:rPr>
        <w:t xml:space="preserve">Quanto à hipótese 1, que estabelece que o tamanho do CA </w:t>
      </w:r>
      <w:proofErr w:type="gramStart"/>
      <w:r w:rsidRPr="00D8209D">
        <w:rPr>
          <w:sz w:val="24"/>
        </w:rPr>
        <w:t>está</w:t>
      </w:r>
      <w:proofErr w:type="gramEnd"/>
      <w:r w:rsidRPr="00D8209D">
        <w:rPr>
          <w:sz w:val="24"/>
        </w:rPr>
        <w:t xml:space="preserve"> positivamente associado com a divulgação da sustentabilidade nas organizações, observa-se que quanto maior for o número de conselheiros, maior será a divulgação da sustentabilidade, dessa forma, a hipótese não pode ser rejeitada. Este resultado está de acordo com os obtidos por </w:t>
      </w:r>
      <w:proofErr w:type="spellStart"/>
      <w:r w:rsidRPr="00D8209D">
        <w:rPr>
          <w:sz w:val="24"/>
        </w:rPr>
        <w:t>Patten</w:t>
      </w:r>
      <w:proofErr w:type="spellEnd"/>
      <w:r w:rsidRPr="00D8209D">
        <w:rPr>
          <w:sz w:val="24"/>
        </w:rPr>
        <w:t xml:space="preserve"> (1991), </w:t>
      </w:r>
      <w:proofErr w:type="spellStart"/>
      <w:r w:rsidRPr="00D8209D">
        <w:rPr>
          <w:sz w:val="24"/>
        </w:rPr>
        <w:t>Domench</w:t>
      </w:r>
      <w:proofErr w:type="spellEnd"/>
      <w:r w:rsidRPr="00D8209D">
        <w:rPr>
          <w:sz w:val="24"/>
        </w:rPr>
        <w:t xml:space="preserve"> (2003) e </w:t>
      </w:r>
      <w:proofErr w:type="spellStart"/>
      <w:r w:rsidRPr="00D8209D">
        <w:rPr>
          <w:sz w:val="24"/>
        </w:rPr>
        <w:t>Salotti</w:t>
      </w:r>
      <w:proofErr w:type="spellEnd"/>
      <w:r w:rsidRPr="00D8209D">
        <w:rPr>
          <w:sz w:val="24"/>
        </w:rPr>
        <w:t xml:space="preserve"> e Yamamoto (2005), que indicam que quanto maior o número de conselheiros, maior será a pressão para a organização em divulgar suas ações. Isso demonstra que um número adequado de conselheiros é importante para a divulgação das informações das organizações, neste caso, das informações de sustentabilidade.</w:t>
      </w:r>
    </w:p>
    <w:p w14:paraId="71DCEC05" w14:textId="77777777" w:rsidR="001D2029" w:rsidRPr="00D8209D" w:rsidRDefault="001D2029" w:rsidP="001D2029">
      <w:pPr>
        <w:ind w:firstLine="709"/>
        <w:jc w:val="both"/>
      </w:pPr>
      <w:r w:rsidRPr="00D8209D">
        <w:rPr>
          <w:sz w:val="24"/>
        </w:rPr>
        <w:t>A hipótese 2 foi proposta com o intuito de comprovar que o número de reuniões anuais do CA está positivamente associado com a divulgação da sustentabilidade nas organizações. Similarmente à hipótese 1, nota-se uma relação positiva, porém, não significativa, o que leva à rejeição da H</w:t>
      </w:r>
      <w:r w:rsidRPr="00D8209D">
        <w:rPr>
          <w:sz w:val="24"/>
          <w:vertAlign w:val="subscript"/>
        </w:rPr>
        <w:t>2</w:t>
      </w:r>
      <w:r w:rsidRPr="00D8209D">
        <w:rPr>
          <w:sz w:val="24"/>
        </w:rPr>
        <w:t xml:space="preserve">. A análise descritiva da variável já dava indícios desta possibilidade, haja vista o baixo número de reuniões anuais do CA das empresas da amostra, com média de uma reunião a cada dois meses e com mais da metade das empresas com menos de 6 reuniões ao ano. Esta situação pode justificar a não confirmação do resultado esperado por </w:t>
      </w:r>
      <w:proofErr w:type="spellStart"/>
      <w:r w:rsidRPr="00D8209D">
        <w:rPr>
          <w:color w:val="000000"/>
          <w:sz w:val="24"/>
        </w:rPr>
        <w:t>Haunschild</w:t>
      </w:r>
      <w:proofErr w:type="spellEnd"/>
      <w:r w:rsidRPr="00D8209D">
        <w:rPr>
          <w:color w:val="000000"/>
          <w:sz w:val="24"/>
        </w:rPr>
        <w:t xml:space="preserve"> (1993), </w:t>
      </w:r>
      <w:proofErr w:type="spellStart"/>
      <w:r w:rsidRPr="00D8209D">
        <w:rPr>
          <w:color w:val="000000"/>
          <w:sz w:val="24"/>
        </w:rPr>
        <w:t>Carpentel</w:t>
      </w:r>
      <w:proofErr w:type="spellEnd"/>
      <w:r w:rsidRPr="00D8209D">
        <w:rPr>
          <w:color w:val="000000"/>
          <w:sz w:val="24"/>
        </w:rPr>
        <w:t xml:space="preserve"> e </w:t>
      </w:r>
      <w:proofErr w:type="spellStart"/>
      <w:r w:rsidRPr="00D8209D">
        <w:rPr>
          <w:color w:val="000000"/>
          <w:sz w:val="24"/>
        </w:rPr>
        <w:t>Westphal</w:t>
      </w:r>
      <w:proofErr w:type="spellEnd"/>
      <w:r w:rsidRPr="00D8209D">
        <w:rPr>
          <w:color w:val="000000"/>
          <w:sz w:val="24"/>
        </w:rPr>
        <w:t xml:space="preserve"> (2001) e </w:t>
      </w:r>
      <w:proofErr w:type="spellStart"/>
      <w:r w:rsidRPr="00D8209D">
        <w:rPr>
          <w:color w:val="000000"/>
          <w:sz w:val="24"/>
        </w:rPr>
        <w:t>Bouwman</w:t>
      </w:r>
      <w:proofErr w:type="spellEnd"/>
      <w:r w:rsidRPr="00D8209D">
        <w:rPr>
          <w:color w:val="000000"/>
          <w:sz w:val="24"/>
        </w:rPr>
        <w:t xml:space="preserve"> (2011), que indicam que a frequência de reuniões é importante para o compartilhamento de experiências e conhecimento, resultando em uma maior divulgação das ações da empresa, neste caso da divulgação da sustentabilidade.</w:t>
      </w:r>
    </w:p>
    <w:p w14:paraId="43577739" w14:textId="77777777" w:rsidR="001D2029" w:rsidRPr="00B5040A" w:rsidRDefault="001D2029" w:rsidP="001D2029">
      <w:pPr>
        <w:ind w:firstLine="709"/>
        <w:jc w:val="both"/>
        <w:rPr>
          <w:color w:val="000000"/>
          <w:sz w:val="24"/>
          <w:szCs w:val="24"/>
        </w:rPr>
      </w:pPr>
      <w:r w:rsidRPr="00D8209D">
        <w:rPr>
          <w:color w:val="000000"/>
          <w:sz w:val="24"/>
        </w:rPr>
        <w:t xml:space="preserve">A terceira hipótese previa que a proporção de conselheiros independentes no CA está positivamente associada à divulgação da sustentabilidade nas organizações. O coeficiente beta (0,123) aponta relação positiva e significativa, determinando a não rejeição da hipótese. Este resultado corrobora os achados de Chen e </w:t>
      </w:r>
      <w:proofErr w:type="spellStart"/>
      <w:r w:rsidRPr="00D8209D">
        <w:rPr>
          <w:color w:val="000000"/>
          <w:sz w:val="24"/>
        </w:rPr>
        <w:t>Jaggi</w:t>
      </w:r>
      <w:proofErr w:type="spellEnd"/>
      <w:r w:rsidRPr="00D8209D">
        <w:rPr>
          <w:color w:val="000000"/>
          <w:sz w:val="24"/>
        </w:rPr>
        <w:t xml:space="preserve"> (2000) e </w:t>
      </w:r>
      <w:proofErr w:type="spellStart"/>
      <w:r w:rsidRPr="00D8209D">
        <w:rPr>
          <w:color w:val="000000"/>
          <w:sz w:val="24"/>
        </w:rPr>
        <w:t>Michelon</w:t>
      </w:r>
      <w:proofErr w:type="spellEnd"/>
      <w:r w:rsidRPr="00D8209D">
        <w:rPr>
          <w:color w:val="000000"/>
          <w:sz w:val="24"/>
        </w:rPr>
        <w:t xml:space="preserve"> e </w:t>
      </w:r>
      <w:proofErr w:type="spellStart"/>
      <w:r w:rsidRPr="00D8209D">
        <w:rPr>
          <w:color w:val="000000"/>
          <w:sz w:val="24"/>
        </w:rPr>
        <w:t>Parbonetti</w:t>
      </w:r>
      <w:proofErr w:type="spellEnd"/>
      <w:r w:rsidRPr="00D8209D">
        <w:rPr>
          <w:color w:val="000000"/>
          <w:sz w:val="24"/>
        </w:rPr>
        <w:t xml:space="preserve"> (2012), que indicaram uma relação positiva entre a proporção de diretores independentes e a divulgação da sustentabilidade. Embora esta variável (IND) tenha sido significativa estatisticamente, sua influência econômica não apresenta o mesmo efeito, representando menos de 1% de aumento na divulgação de sustentabilidade (</w:t>
      </w:r>
      <w:proofErr w:type="gramStart"/>
      <w:r w:rsidRPr="00D8209D">
        <w:rPr>
          <w:color w:val="000000"/>
          <w:sz w:val="24"/>
        </w:rPr>
        <w:t>0,123 :</w:t>
      </w:r>
      <w:proofErr w:type="gramEnd"/>
      <w:r w:rsidRPr="00D8209D">
        <w:rPr>
          <w:color w:val="000000"/>
          <w:sz w:val="24"/>
        </w:rPr>
        <w:t xml:space="preserve"> 95,74), o que pode estar atrelado ao baixo índice de conselheiros independentes das empresas brasileiras, não chegando a 20%.</w:t>
      </w:r>
    </w:p>
    <w:p w14:paraId="0D85A5D8" w14:textId="77777777" w:rsidR="001D2029" w:rsidRPr="00B5040A" w:rsidRDefault="001D2029" w:rsidP="001D2029">
      <w:pPr>
        <w:ind w:firstLine="709"/>
        <w:jc w:val="both"/>
        <w:rPr>
          <w:color w:val="000000"/>
          <w:sz w:val="24"/>
          <w:szCs w:val="24"/>
        </w:rPr>
      </w:pPr>
      <w:r w:rsidRPr="00D8209D">
        <w:rPr>
          <w:color w:val="000000"/>
          <w:sz w:val="24"/>
        </w:rPr>
        <w:t xml:space="preserve">A dualidade do cargo de CEO e Presidente do CA foi </w:t>
      </w:r>
      <w:proofErr w:type="gramStart"/>
      <w:r w:rsidRPr="00D8209D">
        <w:rPr>
          <w:color w:val="000000"/>
          <w:sz w:val="24"/>
        </w:rPr>
        <w:t>a</w:t>
      </w:r>
      <w:proofErr w:type="gramEnd"/>
      <w:r w:rsidRPr="00D8209D">
        <w:rPr>
          <w:color w:val="000000"/>
          <w:sz w:val="24"/>
        </w:rPr>
        <w:t xml:space="preserve"> quarta hipótese proposta, sendo que esta condição estaria associada negativamente com a divulgação da sustentabilidade nas organizações. Assim com as variáveis do tamanho do CA, número de reuniões e proporção de conselheiros independentes, o resultado desta variável indicou uma influência positiva, mas sem significância, sendo a hipótese 4 rejeitada. Estudos que analisaram tal relação já demonstraram certa inconsistência, com resultados indicando sua não influência para maior divulgação (H</w:t>
      </w:r>
      <w:r w:rsidR="00263031">
        <w:rPr>
          <w:color w:val="000000"/>
          <w:sz w:val="24"/>
        </w:rPr>
        <w:t>o &amp; Wong</w:t>
      </w:r>
      <w:r w:rsidRPr="00D8209D">
        <w:rPr>
          <w:color w:val="000000"/>
          <w:sz w:val="24"/>
        </w:rPr>
        <w:t xml:space="preserve">, 2001; </w:t>
      </w:r>
      <w:proofErr w:type="spellStart"/>
      <w:r w:rsidRPr="00D8209D">
        <w:rPr>
          <w:color w:val="000000"/>
          <w:sz w:val="24"/>
        </w:rPr>
        <w:t>C</w:t>
      </w:r>
      <w:r w:rsidR="00263031">
        <w:rPr>
          <w:color w:val="000000"/>
          <w:sz w:val="24"/>
        </w:rPr>
        <w:t>heng</w:t>
      </w:r>
      <w:proofErr w:type="spellEnd"/>
      <w:r w:rsidR="00263031">
        <w:rPr>
          <w:color w:val="000000"/>
          <w:sz w:val="24"/>
        </w:rPr>
        <w:t xml:space="preserve"> &amp; </w:t>
      </w:r>
      <w:proofErr w:type="spellStart"/>
      <w:r w:rsidR="00263031">
        <w:rPr>
          <w:color w:val="000000"/>
          <w:sz w:val="24"/>
        </w:rPr>
        <w:t>Courtenay</w:t>
      </w:r>
      <w:proofErr w:type="spellEnd"/>
      <w:r w:rsidRPr="00D8209D">
        <w:rPr>
          <w:color w:val="000000"/>
          <w:sz w:val="24"/>
        </w:rPr>
        <w:t>, 2006), bem como outros com associação negativa (</w:t>
      </w:r>
      <w:proofErr w:type="spellStart"/>
      <w:r w:rsidRPr="00D8209D">
        <w:rPr>
          <w:color w:val="000000"/>
          <w:sz w:val="24"/>
        </w:rPr>
        <w:t>G</w:t>
      </w:r>
      <w:r w:rsidR="00263031">
        <w:rPr>
          <w:color w:val="000000"/>
          <w:sz w:val="24"/>
        </w:rPr>
        <w:t>ul</w:t>
      </w:r>
      <w:proofErr w:type="spellEnd"/>
      <w:r w:rsidR="00263031">
        <w:rPr>
          <w:color w:val="000000"/>
          <w:sz w:val="24"/>
        </w:rPr>
        <w:t xml:space="preserve"> &amp; Leung</w:t>
      </w:r>
      <w:r w:rsidRPr="00D8209D">
        <w:rPr>
          <w:color w:val="000000"/>
          <w:sz w:val="24"/>
        </w:rPr>
        <w:t>, 2004).</w:t>
      </w:r>
    </w:p>
    <w:p w14:paraId="5B3804AB" w14:textId="77777777" w:rsidR="001D2029" w:rsidRPr="00D8209D" w:rsidRDefault="001D2029" w:rsidP="001D2029">
      <w:pPr>
        <w:ind w:firstLine="709"/>
        <w:jc w:val="both"/>
        <w:rPr>
          <w:color w:val="000000"/>
          <w:sz w:val="24"/>
        </w:rPr>
      </w:pPr>
      <w:r w:rsidRPr="00D8209D">
        <w:rPr>
          <w:color w:val="000000"/>
          <w:sz w:val="24"/>
        </w:rPr>
        <w:t>A última hipótese sugere que a ocorrência do BI está positivamente associada à divulgação da sustentabilidade nas organizações. O coeficiente beta desta variável foi o mais elevado das variáveis independentes, chegando a 3,047, o que representa um aumento de 3,18% na divulgação do GRI (</w:t>
      </w:r>
      <w:proofErr w:type="gramStart"/>
      <w:r w:rsidRPr="00D8209D">
        <w:rPr>
          <w:color w:val="000000"/>
          <w:sz w:val="24"/>
        </w:rPr>
        <w:t>3,047 :</w:t>
      </w:r>
      <w:proofErr w:type="gramEnd"/>
      <w:r w:rsidRPr="00D8209D">
        <w:rPr>
          <w:color w:val="000000"/>
          <w:sz w:val="24"/>
        </w:rPr>
        <w:t xml:space="preserve"> 95,74). Desta forma, a hipótese 5 não pode ser rejeitada.</w:t>
      </w:r>
      <w:r w:rsidRPr="00D8209D">
        <w:rPr>
          <w:sz w:val="24"/>
        </w:rPr>
        <w:t xml:space="preserve"> Como 72% das empresas da amostra praticavam o BI no momento da divulgação </w:t>
      </w:r>
      <w:r w:rsidRPr="00D8209D">
        <w:rPr>
          <w:color w:val="000000"/>
          <w:sz w:val="24"/>
        </w:rPr>
        <w:t xml:space="preserve">do relatório de sustentabilidade, o esperado por </w:t>
      </w:r>
      <w:proofErr w:type="spellStart"/>
      <w:r w:rsidRPr="00D8209D">
        <w:rPr>
          <w:color w:val="000000"/>
          <w:sz w:val="24"/>
        </w:rPr>
        <w:t>Dooley</w:t>
      </w:r>
      <w:proofErr w:type="spellEnd"/>
      <w:r w:rsidRPr="00D8209D">
        <w:rPr>
          <w:color w:val="000000"/>
          <w:sz w:val="24"/>
        </w:rPr>
        <w:t xml:space="preserve"> (1969), que indica que a esta condição pode ser um fator preponderante quanto </w:t>
      </w:r>
      <w:proofErr w:type="gramStart"/>
      <w:r w:rsidRPr="00D8209D">
        <w:rPr>
          <w:color w:val="000000"/>
          <w:sz w:val="24"/>
        </w:rPr>
        <w:t>a</w:t>
      </w:r>
      <w:proofErr w:type="gramEnd"/>
      <w:r w:rsidRPr="00D8209D">
        <w:rPr>
          <w:color w:val="000000"/>
          <w:sz w:val="24"/>
        </w:rPr>
        <w:t xml:space="preserve"> divulgação da sustentabilidade, foi confirmada. Pode-se inferir que a troca de informações e conhecimento entre os conselheiros pode ser um mecanismo aliado na divulgação das informações da organização.</w:t>
      </w:r>
    </w:p>
    <w:p w14:paraId="0F17EC9D" w14:textId="77777777" w:rsidR="001D2029" w:rsidRPr="00D8209D" w:rsidRDefault="001D2029" w:rsidP="001D2029">
      <w:pPr>
        <w:ind w:firstLine="709"/>
        <w:jc w:val="both"/>
        <w:rPr>
          <w:sz w:val="24"/>
        </w:rPr>
      </w:pPr>
      <w:r w:rsidRPr="00D8209D">
        <w:rPr>
          <w:color w:val="000000"/>
          <w:sz w:val="24"/>
        </w:rPr>
        <w:lastRenderedPageBreak/>
        <w:t xml:space="preserve">Também foram realizadas outras variações do modelo proposto inicialmente, explícitos na Tabela </w:t>
      </w:r>
      <w:r w:rsidR="00263031">
        <w:rPr>
          <w:color w:val="000000"/>
          <w:sz w:val="24"/>
        </w:rPr>
        <w:t>4</w:t>
      </w:r>
      <w:r w:rsidRPr="00D8209D">
        <w:rPr>
          <w:color w:val="000000"/>
          <w:sz w:val="24"/>
        </w:rPr>
        <w:t xml:space="preserve">. No Modelo 2 considerou-se apenas as variáveis das características do CA e as variáveis de controle, sem o BI, para o qual </w:t>
      </w:r>
      <w:proofErr w:type="gramStart"/>
      <w:r w:rsidRPr="00D8209D">
        <w:rPr>
          <w:color w:val="000000"/>
          <w:sz w:val="24"/>
        </w:rPr>
        <w:t>obteve-se</w:t>
      </w:r>
      <w:proofErr w:type="gramEnd"/>
      <w:r w:rsidRPr="00D8209D">
        <w:rPr>
          <w:color w:val="000000"/>
          <w:sz w:val="24"/>
        </w:rPr>
        <w:t xml:space="preserve"> R² ajustado menor do que o Modelo 1, além do modelo não ser significativo</w:t>
      </w:r>
      <w:r w:rsidRPr="00D8209D">
        <w:rPr>
          <w:sz w:val="24"/>
        </w:rPr>
        <w:t xml:space="preserve">. Um terceiro modelo, somente com a variável do BI e as variáveis de controle foi analisado, sendo </w:t>
      </w:r>
      <w:proofErr w:type="gramStart"/>
      <w:r w:rsidRPr="00D8209D">
        <w:rPr>
          <w:sz w:val="24"/>
        </w:rPr>
        <w:t>que seu resultado confirma o exposto no modelo inicial, que indica que o BI influencia positivamente a divulgação da sustentabilidade, confirmando que</w:t>
      </w:r>
      <w:proofErr w:type="gramEnd"/>
      <w:r w:rsidRPr="00D8209D">
        <w:rPr>
          <w:sz w:val="24"/>
        </w:rPr>
        <w:t xml:space="preserve"> a formação de laços pelo conselho de administração aumenta a divulgação da sustentabilidade.</w:t>
      </w:r>
    </w:p>
    <w:p w14:paraId="23DD0A5E" w14:textId="77777777" w:rsidR="001D2029" w:rsidRPr="00D8209D" w:rsidRDefault="001D2029" w:rsidP="001D2029">
      <w:pPr>
        <w:jc w:val="both"/>
        <w:rPr>
          <w:b/>
          <w:sz w:val="24"/>
        </w:rPr>
      </w:pPr>
    </w:p>
    <w:p w14:paraId="71E38EFD" w14:textId="77777777" w:rsidR="001D2029" w:rsidRPr="00D8209D" w:rsidRDefault="001D2029" w:rsidP="001D2029">
      <w:pPr>
        <w:pStyle w:val="PargrafodaLista"/>
        <w:ind w:left="0"/>
        <w:jc w:val="both"/>
      </w:pPr>
      <w:r w:rsidRPr="00D8209D">
        <w:rPr>
          <w:b/>
          <w:sz w:val="24"/>
        </w:rPr>
        <w:t>5 CONSIDERAÇÕES FINAIS</w:t>
      </w:r>
    </w:p>
    <w:p w14:paraId="41F16DC1" w14:textId="77777777" w:rsidR="001D2029" w:rsidRPr="00D8209D" w:rsidRDefault="001D2029" w:rsidP="001D2029">
      <w:pPr>
        <w:pStyle w:val="PargrafodaLista"/>
        <w:ind w:left="0" w:firstLine="708"/>
        <w:jc w:val="both"/>
        <w:rPr>
          <w:sz w:val="24"/>
        </w:rPr>
      </w:pPr>
      <w:r w:rsidRPr="00D8209D">
        <w:rPr>
          <w:sz w:val="24"/>
        </w:rPr>
        <w:t xml:space="preserve">Este estudo teve como objetivo analisar a relação entre as características do conselho de administração e a divulgação da sustentabilidade das empresas listadas na </w:t>
      </w:r>
      <w:proofErr w:type="gramStart"/>
      <w:r w:rsidRPr="00D8209D">
        <w:rPr>
          <w:sz w:val="24"/>
        </w:rPr>
        <w:t>BM&amp;FBovespa</w:t>
      </w:r>
      <w:proofErr w:type="gramEnd"/>
      <w:r w:rsidRPr="00D8209D">
        <w:rPr>
          <w:sz w:val="24"/>
        </w:rPr>
        <w:t xml:space="preserve">. O estudo foi realizado em 123 relatórios de sustentabilidade divulgados pelas empresas até 2015. Para a análise dos resultados formulou-se cinco hipóteses. </w:t>
      </w:r>
    </w:p>
    <w:p w14:paraId="660C6A0A" w14:textId="77777777" w:rsidR="001D2029" w:rsidRPr="00D8209D" w:rsidRDefault="001D2029" w:rsidP="001D2029">
      <w:pPr>
        <w:pStyle w:val="PargrafodaLista"/>
        <w:ind w:left="0" w:firstLine="708"/>
        <w:jc w:val="both"/>
        <w:rPr>
          <w:sz w:val="24"/>
        </w:rPr>
      </w:pPr>
      <w:r w:rsidRPr="00D8209D">
        <w:rPr>
          <w:sz w:val="24"/>
        </w:rPr>
        <w:t xml:space="preserve">Os resultados sugerem que das cinco características do conselho de administração analisadas no estudo, três delas, tamanho do conselho, proporção de conselheiros independentes e número de laços do </w:t>
      </w:r>
      <w:proofErr w:type="spellStart"/>
      <w:r w:rsidRPr="00D8209D">
        <w:rPr>
          <w:i/>
          <w:sz w:val="24"/>
        </w:rPr>
        <w:t>board</w:t>
      </w:r>
      <w:proofErr w:type="spellEnd"/>
      <w:r w:rsidRPr="00D8209D">
        <w:rPr>
          <w:i/>
          <w:sz w:val="24"/>
        </w:rPr>
        <w:t xml:space="preserve"> </w:t>
      </w:r>
      <w:proofErr w:type="spellStart"/>
      <w:r w:rsidRPr="00D8209D">
        <w:rPr>
          <w:i/>
          <w:sz w:val="24"/>
        </w:rPr>
        <w:t>interlocking</w:t>
      </w:r>
      <w:proofErr w:type="spellEnd"/>
      <w:r w:rsidRPr="00D8209D">
        <w:rPr>
          <w:sz w:val="24"/>
        </w:rPr>
        <w:t xml:space="preserve"> apresentaram influência positiva e significativa na divulgação da sustentabilidade. </w:t>
      </w:r>
      <w:proofErr w:type="gramStart"/>
      <w:r w:rsidRPr="00D8209D">
        <w:rPr>
          <w:sz w:val="24"/>
        </w:rPr>
        <w:t>As demais variáveis, número</w:t>
      </w:r>
      <w:proofErr w:type="gramEnd"/>
      <w:r w:rsidRPr="00D8209D">
        <w:rPr>
          <w:sz w:val="24"/>
        </w:rPr>
        <w:t xml:space="preserve"> de reuniões anuais do conselho e dualidade do cargo de CEO e presidente do conselho, apesar da relação positiva com a divulgação da sustentabilidade, não obtiveram significância estatística, sendo assim, rejeitadas as respectivas hipóteses.</w:t>
      </w:r>
    </w:p>
    <w:p w14:paraId="054CF52D" w14:textId="77777777" w:rsidR="001D2029" w:rsidRPr="00D8209D" w:rsidRDefault="001D2029" w:rsidP="001D2029">
      <w:pPr>
        <w:pStyle w:val="PargrafodaLista"/>
        <w:ind w:left="0" w:firstLine="708"/>
        <w:jc w:val="both"/>
        <w:rPr>
          <w:sz w:val="24"/>
        </w:rPr>
      </w:pPr>
      <w:r w:rsidRPr="00D8209D">
        <w:rPr>
          <w:sz w:val="24"/>
        </w:rPr>
        <w:t>Alguns destes resultados</w:t>
      </w:r>
      <w:proofErr w:type="gramStart"/>
      <w:r w:rsidRPr="00D8209D">
        <w:rPr>
          <w:sz w:val="24"/>
        </w:rPr>
        <w:t>, como o número de reuniões e proporção de conselheiros independentes, podem</w:t>
      </w:r>
      <w:proofErr w:type="gramEnd"/>
      <w:r w:rsidRPr="00D8209D">
        <w:rPr>
          <w:sz w:val="24"/>
        </w:rPr>
        <w:t xml:space="preserve"> ser explicados pelo indicativo de suas próprias características, tais como o baixo número de reuniões anuais, no caso da primeira. A variável do </w:t>
      </w:r>
      <w:proofErr w:type="spellStart"/>
      <w:r w:rsidRPr="00D8209D">
        <w:rPr>
          <w:i/>
          <w:sz w:val="24"/>
        </w:rPr>
        <w:t>board</w:t>
      </w:r>
      <w:proofErr w:type="spellEnd"/>
      <w:r w:rsidRPr="00D8209D">
        <w:rPr>
          <w:i/>
          <w:sz w:val="24"/>
        </w:rPr>
        <w:t xml:space="preserve"> </w:t>
      </w:r>
      <w:proofErr w:type="spellStart"/>
      <w:r w:rsidRPr="00D8209D">
        <w:rPr>
          <w:i/>
          <w:sz w:val="24"/>
        </w:rPr>
        <w:t>interlocking</w:t>
      </w:r>
      <w:proofErr w:type="spellEnd"/>
      <w:r w:rsidRPr="00D8209D">
        <w:rPr>
          <w:i/>
          <w:sz w:val="24"/>
        </w:rPr>
        <w:t xml:space="preserve"> </w:t>
      </w:r>
      <w:r w:rsidRPr="00D8209D">
        <w:rPr>
          <w:sz w:val="24"/>
        </w:rPr>
        <w:t>se destaca dentre as variáveis, como a que mais influenciou a divulgação da sustentabilidade, o que remete a condição de que o BI, além da disseminação do conhecimento, contribui para melhorar a divulgação das informações das organizações.</w:t>
      </w:r>
    </w:p>
    <w:p w14:paraId="74667644" w14:textId="77777777" w:rsidR="001D2029" w:rsidRPr="0039568C" w:rsidRDefault="001D2029" w:rsidP="001D2029">
      <w:pPr>
        <w:pStyle w:val="PargrafodaLista"/>
        <w:ind w:left="0" w:firstLine="708"/>
        <w:jc w:val="both"/>
        <w:rPr>
          <w:sz w:val="24"/>
        </w:rPr>
      </w:pPr>
      <w:r w:rsidRPr="00B5040A">
        <w:rPr>
          <w:sz w:val="24"/>
        </w:rPr>
        <w:t xml:space="preserve">Como contribuições do </w:t>
      </w:r>
      <w:r>
        <w:rPr>
          <w:sz w:val="24"/>
        </w:rPr>
        <w:t xml:space="preserve">presente estudo, destaca-se a influência do conselho de administração na divulgação da sustentabilidade, o que pode ser um indicador para que órgãos reguladores e organismos </w:t>
      </w:r>
      <w:proofErr w:type="gramStart"/>
      <w:r>
        <w:rPr>
          <w:sz w:val="24"/>
        </w:rPr>
        <w:t>voltamos</w:t>
      </w:r>
      <w:proofErr w:type="gramEnd"/>
      <w:r>
        <w:rPr>
          <w:sz w:val="24"/>
        </w:rPr>
        <w:t xml:space="preserve"> à promoção da sustentabilidade incentivem as empresas a manterem conselhos de administração maiores e mais independentes. Da mesma </w:t>
      </w:r>
      <w:proofErr w:type="gramStart"/>
      <w:r>
        <w:rPr>
          <w:sz w:val="24"/>
        </w:rPr>
        <w:t>foram,</w:t>
      </w:r>
      <w:proofErr w:type="gramEnd"/>
      <w:r>
        <w:rPr>
          <w:sz w:val="24"/>
        </w:rPr>
        <w:t xml:space="preserve"> a troca de informações por meio do </w:t>
      </w:r>
      <w:proofErr w:type="spellStart"/>
      <w:r w:rsidRPr="00B5040A">
        <w:rPr>
          <w:i/>
          <w:sz w:val="24"/>
        </w:rPr>
        <w:t>board</w:t>
      </w:r>
      <w:proofErr w:type="spellEnd"/>
      <w:r w:rsidRPr="00B5040A">
        <w:rPr>
          <w:i/>
          <w:sz w:val="24"/>
        </w:rPr>
        <w:t xml:space="preserve"> </w:t>
      </w:r>
      <w:proofErr w:type="spellStart"/>
      <w:r w:rsidRPr="00B5040A">
        <w:rPr>
          <w:i/>
          <w:sz w:val="24"/>
        </w:rPr>
        <w:t>interlocking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também pode contribuir nesse processo, sendo outro mecanismo a ser incentivado pelos promotores de práticas sustentáveis.  </w:t>
      </w:r>
    </w:p>
    <w:p w14:paraId="19D41461" w14:textId="77777777" w:rsidR="001D2029" w:rsidRPr="00B5040A" w:rsidRDefault="001D2029" w:rsidP="001D2029">
      <w:pPr>
        <w:pStyle w:val="PargrafodaLista"/>
        <w:ind w:left="0" w:firstLine="708"/>
        <w:jc w:val="both"/>
        <w:rPr>
          <w:b/>
          <w:bCs/>
          <w:sz w:val="24"/>
          <w:szCs w:val="24"/>
        </w:rPr>
      </w:pPr>
      <w:r w:rsidRPr="005C7A33">
        <w:rPr>
          <w:sz w:val="24"/>
        </w:rPr>
        <w:t>Destaca-se também que a cultura das empresas brasileiras pode influenciar o resultado de algumas variáveis em comparação a outras pesquisas</w:t>
      </w:r>
      <w:r w:rsidRPr="00B5040A">
        <w:rPr>
          <w:sz w:val="24"/>
        </w:rPr>
        <w:t>.</w:t>
      </w:r>
      <w:r w:rsidRPr="005C7A33">
        <w:rPr>
          <w:sz w:val="24"/>
        </w:rPr>
        <w:t xml:space="preserve"> Como o processo de divulgação da sustentabilidade ainda está em uma fase inicial no Brasil, outros estudos devem ser realizados, com a inserção de novos relatórios de sustentabilidade que vierem a ser divulgados pelas empresas. Para pesquisas futuras também se sugere utilizar outros métodos de evidenciação da divulgação da sustentabilidade, tratamento estatístico por outras ferramentas e incorporação de índices de </w:t>
      </w:r>
      <w:r w:rsidRPr="00435455">
        <w:rPr>
          <w:sz w:val="24"/>
        </w:rPr>
        <w:t>desempenho econômico e financeiro.</w:t>
      </w:r>
      <w:r w:rsidRPr="00435455">
        <w:rPr>
          <w:b/>
          <w:sz w:val="24"/>
        </w:rPr>
        <w:t xml:space="preserve"> </w:t>
      </w:r>
    </w:p>
    <w:p w14:paraId="781E8282" w14:textId="77777777" w:rsidR="001D2029" w:rsidRPr="00435455" w:rsidRDefault="001D2029" w:rsidP="001D2029">
      <w:pPr>
        <w:pStyle w:val="PargrafodaLista"/>
        <w:ind w:left="360"/>
        <w:jc w:val="both"/>
        <w:rPr>
          <w:b/>
          <w:sz w:val="24"/>
        </w:rPr>
      </w:pPr>
    </w:p>
    <w:p w14:paraId="4581BB0C" w14:textId="77777777" w:rsidR="001D2029" w:rsidRPr="001C5552" w:rsidRDefault="001D2029" w:rsidP="001D2029">
      <w:pPr>
        <w:jc w:val="both"/>
        <w:rPr>
          <w:b/>
          <w:sz w:val="24"/>
          <w:szCs w:val="24"/>
          <w:lang w:val="en-US"/>
        </w:rPr>
      </w:pPr>
      <w:r w:rsidRPr="001C5552">
        <w:rPr>
          <w:b/>
          <w:sz w:val="24"/>
          <w:szCs w:val="24"/>
          <w:highlight w:val="white"/>
          <w:lang w:val="en-US"/>
        </w:rPr>
        <w:t>6 REFERÊNCIAS</w:t>
      </w:r>
    </w:p>
    <w:p w14:paraId="1CF1A516" w14:textId="23654C80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>Aguilera, R. V., Williams, C. A., Conley, J. M., &amp; Rupp, D. E. (2006).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Corporate governance and social responsibility: A comparative analysis of the UK and the US.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Corporate Governance: an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I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nternational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R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eview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14</w:t>
      </w:r>
      <w:r w:rsidRPr="001C5552">
        <w:rPr>
          <w:sz w:val="24"/>
          <w:szCs w:val="24"/>
          <w:shd w:val="clear" w:color="auto" w:fill="FFFFFF"/>
          <w:lang w:val="en-US"/>
        </w:rPr>
        <w:t>(3), 147-158.</w:t>
      </w:r>
    </w:p>
    <w:p w14:paraId="7D56FBC7" w14:textId="234B2369" w:rsidR="001D2029" w:rsidRPr="004F0CDE" w:rsidRDefault="001D2029" w:rsidP="003847CF">
      <w:pPr>
        <w:jc w:val="both"/>
        <w:rPr>
          <w:sz w:val="24"/>
          <w:szCs w:val="24"/>
          <w:shd w:val="clear" w:color="auto" w:fill="FFFFFF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lastRenderedPageBreak/>
        <w:t>Andrade, A., &amp; Rossetti, J. P. (2004).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r w:rsidRPr="003847CF">
        <w:rPr>
          <w:sz w:val="24"/>
          <w:szCs w:val="24"/>
          <w:shd w:val="clear" w:color="auto" w:fill="FFFFFF"/>
        </w:rPr>
        <w:t xml:space="preserve">Governança corporativa: fundamentos, desenvolvimento e tendências. </w:t>
      </w:r>
      <w:r w:rsidRPr="004F0CDE">
        <w:rPr>
          <w:sz w:val="24"/>
          <w:szCs w:val="24"/>
          <w:shd w:val="clear" w:color="auto" w:fill="FFFFFF"/>
        </w:rPr>
        <w:t>In </w:t>
      </w:r>
      <w:r w:rsidRPr="004F0CDE">
        <w:rPr>
          <w:i/>
          <w:iCs/>
          <w:sz w:val="24"/>
          <w:szCs w:val="24"/>
          <w:shd w:val="clear" w:color="auto" w:fill="FFFFFF"/>
        </w:rPr>
        <w:t xml:space="preserve">Governança </w:t>
      </w:r>
      <w:r w:rsidR="00D16770" w:rsidRPr="004F0CDE">
        <w:rPr>
          <w:i/>
          <w:iCs/>
          <w:sz w:val="24"/>
          <w:szCs w:val="24"/>
          <w:shd w:val="clear" w:color="auto" w:fill="FFFFFF"/>
        </w:rPr>
        <w:t>Corporativa</w:t>
      </w:r>
      <w:r w:rsidRPr="004F0CDE">
        <w:rPr>
          <w:i/>
          <w:iCs/>
          <w:sz w:val="24"/>
          <w:szCs w:val="24"/>
          <w:shd w:val="clear" w:color="auto" w:fill="FFFFFF"/>
        </w:rPr>
        <w:t xml:space="preserve">: </w:t>
      </w:r>
      <w:r w:rsidR="00D16770" w:rsidRPr="004F0CDE">
        <w:rPr>
          <w:i/>
          <w:iCs/>
          <w:sz w:val="24"/>
          <w:szCs w:val="24"/>
          <w:shd w:val="clear" w:color="auto" w:fill="FFFFFF"/>
        </w:rPr>
        <w:t>Fundamentos</w:t>
      </w:r>
      <w:r w:rsidRPr="004F0CDE">
        <w:rPr>
          <w:i/>
          <w:iCs/>
          <w:sz w:val="24"/>
          <w:szCs w:val="24"/>
          <w:shd w:val="clear" w:color="auto" w:fill="FFFFFF"/>
        </w:rPr>
        <w:t xml:space="preserve">, </w:t>
      </w:r>
      <w:r w:rsidR="00D16770" w:rsidRPr="004F0CDE">
        <w:rPr>
          <w:i/>
          <w:iCs/>
          <w:sz w:val="24"/>
          <w:szCs w:val="24"/>
          <w:shd w:val="clear" w:color="auto" w:fill="FFFFFF"/>
        </w:rPr>
        <w:t xml:space="preserve">Desenvolvimento </w:t>
      </w:r>
      <w:r w:rsidRPr="004F0CDE">
        <w:rPr>
          <w:i/>
          <w:iCs/>
          <w:sz w:val="24"/>
          <w:szCs w:val="24"/>
          <w:shd w:val="clear" w:color="auto" w:fill="FFFFFF"/>
        </w:rPr>
        <w:t xml:space="preserve">e </w:t>
      </w:r>
      <w:r w:rsidR="00D16770" w:rsidRPr="004F0CDE">
        <w:rPr>
          <w:i/>
          <w:iCs/>
          <w:sz w:val="24"/>
          <w:szCs w:val="24"/>
          <w:shd w:val="clear" w:color="auto" w:fill="FFFFFF"/>
        </w:rPr>
        <w:t>Tendências</w:t>
      </w:r>
      <w:r w:rsidRPr="004F0CDE">
        <w:rPr>
          <w:sz w:val="24"/>
          <w:szCs w:val="24"/>
          <w:shd w:val="clear" w:color="auto" w:fill="FFFFFF"/>
        </w:rPr>
        <w:t>. Atlas.</w:t>
      </w:r>
    </w:p>
    <w:p w14:paraId="0D0609BE" w14:textId="77777777" w:rsidR="001D2029" w:rsidRPr="001C5552" w:rsidRDefault="001D2029" w:rsidP="003847CF">
      <w:pPr>
        <w:jc w:val="both"/>
        <w:rPr>
          <w:sz w:val="24"/>
          <w:szCs w:val="24"/>
          <w:lang w:val="en-US"/>
        </w:rPr>
      </w:pPr>
      <w:r w:rsidRPr="004F0CDE">
        <w:rPr>
          <w:sz w:val="24"/>
          <w:szCs w:val="24"/>
        </w:rPr>
        <w:t xml:space="preserve">Aras, G., &amp; </w:t>
      </w:r>
      <w:proofErr w:type="spellStart"/>
      <w:r w:rsidRPr="004F0CDE">
        <w:rPr>
          <w:sz w:val="24"/>
          <w:szCs w:val="24"/>
        </w:rPr>
        <w:t>Crowther</w:t>
      </w:r>
      <w:proofErr w:type="spellEnd"/>
      <w:r w:rsidRPr="004F0CDE">
        <w:rPr>
          <w:sz w:val="24"/>
          <w:szCs w:val="24"/>
        </w:rPr>
        <w:t xml:space="preserve">, </w:t>
      </w:r>
      <w:proofErr w:type="gramStart"/>
      <w:r w:rsidRPr="004F0CDE">
        <w:rPr>
          <w:sz w:val="24"/>
          <w:szCs w:val="24"/>
        </w:rPr>
        <w:t>D.</w:t>
      </w:r>
      <w:proofErr w:type="gramEnd"/>
      <w:r w:rsidRPr="004F0CDE">
        <w:rPr>
          <w:sz w:val="24"/>
          <w:szCs w:val="24"/>
        </w:rPr>
        <w:t xml:space="preserve"> (2008). </w:t>
      </w:r>
      <w:r w:rsidRPr="001C5552">
        <w:rPr>
          <w:sz w:val="24"/>
          <w:szCs w:val="24"/>
          <w:lang w:val="en-US"/>
        </w:rPr>
        <w:t>Governance and sustainability: An investigation into the relationship between corporate governance and corporate sustainability. </w:t>
      </w:r>
      <w:r w:rsidRPr="001C5552">
        <w:rPr>
          <w:i/>
          <w:iCs/>
          <w:sz w:val="24"/>
          <w:szCs w:val="24"/>
          <w:lang w:val="en-US"/>
        </w:rPr>
        <w:t>Management Decision</w:t>
      </w:r>
      <w:r w:rsidRPr="001C5552">
        <w:rPr>
          <w:sz w:val="24"/>
          <w:szCs w:val="24"/>
          <w:lang w:val="en-US"/>
        </w:rPr>
        <w:t>, </w:t>
      </w:r>
      <w:r w:rsidRPr="001C5552">
        <w:rPr>
          <w:i/>
          <w:iCs/>
          <w:sz w:val="24"/>
          <w:szCs w:val="24"/>
          <w:lang w:val="en-US"/>
        </w:rPr>
        <w:t>46</w:t>
      </w:r>
      <w:r w:rsidRPr="001C5552">
        <w:rPr>
          <w:sz w:val="24"/>
          <w:szCs w:val="24"/>
          <w:lang w:val="en-US"/>
        </w:rPr>
        <w:t>(3), 433-448.</w:t>
      </w:r>
    </w:p>
    <w:p w14:paraId="3BB068A9" w14:textId="149A485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Archel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P.,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Fernández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M., &amp; Larrinaga, C. (2008).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The organizational and operational boundaries of triple bottom line reporting: a survey.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Environmental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M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>anagement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41</w:t>
      </w:r>
      <w:r w:rsidRPr="001C5552">
        <w:rPr>
          <w:sz w:val="24"/>
          <w:szCs w:val="24"/>
          <w:shd w:val="clear" w:color="auto" w:fill="FFFFFF"/>
          <w:lang w:val="en-US"/>
        </w:rPr>
        <w:t>(1), 106-117.</w:t>
      </w:r>
    </w:p>
    <w:p w14:paraId="79ABDC6E" w14:textId="77777777" w:rsidR="001D2029" w:rsidRPr="003847CF" w:rsidRDefault="001D2029" w:rsidP="003847CF">
      <w:pPr>
        <w:jc w:val="both"/>
        <w:rPr>
          <w:sz w:val="24"/>
          <w:szCs w:val="24"/>
          <w:lang w:val="en-US"/>
        </w:rPr>
      </w:pPr>
      <w:r w:rsidRPr="001C5552">
        <w:rPr>
          <w:sz w:val="24"/>
          <w:szCs w:val="24"/>
          <w:shd w:val="clear" w:color="auto" w:fill="FFFFFF"/>
          <w:lang w:val="en-US"/>
        </w:rPr>
        <w:t xml:space="preserve">Ashcroft, P. A. (2012).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Extent of environmental disclosure of US and Canadian firms by annual report location.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Advances in Accounting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28</w:t>
      </w:r>
      <w:r w:rsidRPr="001C5552">
        <w:rPr>
          <w:sz w:val="24"/>
          <w:szCs w:val="24"/>
          <w:shd w:val="clear" w:color="auto" w:fill="FFFFFF"/>
          <w:lang w:val="en-US"/>
        </w:rPr>
        <w:t>(2), 279-292.</w:t>
      </w:r>
    </w:p>
    <w:p w14:paraId="51345B46" w14:textId="14C76584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Asif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M., Searcy, C.,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Zutshi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A.,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Fisscher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O. A. (2013).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An integrated management systems approach to corporate social responsibility.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Journal of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C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leaner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P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>roduction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56</w:t>
      </w:r>
      <w:r w:rsidRPr="001C5552">
        <w:rPr>
          <w:sz w:val="24"/>
          <w:szCs w:val="24"/>
          <w:shd w:val="clear" w:color="auto" w:fill="FFFFFF"/>
          <w:lang w:val="en-US"/>
        </w:rPr>
        <w:t>, 7-17.</w:t>
      </w:r>
    </w:p>
    <w:p w14:paraId="609E7B3F" w14:textId="29D5436D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Bansal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P. (2005).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Evolving sustainably: A longitudinal study of corporate sustainable development.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Strategic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r w:rsidR="00705221">
        <w:rPr>
          <w:i/>
          <w:iCs/>
          <w:sz w:val="24"/>
          <w:szCs w:val="24"/>
          <w:shd w:val="clear" w:color="auto" w:fill="FFFFFF"/>
        </w:rPr>
        <w:t>M</w:t>
      </w:r>
      <w:r w:rsidR="00705221" w:rsidRPr="003847CF">
        <w:rPr>
          <w:i/>
          <w:iCs/>
          <w:sz w:val="24"/>
          <w:szCs w:val="24"/>
          <w:shd w:val="clear" w:color="auto" w:fill="FFFFFF"/>
        </w:rPr>
        <w:t xml:space="preserve">anagement </w:t>
      </w:r>
      <w:proofErr w:type="spellStart"/>
      <w:r w:rsidR="00705221">
        <w:rPr>
          <w:i/>
          <w:iCs/>
          <w:sz w:val="24"/>
          <w:szCs w:val="24"/>
          <w:shd w:val="clear" w:color="auto" w:fill="FFFFFF"/>
        </w:rPr>
        <w:t>J</w:t>
      </w:r>
      <w:r w:rsidRPr="003847CF">
        <w:rPr>
          <w:i/>
          <w:iCs/>
          <w:sz w:val="24"/>
          <w:szCs w:val="24"/>
          <w:shd w:val="clear" w:color="auto" w:fill="FFFFFF"/>
        </w:rPr>
        <w:t>ournal</w:t>
      </w:r>
      <w:proofErr w:type="spellEnd"/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26</w:t>
      </w:r>
      <w:r w:rsidRPr="003847CF">
        <w:rPr>
          <w:sz w:val="24"/>
          <w:szCs w:val="24"/>
          <w:shd w:val="clear" w:color="auto" w:fill="FFFFFF"/>
        </w:rPr>
        <w:t>(3), 197-218.</w:t>
      </w:r>
    </w:p>
    <w:p w14:paraId="3AEB1287" w14:textId="0420EDDE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r w:rsidRPr="003847CF">
        <w:rPr>
          <w:sz w:val="24"/>
          <w:szCs w:val="24"/>
          <w:shd w:val="clear" w:color="auto" w:fill="FFFFFF"/>
        </w:rPr>
        <w:t xml:space="preserve">Bomfim, E. T. </w:t>
      </w:r>
      <w:proofErr w:type="gramStart"/>
      <w:r w:rsidRPr="003847CF">
        <w:rPr>
          <w:sz w:val="24"/>
          <w:szCs w:val="24"/>
          <w:shd w:val="clear" w:color="auto" w:fill="FFFFFF"/>
        </w:rPr>
        <w:t>D.</w:t>
      </w:r>
      <w:proofErr w:type="gramEnd"/>
      <w:r w:rsidRPr="003847CF">
        <w:rPr>
          <w:sz w:val="24"/>
          <w:szCs w:val="24"/>
          <w:shd w:val="clear" w:color="auto" w:fill="FFFFFF"/>
        </w:rPr>
        <w:t xml:space="preserve">, Teixeira, W. D. S., &amp; Monte, P. A. </w:t>
      </w:r>
      <w:proofErr w:type="gramStart"/>
      <w:r w:rsidRPr="003847CF">
        <w:rPr>
          <w:sz w:val="24"/>
          <w:szCs w:val="24"/>
          <w:shd w:val="clear" w:color="auto" w:fill="FFFFFF"/>
        </w:rPr>
        <w:t>D.</w:t>
      </w:r>
      <w:proofErr w:type="gramEnd"/>
      <w:r w:rsidRPr="003847CF">
        <w:rPr>
          <w:sz w:val="24"/>
          <w:szCs w:val="24"/>
          <w:shd w:val="clear" w:color="auto" w:fill="FFFFFF"/>
        </w:rPr>
        <w:t xml:space="preserve"> (2015). Relação entre o </w:t>
      </w:r>
      <w:proofErr w:type="spellStart"/>
      <w:r w:rsidRPr="003847CF">
        <w:rPr>
          <w:sz w:val="24"/>
          <w:szCs w:val="24"/>
          <w:shd w:val="clear" w:color="auto" w:fill="FFFFFF"/>
        </w:rPr>
        <w:t>disclosure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da sustentabilidade com a governança corporativa: Um estudo nas empresas listadas no Ibrx-100. </w:t>
      </w:r>
      <w:proofErr w:type="spellStart"/>
      <w:r w:rsidRPr="001C5552">
        <w:rPr>
          <w:i/>
          <w:iCs/>
          <w:sz w:val="24"/>
          <w:szCs w:val="24"/>
          <w:shd w:val="clear" w:color="auto" w:fill="FFFFFF"/>
          <w:lang w:val="en-US"/>
        </w:rPr>
        <w:t>Sociedade</w:t>
      </w:r>
      <w:proofErr w:type="spellEnd"/>
      <w:r w:rsidRPr="001C5552">
        <w:rPr>
          <w:i/>
          <w:iCs/>
          <w:sz w:val="24"/>
          <w:szCs w:val="24"/>
          <w:shd w:val="clear" w:color="auto" w:fill="FFFFFF"/>
          <w:lang w:val="en-US"/>
        </w:rPr>
        <w:t>, Contabilidade e Gestão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10</w:t>
      </w:r>
      <w:r w:rsidRPr="001C5552">
        <w:rPr>
          <w:sz w:val="24"/>
          <w:szCs w:val="24"/>
          <w:shd w:val="clear" w:color="auto" w:fill="FFFFFF"/>
          <w:lang w:val="en-US"/>
        </w:rPr>
        <w:t>(1)</w:t>
      </w:r>
      <w:r w:rsidR="00705221">
        <w:rPr>
          <w:sz w:val="24"/>
          <w:szCs w:val="24"/>
          <w:shd w:val="clear" w:color="auto" w:fill="FFFFFF"/>
          <w:lang w:val="en-US"/>
        </w:rPr>
        <w:t>, 6-28</w:t>
      </w:r>
      <w:r w:rsidRPr="001C5552">
        <w:rPr>
          <w:sz w:val="24"/>
          <w:szCs w:val="24"/>
          <w:shd w:val="clear" w:color="auto" w:fill="FFFFFF"/>
          <w:lang w:val="en-US"/>
        </w:rPr>
        <w:t>.</w:t>
      </w:r>
    </w:p>
    <w:p w14:paraId="67329B6F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Bouwman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C. H. (2011).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Corporate governance propagation through overlapping directors.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proofErr w:type="gramStart"/>
      <w:r w:rsidRPr="001C5552">
        <w:rPr>
          <w:i/>
          <w:iCs/>
          <w:sz w:val="24"/>
          <w:szCs w:val="24"/>
          <w:shd w:val="clear" w:color="auto" w:fill="FFFFFF"/>
          <w:lang w:val="en-US"/>
        </w:rPr>
        <w:t>The Review of Financial Studies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24</w:t>
      </w:r>
      <w:r w:rsidRPr="001C5552">
        <w:rPr>
          <w:sz w:val="24"/>
          <w:szCs w:val="24"/>
          <w:shd w:val="clear" w:color="auto" w:fill="FFFFFF"/>
          <w:lang w:val="en-US"/>
        </w:rPr>
        <w:t>(7), 2358-2394.</w:t>
      </w:r>
      <w:proofErr w:type="gramEnd"/>
    </w:p>
    <w:p w14:paraId="1B81DBBA" w14:textId="77777777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r w:rsidRPr="001C5552">
        <w:rPr>
          <w:sz w:val="24"/>
          <w:szCs w:val="24"/>
          <w:shd w:val="clear" w:color="auto" w:fill="FFFFFF"/>
          <w:lang w:val="en-US"/>
        </w:rPr>
        <w:t xml:space="preserve">Carpenter, M. A.,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Westphal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J. D. (2001). The strategic context of external network ties: Examining the impact of director appointments on board involvement in strategic decision making. 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Academy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of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Management </w:t>
      </w:r>
      <w:proofErr w:type="spellStart"/>
      <w:r w:rsidR="001C5552" w:rsidRPr="003847CF">
        <w:rPr>
          <w:i/>
          <w:iCs/>
          <w:sz w:val="24"/>
          <w:szCs w:val="24"/>
          <w:shd w:val="clear" w:color="auto" w:fill="FFFFFF"/>
        </w:rPr>
        <w:t>J</w:t>
      </w:r>
      <w:r w:rsidRPr="003847CF">
        <w:rPr>
          <w:i/>
          <w:iCs/>
          <w:sz w:val="24"/>
          <w:szCs w:val="24"/>
          <w:shd w:val="clear" w:color="auto" w:fill="FFFFFF"/>
        </w:rPr>
        <w:t>ournal</w:t>
      </w:r>
      <w:proofErr w:type="spellEnd"/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44</w:t>
      </w:r>
      <w:r w:rsidRPr="003847CF">
        <w:rPr>
          <w:sz w:val="24"/>
          <w:szCs w:val="24"/>
          <w:shd w:val="clear" w:color="auto" w:fill="FFFFFF"/>
        </w:rPr>
        <w:t>(4), 639-660.</w:t>
      </w:r>
    </w:p>
    <w:p w14:paraId="5FD71F59" w14:textId="10A3137C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r w:rsidRPr="003847CF">
        <w:rPr>
          <w:sz w:val="24"/>
          <w:szCs w:val="24"/>
          <w:shd w:val="clear" w:color="auto" w:fill="FFFFFF"/>
        </w:rPr>
        <w:t>De Carvalho, A. G. (2002). Governança corporativa no Brasil em perspectiva. </w:t>
      </w:r>
      <w:r w:rsidRPr="003847CF">
        <w:rPr>
          <w:i/>
          <w:iCs/>
          <w:sz w:val="24"/>
          <w:szCs w:val="24"/>
          <w:shd w:val="clear" w:color="auto" w:fill="FFFFFF"/>
        </w:rPr>
        <w:t>Revista de Administra</w:t>
      </w:r>
      <w:r w:rsidR="00D16770">
        <w:rPr>
          <w:i/>
          <w:iCs/>
          <w:sz w:val="24"/>
          <w:szCs w:val="24"/>
          <w:shd w:val="clear" w:color="auto" w:fill="FFFFFF"/>
        </w:rPr>
        <w:t>ç</w:t>
      </w:r>
      <w:r w:rsidRPr="003847CF">
        <w:rPr>
          <w:i/>
          <w:iCs/>
          <w:sz w:val="24"/>
          <w:szCs w:val="24"/>
          <w:shd w:val="clear" w:color="auto" w:fill="FFFFFF"/>
        </w:rPr>
        <w:t>ão da Universidade de São Paulo</w:t>
      </w:r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37</w:t>
      </w:r>
      <w:r w:rsidRPr="003847CF">
        <w:rPr>
          <w:sz w:val="24"/>
          <w:szCs w:val="24"/>
          <w:shd w:val="clear" w:color="auto" w:fill="FFFFFF"/>
        </w:rPr>
        <w:t>(3)</w:t>
      </w:r>
      <w:r w:rsidR="00D16770">
        <w:rPr>
          <w:sz w:val="24"/>
          <w:szCs w:val="24"/>
          <w:shd w:val="clear" w:color="auto" w:fill="FFFFFF"/>
        </w:rPr>
        <w:t>, 19-32</w:t>
      </w:r>
      <w:r w:rsidRPr="003847CF">
        <w:rPr>
          <w:sz w:val="24"/>
          <w:szCs w:val="24"/>
          <w:shd w:val="clear" w:color="auto" w:fill="FFFFFF"/>
        </w:rPr>
        <w:t>.</w:t>
      </w:r>
    </w:p>
    <w:p w14:paraId="5ADA7CB0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r w:rsidRPr="00042741">
        <w:rPr>
          <w:sz w:val="24"/>
          <w:szCs w:val="24"/>
          <w:shd w:val="clear" w:color="auto" w:fill="FFFFFF"/>
        </w:rPr>
        <w:t>Chen, C. J</w:t>
      </w:r>
      <w:proofErr w:type="gramStart"/>
      <w:r w:rsidRPr="00042741">
        <w:rPr>
          <w:sz w:val="24"/>
          <w:szCs w:val="24"/>
          <w:shd w:val="clear" w:color="auto" w:fill="FFFFFF"/>
        </w:rPr>
        <w:t>.,</w:t>
      </w:r>
      <w:proofErr w:type="gramEnd"/>
      <w:r w:rsidRPr="00042741">
        <w:rPr>
          <w:sz w:val="24"/>
          <w:szCs w:val="24"/>
          <w:shd w:val="clear" w:color="auto" w:fill="FFFFFF"/>
        </w:rPr>
        <w:t xml:space="preserve"> &amp; </w:t>
      </w:r>
      <w:proofErr w:type="spellStart"/>
      <w:r w:rsidRPr="00042741">
        <w:rPr>
          <w:sz w:val="24"/>
          <w:szCs w:val="24"/>
          <w:shd w:val="clear" w:color="auto" w:fill="FFFFFF"/>
        </w:rPr>
        <w:t>Jaggi</w:t>
      </w:r>
      <w:proofErr w:type="spellEnd"/>
      <w:r w:rsidRPr="00042741">
        <w:rPr>
          <w:sz w:val="24"/>
          <w:szCs w:val="24"/>
          <w:shd w:val="clear" w:color="auto" w:fill="FFFFFF"/>
        </w:rPr>
        <w:t xml:space="preserve">, B. (2000).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Association between independent non-executive directors, family control and financial disclosures in Hong Kong.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proofErr w:type="gramStart"/>
      <w:r w:rsidRPr="001C5552">
        <w:rPr>
          <w:i/>
          <w:iCs/>
          <w:sz w:val="24"/>
          <w:szCs w:val="24"/>
          <w:shd w:val="clear" w:color="auto" w:fill="FFFFFF"/>
          <w:lang w:val="en-US"/>
        </w:rPr>
        <w:t>Journal of Accounting and Public policy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19</w:t>
      </w:r>
      <w:r w:rsidRPr="001C5552">
        <w:rPr>
          <w:sz w:val="24"/>
          <w:szCs w:val="24"/>
          <w:shd w:val="clear" w:color="auto" w:fill="FFFFFF"/>
          <w:lang w:val="en-US"/>
        </w:rPr>
        <w:t>(4-5), 285-310.</w:t>
      </w:r>
      <w:proofErr w:type="gramEnd"/>
    </w:p>
    <w:p w14:paraId="0AEE403C" w14:textId="6D4030BC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>Cheng, E. C., &amp; Courtenay, S. M. (2006).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Board composition, regulatory regime and voluntary disclosure.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3847CF">
        <w:rPr>
          <w:i/>
          <w:iCs/>
          <w:sz w:val="24"/>
          <w:szCs w:val="24"/>
          <w:shd w:val="clear" w:color="auto" w:fill="FFFFFF"/>
        </w:rPr>
        <w:t xml:space="preserve">The </w:t>
      </w:r>
      <w:proofErr w:type="spellStart"/>
      <w:r w:rsidR="00705221">
        <w:rPr>
          <w:i/>
          <w:iCs/>
          <w:sz w:val="24"/>
          <w:szCs w:val="24"/>
          <w:shd w:val="clear" w:color="auto" w:fill="FFFFFF"/>
        </w:rPr>
        <w:t>I</w:t>
      </w:r>
      <w:r w:rsidR="00705221" w:rsidRPr="003847CF">
        <w:rPr>
          <w:i/>
          <w:iCs/>
          <w:sz w:val="24"/>
          <w:szCs w:val="24"/>
          <w:shd w:val="clear" w:color="auto" w:fill="FFFFFF"/>
        </w:rPr>
        <w:t>nternational</w:t>
      </w:r>
      <w:proofErr w:type="spellEnd"/>
      <w:r w:rsidR="00705221"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05221">
        <w:rPr>
          <w:i/>
          <w:iCs/>
          <w:sz w:val="24"/>
          <w:szCs w:val="24"/>
          <w:shd w:val="clear" w:color="auto" w:fill="FFFFFF"/>
        </w:rPr>
        <w:t>J</w:t>
      </w:r>
      <w:r w:rsidR="00705221" w:rsidRPr="003847CF">
        <w:rPr>
          <w:i/>
          <w:iCs/>
          <w:sz w:val="24"/>
          <w:szCs w:val="24"/>
          <w:shd w:val="clear" w:color="auto" w:fill="FFFFFF"/>
        </w:rPr>
        <w:t>ournal</w:t>
      </w:r>
      <w:proofErr w:type="spellEnd"/>
      <w:r w:rsidR="00705221"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of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05221">
        <w:rPr>
          <w:i/>
          <w:iCs/>
          <w:sz w:val="24"/>
          <w:szCs w:val="24"/>
          <w:shd w:val="clear" w:color="auto" w:fill="FFFFFF"/>
        </w:rPr>
        <w:t>A</w:t>
      </w:r>
      <w:r w:rsidR="00705221" w:rsidRPr="003847CF">
        <w:rPr>
          <w:i/>
          <w:iCs/>
          <w:sz w:val="24"/>
          <w:szCs w:val="24"/>
          <w:shd w:val="clear" w:color="auto" w:fill="FFFFFF"/>
        </w:rPr>
        <w:t>ccounting</w:t>
      </w:r>
      <w:proofErr w:type="spellEnd"/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41</w:t>
      </w:r>
      <w:r w:rsidRPr="003847CF">
        <w:rPr>
          <w:sz w:val="24"/>
          <w:szCs w:val="24"/>
          <w:shd w:val="clear" w:color="auto" w:fill="FFFFFF"/>
        </w:rPr>
        <w:t>(3), 262-289.</w:t>
      </w:r>
    </w:p>
    <w:p w14:paraId="7122FE88" w14:textId="138CF0A6" w:rsidR="001D2029" w:rsidRPr="003847CF" w:rsidRDefault="001D2029" w:rsidP="003847CF">
      <w:pPr>
        <w:jc w:val="both"/>
        <w:rPr>
          <w:sz w:val="24"/>
          <w:szCs w:val="24"/>
          <w:lang w:val="en-US"/>
        </w:rPr>
      </w:pPr>
      <w:r w:rsidRPr="001C5552">
        <w:rPr>
          <w:sz w:val="24"/>
          <w:szCs w:val="24"/>
          <w:shd w:val="clear" w:color="auto" w:fill="FFFFFF"/>
          <w:lang w:val="en-US"/>
        </w:rPr>
        <w:t xml:space="preserve">Clarkson, M. E. (1995).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A stakeholder framework for analyzing and evaluating corporate social performance.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 xml:space="preserve">Academy of </w:t>
      </w:r>
      <w:r w:rsidR="00D16770" w:rsidRPr="00042741">
        <w:rPr>
          <w:i/>
          <w:iCs/>
          <w:sz w:val="24"/>
          <w:szCs w:val="24"/>
          <w:shd w:val="clear" w:color="auto" w:fill="FFFFFF"/>
          <w:lang w:val="en-US"/>
        </w:rPr>
        <w:t>Management R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eview</w:t>
      </w:r>
      <w:r w:rsidRPr="00042741">
        <w:rPr>
          <w:sz w:val="24"/>
          <w:szCs w:val="24"/>
          <w:shd w:val="clear" w:color="auto" w:fill="FFFFFF"/>
          <w:lang w:val="en-US"/>
        </w:rPr>
        <w:t>,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20</w:t>
      </w:r>
      <w:r w:rsidRPr="00042741">
        <w:rPr>
          <w:sz w:val="24"/>
          <w:szCs w:val="24"/>
          <w:shd w:val="clear" w:color="auto" w:fill="FFFFFF"/>
          <w:lang w:val="en-US"/>
        </w:rPr>
        <w:t>(1), 92-117</w:t>
      </w:r>
      <w:r w:rsidRPr="003847CF">
        <w:rPr>
          <w:sz w:val="24"/>
          <w:szCs w:val="24"/>
          <w:shd w:val="clear" w:color="auto" w:fill="FFFFFF"/>
          <w:lang w:val="en-US"/>
        </w:rPr>
        <w:t xml:space="preserve">. </w:t>
      </w:r>
    </w:p>
    <w:p w14:paraId="668BA535" w14:textId="03DB97A0" w:rsidR="001D2029" w:rsidRPr="003847CF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Dahlsrud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A. (2008). How corporate social responsibility is defined: an analysis of 37 definitions.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Corporate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S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ocial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R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esponsibility 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and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E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nvironmental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M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>anagement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15</w:t>
      </w:r>
      <w:r w:rsidRPr="001C5552">
        <w:rPr>
          <w:sz w:val="24"/>
          <w:szCs w:val="24"/>
          <w:shd w:val="clear" w:color="auto" w:fill="FFFFFF"/>
          <w:lang w:val="en-US"/>
        </w:rPr>
        <w:t>(1), 1-13</w:t>
      </w:r>
      <w:r w:rsidRPr="003847CF">
        <w:rPr>
          <w:sz w:val="24"/>
          <w:szCs w:val="24"/>
          <w:shd w:val="clear" w:color="auto" w:fill="FFFFFF"/>
          <w:lang w:val="en-US"/>
        </w:rPr>
        <w:t>.</w:t>
      </w:r>
    </w:p>
    <w:p w14:paraId="164DE18F" w14:textId="600E46EF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 xml:space="preserve">Davison, A. G.,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Stening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B. W.,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Wai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W. T. (1984).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Auditor concentration and the impact of interlocking directorates.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Journal of Accounting Research</w:t>
      </w:r>
      <w:r w:rsidRPr="001C5552">
        <w:rPr>
          <w:sz w:val="24"/>
          <w:szCs w:val="24"/>
          <w:shd w:val="clear" w:color="auto" w:fill="FFFFFF"/>
          <w:lang w:val="en-US"/>
        </w:rPr>
        <w:t>,</w:t>
      </w:r>
      <w:r w:rsidR="00705221">
        <w:rPr>
          <w:sz w:val="24"/>
          <w:szCs w:val="24"/>
          <w:shd w:val="clear" w:color="auto" w:fill="FFFFFF"/>
          <w:lang w:val="en-US"/>
        </w:rPr>
        <w:t xml:space="preserve"> </w:t>
      </w:r>
      <w:r w:rsidR="00705221" w:rsidRPr="004554FF">
        <w:rPr>
          <w:i/>
          <w:sz w:val="24"/>
          <w:szCs w:val="24"/>
          <w:shd w:val="clear" w:color="auto" w:fill="FFFFFF"/>
          <w:lang w:val="en-US"/>
        </w:rPr>
        <w:t>22</w:t>
      </w:r>
      <w:r w:rsidR="00705221">
        <w:rPr>
          <w:sz w:val="24"/>
          <w:szCs w:val="24"/>
          <w:shd w:val="clear" w:color="auto" w:fill="FFFFFF"/>
          <w:lang w:val="en-US"/>
        </w:rPr>
        <w:t>(1),</w:t>
      </w:r>
      <w:r w:rsidRPr="001C5552">
        <w:rPr>
          <w:sz w:val="24"/>
          <w:szCs w:val="24"/>
          <w:shd w:val="clear" w:color="auto" w:fill="FFFFFF"/>
          <w:lang w:val="en-US"/>
        </w:rPr>
        <w:t xml:space="preserve"> 313-317.</w:t>
      </w:r>
    </w:p>
    <w:p w14:paraId="44D2F5BA" w14:textId="3981DCAD" w:rsidR="001D2029" w:rsidRPr="00042741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Deegan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C., &amp; Gordon, B. (1996).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A study of the environmental disclosure practices of Australian corporations.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 xml:space="preserve">Accounting and </w:t>
      </w:r>
      <w:r w:rsidR="00D16770" w:rsidRPr="00042741">
        <w:rPr>
          <w:i/>
          <w:iCs/>
          <w:sz w:val="24"/>
          <w:szCs w:val="24"/>
          <w:shd w:val="clear" w:color="auto" w:fill="FFFFFF"/>
          <w:lang w:val="en-US"/>
        </w:rPr>
        <w:t>Business Research</w:t>
      </w:r>
      <w:r w:rsidRPr="00042741">
        <w:rPr>
          <w:sz w:val="24"/>
          <w:szCs w:val="24"/>
          <w:shd w:val="clear" w:color="auto" w:fill="FFFFFF"/>
          <w:lang w:val="en-US"/>
        </w:rPr>
        <w:t>,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26</w:t>
      </w:r>
      <w:r w:rsidRPr="00042741">
        <w:rPr>
          <w:sz w:val="24"/>
          <w:szCs w:val="24"/>
          <w:shd w:val="clear" w:color="auto" w:fill="FFFFFF"/>
          <w:lang w:val="en-US"/>
        </w:rPr>
        <w:t>(3), 187-199.</w:t>
      </w:r>
    </w:p>
    <w:p w14:paraId="6C29C50C" w14:textId="77777777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Devinney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T. M.,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Schwalbach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J., &amp; Williams, C. A. (2013).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r w:rsidRPr="003847CF">
        <w:rPr>
          <w:sz w:val="24"/>
          <w:szCs w:val="24"/>
          <w:shd w:val="clear" w:color="auto" w:fill="FFFFFF"/>
        </w:rPr>
        <w:t xml:space="preserve">Corporate social </w:t>
      </w:r>
      <w:proofErr w:type="spellStart"/>
      <w:r w:rsidRPr="003847CF">
        <w:rPr>
          <w:sz w:val="24"/>
          <w:szCs w:val="24"/>
          <w:shd w:val="clear" w:color="auto" w:fill="FFFFFF"/>
        </w:rPr>
        <w:t>responsibility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and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corporate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governance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: </w:t>
      </w:r>
      <w:proofErr w:type="spellStart"/>
      <w:r w:rsidRPr="003847CF">
        <w:rPr>
          <w:sz w:val="24"/>
          <w:szCs w:val="24"/>
          <w:shd w:val="clear" w:color="auto" w:fill="FFFFFF"/>
        </w:rPr>
        <w:t>Comparative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gramStart"/>
      <w:r w:rsidRPr="003847CF">
        <w:rPr>
          <w:sz w:val="24"/>
          <w:szCs w:val="24"/>
          <w:shd w:val="clear" w:color="auto" w:fill="FFFFFF"/>
        </w:rPr>
        <w:t>perspectives</w:t>
      </w:r>
      <w:proofErr w:type="gramEnd"/>
      <w:r w:rsidRPr="003847CF">
        <w:rPr>
          <w:sz w:val="24"/>
          <w:szCs w:val="24"/>
          <w:shd w:val="clear" w:color="auto" w:fill="FFFFFF"/>
        </w:rPr>
        <w:t>. </w:t>
      </w:r>
      <w:r w:rsidRPr="003847CF">
        <w:rPr>
          <w:i/>
          <w:iCs/>
          <w:sz w:val="24"/>
          <w:szCs w:val="24"/>
          <w:shd w:val="clear" w:color="auto" w:fill="FFFFFF"/>
        </w:rPr>
        <w:t xml:space="preserve">Corporate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Governance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An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International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Review</w:t>
      </w:r>
      <w:proofErr w:type="spellEnd"/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21</w:t>
      </w:r>
      <w:r w:rsidRPr="003847CF">
        <w:rPr>
          <w:sz w:val="24"/>
          <w:szCs w:val="24"/>
          <w:shd w:val="clear" w:color="auto" w:fill="FFFFFF"/>
        </w:rPr>
        <w:t>(5), 413-419.</w:t>
      </w:r>
    </w:p>
    <w:p w14:paraId="19794D74" w14:textId="6387412B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 w:rsidRPr="003847CF">
        <w:rPr>
          <w:sz w:val="24"/>
          <w:szCs w:val="24"/>
          <w:shd w:val="clear" w:color="auto" w:fill="FFFFFF"/>
        </w:rPr>
        <w:t>Domench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, P. A. (2003). La </w:t>
      </w:r>
      <w:proofErr w:type="spellStart"/>
      <w:r w:rsidRPr="003847CF">
        <w:rPr>
          <w:sz w:val="24"/>
          <w:szCs w:val="24"/>
          <w:shd w:val="clear" w:color="auto" w:fill="FFFFFF"/>
        </w:rPr>
        <w:t>divulgación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de </w:t>
      </w:r>
      <w:proofErr w:type="spellStart"/>
      <w:proofErr w:type="gramStart"/>
      <w:r w:rsidRPr="003847CF">
        <w:rPr>
          <w:sz w:val="24"/>
          <w:szCs w:val="24"/>
          <w:shd w:val="clear" w:color="auto" w:fill="FFFFFF"/>
        </w:rPr>
        <w:t>la</w:t>
      </w:r>
      <w:proofErr w:type="spellEnd"/>
      <w:proofErr w:type="gram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información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social y </w:t>
      </w:r>
      <w:proofErr w:type="spellStart"/>
      <w:r w:rsidRPr="003847CF">
        <w:rPr>
          <w:sz w:val="24"/>
          <w:szCs w:val="24"/>
          <w:shd w:val="clear" w:color="auto" w:fill="FFFFFF"/>
        </w:rPr>
        <w:t>medioambiental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de </w:t>
      </w:r>
      <w:proofErr w:type="spellStart"/>
      <w:r w:rsidRPr="003847CF">
        <w:rPr>
          <w:sz w:val="24"/>
          <w:szCs w:val="24"/>
          <w:shd w:val="clear" w:color="auto" w:fill="FFFFFF"/>
        </w:rPr>
        <w:t>la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gran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empresa </w:t>
      </w:r>
      <w:proofErr w:type="spellStart"/>
      <w:r w:rsidRPr="003847CF">
        <w:rPr>
          <w:sz w:val="24"/>
          <w:szCs w:val="24"/>
          <w:shd w:val="clear" w:color="auto" w:fill="FFFFFF"/>
        </w:rPr>
        <w:t>española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en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el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período 1994–1998: </w:t>
      </w:r>
      <w:proofErr w:type="spellStart"/>
      <w:r w:rsidRPr="003847CF">
        <w:rPr>
          <w:sz w:val="24"/>
          <w:szCs w:val="24"/>
          <w:shd w:val="clear" w:color="auto" w:fill="FFFFFF"/>
        </w:rPr>
        <w:t>situación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actual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y perspectivas.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Spanish Journal of Finance and Accounting/Revista Española de </w:t>
      </w:r>
      <w:proofErr w:type="spellStart"/>
      <w:r w:rsidR="00705221">
        <w:rPr>
          <w:i/>
          <w:iCs/>
          <w:sz w:val="24"/>
          <w:szCs w:val="24"/>
          <w:shd w:val="clear" w:color="auto" w:fill="FFFFFF"/>
          <w:lang w:val="en-US"/>
        </w:rPr>
        <w:t>F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>inanciación</w:t>
      </w:r>
      <w:proofErr w:type="spellEnd"/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y </w:t>
      </w:r>
      <w:proofErr w:type="spellStart"/>
      <w:r w:rsidR="00705221">
        <w:rPr>
          <w:i/>
          <w:iCs/>
          <w:sz w:val="24"/>
          <w:szCs w:val="24"/>
          <w:shd w:val="clear" w:color="auto" w:fill="FFFFFF"/>
          <w:lang w:val="en-US"/>
        </w:rPr>
        <w:t>C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>ontabilidad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32</w:t>
      </w:r>
      <w:r w:rsidRPr="001C5552">
        <w:rPr>
          <w:sz w:val="24"/>
          <w:szCs w:val="24"/>
          <w:shd w:val="clear" w:color="auto" w:fill="FFFFFF"/>
          <w:lang w:val="en-US"/>
        </w:rPr>
        <w:t>(117), 571-601.</w:t>
      </w:r>
    </w:p>
    <w:p w14:paraId="5D9D2ACA" w14:textId="56DBFFC3" w:rsidR="001D2029" w:rsidRPr="003847CF" w:rsidRDefault="001D2029" w:rsidP="003847CF">
      <w:pPr>
        <w:jc w:val="both"/>
        <w:rPr>
          <w:sz w:val="24"/>
          <w:szCs w:val="24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>Donaldson, T., &amp; Preston, L. E. (1995).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The stakeholder theory of the corporation: Concepts, evidence, and implications.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Academy of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M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anagement 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Review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20</w:t>
      </w:r>
      <w:r w:rsidRPr="001C5552">
        <w:rPr>
          <w:sz w:val="24"/>
          <w:szCs w:val="24"/>
          <w:shd w:val="clear" w:color="auto" w:fill="FFFFFF"/>
          <w:lang w:val="en-US"/>
        </w:rPr>
        <w:t>(1), 65-91.</w:t>
      </w:r>
    </w:p>
    <w:p w14:paraId="717F6471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r w:rsidRPr="001C5552">
        <w:rPr>
          <w:sz w:val="24"/>
          <w:szCs w:val="24"/>
          <w:shd w:val="clear" w:color="auto" w:fill="FFFFFF"/>
          <w:lang w:val="en-US"/>
        </w:rPr>
        <w:lastRenderedPageBreak/>
        <w:t xml:space="preserve">Dooley, P. C. (1969).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The interlocking directorate.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The American Economic Review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59</w:t>
      </w:r>
      <w:r w:rsidRPr="001C5552">
        <w:rPr>
          <w:sz w:val="24"/>
          <w:szCs w:val="24"/>
          <w:shd w:val="clear" w:color="auto" w:fill="FFFFFF"/>
          <w:lang w:val="en-US"/>
        </w:rPr>
        <w:t>(3), 314-323.</w:t>
      </w:r>
    </w:p>
    <w:p w14:paraId="3F3D33D1" w14:textId="790C64F6" w:rsidR="001D2029" w:rsidRPr="00104C30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Eng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L. </w:t>
      </w:r>
      <w:r w:rsidRPr="00104C30">
        <w:rPr>
          <w:sz w:val="24"/>
          <w:szCs w:val="24"/>
          <w:shd w:val="clear" w:color="auto" w:fill="FFFFFF"/>
          <w:lang w:val="en-US"/>
        </w:rPr>
        <w:t xml:space="preserve">L., &amp; </w:t>
      </w:r>
      <w:proofErr w:type="spellStart"/>
      <w:r w:rsidRPr="00104C30">
        <w:rPr>
          <w:sz w:val="24"/>
          <w:szCs w:val="24"/>
          <w:shd w:val="clear" w:color="auto" w:fill="FFFFFF"/>
          <w:lang w:val="en-US"/>
        </w:rPr>
        <w:t>Mak</w:t>
      </w:r>
      <w:proofErr w:type="spellEnd"/>
      <w:r w:rsidRPr="00104C30">
        <w:rPr>
          <w:sz w:val="24"/>
          <w:szCs w:val="24"/>
          <w:shd w:val="clear" w:color="auto" w:fill="FFFFFF"/>
          <w:lang w:val="en-US"/>
        </w:rPr>
        <w:t>, Y. T. (2003).</w:t>
      </w:r>
      <w:proofErr w:type="gramEnd"/>
      <w:r w:rsidRPr="00104C30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04C30">
        <w:rPr>
          <w:sz w:val="24"/>
          <w:szCs w:val="24"/>
          <w:shd w:val="clear" w:color="auto" w:fill="FFFFFF"/>
          <w:lang w:val="en-US"/>
        </w:rPr>
        <w:t>Corporate governance and voluntary disclosure.</w:t>
      </w:r>
      <w:proofErr w:type="gramEnd"/>
      <w:r w:rsidRPr="00104C30">
        <w:rPr>
          <w:sz w:val="24"/>
          <w:szCs w:val="24"/>
          <w:shd w:val="clear" w:color="auto" w:fill="FFFFFF"/>
          <w:lang w:val="en-US"/>
        </w:rPr>
        <w:t> </w:t>
      </w:r>
      <w:r w:rsidRPr="00104C30">
        <w:rPr>
          <w:i/>
          <w:iCs/>
          <w:sz w:val="24"/>
          <w:szCs w:val="24"/>
          <w:shd w:val="clear" w:color="auto" w:fill="FFFFFF"/>
          <w:lang w:val="en-US"/>
        </w:rPr>
        <w:t xml:space="preserve">Journal of </w:t>
      </w:r>
      <w:r w:rsidR="00705221" w:rsidRPr="00104C30">
        <w:rPr>
          <w:i/>
          <w:iCs/>
          <w:sz w:val="24"/>
          <w:szCs w:val="24"/>
          <w:shd w:val="clear" w:color="auto" w:fill="FFFFFF"/>
          <w:lang w:val="en-US"/>
        </w:rPr>
        <w:t xml:space="preserve">Accounting </w:t>
      </w:r>
      <w:r w:rsidRPr="00104C30">
        <w:rPr>
          <w:i/>
          <w:iCs/>
          <w:sz w:val="24"/>
          <w:szCs w:val="24"/>
          <w:shd w:val="clear" w:color="auto" w:fill="FFFFFF"/>
          <w:lang w:val="en-US"/>
        </w:rPr>
        <w:t xml:space="preserve">and </w:t>
      </w:r>
      <w:r w:rsidR="00705221" w:rsidRPr="00104C30">
        <w:rPr>
          <w:i/>
          <w:iCs/>
          <w:sz w:val="24"/>
          <w:szCs w:val="24"/>
          <w:shd w:val="clear" w:color="auto" w:fill="FFFFFF"/>
          <w:lang w:val="en-US"/>
        </w:rPr>
        <w:t>Public Policy</w:t>
      </w:r>
      <w:r w:rsidRPr="00104C30">
        <w:rPr>
          <w:sz w:val="24"/>
          <w:szCs w:val="24"/>
          <w:shd w:val="clear" w:color="auto" w:fill="FFFFFF"/>
          <w:lang w:val="en-US"/>
        </w:rPr>
        <w:t>, </w:t>
      </w:r>
      <w:r w:rsidRPr="00104C30">
        <w:rPr>
          <w:i/>
          <w:iCs/>
          <w:sz w:val="24"/>
          <w:szCs w:val="24"/>
          <w:shd w:val="clear" w:color="auto" w:fill="FFFFFF"/>
          <w:lang w:val="en-US"/>
        </w:rPr>
        <w:t>22</w:t>
      </w:r>
      <w:r w:rsidRPr="00104C30">
        <w:rPr>
          <w:sz w:val="24"/>
          <w:szCs w:val="24"/>
          <w:shd w:val="clear" w:color="auto" w:fill="FFFFFF"/>
          <w:lang w:val="en-US"/>
        </w:rPr>
        <w:t>(4), 325-345.</w:t>
      </w:r>
    </w:p>
    <w:p w14:paraId="66AAA667" w14:textId="77777777" w:rsidR="00104C30" w:rsidRPr="004554FF" w:rsidRDefault="00104C30" w:rsidP="003847CF">
      <w:pPr>
        <w:jc w:val="both"/>
        <w:rPr>
          <w:sz w:val="24"/>
          <w:szCs w:val="24"/>
        </w:rPr>
      </w:pPr>
      <w:proofErr w:type="spellStart"/>
      <w:proofErr w:type="gramStart"/>
      <w:r w:rsidRPr="00042741">
        <w:rPr>
          <w:sz w:val="24"/>
          <w:szCs w:val="24"/>
          <w:lang w:val="en-US"/>
        </w:rPr>
        <w:t>Fávero</w:t>
      </w:r>
      <w:proofErr w:type="spellEnd"/>
      <w:r w:rsidRPr="00042741">
        <w:rPr>
          <w:sz w:val="24"/>
          <w:szCs w:val="24"/>
          <w:lang w:val="en-US"/>
        </w:rPr>
        <w:t xml:space="preserve">, L. P., </w:t>
      </w:r>
      <w:proofErr w:type="spellStart"/>
      <w:r w:rsidRPr="00042741">
        <w:rPr>
          <w:sz w:val="24"/>
          <w:szCs w:val="24"/>
          <w:lang w:val="en-US"/>
        </w:rPr>
        <w:t>Belfiore</w:t>
      </w:r>
      <w:proofErr w:type="spellEnd"/>
      <w:r w:rsidRPr="00042741">
        <w:rPr>
          <w:sz w:val="24"/>
          <w:szCs w:val="24"/>
          <w:lang w:val="en-US"/>
        </w:rPr>
        <w:t>, P. P., Silva, F. L. da, &amp; Chan, B. L. (2009).</w:t>
      </w:r>
      <w:proofErr w:type="gramEnd"/>
      <w:r w:rsidRPr="00042741">
        <w:rPr>
          <w:sz w:val="24"/>
          <w:szCs w:val="24"/>
          <w:lang w:val="en-US"/>
        </w:rPr>
        <w:t xml:space="preserve"> </w:t>
      </w:r>
      <w:r w:rsidRPr="004554FF">
        <w:rPr>
          <w:i/>
          <w:sz w:val="24"/>
          <w:szCs w:val="24"/>
        </w:rPr>
        <w:t>Análise de dados: modelagem multivariada para tomada de decisões</w:t>
      </w:r>
      <w:r w:rsidRPr="004554FF">
        <w:rPr>
          <w:sz w:val="24"/>
          <w:szCs w:val="24"/>
        </w:rPr>
        <w:t xml:space="preserve">. Rio de Janeiro: </w:t>
      </w:r>
      <w:proofErr w:type="spellStart"/>
      <w:r w:rsidRPr="004554FF">
        <w:rPr>
          <w:sz w:val="24"/>
          <w:szCs w:val="24"/>
        </w:rPr>
        <w:t>Elsevier</w:t>
      </w:r>
      <w:proofErr w:type="spellEnd"/>
      <w:r w:rsidRPr="004554FF">
        <w:rPr>
          <w:sz w:val="24"/>
          <w:szCs w:val="24"/>
        </w:rPr>
        <w:t xml:space="preserve">. </w:t>
      </w:r>
    </w:p>
    <w:p w14:paraId="305B33FE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04C30">
        <w:rPr>
          <w:sz w:val="24"/>
          <w:szCs w:val="24"/>
          <w:shd w:val="clear" w:color="auto" w:fill="FFFFFF"/>
          <w:lang w:val="en-US"/>
        </w:rPr>
        <w:t>Fich</w:t>
      </w:r>
      <w:proofErr w:type="spellEnd"/>
      <w:r w:rsidRPr="00104C30">
        <w:rPr>
          <w:sz w:val="24"/>
          <w:szCs w:val="24"/>
          <w:shd w:val="clear" w:color="auto" w:fill="FFFFFF"/>
          <w:lang w:val="en-US"/>
        </w:rPr>
        <w:t>, E., &amp;</w:t>
      </w:r>
      <w:r w:rsidRPr="001C5552">
        <w:rPr>
          <w:sz w:val="24"/>
          <w:szCs w:val="24"/>
          <w:shd w:val="clear" w:color="auto" w:fill="FFFFFF"/>
          <w:lang w:val="en-US"/>
        </w:rPr>
        <w:t xml:space="preserve"> White, L. J. (2003).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CEO compensation and turnover: The effects of mutually interlocked boards.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Wake Forest L. Rev.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38</w:t>
      </w:r>
      <w:r w:rsidRPr="001C5552">
        <w:rPr>
          <w:sz w:val="24"/>
          <w:szCs w:val="24"/>
          <w:shd w:val="clear" w:color="auto" w:fill="FFFFFF"/>
          <w:lang w:val="en-US"/>
        </w:rPr>
        <w:t>, 935.</w:t>
      </w:r>
    </w:p>
    <w:p w14:paraId="35E66008" w14:textId="515C2354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r w:rsidRPr="001C5552">
        <w:rPr>
          <w:sz w:val="24"/>
          <w:szCs w:val="24"/>
          <w:shd w:val="clear" w:color="auto" w:fill="FFFFFF"/>
          <w:lang w:val="en-US"/>
        </w:rPr>
        <w:t>Freeman, R. E. (1994). The politics of stakeholder theory: Some future directions.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Business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E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thics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Q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>uarterly</w:t>
      </w:r>
      <w:r w:rsidRPr="001C5552">
        <w:rPr>
          <w:sz w:val="24"/>
          <w:szCs w:val="24"/>
          <w:shd w:val="clear" w:color="auto" w:fill="FFFFFF"/>
          <w:lang w:val="en-US"/>
        </w:rPr>
        <w:t xml:space="preserve">, </w:t>
      </w:r>
      <w:r w:rsidR="00705221" w:rsidRPr="004554FF">
        <w:rPr>
          <w:i/>
          <w:sz w:val="24"/>
          <w:szCs w:val="24"/>
          <w:shd w:val="clear" w:color="auto" w:fill="FFFFFF"/>
          <w:lang w:val="en-US"/>
        </w:rPr>
        <w:t>4</w:t>
      </w:r>
      <w:r w:rsidR="00705221">
        <w:rPr>
          <w:sz w:val="24"/>
          <w:szCs w:val="24"/>
          <w:shd w:val="clear" w:color="auto" w:fill="FFFFFF"/>
          <w:lang w:val="en-US"/>
        </w:rPr>
        <w:t xml:space="preserve">(4), </w:t>
      </w:r>
      <w:r w:rsidRPr="001C5552">
        <w:rPr>
          <w:sz w:val="24"/>
          <w:szCs w:val="24"/>
          <w:shd w:val="clear" w:color="auto" w:fill="FFFFFF"/>
          <w:lang w:val="en-US"/>
        </w:rPr>
        <w:t>409-421.</w:t>
      </w:r>
    </w:p>
    <w:p w14:paraId="61FED4B1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>Gill, A. (2008).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Corporate governance as social responsibility: A research agenda.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Berkeley J. Int'l L.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26</w:t>
      </w:r>
      <w:r w:rsidRPr="001C5552">
        <w:rPr>
          <w:sz w:val="24"/>
          <w:szCs w:val="24"/>
          <w:shd w:val="clear" w:color="auto" w:fill="FFFFFF"/>
          <w:lang w:val="en-US"/>
        </w:rPr>
        <w:t>, 452.</w:t>
      </w:r>
    </w:p>
    <w:p w14:paraId="08327693" w14:textId="77777777" w:rsidR="001D2029" w:rsidRPr="00EE5063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r w:rsidRPr="001C5552">
        <w:rPr>
          <w:sz w:val="24"/>
          <w:szCs w:val="24"/>
          <w:shd w:val="clear" w:color="auto" w:fill="FFFFFF"/>
          <w:lang w:val="en-US"/>
        </w:rPr>
        <w:t xml:space="preserve">Gray, R.,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Kouhy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R., &amp; Lavers, S. (1995). Corporate social and environmental reporting: a review of the literature and a longitudinal study of UK disclosure. </w:t>
      </w:r>
      <w:proofErr w:type="gramStart"/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Accounting, Auditing &amp; </w:t>
      </w:r>
      <w:r w:rsidRPr="00EE5063">
        <w:rPr>
          <w:i/>
          <w:iCs/>
          <w:sz w:val="24"/>
          <w:szCs w:val="24"/>
          <w:shd w:val="clear" w:color="auto" w:fill="FFFFFF"/>
          <w:lang w:val="en-US"/>
        </w:rPr>
        <w:t>Accountability Journal</w:t>
      </w:r>
      <w:r w:rsidRPr="00EE5063">
        <w:rPr>
          <w:sz w:val="24"/>
          <w:szCs w:val="24"/>
          <w:shd w:val="clear" w:color="auto" w:fill="FFFFFF"/>
          <w:lang w:val="en-US"/>
        </w:rPr>
        <w:t>, </w:t>
      </w:r>
      <w:r w:rsidRPr="00EE5063">
        <w:rPr>
          <w:i/>
          <w:iCs/>
          <w:sz w:val="24"/>
          <w:szCs w:val="24"/>
          <w:shd w:val="clear" w:color="auto" w:fill="FFFFFF"/>
          <w:lang w:val="en-US"/>
        </w:rPr>
        <w:t>8</w:t>
      </w:r>
      <w:r w:rsidRPr="00EE5063">
        <w:rPr>
          <w:sz w:val="24"/>
          <w:szCs w:val="24"/>
          <w:shd w:val="clear" w:color="auto" w:fill="FFFFFF"/>
          <w:lang w:val="en-US"/>
        </w:rPr>
        <w:t>(2), 47-77.</w:t>
      </w:r>
      <w:proofErr w:type="gramEnd"/>
    </w:p>
    <w:p w14:paraId="12FBAAF0" w14:textId="3A560937" w:rsidR="001D2029" w:rsidRPr="00EE5063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r w:rsidRPr="004554FF">
        <w:rPr>
          <w:sz w:val="24"/>
          <w:szCs w:val="24"/>
          <w:shd w:val="clear" w:color="auto" w:fill="FFFFFF"/>
          <w:lang w:val="en-US"/>
        </w:rPr>
        <w:t>Groot, I. D. (2002</w:t>
      </w:r>
      <w:r w:rsidRPr="004554FF">
        <w:rPr>
          <w:i/>
          <w:sz w:val="24"/>
          <w:szCs w:val="24"/>
          <w:shd w:val="clear" w:color="auto" w:fill="FFFFFF"/>
          <w:lang w:val="en-US"/>
        </w:rPr>
        <w:t xml:space="preserve">). </w:t>
      </w:r>
      <w:proofErr w:type="gramStart"/>
      <w:r w:rsidRPr="004554FF">
        <w:rPr>
          <w:i/>
          <w:sz w:val="24"/>
          <w:szCs w:val="24"/>
          <w:shd w:val="clear" w:color="auto" w:fill="FFFFFF"/>
          <w:lang w:val="en-US"/>
        </w:rPr>
        <w:t>Measurement of sustainability in coffee and cocoa</w:t>
      </w:r>
      <w:r w:rsidRPr="004554FF">
        <w:rPr>
          <w:sz w:val="24"/>
          <w:szCs w:val="24"/>
          <w:shd w:val="clear" w:color="auto" w:fill="FFFFFF"/>
          <w:lang w:val="en-US"/>
        </w:rPr>
        <w:t>.</w:t>
      </w:r>
      <w:proofErr w:type="gramEnd"/>
      <w:r w:rsidRPr="004554FF">
        <w:rPr>
          <w:sz w:val="24"/>
          <w:szCs w:val="24"/>
          <w:shd w:val="clear" w:color="auto" w:fill="FFFFFF"/>
          <w:lang w:val="en-US"/>
        </w:rPr>
        <w:t> </w:t>
      </w:r>
      <w:r w:rsidR="00EE5063" w:rsidRPr="00042741">
        <w:rPr>
          <w:sz w:val="24"/>
          <w:szCs w:val="24"/>
          <w:lang w:val="en-US"/>
        </w:rPr>
        <w:t>Institute for Sustainable Commodities</w:t>
      </w:r>
      <w:r w:rsidR="004554FF" w:rsidRPr="00042741">
        <w:rPr>
          <w:sz w:val="24"/>
          <w:szCs w:val="24"/>
          <w:lang w:val="en-US"/>
        </w:rPr>
        <w:t xml:space="preserve">, Utrecht: </w:t>
      </w:r>
      <w:r w:rsidR="00EE5063" w:rsidRPr="00042741">
        <w:rPr>
          <w:sz w:val="24"/>
          <w:szCs w:val="24"/>
          <w:lang w:val="en-US"/>
        </w:rPr>
        <w:t>ISCOM.</w:t>
      </w:r>
    </w:p>
    <w:p w14:paraId="5BD9823E" w14:textId="10652451" w:rsidR="001D2029" w:rsidRPr="00042741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 w:rsidRPr="00EE5063">
        <w:rPr>
          <w:sz w:val="24"/>
          <w:szCs w:val="24"/>
          <w:shd w:val="clear" w:color="auto" w:fill="FFFFFF"/>
          <w:lang w:val="en-US"/>
        </w:rPr>
        <w:t>Gul</w:t>
      </w:r>
      <w:proofErr w:type="spellEnd"/>
      <w:r w:rsidRPr="00EE5063">
        <w:rPr>
          <w:sz w:val="24"/>
          <w:szCs w:val="24"/>
          <w:shd w:val="clear" w:color="auto" w:fill="FFFFFF"/>
          <w:lang w:val="en-US"/>
        </w:rPr>
        <w:t xml:space="preserve">, F. A., </w:t>
      </w:r>
      <w:r w:rsidRPr="001C5552">
        <w:rPr>
          <w:sz w:val="24"/>
          <w:szCs w:val="24"/>
          <w:shd w:val="clear" w:color="auto" w:fill="FFFFFF"/>
          <w:lang w:val="en-US"/>
        </w:rPr>
        <w:t xml:space="preserve">&amp; Leung, S. (2004).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Board leadership, outside directors’ expertise and voluntary corporate disclosures.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 xml:space="preserve">Journal of Accounting and </w:t>
      </w:r>
      <w:r w:rsidR="00705221" w:rsidRPr="00042741">
        <w:rPr>
          <w:i/>
          <w:iCs/>
          <w:sz w:val="24"/>
          <w:szCs w:val="24"/>
          <w:shd w:val="clear" w:color="auto" w:fill="FFFFFF"/>
          <w:lang w:val="en-US"/>
        </w:rPr>
        <w:t xml:space="preserve">Public 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Policy</w:t>
      </w:r>
      <w:r w:rsidRPr="00042741">
        <w:rPr>
          <w:sz w:val="24"/>
          <w:szCs w:val="24"/>
          <w:shd w:val="clear" w:color="auto" w:fill="FFFFFF"/>
          <w:lang w:val="en-US"/>
        </w:rPr>
        <w:t>,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23</w:t>
      </w:r>
      <w:r w:rsidRPr="00042741">
        <w:rPr>
          <w:sz w:val="24"/>
          <w:szCs w:val="24"/>
          <w:shd w:val="clear" w:color="auto" w:fill="FFFFFF"/>
          <w:lang w:val="en-US"/>
        </w:rPr>
        <w:t>(5), 351-379.</w:t>
      </w:r>
    </w:p>
    <w:p w14:paraId="4266622F" w14:textId="132EF745" w:rsidR="001D2029" w:rsidRPr="003847CF" w:rsidRDefault="001D2029" w:rsidP="003847CF">
      <w:pPr>
        <w:jc w:val="both"/>
        <w:rPr>
          <w:sz w:val="24"/>
          <w:szCs w:val="24"/>
        </w:rPr>
      </w:pPr>
      <w:proofErr w:type="gramStart"/>
      <w:r w:rsidRPr="00042741">
        <w:rPr>
          <w:sz w:val="24"/>
          <w:szCs w:val="24"/>
          <w:lang w:val="en-US"/>
        </w:rPr>
        <w:t>Gujarati, D. N. (2006).</w:t>
      </w:r>
      <w:proofErr w:type="gramEnd"/>
      <w:r w:rsidRPr="00042741">
        <w:rPr>
          <w:sz w:val="24"/>
          <w:szCs w:val="24"/>
          <w:lang w:val="en-US"/>
        </w:rPr>
        <w:t xml:space="preserve"> </w:t>
      </w:r>
      <w:proofErr w:type="spellStart"/>
      <w:r w:rsidRPr="00042741">
        <w:rPr>
          <w:i/>
          <w:sz w:val="24"/>
          <w:szCs w:val="24"/>
          <w:lang w:val="en-US"/>
        </w:rPr>
        <w:t>Econometria</w:t>
      </w:r>
      <w:proofErr w:type="spellEnd"/>
      <w:r w:rsidRPr="00042741">
        <w:rPr>
          <w:i/>
          <w:sz w:val="24"/>
          <w:szCs w:val="24"/>
          <w:lang w:val="en-US"/>
        </w:rPr>
        <w:t xml:space="preserve"> </w:t>
      </w:r>
      <w:proofErr w:type="spellStart"/>
      <w:r w:rsidR="00D16770" w:rsidRPr="00042741">
        <w:rPr>
          <w:i/>
          <w:sz w:val="24"/>
          <w:szCs w:val="24"/>
          <w:lang w:val="en-US"/>
        </w:rPr>
        <w:t>Básica</w:t>
      </w:r>
      <w:proofErr w:type="spellEnd"/>
      <w:r w:rsidRPr="00042741">
        <w:rPr>
          <w:sz w:val="24"/>
          <w:szCs w:val="24"/>
          <w:lang w:val="en-US"/>
        </w:rPr>
        <w:t xml:space="preserve">. </w:t>
      </w:r>
      <w:r w:rsidRPr="003847CF">
        <w:rPr>
          <w:sz w:val="24"/>
          <w:szCs w:val="24"/>
        </w:rPr>
        <w:t xml:space="preserve">Rio de Janeiro: </w:t>
      </w:r>
      <w:proofErr w:type="spellStart"/>
      <w:r w:rsidRPr="003847CF">
        <w:rPr>
          <w:sz w:val="24"/>
          <w:szCs w:val="24"/>
        </w:rPr>
        <w:t>Elsevier</w:t>
      </w:r>
      <w:proofErr w:type="spellEnd"/>
      <w:r w:rsidRPr="003847CF">
        <w:rPr>
          <w:sz w:val="24"/>
          <w:szCs w:val="24"/>
        </w:rPr>
        <w:t xml:space="preserve"> Brasil.</w:t>
      </w:r>
    </w:p>
    <w:p w14:paraId="6CD180DC" w14:textId="77777777" w:rsidR="001D2029" w:rsidRPr="00042741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Hackston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D., &amp; Milne, M. J. (1996).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Some determinants of social and environmental disclosures in New Zealand companies.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proofErr w:type="gramStart"/>
      <w:r w:rsidRPr="00042741">
        <w:rPr>
          <w:i/>
          <w:iCs/>
          <w:sz w:val="24"/>
          <w:szCs w:val="24"/>
          <w:shd w:val="clear" w:color="auto" w:fill="FFFFFF"/>
          <w:lang w:val="en-US"/>
        </w:rPr>
        <w:t>Accounting, Auditing &amp; Accountability Journal</w:t>
      </w:r>
      <w:r w:rsidRPr="00042741">
        <w:rPr>
          <w:sz w:val="24"/>
          <w:szCs w:val="24"/>
          <w:shd w:val="clear" w:color="auto" w:fill="FFFFFF"/>
          <w:lang w:val="en-US"/>
        </w:rPr>
        <w:t>,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9</w:t>
      </w:r>
      <w:r w:rsidRPr="00042741">
        <w:rPr>
          <w:sz w:val="24"/>
          <w:szCs w:val="24"/>
          <w:shd w:val="clear" w:color="auto" w:fill="FFFFFF"/>
          <w:lang w:val="en-US"/>
        </w:rPr>
        <w:t>(1), 77-108.</w:t>
      </w:r>
      <w:proofErr w:type="gramEnd"/>
    </w:p>
    <w:p w14:paraId="3C496551" w14:textId="61D2C734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 xml:space="preserve">Hair, J. F., Black, W. C.,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Babin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B. J., Anderson, R. E.,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Tatham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R. L. (2009).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3847CF">
        <w:rPr>
          <w:i/>
          <w:iCs/>
          <w:sz w:val="24"/>
          <w:szCs w:val="24"/>
          <w:shd w:val="clear" w:color="auto" w:fill="FFFFFF"/>
        </w:rPr>
        <w:t xml:space="preserve">Análise </w:t>
      </w:r>
      <w:r w:rsidR="00D16770">
        <w:rPr>
          <w:i/>
          <w:iCs/>
          <w:sz w:val="24"/>
          <w:szCs w:val="24"/>
          <w:shd w:val="clear" w:color="auto" w:fill="FFFFFF"/>
        </w:rPr>
        <w:t>M</w:t>
      </w:r>
      <w:r w:rsidR="00D16770" w:rsidRPr="003847CF">
        <w:rPr>
          <w:i/>
          <w:iCs/>
          <w:sz w:val="24"/>
          <w:szCs w:val="24"/>
          <w:shd w:val="clear" w:color="auto" w:fill="FFFFFF"/>
        </w:rPr>
        <w:t xml:space="preserve">ultivariada </w:t>
      </w:r>
      <w:r w:rsidRPr="003847CF">
        <w:rPr>
          <w:i/>
          <w:iCs/>
          <w:sz w:val="24"/>
          <w:szCs w:val="24"/>
          <w:shd w:val="clear" w:color="auto" w:fill="FFFFFF"/>
        </w:rPr>
        <w:t xml:space="preserve">de </w:t>
      </w:r>
      <w:r w:rsidR="00D16770">
        <w:rPr>
          <w:i/>
          <w:iCs/>
          <w:sz w:val="24"/>
          <w:szCs w:val="24"/>
          <w:shd w:val="clear" w:color="auto" w:fill="FFFFFF"/>
        </w:rPr>
        <w:t>D</w:t>
      </w:r>
      <w:r w:rsidR="00D16770" w:rsidRPr="003847CF">
        <w:rPr>
          <w:i/>
          <w:iCs/>
          <w:sz w:val="24"/>
          <w:szCs w:val="24"/>
          <w:shd w:val="clear" w:color="auto" w:fill="FFFFFF"/>
        </w:rPr>
        <w:t>ados</w:t>
      </w:r>
      <w:r w:rsidRPr="003847CF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3847CF">
        <w:rPr>
          <w:sz w:val="24"/>
          <w:szCs w:val="24"/>
          <w:shd w:val="clear" w:color="auto" w:fill="FFFFFF"/>
        </w:rPr>
        <w:t>Bookman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Editora.</w:t>
      </w:r>
    </w:p>
    <w:p w14:paraId="66C0B5C1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r w:rsidRPr="003847CF">
        <w:rPr>
          <w:sz w:val="24"/>
          <w:szCs w:val="24"/>
          <w:shd w:val="clear" w:color="auto" w:fill="FFFFFF"/>
        </w:rPr>
        <w:t xml:space="preserve">Hart, S. L., &amp; Milstein, M. B. (2003).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Creating sustainable value.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The Academy of Management Executive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17</w:t>
      </w:r>
      <w:r w:rsidRPr="001C5552">
        <w:rPr>
          <w:sz w:val="24"/>
          <w:szCs w:val="24"/>
          <w:shd w:val="clear" w:color="auto" w:fill="FFFFFF"/>
          <w:lang w:val="en-US"/>
        </w:rPr>
        <w:t>(2), 56-67.</w:t>
      </w:r>
    </w:p>
    <w:p w14:paraId="0A09AB72" w14:textId="682FD62B" w:rsidR="001D2029" w:rsidRPr="003847CF" w:rsidRDefault="001D2029" w:rsidP="003847CF">
      <w:pPr>
        <w:jc w:val="both"/>
        <w:rPr>
          <w:sz w:val="24"/>
          <w:szCs w:val="24"/>
          <w:lang w:val="en-US"/>
        </w:rPr>
      </w:pP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Haunschild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P. R. (1993).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Interorganizational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 imitation: The impact of interlocks on corporate acquisition activity.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Administrative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S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cience </w:t>
      </w:r>
      <w:r w:rsidR="00705221">
        <w:rPr>
          <w:i/>
          <w:iCs/>
          <w:sz w:val="24"/>
          <w:szCs w:val="24"/>
          <w:shd w:val="clear" w:color="auto" w:fill="FFFFFF"/>
          <w:lang w:val="en-US"/>
        </w:rPr>
        <w:t>Q</w:t>
      </w:r>
      <w:r w:rsidR="00705221" w:rsidRPr="001C5552">
        <w:rPr>
          <w:i/>
          <w:iCs/>
          <w:sz w:val="24"/>
          <w:szCs w:val="24"/>
          <w:shd w:val="clear" w:color="auto" w:fill="FFFFFF"/>
          <w:lang w:val="en-US"/>
        </w:rPr>
        <w:t>uarterly</w:t>
      </w:r>
      <w:r w:rsidRPr="001C5552">
        <w:rPr>
          <w:sz w:val="24"/>
          <w:szCs w:val="24"/>
          <w:shd w:val="clear" w:color="auto" w:fill="FFFFFF"/>
          <w:lang w:val="en-US"/>
        </w:rPr>
        <w:t>, 564-592.</w:t>
      </w:r>
    </w:p>
    <w:p w14:paraId="3002F155" w14:textId="77777777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r w:rsidRPr="001C5552">
        <w:rPr>
          <w:sz w:val="24"/>
          <w:szCs w:val="24"/>
          <w:shd w:val="clear" w:color="auto" w:fill="FFFFFF"/>
          <w:lang w:val="en-US"/>
        </w:rPr>
        <w:t xml:space="preserve">Ho, S. S., &amp; Wong, K. S. (2001).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A study of the relationship between corporate governance structures and the extent of voluntary disclosure7.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of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International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Accounting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Auditing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and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Taxation</w:t>
      </w:r>
      <w:proofErr w:type="spellEnd"/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10</w:t>
      </w:r>
      <w:r w:rsidRPr="003847CF">
        <w:rPr>
          <w:sz w:val="24"/>
          <w:szCs w:val="24"/>
          <w:shd w:val="clear" w:color="auto" w:fill="FFFFFF"/>
        </w:rPr>
        <w:t>(2), 139-156.</w:t>
      </w:r>
    </w:p>
    <w:p w14:paraId="11EEF5F4" w14:textId="77777777" w:rsidR="004554FF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 xml:space="preserve">Hsu, W. Y.,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Petchsakulwong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P. (2010).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The impact of corporate governance on the efficiency performance of the Thai non-life insurance industry.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proofErr w:type="gramStart"/>
      <w:r w:rsidRPr="001C5552">
        <w:rPr>
          <w:i/>
          <w:iCs/>
          <w:sz w:val="24"/>
          <w:szCs w:val="24"/>
          <w:shd w:val="clear" w:color="auto" w:fill="FFFFFF"/>
          <w:lang w:val="en-US"/>
        </w:rPr>
        <w:t>The Geneva Papers on Risk and Insurance-Issues and Practice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35</w:t>
      </w:r>
      <w:r w:rsidRPr="001C5552">
        <w:rPr>
          <w:sz w:val="24"/>
          <w:szCs w:val="24"/>
          <w:shd w:val="clear" w:color="auto" w:fill="FFFFFF"/>
          <w:lang w:val="en-US"/>
        </w:rPr>
        <w:t>(1), S28-S49.</w:t>
      </w:r>
      <w:proofErr w:type="gramEnd"/>
    </w:p>
    <w:p w14:paraId="308C3760" w14:textId="16F5DCEB" w:rsidR="004554FF" w:rsidRPr="00042741" w:rsidRDefault="004554FF" w:rsidP="003847CF">
      <w:pPr>
        <w:jc w:val="both"/>
        <w:rPr>
          <w:sz w:val="24"/>
          <w:szCs w:val="24"/>
        </w:rPr>
      </w:pPr>
      <w:r w:rsidRPr="003847CF">
        <w:rPr>
          <w:sz w:val="24"/>
          <w:szCs w:val="24"/>
        </w:rPr>
        <w:t xml:space="preserve">IBGC - Instituto Brasileiro De Governança Corporativa. (2017). Governança Corporativa. 2012. </w:t>
      </w:r>
      <w:r>
        <w:rPr>
          <w:sz w:val="24"/>
          <w:szCs w:val="24"/>
        </w:rPr>
        <w:t>Recuperado</w:t>
      </w:r>
      <w:r w:rsidRPr="003847CF">
        <w:rPr>
          <w:sz w:val="24"/>
          <w:szCs w:val="24"/>
        </w:rPr>
        <w:t xml:space="preserve"> em </w:t>
      </w:r>
      <w:r>
        <w:rPr>
          <w:sz w:val="24"/>
          <w:szCs w:val="24"/>
        </w:rPr>
        <w:t xml:space="preserve">18 dez. 2017, de </w:t>
      </w:r>
      <w:proofErr w:type="gramStart"/>
      <w:r w:rsidRPr="003847CF">
        <w:rPr>
          <w:sz w:val="24"/>
          <w:szCs w:val="24"/>
        </w:rPr>
        <w:t>http://www.ibgc.org.br/inter.</w:t>
      </w:r>
      <w:proofErr w:type="gramEnd"/>
      <w:r w:rsidRPr="003847CF">
        <w:rPr>
          <w:sz w:val="24"/>
          <w:szCs w:val="24"/>
        </w:rPr>
        <w:t>php?</w:t>
      </w:r>
      <w:proofErr w:type="gramStart"/>
      <w:r w:rsidRPr="003847CF">
        <w:rPr>
          <w:sz w:val="24"/>
          <w:szCs w:val="24"/>
        </w:rPr>
        <w:t>id</w:t>
      </w:r>
      <w:proofErr w:type="gramEnd"/>
      <w:r w:rsidRPr="003847CF">
        <w:rPr>
          <w:sz w:val="24"/>
          <w:szCs w:val="24"/>
        </w:rPr>
        <w:t>=18161</w:t>
      </w:r>
      <w:r w:rsidRPr="003847CF">
        <w:rPr>
          <w:b/>
          <w:sz w:val="24"/>
          <w:szCs w:val="24"/>
        </w:rPr>
        <w:t>.</w:t>
      </w:r>
    </w:p>
    <w:p w14:paraId="7BE15CAC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Jizi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M. I.,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Salama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A., Dixon, R.,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Stratling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R. (2014).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Corporate governance and corporate social responsibility disclosure: Evidence from the US banking sector.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Journal of Business Ethics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125</w:t>
      </w:r>
      <w:r w:rsidRPr="001C5552">
        <w:rPr>
          <w:sz w:val="24"/>
          <w:szCs w:val="24"/>
          <w:shd w:val="clear" w:color="auto" w:fill="FFFFFF"/>
          <w:lang w:val="en-US"/>
        </w:rPr>
        <w:t>(4), 601-615.</w:t>
      </w:r>
    </w:p>
    <w:p w14:paraId="0FAD3C48" w14:textId="6E1CE374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 xml:space="preserve">Jo, H.,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Harjoto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M. A. (2012).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The causal effect of corporate governance on corporate social responsibility.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Journal of </w:t>
      </w:r>
      <w:r w:rsidR="002000AC">
        <w:rPr>
          <w:i/>
          <w:iCs/>
          <w:sz w:val="24"/>
          <w:szCs w:val="24"/>
          <w:shd w:val="clear" w:color="auto" w:fill="FFFFFF"/>
          <w:lang w:val="en-US"/>
        </w:rPr>
        <w:t>B</w:t>
      </w:r>
      <w:r w:rsidR="002000AC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usiness </w:t>
      </w:r>
      <w:r w:rsidR="002000AC">
        <w:rPr>
          <w:i/>
          <w:iCs/>
          <w:sz w:val="24"/>
          <w:szCs w:val="24"/>
          <w:shd w:val="clear" w:color="auto" w:fill="FFFFFF"/>
          <w:lang w:val="en-US"/>
        </w:rPr>
        <w:t>E</w:t>
      </w:r>
      <w:r w:rsidR="002000AC" w:rsidRPr="001C5552">
        <w:rPr>
          <w:i/>
          <w:iCs/>
          <w:sz w:val="24"/>
          <w:szCs w:val="24"/>
          <w:shd w:val="clear" w:color="auto" w:fill="FFFFFF"/>
          <w:lang w:val="en-US"/>
        </w:rPr>
        <w:t>thics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106</w:t>
      </w:r>
      <w:r w:rsidRPr="001C5552">
        <w:rPr>
          <w:sz w:val="24"/>
          <w:szCs w:val="24"/>
          <w:shd w:val="clear" w:color="auto" w:fill="FFFFFF"/>
          <w:lang w:val="en-US"/>
        </w:rPr>
        <w:t>(1), 53-72.</w:t>
      </w:r>
    </w:p>
    <w:p w14:paraId="03EE4B22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Kolk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A. (2004). A decade of sustainability reporting: developments and significance.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International Journal of Environment and Sustainable Development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3</w:t>
      </w:r>
      <w:r w:rsidRPr="001C5552">
        <w:rPr>
          <w:sz w:val="24"/>
          <w:szCs w:val="24"/>
          <w:shd w:val="clear" w:color="auto" w:fill="FFFFFF"/>
          <w:lang w:val="en-US"/>
        </w:rPr>
        <w:t>(1), 51-64.</w:t>
      </w:r>
    </w:p>
    <w:p w14:paraId="67C51AEF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Kolk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A. (2008). Sustainability, accountability and corporate governance: exploring multinationals' reporting practices.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Business Strategy and the Environment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17</w:t>
      </w:r>
      <w:r w:rsidRPr="001C5552">
        <w:rPr>
          <w:sz w:val="24"/>
          <w:szCs w:val="24"/>
          <w:shd w:val="clear" w:color="auto" w:fill="FFFFFF"/>
          <w:lang w:val="en-US"/>
        </w:rPr>
        <w:t>(1), 1-15.</w:t>
      </w:r>
    </w:p>
    <w:p w14:paraId="0FA73CE3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lastRenderedPageBreak/>
        <w:t xml:space="preserve">Larrinaga, C., Carrasco, F., Correa, C.,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Llena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F.,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Moneva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J. (2002).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Accountability and accounting regulation: the case of the Spanish environmental disclosure standard.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European Accounting Review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11</w:t>
      </w:r>
      <w:r w:rsidRPr="001C5552">
        <w:rPr>
          <w:sz w:val="24"/>
          <w:szCs w:val="24"/>
          <w:shd w:val="clear" w:color="auto" w:fill="FFFFFF"/>
          <w:lang w:val="en-US"/>
        </w:rPr>
        <w:t>(4), 723-740.</w:t>
      </w:r>
    </w:p>
    <w:p w14:paraId="1DD77FD2" w14:textId="654ED824" w:rsidR="001D2029" w:rsidRPr="003847CF" w:rsidRDefault="001D2029" w:rsidP="003847C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Marrewijk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M. V.,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Werre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M. (2003).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Multiple levels of corporate sustainability.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Journal of Business </w:t>
      </w:r>
      <w:r w:rsidR="002000AC">
        <w:rPr>
          <w:i/>
          <w:iCs/>
          <w:sz w:val="24"/>
          <w:szCs w:val="24"/>
          <w:shd w:val="clear" w:color="auto" w:fill="FFFFFF"/>
          <w:lang w:val="en-US"/>
        </w:rPr>
        <w:t>E</w:t>
      </w:r>
      <w:r w:rsidR="002000AC" w:rsidRPr="001C5552">
        <w:rPr>
          <w:i/>
          <w:iCs/>
          <w:sz w:val="24"/>
          <w:szCs w:val="24"/>
          <w:shd w:val="clear" w:color="auto" w:fill="FFFFFF"/>
          <w:lang w:val="en-US"/>
        </w:rPr>
        <w:t>thics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44</w:t>
      </w:r>
      <w:r w:rsidRPr="001C5552">
        <w:rPr>
          <w:sz w:val="24"/>
          <w:szCs w:val="24"/>
          <w:shd w:val="clear" w:color="auto" w:fill="FFFFFF"/>
          <w:lang w:val="en-US"/>
        </w:rPr>
        <w:t>(2-3), 107-119.</w:t>
      </w:r>
    </w:p>
    <w:p w14:paraId="6F4F6D55" w14:textId="77777777" w:rsidR="001D2029" w:rsidRPr="00042741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Michelon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 xml:space="preserve">, G., &amp;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Parbonetti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A. (2012).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The effect of corporate governance on sustainability disclosure.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Journal of Management &amp; Governance</w:t>
      </w:r>
      <w:r w:rsidRPr="00042741">
        <w:rPr>
          <w:sz w:val="24"/>
          <w:szCs w:val="24"/>
          <w:shd w:val="clear" w:color="auto" w:fill="FFFFFF"/>
          <w:lang w:val="en-US"/>
        </w:rPr>
        <w:t>,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16</w:t>
      </w:r>
      <w:r w:rsidRPr="00042741">
        <w:rPr>
          <w:sz w:val="24"/>
          <w:szCs w:val="24"/>
          <w:shd w:val="clear" w:color="auto" w:fill="FFFFFF"/>
          <w:lang w:val="en-US"/>
        </w:rPr>
        <w:t>(3), 477-509.</w:t>
      </w:r>
    </w:p>
    <w:p w14:paraId="5522521C" w14:textId="13776C97" w:rsidR="001D2029" w:rsidRPr="00042741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 xml:space="preserve">Mitchell, R. K.,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Agle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B. R., &amp; Wood, D. J. (1997).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Toward a theory of stakeholder identification and salience: Defining the principle of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who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and what really counts.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 xml:space="preserve">Academy of </w:t>
      </w:r>
      <w:r w:rsidR="002000AC" w:rsidRPr="00042741">
        <w:rPr>
          <w:i/>
          <w:iCs/>
          <w:sz w:val="24"/>
          <w:szCs w:val="24"/>
          <w:shd w:val="clear" w:color="auto" w:fill="FFFFFF"/>
          <w:lang w:val="en-US"/>
        </w:rPr>
        <w:t>Management R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eview</w:t>
      </w:r>
      <w:r w:rsidRPr="00042741">
        <w:rPr>
          <w:sz w:val="24"/>
          <w:szCs w:val="24"/>
          <w:shd w:val="clear" w:color="auto" w:fill="FFFFFF"/>
          <w:lang w:val="en-US"/>
        </w:rPr>
        <w:t>,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22</w:t>
      </w:r>
      <w:r w:rsidRPr="00042741">
        <w:rPr>
          <w:sz w:val="24"/>
          <w:szCs w:val="24"/>
          <w:shd w:val="clear" w:color="auto" w:fill="FFFFFF"/>
          <w:lang w:val="en-US"/>
        </w:rPr>
        <w:t>(4), 853-886.</w:t>
      </w:r>
    </w:p>
    <w:p w14:paraId="20B4DC4F" w14:textId="477150A1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 w:rsidRPr="002000AC">
        <w:rPr>
          <w:sz w:val="24"/>
          <w:szCs w:val="24"/>
          <w:shd w:val="clear" w:color="auto" w:fill="FFFFFF"/>
          <w:lang w:val="en-US"/>
        </w:rPr>
        <w:t>Mizruchi</w:t>
      </w:r>
      <w:proofErr w:type="spellEnd"/>
      <w:r w:rsidRPr="002000AC">
        <w:rPr>
          <w:sz w:val="24"/>
          <w:szCs w:val="24"/>
          <w:shd w:val="clear" w:color="auto" w:fill="FFFFFF"/>
          <w:lang w:val="en-US"/>
        </w:rPr>
        <w:t>, M. S. (1990). Cohesion, structural equivalence, and similarity of behavior: An approach to the study of corporate political power. </w:t>
      </w:r>
      <w:r w:rsidRPr="002000AC">
        <w:rPr>
          <w:i/>
          <w:iCs/>
          <w:sz w:val="24"/>
          <w:szCs w:val="24"/>
          <w:shd w:val="clear" w:color="auto" w:fill="FFFFFF"/>
          <w:lang w:val="en-US"/>
        </w:rPr>
        <w:t>Sociological Theory</w:t>
      </w:r>
      <w:r w:rsidRPr="002000AC">
        <w:rPr>
          <w:sz w:val="24"/>
          <w:szCs w:val="24"/>
          <w:shd w:val="clear" w:color="auto" w:fill="FFFFFF"/>
          <w:lang w:val="en-US"/>
        </w:rPr>
        <w:t xml:space="preserve">, </w:t>
      </w:r>
      <w:r w:rsidR="002000AC" w:rsidRPr="004554FF">
        <w:rPr>
          <w:i/>
          <w:sz w:val="24"/>
          <w:szCs w:val="24"/>
          <w:shd w:val="clear" w:color="auto" w:fill="FFFFFF"/>
          <w:lang w:val="en-US"/>
        </w:rPr>
        <w:t>8</w:t>
      </w:r>
      <w:r w:rsidR="002000AC" w:rsidRPr="004554FF">
        <w:rPr>
          <w:sz w:val="24"/>
          <w:szCs w:val="24"/>
          <w:shd w:val="clear" w:color="auto" w:fill="FFFFFF"/>
          <w:lang w:val="en-US"/>
        </w:rPr>
        <w:t xml:space="preserve">(1), </w:t>
      </w:r>
      <w:r w:rsidRPr="002000AC">
        <w:rPr>
          <w:sz w:val="24"/>
          <w:szCs w:val="24"/>
          <w:shd w:val="clear" w:color="auto" w:fill="FFFFFF"/>
          <w:lang w:val="en-US"/>
        </w:rPr>
        <w:t>16-32.</w:t>
      </w:r>
    </w:p>
    <w:p w14:paraId="557477E6" w14:textId="3F6501D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>Patten, D. M. (1991).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C5552">
        <w:rPr>
          <w:sz w:val="24"/>
          <w:szCs w:val="24"/>
          <w:shd w:val="clear" w:color="auto" w:fill="FFFFFF"/>
          <w:lang w:val="en-US"/>
        </w:rPr>
        <w:t>Exposure, legitimacy, and social disclosure.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>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Journal of Accounting and </w:t>
      </w:r>
      <w:r w:rsidR="002000AC">
        <w:rPr>
          <w:i/>
          <w:iCs/>
          <w:sz w:val="24"/>
          <w:szCs w:val="24"/>
          <w:shd w:val="clear" w:color="auto" w:fill="FFFFFF"/>
          <w:lang w:val="en-US"/>
        </w:rPr>
        <w:t>P</w:t>
      </w:r>
      <w:r w:rsidR="002000AC" w:rsidRPr="001C5552">
        <w:rPr>
          <w:i/>
          <w:iCs/>
          <w:sz w:val="24"/>
          <w:szCs w:val="24"/>
          <w:shd w:val="clear" w:color="auto" w:fill="FFFFFF"/>
          <w:lang w:val="en-US"/>
        </w:rPr>
        <w:t xml:space="preserve">ublic </w:t>
      </w:r>
      <w:r w:rsidR="002000AC">
        <w:rPr>
          <w:i/>
          <w:iCs/>
          <w:sz w:val="24"/>
          <w:szCs w:val="24"/>
          <w:shd w:val="clear" w:color="auto" w:fill="FFFFFF"/>
          <w:lang w:val="en-US"/>
        </w:rPr>
        <w:t>P</w:t>
      </w:r>
      <w:r w:rsidR="002000AC" w:rsidRPr="001C5552">
        <w:rPr>
          <w:i/>
          <w:iCs/>
          <w:sz w:val="24"/>
          <w:szCs w:val="24"/>
          <w:shd w:val="clear" w:color="auto" w:fill="FFFFFF"/>
          <w:lang w:val="en-US"/>
        </w:rPr>
        <w:t>olicy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10</w:t>
      </w:r>
      <w:r w:rsidRPr="001C5552">
        <w:rPr>
          <w:sz w:val="24"/>
          <w:szCs w:val="24"/>
          <w:shd w:val="clear" w:color="auto" w:fill="FFFFFF"/>
          <w:lang w:val="en-US"/>
        </w:rPr>
        <w:t>(4), 297-308.</w:t>
      </w:r>
    </w:p>
    <w:p w14:paraId="70288B0B" w14:textId="77777777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Pennings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J. M. (1980). </w:t>
      </w:r>
      <w:proofErr w:type="gramStart"/>
      <w:r w:rsidRPr="001C5552">
        <w:rPr>
          <w:i/>
          <w:iCs/>
          <w:sz w:val="24"/>
          <w:szCs w:val="24"/>
          <w:shd w:val="clear" w:color="auto" w:fill="FFFFFF"/>
          <w:lang w:val="en-US"/>
        </w:rPr>
        <w:t>Interlocking directorates</w:t>
      </w:r>
      <w:r w:rsidRPr="001C5552">
        <w:rPr>
          <w:sz w:val="24"/>
          <w:szCs w:val="24"/>
          <w:shd w:val="clear" w:color="auto" w:fill="FFFFFF"/>
          <w:lang w:val="en-US"/>
        </w:rPr>
        <w:t>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Jossey-Bass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Inc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Pub.</w:t>
      </w:r>
    </w:p>
    <w:p w14:paraId="5E6B12B1" w14:textId="65DAC553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r w:rsidRPr="003847CF">
        <w:rPr>
          <w:sz w:val="24"/>
          <w:szCs w:val="24"/>
          <w:shd w:val="clear" w:color="auto" w:fill="FFFFFF"/>
        </w:rPr>
        <w:t>Rezende, Antunes C. R., Goldner Nunes, J</w:t>
      </w:r>
      <w:proofErr w:type="gramStart"/>
      <w:r w:rsidRPr="003847CF">
        <w:rPr>
          <w:sz w:val="24"/>
          <w:szCs w:val="24"/>
          <w:shd w:val="clear" w:color="auto" w:fill="FFFFFF"/>
        </w:rPr>
        <w:t>.,</w:t>
      </w:r>
      <w:proofErr w:type="gramEnd"/>
      <w:r w:rsidRPr="003847CF">
        <w:rPr>
          <w:sz w:val="24"/>
          <w:szCs w:val="24"/>
          <w:shd w:val="clear" w:color="auto" w:fill="FFFFFF"/>
        </w:rPr>
        <w:t xml:space="preserve"> &amp; Salles Portela, S. (2008). Um estudo sobre o desempenho financeiro do Índice BOVESPA de Sustentabilidade Empresarial. </w:t>
      </w:r>
      <w:r w:rsidRPr="003847CF">
        <w:rPr>
          <w:i/>
          <w:iCs/>
          <w:sz w:val="24"/>
          <w:szCs w:val="24"/>
          <w:shd w:val="clear" w:color="auto" w:fill="FFFFFF"/>
        </w:rPr>
        <w:t>Revista de Educação e Pesquisa em Contabilidade</w:t>
      </w:r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2</w:t>
      </w:r>
      <w:r w:rsidRPr="003847CF">
        <w:rPr>
          <w:sz w:val="24"/>
          <w:szCs w:val="24"/>
          <w:shd w:val="clear" w:color="auto" w:fill="FFFFFF"/>
        </w:rPr>
        <w:t>(1)</w:t>
      </w:r>
      <w:r w:rsidR="002000AC">
        <w:rPr>
          <w:sz w:val="24"/>
          <w:szCs w:val="24"/>
          <w:shd w:val="clear" w:color="auto" w:fill="FFFFFF"/>
        </w:rPr>
        <w:t>, 71-93</w:t>
      </w:r>
      <w:r w:rsidRPr="003847CF">
        <w:rPr>
          <w:sz w:val="24"/>
          <w:szCs w:val="24"/>
          <w:shd w:val="clear" w:color="auto" w:fill="FFFFFF"/>
        </w:rPr>
        <w:t>.</w:t>
      </w:r>
    </w:p>
    <w:p w14:paraId="4CB8E724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spellStart"/>
      <w:r w:rsidRPr="003847CF">
        <w:rPr>
          <w:sz w:val="24"/>
          <w:szCs w:val="24"/>
          <w:shd w:val="clear" w:color="auto" w:fill="FFFFFF"/>
        </w:rPr>
        <w:t>Salotti</w:t>
      </w:r>
      <w:proofErr w:type="spellEnd"/>
      <w:r w:rsidRPr="003847CF">
        <w:rPr>
          <w:sz w:val="24"/>
          <w:szCs w:val="24"/>
          <w:shd w:val="clear" w:color="auto" w:fill="FFFFFF"/>
        </w:rPr>
        <w:t>, B. M., &amp; Yamamoto, M. M. (2005). Ensaio sobre a teoria da divulgação.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BBR-Brazilian Business Review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2</w:t>
      </w:r>
      <w:r w:rsidRPr="001C5552">
        <w:rPr>
          <w:sz w:val="24"/>
          <w:szCs w:val="24"/>
          <w:shd w:val="clear" w:color="auto" w:fill="FFFFFF"/>
          <w:lang w:val="en-US"/>
        </w:rPr>
        <w:t>(1), 53-70.</w:t>
      </w:r>
    </w:p>
    <w:p w14:paraId="6C883DEC" w14:textId="77777777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Sehwartz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C. A. B., &amp; Carroll, A. B. (2003).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Corporate social responsibility: a three-domain </w:t>
      </w:r>
      <w:proofErr w:type="spellStart"/>
      <w:r w:rsidRPr="001C5552">
        <w:rPr>
          <w:sz w:val="24"/>
          <w:szCs w:val="24"/>
          <w:shd w:val="clear" w:color="auto" w:fill="FFFFFF"/>
          <w:lang w:val="en-US"/>
        </w:rPr>
        <w:t>approch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. </w:t>
      </w:r>
      <w:r w:rsidRPr="003847CF">
        <w:rPr>
          <w:i/>
          <w:iCs/>
          <w:sz w:val="24"/>
          <w:szCs w:val="24"/>
          <w:shd w:val="clear" w:color="auto" w:fill="FFFFFF"/>
        </w:rPr>
        <w:t xml:space="preserve">Business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Ethics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Quarterly</w:t>
      </w:r>
      <w:proofErr w:type="spellEnd"/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13</w:t>
      </w:r>
      <w:r w:rsidRPr="003847CF">
        <w:rPr>
          <w:sz w:val="24"/>
          <w:szCs w:val="24"/>
          <w:shd w:val="clear" w:color="auto" w:fill="FFFFFF"/>
        </w:rPr>
        <w:t>(4), 503-530.</w:t>
      </w:r>
    </w:p>
    <w:p w14:paraId="41BC6B83" w14:textId="01FF6CF2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r w:rsidRPr="003847CF">
        <w:rPr>
          <w:sz w:val="24"/>
          <w:szCs w:val="24"/>
          <w:shd w:val="clear" w:color="auto" w:fill="FFFFFF"/>
        </w:rPr>
        <w:t xml:space="preserve">Santos, R. L., &amp; Di </w:t>
      </w:r>
      <w:proofErr w:type="spellStart"/>
      <w:r w:rsidRPr="003847CF">
        <w:rPr>
          <w:sz w:val="24"/>
          <w:szCs w:val="24"/>
          <w:shd w:val="clear" w:color="auto" w:fill="FFFFFF"/>
        </w:rPr>
        <w:t>Miceli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da Silveira, A. (2007). </w:t>
      </w:r>
      <w:proofErr w:type="spellStart"/>
      <w:r w:rsidRPr="003847CF">
        <w:rPr>
          <w:sz w:val="24"/>
          <w:szCs w:val="24"/>
          <w:shd w:val="clear" w:color="auto" w:fill="FFFFFF"/>
        </w:rPr>
        <w:t>Board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sz w:val="24"/>
          <w:szCs w:val="24"/>
          <w:shd w:val="clear" w:color="auto" w:fill="FFFFFF"/>
        </w:rPr>
        <w:t>interlocking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no Brasil: a participação de conselheiros em múltiplas companhias e seu efeito sobre o valor das empresas. </w:t>
      </w:r>
      <w:r w:rsidRPr="003847CF">
        <w:rPr>
          <w:i/>
          <w:iCs/>
          <w:sz w:val="24"/>
          <w:szCs w:val="24"/>
          <w:shd w:val="clear" w:color="auto" w:fill="FFFFFF"/>
        </w:rPr>
        <w:t>Revista Brasileira de Finanças</w:t>
      </w:r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5</w:t>
      </w:r>
      <w:r w:rsidRPr="003847CF">
        <w:rPr>
          <w:sz w:val="24"/>
          <w:szCs w:val="24"/>
          <w:shd w:val="clear" w:color="auto" w:fill="FFFFFF"/>
        </w:rPr>
        <w:t>(2)</w:t>
      </w:r>
      <w:r w:rsidR="002000AC">
        <w:rPr>
          <w:sz w:val="24"/>
          <w:szCs w:val="24"/>
          <w:shd w:val="clear" w:color="auto" w:fill="FFFFFF"/>
        </w:rPr>
        <w:t>, 125-163</w:t>
      </w:r>
      <w:r w:rsidRPr="003847CF">
        <w:rPr>
          <w:sz w:val="24"/>
          <w:szCs w:val="24"/>
          <w:shd w:val="clear" w:color="auto" w:fill="FFFFFF"/>
        </w:rPr>
        <w:t>.</w:t>
      </w:r>
    </w:p>
    <w:p w14:paraId="74756644" w14:textId="0C941B03" w:rsidR="001D2029" w:rsidRPr="003847CF" w:rsidRDefault="001D2029" w:rsidP="003847CF">
      <w:pPr>
        <w:jc w:val="both"/>
        <w:rPr>
          <w:sz w:val="24"/>
          <w:szCs w:val="24"/>
        </w:rPr>
      </w:pPr>
      <w:r w:rsidRPr="003847CF">
        <w:rPr>
          <w:sz w:val="24"/>
          <w:szCs w:val="24"/>
          <w:shd w:val="clear" w:color="auto" w:fill="FFFFFF"/>
        </w:rPr>
        <w:t xml:space="preserve">Silveira, A. D. M. </w:t>
      </w:r>
      <w:proofErr w:type="gramStart"/>
      <w:r w:rsidRPr="003847CF">
        <w:rPr>
          <w:sz w:val="24"/>
          <w:szCs w:val="24"/>
          <w:shd w:val="clear" w:color="auto" w:fill="FFFFFF"/>
        </w:rPr>
        <w:t>D.</w:t>
      </w:r>
      <w:proofErr w:type="gramEnd"/>
      <w:r w:rsidRPr="003847CF">
        <w:rPr>
          <w:sz w:val="24"/>
          <w:szCs w:val="24"/>
          <w:shd w:val="clear" w:color="auto" w:fill="FFFFFF"/>
        </w:rPr>
        <w:t xml:space="preserve"> (2006). </w:t>
      </w:r>
      <w:r w:rsidRPr="003847CF">
        <w:rPr>
          <w:i/>
          <w:iCs/>
          <w:sz w:val="24"/>
          <w:szCs w:val="24"/>
          <w:shd w:val="clear" w:color="auto" w:fill="FFFFFF"/>
        </w:rPr>
        <w:t>Governança corporativa e estrutura de propriedade: determinantes e relação com o desempenho das empresas no Brasil</w:t>
      </w:r>
      <w:r w:rsidR="0014622B">
        <w:rPr>
          <w:i/>
          <w:iCs/>
          <w:sz w:val="24"/>
          <w:szCs w:val="24"/>
          <w:shd w:val="clear" w:color="auto" w:fill="FFFFFF"/>
        </w:rPr>
        <w:t>.</w:t>
      </w:r>
      <w:r w:rsidRPr="003847CF">
        <w:rPr>
          <w:sz w:val="24"/>
          <w:szCs w:val="24"/>
          <w:shd w:val="clear" w:color="auto" w:fill="FFFFFF"/>
        </w:rPr>
        <w:t> </w:t>
      </w:r>
      <w:proofErr w:type="spellStart"/>
      <w:r w:rsidRPr="003847CF">
        <w:rPr>
          <w:sz w:val="24"/>
          <w:szCs w:val="24"/>
          <w:shd w:val="clear" w:color="auto" w:fill="FFFFFF"/>
        </w:rPr>
        <w:t>Doctoral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</w:t>
      </w:r>
      <w:proofErr w:type="spellStart"/>
      <w:r w:rsidR="002000AC">
        <w:rPr>
          <w:sz w:val="24"/>
          <w:szCs w:val="24"/>
          <w:shd w:val="clear" w:color="auto" w:fill="FFFFFF"/>
        </w:rPr>
        <w:t>D</w:t>
      </w:r>
      <w:r w:rsidR="002000AC" w:rsidRPr="003847CF">
        <w:rPr>
          <w:sz w:val="24"/>
          <w:szCs w:val="24"/>
          <w:shd w:val="clear" w:color="auto" w:fill="FFFFFF"/>
        </w:rPr>
        <w:t>issertation</w:t>
      </w:r>
      <w:proofErr w:type="spellEnd"/>
      <w:r w:rsidRPr="003847CF">
        <w:rPr>
          <w:sz w:val="24"/>
          <w:szCs w:val="24"/>
          <w:shd w:val="clear" w:color="auto" w:fill="FFFFFF"/>
        </w:rPr>
        <w:t>, Universidade de São Paulo</w:t>
      </w:r>
      <w:r w:rsidR="0014622B">
        <w:rPr>
          <w:sz w:val="24"/>
          <w:szCs w:val="24"/>
          <w:shd w:val="clear" w:color="auto" w:fill="FFFFFF"/>
        </w:rPr>
        <w:t xml:space="preserve">, São Paulo, SP, </w:t>
      </w:r>
      <w:proofErr w:type="spellStart"/>
      <w:r w:rsidR="0014622B">
        <w:rPr>
          <w:sz w:val="24"/>
          <w:szCs w:val="24"/>
          <w:shd w:val="clear" w:color="auto" w:fill="FFFFFF"/>
        </w:rPr>
        <w:t>Brazil</w:t>
      </w:r>
      <w:proofErr w:type="spellEnd"/>
      <w:r w:rsidRPr="003847CF">
        <w:rPr>
          <w:sz w:val="24"/>
          <w:szCs w:val="24"/>
          <w:shd w:val="clear" w:color="auto" w:fill="FFFFFF"/>
        </w:rPr>
        <w:t>.</w:t>
      </w:r>
    </w:p>
    <w:p w14:paraId="56E12B33" w14:textId="77777777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r w:rsidRPr="003847CF">
        <w:rPr>
          <w:sz w:val="24"/>
          <w:szCs w:val="24"/>
          <w:shd w:val="clear" w:color="auto" w:fill="FFFFFF"/>
        </w:rPr>
        <w:t xml:space="preserve">Silveira, A. D. M. </w:t>
      </w:r>
      <w:proofErr w:type="gramStart"/>
      <w:r w:rsidRPr="003847CF">
        <w:rPr>
          <w:sz w:val="24"/>
          <w:szCs w:val="24"/>
          <w:shd w:val="clear" w:color="auto" w:fill="FFFFFF"/>
        </w:rPr>
        <w:t>D.</w:t>
      </w:r>
      <w:proofErr w:type="gramEnd"/>
      <w:r w:rsidRPr="003847CF">
        <w:rPr>
          <w:sz w:val="24"/>
          <w:szCs w:val="24"/>
          <w:shd w:val="clear" w:color="auto" w:fill="FFFFFF"/>
        </w:rPr>
        <w:t xml:space="preserve">, Barros, L. A. B. D. C., &amp; </w:t>
      </w:r>
      <w:proofErr w:type="spellStart"/>
      <w:r w:rsidRPr="003847CF">
        <w:rPr>
          <w:sz w:val="24"/>
          <w:szCs w:val="24"/>
          <w:shd w:val="clear" w:color="auto" w:fill="FFFFFF"/>
        </w:rPr>
        <w:t>Famá</w:t>
      </w:r>
      <w:proofErr w:type="spellEnd"/>
      <w:r w:rsidRPr="003847CF">
        <w:rPr>
          <w:sz w:val="24"/>
          <w:szCs w:val="24"/>
          <w:shd w:val="clear" w:color="auto" w:fill="FFFFFF"/>
        </w:rPr>
        <w:t>, R. (2003). Estrutura de governança e valor das companhias abertas brasileiras. </w:t>
      </w:r>
      <w:r w:rsidRPr="003847CF">
        <w:rPr>
          <w:i/>
          <w:iCs/>
          <w:sz w:val="24"/>
          <w:szCs w:val="24"/>
          <w:shd w:val="clear" w:color="auto" w:fill="FFFFFF"/>
        </w:rPr>
        <w:t>Revista de Administração de Empresas</w:t>
      </w:r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43</w:t>
      </w:r>
      <w:r w:rsidRPr="003847CF">
        <w:rPr>
          <w:sz w:val="24"/>
          <w:szCs w:val="24"/>
          <w:shd w:val="clear" w:color="auto" w:fill="FFFFFF"/>
        </w:rPr>
        <w:t>(3), 50-64.</w:t>
      </w:r>
    </w:p>
    <w:p w14:paraId="17431DF8" w14:textId="77777777" w:rsidR="001D2029" w:rsidRPr="003847CF" w:rsidRDefault="001D2029" w:rsidP="003847CF">
      <w:pPr>
        <w:jc w:val="both"/>
        <w:rPr>
          <w:sz w:val="24"/>
          <w:szCs w:val="24"/>
          <w:shd w:val="clear" w:color="auto" w:fill="FFFFFF"/>
        </w:rPr>
      </w:pPr>
      <w:r w:rsidRPr="003847CF">
        <w:rPr>
          <w:sz w:val="24"/>
          <w:szCs w:val="24"/>
          <w:shd w:val="clear" w:color="auto" w:fill="FFFFFF"/>
        </w:rPr>
        <w:t xml:space="preserve">Silveira, A. D. M., </w:t>
      </w:r>
      <w:proofErr w:type="spellStart"/>
      <w:r w:rsidRPr="003847CF">
        <w:rPr>
          <w:sz w:val="24"/>
          <w:szCs w:val="24"/>
          <w:shd w:val="clear" w:color="auto" w:fill="FFFFFF"/>
        </w:rPr>
        <w:t>Yoshinaga</w:t>
      </w:r>
      <w:proofErr w:type="spellEnd"/>
      <w:r w:rsidRPr="003847CF">
        <w:rPr>
          <w:sz w:val="24"/>
          <w:szCs w:val="24"/>
          <w:shd w:val="clear" w:color="auto" w:fill="FFFFFF"/>
        </w:rPr>
        <w:t>, C. E</w:t>
      </w:r>
      <w:proofErr w:type="gramStart"/>
      <w:r w:rsidRPr="003847CF">
        <w:rPr>
          <w:sz w:val="24"/>
          <w:szCs w:val="24"/>
          <w:shd w:val="clear" w:color="auto" w:fill="FFFFFF"/>
        </w:rPr>
        <w:t>.,</w:t>
      </w:r>
      <w:proofErr w:type="gramEnd"/>
      <w:r w:rsidRPr="003847CF">
        <w:rPr>
          <w:sz w:val="24"/>
          <w:szCs w:val="24"/>
          <w:shd w:val="clear" w:color="auto" w:fill="FFFFFF"/>
        </w:rPr>
        <w:t xml:space="preserve"> &amp; Borba, P. D. R. F. (2005). Crítica à teoria dos </w:t>
      </w:r>
      <w:proofErr w:type="spellStart"/>
      <w:r w:rsidRPr="003847CF">
        <w:rPr>
          <w:sz w:val="24"/>
          <w:szCs w:val="24"/>
          <w:shd w:val="clear" w:color="auto" w:fill="FFFFFF"/>
        </w:rPr>
        <w:t>stakeholders</w:t>
      </w:r>
      <w:proofErr w:type="spellEnd"/>
      <w:r w:rsidRPr="003847CF">
        <w:rPr>
          <w:sz w:val="24"/>
          <w:szCs w:val="24"/>
          <w:shd w:val="clear" w:color="auto" w:fill="FFFFFF"/>
        </w:rPr>
        <w:t xml:space="preserve"> como função-objetivo corporativa. </w:t>
      </w:r>
      <w:r w:rsidRPr="003847CF">
        <w:rPr>
          <w:i/>
          <w:iCs/>
          <w:sz w:val="24"/>
          <w:szCs w:val="24"/>
          <w:shd w:val="clear" w:color="auto" w:fill="FFFFFF"/>
        </w:rPr>
        <w:t>REGE Revista de Gestão</w:t>
      </w:r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12</w:t>
      </w:r>
      <w:r w:rsidRPr="003847CF">
        <w:rPr>
          <w:sz w:val="24"/>
          <w:szCs w:val="24"/>
          <w:shd w:val="clear" w:color="auto" w:fill="FFFFFF"/>
        </w:rPr>
        <w:t>(1), 33-42.</w:t>
      </w:r>
    </w:p>
    <w:p w14:paraId="04E16FCA" w14:textId="4212D2D6" w:rsidR="001D2029" w:rsidRPr="003847CF" w:rsidRDefault="001D2029" w:rsidP="003847C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3847CF">
        <w:rPr>
          <w:sz w:val="24"/>
          <w:szCs w:val="24"/>
          <w:shd w:val="clear" w:color="auto" w:fill="FFFFFF"/>
          <w:lang w:val="en-US"/>
        </w:rPr>
        <w:t>Spangenberg</w:t>
      </w:r>
      <w:proofErr w:type="spellEnd"/>
      <w:r w:rsidRPr="003847CF">
        <w:rPr>
          <w:sz w:val="24"/>
          <w:szCs w:val="24"/>
          <w:shd w:val="clear" w:color="auto" w:fill="FFFFFF"/>
          <w:lang w:val="en-US"/>
        </w:rPr>
        <w:t xml:space="preserve">, J. H. &amp; </w:t>
      </w:r>
      <w:proofErr w:type="spellStart"/>
      <w:r w:rsidRPr="003847CF">
        <w:rPr>
          <w:sz w:val="24"/>
          <w:szCs w:val="24"/>
          <w:shd w:val="clear" w:color="auto" w:fill="FFFFFF"/>
          <w:lang w:val="en-US"/>
        </w:rPr>
        <w:t>Bonniot</w:t>
      </w:r>
      <w:proofErr w:type="spellEnd"/>
      <w:r w:rsidRPr="003847CF">
        <w:rPr>
          <w:sz w:val="24"/>
          <w:szCs w:val="24"/>
          <w:shd w:val="clear" w:color="auto" w:fill="FFFFFF"/>
          <w:lang w:val="en-US"/>
        </w:rPr>
        <w:t xml:space="preserve"> (1</w:t>
      </w:r>
      <w:r w:rsidR="00C16B86">
        <w:rPr>
          <w:sz w:val="24"/>
          <w:szCs w:val="24"/>
          <w:shd w:val="clear" w:color="auto" w:fill="FFFFFF"/>
          <w:lang w:val="en-US"/>
        </w:rPr>
        <w:t>9</w:t>
      </w:r>
      <w:r w:rsidRPr="003847CF">
        <w:rPr>
          <w:sz w:val="24"/>
          <w:szCs w:val="24"/>
          <w:shd w:val="clear" w:color="auto" w:fill="FFFFFF"/>
          <w:lang w:val="en-US"/>
        </w:rPr>
        <w:t>98).</w:t>
      </w:r>
      <w:proofErr w:type="gramEnd"/>
      <w:r w:rsidRPr="003847CF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3847CF">
        <w:rPr>
          <w:sz w:val="24"/>
          <w:szCs w:val="24"/>
          <w:shd w:val="clear" w:color="auto" w:fill="FFFFFF"/>
          <w:lang w:val="en-US"/>
        </w:rPr>
        <w:t>Odile</w:t>
      </w:r>
      <w:proofErr w:type="spellEnd"/>
      <w:r w:rsidRPr="003847CF">
        <w:rPr>
          <w:sz w:val="24"/>
          <w:szCs w:val="24"/>
          <w:shd w:val="clear" w:color="auto" w:fill="FFFFFF"/>
          <w:lang w:val="en-US"/>
        </w:rPr>
        <w:t>.</w:t>
      </w:r>
      <w:proofErr w:type="gramEnd"/>
      <w:r w:rsidRPr="003847CF">
        <w:rPr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847CF">
        <w:rPr>
          <w:sz w:val="24"/>
          <w:szCs w:val="24"/>
          <w:shd w:val="clear" w:color="auto" w:fill="FFFFFF"/>
          <w:lang w:val="en-US"/>
        </w:rPr>
        <w:t>Indicators for sustainable development.</w:t>
      </w:r>
      <w:proofErr w:type="gramEnd"/>
      <w:r w:rsidRPr="003847CF">
        <w:rPr>
          <w:rStyle w:val="apple-converted-space"/>
          <w:sz w:val="24"/>
          <w:szCs w:val="24"/>
          <w:shd w:val="clear" w:color="auto" w:fill="FFFFFF"/>
          <w:lang w:val="en-US"/>
        </w:rPr>
        <w:t> </w:t>
      </w:r>
      <w:proofErr w:type="gramStart"/>
      <w:r w:rsidRPr="003847CF">
        <w:rPr>
          <w:i/>
          <w:sz w:val="24"/>
          <w:szCs w:val="24"/>
          <w:shd w:val="clear" w:color="auto" w:fill="FFFFFF"/>
          <w:lang w:val="en-US"/>
        </w:rPr>
        <w:t>Wuppertal Paper</w:t>
      </w:r>
      <w:r w:rsidRPr="003847CF">
        <w:rPr>
          <w:sz w:val="24"/>
          <w:szCs w:val="24"/>
          <w:shd w:val="clear" w:color="auto" w:fill="FFFFFF"/>
          <w:lang w:val="en-US"/>
        </w:rPr>
        <w:t>, v. 82, p. 1-34</w:t>
      </w:r>
      <w:r w:rsidR="00C16B86">
        <w:rPr>
          <w:sz w:val="24"/>
          <w:szCs w:val="24"/>
          <w:shd w:val="clear" w:color="auto" w:fill="FFFFFF"/>
          <w:lang w:val="en-US"/>
        </w:rPr>
        <w:t xml:space="preserve"> Wuppertal Institute, Wuppertal (BDR)</w:t>
      </w:r>
      <w:r w:rsidRPr="003847CF">
        <w:rPr>
          <w:sz w:val="24"/>
          <w:szCs w:val="24"/>
          <w:shd w:val="clear" w:color="auto" w:fill="FFFFFF"/>
          <w:lang w:val="en-US"/>
        </w:rPr>
        <w:t>.</w:t>
      </w:r>
      <w:proofErr w:type="gramEnd"/>
    </w:p>
    <w:p w14:paraId="578A50CD" w14:textId="77777777" w:rsidR="001D2029" w:rsidRPr="001C5552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r w:rsidRPr="001C5552">
        <w:rPr>
          <w:sz w:val="24"/>
          <w:szCs w:val="24"/>
          <w:shd w:val="clear" w:color="auto" w:fill="FFFFFF"/>
          <w:lang w:val="en-US"/>
        </w:rPr>
        <w:t>Tilt, C. A. (1994). The influence of external pressure groups on corporate social disclosure: some empirical evidence. </w:t>
      </w:r>
      <w:proofErr w:type="gramStart"/>
      <w:r w:rsidRPr="001C5552">
        <w:rPr>
          <w:i/>
          <w:iCs/>
          <w:sz w:val="24"/>
          <w:szCs w:val="24"/>
          <w:shd w:val="clear" w:color="auto" w:fill="FFFFFF"/>
          <w:lang w:val="en-US"/>
        </w:rPr>
        <w:t>Accounting, Auditing &amp; Accountability Journal</w:t>
      </w:r>
      <w:r w:rsidRPr="001C5552">
        <w:rPr>
          <w:sz w:val="24"/>
          <w:szCs w:val="24"/>
          <w:shd w:val="clear" w:color="auto" w:fill="FFFFFF"/>
          <w:lang w:val="en-US"/>
        </w:rPr>
        <w:t>, </w:t>
      </w:r>
      <w:r w:rsidRPr="001C5552">
        <w:rPr>
          <w:i/>
          <w:iCs/>
          <w:sz w:val="24"/>
          <w:szCs w:val="24"/>
          <w:shd w:val="clear" w:color="auto" w:fill="FFFFFF"/>
          <w:lang w:val="en-US"/>
        </w:rPr>
        <w:t>7</w:t>
      </w:r>
      <w:r w:rsidRPr="001C5552">
        <w:rPr>
          <w:sz w:val="24"/>
          <w:szCs w:val="24"/>
          <w:shd w:val="clear" w:color="auto" w:fill="FFFFFF"/>
          <w:lang w:val="en-US"/>
        </w:rPr>
        <w:t>(4), 47-72.</w:t>
      </w:r>
      <w:proofErr w:type="gramEnd"/>
    </w:p>
    <w:p w14:paraId="704AC00E" w14:textId="77777777" w:rsidR="001D2029" w:rsidRPr="00042741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>Vieira, S. P., &amp; Mendes, A. G. S. T. (2005).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</w:t>
      </w:r>
      <w:r w:rsidRPr="003847CF">
        <w:rPr>
          <w:sz w:val="24"/>
          <w:szCs w:val="24"/>
          <w:shd w:val="clear" w:color="auto" w:fill="FFFFFF"/>
        </w:rPr>
        <w:t>Governança corporativa: uma análise de sua evolução e impactos no mercado de capitais brasileiro.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 xml:space="preserve">Revista </w:t>
      </w:r>
      <w:proofErr w:type="spellStart"/>
      <w:r w:rsidRPr="00042741">
        <w:rPr>
          <w:i/>
          <w:iCs/>
          <w:sz w:val="24"/>
          <w:szCs w:val="24"/>
          <w:shd w:val="clear" w:color="auto" w:fill="FFFFFF"/>
          <w:lang w:val="en-US"/>
        </w:rPr>
        <w:t>Organizações</w:t>
      </w:r>
      <w:proofErr w:type="spellEnd"/>
      <w:r w:rsidRPr="00042741">
        <w:rPr>
          <w:i/>
          <w:iCs/>
          <w:sz w:val="24"/>
          <w:szCs w:val="24"/>
          <w:shd w:val="clear" w:color="auto" w:fill="FFFFFF"/>
          <w:lang w:val="en-US"/>
        </w:rPr>
        <w:t xml:space="preserve"> em </w:t>
      </w:r>
      <w:proofErr w:type="spellStart"/>
      <w:r w:rsidRPr="00042741">
        <w:rPr>
          <w:i/>
          <w:iCs/>
          <w:sz w:val="24"/>
          <w:szCs w:val="24"/>
          <w:shd w:val="clear" w:color="auto" w:fill="FFFFFF"/>
          <w:lang w:val="en-US"/>
        </w:rPr>
        <w:t>Contexto</w:t>
      </w:r>
      <w:proofErr w:type="spellEnd"/>
      <w:r w:rsidRPr="00042741">
        <w:rPr>
          <w:sz w:val="24"/>
          <w:szCs w:val="24"/>
          <w:shd w:val="clear" w:color="auto" w:fill="FFFFFF"/>
          <w:lang w:val="en-US"/>
        </w:rPr>
        <w:t>,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2</w:t>
      </w:r>
      <w:r w:rsidRPr="00042741">
        <w:rPr>
          <w:sz w:val="24"/>
          <w:szCs w:val="24"/>
          <w:shd w:val="clear" w:color="auto" w:fill="FFFFFF"/>
          <w:lang w:val="en-US"/>
        </w:rPr>
        <w:t>(3), 48-67.</w:t>
      </w:r>
    </w:p>
    <w:p w14:paraId="7EB6D563" w14:textId="77777777" w:rsidR="001D2029" w:rsidRPr="00042741" w:rsidRDefault="001D2029" w:rsidP="003847CF">
      <w:pPr>
        <w:jc w:val="both"/>
        <w:rPr>
          <w:sz w:val="24"/>
          <w:szCs w:val="24"/>
          <w:shd w:val="clear" w:color="auto" w:fill="FFFFFF"/>
          <w:lang w:val="en-US"/>
        </w:rPr>
      </w:pPr>
      <w:proofErr w:type="gramStart"/>
      <w:r w:rsidRPr="001C5552">
        <w:rPr>
          <w:sz w:val="24"/>
          <w:szCs w:val="24"/>
          <w:shd w:val="clear" w:color="auto" w:fill="FFFFFF"/>
          <w:lang w:val="en-US"/>
        </w:rPr>
        <w:t>Weber, J., &amp; Marley, K. A. (2012).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In search of stakeholder salience: Exploring corporate social and sustainability reports.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Business &amp; Society</w:t>
      </w:r>
      <w:r w:rsidRPr="00042741">
        <w:rPr>
          <w:sz w:val="24"/>
          <w:szCs w:val="24"/>
          <w:shd w:val="clear" w:color="auto" w:fill="FFFFFF"/>
          <w:lang w:val="en-US"/>
        </w:rPr>
        <w:t>, </w:t>
      </w:r>
      <w:r w:rsidRPr="00042741">
        <w:rPr>
          <w:i/>
          <w:iCs/>
          <w:sz w:val="24"/>
          <w:szCs w:val="24"/>
          <w:shd w:val="clear" w:color="auto" w:fill="FFFFFF"/>
          <w:lang w:val="en-US"/>
        </w:rPr>
        <w:t>51</w:t>
      </w:r>
      <w:r w:rsidRPr="00042741">
        <w:rPr>
          <w:sz w:val="24"/>
          <w:szCs w:val="24"/>
          <w:shd w:val="clear" w:color="auto" w:fill="FFFFFF"/>
          <w:lang w:val="en-US"/>
        </w:rPr>
        <w:t>(4), 626-649.</w:t>
      </w:r>
    </w:p>
    <w:p w14:paraId="4725445B" w14:textId="77777777" w:rsidR="00E6136F" w:rsidRPr="003847CF" w:rsidRDefault="001D2029" w:rsidP="003847CF">
      <w:pPr>
        <w:jc w:val="both"/>
        <w:rPr>
          <w:sz w:val="24"/>
          <w:szCs w:val="24"/>
        </w:rPr>
      </w:pPr>
      <w:proofErr w:type="spellStart"/>
      <w:proofErr w:type="gramStart"/>
      <w:r w:rsidRPr="001C5552">
        <w:rPr>
          <w:sz w:val="24"/>
          <w:szCs w:val="24"/>
          <w:shd w:val="clear" w:color="auto" w:fill="FFFFFF"/>
          <w:lang w:val="en-US"/>
        </w:rPr>
        <w:t>Wilmshurst</w:t>
      </w:r>
      <w:proofErr w:type="spellEnd"/>
      <w:r w:rsidRPr="001C5552">
        <w:rPr>
          <w:sz w:val="24"/>
          <w:szCs w:val="24"/>
          <w:shd w:val="clear" w:color="auto" w:fill="FFFFFF"/>
          <w:lang w:val="en-US"/>
        </w:rPr>
        <w:t>, T. D., &amp; Frost, G. R. (2000).</w:t>
      </w:r>
      <w:proofErr w:type="gramEnd"/>
      <w:r w:rsidRPr="001C5552">
        <w:rPr>
          <w:sz w:val="24"/>
          <w:szCs w:val="24"/>
          <w:shd w:val="clear" w:color="auto" w:fill="FFFFFF"/>
          <w:lang w:val="en-US"/>
        </w:rPr>
        <w:t xml:space="preserve"> Corporate environmental reporting: A test of legitimacy theory. 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Accounting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Auditing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&amp;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Accountability</w:t>
      </w:r>
      <w:proofErr w:type="spellEnd"/>
      <w:r w:rsidRPr="003847CF">
        <w:rPr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847CF">
        <w:rPr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3847CF">
        <w:rPr>
          <w:sz w:val="24"/>
          <w:szCs w:val="24"/>
          <w:shd w:val="clear" w:color="auto" w:fill="FFFFFF"/>
        </w:rPr>
        <w:t>, </w:t>
      </w:r>
      <w:r w:rsidRPr="003847CF">
        <w:rPr>
          <w:i/>
          <w:iCs/>
          <w:sz w:val="24"/>
          <w:szCs w:val="24"/>
          <w:shd w:val="clear" w:color="auto" w:fill="FFFFFF"/>
        </w:rPr>
        <w:t>13</w:t>
      </w:r>
      <w:r w:rsidRPr="003847CF">
        <w:rPr>
          <w:sz w:val="24"/>
          <w:szCs w:val="24"/>
          <w:shd w:val="clear" w:color="auto" w:fill="FFFFFF"/>
        </w:rPr>
        <w:t>(1), 10-26.</w:t>
      </w:r>
      <w:bookmarkStart w:id="0" w:name="_GoBack"/>
      <w:bookmarkEnd w:id="0"/>
    </w:p>
    <w:sectPr w:rsidR="00E6136F" w:rsidRPr="003847CF" w:rsidSect="00C04F45">
      <w:headerReference w:type="default" r:id="rId11"/>
      <w:footerReference w:type="default" r:id="rId12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6BEBB" w14:textId="77777777" w:rsidR="005A0953" w:rsidRDefault="005A0953" w:rsidP="008A5824">
      <w:r>
        <w:separator/>
      </w:r>
    </w:p>
  </w:endnote>
  <w:endnote w:type="continuationSeparator" w:id="0">
    <w:p w14:paraId="14620ADB" w14:textId="77777777" w:rsidR="005A0953" w:rsidRDefault="005A0953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7301481"/>
      <w:docPartObj>
        <w:docPartGallery w:val="Page Numbers (Bottom of Page)"/>
        <w:docPartUnique/>
      </w:docPartObj>
    </w:sdtPr>
    <w:sdtEndPr/>
    <w:sdtContent>
      <w:p w14:paraId="58BD1F45" w14:textId="77777777" w:rsidR="004554FF" w:rsidRDefault="004554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445">
          <w:rPr>
            <w:noProof/>
          </w:rPr>
          <w:t>17</w:t>
        </w:r>
        <w:r>
          <w:fldChar w:fldCharType="end"/>
        </w:r>
      </w:p>
    </w:sdtContent>
  </w:sdt>
  <w:p w14:paraId="6A656E82" w14:textId="77777777" w:rsidR="004554FF" w:rsidRPr="00C04F45" w:rsidRDefault="004554FF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E5C77" w14:textId="77777777" w:rsidR="005A0953" w:rsidRDefault="005A0953" w:rsidP="008A5824">
      <w:r>
        <w:separator/>
      </w:r>
    </w:p>
  </w:footnote>
  <w:footnote w:type="continuationSeparator" w:id="0">
    <w:p w14:paraId="46DB217E" w14:textId="77777777" w:rsidR="005A0953" w:rsidRDefault="005A0953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B2B13" w14:textId="77777777" w:rsidR="004554FF" w:rsidRPr="00E361F4" w:rsidRDefault="004554FF" w:rsidP="00E361F4">
    <w:pPr>
      <w:pStyle w:val="Cabealho"/>
    </w:pPr>
    <w:r>
      <w:rPr>
        <w:noProof/>
        <w:lang w:eastAsia="pt-BR"/>
      </w:rPr>
      <w:drawing>
        <wp:inline distT="0" distB="0" distL="0" distR="0" wp14:anchorId="27773089" wp14:editId="228DB48A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24"/>
    <w:rsid w:val="00042741"/>
    <w:rsid w:val="00067126"/>
    <w:rsid w:val="00104C30"/>
    <w:rsid w:val="0014622B"/>
    <w:rsid w:val="0016220D"/>
    <w:rsid w:val="00194BA9"/>
    <w:rsid w:val="001A4423"/>
    <w:rsid w:val="001C328B"/>
    <w:rsid w:val="001C5552"/>
    <w:rsid w:val="001D2029"/>
    <w:rsid w:val="001D75D9"/>
    <w:rsid w:val="001F6A6D"/>
    <w:rsid w:val="002000AC"/>
    <w:rsid w:val="0026270C"/>
    <w:rsid w:val="00263031"/>
    <w:rsid w:val="00274778"/>
    <w:rsid w:val="002B0015"/>
    <w:rsid w:val="002B2B78"/>
    <w:rsid w:val="002C565C"/>
    <w:rsid w:val="0036377D"/>
    <w:rsid w:val="003847CF"/>
    <w:rsid w:val="0038579D"/>
    <w:rsid w:val="004020EB"/>
    <w:rsid w:val="004129B0"/>
    <w:rsid w:val="00422325"/>
    <w:rsid w:val="004554FF"/>
    <w:rsid w:val="00473887"/>
    <w:rsid w:val="004778C3"/>
    <w:rsid w:val="00491708"/>
    <w:rsid w:val="004C1F12"/>
    <w:rsid w:val="004F0CDE"/>
    <w:rsid w:val="005428C1"/>
    <w:rsid w:val="00554F42"/>
    <w:rsid w:val="005A0953"/>
    <w:rsid w:val="005C61AC"/>
    <w:rsid w:val="006064A3"/>
    <w:rsid w:val="00631DCF"/>
    <w:rsid w:val="00686527"/>
    <w:rsid w:val="0070260E"/>
    <w:rsid w:val="00705221"/>
    <w:rsid w:val="0072578D"/>
    <w:rsid w:val="00755445"/>
    <w:rsid w:val="0077658F"/>
    <w:rsid w:val="00840513"/>
    <w:rsid w:val="00860B20"/>
    <w:rsid w:val="008A5824"/>
    <w:rsid w:val="008D4F05"/>
    <w:rsid w:val="009833D5"/>
    <w:rsid w:val="00A34842"/>
    <w:rsid w:val="00A86ECF"/>
    <w:rsid w:val="00B32719"/>
    <w:rsid w:val="00B363D4"/>
    <w:rsid w:val="00B41CAF"/>
    <w:rsid w:val="00BD0F13"/>
    <w:rsid w:val="00BF747D"/>
    <w:rsid w:val="00C04F45"/>
    <w:rsid w:val="00C16B86"/>
    <w:rsid w:val="00C30374"/>
    <w:rsid w:val="00CA2367"/>
    <w:rsid w:val="00CA25AA"/>
    <w:rsid w:val="00CE5296"/>
    <w:rsid w:val="00CF645C"/>
    <w:rsid w:val="00D16770"/>
    <w:rsid w:val="00D32D3C"/>
    <w:rsid w:val="00D91EAD"/>
    <w:rsid w:val="00E361F4"/>
    <w:rsid w:val="00E6136F"/>
    <w:rsid w:val="00ED7A83"/>
    <w:rsid w:val="00EE5063"/>
    <w:rsid w:val="00F77D47"/>
    <w:rsid w:val="00FE1CF2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99C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character" w:customStyle="1" w:styleId="apple-converted-space">
    <w:name w:val="apple-converted-space"/>
    <w:basedOn w:val="Fontepargpadro"/>
    <w:qFormat/>
    <w:rsid w:val="001D2029"/>
  </w:style>
  <w:style w:type="character" w:customStyle="1" w:styleId="normaltextrun">
    <w:name w:val="normaltextrun"/>
    <w:basedOn w:val="Fontepargpadro"/>
    <w:qFormat/>
    <w:rsid w:val="001D2029"/>
  </w:style>
  <w:style w:type="character" w:customStyle="1" w:styleId="eop">
    <w:name w:val="eop"/>
    <w:basedOn w:val="Fontepargpadro"/>
    <w:qFormat/>
    <w:rsid w:val="001D2029"/>
  </w:style>
  <w:style w:type="character" w:customStyle="1" w:styleId="spellingerror">
    <w:name w:val="spellingerror"/>
    <w:basedOn w:val="Fontepargpadro"/>
    <w:qFormat/>
    <w:rsid w:val="001D2029"/>
  </w:style>
  <w:style w:type="paragraph" w:customStyle="1" w:styleId="paragraph">
    <w:name w:val="paragraph"/>
    <w:basedOn w:val="Normal"/>
    <w:qFormat/>
    <w:rsid w:val="001D2029"/>
    <w:pPr>
      <w:suppressAutoHyphens w:val="0"/>
      <w:spacing w:beforeAutospacing="1" w:after="160" w:afterAutospacing="1"/>
    </w:pPr>
    <w:rPr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1D2029"/>
    <w:rPr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2029"/>
    <w:pPr>
      <w:suppressAutoHyphens w:val="0"/>
    </w:pPr>
    <w:rPr>
      <w:rFonts w:asciiTheme="minorHAnsi" w:eastAsiaTheme="minorHAnsi" w:hAnsiTheme="minorHAnsi" w:cstheme="minorBidi"/>
      <w:color w:val="00000A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2029"/>
    <w:rPr>
      <w:color w:val="00000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2029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1C55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C555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C555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C55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C555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character" w:customStyle="1" w:styleId="apple-converted-space">
    <w:name w:val="apple-converted-space"/>
    <w:basedOn w:val="Fontepargpadro"/>
    <w:qFormat/>
    <w:rsid w:val="001D2029"/>
  </w:style>
  <w:style w:type="character" w:customStyle="1" w:styleId="normaltextrun">
    <w:name w:val="normaltextrun"/>
    <w:basedOn w:val="Fontepargpadro"/>
    <w:qFormat/>
    <w:rsid w:val="001D2029"/>
  </w:style>
  <w:style w:type="character" w:customStyle="1" w:styleId="eop">
    <w:name w:val="eop"/>
    <w:basedOn w:val="Fontepargpadro"/>
    <w:qFormat/>
    <w:rsid w:val="001D2029"/>
  </w:style>
  <w:style w:type="character" w:customStyle="1" w:styleId="spellingerror">
    <w:name w:val="spellingerror"/>
    <w:basedOn w:val="Fontepargpadro"/>
    <w:qFormat/>
    <w:rsid w:val="001D2029"/>
  </w:style>
  <w:style w:type="paragraph" w:customStyle="1" w:styleId="paragraph">
    <w:name w:val="paragraph"/>
    <w:basedOn w:val="Normal"/>
    <w:qFormat/>
    <w:rsid w:val="001D2029"/>
    <w:pPr>
      <w:suppressAutoHyphens w:val="0"/>
      <w:spacing w:beforeAutospacing="1" w:after="160" w:afterAutospacing="1"/>
    </w:pPr>
    <w:rPr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1D2029"/>
    <w:rPr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2029"/>
    <w:pPr>
      <w:suppressAutoHyphens w:val="0"/>
    </w:pPr>
    <w:rPr>
      <w:rFonts w:asciiTheme="minorHAnsi" w:eastAsiaTheme="minorHAnsi" w:hAnsiTheme="minorHAnsi" w:cstheme="minorBidi"/>
      <w:color w:val="00000A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2029"/>
    <w:rPr>
      <w:color w:val="00000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2029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1C55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C555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C555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C55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C555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danielecurto@yahoo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vandronez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859A6-F090-4A05-A24C-BB5326C7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8842</Words>
  <Characters>47751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EDN</cp:lastModifiedBy>
  <cp:revision>3</cp:revision>
  <dcterms:created xsi:type="dcterms:W3CDTF">2018-05-02T16:46:00Z</dcterms:created>
  <dcterms:modified xsi:type="dcterms:W3CDTF">2018-05-02T16:53:00Z</dcterms:modified>
</cp:coreProperties>
</file>