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1756E" w14:textId="77777777" w:rsidR="0036377D" w:rsidRDefault="0036377D" w:rsidP="0036377D">
      <w:pPr>
        <w:jc w:val="center"/>
        <w:rPr>
          <w:b/>
          <w:sz w:val="24"/>
        </w:rPr>
      </w:pPr>
    </w:p>
    <w:p w14:paraId="1EFBD2D3" w14:textId="77777777" w:rsidR="00323705" w:rsidRDefault="00323705" w:rsidP="00323705">
      <w:pPr>
        <w:jc w:val="center"/>
        <w:rPr>
          <w:b/>
          <w:sz w:val="24"/>
          <w:szCs w:val="24"/>
        </w:rPr>
      </w:pPr>
      <w:r>
        <w:rPr>
          <w:b/>
          <w:sz w:val="24"/>
          <w:szCs w:val="24"/>
        </w:rPr>
        <w:t>Influência do Fluxo de Caixa Livre e da Rentabilidade no Pagamento de Dividendos de Empresas Brasileiras</w:t>
      </w:r>
    </w:p>
    <w:p w14:paraId="6030277B" w14:textId="2C4F7F15" w:rsidR="00B41AC1" w:rsidRDefault="00B41AC1" w:rsidP="00B41AC1">
      <w:pPr>
        <w:jc w:val="center"/>
        <w:rPr>
          <w:color w:val="999999"/>
        </w:rPr>
      </w:pPr>
    </w:p>
    <w:p w14:paraId="326792FE" w14:textId="17C460B8" w:rsidR="00B41AC1" w:rsidRDefault="00B41AC1" w:rsidP="00B41AC1">
      <w:pPr>
        <w:jc w:val="center"/>
        <w:rPr>
          <w:color w:val="999999"/>
        </w:rPr>
      </w:pPr>
    </w:p>
    <w:p w14:paraId="7B38E2B9" w14:textId="77777777" w:rsidR="00323705" w:rsidRPr="00323705" w:rsidRDefault="00323705" w:rsidP="00323705">
      <w:pPr>
        <w:jc w:val="right"/>
        <w:rPr>
          <w:b/>
          <w:sz w:val="24"/>
          <w:szCs w:val="24"/>
        </w:rPr>
      </w:pPr>
      <w:r w:rsidRPr="00323705">
        <w:rPr>
          <w:b/>
          <w:sz w:val="24"/>
          <w:szCs w:val="24"/>
        </w:rPr>
        <w:t>Mikaéli da Silva Giordani</w:t>
      </w:r>
    </w:p>
    <w:p w14:paraId="0B114E77" w14:textId="24E4771F" w:rsidR="000E499F" w:rsidRDefault="00323705" w:rsidP="000E499F">
      <w:pPr>
        <w:jc w:val="right"/>
        <w:rPr>
          <w:b/>
          <w:i/>
          <w:sz w:val="24"/>
          <w:szCs w:val="24"/>
        </w:rPr>
      </w:pPr>
      <w:r>
        <w:rPr>
          <w:b/>
          <w:sz w:val="24"/>
          <w:szCs w:val="24"/>
        </w:rPr>
        <w:t>FURB</w:t>
      </w:r>
    </w:p>
    <w:p w14:paraId="31FBF51C" w14:textId="5DFFF180" w:rsidR="000E499F" w:rsidRDefault="000E499F" w:rsidP="000E499F">
      <w:pPr>
        <w:jc w:val="right"/>
        <w:rPr>
          <w:b/>
          <w:sz w:val="24"/>
          <w:szCs w:val="24"/>
        </w:rPr>
      </w:pPr>
      <w:r>
        <w:rPr>
          <w:b/>
          <w:i/>
          <w:sz w:val="24"/>
          <w:szCs w:val="24"/>
        </w:rPr>
        <w:t>E-mail:</w:t>
      </w:r>
      <w:r w:rsidR="007A7862">
        <w:rPr>
          <w:b/>
          <w:i/>
          <w:sz w:val="24"/>
          <w:szCs w:val="24"/>
        </w:rPr>
        <w:t>mikagiordani@hotmail.com</w:t>
      </w:r>
    </w:p>
    <w:p w14:paraId="29F710C2" w14:textId="77777777" w:rsidR="000E499F" w:rsidRDefault="000E499F" w:rsidP="000E499F">
      <w:pPr>
        <w:jc w:val="right"/>
        <w:rPr>
          <w:b/>
          <w:sz w:val="24"/>
          <w:szCs w:val="24"/>
        </w:rPr>
      </w:pPr>
    </w:p>
    <w:p w14:paraId="28C9263D" w14:textId="77777777" w:rsidR="007A7862" w:rsidRPr="007A7862" w:rsidRDefault="007A7862" w:rsidP="007A7862">
      <w:pPr>
        <w:jc w:val="right"/>
        <w:rPr>
          <w:b/>
          <w:sz w:val="24"/>
          <w:szCs w:val="24"/>
        </w:rPr>
      </w:pPr>
      <w:r w:rsidRPr="007A7862">
        <w:rPr>
          <w:b/>
          <w:sz w:val="24"/>
          <w:szCs w:val="24"/>
        </w:rPr>
        <w:t>Jessica Giovana Nolli</w:t>
      </w:r>
    </w:p>
    <w:p w14:paraId="7B66A9C2" w14:textId="69A4D141" w:rsidR="000E499F" w:rsidRDefault="007A7862" w:rsidP="000E499F">
      <w:pPr>
        <w:widowControl w:val="0"/>
        <w:jc w:val="right"/>
        <w:rPr>
          <w:b/>
          <w:i/>
          <w:sz w:val="24"/>
          <w:szCs w:val="24"/>
        </w:rPr>
      </w:pPr>
      <w:r>
        <w:rPr>
          <w:b/>
          <w:sz w:val="24"/>
          <w:szCs w:val="24"/>
        </w:rPr>
        <w:t>FURB</w:t>
      </w:r>
    </w:p>
    <w:p w14:paraId="2C8B7ECC" w14:textId="1782C8B3" w:rsidR="000E499F" w:rsidRDefault="000E499F" w:rsidP="000E499F">
      <w:pPr>
        <w:widowControl w:val="0"/>
        <w:jc w:val="right"/>
        <w:rPr>
          <w:b/>
          <w:sz w:val="24"/>
          <w:szCs w:val="24"/>
        </w:rPr>
      </w:pPr>
      <w:r>
        <w:rPr>
          <w:b/>
          <w:i/>
          <w:sz w:val="24"/>
          <w:szCs w:val="24"/>
        </w:rPr>
        <w:t>E-mail:</w:t>
      </w:r>
      <w:r w:rsidR="007A7862">
        <w:rPr>
          <w:b/>
          <w:i/>
          <w:sz w:val="24"/>
          <w:szCs w:val="24"/>
        </w:rPr>
        <w:t>jessicanolli@hotmail.com</w:t>
      </w:r>
    </w:p>
    <w:p w14:paraId="4A7EF709" w14:textId="16F95AB7" w:rsidR="00B41AC1" w:rsidRDefault="00B41AC1" w:rsidP="00B41AC1">
      <w:pPr>
        <w:rPr>
          <w:color w:val="999999"/>
        </w:rPr>
      </w:pPr>
    </w:p>
    <w:p w14:paraId="38CB854F" w14:textId="6C94EEA1" w:rsidR="007A7862" w:rsidRPr="007A7862" w:rsidRDefault="007A7862" w:rsidP="007A7862">
      <w:pPr>
        <w:jc w:val="right"/>
        <w:rPr>
          <w:b/>
          <w:sz w:val="24"/>
          <w:szCs w:val="24"/>
        </w:rPr>
      </w:pPr>
      <w:r w:rsidRPr="007A7862">
        <w:rPr>
          <w:b/>
          <w:sz w:val="24"/>
          <w:szCs w:val="24"/>
          <w:shd w:val="clear" w:color="auto" w:fill="FFFFFF"/>
        </w:rPr>
        <w:t>Tarcísio Pedro da Silva</w:t>
      </w:r>
    </w:p>
    <w:p w14:paraId="72C5FA58" w14:textId="77777777" w:rsidR="007A7862" w:rsidRDefault="007A7862" w:rsidP="007A7862">
      <w:pPr>
        <w:widowControl w:val="0"/>
        <w:jc w:val="right"/>
        <w:rPr>
          <w:b/>
          <w:i/>
          <w:sz w:val="24"/>
          <w:szCs w:val="24"/>
        </w:rPr>
      </w:pPr>
      <w:r>
        <w:rPr>
          <w:b/>
          <w:sz w:val="24"/>
          <w:szCs w:val="24"/>
        </w:rPr>
        <w:t>FURB</w:t>
      </w:r>
    </w:p>
    <w:p w14:paraId="6AC854C7" w14:textId="063FEA1D" w:rsidR="00323705" w:rsidRDefault="007A7862" w:rsidP="007A7862">
      <w:pPr>
        <w:jc w:val="right"/>
        <w:rPr>
          <w:b/>
          <w:sz w:val="24"/>
          <w:szCs w:val="24"/>
        </w:rPr>
      </w:pPr>
      <w:r>
        <w:rPr>
          <w:b/>
          <w:i/>
          <w:sz w:val="24"/>
          <w:szCs w:val="24"/>
        </w:rPr>
        <w:t>E-mail:</w:t>
      </w:r>
      <w:r>
        <w:rPr>
          <w:b/>
          <w:sz w:val="24"/>
          <w:szCs w:val="24"/>
        </w:rPr>
        <w:t>tarcisio@furb.br</w:t>
      </w:r>
    </w:p>
    <w:p w14:paraId="5E036D06" w14:textId="77777777" w:rsidR="00323705" w:rsidRDefault="00323705" w:rsidP="00323705">
      <w:pPr>
        <w:rPr>
          <w:sz w:val="24"/>
          <w:szCs w:val="24"/>
        </w:rPr>
      </w:pPr>
    </w:p>
    <w:p w14:paraId="447A6A67" w14:textId="77777777" w:rsidR="00323705" w:rsidRDefault="00323705" w:rsidP="00323705">
      <w:pPr>
        <w:jc w:val="both"/>
        <w:rPr>
          <w:b/>
          <w:sz w:val="24"/>
          <w:szCs w:val="24"/>
        </w:rPr>
      </w:pPr>
      <w:r>
        <w:rPr>
          <w:b/>
          <w:sz w:val="24"/>
          <w:szCs w:val="24"/>
        </w:rPr>
        <w:t>RESUMO</w:t>
      </w:r>
    </w:p>
    <w:p w14:paraId="2750C87D" w14:textId="7F7BA245" w:rsidR="00323705" w:rsidRDefault="00323705" w:rsidP="00323705">
      <w:pPr>
        <w:pStyle w:val="Corpodetexto1"/>
        <w:shd w:val="clear" w:color="auto" w:fill="auto"/>
        <w:spacing w:after="0" w:line="240" w:lineRule="auto"/>
        <w:ind w:left="20" w:right="40" w:firstLine="0"/>
        <w:jc w:val="both"/>
        <w:rPr>
          <w:sz w:val="24"/>
          <w:szCs w:val="24"/>
        </w:rPr>
      </w:pPr>
      <w:r>
        <w:rPr>
          <w:sz w:val="24"/>
          <w:szCs w:val="24"/>
        </w:rPr>
        <w:t>A distribuição de dividendos é um assunto amplamente abordado no campo das finanças corporativas. Este estudo tem como objetivo analisar a influência do fluxo de caixa livre e rentabilidade no pagamento de dividendos. A pesquisa caracteriza-se como descritiva, documental, com abordagem quantitativa para resolução do problema, com a utilização de métodos estatísticos para a análise, como a Regressão Linear Múltipla. Os dados coletados foram do período de 5 anos, de 2012 a 2016. A amostra do estudo compreendeu as empresas brasileiras que possuíam valores disponíveis para o pagamento de dividendos, o fluxo de caixa livre e a rentabilidade, resultando em 326 empresas para o período analisado. Os achados apontam que o pagamento de dividendos não apresenta relação com o fluxo de caixa livre, fato que pode estar atrelado ao mercado emergente do estudo e as políticas de pagamento de dividendo do país. Já a rentabilidade tem um impacto significativo sobre o pagamento de dividendos das empresas listadas no na BM&amp;FBovespa. Ou seja, um aumento ou diminuição da rentabilidade de uma empresa tende a afetar significativamente o nível de pagamento de dividendos das empresas. A presente pesquisa contribui para a literatura por ampliar o conhecimento sobre a relação entre dividendos, fluxo de caixa livre e rentabilidade das empresas brasileiras.</w:t>
      </w:r>
      <w:r w:rsidR="00416BE9">
        <w:rPr>
          <w:sz w:val="24"/>
          <w:szCs w:val="24"/>
        </w:rPr>
        <w:t xml:space="preserve"> </w:t>
      </w:r>
      <w:r w:rsidR="00416BE9">
        <w:rPr>
          <w:sz w:val="24"/>
          <w:szCs w:val="24"/>
        </w:rPr>
        <w:t>Sendo útil também para investidores no que se refere a análise de investimentos das empresas brasileiras de capital aberto ao relacionar a rentabilidade e o fluxo de caixa livre com o retorno das ações.</w:t>
      </w:r>
      <w:r w:rsidR="00416BE9">
        <w:rPr>
          <w:sz w:val="24"/>
          <w:szCs w:val="24"/>
        </w:rPr>
        <w:t xml:space="preserve"> </w:t>
      </w:r>
      <w:r>
        <w:rPr>
          <w:sz w:val="24"/>
          <w:szCs w:val="24"/>
        </w:rPr>
        <w:t>Destaca-se que os achados relacionados a rentabilidade são contraditórios aos evidenciados internacionalmente, tendo em vista que a pesquisa foi realizada em um país emergente.</w:t>
      </w:r>
    </w:p>
    <w:p w14:paraId="6128196F" w14:textId="77777777" w:rsidR="00323705" w:rsidRDefault="00323705" w:rsidP="00323705">
      <w:pPr>
        <w:pStyle w:val="Corpodetexto1"/>
        <w:shd w:val="clear" w:color="auto" w:fill="auto"/>
        <w:spacing w:after="0" w:line="240" w:lineRule="auto"/>
        <w:ind w:left="20" w:right="40" w:firstLine="689"/>
        <w:jc w:val="both"/>
        <w:rPr>
          <w:sz w:val="24"/>
          <w:szCs w:val="24"/>
        </w:rPr>
      </w:pPr>
    </w:p>
    <w:p w14:paraId="5A648FBD" w14:textId="77777777" w:rsidR="00323705" w:rsidRDefault="00323705" w:rsidP="00323705">
      <w:pPr>
        <w:jc w:val="both"/>
        <w:rPr>
          <w:sz w:val="24"/>
          <w:szCs w:val="24"/>
        </w:rPr>
      </w:pPr>
      <w:r>
        <w:rPr>
          <w:b/>
          <w:sz w:val="24"/>
          <w:szCs w:val="24"/>
        </w:rPr>
        <w:t xml:space="preserve">Palavras-Chave: </w:t>
      </w:r>
      <w:r>
        <w:rPr>
          <w:sz w:val="24"/>
          <w:szCs w:val="24"/>
        </w:rPr>
        <w:t>Política de Dividendos; Rentabilidade; Fluxo de Caixa Livre; Empresas Brasileiras.</w:t>
      </w:r>
    </w:p>
    <w:p w14:paraId="5EEB2C63" w14:textId="77777777" w:rsidR="00323705" w:rsidRDefault="00323705" w:rsidP="00323705">
      <w:pPr>
        <w:rPr>
          <w:sz w:val="24"/>
          <w:szCs w:val="24"/>
        </w:rPr>
      </w:pPr>
    </w:p>
    <w:p w14:paraId="5260E7A7" w14:textId="71DC4CB5" w:rsidR="007A7862" w:rsidRDefault="007A7862" w:rsidP="007A7862">
      <w:pPr>
        <w:jc w:val="right"/>
        <w:rPr>
          <w:sz w:val="24"/>
          <w:szCs w:val="24"/>
        </w:rPr>
      </w:pPr>
      <w:r>
        <w:rPr>
          <w:b/>
          <w:sz w:val="24"/>
          <w:szCs w:val="24"/>
        </w:rPr>
        <w:t xml:space="preserve">Linha Temática: </w:t>
      </w:r>
      <w:r w:rsidR="00035892">
        <w:rPr>
          <w:b/>
          <w:sz w:val="24"/>
          <w:szCs w:val="24"/>
        </w:rPr>
        <w:t>Mercado de Capitais</w:t>
      </w:r>
    </w:p>
    <w:p w14:paraId="70BCA014" w14:textId="77777777" w:rsidR="00323705" w:rsidRDefault="00323705">
      <w:pPr>
        <w:suppressAutoHyphens w:val="0"/>
        <w:rPr>
          <w:b/>
          <w:sz w:val="24"/>
          <w:szCs w:val="24"/>
        </w:rPr>
      </w:pPr>
    </w:p>
    <w:p w14:paraId="06D4285C" w14:textId="77777777" w:rsidR="007A7862" w:rsidRDefault="007A7862">
      <w:pPr>
        <w:suppressAutoHyphens w:val="0"/>
        <w:rPr>
          <w:b/>
          <w:sz w:val="24"/>
          <w:szCs w:val="24"/>
        </w:rPr>
      </w:pPr>
      <w:r>
        <w:rPr>
          <w:b/>
          <w:sz w:val="24"/>
          <w:szCs w:val="24"/>
        </w:rPr>
        <w:br w:type="page"/>
      </w:r>
    </w:p>
    <w:p w14:paraId="7F12ACED" w14:textId="29F3BE31" w:rsidR="00323705" w:rsidRDefault="00323705" w:rsidP="00323705">
      <w:pPr>
        <w:pStyle w:val="PargrafodaLista"/>
        <w:numPr>
          <w:ilvl w:val="0"/>
          <w:numId w:val="2"/>
        </w:numPr>
        <w:suppressAutoHyphens w:val="0"/>
        <w:ind w:left="284" w:hanging="284"/>
        <w:rPr>
          <w:b/>
          <w:sz w:val="24"/>
          <w:szCs w:val="24"/>
        </w:rPr>
      </w:pPr>
      <w:r>
        <w:rPr>
          <w:b/>
          <w:sz w:val="24"/>
          <w:szCs w:val="24"/>
        </w:rPr>
        <w:lastRenderedPageBreak/>
        <w:t>INTRODUÇÃO</w:t>
      </w:r>
    </w:p>
    <w:p w14:paraId="0A80ED92" w14:textId="77777777" w:rsidR="00323705" w:rsidRDefault="00323705" w:rsidP="00323705">
      <w:pPr>
        <w:ind w:firstLine="708"/>
        <w:jc w:val="both"/>
        <w:rPr>
          <w:sz w:val="24"/>
          <w:szCs w:val="24"/>
        </w:rPr>
      </w:pPr>
      <w:r>
        <w:rPr>
          <w:sz w:val="24"/>
          <w:szCs w:val="24"/>
        </w:rPr>
        <w:t>As pesquisas referentes à política de distribuição de dividendos têm considerado os diferentes cenários e contextos mercadológicos. Adaoglu (2000) relata que o comportamento da política de dividendos das empresas que operam em mercados emergentes é significativamente diferente do comportamento da política de dividendos amplamente aceita de empresas que operam em mercados desenvolvidos.</w:t>
      </w:r>
    </w:p>
    <w:p w14:paraId="0F26BC0E" w14:textId="77777777" w:rsidR="00323705" w:rsidRDefault="00323705" w:rsidP="00323705">
      <w:pPr>
        <w:ind w:firstLine="709"/>
        <w:jc w:val="both"/>
        <w:rPr>
          <w:rFonts w:eastAsia="Courier New"/>
          <w:sz w:val="24"/>
          <w:szCs w:val="24"/>
        </w:rPr>
      </w:pPr>
      <w:r>
        <w:rPr>
          <w:sz w:val="24"/>
          <w:szCs w:val="24"/>
        </w:rPr>
        <w:t>A política de dividendos é um assunto abordado no campo das finanças corporativas, sendo que no Brasil este tema possui particularidades, considerando o sistema tributário e a legislação existente, que determina que as empresas paguem 25% de seus lucros na forma de dividendos. Estudos foram realizados visando evidenciar os fatores que influenciam no pagamento de dividendos realizado pelas empresas (</w:t>
      </w:r>
      <w:r>
        <w:rPr>
          <w:rFonts w:eastAsia="Courier New"/>
          <w:sz w:val="24"/>
          <w:szCs w:val="24"/>
        </w:rPr>
        <w:t>Noves Neto &amp; Saito, 2003;</w:t>
      </w:r>
      <w:r>
        <w:rPr>
          <w:sz w:val="24"/>
          <w:szCs w:val="24"/>
        </w:rPr>
        <w:t xml:space="preserve"> Silva &amp; Brito, 2004; Futema, Cruz Basso &amp; Kayo, 2009; Fonteles e</w:t>
      </w:r>
      <w:r>
        <w:rPr>
          <w:i/>
          <w:sz w:val="24"/>
          <w:szCs w:val="24"/>
        </w:rPr>
        <w:t>t al</w:t>
      </w:r>
      <w:r>
        <w:rPr>
          <w:sz w:val="24"/>
          <w:szCs w:val="24"/>
        </w:rPr>
        <w:t xml:space="preserve">., 2012). </w:t>
      </w:r>
    </w:p>
    <w:p w14:paraId="5C091989" w14:textId="77777777" w:rsidR="00323705" w:rsidRDefault="00323705" w:rsidP="00323705">
      <w:pPr>
        <w:pStyle w:val="Corpodetexto1"/>
        <w:shd w:val="clear" w:color="auto" w:fill="auto"/>
        <w:spacing w:after="0" w:line="240" w:lineRule="auto"/>
        <w:ind w:left="20" w:right="40" w:firstLine="689"/>
        <w:jc w:val="both"/>
        <w:rPr>
          <w:sz w:val="24"/>
          <w:szCs w:val="24"/>
        </w:rPr>
      </w:pPr>
      <w:r>
        <w:rPr>
          <w:sz w:val="24"/>
          <w:szCs w:val="24"/>
        </w:rPr>
        <w:t xml:space="preserve">As empresas adotam diferentes políticas de dividendos, que variam de acordo com os setores da economia e são influenciadas por decisões administrativas da gestão. Denis e Osobov (2008) realizaram um estudo em mercados financeiros desenvolvidos e constataram que os dividendos são afetados pelo tamanho da empresa, lucratividade e oportunidades de crescimento. </w:t>
      </w:r>
    </w:p>
    <w:p w14:paraId="64257C4D" w14:textId="77777777" w:rsidR="00323705" w:rsidRDefault="00323705" w:rsidP="00323705">
      <w:pPr>
        <w:ind w:firstLine="709"/>
        <w:jc w:val="both"/>
        <w:rPr>
          <w:sz w:val="24"/>
          <w:szCs w:val="24"/>
        </w:rPr>
      </w:pPr>
      <w:r>
        <w:rPr>
          <w:sz w:val="24"/>
          <w:szCs w:val="24"/>
        </w:rPr>
        <w:t>As decisões estratégicas estabelecidas por gestores, normalmente, possuem como foco o crescimento da organização. Segundo Black e Scholes (1974), a empresa pode decidir reduzir seu dividendo sempre que precisar de dinheiro, prometendo novos projetos de investimento. Lintner (1956) argumenta que as empresas de mercados desenvolvidos visam sua relação de pagamento de dividendos com a ajuda de ganhos atuais e dividendos passados. Para alcançar esse propósito, ajustes são feitos na política de dividendos da empresa, sendo necessário, a empresa ter políticas de dividendos estáveis.</w:t>
      </w:r>
    </w:p>
    <w:p w14:paraId="0D1E8685" w14:textId="77777777" w:rsidR="00323705" w:rsidRDefault="00323705" w:rsidP="00323705">
      <w:pPr>
        <w:ind w:firstLine="709"/>
        <w:jc w:val="both"/>
        <w:rPr>
          <w:sz w:val="24"/>
          <w:szCs w:val="24"/>
        </w:rPr>
      </w:pPr>
      <w:r>
        <w:rPr>
          <w:sz w:val="24"/>
          <w:szCs w:val="24"/>
          <w:shd w:val="clear" w:color="auto" w:fill="FFFFFF"/>
        </w:rPr>
        <w:t>Segundo Gill, Biger e Tibrewala (2010)</w:t>
      </w:r>
      <w:r>
        <w:rPr>
          <w:sz w:val="24"/>
          <w:szCs w:val="24"/>
        </w:rPr>
        <w:t xml:space="preserve"> o pagamento de dividendos é importante para os investidores, pois representa o bem-estar financeiro da empresa, os dividendos são atraentes para os investidores que procuram garantir a renda atual e, ainda os dividendos ajudam a manter o preço de mercado da ação. Porém, neste meio observa-se a existência de fatores que influenciam na determinação da política e pagamento de dividendos.</w:t>
      </w:r>
    </w:p>
    <w:p w14:paraId="671B490C" w14:textId="77777777" w:rsidR="00323705" w:rsidRDefault="00323705" w:rsidP="00323705">
      <w:pPr>
        <w:pStyle w:val="Corpodetexto1"/>
        <w:shd w:val="clear" w:color="auto" w:fill="auto"/>
        <w:spacing w:after="0" w:line="240" w:lineRule="auto"/>
        <w:ind w:left="20" w:right="40" w:firstLine="689"/>
        <w:jc w:val="both"/>
        <w:rPr>
          <w:sz w:val="24"/>
          <w:szCs w:val="24"/>
          <w:shd w:val="clear" w:color="auto" w:fill="FFFFFF"/>
        </w:rPr>
      </w:pPr>
      <w:r>
        <w:rPr>
          <w:sz w:val="24"/>
          <w:szCs w:val="24"/>
        </w:rPr>
        <w:t>Estudos abordaram sobre a influência do fluxo de caixa no pagamento de dividendos (</w:t>
      </w:r>
      <w:r>
        <w:rPr>
          <w:sz w:val="24"/>
          <w:szCs w:val="24"/>
          <w:shd w:val="clear" w:color="auto" w:fill="FFFFFF"/>
        </w:rPr>
        <w:t xml:space="preserve">Alli, Khan &amp; Ramirez, 1993; </w:t>
      </w:r>
      <w:r>
        <w:rPr>
          <w:sz w:val="24"/>
          <w:szCs w:val="24"/>
        </w:rPr>
        <w:t xml:space="preserve">Amidu &amp; Abor, 2006; </w:t>
      </w:r>
      <w:r>
        <w:rPr>
          <w:sz w:val="24"/>
          <w:szCs w:val="24"/>
          <w:shd w:val="clear" w:color="auto" w:fill="FFFFFF"/>
        </w:rPr>
        <w:t>Gill, Biger &amp; Tibrewala, 2010). Outros estudos também evidenciaram a rentabilidade da empresa como influenciadora do pagamento de dividendos (Gill, Biger &amp; Tibrewala, 2010; Ajanthan, 2013; Oladipupo &amp; Okafor, 2013).</w:t>
      </w:r>
    </w:p>
    <w:p w14:paraId="1CCE3C0F" w14:textId="77777777" w:rsidR="00323705" w:rsidRDefault="00323705" w:rsidP="00323705">
      <w:pPr>
        <w:pStyle w:val="Corpodetexto1"/>
        <w:shd w:val="clear" w:color="auto" w:fill="auto"/>
        <w:spacing w:after="0" w:line="240" w:lineRule="auto"/>
        <w:ind w:right="40" w:firstLine="0"/>
        <w:jc w:val="both"/>
        <w:rPr>
          <w:sz w:val="24"/>
          <w:szCs w:val="24"/>
        </w:rPr>
      </w:pPr>
      <w:r>
        <w:rPr>
          <w:sz w:val="24"/>
          <w:szCs w:val="24"/>
        </w:rPr>
        <w:t>A relação entre fluxo de caixa, rentabilidade e dividendos aborda-se no sentido de que é necessário ter caixa disponível para realizar o pagamento de dividendos, e o caixa está vinculado com a rentabilidade obtida pela empresa, porém nem sempre, a rentabilidade do período está refletida no caixa da empresa. Assim, o pagamento dos dividendos depende do caixa (</w:t>
      </w:r>
      <w:r>
        <w:rPr>
          <w:sz w:val="24"/>
          <w:szCs w:val="24"/>
          <w:shd w:val="clear" w:color="auto" w:fill="FFFFFF"/>
        </w:rPr>
        <w:t>Alli, Khan &amp; Ramirez, 1993). E a rentabilidade representa o indicador da capacidade de pagamento (Gill; Biger &amp; Tibrewala, 2010).</w:t>
      </w:r>
    </w:p>
    <w:p w14:paraId="2EE2D81A" w14:textId="77777777" w:rsidR="00323705" w:rsidRDefault="00323705" w:rsidP="00323705">
      <w:pPr>
        <w:pStyle w:val="Corpodetexto1"/>
        <w:shd w:val="clear" w:color="auto" w:fill="auto"/>
        <w:spacing w:after="0" w:line="240" w:lineRule="auto"/>
        <w:ind w:left="20" w:right="40" w:firstLine="689"/>
        <w:jc w:val="both"/>
        <w:rPr>
          <w:sz w:val="24"/>
          <w:szCs w:val="24"/>
        </w:rPr>
      </w:pPr>
      <w:r>
        <w:rPr>
          <w:sz w:val="24"/>
          <w:szCs w:val="24"/>
        </w:rPr>
        <w:t xml:space="preserve">Neste contexto, surge a questão de pesquisa: Qual a influência do fluxo de caixa livre e rentabilidade no pagamento de dividendos de empresas brasileiras? Este trabalho busca responder esta questão examinando a volubilidade do fluxo de caixa livre e rentabilidade e a relação existente entre estes e as decisões de pagamento de dividendos. Neste sentido, o objetivo do presente estudo é analisar a influência do fluxo de caixa livre e rentabilidade no pagamento de dividendos. </w:t>
      </w:r>
    </w:p>
    <w:p w14:paraId="4F893051" w14:textId="77777777" w:rsidR="00323705" w:rsidRDefault="00323705" w:rsidP="00323705">
      <w:pPr>
        <w:autoSpaceDE w:val="0"/>
        <w:autoSpaceDN w:val="0"/>
        <w:adjustRightInd w:val="0"/>
        <w:ind w:firstLine="708"/>
        <w:jc w:val="both"/>
        <w:rPr>
          <w:sz w:val="24"/>
          <w:szCs w:val="24"/>
        </w:rPr>
      </w:pPr>
      <w:r>
        <w:rPr>
          <w:sz w:val="24"/>
          <w:szCs w:val="24"/>
        </w:rPr>
        <w:t>Diversas lacunas acerca do tema ainda podem ser observadas, investigando a complexidade existente e os diferentes ambientes econômicos. Estudar a política de pagamento de dividendos justifica-se por ser uma das políticas financeiras mais importantes, tanto do ponto de vista da empresa, quanto dos acionistas, consumidores, funcionários, órgãos reguladores e governo (</w:t>
      </w:r>
      <w:r>
        <w:rPr>
          <w:sz w:val="24"/>
          <w:szCs w:val="24"/>
          <w:shd w:val="clear" w:color="auto" w:fill="FFFFFF"/>
        </w:rPr>
        <w:t>Ajanthan, 2013)</w:t>
      </w:r>
      <w:r>
        <w:rPr>
          <w:sz w:val="24"/>
          <w:szCs w:val="24"/>
        </w:rPr>
        <w:t xml:space="preserve">. Os resultados deste estudo irão contribuir para uma </w:t>
      </w:r>
      <w:r>
        <w:rPr>
          <w:sz w:val="24"/>
          <w:szCs w:val="24"/>
        </w:rPr>
        <w:lastRenderedPageBreak/>
        <w:t>melhor compreensão e um conhecimento mais profundo da relação entre dividendos, fluxo de caixa livre e rentabilidade em empresas brasileira</w:t>
      </w:r>
      <w:bookmarkStart w:id="0" w:name="_GoBack"/>
      <w:bookmarkEnd w:id="0"/>
      <w:r>
        <w:rPr>
          <w:sz w:val="24"/>
          <w:szCs w:val="24"/>
        </w:rPr>
        <w:t>s.</w:t>
      </w:r>
    </w:p>
    <w:p w14:paraId="5D0F6938" w14:textId="77777777" w:rsidR="00323705" w:rsidRDefault="00323705" w:rsidP="00323705">
      <w:pPr>
        <w:autoSpaceDE w:val="0"/>
        <w:autoSpaceDN w:val="0"/>
        <w:adjustRightInd w:val="0"/>
        <w:ind w:firstLine="708"/>
        <w:jc w:val="both"/>
        <w:rPr>
          <w:sz w:val="24"/>
          <w:szCs w:val="24"/>
        </w:rPr>
      </w:pPr>
      <w:r>
        <w:rPr>
          <w:sz w:val="24"/>
          <w:szCs w:val="24"/>
        </w:rPr>
        <w:t>O presente estudo está estruturado da seguinte forma. Na próxima seção apresenta-se uma revisão da literatura existente sobre o assunto. A seção três contempla os procedimentos metodológicos. Seção quatro apresenta e discute os resultados da análise empírica. Finalmente, seção cinco conclui a discussão.</w:t>
      </w:r>
    </w:p>
    <w:p w14:paraId="3344625C" w14:textId="77777777" w:rsidR="00323705" w:rsidRDefault="00323705" w:rsidP="00323705">
      <w:pPr>
        <w:autoSpaceDE w:val="0"/>
        <w:autoSpaceDN w:val="0"/>
        <w:adjustRightInd w:val="0"/>
        <w:ind w:firstLine="709"/>
        <w:jc w:val="both"/>
        <w:rPr>
          <w:sz w:val="24"/>
          <w:szCs w:val="24"/>
        </w:rPr>
      </w:pPr>
    </w:p>
    <w:p w14:paraId="617E352B" w14:textId="77777777" w:rsidR="00323705" w:rsidRDefault="00323705" w:rsidP="00323705">
      <w:pPr>
        <w:pStyle w:val="Heading30"/>
        <w:keepNext/>
        <w:keepLines/>
        <w:numPr>
          <w:ilvl w:val="0"/>
          <w:numId w:val="2"/>
        </w:numPr>
        <w:shd w:val="clear" w:color="auto" w:fill="auto"/>
        <w:tabs>
          <w:tab w:val="left" w:pos="346"/>
        </w:tabs>
        <w:spacing w:before="0" w:after="0" w:line="240" w:lineRule="auto"/>
        <w:ind w:hanging="1065"/>
        <w:rPr>
          <w:rFonts w:ascii="Times New Roman" w:hAnsi="Times New Roman" w:cs="Times New Roman"/>
          <w:sz w:val="24"/>
          <w:szCs w:val="24"/>
        </w:rPr>
      </w:pPr>
      <w:r>
        <w:rPr>
          <w:rFonts w:ascii="Times New Roman" w:hAnsi="Times New Roman" w:cs="Times New Roman"/>
          <w:sz w:val="24"/>
          <w:szCs w:val="24"/>
        </w:rPr>
        <w:t>REFERENCIAL TEÓRICO</w:t>
      </w:r>
    </w:p>
    <w:p w14:paraId="41CA92FB" w14:textId="77777777" w:rsidR="00323705" w:rsidRDefault="00323705" w:rsidP="00323705">
      <w:pPr>
        <w:pStyle w:val="Heading30"/>
        <w:keepNext/>
        <w:keepLines/>
        <w:shd w:val="clear" w:color="auto" w:fill="auto"/>
        <w:tabs>
          <w:tab w:val="left" w:pos="346"/>
        </w:tabs>
        <w:spacing w:before="0" w:after="0" w:line="240" w:lineRule="auto"/>
        <w:ind w:firstLine="709"/>
        <w:jc w:val="both"/>
        <w:rPr>
          <w:rFonts w:ascii="Times New Roman" w:hAnsi="Times New Roman" w:cs="Times New Roman"/>
          <w:b w:val="0"/>
          <w:sz w:val="24"/>
          <w:szCs w:val="24"/>
        </w:rPr>
      </w:pPr>
      <w:r>
        <w:rPr>
          <w:rFonts w:ascii="Times New Roman" w:hAnsi="Times New Roman" w:cs="Times New Roman"/>
          <w:b w:val="0"/>
          <w:sz w:val="24"/>
          <w:szCs w:val="24"/>
        </w:rPr>
        <w:t>A revisão de literatura, apresenta duas subseções, com o intuito de auxiliar o embasamento da pesquisa. A primeira subseção aborda sobre política de dividendos e a segunda subseção refere-se a dividendos, rentabilidade e fluxo de caixa livre.</w:t>
      </w:r>
    </w:p>
    <w:p w14:paraId="1375714A" w14:textId="77777777" w:rsidR="00323705" w:rsidRDefault="00323705" w:rsidP="00323705">
      <w:pPr>
        <w:pStyle w:val="Heading30"/>
        <w:keepNext/>
        <w:keepLines/>
        <w:shd w:val="clear" w:color="auto" w:fill="auto"/>
        <w:tabs>
          <w:tab w:val="left" w:pos="346"/>
        </w:tabs>
        <w:spacing w:before="0" w:after="0" w:line="240" w:lineRule="auto"/>
        <w:ind w:firstLine="709"/>
        <w:jc w:val="both"/>
        <w:rPr>
          <w:rFonts w:ascii="Times New Roman" w:hAnsi="Times New Roman" w:cs="Times New Roman"/>
          <w:b w:val="0"/>
          <w:sz w:val="24"/>
          <w:szCs w:val="24"/>
        </w:rPr>
      </w:pPr>
    </w:p>
    <w:p w14:paraId="1B87F003" w14:textId="77777777" w:rsidR="00323705" w:rsidRDefault="00323705" w:rsidP="00323705">
      <w:pPr>
        <w:pStyle w:val="Heading30"/>
        <w:keepNext/>
        <w:keepLines/>
        <w:numPr>
          <w:ilvl w:val="0"/>
          <w:numId w:val="3"/>
        </w:numPr>
        <w:shd w:val="clear" w:color="auto" w:fill="auto"/>
        <w:tabs>
          <w:tab w:val="left" w:pos="346"/>
        </w:tabs>
        <w:spacing w:before="0" w:after="0" w:line="240" w:lineRule="auto"/>
        <w:ind w:hanging="720"/>
        <w:rPr>
          <w:rFonts w:ascii="Times New Roman" w:hAnsi="Times New Roman" w:cs="Times New Roman"/>
          <w:sz w:val="24"/>
          <w:szCs w:val="24"/>
        </w:rPr>
      </w:pPr>
      <w:r>
        <w:rPr>
          <w:rFonts w:ascii="Times New Roman" w:hAnsi="Times New Roman" w:cs="Times New Roman"/>
          <w:sz w:val="24"/>
          <w:szCs w:val="24"/>
        </w:rPr>
        <w:t>Política de Dividendos</w:t>
      </w:r>
    </w:p>
    <w:p w14:paraId="490F6B8C" w14:textId="77777777" w:rsidR="00323705" w:rsidRDefault="00323705" w:rsidP="00323705">
      <w:pPr>
        <w:pStyle w:val="Corpodetexto1"/>
        <w:shd w:val="clear" w:color="auto" w:fill="auto"/>
        <w:spacing w:after="0" w:line="240" w:lineRule="auto"/>
        <w:ind w:right="40" w:firstLine="708"/>
        <w:jc w:val="both"/>
        <w:rPr>
          <w:sz w:val="24"/>
          <w:szCs w:val="24"/>
        </w:rPr>
      </w:pPr>
      <w:r>
        <w:rPr>
          <w:sz w:val="24"/>
          <w:szCs w:val="24"/>
        </w:rPr>
        <w:t>A literatura defende que Lintner (1956) foi o primeiro que explorou sobre a política de dividendos. Sua pesquisa evidenciou que as oportunidades de investimento e o tamanho de uma empresa tinham uma relação reversa com a distribuição de ganhos para empresas na Suíça. Desde então, pesquisas da área de finanças corporativas buscaram identificar políticas de distribuição de dividendos, os fatores analisados no processo de tomada de decisão dos gestores e os aspectos que envolvem as medidas adotadas.</w:t>
      </w:r>
    </w:p>
    <w:p w14:paraId="6F9DA622" w14:textId="77777777" w:rsidR="00323705" w:rsidRDefault="00323705" w:rsidP="00323705">
      <w:pPr>
        <w:pStyle w:val="Corpodetexto1"/>
        <w:shd w:val="clear" w:color="auto" w:fill="auto"/>
        <w:spacing w:after="0" w:line="240" w:lineRule="auto"/>
        <w:ind w:left="20" w:right="40" w:firstLine="689"/>
        <w:jc w:val="both"/>
        <w:rPr>
          <w:sz w:val="24"/>
          <w:szCs w:val="24"/>
        </w:rPr>
      </w:pPr>
      <w:r>
        <w:rPr>
          <w:sz w:val="24"/>
          <w:szCs w:val="24"/>
        </w:rPr>
        <w:t xml:space="preserve">Dividendo é definido por </w:t>
      </w:r>
      <w:r>
        <w:rPr>
          <w:sz w:val="24"/>
          <w:szCs w:val="24"/>
          <w:shd w:val="clear" w:color="auto" w:fill="FFFFFF"/>
        </w:rPr>
        <w:t xml:space="preserve">Ajanthan (2013) como </w:t>
      </w:r>
      <w:r>
        <w:rPr>
          <w:sz w:val="24"/>
          <w:szCs w:val="24"/>
        </w:rPr>
        <w:t>o benefício dos acionistas recebido em troca de seus riscos e investimentos. Conforme este autor, diferentes fatores em uma organização determinam a política de pagamento de dividendos, basicamente, esses fatores incluem limitações de financiamento, oportunidades e opções de investimento, tamanho da empresa, pressão dos acionistas e regimes regulatórios.</w:t>
      </w:r>
    </w:p>
    <w:p w14:paraId="0DFB631C" w14:textId="77777777" w:rsidR="00323705" w:rsidRDefault="00323705" w:rsidP="00323705">
      <w:pPr>
        <w:pStyle w:val="Corpodetexto1"/>
        <w:shd w:val="clear" w:color="auto" w:fill="auto"/>
        <w:spacing w:after="0" w:line="240" w:lineRule="auto"/>
        <w:ind w:right="40" w:firstLine="708"/>
        <w:jc w:val="both"/>
        <w:rPr>
          <w:sz w:val="24"/>
          <w:szCs w:val="24"/>
        </w:rPr>
      </w:pPr>
      <w:r>
        <w:rPr>
          <w:sz w:val="24"/>
          <w:szCs w:val="24"/>
        </w:rPr>
        <w:t>No decorrer dos últimos tempos, vários estudos têm procurado identificar os aspectos determinantes das políticas de pagamento de dividendos de organizações em todo o mundo (Fonteles, Peixoto Júnior, Vasconcellos &amp; De Luca, 2013; Forti, Peixoto e Alves, 2015). Pesquisas anteriores evidenciaram fatores influenciadores do pagamento de dividendos, entre eles: La Porta, Lopez-De-Silanes, Shleifer e Vishny (2000) e Mota (2007) estudaram o crescimento das empresas; Grullon, Michaely e Swaminathan (2002) analisaram a assimetria de informações; Gordon (1963) trabalhou com o risco associado ao fluxo de caixa; Jensen e Meckling (1976) e Rozeff (1982) evidenciaram os custos de agência; e, Francis, Schipper e Vicent (2005) relataram sobre a lucratividade.</w:t>
      </w:r>
    </w:p>
    <w:p w14:paraId="0015ED49" w14:textId="77777777" w:rsidR="00323705" w:rsidRDefault="00323705" w:rsidP="00323705">
      <w:pPr>
        <w:pStyle w:val="Corpodetexto1"/>
        <w:shd w:val="clear" w:color="auto" w:fill="auto"/>
        <w:spacing w:after="0" w:line="240" w:lineRule="auto"/>
        <w:ind w:right="40" w:firstLine="708"/>
        <w:jc w:val="both"/>
        <w:rPr>
          <w:sz w:val="24"/>
          <w:szCs w:val="24"/>
        </w:rPr>
      </w:pPr>
      <w:r>
        <w:rPr>
          <w:sz w:val="24"/>
          <w:szCs w:val="24"/>
          <w:shd w:val="clear" w:color="auto" w:fill="FFFFFF"/>
        </w:rPr>
        <w:t>Elaborar uma política de dividendos apropriada demanda que os gestores identifiquem os aspectos que influenciam essa decisão. Pirzada (2017) relata</w:t>
      </w:r>
      <w:r>
        <w:rPr>
          <w:sz w:val="24"/>
          <w:szCs w:val="24"/>
        </w:rPr>
        <w:t xml:space="preserve"> que uma política de dividendos boa atrai investidores e facilita a captação de recursos do mercado de ações. As mudanças de dividendos apontam expectativas dos gestores sobre os resultados futuros, conforme esta visão, os gestores aumentam dividendos somente se eles estão confiantes de que os lucros futuros serão suficientes para satisfazer este aumento, da mesma forma, os gestores diminuem os dividendos se os ganhos projetados são considerados insuficientes para atender o nível de dividendos existente (</w:t>
      </w:r>
      <w:r>
        <w:rPr>
          <w:rStyle w:val="Bodytext4"/>
          <w:b w:val="0"/>
          <w:bCs w:val="0"/>
          <w:sz w:val="24"/>
          <w:szCs w:val="24"/>
        </w:rPr>
        <w:t>Jensen</w:t>
      </w:r>
      <w:r>
        <w:rPr>
          <w:sz w:val="24"/>
          <w:szCs w:val="24"/>
        </w:rPr>
        <w:t>,</w:t>
      </w:r>
      <w:r>
        <w:rPr>
          <w:rStyle w:val="Bodytext4"/>
          <w:b w:val="0"/>
          <w:bCs w:val="0"/>
          <w:sz w:val="24"/>
          <w:szCs w:val="24"/>
        </w:rPr>
        <w:t xml:space="preserve"> Lundstrum</w:t>
      </w:r>
      <w:r>
        <w:rPr>
          <w:sz w:val="24"/>
          <w:szCs w:val="24"/>
          <w:vertAlign w:val="superscript"/>
        </w:rPr>
        <w:t xml:space="preserve"> </w:t>
      </w:r>
      <w:r>
        <w:rPr>
          <w:rStyle w:val="Bodytext4"/>
          <w:b w:val="0"/>
          <w:bCs w:val="0"/>
          <w:sz w:val="24"/>
          <w:szCs w:val="24"/>
        </w:rPr>
        <w:t>&amp; Miller</w:t>
      </w:r>
      <w:r>
        <w:rPr>
          <w:sz w:val="24"/>
          <w:szCs w:val="24"/>
        </w:rPr>
        <w:t>, 2010).</w:t>
      </w:r>
    </w:p>
    <w:p w14:paraId="643CC144" w14:textId="77777777" w:rsidR="00323705" w:rsidRDefault="00323705" w:rsidP="00323705">
      <w:pPr>
        <w:pStyle w:val="Heading30"/>
        <w:keepNext/>
        <w:keepLines/>
        <w:shd w:val="clear" w:color="auto" w:fill="auto"/>
        <w:tabs>
          <w:tab w:val="left" w:pos="709"/>
        </w:tabs>
        <w:spacing w:before="0" w:after="0" w:line="240" w:lineRule="auto"/>
        <w:jc w:val="both"/>
        <w:rPr>
          <w:rFonts w:ascii="Times New Roman" w:hAnsi="Times New Roman" w:cs="Times New Roman"/>
          <w:b w:val="0"/>
          <w:sz w:val="24"/>
          <w:szCs w:val="24"/>
        </w:rPr>
      </w:pPr>
      <w:r>
        <w:rPr>
          <w:rFonts w:ascii="Times New Roman" w:hAnsi="Times New Roman" w:cs="Times New Roman"/>
          <w:b w:val="0"/>
          <w:sz w:val="24"/>
          <w:szCs w:val="24"/>
        </w:rPr>
        <w:tab/>
        <w:t>O efeito da política de dividendos no valor de mercado de uma empresa é um tema de controvérsia de longa data</w:t>
      </w:r>
      <w:bookmarkStart w:id="1" w:name="bookmark2"/>
      <w:r>
        <w:rPr>
          <w:rFonts w:ascii="Times New Roman" w:hAnsi="Times New Roman" w:cs="Times New Roman"/>
          <w:b w:val="0"/>
          <w:sz w:val="24"/>
          <w:szCs w:val="24"/>
        </w:rPr>
        <w:t xml:space="preserve"> (Baker, Farrelly &amp; Edelman</w:t>
      </w:r>
      <w:bookmarkEnd w:id="1"/>
      <w:r>
        <w:rPr>
          <w:rFonts w:ascii="Times New Roman" w:hAnsi="Times New Roman" w:cs="Times New Roman"/>
          <w:b w:val="0"/>
          <w:sz w:val="24"/>
          <w:szCs w:val="24"/>
        </w:rPr>
        <w:t xml:space="preserve">, 1985). Parsian e Koloukhi (2013), afirmam que </w:t>
      </w:r>
      <w:r>
        <w:rPr>
          <w:rFonts w:ascii="Times New Roman" w:hAnsi="Times New Roman" w:cs="Times New Roman"/>
          <w:b w:val="0"/>
          <w:sz w:val="24"/>
          <w:szCs w:val="24"/>
          <w:shd w:val="clear" w:color="auto" w:fill="FFFFFF"/>
        </w:rPr>
        <w:t>os pagamentos de dividendos das empresas ao longo do tempo e de forma estável podem influenciar o preço das ações, o crescimento dos ganhos futuros e a avaliação do investidor sobre o patrimônio dos proprietários. </w:t>
      </w:r>
    </w:p>
    <w:p w14:paraId="09CF2CF1" w14:textId="77777777" w:rsidR="00323705" w:rsidRPr="007A7862" w:rsidRDefault="00323705" w:rsidP="00323705">
      <w:pPr>
        <w:ind w:firstLine="708"/>
        <w:jc w:val="both"/>
        <w:rPr>
          <w:sz w:val="24"/>
          <w:szCs w:val="24"/>
        </w:rPr>
      </w:pPr>
      <w:r>
        <w:rPr>
          <w:sz w:val="24"/>
          <w:szCs w:val="24"/>
        </w:rPr>
        <w:t xml:space="preserve">Black e Scholes (1974) estudaram a influência da distribuição de dividendos no preço das ações e concluíram que o preço das ações pode alterar temporariamente em resposta a uma mudança no dividendo, porque o mercado pode acreditar que a mudança indica algo sobre o curso futuro provável dos ganhos. O mercado interpreta um corte no dividendo como </w:t>
      </w:r>
      <w:r>
        <w:rPr>
          <w:sz w:val="24"/>
          <w:szCs w:val="24"/>
        </w:rPr>
        <w:lastRenderedPageBreak/>
        <w:t xml:space="preserve">um sinal de que os diretores da corporação esperam tempos difíceis à frente (Black &amp; Scholes, 1974). Os investidores reagem negativamente a reduções de dividendos porque eles estão associados com uma diminuição do valor de futuras oportunidades de investimento da </w:t>
      </w:r>
      <w:r w:rsidRPr="007A7862">
        <w:rPr>
          <w:sz w:val="24"/>
          <w:szCs w:val="24"/>
        </w:rPr>
        <w:t xml:space="preserve">empresa </w:t>
      </w:r>
      <w:bookmarkStart w:id="2" w:name="bookmark3"/>
      <w:r w:rsidRPr="007A7862">
        <w:rPr>
          <w:sz w:val="24"/>
          <w:szCs w:val="24"/>
        </w:rPr>
        <w:t>(</w:t>
      </w:r>
      <w:r w:rsidRPr="007A7862">
        <w:rPr>
          <w:rStyle w:val="Bodytext4"/>
          <w:rFonts w:ascii="Times New Roman" w:hAnsi="Times New Roman" w:cs="Times New Roman"/>
          <w:b w:val="0"/>
          <w:bCs w:val="0"/>
          <w:sz w:val="24"/>
          <w:szCs w:val="24"/>
        </w:rPr>
        <w:t>Jensen, Lundstrum &amp; Miller</w:t>
      </w:r>
      <w:bookmarkEnd w:id="2"/>
      <w:r w:rsidRPr="007A7862">
        <w:rPr>
          <w:sz w:val="24"/>
          <w:szCs w:val="24"/>
        </w:rPr>
        <w:t>, 2010).</w:t>
      </w:r>
    </w:p>
    <w:p w14:paraId="6BFBD57E" w14:textId="77777777" w:rsidR="00323705" w:rsidRDefault="00323705" w:rsidP="00323705">
      <w:pPr>
        <w:pStyle w:val="Heading30"/>
        <w:keepNext/>
        <w:keepLines/>
        <w:shd w:val="clear" w:color="auto" w:fill="auto"/>
        <w:tabs>
          <w:tab w:val="left" w:pos="346"/>
        </w:tabs>
        <w:spacing w:before="0" w:after="0" w:line="240" w:lineRule="auto"/>
        <w:ind w:left="720"/>
        <w:rPr>
          <w:rFonts w:ascii="Times New Roman" w:hAnsi="Times New Roman" w:cs="Times New Roman"/>
          <w:sz w:val="24"/>
          <w:szCs w:val="24"/>
        </w:rPr>
      </w:pPr>
    </w:p>
    <w:p w14:paraId="373A289A" w14:textId="77777777" w:rsidR="00323705" w:rsidRDefault="00323705" w:rsidP="00323705">
      <w:pPr>
        <w:pStyle w:val="Heading30"/>
        <w:keepNext/>
        <w:keepLines/>
        <w:numPr>
          <w:ilvl w:val="0"/>
          <w:numId w:val="3"/>
        </w:numPr>
        <w:shd w:val="clear" w:color="auto" w:fill="auto"/>
        <w:tabs>
          <w:tab w:val="left" w:pos="346"/>
        </w:tabs>
        <w:spacing w:before="0" w:after="0" w:line="240" w:lineRule="auto"/>
        <w:ind w:hanging="720"/>
        <w:rPr>
          <w:rFonts w:ascii="Times New Roman" w:hAnsi="Times New Roman" w:cs="Times New Roman"/>
          <w:sz w:val="24"/>
          <w:szCs w:val="24"/>
        </w:rPr>
      </w:pPr>
      <w:r>
        <w:rPr>
          <w:rFonts w:ascii="Times New Roman" w:hAnsi="Times New Roman" w:cs="Times New Roman"/>
          <w:sz w:val="24"/>
          <w:szCs w:val="24"/>
        </w:rPr>
        <w:t xml:space="preserve">Dividendos, Fluxo de Caixa Livre e Rentabilidade </w:t>
      </w:r>
    </w:p>
    <w:p w14:paraId="4D347017" w14:textId="77777777" w:rsidR="00323705" w:rsidRDefault="00323705" w:rsidP="00323705">
      <w:pPr>
        <w:pStyle w:val="Corpodetexto1"/>
        <w:shd w:val="clear" w:color="auto" w:fill="auto"/>
        <w:spacing w:after="0" w:line="240" w:lineRule="auto"/>
        <w:ind w:left="20" w:right="40" w:firstLine="689"/>
        <w:jc w:val="both"/>
        <w:rPr>
          <w:sz w:val="24"/>
          <w:szCs w:val="24"/>
          <w:shd w:val="clear" w:color="auto" w:fill="FFFFFF"/>
        </w:rPr>
      </w:pPr>
      <w:r>
        <w:rPr>
          <w:sz w:val="24"/>
          <w:szCs w:val="24"/>
        </w:rPr>
        <w:t>Dividendos é um importante tema abordado no campo de finanças corporativas, nesse sentido possui relevância as questões que envolvem mudanças de dividendos, informações sobre ganhos futuros e rentabilidade (</w:t>
      </w:r>
      <w:r>
        <w:rPr>
          <w:sz w:val="24"/>
          <w:szCs w:val="24"/>
          <w:shd w:val="clear" w:color="auto" w:fill="FFFFFF"/>
        </w:rPr>
        <w:t xml:space="preserve">Grullon </w:t>
      </w:r>
      <w:r>
        <w:rPr>
          <w:i/>
          <w:sz w:val="24"/>
          <w:szCs w:val="24"/>
          <w:shd w:val="clear" w:color="auto" w:fill="FFFFFF"/>
        </w:rPr>
        <w:t xml:space="preserve">et al., </w:t>
      </w:r>
      <w:r>
        <w:rPr>
          <w:sz w:val="24"/>
          <w:szCs w:val="24"/>
          <w:shd w:val="clear" w:color="auto" w:fill="FFFFFF"/>
        </w:rPr>
        <w:t>2005)</w:t>
      </w:r>
      <w:r>
        <w:rPr>
          <w:sz w:val="24"/>
          <w:szCs w:val="24"/>
        </w:rPr>
        <w:t xml:space="preserve">. A política de dividendos foi definida no estudo de </w:t>
      </w:r>
      <w:r>
        <w:rPr>
          <w:sz w:val="24"/>
          <w:szCs w:val="24"/>
          <w:shd w:val="clear" w:color="auto" w:fill="FFFFFF"/>
        </w:rPr>
        <w:t>Gill, Biger e Tibrewala (2010) como</w:t>
      </w:r>
      <w:r>
        <w:rPr>
          <w:sz w:val="24"/>
          <w:szCs w:val="24"/>
        </w:rPr>
        <w:t xml:space="preserve"> a política de pagamento que os administradores da empresa seguem ao decidir o tamanho e o padrão de distribuição de caixa aos acionistas ao longo do tempo.</w:t>
      </w:r>
    </w:p>
    <w:p w14:paraId="6FBCFB84" w14:textId="77777777" w:rsidR="00323705" w:rsidRDefault="00323705" w:rsidP="00323705">
      <w:pPr>
        <w:pStyle w:val="Corpodetexto1"/>
        <w:shd w:val="clear" w:color="auto" w:fill="auto"/>
        <w:spacing w:after="0" w:line="240" w:lineRule="auto"/>
        <w:ind w:left="20" w:right="40" w:firstLine="689"/>
        <w:jc w:val="both"/>
        <w:rPr>
          <w:sz w:val="24"/>
          <w:szCs w:val="24"/>
        </w:rPr>
      </w:pPr>
      <w:r>
        <w:rPr>
          <w:sz w:val="24"/>
          <w:szCs w:val="24"/>
        </w:rPr>
        <w:t xml:space="preserve">Estudos anteriores exploraram o valor pago em dividendos pelas empresas e os fatores que influenciam a decisão desses pagamentos. No Brasil, </w:t>
      </w:r>
      <w:r>
        <w:rPr>
          <w:rFonts w:eastAsia="Courier New"/>
          <w:sz w:val="24"/>
          <w:szCs w:val="24"/>
        </w:rPr>
        <w:t xml:space="preserve">Noves Neto e Saito (2003) </w:t>
      </w:r>
      <w:r>
        <w:rPr>
          <w:sz w:val="24"/>
          <w:szCs w:val="24"/>
        </w:rPr>
        <w:t>verificaram</w:t>
      </w:r>
      <w:r>
        <w:rPr>
          <w:rFonts w:eastAsia="Courier New"/>
          <w:sz w:val="24"/>
          <w:szCs w:val="24"/>
        </w:rPr>
        <w:t xml:space="preserve"> </w:t>
      </w:r>
      <w:r>
        <w:rPr>
          <w:sz w:val="24"/>
          <w:szCs w:val="24"/>
        </w:rPr>
        <w:t>que as empresas com retornos anormais das ações pagaram dividendos superiores ao mínimo obrigatório. Silva e Brito (2004), evidenciaram que a lucratividade é o fator de maior importância para o pagamento de dividendos em um estudo realizado com empresas brasileiras não-financeiras de capital aberto durante os anos de 1995 a 2001. Eles ainda relatam ser curioso o fato da distribuição de dividendos das companhias brasileiras ser inferior às americanas, apesar das legislações do Brasil incentivarem o contrário.</w:t>
      </w:r>
    </w:p>
    <w:p w14:paraId="4009FD00" w14:textId="77777777" w:rsidR="00323705" w:rsidRDefault="00323705" w:rsidP="00323705">
      <w:pPr>
        <w:pStyle w:val="Corpodetexto1"/>
        <w:shd w:val="clear" w:color="auto" w:fill="auto"/>
        <w:spacing w:after="0" w:line="240" w:lineRule="auto"/>
        <w:ind w:left="20" w:right="40" w:firstLine="689"/>
        <w:jc w:val="both"/>
        <w:rPr>
          <w:rFonts w:eastAsia="Courier New"/>
          <w:sz w:val="24"/>
          <w:szCs w:val="24"/>
        </w:rPr>
      </w:pPr>
      <w:r>
        <w:rPr>
          <w:sz w:val="24"/>
          <w:szCs w:val="24"/>
        </w:rPr>
        <w:t xml:space="preserve">O estudo de Futema, Cruz Basso e Kayo (2009), demonstrou que distribuição de lucros (dividendos e juros sobre capital próprio somados) varia positivamente com a lucratividade e negativamente com o investimento. Entretanto, Fonteles </w:t>
      </w:r>
      <w:r>
        <w:rPr>
          <w:i/>
          <w:sz w:val="24"/>
          <w:szCs w:val="24"/>
        </w:rPr>
        <w:t>et al</w:t>
      </w:r>
      <w:r>
        <w:rPr>
          <w:sz w:val="24"/>
          <w:szCs w:val="24"/>
        </w:rPr>
        <w:t xml:space="preserve">. (2012) constataram que nas empresas integrantes do Índice de Dividendos da BMF&amp;BOVESPA, </w:t>
      </w:r>
      <w:r>
        <w:rPr>
          <w:rFonts w:eastAsia="Courier New"/>
          <w:sz w:val="24"/>
          <w:szCs w:val="24"/>
        </w:rPr>
        <w:t>a política de dividendos determinada por lei é a mais obser</w:t>
      </w:r>
      <w:r>
        <w:rPr>
          <w:rFonts w:eastAsia="Courier New"/>
          <w:sz w:val="24"/>
          <w:szCs w:val="24"/>
        </w:rPr>
        <w:softHyphen/>
        <w:t>vada por estas companhias, ou seja, essas organizações distribuem apenas os dividendos que a legislação exige.</w:t>
      </w:r>
    </w:p>
    <w:p w14:paraId="5A3BC130" w14:textId="77777777" w:rsidR="00323705" w:rsidRDefault="00323705" w:rsidP="00323705">
      <w:pPr>
        <w:pStyle w:val="Corpodetexto1"/>
        <w:shd w:val="clear" w:color="auto" w:fill="auto"/>
        <w:spacing w:after="0" w:line="240" w:lineRule="auto"/>
        <w:ind w:left="20" w:right="40" w:firstLine="689"/>
        <w:jc w:val="both"/>
        <w:rPr>
          <w:sz w:val="24"/>
          <w:szCs w:val="24"/>
        </w:rPr>
      </w:pPr>
      <w:r>
        <w:rPr>
          <w:sz w:val="24"/>
          <w:szCs w:val="24"/>
        </w:rPr>
        <w:t xml:space="preserve">Com relação aos fatores que determinam a distribuição de dividendos, Forti, Peixoto e Alves (2015) investigaram os fatores determinantes da distribuição de dividendos e destacaram aspectos significativos e positivas pelas variáveis: ROA, tamanho, liquidez, </w:t>
      </w:r>
      <w:r>
        <w:rPr>
          <w:i/>
          <w:sz w:val="24"/>
          <w:szCs w:val="24"/>
        </w:rPr>
        <w:t>market to book</w:t>
      </w:r>
      <w:r>
        <w:rPr>
          <w:sz w:val="24"/>
          <w:szCs w:val="24"/>
        </w:rPr>
        <w:t xml:space="preserve">, e crescimento de lucros. A contribuição desse estudo é voltada a um novo olhar sobre os fatores que afetam a política de dividendos no Brasil, por meio da </w:t>
      </w:r>
      <w:r>
        <w:rPr>
          <w:rFonts w:cs="Minion Pro"/>
          <w:color w:val="000000"/>
          <w:sz w:val="24"/>
          <w:szCs w:val="24"/>
        </w:rPr>
        <w:t>associação entre a política de dividendos e diversas decisões financeiras importantes das organizações como investimentos, financiamentos e volume de caixa disponível.</w:t>
      </w:r>
    </w:p>
    <w:p w14:paraId="416F469F" w14:textId="77777777" w:rsidR="00323705" w:rsidRDefault="00323705" w:rsidP="00323705">
      <w:pPr>
        <w:pStyle w:val="Corpodetexto1"/>
        <w:shd w:val="clear" w:color="auto" w:fill="auto"/>
        <w:spacing w:after="0" w:line="240" w:lineRule="auto"/>
        <w:ind w:left="20" w:right="40" w:firstLine="689"/>
        <w:jc w:val="both"/>
        <w:rPr>
          <w:sz w:val="24"/>
          <w:szCs w:val="24"/>
          <w:shd w:val="clear" w:color="auto" w:fill="FFFFFF"/>
        </w:rPr>
      </w:pPr>
      <w:r>
        <w:rPr>
          <w:sz w:val="24"/>
          <w:szCs w:val="24"/>
        </w:rPr>
        <w:t xml:space="preserve">No contexto global pesquisas também foram desenvolvidas com a finalidade de identificar os fatores que influenciam a decisão de pagamento de dividendos, nesse sentido, observou-se a relação entre dividendos, fluxo de caixa e rentabilidade. </w:t>
      </w:r>
      <w:r>
        <w:rPr>
          <w:sz w:val="24"/>
          <w:szCs w:val="24"/>
          <w:shd w:val="clear" w:color="auto" w:fill="FFFFFF"/>
        </w:rPr>
        <w:t>Alli, Khan e Ramirez (1993)</w:t>
      </w:r>
      <w:r>
        <w:rPr>
          <w:sz w:val="24"/>
          <w:szCs w:val="24"/>
        </w:rPr>
        <w:t xml:space="preserve"> relatam que os pagamentos de dividendos dependem mais dos fluxos de caixa, do que dos ganhos atuais da empresa, pois o fluxo de caixa representa é a capacidade de pagar dividendos e os ganhos atuais não refletem esta capacidade.</w:t>
      </w:r>
    </w:p>
    <w:p w14:paraId="64F52916" w14:textId="77777777" w:rsidR="00323705" w:rsidRDefault="00323705" w:rsidP="00323705">
      <w:pPr>
        <w:pStyle w:val="Corpodetexto1"/>
        <w:shd w:val="clear" w:color="auto" w:fill="auto"/>
        <w:spacing w:after="0" w:line="240" w:lineRule="auto"/>
        <w:ind w:left="20" w:right="40" w:firstLine="689"/>
        <w:jc w:val="both"/>
        <w:rPr>
          <w:sz w:val="24"/>
          <w:szCs w:val="24"/>
        </w:rPr>
      </w:pPr>
      <w:r>
        <w:rPr>
          <w:sz w:val="24"/>
          <w:szCs w:val="24"/>
        </w:rPr>
        <w:t xml:space="preserve">A posição de fluxo de caixa de uma empresa é um determinante importante dos pagamentos de dividendos. A posição de liquidez da empresa possui relação com o pagamento de dividendos, assim, uma fraca posição de liquidez significa um dividendo menos generoso devido à falta de caixa (Amidu &amp; Abor, 2006; </w:t>
      </w:r>
      <w:r>
        <w:rPr>
          <w:sz w:val="24"/>
          <w:szCs w:val="24"/>
          <w:shd w:val="clear" w:color="auto" w:fill="FFFFFF"/>
        </w:rPr>
        <w:t>Gill, Biger &amp; Tibrewala, 2010)</w:t>
      </w:r>
      <w:r>
        <w:rPr>
          <w:sz w:val="24"/>
          <w:szCs w:val="24"/>
        </w:rPr>
        <w:t>.  A pesquisa de Amidu e Abor (2006) apresentou que as relações positivas e significativas dos índices de pagamento de dividendos com a rentabilidade e fluxo de caixa das empresas permite entender que a rentabilidade e fluxo de caixa são variáveis influenciadoras das decisões de política de pagamento de dividendos.</w:t>
      </w:r>
    </w:p>
    <w:p w14:paraId="2C361D57" w14:textId="77777777" w:rsidR="00323705" w:rsidRDefault="00323705" w:rsidP="00323705">
      <w:pPr>
        <w:pStyle w:val="Corpodetexto1"/>
        <w:shd w:val="clear" w:color="auto" w:fill="auto"/>
        <w:spacing w:after="0" w:line="240" w:lineRule="auto"/>
        <w:ind w:left="20" w:right="40" w:firstLine="689"/>
        <w:jc w:val="both"/>
        <w:rPr>
          <w:sz w:val="24"/>
          <w:szCs w:val="24"/>
        </w:rPr>
      </w:pPr>
      <w:r>
        <w:rPr>
          <w:sz w:val="24"/>
          <w:szCs w:val="24"/>
          <w:shd w:val="clear" w:color="auto" w:fill="FFFFFF"/>
        </w:rPr>
        <w:t>As considerações de Gill, Biger e Tibrewala (2010) destacam a</w:t>
      </w:r>
      <w:r>
        <w:rPr>
          <w:sz w:val="24"/>
          <w:szCs w:val="24"/>
        </w:rPr>
        <w:t xml:space="preserve"> rentabilidade como o principal indicador da capacidade de uma empresa para pagar dividendos. Entretanto, no estudo realizado por </w:t>
      </w:r>
      <w:r>
        <w:rPr>
          <w:sz w:val="24"/>
          <w:szCs w:val="24"/>
          <w:shd w:val="clear" w:color="auto" w:fill="FFFFFF"/>
        </w:rPr>
        <w:t xml:space="preserve">Ajanthan (2013) evidenciou-se que o pagamento de dividendos é um </w:t>
      </w:r>
      <w:r>
        <w:rPr>
          <w:sz w:val="24"/>
          <w:szCs w:val="24"/>
          <w:shd w:val="clear" w:color="auto" w:fill="FFFFFF"/>
        </w:rPr>
        <w:lastRenderedPageBreak/>
        <w:t>fator que afeta o desempenho da empresa, que existe uma relação significativa e positiva entre ambos, destaque-se que uma adequada política de pagamento de dividendos proporciona melhor rentabilidade para a empresa.</w:t>
      </w:r>
    </w:p>
    <w:p w14:paraId="33105F1C" w14:textId="77777777" w:rsidR="00323705" w:rsidRDefault="00323705" w:rsidP="00323705">
      <w:pPr>
        <w:pStyle w:val="Corpodetexto1"/>
        <w:shd w:val="clear" w:color="auto" w:fill="auto"/>
        <w:spacing w:after="0" w:line="240" w:lineRule="auto"/>
        <w:ind w:left="20" w:right="40" w:firstLine="689"/>
        <w:jc w:val="both"/>
        <w:rPr>
          <w:sz w:val="24"/>
          <w:szCs w:val="24"/>
          <w:shd w:val="clear" w:color="auto" w:fill="FFFFFF"/>
        </w:rPr>
      </w:pPr>
      <w:r>
        <w:rPr>
          <w:sz w:val="24"/>
          <w:szCs w:val="24"/>
          <w:shd w:val="clear" w:color="auto" w:fill="FFFFFF"/>
        </w:rPr>
        <w:t>Com uma relação positiva e significativa entre a rentabilidade das empresas e o pagamento de dividendos, a pesquisa de Oladipupo e Okafor (2013) observou que como a rentabilidade, o fluxo de caixa também é importante para definir a política de pagamento de dividendos. Ainda, que o pagamento de dividendos é uma saída de caixa, o que significa que mesmo que a empresa tenha auferido ganhos no período suficientes para pagar dividendos, é necessário ter dinheiro suficiente e disponível em caixa para pagá-los.</w:t>
      </w:r>
    </w:p>
    <w:p w14:paraId="161D7A1C" w14:textId="77777777" w:rsidR="00323705" w:rsidRDefault="00323705" w:rsidP="00323705">
      <w:pPr>
        <w:pStyle w:val="Corpodetexto1"/>
        <w:shd w:val="clear" w:color="auto" w:fill="auto"/>
        <w:tabs>
          <w:tab w:val="left" w:pos="284"/>
        </w:tabs>
        <w:spacing w:after="0" w:line="240" w:lineRule="auto"/>
        <w:ind w:left="20" w:right="40" w:firstLine="689"/>
        <w:jc w:val="both"/>
        <w:rPr>
          <w:sz w:val="24"/>
          <w:szCs w:val="24"/>
        </w:rPr>
      </w:pPr>
      <w:r>
        <w:rPr>
          <w:sz w:val="24"/>
          <w:szCs w:val="24"/>
        </w:rPr>
        <w:t>Conforme o exposto e, para atender ao objetivo da pesquisa, que trata-se de avaliar se o fluxo de caixa livre e rentabilidade influenciam o pagamento de dividendos em empresas brasileiras, as seguintes hipóteses de pesquisa foram elaboradas:</w:t>
      </w:r>
    </w:p>
    <w:p w14:paraId="03E23BD9" w14:textId="77777777" w:rsidR="00323705" w:rsidRDefault="00323705" w:rsidP="00323705">
      <w:pPr>
        <w:pStyle w:val="Corpodetexto1"/>
        <w:shd w:val="clear" w:color="auto" w:fill="auto"/>
        <w:spacing w:after="0" w:line="240" w:lineRule="auto"/>
        <w:ind w:left="20" w:right="40" w:firstLine="689"/>
        <w:jc w:val="both"/>
        <w:rPr>
          <w:sz w:val="24"/>
          <w:szCs w:val="24"/>
        </w:rPr>
      </w:pPr>
      <w:r>
        <w:rPr>
          <w:b/>
          <w:sz w:val="24"/>
          <w:szCs w:val="24"/>
        </w:rPr>
        <w:t>H</w:t>
      </w:r>
      <w:r>
        <w:rPr>
          <w:b/>
          <w:sz w:val="24"/>
          <w:szCs w:val="24"/>
          <w:vertAlign w:val="subscript"/>
        </w:rPr>
        <w:t>1</w:t>
      </w:r>
      <w:r>
        <w:rPr>
          <w:b/>
          <w:sz w:val="24"/>
          <w:szCs w:val="24"/>
        </w:rPr>
        <w:t>:</w:t>
      </w:r>
      <w:r>
        <w:rPr>
          <w:sz w:val="24"/>
          <w:szCs w:val="24"/>
        </w:rPr>
        <w:t xml:space="preserve"> Existe uma relação significativa entre pagamento de dividendos e o fluxo de caixa livre.</w:t>
      </w:r>
    </w:p>
    <w:p w14:paraId="191EA5BD" w14:textId="77777777" w:rsidR="00323705" w:rsidRDefault="00323705" w:rsidP="00323705">
      <w:pPr>
        <w:pStyle w:val="Corpodetexto1"/>
        <w:shd w:val="clear" w:color="auto" w:fill="auto"/>
        <w:spacing w:after="0" w:line="240" w:lineRule="auto"/>
        <w:ind w:left="20" w:right="40" w:firstLine="689"/>
        <w:jc w:val="both"/>
        <w:rPr>
          <w:sz w:val="24"/>
          <w:szCs w:val="24"/>
        </w:rPr>
      </w:pPr>
      <w:r>
        <w:rPr>
          <w:b/>
          <w:sz w:val="24"/>
          <w:szCs w:val="24"/>
        </w:rPr>
        <w:t>H</w:t>
      </w:r>
      <w:r>
        <w:rPr>
          <w:b/>
          <w:sz w:val="24"/>
          <w:szCs w:val="24"/>
          <w:vertAlign w:val="subscript"/>
        </w:rPr>
        <w:t>2</w:t>
      </w:r>
      <w:r>
        <w:rPr>
          <w:b/>
          <w:sz w:val="24"/>
          <w:szCs w:val="24"/>
        </w:rPr>
        <w:t xml:space="preserve">: </w:t>
      </w:r>
      <w:r>
        <w:rPr>
          <w:sz w:val="24"/>
          <w:szCs w:val="24"/>
        </w:rPr>
        <w:t>Existe uma relação significativa entre pagamento de dividendos e a rentabilidade.</w:t>
      </w:r>
    </w:p>
    <w:p w14:paraId="47C8F616" w14:textId="77777777" w:rsidR="00323705" w:rsidRDefault="00323705" w:rsidP="00323705">
      <w:pPr>
        <w:pStyle w:val="Corpodetexto1"/>
        <w:shd w:val="clear" w:color="auto" w:fill="auto"/>
        <w:spacing w:after="0" w:line="240" w:lineRule="auto"/>
        <w:ind w:left="20" w:right="40" w:firstLine="689"/>
        <w:jc w:val="both"/>
        <w:rPr>
          <w:sz w:val="24"/>
          <w:szCs w:val="24"/>
        </w:rPr>
      </w:pPr>
    </w:p>
    <w:p w14:paraId="03958D34" w14:textId="77777777" w:rsidR="00323705" w:rsidRDefault="00323705" w:rsidP="00323705">
      <w:pPr>
        <w:pStyle w:val="Corpodetexto1"/>
        <w:numPr>
          <w:ilvl w:val="0"/>
          <w:numId w:val="2"/>
        </w:numPr>
        <w:shd w:val="clear" w:color="auto" w:fill="auto"/>
        <w:tabs>
          <w:tab w:val="left" w:pos="284"/>
        </w:tabs>
        <w:spacing w:after="0" w:line="240" w:lineRule="auto"/>
        <w:ind w:left="426" w:right="40" w:hanging="426"/>
        <w:jc w:val="both"/>
        <w:rPr>
          <w:b/>
          <w:sz w:val="24"/>
          <w:szCs w:val="24"/>
        </w:rPr>
      </w:pPr>
      <w:r>
        <w:rPr>
          <w:b/>
          <w:sz w:val="24"/>
          <w:szCs w:val="24"/>
        </w:rPr>
        <w:t xml:space="preserve">PROCEDIMENTOS METODOLÓGICOS </w:t>
      </w:r>
    </w:p>
    <w:p w14:paraId="1B56A3E3" w14:textId="77777777" w:rsidR="00323705" w:rsidRDefault="00323705" w:rsidP="00323705">
      <w:pPr>
        <w:ind w:left="-15" w:firstLine="708"/>
        <w:jc w:val="both"/>
        <w:rPr>
          <w:sz w:val="24"/>
          <w:szCs w:val="24"/>
        </w:rPr>
      </w:pPr>
      <w:r>
        <w:rPr>
          <w:sz w:val="24"/>
          <w:szCs w:val="24"/>
        </w:rPr>
        <w:t>Com o objetivo de verificar a influência do fluxo de caixa livre e da rentabilidade no pagamento de dividendos, a pesquisa configura-se como descritiva, pois irá analisar as variáveis sem manipulá-las. A pesquisa caracteriza-se como documental, pois os procedimentos utilizam dados base Economática. O estudo verifica a influência das variáveis com a aplicação de técnicas estatísticas, o que define a pesquisa como de caráter quantitativo.</w:t>
      </w:r>
    </w:p>
    <w:p w14:paraId="65DA0471" w14:textId="77777777" w:rsidR="00323705" w:rsidRDefault="00323705" w:rsidP="00323705">
      <w:pPr>
        <w:pStyle w:val="Corpodetexto1"/>
        <w:shd w:val="clear" w:color="auto" w:fill="auto"/>
        <w:spacing w:after="0" w:line="240" w:lineRule="auto"/>
        <w:ind w:left="20" w:right="40" w:firstLine="689"/>
        <w:jc w:val="both"/>
        <w:rPr>
          <w:sz w:val="24"/>
          <w:szCs w:val="24"/>
        </w:rPr>
      </w:pPr>
      <w:r>
        <w:rPr>
          <w:sz w:val="24"/>
          <w:szCs w:val="24"/>
        </w:rPr>
        <w:t>A população da pesquisa irá abranger as empresas brasileiras de capital aberto listadas na BM&amp;FBovespa de todos os setores da economia. A amostra da pesquisa foi composta pelas empresas listadas na BM&amp;FBovespa, com exceção das empresas que atuam no segmento financeiro, por apresentarem características particulares, assim como aquelas que não dispunham de informações para cálculo de todas as variáveis em estudo. A amostra final compreende 326 empresas.</w:t>
      </w:r>
    </w:p>
    <w:p w14:paraId="77E9601A" w14:textId="77777777" w:rsidR="00323705" w:rsidRDefault="00323705" w:rsidP="00323705">
      <w:pPr>
        <w:pStyle w:val="Corpodetexto1"/>
        <w:shd w:val="clear" w:color="auto" w:fill="auto"/>
        <w:spacing w:after="0" w:line="240" w:lineRule="auto"/>
        <w:ind w:left="20" w:right="40" w:firstLine="689"/>
        <w:jc w:val="both"/>
        <w:rPr>
          <w:sz w:val="24"/>
          <w:szCs w:val="24"/>
        </w:rPr>
      </w:pPr>
      <w:r>
        <w:rPr>
          <w:rFonts w:eastAsia="Calibri"/>
          <w:sz w:val="24"/>
          <w:szCs w:val="24"/>
        </w:rPr>
        <w:t xml:space="preserve">O período de análise compreendeu 5 anos, de 2012 a 2016. Os dados referentes ao pagamento de dividendos, fluxo de caixa livre e rentabilidade foram coletados na base de dados </w:t>
      </w:r>
      <w:r>
        <w:rPr>
          <w:rFonts w:eastAsia="Calibri"/>
          <w:i/>
          <w:sz w:val="24"/>
          <w:szCs w:val="24"/>
        </w:rPr>
        <w:t xml:space="preserve">Economática. </w:t>
      </w:r>
      <w:r>
        <w:rPr>
          <w:sz w:val="24"/>
          <w:szCs w:val="24"/>
        </w:rPr>
        <w:t>As variáveis utilizadas na pesquisa foram selecionadas a partir da literatura e são apresentadas no Quadro 1.</w:t>
      </w:r>
    </w:p>
    <w:p w14:paraId="4F18CBB7" w14:textId="77777777" w:rsidR="00323705" w:rsidRDefault="00323705" w:rsidP="00323705">
      <w:pPr>
        <w:pStyle w:val="Corpodetexto1"/>
        <w:shd w:val="clear" w:color="auto" w:fill="auto"/>
        <w:spacing w:after="0" w:line="240" w:lineRule="auto"/>
        <w:ind w:left="20" w:right="40" w:firstLine="689"/>
        <w:jc w:val="both"/>
        <w:rPr>
          <w:sz w:val="24"/>
          <w:szCs w:val="24"/>
        </w:rPr>
      </w:pPr>
    </w:p>
    <w:p w14:paraId="054C1881" w14:textId="77777777" w:rsidR="00323705" w:rsidRDefault="00323705" w:rsidP="00323705">
      <w:pPr>
        <w:jc w:val="both"/>
        <w:rPr>
          <w:rFonts w:eastAsia="Calibri"/>
        </w:rPr>
      </w:pPr>
      <w:r>
        <w:rPr>
          <w:rFonts w:eastAsia="Calibri"/>
          <w:b/>
        </w:rPr>
        <w:t>Quadro 1 - Variáveis utilizadas no estudo</w:t>
      </w:r>
    </w:p>
    <w:tbl>
      <w:tblPr>
        <w:tblStyle w:val="Tabelacomgrade1"/>
        <w:tblW w:w="4900" w:type="pct"/>
        <w:jc w:val="center"/>
        <w:tblInd w:w="0" w:type="dxa"/>
        <w:tblLook w:val="04A0" w:firstRow="1" w:lastRow="0" w:firstColumn="1" w:lastColumn="0" w:noHBand="0" w:noVBand="1"/>
      </w:tblPr>
      <w:tblGrid>
        <w:gridCol w:w="2204"/>
        <w:gridCol w:w="3593"/>
        <w:gridCol w:w="3298"/>
      </w:tblGrid>
      <w:tr w:rsidR="00323705" w14:paraId="2DA0031C" w14:textId="77777777" w:rsidTr="00323705">
        <w:trPr>
          <w:trHeight w:val="236"/>
          <w:jc w:val="center"/>
        </w:trPr>
        <w:tc>
          <w:tcPr>
            <w:tcW w:w="123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354CB5A" w14:textId="77777777" w:rsidR="00323705" w:rsidRDefault="00323705">
            <w:pPr>
              <w:autoSpaceDE w:val="0"/>
              <w:autoSpaceDN w:val="0"/>
              <w:adjustRightInd w:val="0"/>
              <w:jc w:val="center"/>
              <w:rPr>
                <w:rFonts w:eastAsia="Calibri"/>
                <w:b/>
                <w:lang w:val="en-US"/>
              </w:rPr>
            </w:pPr>
            <w:r>
              <w:rPr>
                <w:b/>
                <w:lang w:val="en-US"/>
              </w:rPr>
              <w:t>Descrição</w:t>
            </w:r>
          </w:p>
        </w:tc>
        <w:tc>
          <w:tcPr>
            <w:tcW w:w="193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70A2843" w14:textId="77777777" w:rsidR="00323705" w:rsidRDefault="00323705">
            <w:pPr>
              <w:autoSpaceDE w:val="0"/>
              <w:autoSpaceDN w:val="0"/>
              <w:adjustRightInd w:val="0"/>
              <w:jc w:val="center"/>
              <w:rPr>
                <w:b/>
                <w:i/>
                <w:lang w:val="en-US"/>
              </w:rPr>
            </w:pPr>
            <w:r>
              <w:rPr>
                <w:b/>
                <w:i/>
              </w:rPr>
              <w:t>Proxy</w:t>
            </w:r>
          </w:p>
        </w:tc>
        <w:tc>
          <w:tcPr>
            <w:tcW w:w="18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BB79A1C" w14:textId="77777777" w:rsidR="00323705" w:rsidRDefault="00323705">
            <w:pPr>
              <w:autoSpaceDE w:val="0"/>
              <w:autoSpaceDN w:val="0"/>
              <w:adjustRightInd w:val="0"/>
              <w:jc w:val="center"/>
              <w:rPr>
                <w:b/>
                <w:lang w:val="en-US"/>
              </w:rPr>
            </w:pPr>
            <w:r>
              <w:rPr>
                <w:b/>
              </w:rPr>
              <w:t>Autor (ano)</w:t>
            </w:r>
          </w:p>
        </w:tc>
      </w:tr>
      <w:tr w:rsidR="00323705" w14:paraId="24EC54CC" w14:textId="77777777" w:rsidTr="00323705">
        <w:trPr>
          <w:trHeight w:val="236"/>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A401F7" w14:textId="77777777" w:rsidR="00323705" w:rsidRDefault="00323705">
            <w:pPr>
              <w:autoSpaceDE w:val="0"/>
              <w:autoSpaceDN w:val="0"/>
              <w:adjustRightInd w:val="0"/>
              <w:jc w:val="center"/>
              <w:rPr>
                <w:b/>
              </w:rPr>
            </w:pPr>
            <w:r>
              <w:rPr>
                <w:b/>
              </w:rPr>
              <w:t>Variável dependente</w:t>
            </w:r>
          </w:p>
        </w:tc>
      </w:tr>
      <w:tr w:rsidR="00323705" w14:paraId="0B1A5979" w14:textId="77777777" w:rsidTr="00323705">
        <w:trPr>
          <w:trHeight w:val="577"/>
          <w:jc w:val="center"/>
        </w:trPr>
        <w:tc>
          <w:tcPr>
            <w:tcW w:w="1231" w:type="pct"/>
            <w:tcBorders>
              <w:top w:val="single" w:sz="4" w:space="0" w:color="auto"/>
              <w:left w:val="single" w:sz="4" w:space="0" w:color="auto"/>
              <w:bottom w:val="single" w:sz="4" w:space="0" w:color="auto"/>
              <w:right w:val="single" w:sz="4" w:space="0" w:color="auto"/>
            </w:tcBorders>
            <w:vAlign w:val="center"/>
          </w:tcPr>
          <w:p w14:paraId="197DD786" w14:textId="77777777" w:rsidR="00323705" w:rsidRDefault="00323705">
            <w:pPr>
              <w:autoSpaceDE w:val="0"/>
              <w:autoSpaceDN w:val="0"/>
              <w:adjustRightInd w:val="0"/>
              <w:jc w:val="center"/>
              <w:rPr>
                <w:rFonts w:eastAsia="MyriadPro-Regular"/>
              </w:rPr>
            </w:pPr>
          </w:p>
          <w:p w14:paraId="0BC1F91D" w14:textId="77777777" w:rsidR="00323705" w:rsidRDefault="00323705">
            <w:pPr>
              <w:autoSpaceDE w:val="0"/>
              <w:autoSpaceDN w:val="0"/>
              <w:adjustRightInd w:val="0"/>
              <w:jc w:val="center"/>
              <w:rPr>
                <w:rFonts w:eastAsia="MyriadPro-Regular"/>
              </w:rPr>
            </w:pPr>
            <w:r>
              <w:rPr>
                <w:rFonts w:eastAsia="MyriadPro-Regular"/>
              </w:rPr>
              <w:t>Dividendos (DIV)</w:t>
            </w:r>
          </w:p>
          <w:p w14:paraId="2B7E8150" w14:textId="77777777" w:rsidR="00323705" w:rsidRDefault="00323705">
            <w:pPr>
              <w:autoSpaceDE w:val="0"/>
              <w:autoSpaceDN w:val="0"/>
              <w:adjustRightInd w:val="0"/>
              <w:jc w:val="center"/>
              <w:rPr>
                <w:rFonts w:eastAsia="Calibri"/>
              </w:rPr>
            </w:pPr>
          </w:p>
        </w:tc>
        <w:tc>
          <w:tcPr>
            <w:tcW w:w="1937" w:type="pct"/>
            <w:tcBorders>
              <w:top w:val="single" w:sz="4" w:space="0" w:color="auto"/>
              <w:left w:val="single" w:sz="4" w:space="0" w:color="auto"/>
              <w:bottom w:val="single" w:sz="4" w:space="0" w:color="auto"/>
              <w:right w:val="single" w:sz="4" w:space="0" w:color="auto"/>
            </w:tcBorders>
            <w:vAlign w:val="center"/>
            <w:hideMark/>
          </w:tcPr>
          <w:p w14:paraId="2F33A13F" w14:textId="77777777" w:rsidR="00323705" w:rsidRDefault="00323705">
            <w:pPr>
              <w:autoSpaceDE w:val="0"/>
              <w:autoSpaceDN w:val="0"/>
              <w:adjustRightInd w:val="0"/>
              <w:jc w:val="center"/>
            </w:pPr>
            <m:oMathPara>
              <m:oMathParaPr>
                <m:jc m:val="center"/>
              </m:oMathParaPr>
              <m:oMath>
                <m:r>
                  <m:rPr>
                    <m:sty m:val="p"/>
                  </m:rPr>
                  <w:rPr>
                    <w:rFonts w:ascii="Cambria Math" w:hAnsi="Cambria Math"/>
                  </w:rPr>
                  <m:t>Dividendos</m:t>
                </m:r>
              </m:oMath>
            </m:oMathPara>
          </w:p>
        </w:tc>
        <w:tc>
          <w:tcPr>
            <w:tcW w:w="1833" w:type="pct"/>
            <w:tcBorders>
              <w:top w:val="single" w:sz="4" w:space="0" w:color="auto"/>
              <w:left w:val="single" w:sz="4" w:space="0" w:color="auto"/>
              <w:bottom w:val="single" w:sz="4" w:space="0" w:color="auto"/>
              <w:right w:val="single" w:sz="4" w:space="0" w:color="auto"/>
            </w:tcBorders>
            <w:vAlign w:val="center"/>
            <w:hideMark/>
          </w:tcPr>
          <w:p w14:paraId="6ABDB6CA" w14:textId="77777777" w:rsidR="00323705" w:rsidRDefault="00323705">
            <w:pPr>
              <w:autoSpaceDE w:val="0"/>
              <w:autoSpaceDN w:val="0"/>
              <w:adjustRightInd w:val="0"/>
              <w:jc w:val="center"/>
            </w:pPr>
            <w:r>
              <w:rPr>
                <w:shd w:val="clear" w:color="auto" w:fill="FFFFFF"/>
              </w:rPr>
              <w:t>Ajanthan (2013); Oladipupo e Okafor (2013)</w:t>
            </w:r>
          </w:p>
        </w:tc>
      </w:tr>
      <w:tr w:rsidR="00323705" w14:paraId="1CDAA469" w14:textId="77777777" w:rsidTr="00323705">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E734A0" w14:textId="77777777" w:rsidR="00323705" w:rsidRDefault="00323705">
            <w:pPr>
              <w:autoSpaceDE w:val="0"/>
              <w:autoSpaceDN w:val="0"/>
              <w:adjustRightInd w:val="0"/>
              <w:jc w:val="center"/>
            </w:pPr>
            <w:r>
              <w:rPr>
                <w:b/>
              </w:rPr>
              <w:t xml:space="preserve">Variáveis Independentes </w:t>
            </w:r>
          </w:p>
        </w:tc>
      </w:tr>
      <w:tr w:rsidR="00323705" w14:paraId="0F4D4D0C" w14:textId="77777777" w:rsidTr="00323705">
        <w:trPr>
          <w:trHeight w:val="618"/>
          <w:jc w:val="center"/>
        </w:trPr>
        <w:tc>
          <w:tcPr>
            <w:tcW w:w="1231" w:type="pct"/>
            <w:tcBorders>
              <w:top w:val="single" w:sz="4" w:space="0" w:color="auto"/>
              <w:left w:val="single" w:sz="4" w:space="0" w:color="auto"/>
              <w:bottom w:val="single" w:sz="4" w:space="0" w:color="auto"/>
              <w:right w:val="single" w:sz="4" w:space="0" w:color="auto"/>
            </w:tcBorders>
            <w:vAlign w:val="center"/>
            <w:hideMark/>
          </w:tcPr>
          <w:p w14:paraId="0AE21229" w14:textId="77777777" w:rsidR="00323705" w:rsidRDefault="00323705">
            <w:pPr>
              <w:autoSpaceDE w:val="0"/>
              <w:autoSpaceDN w:val="0"/>
              <w:adjustRightInd w:val="0"/>
              <w:jc w:val="center"/>
            </w:pPr>
            <w:r>
              <w:t>Fluxo de Caixa Livre (FCL)</w:t>
            </w:r>
          </w:p>
        </w:tc>
        <w:tc>
          <w:tcPr>
            <w:tcW w:w="1937" w:type="pct"/>
            <w:tcBorders>
              <w:top w:val="single" w:sz="4" w:space="0" w:color="auto"/>
              <w:left w:val="single" w:sz="4" w:space="0" w:color="auto"/>
              <w:bottom w:val="single" w:sz="4" w:space="0" w:color="auto"/>
              <w:right w:val="single" w:sz="4" w:space="0" w:color="auto"/>
            </w:tcBorders>
            <w:vAlign w:val="center"/>
            <w:hideMark/>
          </w:tcPr>
          <w:p w14:paraId="1DDF6359" w14:textId="77777777" w:rsidR="00323705" w:rsidRDefault="00323705">
            <w:pPr>
              <w:jc w:val="center"/>
            </w:pPr>
            <w:r>
              <w:t>Fluxo de Caixa Livre</w:t>
            </w:r>
          </w:p>
        </w:tc>
        <w:tc>
          <w:tcPr>
            <w:tcW w:w="1833" w:type="pct"/>
            <w:tcBorders>
              <w:top w:val="single" w:sz="4" w:space="0" w:color="auto"/>
              <w:left w:val="single" w:sz="4" w:space="0" w:color="auto"/>
              <w:bottom w:val="single" w:sz="4" w:space="0" w:color="auto"/>
              <w:right w:val="single" w:sz="4" w:space="0" w:color="auto"/>
            </w:tcBorders>
            <w:vAlign w:val="center"/>
            <w:hideMark/>
          </w:tcPr>
          <w:p w14:paraId="1DF30681" w14:textId="77777777" w:rsidR="00323705" w:rsidRDefault="00323705">
            <w:pPr>
              <w:jc w:val="center"/>
            </w:pPr>
            <w:r>
              <w:t>Amidu e Abor (2006)</w:t>
            </w:r>
          </w:p>
        </w:tc>
      </w:tr>
      <w:tr w:rsidR="00323705" w14:paraId="72EA5832" w14:textId="77777777" w:rsidTr="00323705">
        <w:trPr>
          <w:trHeight w:val="568"/>
          <w:jc w:val="center"/>
        </w:trPr>
        <w:tc>
          <w:tcPr>
            <w:tcW w:w="1231" w:type="pct"/>
            <w:tcBorders>
              <w:top w:val="single" w:sz="4" w:space="0" w:color="auto"/>
              <w:left w:val="single" w:sz="4" w:space="0" w:color="auto"/>
              <w:bottom w:val="single" w:sz="4" w:space="0" w:color="auto"/>
              <w:right w:val="single" w:sz="4" w:space="0" w:color="auto"/>
            </w:tcBorders>
            <w:vAlign w:val="center"/>
            <w:hideMark/>
          </w:tcPr>
          <w:p w14:paraId="23917218" w14:textId="77777777" w:rsidR="00323705" w:rsidRDefault="00323705">
            <w:pPr>
              <w:autoSpaceDE w:val="0"/>
              <w:autoSpaceDN w:val="0"/>
              <w:adjustRightInd w:val="0"/>
              <w:jc w:val="center"/>
            </w:pPr>
            <w:r>
              <w:t xml:space="preserve">Rentabilidade </w:t>
            </w:r>
          </w:p>
          <w:p w14:paraId="1DD2C70E" w14:textId="77777777" w:rsidR="00323705" w:rsidRDefault="00323705">
            <w:pPr>
              <w:autoSpaceDE w:val="0"/>
              <w:autoSpaceDN w:val="0"/>
              <w:adjustRightInd w:val="0"/>
              <w:jc w:val="center"/>
            </w:pPr>
            <w:r>
              <w:t>(RENT)</w:t>
            </w:r>
          </w:p>
        </w:tc>
        <w:tc>
          <w:tcPr>
            <w:tcW w:w="1937" w:type="pct"/>
            <w:tcBorders>
              <w:top w:val="single" w:sz="4" w:space="0" w:color="auto"/>
              <w:left w:val="single" w:sz="4" w:space="0" w:color="auto"/>
              <w:bottom w:val="single" w:sz="4" w:space="0" w:color="auto"/>
              <w:right w:val="single" w:sz="4" w:space="0" w:color="auto"/>
            </w:tcBorders>
            <w:vAlign w:val="center"/>
            <w:hideMark/>
          </w:tcPr>
          <w:p w14:paraId="3A2B30BD" w14:textId="77777777" w:rsidR="00323705" w:rsidRDefault="00323705">
            <w:pPr>
              <w:jc w:val="center"/>
            </w:pPr>
            <w:r>
              <w:t>Rentabilidade</w:t>
            </w:r>
          </w:p>
        </w:tc>
        <w:tc>
          <w:tcPr>
            <w:tcW w:w="1833" w:type="pct"/>
            <w:tcBorders>
              <w:top w:val="single" w:sz="4" w:space="0" w:color="auto"/>
              <w:left w:val="single" w:sz="4" w:space="0" w:color="auto"/>
              <w:bottom w:val="single" w:sz="4" w:space="0" w:color="auto"/>
              <w:right w:val="single" w:sz="4" w:space="0" w:color="auto"/>
            </w:tcBorders>
            <w:vAlign w:val="center"/>
            <w:hideMark/>
          </w:tcPr>
          <w:p w14:paraId="25F99588" w14:textId="77777777" w:rsidR="00323705" w:rsidRDefault="00323705">
            <w:pPr>
              <w:jc w:val="center"/>
              <w:rPr>
                <w:b/>
              </w:rPr>
            </w:pPr>
            <w:r>
              <w:rPr>
                <w:shd w:val="clear" w:color="auto" w:fill="FFFFFF"/>
              </w:rPr>
              <w:t>Ajanthan (2013); Oladipupo e Okafor (2013)</w:t>
            </w:r>
          </w:p>
        </w:tc>
      </w:tr>
      <w:tr w:rsidR="00323705" w14:paraId="48518275" w14:textId="77777777" w:rsidTr="00323705">
        <w:trPr>
          <w:trHeight w:val="673"/>
          <w:jc w:val="center"/>
        </w:trPr>
        <w:tc>
          <w:tcPr>
            <w:tcW w:w="1231" w:type="pct"/>
            <w:tcBorders>
              <w:top w:val="single" w:sz="4" w:space="0" w:color="auto"/>
              <w:left w:val="single" w:sz="4" w:space="0" w:color="auto"/>
              <w:bottom w:val="single" w:sz="4" w:space="0" w:color="auto"/>
              <w:right w:val="single" w:sz="4" w:space="0" w:color="auto"/>
            </w:tcBorders>
            <w:vAlign w:val="center"/>
            <w:hideMark/>
          </w:tcPr>
          <w:p w14:paraId="2346758B" w14:textId="77777777" w:rsidR="00323705" w:rsidRDefault="00323705">
            <w:pPr>
              <w:autoSpaceDE w:val="0"/>
              <w:autoSpaceDN w:val="0"/>
              <w:adjustRightInd w:val="0"/>
              <w:jc w:val="center"/>
            </w:pPr>
            <w:r>
              <w:t>Rentabilidade do Ativo</w:t>
            </w:r>
          </w:p>
          <w:p w14:paraId="6118273E" w14:textId="77777777" w:rsidR="00323705" w:rsidRDefault="00323705">
            <w:pPr>
              <w:autoSpaceDE w:val="0"/>
              <w:autoSpaceDN w:val="0"/>
              <w:adjustRightInd w:val="0"/>
              <w:jc w:val="center"/>
            </w:pPr>
            <w:r>
              <w:t>(ROA)</w:t>
            </w:r>
          </w:p>
        </w:tc>
        <w:tc>
          <w:tcPr>
            <w:tcW w:w="1937" w:type="pct"/>
            <w:tcBorders>
              <w:top w:val="single" w:sz="4" w:space="0" w:color="auto"/>
              <w:left w:val="single" w:sz="4" w:space="0" w:color="auto"/>
              <w:bottom w:val="single" w:sz="4" w:space="0" w:color="auto"/>
              <w:right w:val="single" w:sz="4" w:space="0" w:color="auto"/>
            </w:tcBorders>
            <w:vAlign w:val="center"/>
            <w:hideMark/>
          </w:tcPr>
          <w:p w14:paraId="76A655E1" w14:textId="77777777" w:rsidR="00323705" w:rsidRDefault="00323705">
            <w:pPr>
              <w:jc w:val="center"/>
            </w:pPr>
            <m:oMathPara>
              <m:oMath>
                <m:f>
                  <m:fPr>
                    <m:ctrlPr>
                      <w:rPr>
                        <w:rFonts w:ascii="Cambria Math" w:hAnsi="Cambria Math"/>
                        <w:lang w:eastAsia="en-US"/>
                      </w:rPr>
                    </m:ctrlPr>
                  </m:fPr>
                  <m:num>
                    <m:r>
                      <m:rPr>
                        <m:sty m:val="p"/>
                      </m:rPr>
                      <w:rPr>
                        <w:rFonts w:ascii="Cambria Math" w:hAnsi="Cambria Math"/>
                      </w:rPr>
                      <m:t>Lucro Líquido</m:t>
                    </m:r>
                  </m:num>
                  <m:den>
                    <m:r>
                      <m:rPr>
                        <m:sty m:val="p"/>
                      </m:rPr>
                      <w:rPr>
                        <w:rFonts w:ascii="Cambria Math" w:hAnsi="Cambria Math"/>
                      </w:rPr>
                      <m:t>Ativo Circulante+Ativo Não Circulante</m:t>
                    </m:r>
                  </m:den>
                </m:f>
              </m:oMath>
            </m:oMathPara>
          </w:p>
        </w:tc>
        <w:tc>
          <w:tcPr>
            <w:tcW w:w="1833" w:type="pct"/>
            <w:tcBorders>
              <w:top w:val="single" w:sz="4" w:space="0" w:color="auto"/>
              <w:left w:val="single" w:sz="4" w:space="0" w:color="auto"/>
              <w:bottom w:val="single" w:sz="4" w:space="0" w:color="auto"/>
              <w:right w:val="single" w:sz="4" w:space="0" w:color="auto"/>
            </w:tcBorders>
            <w:vAlign w:val="center"/>
            <w:hideMark/>
          </w:tcPr>
          <w:p w14:paraId="66398934" w14:textId="77777777" w:rsidR="00323705" w:rsidRDefault="00323705">
            <w:pPr>
              <w:jc w:val="center"/>
              <w:rPr>
                <w:shd w:val="clear" w:color="auto" w:fill="FFFFFF"/>
              </w:rPr>
            </w:pPr>
            <w:r>
              <w:t>Forti, Peixoto e Alves (2015)</w:t>
            </w:r>
          </w:p>
        </w:tc>
      </w:tr>
      <w:tr w:rsidR="00323705" w14:paraId="3492D425" w14:textId="77777777" w:rsidTr="00323705">
        <w:trPr>
          <w:trHeight w:val="559"/>
          <w:jc w:val="center"/>
        </w:trPr>
        <w:tc>
          <w:tcPr>
            <w:tcW w:w="1231" w:type="pct"/>
            <w:tcBorders>
              <w:top w:val="single" w:sz="4" w:space="0" w:color="auto"/>
              <w:left w:val="single" w:sz="4" w:space="0" w:color="auto"/>
              <w:bottom w:val="single" w:sz="4" w:space="0" w:color="auto"/>
              <w:right w:val="single" w:sz="4" w:space="0" w:color="auto"/>
            </w:tcBorders>
            <w:vAlign w:val="center"/>
            <w:hideMark/>
          </w:tcPr>
          <w:p w14:paraId="7A0691ED" w14:textId="77777777" w:rsidR="00323705" w:rsidRDefault="00323705">
            <w:pPr>
              <w:autoSpaceDE w:val="0"/>
              <w:autoSpaceDN w:val="0"/>
              <w:adjustRightInd w:val="0"/>
              <w:jc w:val="center"/>
            </w:pPr>
            <w:r>
              <w:t xml:space="preserve">Tamanho </w:t>
            </w:r>
          </w:p>
          <w:p w14:paraId="69191F9D" w14:textId="77777777" w:rsidR="00323705" w:rsidRDefault="00323705">
            <w:pPr>
              <w:autoSpaceDE w:val="0"/>
              <w:autoSpaceDN w:val="0"/>
              <w:adjustRightInd w:val="0"/>
              <w:jc w:val="center"/>
            </w:pPr>
            <w:r>
              <w:t>(TAM)</w:t>
            </w:r>
          </w:p>
        </w:tc>
        <w:tc>
          <w:tcPr>
            <w:tcW w:w="1937" w:type="pct"/>
            <w:tcBorders>
              <w:top w:val="single" w:sz="4" w:space="0" w:color="auto"/>
              <w:left w:val="single" w:sz="4" w:space="0" w:color="auto"/>
              <w:bottom w:val="single" w:sz="4" w:space="0" w:color="auto"/>
              <w:right w:val="single" w:sz="4" w:space="0" w:color="auto"/>
            </w:tcBorders>
            <w:vAlign w:val="center"/>
            <w:hideMark/>
          </w:tcPr>
          <w:p w14:paraId="03DEC73F" w14:textId="77777777" w:rsidR="00323705" w:rsidRDefault="00323705">
            <w:pPr>
              <w:jc w:val="center"/>
            </w:pPr>
            <w:r>
              <w:t>LN do Ativo Total</w:t>
            </w:r>
          </w:p>
        </w:tc>
        <w:tc>
          <w:tcPr>
            <w:tcW w:w="1833" w:type="pct"/>
            <w:tcBorders>
              <w:top w:val="single" w:sz="4" w:space="0" w:color="auto"/>
              <w:left w:val="single" w:sz="4" w:space="0" w:color="auto"/>
              <w:bottom w:val="single" w:sz="4" w:space="0" w:color="auto"/>
              <w:right w:val="single" w:sz="4" w:space="0" w:color="auto"/>
            </w:tcBorders>
            <w:vAlign w:val="center"/>
            <w:hideMark/>
          </w:tcPr>
          <w:p w14:paraId="148E5D02" w14:textId="77777777" w:rsidR="00323705" w:rsidRDefault="00323705">
            <w:pPr>
              <w:jc w:val="center"/>
              <w:rPr>
                <w:shd w:val="clear" w:color="auto" w:fill="FFFFFF"/>
              </w:rPr>
            </w:pPr>
            <w:r>
              <w:t>Forti, Peixoto e Alves (2015)</w:t>
            </w:r>
          </w:p>
        </w:tc>
      </w:tr>
    </w:tbl>
    <w:p w14:paraId="7FE14EAD" w14:textId="77777777" w:rsidR="00323705" w:rsidRDefault="00323705" w:rsidP="00323705">
      <w:pPr>
        <w:autoSpaceDE w:val="0"/>
        <w:autoSpaceDN w:val="0"/>
        <w:adjustRightInd w:val="0"/>
        <w:ind w:left="709" w:hanging="709"/>
        <w:jc w:val="both"/>
        <w:rPr>
          <w:lang w:eastAsia="en-US"/>
        </w:rPr>
      </w:pPr>
      <w:r>
        <w:t xml:space="preserve"> Fonte: Dados da pesquisa (2018).</w:t>
      </w:r>
    </w:p>
    <w:p w14:paraId="01944EBE" w14:textId="77777777" w:rsidR="00323705" w:rsidRDefault="00323705" w:rsidP="00323705">
      <w:pPr>
        <w:pStyle w:val="Corpodetexto1"/>
        <w:shd w:val="clear" w:color="auto" w:fill="auto"/>
        <w:spacing w:after="0" w:line="240" w:lineRule="auto"/>
        <w:ind w:left="20" w:right="40" w:firstLine="689"/>
        <w:jc w:val="both"/>
        <w:rPr>
          <w:sz w:val="24"/>
          <w:szCs w:val="24"/>
        </w:rPr>
      </w:pPr>
    </w:p>
    <w:p w14:paraId="319D874C" w14:textId="77777777" w:rsidR="00323705" w:rsidRDefault="00323705" w:rsidP="00323705">
      <w:pPr>
        <w:pStyle w:val="Corpodetexto1"/>
        <w:shd w:val="clear" w:color="auto" w:fill="auto"/>
        <w:spacing w:after="0" w:line="240" w:lineRule="auto"/>
        <w:ind w:left="20" w:right="40" w:firstLine="689"/>
        <w:jc w:val="both"/>
        <w:rPr>
          <w:sz w:val="24"/>
          <w:szCs w:val="24"/>
        </w:rPr>
      </w:pPr>
      <w:r>
        <w:rPr>
          <w:rFonts w:eastAsia="Calibri"/>
          <w:sz w:val="24"/>
          <w:szCs w:val="24"/>
        </w:rPr>
        <w:lastRenderedPageBreak/>
        <w:t>A partir das variáveis apresentadas no Quadro 1, foram elaborados os modelos de regressão para análise</w:t>
      </w:r>
      <w:r>
        <w:rPr>
          <w:sz w:val="24"/>
          <w:szCs w:val="24"/>
        </w:rPr>
        <w:t>. Deste modo segue abaixo a equação que será utilizada para testar os pressupostos da análise.</w:t>
      </w:r>
    </w:p>
    <w:p w14:paraId="035C31E6" w14:textId="77777777" w:rsidR="00323705" w:rsidRDefault="00323705" w:rsidP="00323705">
      <w:pPr>
        <w:pStyle w:val="Corpodetexto1"/>
        <w:shd w:val="clear" w:color="auto" w:fill="auto"/>
        <w:spacing w:after="0" w:line="240" w:lineRule="auto"/>
        <w:ind w:left="20" w:right="40" w:firstLine="689"/>
        <w:jc w:val="right"/>
        <w:rPr>
          <w:rFonts w:eastAsia="Calibri"/>
          <w:b/>
          <w:sz w:val="24"/>
          <w:szCs w:val="24"/>
        </w:rPr>
      </w:pPr>
      <w:r>
        <w:rPr>
          <w:rFonts w:eastAsia="Calibri"/>
          <w:b/>
          <w:sz w:val="24"/>
          <w:szCs w:val="24"/>
        </w:rPr>
        <w:t>Equação 1</w:t>
      </w:r>
    </w:p>
    <w:p w14:paraId="02F307E2" w14:textId="77777777" w:rsidR="00323705" w:rsidRDefault="00323705" w:rsidP="00323705">
      <w:pPr>
        <w:pStyle w:val="Corpodetexto1"/>
        <w:shd w:val="clear" w:color="auto" w:fill="auto"/>
        <w:spacing w:after="0" w:line="240" w:lineRule="auto"/>
        <w:ind w:left="20" w:right="40" w:firstLine="689"/>
        <w:jc w:val="right"/>
        <w:rPr>
          <w:b/>
          <w:sz w:val="24"/>
          <w:szCs w:val="24"/>
        </w:rPr>
      </w:pPr>
      <w:r>
        <w:rPr>
          <w:b/>
          <w:sz w:val="24"/>
          <w:szCs w:val="24"/>
        </w:rPr>
        <w:t xml:space="preserve">                                                                                                                                                                                                                                        </w:t>
      </w:r>
    </w:p>
    <w:p w14:paraId="4082113A" w14:textId="77777777" w:rsidR="00323705" w:rsidRDefault="00323705" w:rsidP="00323705">
      <w:pPr>
        <w:jc w:val="center"/>
        <w:rPr>
          <w:rFonts w:eastAsia="Calibri"/>
          <w:b/>
        </w:rPr>
      </w:pPr>
      <m:oMath>
        <m:r>
          <w:rPr>
            <w:rFonts w:ascii="Cambria Math" w:eastAsia="Calibri" w:hAnsi="Cambria Math"/>
          </w:rPr>
          <m:t>DIV= β</m:t>
        </m:r>
      </m:oMath>
      <w:r>
        <w:rPr>
          <w:rFonts w:eastAsia="Calibri"/>
          <w:vertAlign w:val="subscript"/>
        </w:rPr>
        <w:t xml:space="preserve">0 </w:t>
      </w:r>
      <w:r>
        <w:rPr>
          <w:rFonts w:eastAsia="Calibri"/>
        </w:rPr>
        <w:t>+</w:t>
      </w:r>
      <w:r>
        <w:rPr>
          <w:rFonts w:eastAsia="Calibri"/>
          <w:b/>
        </w:rPr>
        <w:t xml:space="preserve"> </w:t>
      </w:r>
      <m:oMath>
        <m:r>
          <w:rPr>
            <w:rFonts w:ascii="Cambria Math" w:eastAsia="Calibri" w:hAnsi="Cambria Math"/>
          </w:rPr>
          <m:t>β</m:t>
        </m:r>
      </m:oMath>
      <w:r>
        <w:rPr>
          <w:rFonts w:eastAsia="Calibri"/>
          <w:vertAlign w:val="subscript"/>
        </w:rPr>
        <w:t xml:space="preserve">1 </w:t>
      </w:r>
      <w:r>
        <w:rPr>
          <w:rFonts w:eastAsia="Calibri"/>
        </w:rPr>
        <w:t xml:space="preserve">FLC + </w:t>
      </w:r>
      <m:oMath>
        <m:r>
          <w:rPr>
            <w:rFonts w:ascii="Cambria Math" w:eastAsia="Calibri" w:hAnsi="Cambria Math"/>
          </w:rPr>
          <m:t>β</m:t>
        </m:r>
      </m:oMath>
      <w:r>
        <w:rPr>
          <w:rFonts w:eastAsia="Calibri"/>
          <w:vertAlign w:val="subscript"/>
        </w:rPr>
        <w:t xml:space="preserve">2 </w:t>
      </w:r>
      <w:r>
        <w:rPr>
          <w:rFonts w:eastAsia="Calibri"/>
        </w:rPr>
        <w:t>RENT +</w:t>
      </w:r>
      <m:oMath>
        <m:r>
          <w:rPr>
            <w:rFonts w:ascii="Cambria Math" w:eastAsia="Calibri" w:hAnsi="Cambria Math"/>
          </w:rPr>
          <m:t xml:space="preserve"> β</m:t>
        </m:r>
      </m:oMath>
      <w:r>
        <w:rPr>
          <w:rFonts w:eastAsia="Calibri"/>
          <w:vertAlign w:val="subscript"/>
        </w:rPr>
        <w:t xml:space="preserve">3 </w:t>
      </w:r>
      <w:r>
        <w:rPr>
          <w:rFonts w:eastAsia="Calibri"/>
        </w:rPr>
        <w:t>ROA+</w:t>
      </w:r>
      <m:oMath>
        <m:r>
          <w:rPr>
            <w:rFonts w:ascii="Cambria Math" w:eastAsia="Calibri" w:hAnsi="Cambria Math"/>
          </w:rPr>
          <m:t xml:space="preserve"> β</m:t>
        </m:r>
      </m:oMath>
      <w:r>
        <w:rPr>
          <w:rFonts w:eastAsia="Calibri"/>
          <w:vertAlign w:val="subscript"/>
        </w:rPr>
        <w:t xml:space="preserve">4 </w:t>
      </w:r>
      <w:r>
        <w:rPr>
          <w:rFonts w:eastAsia="Calibri"/>
        </w:rPr>
        <w:t xml:space="preserve">TAM+ </w:t>
      </w:r>
      <m:oMath>
        <m:r>
          <m:rPr>
            <m:sty m:val="b"/>
          </m:rPr>
          <w:rPr>
            <w:rFonts w:ascii="Cambria Math" w:eastAsia="Calibri" w:hAnsi="Cambria Math"/>
          </w:rPr>
          <m:t>ε</m:t>
        </m:r>
      </m:oMath>
    </w:p>
    <w:p w14:paraId="58DBAF08" w14:textId="77777777" w:rsidR="00323705" w:rsidRDefault="00323705" w:rsidP="00323705">
      <w:pPr>
        <w:jc w:val="center"/>
      </w:pPr>
    </w:p>
    <w:p w14:paraId="7ED6AD9A" w14:textId="1C6F7285" w:rsidR="00323705" w:rsidRDefault="00323705" w:rsidP="00323705">
      <w:pPr>
        <w:pStyle w:val="Corpodetexto1"/>
        <w:shd w:val="clear" w:color="auto" w:fill="auto"/>
        <w:spacing w:after="0" w:line="240" w:lineRule="auto"/>
        <w:ind w:right="40" w:firstLine="708"/>
        <w:jc w:val="both"/>
        <w:rPr>
          <w:sz w:val="24"/>
          <w:szCs w:val="24"/>
        </w:rPr>
      </w:pPr>
      <w:r>
        <w:rPr>
          <w:sz w:val="24"/>
          <w:szCs w:val="24"/>
        </w:rPr>
        <w:t>Portanto, o modelo acima foi testado para as empresas da amostra. Foram utilizadas planilhas eletrônicas, para tabulação e estatística descritiva, com uso de métodos estatísticos apresentados por software espec</w:t>
      </w:r>
      <w:r>
        <w:rPr>
          <w:sz w:val="24"/>
          <w:szCs w:val="24"/>
        </w:rPr>
        <w:t>í</w:t>
      </w:r>
      <w:r>
        <w:rPr>
          <w:sz w:val="24"/>
          <w:szCs w:val="24"/>
        </w:rPr>
        <w:t xml:space="preserve">fico como o SPSS 21® para a regressão linear múltipla.                </w:t>
      </w:r>
    </w:p>
    <w:p w14:paraId="0CCEFC23" w14:textId="77777777" w:rsidR="00323705" w:rsidRDefault="00323705" w:rsidP="00323705">
      <w:pPr>
        <w:pStyle w:val="Corpodetexto1"/>
        <w:shd w:val="clear" w:color="auto" w:fill="auto"/>
        <w:spacing w:after="0" w:line="240" w:lineRule="auto"/>
        <w:ind w:right="40" w:firstLine="0"/>
        <w:jc w:val="both"/>
        <w:rPr>
          <w:sz w:val="24"/>
          <w:szCs w:val="24"/>
        </w:rPr>
      </w:pPr>
    </w:p>
    <w:p w14:paraId="7BAB82AF" w14:textId="77777777" w:rsidR="00323705" w:rsidRDefault="00323705" w:rsidP="00323705">
      <w:pPr>
        <w:pStyle w:val="Corpodetexto1"/>
        <w:shd w:val="clear" w:color="auto" w:fill="auto"/>
        <w:spacing w:after="0" w:line="240" w:lineRule="auto"/>
        <w:ind w:right="40" w:firstLine="0"/>
        <w:jc w:val="both"/>
        <w:rPr>
          <w:b/>
          <w:sz w:val="24"/>
          <w:szCs w:val="24"/>
        </w:rPr>
      </w:pPr>
      <w:r>
        <w:rPr>
          <w:b/>
          <w:sz w:val="24"/>
          <w:szCs w:val="24"/>
        </w:rPr>
        <w:t xml:space="preserve">4 </w:t>
      </w:r>
      <w:r>
        <w:rPr>
          <w:b/>
          <w:sz w:val="24"/>
          <w:szCs w:val="24"/>
          <w:shd w:val="clear" w:color="auto" w:fill="FFFFFF"/>
        </w:rPr>
        <w:t>APRESENTAÇÃO E ANÁLISE DOS RESULTADOS</w:t>
      </w:r>
    </w:p>
    <w:p w14:paraId="7DC167B6" w14:textId="77777777" w:rsidR="00323705" w:rsidRDefault="00323705" w:rsidP="00323705">
      <w:pPr>
        <w:pStyle w:val="Corpodetexto1"/>
        <w:shd w:val="clear" w:color="auto" w:fill="auto"/>
        <w:spacing w:after="0" w:line="240" w:lineRule="auto"/>
        <w:ind w:firstLine="709"/>
        <w:jc w:val="both"/>
        <w:rPr>
          <w:sz w:val="24"/>
          <w:szCs w:val="24"/>
        </w:rPr>
      </w:pPr>
      <w:r>
        <w:rPr>
          <w:sz w:val="24"/>
          <w:szCs w:val="24"/>
        </w:rPr>
        <w:t>Nesta seção os achados do estudo serão descritos e analisados. Primeiro será apresentado a estatística descritiva das variáveis que compõem a pesquisa, contendo uma variável dependente DIV e, quatro variáveis independentes FLC, RENT, ROA, TAM. A Tabela 1 apresenta a estatística descritiva da amostra, nota-se que os dividendos e o fluxo de caixa livre são os que apresentam as maiores médias e desvio padrão no período analisado, tendo em vista a natureza dessas variáveis por ser muito dispersa em cada empresa analisada.</w:t>
      </w:r>
    </w:p>
    <w:p w14:paraId="7FB49FEF" w14:textId="77777777" w:rsidR="00323705" w:rsidRDefault="00323705" w:rsidP="00323705">
      <w:pPr>
        <w:pStyle w:val="Corpodetexto1"/>
        <w:shd w:val="clear" w:color="auto" w:fill="auto"/>
        <w:spacing w:after="0" w:line="240" w:lineRule="auto"/>
        <w:ind w:left="284" w:right="40" w:firstLine="0"/>
        <w:jc w:val="both"/>
        <w:rPr>
          <w:sz w:val="24"/>
          <w:szCs w:val="24"/>
        </w:rPr>
      </w:pPr>
    </w:p>
    <w:p w14:paraId="4F68868A" w14:textId="77777777" w:rsidR="00323705" w:rsidRDefault="00323705" w:rsidP="00323705">
      <w:pPr>
        <w:jc w:val="both"/>
        <w:rPr>
          <w:b/>
        </w:rPr>
      </w:pPr>
      <w:r>
        <w:rPr>
          <w:b/>
        </w:rPr>
        <w:t>Tabela 1: Estatística Descritiva da Amostra</w:t>
      </w:r>
    </w:p>
    <w:tbl>
      <w:tblPr>
        <w:tblStyle w:val="Tabelacomgrade"/>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5"/>
        <w:gridCol w:w="1894"/>
        <w:gridCol w:w="2126"/>
        <w:gridCol w:w="1701"/>
        <w:gridCol w:w="1843"/>
      </w:tblGrid>
      <w:tr w:rsidR="00323705" w14:paraId="13A05E55" w14:textId="77777777" w:rsidTr="00323705">
        <w:tc>
          <w:tcPr>
            <w:tcW w:w="1475" w:type="dxa"/>
            <w:tcBorders>
              <w:top w:val="single" w:sz="18" w:space="0" w:color="auto"/>
              <w:left w:val="nil"/>
              <w:bottom w:val="single" w:sz="18" w:space="0" w:color="auto"/>
              <w:right w:val="single" w:sz="2" w:space="0" w:color="auto"/>
            </w:tcBorders>
            <w:vAlign w:val="center"/>
            <w:hideMark/>
          </w:tcPr>
          <w:p w14:paraId="77FE3991" w14:textId="77777777" w:rsidR="00323705" w:rsidRDefault="00323705">
            <w:pPr>
              <w:jc w:val="center"/>
              <w:rPr>
                <w:b/>
              </w:rPr>
            </w:pPr>
            <w:r>
              <w:rPr>
                <w:b/>
              </w:rPr>
              <w:t>Variáveis</w:t>
            </w:r>
          </w:p>
        </w:tc>
        <w:tc>
          <w:tcPr>
            <w:tcW w:w="1894" w:type="dxa"/>
            <w:tcBorders>
              <w:top w:val="single" w:sz="18" w:space="0" w:color="auto"/>
              <w:left w:val="single" w:sz="2" w:space="0" w:color="auto"/>
              <w:bottom w:val="single" w:sz="18" w:space="0" w:color="auto"/>
              <w:right w:val="single" w:sz="2" w:space="0" w:color="auto"/>
            </w:tcBorders>
            <w:vAlign w:val="center"/>
            <w:hideMark/>
          </w:tcPr>
          <w:p w14:paraId="6EF35CEB" w14:textId="77777777" w:rsidR="00323705" w:rsidRDefault="00323705">
            <w:pPr>
              <w:jc w:val="center"/>
              <w:rPr>
                <w:b/>
              </w:rPr>
            </w:pPr>
            <w:r>
              <w:rPr>
                <w:b/>
              </w:rPr>
              <w:t>Média</w:t>
            </w:r>
          </w:p>
        </w:tc>
        <w:tc>
          <w:tcPr>
            <w:tcW w:w="2126" w:type="dxa"/>
            <w:tcBorders>
              <w:top w:val="single" w:sz="18" w:space="0" w:color="auto"/>
              <w:left w:val="single" w:sz="2" w:space="0" w:color="auto"/>
              <w:bottom w:val="single" w:sz="18" w:space="0" w:color="auto"/>
              <w:right w:val="single" w:sz="2" w:space="0" w:color="auto"/>
            </w:tcBorders>
            <w:vAlign w:val="center"/>
            <w:hideMark/>
          </w:tcPr>
          <w:p w14:paraId="09409D48" w14:textId="77777777" w:rsidR="00323705" w:rsidRDefault="00323705">
            <w:pPr>
              <w:jc w:val="center"/>
              <w:rPr>
                <w:b/>
              </w:rPr>
            </w:pPr>
            <w:r>
              <w:rPr>
                <w:b/>
              </w:rPr>
              <w:t>Desvio Padrão</w:t>
            </w:r>
          </w:p>
        </w:tc>
        <w:tc>
          <w:tcPr>
            <w:tcW w:w="1701" w:type="dxa"/>
            <w:tcBorders>
              <w:top w:val="single" w:sz="18" w:space="0" w:color="auto"/>
              <w:left w:val="single" w:sz="2" w:space="0" w:color="auto"/>
              <w:bottom w:val="single" w:sz="18" w:space="0" w:color="auto"/>
              <w:right w:val="single" w:sz="2" w:space="0" w:color="auto"/>
            </w:tcBorders>
            <w:vAlign w:val="center"/>
            <w:hideMark/>
          </w:tcPr>
          <w:p w14:paraId="0EDE9B04" w14:textId="77777777" w:rsidR="00323705" w:rsidRDefault="00323705">
            <w:pPr>
              <w:jc w:val="center"/>
              <w:rPr>
                <w:b/>
              </w:rPr>
            </w:pPr>
            <w:r>
              <w:rPr>
                <w:b/>
              </w:rPr>
              <w:t>Mínimo</w:t>
            </w:r>
          </w:p>
        </w:tc>
        <w:tc>
          <w:tcPr>
            <w:tcW w:w="1843" w:type="dxa"/>
            <w:tcBorders>
              <w:top w:val="single" w:sz="18" w:space="0" w:color="auto"/>
              <w:left w:val="single" w:sz="2" w:space="0" w:color="auto"/>
              <w:bottom w:val="single" w:sz="18" w:space="0" w:color="auto"/>
              <w:right w:val="nil"/>
            </w:tcBorders>
            <w:vAlign w:val="center"/>
            <w:hideMark/>
          </w:tcPr>
          <w:p w14:paraId="0CEDA35A" w14:textId="77777777" w:rsidR="00323705" w:rsidRDefault="00323705">
            <w:pPr>
              <w:jc w:val="center"/>
              <w:rPr>
                <w:b/>
              </w:rPr>
            </w:pPr>
            <w:r>
              <w:rPr>
                <w:b/>
              </w:rPr>
              <w:t>Máximo</w:t>
            </w:r>
          </w:p>
        </w:tc>
      </w:tr>
      <w:tr w:rsidR="00323705" w14:paraId="589C4951" w14:textId="77777777" w:rsidTr="00323705">
        <w:tc>
          <w:tcPr>
            <w:tcW w:w="1475" w:type="dxa"/>
            <w:tcBorders>
              <w:top w:val="single" w:sz="18" w:space="0" w:color="auto"/>
              <w:left w:val="nil"/>
              <w:bottom w:val="single" w:sz="2" w:space="0" w:color="auto"/>
              <w:right w:val="single" w:sz="2" w:space="0" w:color="auto"/>
            </w:tcBorders>
            <w:hideMark/>
          </w:tcPr>
          <w:p w14:paraId="0A4FA3EC" w14:textId="77777777" w:rsidR="00323705" w:rsidRDefault="00323705">
            <w:pPr>
              <w:jc w:val="both"/>
              <w:rPr>
                <w:b/>
              </w:rPr>
            </w:pPr>
            <w:r>
              <w:rPr>
                <w:b/>
              </w:rPr>
              <w:t>DIV</w:t>
            </w:r>
          </w:p>
        </w:tc>
        <w:tc>
          <w:tcPr>
            <w:tcW w:w="1894" w:type="dxa"/>
            <w:tcBorders>
              <w:top w:val="single" w:sz="18" w:space="0" w:color="auto"/>
              <w:left w:val="single" w:sz="2" w:space="0" w:color="auto"/>
              <w:bottom w:val="single" w:sz="2" w:space="0" w:color="auto"/>
              <w:right w:val="single" w:sz="2" w:space="0" w:color="auto"/>
            </w:tcBorders>
            <w:vAlign w:val="center"/>
            <w:hideMark/>
          </w:tcPr>
          <w:p w14:paraId="2C503B53" w14:textId="77777777" w:rsidR="00323705" w:rsidRDefault="00323705">
            <w:pPr>
              <w:jc w:val="center"/>
            </w:pPr>
            <w:r>
              <w:t>98360,3120</w:t>
            </w:r>
          </w:p>
        </w:tc>
        <w:tc>
          <w:tcPr>
            <w:tcW w:w="2126" w:type="dxa"/>
            <w:tcBorders>
              <w:top w:val="single" w:sz="18" w:space="0" w:color="auto"/>
              <w:left w:val="single" w:sz="2" w:space="0" w:color="auto"/>
              <w:bottom w:val="single" w:sz="2" w:space="0" w:color="auto"/>
              <w:right w:val="single" w:sz="2" w:space="0" w:color="auto"/>
            </w:tcBorders>
            <w:vAlign w:val="center"/>
            <w:hideMark/>
          </w:tcPr>
          <w:p w14:paraId="1D00A789" w14:textId="77777777" w:rsidR="00323705" w:rsidRDefault="00323705">
            <w:pPr>
              <w:jc w:val="center"/>
            </w:pPr>
            <w:r>
              <w:t>143320,3980</w:t>
            </w:r>
          </w:p>
        </w:tc>
        <w:tc>
          <w:tcPr>
            <w:tcW w:w="1701" w:type="dxa"/>
            <w:tcBorders>
              <w:top w:val="single" w:sz="18" w:space="0" w:color="auto"/>
              <w:left w:val="single" w:sz="2" w:space="0" w:color="auto"/>
              <w:bottom w:val="single" w:sz="2" w:space="0" w:color="auto"/>
              <w:right w:val="single" w:sz="2" w:space="0" w:color="auto"/>
            </w:tcBorders>
            <w:vAlign w:val="center"/>
            <w:hideMark/>
          </w:tcPr>
          <w:p w14:paraId="3D27F814" w14:textId="77777777" w:rsidR="00323705" w:rsidRDefault="00323705">
            <w:pPr>
              <w:jc w:val="center"/>
            </w:pPr>
            <w:r>
              <w:t>0</w:t>
            </w:r>
          </w:p>
        </w:tc>
        <w:tc>
          <w:tcPr>
            <w:tcW w:w="1843" w:type="dxa"/>
            <w:tcBorders>
              <w:top w:val="single" w:sz="18" w:space="0" w:color="auto"/>
              <w:left w:val="single" w:sz="2" w:space="0" w:color="auto"/>
              <w:bottom w:val="single" w:sz="2" w:space="0" w:color="auto"/>
              <w:right w:val="nil"/>
            </w:tcBorders>
            <w:vAlign w:val="center"/>
            <w:hideMark/>
          </w:tcPr>
          <w:p w14:paraId="4164F1C7" w14:textId="77777777" w:rsidR="00323705" w:rsidRDefault="00323705">
            <w:pPr>
              <w:jc w:val="center"/>
            </w:pPr>
            <w:r>
              <w:t>759285,00</w:t>
            </w:r>
          </w:p>
        </w:tc>
      </w:tr>
      <w:tr w:rsidR="00323705" w14:paraId="64F8AE21" w14:textId="77777777" w:rsidTr="00323705">
        <w:tc>
          <w:tcPr>
            <w:tcW w:w="1475" w:type="dxa"/>
            <w:tcBorders>
              <w:top w:val="single" w:sz="2" w:space="0" w:color="auto"/>
              <w:left w:val="nil"/>
              <w:bottom w:val="single" w:sz="2" w:space="0" w:color="auto"/>
              <w:right w:val="single" w:sz="2" w:space="0" w:color="auto"/>
            </w:tcBorders>
            <w:hideMark/>
          </w:tcPr>
          <w:p w14:paraId="7EB58316" w14:textId="77777777" w:rsidR="00323705" w:rsidRDefault="00323705">
            <w:pPr>
              <w:jc w:val="both"/>
              <w:rPr>
                <w:b/>
              </w:rPr>
            </w:pPr>
            <w:r>
              <w:rPr>
                <w:b/>
              </w:rPr>
              <w:t>FCL</w:t>
            </w:r>
          </w:p>
        </w:tc>
        <w:tc>
          <w:tcPr>
            <w:tcW w:w="1894" w:type="dxa"/>
            <w:tcBorders>
              <w:top w:val="single" w:sz="2" w:space="0" w:color="auto"/>
              <w:left w:val="single" w:sz="2" w:space="0" w:color="auto"/>
              <w:bottom w:val="single" w:sz="2" w:space="0" w:color="auto"/>
              <w:right w:val="single" w:sz="2" w:space="0" w:color="auto"/>
            </w:tcBorders>
            <w:vAlign w:val="center"/>
            <w:hideMark/>
          </w:tcPr>
          <w:p w14:paraId="1472DAF5" w14:textId="77777777" w:rsidR="00323705" w:rsidRDefault="00323705">
            <w:pPr>
              <w:jc w:val="center"/>
            </w:pPr>
            <w:r>
              <w:t>22744,1776</w:t>
            </w:r>
          </w:p>
        </w:tc>
        <w:tc>
          <w:tcPr>
            <w:tcW w:w="2126" w:type="dxa"/>
            <w:tcBorders>
              <w:top w:val="single" w:sz="2" w:space="0" w:color="auto"/>
              <w:left w:val="single" w:sz="2" w:space="0" w:color="auto"/>
              <w:bottom w:val="single" w:sz="2" w:space="0" w:color="auto"/>
              <w:right w:val="single" w:sz="2" w:space="0" w:color="auto"/>
            </w:tcBorders>
            <w:vAlign w:val="center"/>
            <w:hideMark/>
          </w:tcPr>
          <w:p w14:paraId="15469524" w14:textId="77777777" w:rsidR="00323705" w:rsidRDefault="00323705">
            <w:pPr>
              <w:jc w:val="center"/>
            </w:pPr>
            <w:r>
              <w:t>167441,2417</w:t>
            </w:r>
          </w:p>
        </w:tc>
        <w:tc>
          <w:tcPr>
            <w:tcW w:w="1701" w:type="dxa"/>
            <w:tcBorders>
              <w:top w:val="single" w:sz="2" w:space="0" w:color="auto"/>
              <w:left w:val="single" w:sz="2" w:space="0" w:color="auto"/>
              <w:bottom w:val="single" w:sz="2" w:space="0" w:color="auto"/>
              <w:right w:val="single" w:sz="2" w:space="0" w:color="auto"/>
            </w:tcBorders>
            <w:vAlign w:val="center"/>
            <w:hideMark/>
          </w:tcPr>
          <w:p w14:paraId="4FD43907" w14:textId="77777777" w:rsidR="00323705" w:rsidRDefault="00323705">
            <w:pPr>
              <w:jc w:val="center"/>
            </w:pPr>
            <w:r>
              <w:t>-541661,00</w:t>
            </w:r>
          </w:p>
        </w:tc>
        <w:tc>
          <w:tcPr>
            <w:tcW w:w="1843" w:type="dxa"/>
            <w:tcBorders>
              <w:top w:val="single" w:sz="2" w:space="0" w:color="auto"/>
              <w:left w:val="single" w:sz="2" w:space="0" w:color="auto"/>
              <w:bottom w:val="single" w:sz="2" w:space="0" w:color="auto"/>
              <w:right w:val="nil"/>
            </w:tcBorders>
            <w:vAlign w:val="center"/>
            <w:hideMark/>
          </w:tcPr>
          <w:p w14:paraId="1B9CAF2A" w14:textId="77777777" w:rsidR="00323705" w:rsidRDefault="00323705">
            <w:pPr>
              <w:jc w:val="center"/>
            </w:pPr>
            <w:r>
              <w:t>622585,00</w:t>
            </w:r>
          </w:p>
        </w:tc>
      </w:tr>
      <w:tr w:rsidR="00323705" w14:paraId="3CE67E25" w14:textId="77777777" w:rsidTr="00323705">
        <w:tc>
          <w:tcPr>
            <w:tcW w:w="1475" w:type="dxa"/>
            <w:tcBorders>
              <w:top w:val="single" w:sz="2" w:space="0" w:color="auto"/>
              <w:left w:val="nil"/>
              <w:bottom w:val="single" w:sz="2" w:space="0" w:color="auto"/>
              <w:right w:val="single" w:sz="2" w:space="0" w:color="auto"/>
            </w:tcBorders>
            <w:hideMark/>
          </w:tcPr>
          <w:p w14:paraId="333D19F5" w14:textId="77777777" w:rsidR="00323705" w:rsidRDefault="00323705">
            <w:pPr>
              <w:jc w:val="both"/>
              <w:rPr>
                <w:b/>
              </w:rPr>
            </w:pPr>
            <w:r>
              <w:rPr>
                <w:b/>
              </w:rPr>
              <w:t>RENT</w:t>
            </w:r>
          </w:p>
        </w:tc>
        <w:tc>
          <w:tcPr>
            <w:tcW w:w="1894" w:type="dxa"/>
            <w:tcBorders>
              <w:top w:val="single" w:sz="2" w:space="0" w:color="auto"/>
              <w:left w:val="single" w:sz="2" w:space="0" w:color="auto"/>
              <w:bottom w:val="single" w:sz="2" w:space="0" w:color="auto"/>
              <w:right w:val="single" w:sz="2" w:space="0" w:color="auto"/>
            </w:tcBorders>
            <w:vAlign w:val="center"/>
            <w:hideMark/>
          </w:tcPr>
          <w:p w14:paraId="4A198A0B" w14:textId="77777777" w:rsidR="00323705" w:rsidRDefault="00323705">
            <w:pPr>
              <w:jc w:val="center"/>
            </w:pPr>
            <w:r>
              <w:t>0,0000</w:t>
            </w:r>
          </w:p>
        </w:tc>
        <w:tc>
          <w:tcPr>
            <w:tcW w:w="2126" w:type="dxa"/>
            <w:tcBorders>
              <w:top w:val="single" w:sz="2" w:space="0" w:color="auto"/>
              <w:left w:val="single" w:sz="2" w:space="0" w:color="auto"/>
              <w:bottom w:val="single" w:sz="2" w:space="0" w:color="auto"/>
              <w:right w:val="single" w:sz="2" w:space="0" w:color="auto"/>
            </w:tcBorders>
            <w:vAlign w:val="center"/>
            <w:hideMark/>
          </w:tcPr>
          <w:p w14:paraId="50D1B11F" w14:textId="77777777" w:rsidR="00323705" w:rsidRDefault="00323705">
            <w:pPr>
              <w:jc w:val="center"/>
            </w:pPr>
            <w:r>
              <w:t>0,00084</w:t>
            </w:r>
          </w:p>
        </w:tc>
        <w:tc>
          <w:tcPr>
            <w:tcW w:w="1701" w:type="dxa"/>
            <w:tcBorders>
              <w:top w:val="single" w:sz="2" w:space="0" w:color="auto"/>
              <w:left w:val="single" w:sz="2" w:space="0" w:color="auto"/>
              <w:bottom w:val="single" w:sz="2" w:space="0" w:color="auto"/>
              <w:right w:val="single" w:sz="2" w:space="0" w:color="auto"/>
            </w:tcBorders>
            <w:vAlign w:val="center"/>
            <w:hideMark/>
          </w:tcPr>
          <w:p w14:paraId="1784C609" w14:textId="77777777" w:rsidR="00323705" w:rsidRDefault="00323705">
            <w:pPr>
              <w:jc w:val="center"/>
            </w:pPr>
            <w:r>
              <w:t>-0,01</w:t>
            </w:r>
          </w:p>
        </w:tc>
        <w:tc>
          <w:tcPr>
            <w:tcW w:w="1843" w:type="dxa"/>
            <w:tcBorders>
              <w:top w:val="single" w:sz="2" w:space="0" w:color="auto"/>
              <w:left w:val="single" w:sz="2" w:space="0" w:color="auto"/>
              <w:bottom w:val="single" w:sz="2" w:space="0" w:color="auto"/>
              <w:right w:val="nil"/>
            </w:tcBorders>
            <w:vAlign w:val="center"/>
            <w:hideMark/>
          </w:tcPr>
          <w:p w14:paraId="5BADFD97" w14:textId="77777777" w:rsidR="00323705" w:rsidRDefault="00323705">
            <w:pPr>
              <w:jc w:val="center"/>
            </w:pPr>
            <w:r>
              <w:t>0,02</w:t>
            </w:r>
          </w:p>
        </w:tc>
      </w:tr>
      <w:tr w:rsidR="00323705" w14:paraId="3102FB8F" w14:textId="77777777" w:rsidTr="00323705">
        <w:trPr>
          <w:trHeight w:val="104"/>
        </w:trPr>
        <w:tc>
          <w:tcPr>
            <w:tcW w:w="1475" w:type="dxa"/>
            <w:tcBorders>
              <w:top w:val="single" w:sz="2" w:space="0" w:color="auto"/>
              <w:left w:val="nil"/>
              <w:bottom w:val="single" w:sz="2" w:space="0" w:color="auto"/>
              <w:right w:val="single" w:sz="2" w:space="0" w:color="auto"/>
            </w:tcBorders>
            <w:hideMark/>
          </w:tcPr>
          <w:p w14:paraId="718227AE" w14:textId="77777777" w:rsidR="00323705" w:rsidRDefault="00323705">
            <w:pPr>
              <w:jc w:val="both"/>
              <w:rPr>
                <w:b/>
              </w:rPr>
            </w:pPr>
            <w:r>
              <w:rPr>
                <w:b/>
              </w:rPr>
              <w:t>ROA</w:t>
            </w:r>
          </w:p>
        </w:tc>
        <w:tc>
          <w:tcPr>
            <w:tcW w:w="1894" w:type="dxa"/>
            <w:tcBorders>
              <w:top w:val="single" w:sz="2" w:space="0" w:color="auto"/>
              <w:left w:val="single" w:sz="2" w:space="0" w:color="auto"/>
              <w:bottom w:val="single" w:sz="2" w:space="0" w:color="auto"/>
              <w:right w:val="single" w:sz="2" w:space="0" w:color="auto"/>
            </w:tcBorders>
            <w:vAlign w:val="center"/>
            <w:hideMark/>
          </w:tcPr>
          <w:p w14:paraId="2939410A" w14:textId="77777777" w:rsidR="00323705" w:rsidRDefault="00323705">
            <w:pPr>
              <w:jc w:val="center"/>
            </w:pPr>
            <w:r>
              <w:t>4,1615</w:t>
            </w:r>
          </w:p>
        </w:tc>
        <w:tc>
          <w:tcPr>
            <w:tcW w:w="2126" w:type="dxa"/>
            <w:tcBorders>
              <w:top w:val="single" w:sz="2" w:space="0" w:color="auto"/>
              <w:left w:val="single" w:sz="2" w:space="0" w:color="auto"/>
              <w:bottom w:val="single" w:sz="2" w:space="0" w:color="auto"/>
              <w:right w:val="single" w:sz="2" w:space="0" w:color="auto"/>
            </w:tcBorders>
            <w:vAlign w:val="center"/>
            <w:hideMark/>
          </w:tcPr>
          <w:p w14:paraId="1480D5CE" w14:textId="77777777" w:rsidR="00323705" w:rsidRDefault="00323705">
            <w:pPr>
              <w:jc w:val="center"/>
            </w:pPr>
            <w:r>
              <w:t>8,07611</w:t>
            </w:r>
          </w:p>
        </w:tc>
        <w:tc>
          <w:tcPr>
            <w:tcW w:w="1701" w:type="dxa"/>
            <w:tcBorders>
              <w:top w:val="single" w:sz="2" w:space="0" w:color="auto"/>
              <w:left w:val="single" w:sz="2" w:space="0" w:color="auto"/>
              <w:bottom w:val="single" w:sz="2" w:space="0" w:color="auto"/>
              <w:right w:val="single" w:sz="2" w:space="0" w:color="auto"/>
            </w:tcBorders>
            <w:vAlign w:val="center"/>
            <w:hideMark/>
          </w:tcPr>
          <w:p w14:paraId="2D970A04" w14:textId="77777777" w:rsidR="00323705" w:rsidRDefault="00323705">
            <w:pPr>
              <w:jc w:val="center"/>
            </w:pPr>
            <w:r>
              <w:t>-35,14</w:t>
            </w:r>
          </w:p>
        </w:tc>
        <w:tc>
          <w:tcPr>
            <w:tcW w:w="1843" w:type="dxa"/>
            <w:tcBorders>
              <w:top w:val="single" w:sz="2" w:space="0" w:color="auto"/>
              <w:left w:val="single" w:sz="2" w:space="0" w:color="auto"/>
              <w:bottom w:val="single" w:sz="2" w:space="0" w:color="auto"/>
              <w:right w:val="nil"/>
            </w:tcBorders>
            <w:vAlign w:val="center"/>
            <w:hideMark/>
          </w:tcPr>
          <w:p w14:paraId="16680E8D" w14:textId="77777777" w:rsidR="00323705" w:rsidRDefault="00323705">
            <w:pPr>
              <w:jc w:val="center"/>
            </w:pPr>
            <w:r>
              <w:t>45,06</w:t>
            </w:r>
          </w:p>
        </w:tc>
      </w:tr>
      <w:tr w:rsidR="00323705" w14:paraId="024FB060" w14:textId="77777777" w:rsidTr="00323705">
        <w:tc>
          <w:tcPr>
            <w:tcW w:w="1475" w:type="dxa"/>
            <w:tcBorders>
              <w:top w:val="single" w:sz="2" w:space="0" w:color="auto"/>
              <w:left w:val="nil"/>
              <w:bottom w:val="single" w:sz="24" w:space="0" w:color="auto"/>
              <w:right w:val="single" w:sz="2" w:space="0" w:color="auto"/>
            </w:tcBorders>
            <w:hideMark/>
          </w:tcPr>
          <w:p w14:paraId="5A796999" w14:textId="77777777" w:rsidR="00323705" w:rsidRDefault="00323705">
            <w:pPr>
              <w:jc w:val="both"/>
              <w:rPr>
                <w:b/>
              </w:rPr>
            </w:pPr>
            <w:r>
              <w:rPr>
                <w:b/>
              </w:rPr>
              <w:t>TAM</w:t>
            </w:r>
          </w:p>
        </w:tc>
        <w:tc>
          <w:tcPr>
            <w:tcW w:w="1894" w:type="dxa"/>
            <w:tcBorders>
              <w:top w:val="single" w:sz="2" w:space="0" w:color="auto"/>
              <w:left w:val="single" w:sz="2" w:space="0" w:color="auto"/>
              <w:bottom w:val="single" w:sz="24" w:space="0" w:color="auto"/>
              <w:right w:val="single" w:sz="2" w:space="0" w:color="auto"/>
            </w:tcBorders>
            <w:vAlign w:val="center"/>
            <w:hideMark/>
          </w:tcPr>
          <w:p w14:paraId="7ED50BD0" w14:textId="77777777" w:rsidR="00323705" w:rsidRDefault="00323705">
            <w:pPr>
              <w:jc w:val="center"/>
            </w:pPr>
            <w:r>
              <w:t>14,6573</w:t>
            </w:r>
          </w:p>
        </w:tc>
        <w:tc>
          <w:tcPr>
            <w:tcW w:w="2126" w:type="dxa"/>
            <w:tcBorders>
              <w:top w:val="single" w:sz="2" w:space="0" w:color="auto"/>
              <w:left w:val="single" w:sz="2" w:space="0" w:color="auto"/>
              <w:bottom w:val="single" w:sz="24" w:space="0" w:color="auto"/>
              <w:right w:val="single" w:sz="2" w:space="0" w:color="auto"/>
            </w:tcBorders>
            <w:vAlign w:val="center"/>
            <w:hideMark/>
          </w:tcPr>
          <w:p w14:paraId="4E3326B8" w14:textId="77777777" w:rsidR="00323705" w:rsidRDefault="00323705">
            <w:pPr>
              <w:jc w:val="center"/>
            </w:pPr>
            <w:r>
              <w:t>1,4447</w:t>
            </w:r>
          </w:p>
        </w:tc>
        <w:tc>
          <w:tcPr>
            <w:tcW w:w="1701" w:type="dxa"/>
            <w:tcBorders>
              <w:top w:val="single" w:sz="2" w:space="0" w:color="auto"/>
              <w:left w:val="single" w:sz="2" w:space="0" w:color="auto"/>
              <w:bottom w:val="single" w:sz="24" w:space="0" w:color="auto"/>
              <w:right w:val="single" w:sz="2" w:space="0" w:color="auto"/>
            </w:tcBorders>
            <w:vAlign w:val="center"/>
            <w:hideMark/>
          </w:tcPr>
          <w:p w14:paraId="1B6139F0" w14:textId="77777777" w:rsidR="00323705" w:rsidRDefault="00323705">
            <w:pPr>
              <w:jc w:val="center"/>
            </w:pPr>
            <w:r>
              <w:t>9,30</w:t>
            </w:r>
          </w:p>
        </w:tc>
        <w:tc>
          <w:tcPr>
            <w:tcW w:w="1843" w:type="dxa"/>
            <w:tcBorders>
              <w:top w:val="single" w:sz="2" w:space="0" w:color="auto"/>
              <w:left w:val="single" w:sz="2" w:space="0" w:color="auto"/>
              <w:bottom w:val="single" w:sz="24" w:space="0" w:color="auto"/>
              <w:right w:val="nil"/>
            </w:tcBorders>
            <w:vAlign w:val="center"/>
            <w:hideMark/>
          </w:tcPr>
          <w:p w14:paraId="7BF85E89" w14:textId="77777777" w:rsidR="00323705" w:rsidRDefault="00323705">
            <w:pPr>
              <w:jc w:val="center"/>
            </w:pPr>
            <w:r>
              <w:t>18,82</w:t>
            </w:r>
          </w:p>
        </w:tc>
      </w:tr>
    </w:tbl>
    <w:p w14:paraId="462DF711" w14:textId="77777777" w:rsidR="00323705" w:rsidRDefault="00323705" w:rsidP="00323705">
      <w:pPr>
        <w:jc w:val="both"/>
        <w:rPr>
          <w:lang w:eastAsia="en-US"/>
        </w:rPr>
      </w:pPr>
      <w:r>
        <w:t>Fonte: Dados da pesquisa (2018)</w:t>
      </w:r>
    </w:p>
    <w:p w14:paraId="6C6C16C0" w14:textId="77777777" w:rsidR="00323705" w:rsidRDefault="00323705" w:rsidP="00323705">
      <w:pPr>
        <w:jc w:val="both"/>
      </w:pPr>
    </w:p>
    <w:p w14:paraId="09B1B0D9" w14:textId="77777777" w:rsidR="00323705" w:rsidRDefault="00323705" w:rsidP="00323705">
      <w:pPr>
        <w:pStyle w:val="Corpodetexto1"/>
        <w:shd w:val="clear" w:color="auto" w:fill="auto"/>
        <w:spacing w:after="0" w:line="240" w:lineRule="auto"/>
        <w:ind w:right="40" w:firstLine="709"/>
        <w:jc w:val="both"/>
        <w:rPr>
          <w:sz w:val="24"/>
          <w:szCs w:val="24"/>
        </w:rPr>
      </w:pPr>
      <w:r>
        <w:rPr>
          <w:sz w:val="24"/>
          <w:szCs w:val="24"/>
        </w:rPr>
        <w:t>A Tabela 2 apresenta a matriz de correlação de Pearson, na qual percebe-se que o ROA e o tamanho possuem relação significativa positiva ao nível de 1% com relação aos dividendos, já o fluxo de caixa livre possui relação significativa positiva ao nível de 5%, já a rentabilidade não apresentou grau de significância. Ou seja, quanto maior for o ROA, o tamanho da empresa e o fluxo de caixa livre, maior será o pagamento de dividendos. As variáveis não apresentaram alta correlação.</w:t>
      </w:r>
    </w:p>
    <w:p w14:paraId="00DA3A4B" w14:textId="77777777" w:rsidR="00323705" w:rsidRDefault="00323705" w:rsidP="00323705">
      <w:pPr>
        <w:pStyle w:val="Corpodetexto1"/>
        <w:shd w:val="clear" w:color="auto" w:fill="auto"/>
        <w:spacing w:after="0" w:line="240" w:lineRule="auto"/>
        <w:ind w:right="40" w:firstLine="709"/>
        <w:jc w:val="both"/>
        <w:rPr>
          <w:sz w:val="24"/>
          <w:szCs w:val="24"/>
        </w:rPr>
      </w:pPr>
    </w:p>
    <w:p w14:paraId="4EFB1155" w14:textId="77777777" w:rsidR="00323705" w:rsidRDefault="00323705" w:rsidP="00323705">
      <w:pPr>
        <w:jc w:val="both"/>
        <w:rPr>
          <w:b/>
        </w:rPr>
      </w:pPr>
      <w:r>
        <w:rPr>
          <w:b/>
        </w:rPr>
        <w:t>Tabela 2: Matriz de Correlação</w:t>
      </w:r>
    </w:p>
    <w:tbl>
      <w:tblPr>
        <w:tblStyle w:val="Tabelacomgrade"/>
        <w:tblW w:w="0" w:type="auto"/>
        <w:tblInd w:w="0" w:type="dxa"/>
        <w:tblBorders>
          <w:top w:val="single" w:sz="18" w:space="0" w:color="auto"/>
          <w:left w:val="none" w:sz="0" w:space="0" w:color="auto"/>
          <w:bottom w:val="single" w:sz="18" w:space="0" w:color="auto"/>
          <w:right w:val="none" w:sz="0" w:space="0" w:color="auto"/>
        </w:tblBorders>
        <w:tblLook w:val="04A0" w:firstRow="1" w:lastRow="0" w:firstColumn="1" w:lastColumn="0" w:noHBand="0" w:noVBand="1"/>
      </w:tblPr>
      <w:tblGrid>
        <w:gridCol w:w="1475"/>
        <w:gridCol w:w="1468"/>
        <w:gridCol w:w="1418"/>
        <w:gridCol w:w="1417"/>
        <w:gridCol w:w="1560"/>
        <w:gridCol w:w="1701"/>
      </w:tblGrid>
      <w:tr w:rsidR="00323705" w14:paraId="39ED3246" w14:textId="77777777" w:rsidTr="00323705">
        <w:tc>
          <w:tcPr>
            <w:tcW w:w="1475" w:type="dxa"/>
            <w:tcBorders>
              <w:top w:val="single" w:sz="18" w:space="0" w:color="auto"/>
              <w:left w:val="nil"/>
              <w:bottom w:val="single" w:sz="18" w:space="0" w:color="auto"/>
              <w:right w:val="single" w:sz="4" w:space="0" w:color="auto"/>
            </w:tcBorders>
          </w:tcPr>
          <w:p w14:paraId="10D4CBAA" w14:textId="77777777" w:rsidR="00323705" w:rsidRDefault="00323705">
            <w:pPr>
              <w:jc w:val="both"/>
            </w:pPr>
          </w:p>
        </w:tc>
        <w:tc>
          <w:tcPr>
            <w:tcW w:w="1468" w:type="dxa"/>
            <w:tcBorders>
              <w:top w:val="single" w:sz="18" w:space="0" w:color="auto"/>
              <w:left w:val="single" w:sz="4" w:space="0" w:color="auto"/>
              <w:bottom w:val="single" w:sz="18" w:space="0" w:color="auto"/>
              <w:right w:val="single" w:sz="4" w:space="0" w:color="auto"/>
            </w:tcBorders>
            <w:vAlign w:val="center"/>
            <w:hideMark/>
          </w:tcPr>
          <w:p w14:paraId="4E95F945" w14:textId="77777777" w:rsidR="00323705" w:rsidRDefault="00323705">
            <w:pPr>
              <w:jc w:val="center"/>
              <w:rPr>
                <w:b/>
              </w:rPr>
            </w:pPr>
            <w:r>
              <w:rPr>
                <w:b/>
              </w:rPr>
              <w:t>DIV</w:t>
            </w:r>
          </w:p>
        </w:tc>
        <w:tc>
          <w:tcPr>
            <w:tcW w:w="1418" w:type="dxa"/>
            <w:tcBorders>
              <w:top w:val="single" w:sz="18" w:space="0" w:color="auto"/>
              <w:left w:val="single" w:sz="4" w:space="0" w:color="auto"/>
              <w:bottom w:val="single" w:sz="18" w:space="0" w:color="auto"/>
              <w:right w:val="single" w:sz="4" w:space="0" w:color="auto"/>
            </w:tcBorders>
            <w:vAlign w:val="center"/>
            <w:hideMark/>
          </w:tcPr>
          <w:p w14:paraId="6A88B4F7" w14:textId="77777777" w:rsidR="00323705" w:rsidRDefault="00323705">
            <w:pPr>
              <w:jc w:val="center"/>
              <w:rPr>
                <w:b/>
              </w:rPr>
            </w:pPr>
            <w:r>
              <w:rPr>
                <w:b/>
              </w:rPr>
              <w:t>FCL</w:t>
            </w:r>
          </w:p>
        </w:tc>
        <w:tc>
          <w:tcPr>
            <w:tcW w:w="1417" w:type="dxa"/>
            <w:tcBorders>
              <w:top w:val="single" w:sz="18" w:space="0" w:color="auto"/>
              <w:left w:val="single" w:sz="4" w:space="0" w:color="auto"/>
              <w:bottom w:val="single" w:sz="18" w:space="0" w:color="auto"/>
              <w:right w:val="single" w:sz="4" w:space="0" w:color="auto"/>
            </w:tcBorders>
            <w:vAlign w:val="center"/>
            <w:hideMark/>
          </w:tcPr>
          <w:p w14:paraId="19934CF6" w14:textId="77777777" w:rsidR="00323705" w:rsidRDefault="00323705">
            <w:pPr>
              <w:jc w:val="center"/>
              <w:rPr>
                <w:b/>
              </w:rPr>
            </w:pPr>
            <w:r>
              <w:rPr>
                <w:b/>
              </w:rPr>
              <w:t>RENT</w:t>
            </w:r>
          </w:p>
        </w:tc>
        <w:tc>
          <w:tcPr>
            <w:tcW w:w="1560" w:type="dxa"/>
            <w:tcBorders>
              <w:top w:val="single" w:sz="18" w:space="0" w:color="auto"/>
              <w:left w:val="single" w:sz="4" w:space="0" w:color="auto"/>
              <w:bottom w:val="single" w:sz="18" w:space="0" w:color="auto"/>
              <w:right w:val="single" w:sz="4" w:space="0" w:color="auto"/>
            </w:tcBorders>
            <w:vAlign w:val="center"/>
            <w:hideMark/>
          </w:tcPr>
          <w:p w14:paraId="42FC3C0E" w14:textId="77777777" w:rsidR="00323705" w:rsidRDefault="00323705">
            <w:pPr>
              <w:jc w:val="center"/>
              <w:rPr>
                <w:b/>
              </w:rPr>
            </w:pPr>
            <w:r>
              <w:rPr>
                <w:b/>
              </w:rPr>
              <w:t>ROA</w:t>
            </w:r>
          </w:p>
        </w:tc>
        <w:tc>
          <w:tcPr>
            <w:tcW w:w="1701" w:type="dxa"/>
            <w:tcBorders>
              <w:top w:val="single" w:sz="18" w:space="0" w:color="auto"/>
              <w:left w:val="single" w:sz="4" w:space="0" w:color="auto"/>
              <w:bottom w:val="single" w:sz="18" w:space="0" w:color="auto"/>
              <w:right w:val="nil"/>
            </w:tcBorders>
            <w:vAlign w:val="center"/>
            <w:hideMark/>
          </w:tcPr>
          <w:p w14:paraId="6198B1E3" w14:textId="77777777" w:rsidR="00323705" w:rsidRDefault="00323705">
            <w:pPr>
              <w:jc w:val="center"/>
              <w:rPr>
                <w:b/>
              </w:rPr>
            </w:pPr>
            <w:r>
              <w:rPr>
                <w:b/>
              </w:rPr>
              <w:t>TAM</w:t>
            </w:r>
          </w:p>
        </w:tc>
      </w:tr>
      <w:tr w:rsidR="00323705" w14:paraId="34739EA7" w14:textId="77777777" w:rsidTr="00323705">
        <w:tc>
          <w:tcPr>
            <w:tcW w:w="1475" w:type="dxa"/>
            <w:tcBorders>
              <w:top w:val="single" w:sz="18" w:space="0" w:color="auto"/>
              <w:left w:val="nil"/>
              <w:bottom w:val="single" w:sz="4" w:space="0" w:color="auto"/>
              <w:right w:val="single" w:sz="4" w:space="0" w:color="auto"/>
            </w:tcBorders>
            <w:hideMark/>
          </w:tcPr>
          <w:p w14:paraId="5BAE74FB" w14:textId="77777777" w:rsidR="00323705" w:rsidRDefault="00323705">
            <w:pPr>
              <w:jc w:val="both"/>
              <w:rPr>
                <w:b/>
              </w:rPr>
            </w:pPr>
            <w:r>
              <w:rPr>
                <w:b/>
              </w:rPr>
              <w:t>DIV</w:t>
            </w:r>
          </w:p>
        </w:tc>
        <w:tc>
          <w:tcPr>
            <w:tcW w:w="1468" w:type="dxa"/>
            <w:tcBorders>
              <w:top w:val="single" w:sz="18" w:space="0" w:color="auto"/>
              <w:left w:val="single" w:sz="4" w:space="0" w:color="auto"/>
              <w:bottom w:val="single" w:sz="4" w:space="0" w:color="auto"/>
              <w:right w:val="single" w:sz="4" w:space="0" w:color="auto"/>
            </w:tcBorders>
            <w:hideMark/>
          </w:tcPr>
          <w:p w14:paraId="4ECA9AF2" w14:textId="77777777" w:rsidR="00323705" w:rsidRDefault="00323705">
            <w:pPr>
              <w:jc w:val="both"/>
            </w:pPr>
            <w:r>
              <w:t>1</w:t>
            </w:r>
          </w:p>
        </w:tc>
        <w:tc>
          <w:tcPr>
            <w:tcW w:w="1418" w:type="dxa"/>
            <w:tcBorders>
              <w:top w:val="single" w:sz="18" w:space="0" w:color="auto"/>
              <w:left w:val="single" w:sz="4" w:space="0" w:color="auto"/>
              <w:bottom w:val="single" w:sz="4" w:space="0" w:color="auto"/>
              <w:right w:val="single" w:sz="4" w:space="0" w:color="auto"/>
            </w:tcBorders>
          </w:tcPr>
          <w:p w14:paraId="4DA726FB" w14:textId="77777777" w:rsidR="00323705" w:rsidRDefault="00323705">
            <w:pPr>
              <w:jc w:val="both"/>
            </w:pPr>
          </w:p>
        </w:tc>
        <w:tc>
          <w:tcPr>
            <w:tcW w:w="1417" w:type="dxa"/>
            <w:tcBorders>
              <w:top w:val="single" w:sz="18" w:space="0" w:color="auto"/>
              <w:left w:val="single" w:sz="4" w:space="0" w:color="auto"/>
              <w:bottom w:val="single" w:sz="4" w:space="0" w:color="auto"/>
              <w:right w:val="single" w:sz="4" w:space="0" w:color="auto"/>
            </w:tcBorders>
          </w:tcPr>
          <w:p w14:paraId="208F48B2" w14:textId="77777777" w:rsidR="00323705" w:rsidRDefault="00323705">
            <w:pPr>
              <w:jc w:val="both"/>
            </w:pPr>
          </w:p>
        </w:tc>
        <w:tc>
          <w:tcPr>
            <w:tcW w:w="1560" w:type="dxa"/>
            <w:tcBorders>
              <w:top w:val="single" w:sz="18" w:space="0" w:color="auto"/>
              <w:left w:val="single" w:sz="4" w:space="0" w:color="auto"/>
              <w:bottom w:val="single" w:sz="4" w:space="0" w:color="auto"/>
              <w:right w:val="single" w:sz="4" w:space="0" w:color="auto"/>
            </w:tcBorders>
          </w:tcPr>
          <w:p w14:paraId="33E4A284" w14:textId="77777777" w:rsidR="00323705" w:rsidRDefault="00323705">
            <w:pPr>
              <w:jc w:val="both"/>
            </w:pPr>
          </w:p>
        </w:tc>
        <w:tc>
          <w:tcPr>
            <w:tcW w:w="1701" w:type="dxa"/>
            <w:tcBorders>
              <w:top w:val="single" w:sz="18" w:space="0" w:color="auto"/>
              <w:left w:val="single" w:sz="4" w:space="0" w:color="auto"/>
              <w:bottom w:val="single" w:sz="4" w:space="0" w:color="auto"/>
              <w:right w:val="nil"/>
            </w:tcBorders>
          </w:tcPr>
          <w:p w14:paraId="653B713A" w14:textId="77777777" w:rsidR="00323705" w:rsidRDefault="00323705">
            <w:pPr>
              <w:jc w:val="both"/>
            </w:pPr>
          </w:p>
        </w:tc>
      </w:tr>
      <w:tr w:rsidR="00323705" w14:paraId="656B9399" w14:textId="77777777" w:rsidTr="00323705">
        <w:tc>
          <w:tcPr>
            <w:tcW w:w="1475" w:type="dxa"/>
            <w:tcBorders>
              <w:top w:val="single" w:sz="4" w:space="0" w:color="auto"/>
              <w:left w:val="nil"/>
              <w:bottom w:val="single" w:sz="4" w:space="0" w:color="auto"/>
              <w:right w:val="single" w:sz="4" w:space="0" w:color="auto"/>
            </w:tcBorders>
            <w:hideMark/>
          </w:tcPr>
          <w:p w14:paraId="529A4BAD" w14:textId="77777777" w:rsidR="00323705" w:rsidRDefault="00323705">
            <w:pPr>
              <w:jc w:val="both"/>
              <w:rPr>
                <w:b/>
              </w:rPr>
            </w:pPr>
            <w:r>
              <w:rPr>
                <w:b/>
              </w:rPr>
              <w:t>FCL</w:t>
            </w:r>
          </w:p>
          <w:p w14:paraId="045611FB" w14:textId="77777777" w:rsidR="00323705" w:rsidRDefault="00323705">
            <w:pPr>
              <w:jc w:val="both"/>
              <w:rPr>
                <w:b/>
              </w:rPr>
            </w:pPr>
            <w:r>
              <w:rPr>
                <w:b/>
              </w:rPr>
              <w:t>Sig.</w:t>
            </w:r>
          </w:p>
        </w:tc>
        <w:tc>
          <w:tcPr>
            <w:tcW w:w="1468" w:type="dxa"/>
            <w:tcBorders>
              <w:top w:val="single" w:sz="4" w:space="0" w:color="auto"/>
              <w:left w:val="single" w:sz="4" w:space="0" w:color="auto"/>
              <w:bottom w:val="single" w:sz="4" w:space="0" w:color="auto"/>
              <w:right w:val="single" w:sz="4" w:space="0" w:color="auto"/>
            </w:tcBorders>
            <w:hideMark/>
          </w:tcPr>
          <w:p w14:paraId="74FC6D66" w14:textId="77777777" w:rsidR="00323705" w:rsidRDefault="00323705">
            <w:pPr>
              <w:jc w:val="both"/>
              <w:rPr>
                <w:b/>
              </w:rPr>
            </w:pPr>
            <w:r>
              <w:rPr>
                <w:b/>
              </w:rPr>
              <w:t>,052*</w:t>
            </w:r>
          </w:p>
          <w:p w14:paraId="12FDCA22" w14:textId="77777777" w:rsidR="00323705" w:rsidRDefault="00323705">
            <w:pPr>
              <w:jc w:val="both"/>
            </w:pPr>
            <w:r>
              <w:rPr>
                <w:b/>
              </w:rPr>
              <w:t>,037</w:t>
            </w:r>
          </w:p>
        </w:tc>
        <w:tc>
          <w:tcPr>
            <w:tcW w:w="1418" w:type="dxa"/>
            <w:tcBorders>
              <w:top w:val="single" w:sz="4" w:space="0" w:color="auto"/>
              <w:left w:val="single" w:sz="4" w:space="0" w:color="auto"/>
              <w:bottom w:val="single" w:sz="4" w:space="0" w:color="auto"/>
              <w:right w:val="single" w:sz="4" w:space="0" w:color="auto"/>
            </w:tcBorders>
            <w:hideMark/>
          </w:tcPr>
          <w:p w14:paraId="2D40395E" w14:textId="77777777" w:rsidR="00323705" w:rsidRDefault="00323705">
            <w:pPr>
              <w:jc w:val="both"/>
            </w:pPr>
            <w:r>
              <w:t>1</w:t>
            </w:r>
          </w:p>
        </w:tc>
        <w:tc>
          <w:tcPr>
            <w:tcW w:w="1417" w:type="dxa"/>
            <w:tcBorders>
              <w:top w:val="single" w:sz="4" w:space="0" w:color="auto"/>
              <w:left w:val="single" w:sz="4" w:space="0" w:color="auto"/>
              <w:bottom w:val="single" w:sz="4" w:space="0" w:color="auto"/>
              <w:right w:val="single" w:sz="4" w:space="0" w:color="auto"/>
            </w:tcBorders>
          </w:tcPr>
          <w:p w14:paraId="13E59BC6" w14:textId="77777777" w:rsidR="00323705" w:rsidRDefault="00323705">
            <w:pPr>
              <w:jc w:val="both"/>
            </w:pPr>
          </w:p>
        </w:tc>
        <w:tc>
          <w:tcPr>
            <w:tcW w:w="1560" w:type="dxa"/>
            <w:tcBorders>
              <w:top w:val="single" w:sz="4" w:space="0" w:color="auto"/>
              <w:left w:val="single" w:sz="4" w:space="0" w:color="auto"/>
              <w:bottom w:val="single" w:sz="4" w:space="0" w:color="auto"/>
              <w:right w:val="single" w:sz="4" w:space="0" w:color="auto"/>
            </w:tcBorders>
          </w:tcPr>
          <w:p w14:paraId="6A95BF7D" w14:textId="77777777" w:rsidR="00323705" w:rsidRDefault="00323705">
            <w:pPr>
              <w:jc w:val="both"/>
            </w:pPr>
          </w:p>
        </w:tc>
        <w:tc>
          <w:tcPr>
            <w:tcW w:w="1701" w:type="dxa"/>
            <w:tcBorders>
              <w:top w:val="single" w:sz="4" w:space="0" w:color="auto"/>
              <w:left w:val="single" w:sz="4" w:space="0" w:color="auto"/>
              <w:bottom w:val="single" w:sz="4" w:space="0" w:color="auto"/>
              <w:right w:val="nil"/>
            </w:tcBorders>
          </w:tcPr>
          <w:p w14:paraId="0DDFFFF8" w14:textId="77777777" w:rsidR="00323705" w:rsidRDefault="00323705">
            <w:pPr>
              <w:jc w:val="both"/>
            </w:pPr>
          </w:p>
        </w:tc>
      </w:tr>
      <w:tr w:rsidR="00323705" w14:paraId="65779933" w14:textId="77777777" w:rsidTr="00323705">
        <w:tc>
          <w:tcPr>
            <w:tcW w:w="1475" w:type="dxa"/>
            <w:tcBorders>
              <w:top w:val="single" w:sz="4" w:space="0" w:color="auto"/>
              <w:left w:val="nil"/>
              <w:bottom w:val="single" w:sz="4" w:space="0" w:color="auto"/>
              <w:right w:val="single" w:sz="4" w:space="0" w:color="auto"/>
            </w:tcBorders>
            <w:hideMark/>
          </w:tcPr>
          <w:p w14:paraId="6B0A51DC" w14:textId="77777777" w:rsidR="00323705" w:rsidRDefault="00323705">
            <w:pPr>
              <w:jc w:val="both"/>
              <w:rPr>
                <w:b/>
              </w:rPr>
            </w:pPr>
            <w:r>
              <w:rPr>
                <w:b/>
              </w:rPr>
              <w:t>RENT</w:t>
            </w:r>
          </w:p>
          <w:p w14:paraId="05F359BD" w14:textId="77777777" w:rsidR="00323705" w:rsidRDefault="00323705">
            <w:pPr>
              <w:jc w:val="both"/>
              <w:rPr>
                <w:b/>
              </w:rPr>
            </w:pPr>
            <w:r>
              <w:rPr>
                <w:b/>
              </w:rPr>
              <w:t>Sig.</w:t>
            </w:r>
          </w:p>
        </w:tc>
        <w:tc>
          <w:tcPr>
            <w:tcW w:w="1468" w:type="dxa"/>
            <w:tcBorders>
              <w:top w:val="single" w:sz="4" w:space="0" w:color="auto"/>
              <w:left w:val="single" w:sz="4" w:space="0" w:color="auto"/>
              <w:bottom w:val="single" w:sz="4" w:space="0" w:color="auto"/>
              <w:right w:val="single" w:sz="4" w:space="0" w:color="auto"/>
            </w:tcBorders>
            <w:hideMark/>
          </w:tcPr>
          <w:p w14:paraId="63C66207" w14:textId="77777777" w:rsidR="00323705" w:rsidRDefault="00323705">
            <w:pPr>
              <w:jc w:val="both"/>
            </w:pPr>
            <w:r>
              <w:t>-,022</w:t>
            </w:r>
          </w:p>
          <w:p w14:paraId="4CAB937D" w14:textId="77777777" w:rsidR="00323705" w:rsidRDefault="00323705">
            <w:pPr>
              <w:jc w:val="both"/>
            </w:pPr>
            <w:r>
              <w:t>,367</w:t>
            </w:r>
          </w:p>
        </w:tc>
        <w:tc>
          <w:tcPr>
            <w:tcW w:w="1418" w:type="dxa"/>
            <w:tcBorders>
              <w:top w:val="single" w:sz="4" w:space="0" w:color="auto"/>
              <w:left w:val="single" w:sz="4" w:space="0" w:color="auto"/>
              <w:bottom w:val="single" w:sz="4" w:space="0" w:color="auto"/>
              <w:right w:val="single" w:sz="4" w:space="0" w:color="auto"/>
            </w:tcBorders>
            <w:hideMark/>
          </w:tcPr>
          <w:p w14:paraId="6D46004B" w14:textId="77777777" w:rsidR="00323705" w:rsidRDefault="00323705">
            <w:pPr>
              <w:jc w:val="both"/>
            </w:pPr>
            <w:r>
              <w:t>-,004</w:t>
            </w:r>
          </w:p>
          <w:p w14:paraId="31862DF0" w14:textId="77777777" w:rsidR="00323705" w:rsidRDefault="00323705">
            <w:pPr>
              <w:jc w:val="both"/>
            </w:pPr>
            <w:r>
              <w:t>,867</w:t>
            </w:r>
          </w:p>
        </w:tc>
        <w:tc>
          <w:tcPr>
            <w:tcW w:w="1417" w:type="dxa"/>
            <w:tcBorders>
              <w:top w:val="single" w:sz="4" w:space="0" w:color="auto"/>
              <w:left w:val="single" w:sz="4" w:space="0" w:color="auto"/>
              <w:bottom w:val="single" w:sz="4" w:space="0" w:color="auto"/>
              <w:right w:val="single" w:sz="4" w:space="0" w:color="auto"/>
            </w:tcBorders>
            <w:hideMark/>
          </w:tcPr>
          <w:p w14:paraId="039D3139" w14:textId="77777777" w:rsidR="00323705" w:rsidRDefault="00323705">
            <w:pPr>
              <w:jc w:val="both"/>
            </w:pPr>
            <w:r>
              <w:t>1</w:t>
            </w:r>
          </w:p>
        </w:tc>
        <w:tc>
          <w:tcPr>
            <w:tcW w:w="1560" w:type="dxa"/>
            <w:tcBorders>
              <w:top w:val="single" w:sz="4" w:space="0" w:color="auto"/>
              <w:left w:val="single" w:sz="4" w:space="0" w:color="auto"/>
              <w:bottom w:val="single" w:sz="4" w:space="0" w:color="auto"/>
              <w:right w:val="single" w:sz="4" w:space="0" w:color="auto"/>
            </w:tcBorders>
          </w:tcPr>
          <w:p w14:paraId="407613CD" w14:textId="77777777" w:rsidR="00323705" w:rsidRDefault="00323705">
            <w:pPr>
              <w:jc w:val="both"/>
            </w:pPr>
          </w:p>
        </w:tc>
        <w:tc>
          <w:tcPr>
            <w:tcW w:w="1701" w:type="dxa"/>
            <w:tcBorders>
              <w:top w:val="single" w:sz="4" w:space="0" w:color="auto"/>
              <w:left w:val="single" w:sz="4" w:space="0" w:color="auto"/>
              <w:bottom w:val="single" w:sz="4" w:space="0" w:color="auto"/>
              <w:right w:val="nil"/>
            </w:tcBorders>
          </w:tcPr>
          <w:p w14:paraId="0CE26CE1" w14:textId="77777777" w:rsidR="00323705" w:rsidRDefault="00323705">
            <w:pPr>
              <w:jc w:val="both"/>
            </w:pPr>
          </w:p>
        </w:tc>
      </w:tr>
      <w:tr w:rsidR="00323705" w14:paraId="3186BFF4" w14:textId="77777777" w:rsidTr="00323705">
        <w:tc>
          <w:tcPr>
            <w:tcW w:w="1475" w:type="dxa"/>
            <w:tcBorders>
              <w:top w:val="single" w:sz="4" w:space="0" w:color="auto"/>
              <w:left w:val="nil"/>
              <w:bottom w:val="single" w:sz="4" w:space="0" w:color="auto"/>
              <w:right w:val="single" w:sz="4" w:space="0" w:color="auto"/>
            </w:tcBorders>
            <w:hideMark/>
          </w:tcPr>
          <w:p w14:paraId="383D32D6" w14:textId="77777777" w:rsidR="00323705" w:rsidRDefault="00323705">
            <w:pPr>
              <w:jc w:val="both"/>
              <w:rPr>
                <w:b/>
              </w:rPr>
            </w:pPr>
            <w:r>
              <w:rPr>
                <w:b/>
              </w:rPr>
              <w:t>ROA</w:t>
            </w:r>
          </w:p>
          <w:p w14:paraId="1ED41881" w14:textId="77777777" w:rsidR="00323705" w:rsidRDefault="00323705">
            <w:pPr>
              <w:jc w:val="both"/>
              <w:rPr>
                <w:b/>
              </w:rPr>
            </w:pPr>
            <w:r>
              <w:rPr>
                <w:b/>
              </w:rPr>
              <w:t>Sig.</w:t>
            </w:r>
          </w:p>
        </w:tc>
        <w:tc>
          <w:tcPr>
            <w:tcW w:w="1468" w:type="dxa"/>
            <w:tcBorders>
              <w:top w:val="single" w:sz="4" w:space="0" w:color="auto"/>
              <w:left w:val="single" w:sz="4" w:space="0" w:color="auto"/>
              <w:bottom w:val="single" w:sz="4" w:space="0" w:color="auto"/>
              <w:right w:val="single" w:sz="4" w:space="0" w:color="auto"/>
            </w:tcBorders>
            <w:hideMark/>
          </w:tcPr>
          <w:p w14:paraId="49BCE1C2" w14:textId="77777777" w:rsidR="00323705" w:rsidRDefault="00323705">
            <w:pPr>
              <w:jc w:val="both"/>
              <w:rPr>
                <w:b/>
              </w:rPr>
            </w:pPr>
            <w:r>
              <w:rPr>
                <w:b/>
              </w:rPr>
              <w:t>,290**</w:t>
            </w:r>
          </w:p>
          <w:p w14:paraId="6E2DA198" w14:textId="77777777" w:rsidR="00323705" w:rsidRDefault="00323705">
            <w:pPr>
              <w:jc w:val="both"/>
              <w:rPr>
                <w:b/>
              </w:rPr>
            </w:pPr>
            <w:r>
              <w:rPr>
                <w:b/>
              </w:rPr>
              <w:t>,000</w:t>
            </w:r>
          </w:p>
        </w:tc>
        <w:tc>
          <w:tcPr>
            <w:tcW w:w="1418" w:type="dxa"/>
            <w:tcBorders>
              <w:top w:val="single" w:sz="4" w:space="0" w:color="auto"/>
              <w:left w:val="single" w:sz="4" w:space="0" w:color="auto"/>
              <w:bottom w:val="single" w:sz="4" w:space="0" w:color="auto"/>
              <w:right w:val="single" w:sz="4" w:space="0" w:color="auto"/>
            </w:tcBorders>
            <w:hideMark/>
          </w:tcPr>
          <w:p w14:paraId="679D476B" w14:textId="77777777" w:rsidR="00323705" w:rsidRDefault="00323705">
            <w:pPr>
              <w:jc w:val="both"/>
            </w:pPr>
            <w:r>
              <w:t>,035</w:t>
            </w:r>
          </w:p>
          <w:p w14:paraId="17C9AFD0" w14:textId="77777777" w:rsidR="00323705" w:rsidRDefault="00323705">
            <w:pPr>
              <w:jc w:val="both"/>
            </w:pPr>
            <w:r>
              <w:t>,163</w:t>
            </w:r>
          </w:p>
        </w:tc>
        <w:tc>
          <w:tcPr>
            <w:tcW w:w="1417" w:type="dxa"/>
            <w:tcBorders>
              <w:top w:val="single" w:sz="4" w:space="0" w:color="auto"/>
              <w:left w:val="single" w:sz="4" w:space="0" w:color="auto"/>
              <w:bottom w:val="single" w:sz="4" w:space="0" w:color="auto"/>
              <w:right w:val="single" w:sz="4" w:space="0" w:color="auto"/>
            </w:tcBorders>
            <w:hideMark/>
          </w:tcPr>
          <w:p w14:paraId="2F6A6D2B" w14:textId="77777777" w:rsidR="00323705" w:rsidRDefault="00323705">
            <w:pPr>
              <w:jc w:val="both"/>
              <w:rPr>
                <w:b/>
              </w:rPr>
            </w:pPr>
            <w:r>
              <w:t>,</w:t>
            </w:r>
            <w:r>
              <w:rPr>
                <w:b/>
              </w:rPr>
              <w:t>179**</w:t>
            </w:r>
          </w:p>
          <w:p w14:paraId="20EAE3B7" w14:textId="77777777" w:rsidR="00323705" w:rsidRDefault="00323705">
            <w:pPr>
              <w:jc w:val="both"/>
            </w:pPr>
            <w:r>
              <w:rPr>
                <w:b/>
              </w:rPr>
              <w:t>,000</w:t>
            </w:r>
          </w:p>
        </w:tc>
        <w:tc>
          <w:tcPr>
            <w:tcW w:w="1560" w:type="dxa"/>
            <w:tcBorders>
              <w:top w:val="single" w:sz="4" w:space="0" w:color="auto"/>
              <w:left w:val="single" w:sz="4" w:space="0" w:color="auto"/>
              <w:bottom w:val="single" w:sz="4" w:space="0" w:color="auto"/>
              <w:right w:val="single" w:sz="4" w:space="0" w:color="auto"/>
            </w:tcBorders>
            <w:hideMark/>
          </w:tcPr>
          <w:p w14:paraId="6E2E95D4" w14:textId="77777777" w:rsidR="00323705" w:rsidRDefault="00323705">
            <w:pPr>
              <w:jc w:val="both"/>
            </w:pPr>
            <w:r>
              <w:t>1</w:t>
            </w:r>
          </w:p>
        </w:tc>
        <w:tc>
          <w:tcPr>
            <w:tcW w:w="1701" w:type="dxa"/>
            <w:tcBorders>
              <w:top w:val="single" w:sz="4" w:space="0" w:color="auto"/>
              <w:left w:val="single" w:sz="4" w:space="0" w:color="auto"/>
              <w:bottom w:val="single" w:sz="4" w:space="0" w:color="auto"/>
              <w:right w:val="nil"/>
            </w:tcBorders>
          </w:tcPr>
          <w:p w14:paraId="0C36E89E" w14:textId="77777777" w:rsidR="00323705" w:rsidRDefault="00323705">
            <w:pPr>
              <w:jc w:val="both"/>
            </w:pPr>
          </w:p>
        </w:tc>
      </w:tr>
      <w:tr w:rsidR="00323705" w14:paraId="5A2A32A9" w14:textId="77777777" w:rsidTr="00323705">
        <w:trPr>
          <w:trHeight w:val="503"/>
        </w:trPr>
        <w:tc>
          <w:tcPr>
            <w:tcW w:w="1475" w:type="dxa"/>
            <w:tcBorders>
              <w:top w:val="single" w:sz="4" w:space="0" w:color="auto"/>
              <w:left w:val="nil"/>
              <w:bottom w:val="single" w:sz="18" w:space="0" w:color="auto"/>
              <w:right w:val="single" w:sz="4" w:space="0" w:color="auto"/>
            </w:tcBorders>
            <w:hideMark/>
          </w:tcPr>
          <w:p w14:paraId="197EC338" w14:textId="77777777" w:rsidR="00323705" w:rsidRDefault="00323705">
            <w:pPr>
              <w:jc w:val="both"/>
              <w:rPr>
                <w:b/>
              </w:rPr>
            </w:pPr>
            <w:r>
              <w:rPr>
                <w:b/>
              </w:rPr>
              <w:t>TAM</w:t>
            </w:r>
          </w:p>
          <w:p w14:paraId="2F13EB13" w14:textId="77777777" w:rsidR="00323705" w:rsidRDefault="00323705">
            <w:pPr>
              <w:jc w:val="both"/>
              <w:rPr>
                <w:b/>
              </w:rPr>
            </w:pPr>
            <w:r>
              <w:rPr>
                <w:b/>
              </w:rPr>
              <w:t>Sig.</w:t>
            </w:r>
          </w:p>
        </w:tc>
        <w:tc>
          <w:tcPr>
            <w:tcW w:w="1468" w:type="dxa"/>
            <w:tcBorders>
              <w:top w:val="single" w:sz="4" w:space="0" w:color="auto"/>
              <w:left w:val="single" w:sz="4" w:space="0" w:color="auto"/>
              <w:bottom w:val="single" w:sz="18" w:space="0" w:color="auto"/>
              <w:right w:val="single" w:sz="4" w:space="0" w:color="auto"/>
            </w:tcBorders>
            <w:hideMark/>
          </w:tcPr>
          <w:p w14:paraId="2A2E066E" w14:textId="77777777" w:rsidR="00323705" w:rsidRDefault="00323705">
            <w:pPr>
              <w:jc w:val="both"/>
              <w:rPr>
                <w:b/>
              </w:rPr>
            </w:pPr>
            <w:r>
              <w:t>,</w:t>
            </w:r>
            <w:r>
              <w:rPr>
                <w:b/>
              </w:rPr>
              <w:t>427**</w:t>
            </w:r>
          </w:p>
          <w:p w14:paraId="42B96B39" w14:textId="77777777" w:rsidR="00323705" w:rsidRDefault="00323705">
            <w:pPr>
              <w:jc w:val="both"/>
              <w:rPr>
                <w:b/>
              </w:rPr>
            </w:pPr>
            <w:r>
              <w:rPr>
                <w:b/>
              </w:rPr>
              <w:t>,000</w:t>
            </w:r>
          </w:p>
        </w:tc>
        <w:tc>
          <w:tcPr>
            <w:tcW w:w="1418" w:type="dxa"/>
            <w:tcBorders>
              <w:top w:val="single" w:sz="4" w:space="0" w:color="auto"/>
              <w:left w:val="single" w:sz="4" w:space="0" w:color="auto"/>
              <w:bottom w:val="single" w:sz="18" w:space="0" w:color="auto"/>
              <w:right w:val="single" w:sz="4" w:space="0" w:color="auto"/>
            </w:tcBorders>
            <w:hideMark/>
          </w:tcPr>
          <w:p w14:paraId="5E534B90" w14:textId="77777777" w:rsidR="00323705" w:rsidRDefault="00323705">
            <w:pPr>
              <w:jc w:val="both"/>
              <w:rPr>
                <w:b/>
              </w:rPr>
            </w:pPr>
            <w:r>
              <w:rPr>
                <w:b/>
              </w:rPr>
              <w:t>,133**</w:t>
            </w:r>
          </w:p>
          <w:p w14:paraId="3C86B5B2" w14:textId="77777777" w:rsidR="00323705" w:rsidRDefault="00323705">
            <w:pPr>
              <w:jc w:val="both"/>
              <w:rPr>
                <w:b/>
              </w:rPr>
            </w:pPr>
            <w:r>
              <w:rPr>
                <w:b/>
              </w:rPr>
              <w:t>,000</w:t>
            </w:r>
          </w:p>
        </w:tc>
        <w:tc>
          <w:tcPr>
            <w:tcW w:w="1417" w:type="dxa"/>
            <w:tcBorders>
              <w:top w:val="single" w:sz="4" w:space="0" w:color="auto"/>
              <w:left w:val="single" w:sz="4" w:space="0" w:color="auto"/>
              <w:bottom w:val="single" w:sz="18" w:space="0" w:color="auto"/>
              <w:right w:val="single" w:sz="4" w:space="0" w:color="auto"/>
            </w:tcBorders>
            <w:hideMark/>
          </w:tcPr>
          <w:p w14:paraId="16F53419" w14:textId="77777777" w:rsidR="00323705" w:rsidRDefault="00323705">
            <w:pPr>
              <w:jc w:val="both"/>
              <w:rPr>
                <w:b/>
              </w:rPr>
            </w:pPr>
            <w:r>
              <w:rPr>
                <w:b/>
              </w:rPr>
              <w:t>-,080**</w:t>
            </w:r>
          </w:p>
          <w:p w14:paraId="57DC7308" w14:textId="77777777" w:rsidR="00323705" w:rsidRDefault="00323705">
            <w:pPr>
              <w:jc w:val="both"/>
              <w:rPr>
                <w:b/>
              </w:rPr>
            </w:pPr>
            <w:r>
              <w:rPr>
                <w:b/>
              </w:rPr>
              <w:t>,001</w:t>
            </w:r>
          </w:p>
        </w:tc>
        <w:tc>
          <w:tcPr>
            <w:tcW w:w="1560" w:type="dxa"/>
            <w:tcBorders>
              <w:top w:val="single" w:sz="4" w:space="0" w:color="auto"/>
              <w:left w:val="single" w:sz="4" w:space="0" w:color="auto"/>
              <w:bottom w:val="single" w:sz="18" w:space="0" w:color="auto"/>
              <w:right w:val="single" w:sz="4" w:space="0" w:color="auto"/>
            </w:tcBorders>
            <w:hideMark/>
          </w:tcPr>
          <w:p w14:paraId="3F35CC7A" w14:textId="77777777" w:rsidR="00323705" w:rsidRDefault="00323705">
            <w:pPr>
              <w:jc w:val="both"/>
              <w:rPr>
                <w:b/>
              </w:rPr>
            </w:pPr>
            <w:r>
              <w:rPr>
                <w:b/>
              </w:rPr>
              <w:t>-,161**</w:t>
            </w:r>
          </w:p>
          <w:p w14:paraId="0DF2449B" w14:textId="77777777" w:rsidR="00323705" w:rsidRDefault="00323705">
            <w:pPr>
              <w:jc w:val="both"/>
              <w:rPr>
                <w:b/>
              </w:rPr>
            </w:pPr>
            <w:r>
              <w:rPr>
                <w:b/>
              </w:rPr>
              <w:t>,000</w:t>
            </w:r>
          </w:p>
        </w:tc>
        <w:tc>
          <w:tcPr>
            <w:tcW w:w="1701" w:type="dxa"/>
            <w:tcBorders>
              <w:top w:val="single" w:sz="4" w:space="0" w:color="auto"/>
              <w:left w:val="single" w:sz="4" w:space="0" w:color="auto"/>
              <w:bottom w:val="single" w:sz="18" w:space="0" w:color="auto"/>
              <w:right w:val="nil"/>
            </w:tcBorders>
            <w:hideMark/>
          </w:tcPr>
          <w:p w14:paraId="223EB172" w14:textId="77777777" w:rsidR="00323705" w:rsidRDefault="00323705">
            <w:pPr>
              <w:jc w:val="both"/>
            </w:pPr>
            <w:r>
              <w:t>1</w:t>
            </w:r>
          </w:p>
        </w:tc>
      </w:tr>
    </w:tbl>
    <w:p w14:paraId="1FE66BD7" w14:textId="77777777" w:rsidR="00323705" w:rsidRDefault="00323705" w:rsidP="00323705">
      <w:pPr>
        <w:jc w:val="both"/>
        <w:rPr>
          <w:lang w:eastAsia="en-US"/>
        </w:rPr>
      </w:pPr>
      <w:r>
        <w:t>Fonte: Dados da pesquisa (2018)</w:t>
      </w:r>
    </w:p>
    <w:p w14:paraId="65C3E6E7" w14:textId="77777777" w:rsidR="00323705" w:rsidRDefault="00323705" w:rsidP="00323705">
      <w:pPr>
        <w:jc w:val="both"/>
      </w:pPr>
      <w:r>
        <w:t>Nota: Níveis de significância: **1%, *5%</w:t>
      </w:r>
    </w:p>
    <w:p w14:paraId="277E16EB" w14:textId="77777777" w:rsidR="00323705" w:rsidRDefault="00323705" w:rsidP="00323705">
      <w:pPr>
        <w:pStyle w:val="Corpodetexto1"/>
        <w:shd w:val="clear" w:color="auto" w:fill="auto"/>
        <w:spacing w:after="0" w:line="240" w:lineRule="auto"/>
        <w:ind w:left="284" w:right="40" w:firstLine="0"/>
        <w:jc w:val="both"/>
        <w:rPr>
          <w:sz w:val="24"/>
          <w:szCs w:val="24"/>
        </w:rPr>
      </w:pPr>
    </w:p>
    <w:p w14:paraId="2B41F789" w14:textId="77777777" w:rsidR="00323705" w:rsidRDefault="00323705" w:rsidP="00323705">
      <w:pPr>
        <w:ind w:firstLine="709"/>
        <w:jc w:val="both"/>
        <w:rPr>
          <w:sz w:val="24"/>
          <w:szCs w:val="24"/>
        </w:rPr>
      </w:pPr>
      <w:r>
        <w:rPr>
          <w:sz w:val="24"/>
          <w:szCs w:val="24"/>
        </w:rPr>
        <w:t xml:space="preserve">Para testar as hipóteses da pesquisa foi aplicada a regressão linear múltipla. </w:t>
      </w:r>
      <w:bookmarkStart w:id="3" w:name="_Hlk503949267"/>
      <w:r>
        <w:rPr>
          <w:sz w:val="24"/>
          <w:szCs w:val="24"/>
        </w:rPr>
        <w:t xml:space="preserve">O teste de de multicolinearidade (VIF) foi realizado para medir o aumento da variância de cada coeficiente da regressão em função da multicolineridade, em que os valores acima de 5 indicam problemas de multicolinearidade (Fávero et al., 2009). </w:t>
      </w:r>
      <w:bookmarkEnd w:id="3"/>
      <w:r>
        <w:rPr>
          <w:sz w:val="24"/>
          <w:szCs w:val="24"/>
        </w:rPr>
        <w:t xml:space="preserve">Verificou-se que as variáveis </w:t>
      </w:r>
      <w:r>
        <w:rPr>
          <w:sz w:val="24"/>
          <w:szCs w:val="24"/>
        </w:rPr>
        <w:lastRenderedPageBreak/>
        <w:t>não apresentaram problemas de multicolinearidade, t</w:t>
      </w:r>
      <w:bookmarkStart w:id="4" w:name="_Hlk503949318"/>
      <w:r>
        <w:rPr>
          <w:sz w:val="24"/>
          <w:szCs w:val="24"/>
        </w:rPr>
        <w:t>endo em vista que os resultados apresentaram-se &lt;1,06 para cada variável.</w:t>
      </w:r>
      <w:bookmarkEnd w:id="4"/>
      <w:r>
        <w:rPr>
          <w:sz w:val="24"/>
          <w:szCs w:val="24"/>
        </w:rPr>
        <w:t xml:space="preserve"> Na sequência, demonstra-se os resultados do modelo de Regressão Linear Múltipla, conforme a tabela 3.</w:t>
      </w:r>
    </w:p>
    <w:p w14:paraId="1CC20529" w14:textId="77777777" w:rsidR="00323705" w:rsidRDefault="00323705" w:rsidP="00323705">
      <w:pPr>
        <w:ind w:firstLine="709"/>
        <w:jc w:val="both"/>
        <w:rPr>
          <w:sz w:val="24"/>
          <w:szCs w:val="24"/>
        </w:rPr>
      </w:pPr>
    </w:p>
    <w:p w14:paraId="5A4CA6D2" w14:textId="77777777" w:rsidR="00323705" w:rsidRDefault="00323705" w:rsidP="00323705">
      <w:pPr>
        <w:jc w:val="both"/>
        <w:rPr>
          <w:b/>
        </w:rPr>
      </w:pPr>
      <w:r>
        <w:rPr>
          <w:b/>
        </w:rPr>
        <w:t>Tabela 3: Regressão Linear Múltipla</w:t>
      </w:r>
    </w:p>
    <w:tbl>
      <w:tblPr>
        <w:tblStyle w:val="Tabelacomgrade"/>
        <w:tblW w:w="0" w:type="auto"/>
        <w:tblInd w:w="0" w:type="dxa"/>
        <w:tblBorders>
          <w:top w:val="single" w:sz="18" w:space="0" w:color="auto"/>
          <w:left w:val="none" w:sz="0" w:space="0" w:color="auto"/>
          <w:bottom w:val="single" w:sz="18" w:space="0" w:color="auto"/>
          <w:right w:val="none" w:sz="0" w:space="0" w:color="auto"/>
        </w:tblBorders>
        <w:tblLook w:val="04A0" w:firstRow="1" w:lastRow="0" w:firstColumn="1" w:lastColumn="0" w:noHBand="0" w:noVBand="1"/>
      </w:tblPr>
      <w:tblGrid>
        <w:gridCol w:w="2913"/>
        <w:gridCol w:w="3078"/>
        <w:gridCol w:w="3080"/>
      </w:tblGrid>
      <w:tr w:rsidR="00323705" w14:paraId="131333B7" w14:textId="77777777" w:rsidTr="00323705">
        <w:trPr>
          <w:trHeight w:val="69"/>
        </w:trPr>
        <w:tc>
          <w:tcPr>
            <w:tcW w:w="2913" w:type="dxa"/>
            <w:tcBorders>
              <w:top w:val="single" w:sz="18" w:space="0" w:color="auto"/>
              <w:left w:val="nil"/>
              <w:bottom w:val="single" w:sz="18" w:space="0" w:color="auto"/>
              <w:right w:val="single" w:sz="4" w:space="0" w:color="auto"/>
            </w:tcBorders>
            <w:vAlign w:val="center"/>
            <w:hideMark/>
          </w:tcPr>
          <w:p w14:paraId="49A8B795" w14:textId="77777777" w:rsidR="00323705" w:rsidRDefault="00323705">
            <w:pPr>
              <w:jc w:val="center"/>
              <w:rPr>
                <w:b/>
              </w:rPr>
            </w:pPr>
            <w:r>
              <w:rPr>
                <w:b/>
              </w:rPr>
              <w:t>Variáveis</w:t>
            </w:r>
          </w:p>
        </w:tc>
        <w:tc>
          <w:tcPr>
            <w:tcW w:w="3078" w:type="dxa"/>
            <w:tcBorders>
              <w:top w:val="single" w:sz="18" w:space="0" w:color="auto"/>
              <w:left w:val="single" w:sz="4" w:space="0" w:color="auto"/>
              <w:bottom w:val="single" w:sz="18" w:space="0" w:color="auto"/>
              <w:right w:val="single" w:sz="4" w:space="0" w:color="auto"/>
            </w:tcBorders>
            <w:vAlign w:val="center"/>
            <w:hideMark/>
          </w:tcPr>
          <w:p w14:paraId="68979B2E" w14:textId="77777777" w:rsidR="00323705" w:rsidRDefault="00323705">
            <w:pPr>
              <w:jc w:val="center"/>
              <w:rPr>
                <w:b/>
              </w:rPr>
            </w:pPr>
            <m:oMathPara>
              <m:oMath>
                <m:r>
                  <m:rPr>
                    <m:sty m:val="b"/>
                  </m:rPr>
                  <w:rPr>
                    <w:rFonts w:ascii="Cambria Math" w:eastAsia="Calibri" w:hAnsi="Cambria Math"/>
                  </w:rPr>
                  <m:t>β</m:t>
                </m:r>
              </m:oMath>
            </m:oMathPara>
          </w:p>
        </w:tc>
        <w:tc>
          <w:tcPr>
            <w:tcW w:w="3080" w:type="dxa"/>
            <w:tcBorders>
              <w:top w:val="single" w:sz="18" w:space="0" w:color="auto"/>
              <w:left w:val="single" w:sz="4" w:space="0" w:color="auto"/>
              <w:bottom w:val="single" w:sz="18" w:space="0" w:color="auto"/>
              <w:right w:val="nil"/>
            </w:tcBorders>
            <w:vAlign w:val="center"/>
            <w:hideMark/>
          </w:tcPr>
          <w:p w14:paraId="1B291B90" w14:textId="77777777" w:rsidR="00323705" w:rsidRDefault="00323705">
            <w:pPr>
              <w:jc w:val="center"/>
              <w:rPr>
                <w:b/>
              </w:rPr>
            </w:pPr>
            <w:r>
              <w:rPr>
                <w:b/>
              </w:rPr>
              <w:t>Sig.</w:t>
            </w:r>
          </w:p>
        </w:tc>
      </w:tr>
      <w:tr w:rsidR="00323705" w14:paraId="0DD9EC0C" w14:textId="77777777" w:rsidTr="00323705">
        <w:tc>
          <w:tcPr>
            <w:tcW w:w="2913" w:type="dxa"/>
            <w:tcBorders>
              <w:top w:val="single" w:sz="18" w:space="0" w:color="auto"/>
              <w:left w:val="nil"/>
              <w:bottom w:val="single" w:sz="4" w:space="0" w:color="auto"/>
              <w:right w:val="single" w:sz="4" w:space="0" w:color="auto"/>
            </w:tcBorders>
            <w:hideMark/>
          </w:tcPr>
          <w:p w14:paraId="62B3A322" w14:textId="77777777" w:rsidR="00323705" w:rsidRDefault="00323705">
            <w:pPr>
              <w:jc w:val="both"/>
            </w:pPr>
            <w:r>
              <w:t>Constante</w:t>
            </w:r>
          </w:p>
        </w:tc>
        <w:tc>
          <w:tcPr>
            <w:tcW w:w="3078" w:type="dxa"/>
            <w:tcBorders>
              <w:top w:val="single" w:sz="18" w:space="0" w:color="auto"/>
              <w:left w:val="single" w:sz="4" w:space="0" w:color="auto"/>
              <w:bottom w:val="single" w:sz="4" w:space="0" w:color="auto"/>
              <w:right w:val="single" w:sz="4" w:space="0" w:color="auto"/>
            </w:tcBorders>
            <w:hideMark/>
          </w:tcPr>
          <w:p w14:paraId="20863D46" w14:textId="77777777" w:rsidR="00323705" w:rsidRDefault="00323705">
            <w:pPr>
              <w:jc w:val="both"/>
            </w:pPr>
            <w:r>
              <w:t>-</w:t>
            </w:r>
          </w:p>
        </w:tc>
        <w:tc>
          <w:tcPr>
            <w:tcW w:w="3080" w:type="dxa"/>
            <w:tcBorders>
              <w:top w:val="single" w:sz="18" w:space="0" w:color="auto"/>
              <w:left w:val="single" w:sz="4" w:space="0" w:color="auto"/>
              <w:bottom w:val="single" w:sz="4" w:space="0" w:color="auto"/>
              <w:right w:val="nil"/>
            </w:tcBorders>
            <w:hideMark/>
          </w:tcPr>
          <w:p w14:paraId="58E96BD0" w14:textId="77777777" w:rsidR="00323705" w:rsidRDefault="00323705">
            <w:pPr>
              <w:jc w:val="both"/>
              <w:rPr>
                <w:b/>
              </w:rPr>
            </w:pPr>
            <w:r>
              <w:rPr>
                <w:b/>
              </w:rPr>
              <w:t>0,000**</w:t>
            </w:r>
          </w:p>
        </w:tc>
      </w:tr>
      <w:tr w:rsidR="00323705" w14:paraId="2695E75F" w14:textId="77777777" w:rsidTr="00323705">
        <w:tc>
          <w:tcPr>
            <w:tcW w:w="2913" w:type="dxa"/>
            <w:tcBorders>
              <w:top w:val="single" w:sz="4" w:space="0" w:color="auto"/>
              <w:left w:val="nil"/>
              <w:bottom w:val="single" w:sz="4" w:space="0" w:color="auto"/>
              <w:right w:val="single" w:sz="4" w:space="0" w:color="auto"/>
            </w:tcBorders>
            <w:hideMark/>
          </w:tcPr>
          <w:p w14:paraId="7C4147E5" w14:textId="77777777" w:rsidR="00323705" w:rsidRDefault="00323705">
            <w:pPr>
              <w:jc w:val="both"/>
            </w:pPr>
            <w:r>
              <w:t>FCL</w:t>
            </w:r>
          </w:p>
        </w:tc>
        <w:tc>
          <w:tcPr>
            <w:tcW w:w="3078" w:type="dxa"/>
            <w:tcBorders>
              <w:top w:val="single" w:sz="4" w:space="0" w:color="auto"/>
              <w:left w:val="single" w:sz="4" w:space="0" w:color="auto"/>
              <w:bottom w:val="single" w:sz="4" w:space="0" w:color="auto"/>
              <w:right w:val="single" w:sz="4" w:space="0" w:color="auto"/>
            </w:tcBorders>
            <w:hideMark/>
          </w:tcPr>
          <w:p w14:paraId="6F701D97" w14:textId="77777777" w:rsidR="00323705" w:rsidRDefault="00323705">
            <w:pPr>
              <w:jc w:val="both"/>
            </w:pPr>
            <w:r>
              <w:t>-0,026</w:t>
            </w:r>
          </w:p>
        </w:tc>
        <w:tc>
          <w:tcPr>
            <w:tcW w:w="3080" w:type="dxa"/>
            <w:tcBorders>
              <w:top w:val="single" w:sz="4" w:space="0" w:color="auto"/>
              <w:left w:val="single" w:sz="4" w:space="0" w:color="auto"/>
              <w:bottom w:val="single" w:sz="4" w:space="0" w:color="auto"/>
              <w:right w:val="nil"/>
            </w:tcBorders>
            <w:hideMark/>
          </w:tcPr>
          <w:p w14:paraId="3B2C1E5F" w14:textId="77777777" w:rsidR="00323705" w:rsidRDefault="00323705">
            <w:pPr>
              <w:jc w:val="both"/>
            </w:pPr>
            <w:r>
              <w:t>0,202</w:t>
            </w:r>
          </w:p>
        </w:tc>
      </w:tr>
      <w:tr w:rsidR="00323705" w14:paraId="61A3FADB" w14:textId="77777777" w:rsidTr="00323705">
        <w:tc>
          <w:tcPr>
            <w:tcW w:w="2913" w:type="dxa"/>
            <w:tcBorders>
              <w:top w:val="single" w:sz="4" w:space="0" w:color="auto"/>
              <w:left w:val="nil"/>
              <w:bottom w:val="single" w:sz="4" w:space="0" w:color="auto"/>
              <w:right w:val="single" w:sz="4" w:space="0" w:color="auto"/>
            </w:tcBorders>
            <w:hideMark/>
          </w:tcPr>
          <w:p w14:paraId="5FD9FE94" w14:textId="77777777" w:rsidR="00323705" w:rsidRDefault="00323705">
            <w:pPr>
              <w:jc w:val="both"/>
            </w:pPr>
            <w:r>
              <w:t>RENT</w:t>
            </w:r>
          </w:p>
        </w:tc>
        <w:tc>
          <w:tcPr>
            <w:tcW w:w="3078" w:type="dxa"/>
            <w:tcBorders>
              <w:top w:val="single" w:sz="4" w:space="0" w:color="auto"/>
              <w:left w:val="single" w:sz="4" w:space="0" w:color="auto"/>
              <w:bottom w:val="single" w:sz="4" w:space="0" w:color="auto"/>
              <w:right w:val="single" w:sz="4" w:space="0" w:color="auto"/>
            </w:tcBorders>
            <w:hideMark/>
          </w:tcPr>
          <w:p w14:paraId="49085027" w14:textId="77777777" w:rsidR="00323705" w:rsidRDefault="00323705">
            <w:pPr>
              <w:jc w:val="both"/>
            </w:pPr>
            <w:r>
              <w:t>-0,051</w:t>
            </w:r>
          </w:p>
        </w:tc>
        <w:tc>
          <w:tcPr>
            <w:tcW w:w="3080" w:type="dxa"/>
            <w:tcBorders>
              <w:top w:val="single" w:sz="4" w:space="0" w:color="auto"/>
              <w:left w:val="single" w:sz="4" w:space="0" w:color="auto"/>
              <w:bottom w:val="single" w:sz="4" w:space="0" w:color="auto"/>
              <w:right w:val="nil"/>
            </w:tcBorders>
            <w:hideMark/>
          </w:tcPr>
          <w:p w14:paraId="5EF7C095" w14:textId="77777777" w:rsidR="00323705" w:rsidRDefault="00323705">
            <w:pPr>
              <w:jc w:val="both"/>
              <w:rPr>
                <w:b/>
              </w:rPr>
            </w:pPr>
            <w:r>
              <w:rPr>
                <w:b/>
              </w:rPr>
              <w:t>0,015*</w:t>
            </w:r>
          </w:p>
        </w:tc>
      </w:tr>
      <w:tr w:rsidR="00323705" w14:paraId="3AFBF182" w14:textId="77777777" w:rsidTr="00323705">
        <w:tc>
          <w:tcPr>
            <w:tcW w:w="2913" w:type="dxa"/>
            <w:tcBorders>
              <w:top w:val="single" w:sz="4" w:space="0" w:color="auto"/>
              <w:left w:val="nil"/>
              <w:bottom w:val="single" w:sz="4" w:space="0" w:color="auto"/>
              <w:right w:val="single" w:sz="4" w:space="0" w:color="auto"/>
            </w:tcBorders>
            <w:hideMark/>
          </w:tcPr>
          <w:p w14:paraId="6ADB7E85" w14:textId="77777777" w:rsidR="00323705" w:rsidRDefault="00323705">
            <w:pPr>
              <w:jc w:val="both"/>
            </w:pPr>
            <w:r>
              <w:t>ROA</w:t>
            </w:r>
          </w:p>
        </w:tc>
        <w:tc>
          <w:tcPr>
            <w:tcW w:w="3078" w:type="dxa"/>
            <w:tcBorders>
              <w:top w:val="single" w:sz="4" w:space="0" w:color="auto"/>
              <w:left w:val="single" w:sz="4" w:space="0" w:color="auto"/>
              <w:bottom w:val="single" w:sz="4" w:space="0" w:color="auto"/>
              <w:right w:val="single" w:sz="4" w:space="0" w:color="auto"/>
            </w:tcBorders>
            <w:hideMark/>
          </w:tcPr>
          <w:p w14:paraId="0191A1CA" w14:textId="77777777" w:rsidR="00323705" w:rsidRDefault="00323705">
            <w:pPr>
              <w:jc w:val="both"/>
            </w:pPr>
            <w:r>
              <w:t>0,378</w:t>
            </w:r>
          </w:p>
        </w:tc>
        <w:tc>
          <w:tcPr>
            <w:tcW w:w="3080" w:type="dxa"/>
            <w:tcBorders>
              <w:top w:val="single" w:sz="4" w:space="0" w:color="auto"/>
              <w:left w:val="single" w:sz="4" w:space="0" w:color="auto"/>
              <w:bottom w:val="single" w:sz="4" w:space="0" w:color="auto"/>
              <w:right w:val="nil"/>
            </w:tcBorders>
            <w:hideMark/>
          </w:tcPr>
          <w:p w14:paraId="4AF88465" w14:textId="77777777" w:rsidR="00323705" w:rsidRDefault="00323705">
            <w:pPr>
              <w:jc w:val="both"/>
              <w:rPr>
                <w:b/>
              </w:rPr>
            </w:pPr>
            <w:r>
              <w:rPr>
                <w:b/>
              </w:rPr>
              <w:t>0,000**</w:t>
            </w:r>
          </w:p>
        </w:tc>
      </w:tr>
      <w:tr w:rsidR="00323705" w14:paraId="0994246C" w14:textId="77777777" w:rsidTr="00323705">
        <w:tc>
          <w:tcPr>
            <w:tcW w:w="2913" w:type="dxa"/>
            <w:tcBorders>
              <w:top w:val="single" w:sz="4" w:space="0" w:color="auto"/>
              <w:left w:val="nil"/>
              <w:bottom w:val="single" w:sz="18" w:space="0" w:color="auto"/>
              <w:right w:val="single" w:sz="4" w:space="0" w:color="auto"/>
            </w:tcBorders>
            <w:hideMark/>
          </w:tcPr>
          <w:p w14:paraId="6E6CCCDC" w14:textId="77777777" w:rsidR="00323705" w:rsidRDefault="00323705">
            <w:pPr>
              <w:jc w:val="both"/>
            </w:pPr>
            <w:r>
              <w:t>TAM</w:t>
            </w:r>
          </w:p>
        </w:tc>
        <w:tc>
          <w:tcPr>
            <w:tcW w:w="3078" w:type="dxa"/>
            <w:tcBorders>
              <w:top w:val="single" w:sz="4" w:space="0" w:color="auto"/>
              <w:left w:val="single" w:sz="4" w:space="0" w:color="auto"/>
              <w:bottom w:val="single" w:sz="18" w:space="0" w:color="auto"/>
              <w:right w:val="single" w:sz="4" w:space="0" w:color="auto"/>
            </w:tcBorders>
            <w:hideMark/>
          </w:tcPr>
          <w:p w14:paraId="5EFBFC72" w14:textId="77777777" w:rsidR="00323705" w:rsidRDefault="00323705">
            <w:pPr>
              <w:jc w:val="both"/>
            </w:pPr>
            <w:r>
              <w:t>0,487</w:t>
            </w:r>
          </w:p>
        </w:tc>
        <w:tc>
          <w:tcPr>
            <w:tcW w:w="3080" w:type="dxa"/>
            <w:tcBorders>
              <w:top w:val="single" w:sz="4" w:space="0" w:color="auto"/>
              <w:left w:val="single" w:sz="4" w:space="0" w:color="auto"/>
              <w:bottom w:val="single" w:sz="18" w:space="0" w:color="auto"/>
              <w:right w:val="nil"/>
            </w:tcBorders>
            <w:hideMark/>
          </w:tcPr>
          <w:p w14:paraId="04108A3E" w14:textId="77777777" w:rsidR="00323705" w:rsidRDefault="00323705">
            <w:pPr>
              <w:jc w:val="both"/>
              <w:rPr>
                <w:b/>
              </w:rPr>
            </w:pPr>
            <w:r>
              <w:rPr>
                <w:b/>
              </w:rPr>
              <w:t>0,000**</w:t>
            </w:r>
          </w:p>
        </w:tc>
      </w:tr>
      <w:tr w:rsidR="00323705" w14:paraId="00FC146D" w14:textId="77777777" w:rsidTr="00323705">
        <w:tc>
          <w:tcPr>
            <w:tcW w:w="9071" w:type="dxa"/>
            <w:gridSpan w:val="3"/>
            <w:tcBorders>
              <w:top w:val="single" w:sz="18" w:space="0" w:color="auto"/>
              <w:left w:val="nil"/>
              <w:bottom w:val="single" w:sz="4" w:space="0" w:color="auto"/>
              <w:right w:val="nil"/>
            </w:tcBorders>
            <w:hideMark/>
          </w:tcPr>
          <w:p w14:paraId="13460A0B" w14:textId="77777777" w:rsidR="00323705" w:rsidRDefault="00323705">
            <w:pPr>
              <w:jc w:val="both"/>
            </w:pPr>
            <w:r>
              <w:t>R²: 0,318</w:t>
            </w:r>
          </w:p>
        </w:tc>
      </w:tr>
      <w:tr w:rsidR="00323705" w14:paraId="12341179" w14:textId="77777777" w:rsidTr="00323705">
        <w:tc>
          <w:tcPr>
            <w:tcW w:w="9071" w:type="dxa"/>
            <w:gridSpan w:val="3"/>
            <w:tcBorders>
              <w:top w:val="single" w:sz="4" w:space="0" w:color="auto"/>
              <w:left w:val="nil"/>
              <w:bottom w:val="single" w:sz="4" w:space="0" w:color="auto"/>
              <w:right w:val="nil"/>
            </w:tcBorders>
            <w:hideMark/>
          </w:tcPr>
          <w:p w14:paraId="61A85790" w14:textId="77777777" w:rsidR="00323705" w:rsidRDefault="00323705">
            <w:pPr>
              <w:jc w:val="both"/>
            </w:pPr>
            <w:r>
              <w:t>ANOVA: 0,000**</w:t>
            </w:r>
          </w:p>
        </w:tc>
      </w:tr>
      <w:tr w:rsidR="00323705" w14:paraId="74CA3D92" w14:textId="77777777" w:rsidTr="00323705">
        <w:tc>
          <w:tcPr>
            <w:tcW w:w="9071" w:type="dxa"/>
            <w:gridSpan w:val="3"/>
            <w:tcBorders>
              <w:top w:val="single" w:sz="4" w:space="0" w:color="auto"/>
              <w:left w:val="nil"/>
              <w:bottom w:val="single" w:sz="18" w:space="0" w:color="auto"/>
              <w:right w:val="nil"/>
            </w:tcBorders>
            <w:hideMark/>
          </w:tcPr>
          <w:p w14:paraId="728F0BF2" w14:textId="77777777" w:rsidR="00323705" w:rsidRDefault="00323705">
            <w:pPr>
              <w:jc w:val="both"/>
            </w:pPr>
            <w:r>
              <w:t>Durbin Watson: 2,038</w:t>
            </w:r>
          </w:p>
        </w:tc>
      </w:tr>
    </w:tbl>
    <w:p w14:paraId="0DA8F138" w14:textId="77777777" w:rsidR="00323705" w:rsidRDefault="00323705" w:rsidP="00323705">
      <w:pPr>
        <w:jc w:val="both"/>
        <w:rPr>
          <w:lang w:eastAsia="en-US"/>
        </w:rPr>
      </w:pPr>
      <w:r>
        <w:t>Fonte: Dados da pesquisa (2018)</w:t>
      </w:r>
    </w:p>
    <w:p w14:paraId="253AA978" w14:textId="77777777" w:rsidR="00323705" w:rsidRDefault="00323705" w:rsidP="00323705">
      <w:pPr>
        <w:jc w:val="both"/>
      </w:pPr>
      <w:r>
        <w:t>Nota: Níveis de significância: **1%, *5%</w:t>
      </w:r>
    </w:p>
    <w:p w14:paraId="568415F1" w14:textId="77777777" w:rsidR="00323705" w:rsidRDefault="00323705" w:rsidP="00323705">
      <w:pPr>
        <w:pStyle w:val="Corpodetexto1"/>
        <w:shd w:val="clear" w:color="auto" w:fill="auto"/>
        <w:spacing w:after="0" w:line="240" w:lineRule="auto"/>
        <w:ind w:left="284" w:right="40" w:firstLine="0"/>
        <w:jc w:val="both"/>
        <w:rPr>
          <w:sz w:val="24"/>
          <w:szCs w:val="24"/>
        </w:rPr>
      </w:pPr>
    </w:p>
    <w:p w14:paraId="244AA4FB" w14:textId="77777777" w:rsidR="00323705" w:rsidRDefault="00323705" w:rsidP="00323705">
      <w:pPr>
        <w:ind w:firstLine="709"/>
        <w:jc w:val="both"/>
        <w:rPr>
          <w:sz w:val="24"/>
          <w:szCs w:val="24"/>
        </w:rPr>
      </w:pPr>
      <w:r>
        <w:rPr>
          <w:sz w:val="24"/>
          <w:szCs w:val="24"/>
        </w:rPr>
        <w:t xml:space="preserve">A Tabela 3 apresenta os resultados do modelo da Regressão Linear Múltipla para as variáveis analisadas. Observa-se que o modelo é significante quando o resultado do teste ANOVA foi 0,000, bem como apresentou um R² de 0,318 indicando que o modelo tem poder explicativo de 31,8% sobre o desempenho das empresas com o uso de, apenas, quatro variáveis. Não há problemas de multicolinearidade dos resíduos, visto que o teste de Durbin Watson teve como resultado 2,038 estando próximo a 2 (Fávero </w:t>
      </w:r>
      <w:r>
        <w:rPr>
          <w:i/>
          <w:sz w:val="24"/>
          <w:szCs w:val="24"/>
        </w:rPr>
        <w:t>et al</w:t>
      </w:r>
      <w:r>
        <w:rPr>
          <w:sz w:val="24"/>
          <w:szCs w:val="24"/>
        </w:rPr>
        <w:t>., 2009). Nota-se que as variáveis ROA e tamanho possuem relação significativa positiva ao nível de 1% com relação aos dividendos, já a rentabilidade possui relação significativa negativa ao nível de 5%. O fluxo de caixa livre não foi significativo para o modelo analisado.</w:t>
      </w:r>
    </w:p>
    <w:p w14:paraId="5EA7F046" w14:textId="77777777" w:rsidR="00323705" w:rsidRDefault="00323705" w:rsidP="00323705">
      <w:pPr>
        <w:ind w:firstLine="709"/>
        <w:jc w:val="both"/>
        <w:rPr>
          <w:sz w:val="24"/>
          <w:szCs w:val="24"/>
        </w:rPr>
      </w:pPr>
      <w:r>
        <w:rPr>
          <w:sz w:val="24"/>
          <w:szCs w:val="24"/>
        </w:rPr>
        <w:t xml:space="preserve">Os resultados demonstram que a rentabilidade influencia negativamente no pagamento de dividendos, já o ROA e o tamanho esta relação é positiva. No que se refere ao ROA possuir relação significativa positiva com a distribuição de dividendos indica que quanto maior for a rentabilidade do ativo, maior será a distribuição de dividendos auferida, estando de acordo com o estudo de Forti, Peixoto e Alves (2015). A relação positiva significativa do tamanho com o pagamento dos dividendos indica que quanto maior for a empresa, maior será este pagamento, resultado também encontrado nos estudos de </w:t>
      </w:r>
      <w:r>
        <w:rPr>
          <w:sz w:val="24"/>
          <w:szCs w:val="24"/>
          <w:shd w:val="clear" w:color="auto" w:fill="FFFFFF"/>
        </w:rPr>
        <w:t>Ajanthan (2013) e</w:t>
      </w:r>
      <w:r>
        <w:rPr>
          <w:shd w:val="clear" w:color="auto" w:fill="FFFFFF"/>
        </w:rPr>
        <w:t xml:space="preserve"> </w:t>
      </w:r>
      <w:r>
        <w:rPr>
          <w:sz w:val="24"/>
          <w:szCs w:val="24"/>
        </w:rPr>
        <w:t>Forti, Peixoto e Alves (2015).</w:t>
      </w:r>
    </w:p>
    <w:p w14:paraId="6BB98505" w14:textId="77777777" w:rsidR="00323705" w:rsidRDefault="00323705" w:rsidP="00323705">
      <w:pPr>
        <w:ind w:firstLine="709"/>
        <w:jc w:val="both"/>
        <w:rPr>
          <w:sz w:val="24"/>
          <w:szCs w:val="24"/>
        </w:rPr>
      </w:pPr>
      <w:r>
        <w:rPr>
          <w:sz w:val="24"/>
          <w:szCs w:val="24"/>
        </w:rPr>
        <w:t xml:space="preserve">O fato do fluxo de caixa livre não ter sido significativo faz com que a hipótese </w:t>
      </w:r>
      <w:r>
        <w:rPr>
          <w:b/>
          <w:sz w:val="24"/>
          <w:szCs w:val="24"/>
        </w:rPr>
        <w:t>H</w:t>
      </w:r>
      <w:r>
        <w:rPr>
          <w:b/>
          <w:sz w:val="24"/>
          <w:szCs w:val="24"/>
          <w:vertAlign w:val="subscript"/>
        </w:rPr>
        <w:t>1</w:t>
      </w:r>
      <w:r>
        <w:rPr>
          <w:sz w:val="24"/>
          <w:szCs w:val="24"/>
        </w:rPr>
        <w:t xml:space="preserve"> seja rejeitada. O</w:t>
      </w:r>
      <w:r>
        <w:rPr>
          <w:sz w:val="24"/>
          <w:szCs w:val="24"/>
          <w:shd w:val="clear" w:color="auto" w:fill="FFFFFF"/>
        </w:rPr>
        <w:t xml:space="preserve"> resultado é contraditório com estudos de Alli, Khan e Ramirez (1993) e </w:t>
      </w:r>
      <w:r>
        <w:rPr>
          <w:sz w:val="24"/>
          <w:szCs w:val="24"/>
        </w:rPr>
        <w:t xml:space="preserve">Amidu e Abor (2006) o fluxo de caixa é considerado como sendo um fator extremamente influenciador na decisão de distribuição dos dividendos, tendo em vista que, sem dinheiro disponível não há distribuição de dividendos. </w:t>
      </w:r>
    </w:p>
    <w:p w14:paraId="4730F79E" w14:textId="77777777" w:rsidR="00323705" w:rsidRDefault="00323705" w:rsidP="00323705">
      <w:pPr>
        <w:ind w:firstLine="709"/>
        <w:jc w:val="both"/>
        <w:rPr>
          <w:sz w:val="24"/>
          <w:szCs w:val="24"/>
          <w:shd w:val="clear" w:color="auto" w:fill="FFFFFF"/>
        </w:rPr>
      </w:pPr>
      <w:r>
        <w:rPr>
          <w:sz w:val="24"/>
          <w:szCs w:val="24"/>
        </w:rPr>
        <w:t xml:space="preserve">Entretanto esse resultado corrobora com o achado de </w:t>
      </w:r>
      <w:r>
        <w:rPr>
          <w:sz w:val="24"/>
          <w:szCs w:val="24"/>
          <w:shd w:val="clear" w:color="auto" w:fill="FFFFFF"/>
        </w:rPr>
        <w:t xml:space="preserve">Gill, Biger e Tibrewala (2010) quanto ao fluxo de caixa, no estudo realizado com empresas de serviços e manufatura americanas os autores não encontraram nenhuma relação significativa entre o fluxo de caixa e os índices de pagamento de dividendos, fato também contraditório as hipóteses firmadas no estudo. A justificativa do resultado encontrado no cenário americano são as particularidades dos setores de serviços e manufatura. Neste estudo considera-se as particularidades de mercados emergentes e das políticas de pagamentos de dividendos do país como fatores que impactam na tomada de decisão dos gestores. </w:t>
      </w:r>
    </w:p>
    <w:p w14:paraId="3C984A55" w14:textId="77777777" w:rsidR="00323705" w:rsidRDefault="00323705" w:rsidP="00323705">
      <w:pPr>
        <w:ind w:firstLine="709"/>
        <w:jc w:val="both"/>
        <w:rPr>
          <w:sz w:val="24"/>
          <w:szCs w:val="24"/>
          <w:shd w:val="clear" w:color="auto" w:fill="FFFFFF"/>
        </w:rPr>
      </w:pPr>
      <w:r>
        <w:rPr>
          <w:sz w:val="24"/>
          <w:szCs w:val="24"/>
        </w:rPr>
        <w:t xml:space="preserve">A rentabilidade apresentou relação significativa com o pagamento de dividendos, dessa forma aceita-se a hipótese </w:t>
      </w:r>
      <w:r>
        <w:rPr>
          <w:b/>
          <w:sz w:val="24"/>
          <w:szCs w:val="24"/>
        </w:rPr>
        <w:t>H</w:t>
      </w:r>
      <w:r>
        <w:rPr>
          <w:b/>
          <w:sz w:val="24"/>
          <w:szCs w:val="24"/>
          <w:vertAlign w:val="subscript"/>
        </w:rPr>
        <w:t>2</w:t>
      </w:r>
      <w:r>
        <w:rPr>
          <w:sz w:val="24"/>
          <w:szCs w:val="24"/>
        </w:rPr>
        <w:t xml:space="preserve">. A relação significativa corrobora com os estudos de Amidu e Abor (2006), </w:t>
      </w:r>
      <w:r>
        <w:rPr>
          <w:sz w:val="24"/>
          <w:szCs w:val="24"/>
          <w:shd w:val="clear" w:color="auto" w:fill="FFFFFF"/>
        </w:rPr>
        <w:t xml:space="preserve">Gill, Biger e Tibrewala (2010), Ajanthan (2013), Oladipupo e Okafor (2013) e </w:t>
      </w:r>
      <w:r>
        <w:rPr>
          <w:sz w:val="24"/>
          <w:szCs w:val="24"/>
        </w:rPr>
        <w:t xml:space="preserve">Forti, Peixoto e Alves (2015), entretanto, a rentabilidade apresentou relação </w:t>
      </w:r>
      <w:r>
        <w:rPr>
          <w:sz w:val="24"/>
          <w:szCs w:val="24"/>
        </w:rPr>
        <w:lastRenderedPageBreak/>
        <w:t>negativa, esse resultado apresenta-se como contraditório a literatura, visto que, os estudos mencionados</w:t>
      </w:r>
      <w:r>
        <w:rPr>
          <w:sz w:val="24"/>
          <w:szCs w:val="24"/>
          <w:shd w:val="clear" w:color="auto" w:fill="FFFFFF"/>
        </w:rPr>
        <w:t xml:space="preserve"> evidenciaram uma relação positiva entre a rentabilidade das empresas e o pagamento de dividendos. Este achado pode estar atrelado ao fato de que mesmo com lucros menores as empresas ainda optam por distribuir dividendos, pois, de acordo com Black e Scholes (1974) diminuir dividendos é sinal de que os gestores esperam que a organização passe por períodos difíceis. </w:t>
      </w:r>
    </w:p>
    <w:p w14:paraId="396861DE" w14:textId="77777777" w:rsidR="00323705" w:rsidRDefault="00323705" w:rsidP="00323705">
      <w:pPr>
        <w:ind w:firstLine="709"/>
        <w:jc w:val="both"/>
        <w:rPr>
          <w:sz w:val="24"/>
          <w:szCs w:val="24"/>
        </w:rPr>
      </w:pPr>
      <w:r>
        <w:rPr>
          <w:sz w:val="24"/>
          <w:szCs w:val="24"/>
        </w:rPr>
        <w:t>Os fatores ao nível da empresa também influenciam a política de dividendos (</w:t>
      </w:r>
      <w:r>
        <w:rPr>
          <w:sz w:val="24"/>
          <w:szCs w:val="24"/>
          <w:shd w:val="clear" w:color="auto" w:fill="FFFFFF"/>
        </w:rPr>
        <w:t>Erkan, Fainshmidt &amp; Judge, 2016). No Brasil o alto percentual de empresas familiares, corresponde a um fator peculiar que pode apresentar resultados distintos de outros mercados, tendo em vista que empresas com essa característica apresentam grau elevado de conservadorismo</w:t>
      </w:r>
      <w:r>
        <w:rPr>
          <w:sz w:val="24"/>
          <w:szCs w:val="24"/>
          <w:shd w:val="clear" w:color="auto" w:fill="FFFFFF"/>
          <w:lang w:val="en-US"/>
        </w:rPr>
        <w:t>. Constata-se que</w:t>
      </w:r>
      <w:r>
        <w:rPr>
          <w:sz w:val="24"/>
          <w:szCs w:val="24"/>
          <w:shd w:val="clear" w:color="auto" w:fill="FFFFFF"/>
        </w:rPr>
        <w:t xml:space="preserve"> empresas familiares distribuem menos dividendos quando comparadas a empresas não familiares, pois, os investidores dessas empresas </w:t>
      </w:r>
      <w:r>
        <w:rPr>
          <w:sz w:val="24"/>
          <w:szCs w:val="24"/>
        </w:rPr>
        <w:t xml:space="preserve">tem como propósito retornos futuros de longo prazo, retendo desta forma mais lucros para a entidade </w:t>
      </w:r>
      <w:r>
        <w:rPr>
          <w:sz w:val="24"/>
          <w:szCs w:val="24"/>
          <w:shd w:val="clear" w:color="auto" w:fill="FFFFFF"/>
        </w:rPr>
        <w:t>(</w:t>
      </w:r>
      <w:r>
        <w:rPr>
          <w:sz w:val="24"/>
          <w:szCs w:val="24"/>
          <w:shd w:val="clear" w:color="auto" w:fill="FFFFFF"/>
          <w:lang w:val="en-US"/>
        </w:rPr>
        <w:t>Chiarello, Silva &amp; Nakamura, 2014)</w:t>
      </w:r>
      <w:r>
        <w:rPr>
          <w:sz w:val="24"/>
          <w:szCs w:val="24"/>
          <w:shd w:val="clear" w:color="auto" w:fill="FFFFFF"/>
        </w:rPr>
        <w:t xml:space="preserve">. Nesse contexto, </w:t>
      </w:r>
      <w:r>
        <w:rPr>
          <w:sz w:val="24"/>
          <w:szCs w:val="24"/>
          <w:shd w:val="clear" w:color="auto" w:fill="FFFFFF"/>
          <w:lang w:val="en-US"/>
        </w:rPr>
        <w:t xml:space="preserve">Procianoy e Vancin (2014) </w:t>
      </w:r>
      <w:r>
        <w:rPr>
          <w:sz w:val="24"/>
          <w:szCs w:val="24"/>
        </w:rPr>
        <w:t xml:space="preserve">ressaltam que as empresas podem utilizar-se de mecanismos de retenção de recursos, como forma de segurança e autofinanciamento. </w:t>
      </w:r>
    </w:p>
    <w:p w14:paraId="747F43F5" w14:textId="77777777" w:rsidR="00323705" w:rsidRDefault="00323705" w:rsidP="00323705">
      <w:pPr>
        <w:ind w:firstLine="709"/>
        <w:jc w:val="both"/>
        <w:rPr>
          <w:sz w:val="24"/>
          <w:szCs w:val="24"/>
        </w:rPr>
      </w:pPr>
      <w:r>
        <w:rPr>
          <w:sz w:val="24"/>
          <w:szCs w:val="24"/>
        </w:rPr>
        <w:t xml:space="preserve">Outros fatores específicos das empresas também influenciam a distribuição de dividendos, conforme evidenciado no estudo de </w:t>
      </w:r>
      <w:r>
        <w:rPr>
          <w:sz w:val="24"/>
          <w:szCs w:val="24"/>
          <w:shd w:val="clear" w:color="auto" w:fill="FFFFFF"/>
        </w:rPr>
        <w:t xml:space="preserve">Ambrozini (2011) que correspondem a oportunidade de futuros investimentos, estrutura de capital e riscos operacionais. Dentre os fatores, observa-se no cenário mercadológico que a inflação impacta na política de dividendos e reflete no valor pago aos investidores (Basse &amp; Reddemann, 2011). Desta forma, considera-se que os resultados deste estudo, contraditórios aos relatados anteriormente na literatura, justificam-se, por analisar um mercado emergente, o qual possui uma política de distribuição de dividendos obrigatória. </w:t>
      </w:r>
      <w:r>
        <w:rPr>
          <w:sz w:val="24"/>
          <w:szCs w:val="24"/>
        </w:rPr>
        <w:t>No geral os resultados são consistentes com o estudo de</w:t>
      </w:r>
      <w:hyperlink r:id="rId7" w:anchor="bookmark70" w:tooltip="Current Document" w:history="1">
        <w:r w:rsidRPr="00323705">
          <w:rPr>
            <w:rStyle w:val="Hyperlink"/>
            <w:color w:val="000000" w:themeColor="text1"/>
            <w:sz w:val="24"/>
            <w:szCs w:val="24"/>
            <w:u w:val="none"/>
          </w:rPr>
          <w:t xml:space="preserve"> Denis e Osobov (2008</w:t>
        </w:r>
      </w:hyperlink>
      <w:r w:rsidRPr="00323705">
        <w:rPr>
          <w:color w:val="000000" w:themeColor="text1"/>
          <w:sz w:val="24"/>
          <w:szCs w:val="24"/>
        </w:rPr>
        <w:t xml:space="preserve">) </w:t>
      </w:r>
      <w:r>
        <w:rPr>
          <w:sz w:val="24"/>
          <w:szCs w:val="24"/>
        </w:rPr>
        <w:t xml:space="preserve">que relatou mudanças substanciais nas políticas de dividendos em todos os países. </w:t>
      </w:r>
      <w:r>
        <w:rPr>
          <w:sz w:val="24"/>
          <w:szCs w:val="24"/>
        </w:rPr>
        <w:br/>
      </w:r>
      <w:r>
        <w:rPr>
          <w:sz w:val="24"/>
          <w:szCs w:val="24"/>
        </w:rPr>
        <w:tab/>
        <w:t>Na Tabela 4 apresenta o resumo do resultado das hipóteses da pesquisa:</w:t>
      </w:r>
    </w:p>
    <w:p w14:paraId="515F04B1" w14:textId="77777777" w:rsidR="00323705" w:rsidRDefault="00323705" w:rsidP="00323705">
      <w:pPr>
        <w:ind w:firstLine="709"/>
        <w:jc w:val="both"/>
        <w:rPr>
          <w:sz w:val="24"/>
          <w:szCs w:val="24"/>
        </w:rPr>
      </w:pPr>
    </w:p>
    <w:p w14:paraId="4543C95A" w14:textId="77777777" w:rsidR="00323705" w:rsidRDefault="00323705" w:rsidP="00323705">
      <w:pPr>
        <w:jc w:val="both"/>
        <w:rPr>
          <w:b/>
          <w:shd w:val="clear" w:color="auto" w:fill="FFFFFF"/>
        </w:rPr>
      </w:pPr>
      <w:r>
        <w:rPr>
          <w:b/>
        </w:rPr>
        <w:t>Tabela 4: Resumo do resultado das hipóteses da pesquisa</w:t>
      </w:r>
    </w:p>
    <w:tbl>
      <w:tblPr>
        <w:tblStyle w:val="Tabelacomgrade"/>
        <w:tblW w:w="0" w:type="auto"/>
        <w:tblInd w:w="0" w:type="dxa"/>
        <w:tblBorders>
          <w:top w:val="single" w:sz="18" w:space="0" w:color="auto"/>
          <w:left w:val="none" w:sz="0" w:space="0" w:color="auto"/>
          <w:bottom w:val="single" w:sz="18" w:space="0" w:color="auto"/>
          <w:right w:val="none" w:sz="0" w:space="0" w:color="auto"/>
        </w:tblBorders>
        <w:tblLook w:val="04A0" w:firstRow="1" w:lastRow="0" w:firstColumn="1" w:lastColumn="0" w:noHBand="0" w:noVBand="1"/>
      </w:tblPr>
      <w:tblGrid>
        <w:gridCol w:w="7631"/>
        <w:gridCol w:w="1440"/>
      </w:tblGrid>
      <w:tr w:rsidR="00323705" w14:paraId="5CFB631A" w14:textId="77777777" w:rsidTr="00323705">
        <w:tc>
          <w:tcPr>
            <w:tcW w:w="7631" w:type="dxa"/>
            <w:tcBorders>
              <w:top w:val="single" w:sz="18" w:space="0" w:color="auto"/>
              <w:left w:val="nil"/>
              <w:bottom w:val="single" w:sz="18" w:space="0" w:color="auto"/>
              <w:right w:val="single" w:sz="4" w:space="0" w:color="auto"/>
            </w:tcBorders>
            <w:vAlign w:val="center"/>
            <w:hideMark/>
          </w:tcPr>
          <w:p w14:paraId="54904D5F" w14:textId="77777777" w:rsidR="00323705" w:rsidRDefault="00323705">
            <w:pPr>
              <w:jc w:val="center"/>
              <w:rPr>
                <w:b/>
              </w:rPr>
            </w:pPr>
            <w:r>
              <w:rPr>
                <w:b/>
              </w:rPr>
              <w:t>Hipóteses</w:t>
            </w:r>
          </w:p>
        </w:tc>
        <w:tc>
          <w:tcPr>
            <w:tcW w:w="1440" w:type="dxa"/>
            <w:tcBorders>
              <w:top w:val="single" w:sz="18" w:space="0" w:color="auto"/>
              <w:left w:val="single" w:sz="4" w:space="0" w:color="auto"/>
              <w:bottom w:val="single" w:sz="18" w:space="0" w:color="auto"/>
              <w:right w:val="nil"/>
            </w:tcBorders>
            <w:vAlign w:val="center"/>
            <w:hideMark/>
          </w:tcPr>
          <w:p w14:paraId="3EF520E2" w14:textId="77777777" w:rsidR="00323705" w:rsidRDefault="00323705">
            <w:pPr>
              <w:jc w:val="center"/>
              <w:rPr>
                <w:b/>
              </w:rPr>
            </w:pPr>
            <w:r>
              <w:rPr>
                <w:b/>
              </w:rPr>
              <w:t>Resultado</w:t>
            </w:r>
          </w:p>
        </w:tc>
      </w:tr>
      <w:tr w:rsidR="00323705" w14:paraId="36D7E985" w14:textId="77777777" w:rsidTr="00323705">
        <w:trPr>
          <w:trHeight w:val="349"/>
        </w:trPr>
        <w:tc>
          <w:tcPr>
            <w:tcW w:w="7631" w:type="dxa"/>
            <w:tcBorders>
              <w:top w:val="single" w:sz="18" w:space="0" w:color="auto"/>
              <w:left w:val="nil"/>
              <w:bottom w:val="single" w:sz="4" w:space="0" w:color="auto"/>
              <w:right w:val="single" w:sz="4" w:space="0" w:color="auto"/>
            </w:tcBorders>
            <w:hideMark/>
          </w:tcPr>
          <w:p w14:paraId="3315D6F4" w14:textId="77777777" w:rsidR="00323705" w:rsidRDefault="00323705">
            <w:pPr>
              <w:pStyle w:val="Corpodetexto1"/>
              <w:shd w:val="clear" w:color="auto" w:fill="auto"/>
              <w:spacing w:after="0" w:line="240" w:lineRule="auto"/>
              <w:ind w:left="20" w:right="40" w:firstLine="0"/>
              <w:jc w:val="both"/>
              <w:rPr>
                <w:sz w:val="20"/>
                <w:szCs w:val="20"/>
              </w:rPr>
            </w:pPr>
            <w:r>
              <w:rPr>
                <w:b/>
                <w:sz w:val="20"/>
                <w:szCs w:val="20"/>
              </w:rPr>
              <w:t>H</w:t>
            </w:r>
            <w:r>
              <w:rPr>
                <w:b/>
                <w:sz w:val="20"/>
                <w:szCs w:val="20"/>
                <w:vertAlign w:val="subscript"/>
              </w:rPr>
              <w:t>1</w:t>
            </w:r>
            <w:r>
              <w:rPr>
                <w:b/>
                <w:sz w:val="20"/>
                <w:szCs w:val="20"/>
              </w:rPr>
              <w:t>:</w:t>
            </w:r>
            <w:r>
              <w:rPr>
                <w:sz w:val="20"/>
                <w:szCs w:val="20"/>
              </w:rPr>
              <w:t xml:space="preserve"> Existe uma relação significativa entre pagamento de dividendos e o fluxo de caixa livre.</w:t>
            </w:r>
          </w:p>
        </w:tc>
        <w:tc>
          <w:tcPr>
            <w:tcW w:w="1440" w:type="dxa"/>
            <w:tcBorders>
              <w:top w:val="single" w:sz="18" w:space="0" w:color="auto"/>
              <w:left w:val="single" w:sz="4" w:space="0" w:color="auto"/>
              <w:bottom w:val="single" w:sz="4" w:space="0" w:color="auto"/>
              <w:right w:val="nil"/>
            </w:tcBorders>
            <w:hideMark/>
          </w:tcPr>
          <w:p w14:paraId="67E427CE" w14:textId="77777777" w:rsidR="00323705" w:rsidRDefault="00323705">
            <w:pPr>
              <w:jc w:val="both"/>
            </w:pPr>
            <w:r>
              <w:t>Rejeita</w:t>
            </w:r>
          </w:p>
        </w:tc>
      </w:tr>
      <w:tr w:rsidR="00323705" w14:paraId="571B45CB" w14:textId="77777777" w:rsidTr="00323705">
        <w:trPr>
          <w:trHeight w:val="417"/>
        </w:trPr>
        <w:tc>
          <w:tcPr>
            <w:tcW w:w="7631" w:type="dxa"/>
            <w:tcBorders>
              <w:top w:val="single" w:sz="4" w:space="0" w:color="auto"/>
              <w:left w:val="nil"/>
              <w:bottom w:val="single" w:sz="18" w:space="0" w:color="auto"/>
              <w:right w:val="single" w:sz="4" w:space="0" w:color="auto"/>
            </w:tcBorders>
            <w:hideMark/>
          </w:tcPr>
          <w:p w14:paraId="14266B6F" w14:textId="77777777" w:rsidR="00323705" w:rsidRDefault="00323705">
            <w:pPr>
              <w:pStyle w:val="Corpodetexto1"/>
              <w:shd w:val="clear" w:color="auto" w:fill="auto"/>
              <w:spacing w:after="0" w:line="240" w:lineRule="auto"/>
              <w:ind w:left="20" w:right="40" w:firstLine="0"/>
              <w:jc w:val="both"/>
              <w:rPr>
                <w:sz w:val="20"/>
                <w:szCs w:val="20"/>
              </w:rPr>
            </w:pPr>
            <w:r>
              <w:rPr>
                <w:b/>
                <w:sz w:val="20"/>
                <w:szCs w:val="20"/>
              </w:rPr>
              <w:t>H</w:t>
            </w:r>
            <w:r>
              <w:rPr>
                <w:b/>
                <w:sz w:val="20"/>
                <w:szCs w:val="20"/>
                <w:vertAlign w:val="subscript"/>
              </w:rPr>
              <w:t>2</w:t>
            </w:r>
            <w:r>
              <w:rPr>
                <w:b/>
                <w:sz w:val="20"/>
                <w:szCs w:val="20"/>
              </w:rPr>
              <w:t xml:space="preserve">: </w:t>
            </w:r>
            <w:r>
              <w:rPr>
                <w:sz w:val="20"/>
                <w:szCs w:val="20"/>
              </w:rPr>
              <w:t>Existe uma relação significativa entre pagamento de dividendos e a rentabilidade.</w:t>
            </w:r>
          </w:p>
        </w:tc>
        <w:tc>
          <w:tcPr>
            <w:tcW w:w="1440" w:type="dxa"/>
            <w:tcBorders>
              <w:top w:val="single" w:sz="4" w:space="0" w:color="auto"/>
              <w:left w:val="single" w:sz="4" w:space="0" w:color="auto"/>
              <w:bottom w:val="single" w:sz="18" w:space="0" w:color="auto"/>
              <w:right w:val="nil"/>
            </w:tcBorders>
            <w:hideMark/>
          </w:tcPr>
          <w:p w14:paraId="20F44C2E" w14:textId="77777777" w:rsidR="00323705" w:rsidRDefault="00323705">
            <w:pPr>
              <w:jc w:val="both"/>
            </w:pPr>
            <w:r>
              <w:t>Aceita</w:t>
            </w:r>
          </w:p>
        </w:tc>
      </w:tr>
    </w:tbl>
    <w:p w14:paraId="4C5168B8" w14:textId="77777777" w:rsidR="00323705" w:rsidRDefault="00323705" w:rsidP="00323705">
      <w:pPr>
        <w:jc w:val="both"/>
        <w:rPr>
          <w:lang w:eastAsia="en-US"/>
        </w:rPr>
      </w:pPr>
      <w:r>
        <w:t>Fonte: Dados da pesquisa (2018).</w:t>
      </w:r>
    </w:p>
    <w:p w14:paraId="6A2B2ADD" w14:textId="77777777" w:rsidR="00323705" w:rsidRDefault="00323705" w:rsidP="00323705">
      <w:pPr>
        <w:jc w:val="both"/>
      </w:pPr>
    </w:p>
    <w:p w14:paraId="15186031" w14:textId="77777777" w:rsidR="00323705" w:rsidRDefault="00323705" w:rsidP="00323705">
      <w:pPr>
        <w:ind w:firstLine="709"/>
        <w:jc w:val="both"/>
        <w:rPr>
          <w:sz w:val="24"/>
          <w:szCs w:val="24"/>
        </w:rPr>
      </w:pPr>
      <w:r>
        <w:rPr>
          <w:sz w:val="24"/>
          <w:szCs w:val="24"/>
        </w:rPr>
        <w:t xml:space="preserve">Observa-se que a hipótese </w:t>
      </w:r>
      <w:r>
        <w:rPr>
          <w:b/>
          <w:sz w:val="24"/>
          <w:szCs w:val="24"/>
        </w:rPr>
        <w:t>H</w:t>
      </w:r>
      <w:r>
        <w:rPr>
          <w:b/>
          <w:sz w:val="24"/>
          <w:szCs w:val="24"/>
          <w:vertAlign w:val="subscript"/>
        </w:rPr>
        <w:t>1</w:t>
      </w:r>
      <w:r>
        <w:rPr>
          <w:sz w:val="24"/>
          <w:szCs w:val="24"/>
        </w:rPr>
        <w:t xml:space="preserve"> foi rejeitada, pois, fluxo de caixa livre não apresentou relação significativa no modelo utilizado neste estudo. No entanto, a hipótese </w:t>
      </w:r>
      <w:r>
        <w:rPr>
          <w:b/>
          <w:sz w:val="24"/>
          <w:szCs w:val="24"/>
        </w:rPr>
        <w:t>H</w:t>
      </w:r>
      <w:r>
        <w:rPr>
          <w:b/>
          <w:sz w:val="24"/>
          <w:szCs w:val="24"/>
          <w:vertAlign w:val="subscript"/>
        </w:rPr>
        <w:t>2</w:t>
      </w:r>
      <w:r>
        <w:rPr>
          <w:sz w:val="24"/>
          <w:szCs w:val="24"/>
        </w:rPr>
        <w:t xml:space="preserve"> foi aceita, evidenciou-se que a rentabilidade possui uma relação significativa com relação a distribuição de dividendos.</w:t>
      </w:r>
    </w:p>
    <w:p w14:paraId="632EED99" w14:textId="77777777" w:rsidR="00323705" w:rsidRDefault="00323705" w:rsidP="00323705">
      <w:pPr>
        <w:ind w:firstLine="709"/>
        <w:jc w:val="both"/>
        <w:rPr>
          <w:sz w:val="24"/>
          <w:szCs w:val="24"/>
        </w:rPr>
      </w:pPr>
    </w:p>
    <w:p w14:paraId="1A5DF075" w14:textId="77777777" w:rsidR="00323705" w:rsidRDefault="00323705" w:rsidP="00323705">
      <w:pPr>
        <w:pStyle w:val="Corpodetexto1"/>
        <w:numPr>
          <w:ilvl w:val="0"/>
          <w:numId w:val="4"/>
        </w:numPr>
        <w:shd w:val="clear" w:color="auto" w:fill="auto"/>
        <w:spacing w:after="0" w:line="240" w:lineRule="auto"/>
        <w:ind w:left="0" w:right="40" w:firstLine="0"/>
        <w:jc w:val="both"/>
        <w:rPr>
          <w:b/>
          <w:sz w:val="24"/>
          <w:szCs w:val="24"/>
        </w:rPr>
      </w:pPr>
      <w:r>
        <w:rPr>
          <w:b/>
          <w:sz w:val="24"/>
          <w:szCs w:val="24"/>
        </w:rPr>
        <w:t>CONCLUSÃO</w:t>
      </w:r>
    </w:p>
    <w:p w14:paraId="20DE853C" w14:textId="77777777" w:rsidR="00323705" w:rsidRDefault="00323705" w:rsidP="00323705">
      <w:pPr>
        <w:pStyle w:val="Corpodetexto1"/>
        <w:shd w:val="clear" w:color="auto" w:fill="auto"/>
        <w:spacing w:after="0" w:line="240" w:lineRule="auto"/>
        <w:ind w:left="20" w:right="40" w:firstLine="689"/>
        <w:jc w:val="both"/>
        <w:rPr>
          <w:sz w:val="24"/>
          <w:szCs w:val="24"/>
        </w:rPr>
      </w:pPr>
      <w:r>
        <w:rPr>
          <w:sz w:val="24"/>
          <w:szCs w:val="24"/>
        </w:rPr>
        <w:t>Este estudo teve como objetivo analisar a influência do fluxo de caixa livre e rentabilidade no pagamento de dividendos. Os resultados apontam que os principais determinantes do pagamento de dividendos apresentaram-se contraditórios aos encontrados na literatura.</w:t>
      </w:r>
    </w:p>
    <w:p w14:paraId="13AA0247" w14:textId="77777777" w:rsidR="00323705" w:rsidRDefault="00323705" w:rsidP="00323705">
      <w:pPr>
        <w:pStyle w:val="Corpodetexto1"/>
        <w:shd w:val="clear" w:color="auto" w:fill="auto"/>
        <w:spacing w:after="0" w:line="240" w:lineRule="auto"/>
        <w:ind w:left="20" w:right="40" w:firstLine="689"/>
        <w:jc w:val="both"/>
        <w:rPr>
          <w:sz w:val="24"/>
          <w:szCs w:val="24"/>
        </w:rPr>
      </w:pPr>
      <w:r>
        <w:rPr>
          <w:sz w:val="24"/>
          <w:szCs w:val="24"/>
        </w:rPr>
        <w:t xml:space="preserve">Neste contexto, quanto a variável fluxo de caixa livre, este estudo não apresentou valores significativos, estando em desacordo com o estudo de </w:t>
      </w:r>
      <w:r>
        <w:rPr>
          <w:sz w:val="24"/>
          <w:szCs w:val="24"/>
          <w:shd w:val="clear" w:color="auto" w:fill="FFFFFF"/>
        </w:rPr>
        <w:t xml:space="preserve">Oladipupo e Okafor (2013) </w:t>
      </w:r>
      <w:r>
        <w:rPr>
          <w:sz w:val="24"/>
          <w:szCs w:val="24"/>
        </w:rPr>
        <w:t>no qual afirmam que ter dinheiro suficiente em caixa é uma das premissas fundamentais para o pagamento de dividendos. Conforme os autores, mesmo que a empresa tenha auferido lucro no final do período é necessário ter dinheiro disponível para fazer o pagamento.</w:t>
      </w:r>
    </w:p>
    <w:p w14:paraId="7C260919" w14:textId="77777777" w:rsidR="00323705" w:rsidRDefault="00323705" w:rsidP="00323705">
      <w:pPr>
        <w:pStyle w:val="Corpodetexto1"/>
        <w:shd w:val="clear" w:color="auto" w:fill="auto"/>
        <w:spacing w:after="0" w:line="240" w:lineRule="auto"/>
        <w:ind w:firstLine="709"/>
        <w:jc w:val="both"/>
        <w:rPr>
          <w:sz w:val="24"/>
          <w:szCs w:val="24"/>
          <w:shd w:val="clear" w:color="auto" w:fill="FFFFFF"/>
        </w:rPr>
      </w:pPr>
      <w:r>
        <w:rPr>
          <w:sz w:val="24"/>
          <w:szCs w:val="24"/>
        </w:rPr>
        <w:t xml:space="preserve">No que se refere a rentabilidade, os resultados permitem identificar que esta variável </w:t>
      </w:r>
      <w:r>
        <w:rPr>
          <w:sz w:val="24"/>
          <w:szCs w:val="24"/>
        </w:rPr>
        <w:lastRenderedPageBreak/>
        <w:t xml:space="preserve">influencia negativamente na distribuição de dividendos, sendo divergente aos achados de Forti, Peixoto e Alves (2015) e indicando </w:t>
      </w:r>
      <w:r>
        <w:rPr>
          <w:sz w:val="24"/>
          <w:szCs w:val="24"/>
          <w:shd w:val="clear" w:color="auto" w:fill="FFFFFF"/>
        </w:rPr>
        <w:t xml:space="preserve">que mesmo com lucros menores as empresas ainda optam por pagar dividendos, pois, segundo Black e Scholes (1974) diminuir dividendos é sinal de que se espera que a organização passe por momentos difíceis. </w:t>
      </w:r>
    </w:p>
    <w:p w14:paraId="5A3803D5" w14:textId="77777777" w:rsidR="00323705" w:rsidRDefault="00323705" w:rsidP="00323705">
      <w:pPr>
        <w:ind w:firstLine="709"/>
        <w:jc w:val="both"/>
        <w:rPr>
          <w:sz w:val="24"/>
          <w:szCs w:val="24"/>
        </w:rPr>
      </w:pPr>
      <w:r>
        <w:rPr>
          <w:sz w:val="24"/>
          <w:szCs w:val="24"/>
        </w:rPr>
        <w:t xml:space="preserve">Por fim, tem-se as variáveis rentabilidade do ativo e tamanho que apresentaram resultados positivos e significativos com relação ao pagamento de dividendos. Sugerindo assim, que quanto maior a empresa, bem como, sua rentabilidade, mais dividendos serão distribuídos corroborando com os estudos de </w:t>
      </w:r>
      <w:r>
        <w:rPr>
          <w:sz w:val="24"/>
          <w:szCs w:val="24"/>
          <w:shd w:val="clear" w:color="auto" w:fill="FFFFFF"/>
        </w:rPr>
        <w:t>Ajanthan (2013) e</w:t>
      </w:r>
      <w:r>
        <w:rPr>
          <w:shd w:val="clear" w:color="auto" w:fill="FFFFFF"/>
        </w:rPr>
        <w:t xml:space="preserve"> </w:t>
      </w:r>
      <w:r>
        <w:rPr>
          <w:sz w:val="24"/>
          <w:szCs w:val="24"/>
        </w:rPr>
        <w:t>Forti, Peixoto e Alves (2015).</w:t>
      </w:r>
    </w:p>
    <w:p w14:paraId="31F7F70B" w14:textId="04407AB7" w:rsidR="00323705" w:rsidRPr="00323705" w:rsidRDefault="00323705" w:rsidP="00323705">
      <w:pPr>
        <w:autoSpaceDE w:val="0"/>
        <w:autoSpaceDN w:val="0"/>
        <w:adjustRightInd w:val="0"/>
        <w:ind w:firstLine="708"/>
        <w:jc w:val="both"/>
      </w:pPr>
      <w:r>
        <w:rPr>
          <w:sz w:val="24"/>
          <w:szCs w:val="24"/>
        </w:rPr>
        <w:t>O estudo apresentou resultados importantes para pesquisas que investigam questões de dividendos no contexto brasileiro. Com base na primeira hipótese, o estudo observou que o pagamento de dividendos não apresenta relação com o fluxo de caixa livre, fato que pode estar atrelado ao mercado emergente do estudo e as políticas de pagamento de dividendo do país.    Os resultados da segunda hipótese asseguram que a rentabilidade tem um impacto significativo sobre o pagamento de dividendos das empresas listadas no na BM&amp;FBovespa. Ou seja, um aumento ou diminuição da rentabilidade de uma empresa tende a afetar significativamente o nível de pagamento de dividendos das empresas. No geral o estudo alinha-se com a literatura que relata que a política de dividendos, molda-se de acordo com os fatores internos de cada país e peculiares de cada empresa (</w:t>
      </w:r>
      <w:r>
        <w:rPr>
          <w:sz w:val="24"/>
          <w:szCs w:val="24"/>
          <w:lang w:val="en-US"/>
        </w:rPr>
        <w:t>La Porta et al</w:t>
      </w:r>
      <w:r>
        <w:rPr>
          <w:i/>
          <w:sz w:val="24"/>
          <w:szCs w:val="24"/>
          <w:lang w:val="en-US"/>
        </w:rPr>
        <w:t>.,</w:t>
      </w:r>
      <w:r>
        <w:rPr>
          <w:sz w:val="24"/>
          <w:szCs w:val="24"/>
          <w:lang w:val="en-US"/>
        </w:rPr>
        <w:t xml:space="preserve"> 2000; </w:t>
      </w:r>
      <w:hyperlink r:id="rId8" w:anchor="bookmark70" w:tooltip="Current Document" w:history="1">
        <w:r w:rsidRPr="00323705">
          <w:rPr>
            <w:rStyle w:val="Hyperlink"/>
            <w:color w:val="000000" w:themeColor="text1"/>
            <w:sz w:val="24"/>
            <w:szCs w:val="24"/>
            <w:u w:val="none"/>
          </w:rPr>
          <w:t xml:space="preserve"> Denis &amp; Osobov, 2008</w:t>
        </w:r>
      </w:hyperlink>
      <w:r>
        <w:rPr>
          <w:sz w:val="24"/>
          <w:szCs w:val="24"/>
        </w:rPr>
        <w:t xml:space="preserve">). </w:t>
      </w:r>
    </w:p>
    <w:p w14:paraId="10CD33B8" w14:textId="2A9B3368" w:rsidR="00323705" w:rsidRDefault="00323705" w:rsidP="00323705">
      <w:pPr>
        <w:autoSpaceDE w:val="0"/>
        <w:autoSpaceDN w:val="0"/>
        <w:adjustRightInd w:val="0"/>
        <w:ind w:firstLine="708"/>
        <w:jc w:val="both"/>
        <w:rPr>
          <w:sz w:val="24"/>
          <w:szCs w:val="24"/>
          <w:shd w:val="clear" w:color="auto" w:fill="FFFFFF"/>
        </w:rPr>
      </w:pPr>
      <w:r>
        <w:rPr>
          <w:sz w:val="24"/>
          <w:szCs w:val="24"/>
        </w:rPr>
        <w:t>A presente pesquisa contribui para a literatura por ampliar o conhecimento sobre a relação entre dividendos, fluxo de caixa livre e rentabilidade das empresas brasileiras</w:t>
      </w:r>
      <w:r w:rsidR="00035892">
        <w:rPr>
          <w:sz w:val="24"/>
          <w:szCs w:val="24"/>
        </w:rPr>
        <w:t>. Sendo útil também para investidores no que se refere a análise de investimentos das empresas brasileiras de capital aberto</w:t>
      </w:r>
      <w:r w:rsidR="00416BE9">
        <w:rPr>
          <w:sz w:val="24"/>
          <w:szCs w:val="24"/>
        </w:rPr>
        <w:t xml:space="preserve"> ao relacionar a rentabilidade e o fluxo de caixa livre com o retorno das ações</w:t>
      </w:r>
      <w:r w:rsidR="00035892">
        <w:rPr>
          <w:sz w:val="24"/>
          <w:szCs w:val="24"/>
        </w:rPr>
        <w:t>.</w:t>
      </w:r>
      <w:r>
        <w:rPr>
          <w:sz w:val="24"/>
          <w:szCs w:val="24"/>
        </w:rPr>
        <w:t xml:space="preserve"> </w:t>
      </w:r>
      <w:r>
        <w:rPr>
          <w:sz w:val="24"/>
          <w:szCs w:val="24"/>
          <w:shd w:val="clear" w:color="auto" w:fill="FFFFFF"/>
        </w:rPr>
        <w:t xml:space="preserve">Neste estudo utilizou-se </w:t>
      </w:r>
      <w:r w:rsidR="00416BE9">
        <w:rPr>
          <w:sz w:val="24"/>
          <w:szCs w:val="24"/>
          <w:shd w:val="clear" w:color="auto" w:fill="FFFFFF"/>
        </w:rPr>
        <w:t xml:space="preserve">apenas </w:t>
      </w:r>
      <w:r>
        <w:rPr>
          <w:sz w:val="24"/>
          <w:szCs w:val="24"/>
          <w:shd w:val="clear" w:color="auto" w:fill="FFFFFF"/>
        </w:rPr>
        <w:t>empresas que continham informações públicas disponíveis e em um período específico de tempo, desta forma, salienta-se que não se pode generalizar os resultados encontrados para todas as empresas brasileiras. Como limitação do estudo tem-se o fato da amostra final ter sido reduzida para apenas as empresas que continham todas as informações analisadas.</w:t>
      </w:r>
    </w:p>
    <w:p w14:paraId="2B45E1B4" w14:textId="77777777" w:rsidR="00323705" w:rsidRDefault="00323705" w:rsidP="00323705">
      <w:pPr>
        <w:ind w:firstLine="709"/>
        <w:jc w:val="both"/>
        <w:rPr>
          <w:rFonts w:asciiTheme="minorHAnsi" w:hAnsiTheme="minorHAnsi" w:cstheme="minorBidi"/>
          <w:sz w:val="22"/>
          <w:szCs w:val="22"/>
        </w:rPr>
      </w:pPr>
      <w:r>
        <w:rPr>
          <w:sz w:val="24"/>
          <w:szCs w:val="24"/>
        </w:rPr>
        <w:t>Diversas lacunas acerca do tema ainda podem ser exploradas, investigando a complexidade existente e os diferentes ambientes econômicos. Sugere-se investigar os determinantes da distribuição de dividendos em outros países e cenários econômicos, utilizar outras variáveis a nível macro e microeconômico, bem como, incluir variáveis de mercado. Sugere-se também, investigar a variação do pagamento de dividendos ao longo do tempo, pois, o mesmo pode variar dentro da organização.</w:t>
      </w:r>
    </w:p>
    <w:p w14:paraId="32F07149" w14:textId="77777777" w:rsidR="00323705" w:rsidRDefault="00323705" w:rsidP="00323705">
      <w:pPr>
        <w:rPr>
          <w:sz w:val="24"/>
          <w:szCs w:val="24"/>
        </w:rPr>
      </w:pPr>
    </w:p>
    <w:p w14:paraId="4D36CE84" w14:textId="77777777" w:rsidR="00323705" w:rsidRDefault="00323705" w:rsidP="00323705">
      <w:pPr>
        <w:rPr>
          <w:b/>
          <w:sz w:val="24"/>
          <w:szCs w:val="24"/>
          <w:lang w:val="en-US"/>
        </w:rPr>
      </w:pPr>
      <w:r>
        <w:rPr>
          <w:b/>
          <w:sz w:val="24"/>
          <w:szCs w:val="24"/>
          <w:lang w:val="en-US"/>
        </w:rPr>
        <w:t>REFERÊNCIAS</w:t>
      </w:r>
    </w:p>
    <w:p w14:paraId="4A9D855B" w14:textId="77777777" w:rsidR="00323705" w:rsidRDefault="00323705" w:rsidP="00323705">
      <w:pPr>
        <w:ind w:left="709" w:hanging="709"/>
        <w:jc w:val="both"/>
        <w:rPr>
          <w:sz w:val="24"/>
          <w:szCs w:val="24"/>
          <w:shd w:val="clear" w:color="auto" w:fill="FFFFFF"/>
          <w:lang w:val="en-US"/>
        </w:rPr>
      </w:pPr>
      <w:r>
        <w:rPr>
          <w:sz w:val="24"/>
          <w:szCs w:val="24"/>
          <w:shd w:val="clear" w:color="auto" w:fill="FFFFFF"/>
          <w:lang w:val="en-US"/>
        </w:rPr>
        <w:t>Adaoglu, C. (2000) Instability in the dividend policy of the Istanbul Stock Exchange (ISE) corporations: evidence from an emerging market. </w:t>
      </w:r>
      <w:r>
        <w:rPr>
          <w:bCs/>
          <w:i/>
          <w:sz w:val="24"/>
          <w:szCs w:val="24"/>
          <w:shd w:val="clear" w:color="auto" w:fill="FFFFFF"/>
          <w:lang w:val="en-US"/>
        </w:rPr>
        <w:t>Emerging Markets Review</w:t>
      </w:r>
      <w:r>
        <w:rPr>
          <w:i/>
          <w:sz w:val="24"/>
          <w:szCs w:val="24"/>
          <w:shd w:val="clear" w:color="auto" w:fill="FFFFFF"/>
          <w:lang w:val="en-US"/>
        </w:rPr>
        <w:t>, 1</w:t>
      </w:r>
      <w:r>
        <w:rPr>
          <w:sz w:val="24"/>
          <w:szCs w:val="24"/>
          <w:shd w:val="clear" w:color="auto" w:fill="FFFFFF"/>
          <w:lang w:val="en-US"/>
        </w:rPr>
        <w:t>(3), p. 252-270.</w:t>
      </w:r>
    </w:p>
    <w:p w14:paraId="1811C103" w14:textId="77777777" w:rsidR="00323705" w:rsidRDefault="00323705" w:rsidP="00323705">
      <w:pPr>
        <w:ind w:left="709" w:hanging="709"/>
        <w:jc w:val="both"/>
        <w:rPr>
          <w:sz w:val="24"/>
          <w:szCs w:val="24"/>
          <w:shd w:val="clear" w:color="auto" w:fill="FFFFFF"/>
          <w:lang w:val="en-US"/>
        </w:rPr>
      </w:pPr>
    </w:p>
    <w:p w14:paraId="7C265878" w14:textId="77777777" w:rsidR="00323705" w:rsidRDefault="00323705" w:rsidP="00323705">
      <w:pPr>
        <w:ind w:left="709" w:hanging="709"/>
        <w:jc w:val="both"/>
        <w:rPr>
          <w:sz w:val="24"/>
          <w:szCs w:val="24"/>
          <w:shd w:val="clear" w:color="auto" w:fill="FFFFFF"/>
          <w:lang w:val="en-US"/>
        </w:rPr>
      </w:pPr>
      <w:r>
        <w:rPr>
          <w:sz w:val="24"/>
          <w:szCs w:val="24"/>
          <w:shd w:val="clear" w:color="auto" w:fill="FFFFFF"/>
          <w:lang w:val="en-US"/>
        </w:rPr>
        <w:t>Ajanthan, A. (2013). The relationship between dividend payout and firm profitability: A study of listed hotels and restaurant companies in Sri Lanka</w:t>
      </w:r>
      <w:r>
        <w:rPr>
          <w:i/>
          <w:sz w:val="24"/>
          <w:szCs w:val="24"/>
          <w:shd w:val="clear" w:color="auto" w:fill="FFFFFF"/>
          <w:lang w:val="en-US"/>
        </w:rPr>
        <w:t>. </w:t>
      </w:r>
      <w:r>
        <w:rPr>
          <w:bCs/>
          <w:i/>
          <w:sz w:val="24"/>
          <w:szCs w:val="24"/>
          <w:shd w:val="clear" w:color="auto" w:fill="FFFFFF"/>
          <w:lang w:val="en-US"/>
        </w:rPr>
        <w:t>International Journal of Scientific and Research Publications</w:t>
      </w:r>
      <w:r>
        <w:rPr>
          <w:i/>
          <w:sz w:val="24"/>
          <w:szCs w:val="24"/>
          <w:shd w:val="clear" w:color="auto" w:fill="FFFFFF"/>
          <w:lang w:val="en-US"/>
        </w:rPr>
        <w:t>, 3</w:t>
      </w:r>
      <w:r>
        <w:rPr>
          <w:sz w:val="24"/>
          <w:szCs w:val="24"/>
          <w:shd w:val="clear" w:color="auto" w:fill="FFFFFF"/>
          <w:lang w:val="en-US"/>
        </w:rPr>
        <w:t>(6), p. 1-6.</w:t>
      </w:r>
    </w:p>
    <w:p w14:paraId="661CDF44" w14:textId="77777777" w:rsidR="00323705" w:rsidRDefault="00323705" w:rsidP="00323705">
      <w:pPr>
        <w:ind w:left="709" w:hanging="709"/>
        <w:jc w:val="both"/>
        <w:rPr>
          <w:sz w:val="24"/>
          <w:szCs w:val="24"/>
          <w:shd w:val="clear" w:color="auto" w:fill="FFFFFF"/>
          <w:lang w:val="en-US"/>
        </w:rPr>
      </w:pPr>
    </w:p>
    <w:p w14:paraId="7CAE0E4A" w14:textId="77777777" w:rsidR="00323705" w:rsidRDefault="00323705" w:rsidP="00323705">
      <w:pPr>
        <w:ind w:left="709" w:hanging="709"/>
        <w:jc w:val="both"/>
        <w:rPr>
          <w:sz w:val="24"/>
          <w:szCs w:val="24"/>
          <w:shd w:val="clear" w:color="auto" w:fill="FFFFFF"/>
          <w:lang w:val="en-US"/>
        </w:rPr>
      </w:pPr>
      <w:r>
        <w:rPr>
          <w:sz w:val="24"/>
          <w:szCs w:val="24"/>
          <w:shd w:val="clear" w:color="auto" w:fill="FFFFFF"/>
          <w:lang w:val="en-US"/>
        </w:rPr>
        <w:t>Alli, K. L., Khan, A. Q. &amp; Ramirez, G. G. (1993). Determinants of corporate dividend policy: A factorial analysis. </w:t>
      </w:r>
      <w:r>
        <w:rPr>
          <w:bCs/>
          <w:i/>
          <w:sz w:val="24"/>
          <w:szCs w:val="24"/>
          <w:shd w:val="clear" w:color="auto" w:fill="FFFFFF"/>
          <w:lang w:val="en-US"/>
        </w:rPr>
        <w:t>Financial Review</w:t>
      </w:r>
      <w:r>
        <w:rPr>
          <w:i/>
          <w:sz w:val="24"/>
          <w:szCs w:val="24"/>
          <w:shd w:val="clear" w:color="auto" w:fill="FFFFFF"/>
          <w:lang w:val="en-US"/>
        </w:rPr>
        <w:t>, 28</w:t>
      </w:r>
      <w:r>
        <w:rPr>
          <w:sz w:val="24"/>
          <w:szCs w:val="24"/>
          <w:shd w:val="clear" w:color="auto" w:fill="FFFFFF"/>
          <w:lang w:val="en-US"/>
        </w:rPr>
        <w:t>(4), p. 523-547.</w:t>
      </w:r>
    </w:p>
    <w:p w14:paraId="3C671DE0" w14:textId="77777777" w:rsidR="00323705" w:rsidRDefault="00323705" w:rsidP="00323705">
      <w:pPr>
        <w:ind w:left="709" w:hanging="709"/>
        <w:jc w:val="both"/>
        <w:rPr>
          <w:sz w:val="24"/>
          <w:szCs w:val="24"/>
          <w:shd w:val="clear" w:color="auto" w:fill="FFFFFF"/>
          <w:lang w:val="en-US"/>
        </w:rPr>
      </w:pPr>
    </w:p>
    <w:p w14:paraId="5AF1F0EA" w14:textId="77777777" w:rsidR="00323705" w:rsidRDefault="00323705" w:rsidP="00323705">
      <w:pPr>
        <w:ind w:left="709" w:hanging="709"/>
        <w:jc w:val="both"/>
        <w:rPr>
          <w:sz w:val="24"/>
          <w:szCs w:val="24"/>
          <w:shd w:val="clear" w:color="auto" w:fill="FFFFFF"/>
          <w:lang w:val="en-US"/>
        </w:rPr>
      </w:pPr>
      <w:r>
        <w:rPr>
          <w:sz w:val="24"/>
          <w:szCs w:val="24"/>
          <w:shd w:val="clear" w:color="auto" w:fill="FFFFFF"/>
          <w:lang w:val="en-US"/>
        </w:rPr>
        <w:t xml:space="preserve">Ambrozini, M. A. (2011). Políticas de dividendos no Brasil: um modelo de apoio à decisão. Ribeirão Preto, 2011. 236f. </w:t>
      </w:r>
      <w:r>
        <w:rPr>
          <w:i/>
          <w:sz w:val="24"/>
          <w:szCs w:val="24"/>
          <w:shd w:val="clear" w:color="auto" w:fill="FFFFFF"/>
          <w:lang w:val="en-US"/>
        </w:rPr>
        <w:t>Tese (Doutorado em Administração de Organizações)</w:t>
      </w:r>
      <w:r>
        <w:rPr>
          <w:sz w:val="24"/>
          <w:szCs w:val="24"/>
          <w:shd w:val="clear" w:color="auto" w:fill="FFFFFF"/>
          <w:lang w:val="en-US"/>
        </w:rPr>
        <w:t xml:space="preserve"> – Universidade de São Paulo. São Paulo.</w:t>
      </w:r>
    </w:p>
    <w:p w14:paraId="0EB43959" w14:textId="77777777" w:rsidR="00323705" w:rsidRDefault="00323705" w:rsidP="00323705">
      <w:pPr>
        <w:ind w:left="709" w:hanging="709"/>
        <w:jc w:val="both"/>
        <w:rPr>
          <w:sz w:val="24"/>
          <w:szCs w:val="24"/>
          <w:shd w:val="clear" w:color="auto" w:fill="FFFFFF"/>
          <w:lang w:val="en-US"/>
        </w:rPr>
      </w:pPr>
    </w:p>
    <w:p w14:paraId="3308B3DF" w14:textId="77777777" w:rsidR="00323705" w:rsidRDefault="00323705" w:rsidP="00323705">
      <w:pPr>
        <w:ind w:left="709" w:hanging="709"/>
        <w:jc w:val="both"/>
        <w:rPr>
          <w:sz w:val="24"/>
          <w:szCs w:val="24"/>
          <w:shd w:val="clear" w:color="auto" w:fill="FFFFFF"/>
          <w:lang w:val="en-US"/>
        </w:rPr>
      </w:pPr>
      <w:r>
        <w:rPr>
          <w:sz w:val="24"/>
          <w:szCs w:val="24"/>
          <w:shd w:val="clear" w:color="auto" w:fill="FFFFFF"/>
          <w:lang w:val="en-US"/>
        </w:rPr>
        <w:t>Amidu, M. &amp; Abor, J. (2006). Determinants of dividend payout ratios in Ghana. </w:t>
      </w:r>
      <w:r>
        <w:rPr>
          <w:bCs/>
          <w:i/>
          <w:sz w:val="24"/>
          <w:szCs w:val="24"/>
          <w:shd w:val="clear" w:color="auto" w:fill="FFFFFF"/>
          <w:lang w:val="en-US"/>
        </w:rPr>
        <w:t>The journal of risk finance</w:t>
      </w:r>
      <w:r>
        <w:rPr>
          <w:i/>
          <w:sz w:val="24"/>
          <w:szCs w:val="24"/>
          <w:shd w:val="clear" w:color="auto" w:fill="FFFFFF"/>
          <w:lang w:val="en-US"/>
        </w:rPr>
        <w:t>, 7</w:t>
      </w:r>
      <w:r>
        <w:rPr>
          <w:sz w:val="24"/>
          <w:szCs w:val="24"/>
          <w:shd w:val="clear" w:color="auto" w:fill="FFFFFF"/>
          <w:lang w:val="en-US"/>
        </w:rPr>
        <w:t>(2), p. 136-145.</w:t>
      </w:r>
    </w:p>
    <w:p w14:paraId="6FE92FC0" w14:textId="77777777" w:rsidR="00323705" w:rsidRDefault="00323705" w:rsidP="00323705">
      <w:pPr>
        <w:ind w:left="709" w:hanging="709"/>
        <w:jc w:val="both"/>
        <w:rPr>
          <w:sz w:val="24"/>
          <w:szCs w:val="24"/>
          <w:shd w:val="clear" w:color="auto" w:fill="FFFFFF"/>
          <w:lang w:val="en-US"/>
        </w:rPr>
      </w:pPr>
    </w:p>
    <w:p w14:paraId="5FD9CC5D" w14:textId="77777777" w:rsidR="00323705" w:rsidRDefault="00323705" w:rsidP="00323705">
      <w:pPr>
        <w:ind w:left="709" w:hanging="709"/>
        <w:jc w:val="both"/>
        <w:rPr>
          <w:sz w:val="24"/>
          <w:szCs w:val="24"/>
          <w:shd w:val="clear" w:color="auto" w:fill="FFFFFF"/>
          <w:lang w:val="en-US"/>
        </w:rPr>
      </w:pPr>
      <w:r>
        <w:rPr>
          <w:sz w:val="24"/>
          <w:szCs w:val="24"/>
          <w:shd w:val="clear" w:color="auto" w:fill="FFFFFF"/>
          <w:lang w:val="en-US"/>
        </w:rPr>
        <w:t>Baker, H. K., Farrelly, G. E. &amp; Edelman, R. B. (1985). A survey of management views on dividend policy. </w:t>
      </w:r>
      <w:r>
        <w:rPr>
          <w:bCs/>
          <w:i/>
          <w:sz w:val="24"/>
          <w:szCs w:val="24"/>
          <w:shd w:val="clear" w:color="auto" w:fill="FFFFFF"/>
          <w:lang w:val="en-US"/>
        </w:rPr>
        <w:t>Financial Management</w:t>
      </w:r>
      <w:r>
        <w:rPr>
          <w:sz w:val="24"/>
          <w:szCs w:val="24"/>
          <w:shd w:val="clear" w:color="auto" w:fill="FFFFFF"/>
          <w:lang w:val="en-US"/>
        </w:rPr>
        <w:t>, p. 78-84.</w:t>
      </w:r>
    </w:p>
    <w:p w14:paraId="4181F01D" w14:textId="77777777" w:rsidR="00323705" w:rsidRDefault="00323705" w:rsidP="00323705">
      <w:pPr>
        <w:ind w:left="709" w:hanging="709"/>
        <w:jc w:val="both"/>
        <w:rPr>
          <w:sz w:val="24"/>
          <w:szCs w:val="24"/>
          <w:shd w:val="clear" w:color="auto" w:fill="FFFFFF"/>
          <w:lang w:val="en-US"/>
        </w:rPr>
      </w:pPr>
    </w:p>
    <w:p w14:paraId="30E56AB1" w14:textId="77777777" w:rsidR="00323705" w:rsidRDefault="00323705" w:rsidP="00323705">
      <w:pPr>
        <w:ind w:left="709" w:hanging="709"/>
        <w:jc w:val="both"/>
        <w:rPr>
          <w:sz w:val="24"/>
          <w:szCs w:val="24"/>
          <w:shd w:val="clear" w:color="auto" w:fill="FFFFFF"/>
        </w:rPr>
      </w:pPr>
      <w:r>
        <w:rPr>
          <w:sz w:val="24"/>
          <w:szCs w:val="24"/>
          <w:shd w:val="clear" w:color="auto" w:fill="FFFFFF"/>
          <w:lang w:val="de-LI"/>
        </w:rPr>
        <w:t xml:space="preserve">Basse, T., &amp; Reddemann, S. (2011). Inflation and the dividend policy of US firms. </w:t>
      </w:r>
      <w:r>
        <w:rPr>
          <w:i/>
          <w:sz w:val="24"/>
          <w:szCs w:val="24"/>
          <w:shd w:val="clear" w:color="auto" w:fill="FFFFFF"/>
        </w:rPr>
        <w:t>Managerial Finance, 37</w:t>
      </w:r>
      <w:r>
        <w:rPr>
          <w:sz w:val="24"/>
          <w:szCs w:val="24"/>
          <w:shd w:val="clear" w:color="auto" w:fill="FFFFFF"/>
        </w:rPr>
        <w:t>(1), 34-46.</w:t>
      </w:r>
    </w:p>
    <w:p w14:paraId="6C3AE030" w14:textId="77777777" w:rsidR="00323705" w:rsidRDefault="00323705" w:rsidP="00323705">
      <w:pPr>
        <w:jc w:val="both"/>
        <w:rPr>
          <w:sz w:val="24"/>
          <w:szCs w:val="24"/>
          <w:shd w:val="clear" w:color="auto" w:fill="FFFFFF"/>
          <w:lang w:val="en-US"/>
        </w:rPr>
      </w:pPr>
    </w:p>
    <w:p w14:paraId="29B7941D" w14:textId="77777777" w:rsidR="00323705" w:rsidRDefault="00323705" w:rsidP="00323705">
      <w:pPr>
        <w:ind w:left="709" w:hanging="709"/>
        <w:jc w:val="both"/>
        <w:rPr>
          <w:sz w:val="24"/>
          <w:szCs w:val="24"/>
          <w:shd w:val="clear" w:color="auto" w:fill="FFFFFF"/>
          <w:lang w:val="en-US"/>
        </w:rPr>
      </w:pPr>
      <w:r>
        <w:rPr>
          <w:sz w:val="24"/>
          <w:szCs w:val="24"/>
          <w:shd w:val="clear" w:color="auto" w:fill="FFFFFF"/>
          <w:lang w:val="en-US"/>
        </w:rPr>
        <w:t>Black, F. &amp; Scholes, M. (1974). The effects of dividend yield and dividend policy on common stock prices and returns</w:t>
      </w:r>
      <w:r>
        <w:rPr>
          <w:i/>
          <w:sz w:val="24"/>
          <w:szCs w:val="24"/>
          <w:shd w:val="clear" w:color="auto" w:fill="FFFFFF"/>
          <w:lang w:val="en-US"/>
        </w:rPr>
        <w:t>. </w:t>
      </w:r>
      <w:r>
        <w:rPr>
          <w:bCs/>
          <w:i/>
          <w:sz w:val="24"/>
          <w:szCs w:val="24"/>
          <w:shd w:val="clear" w:color="auto" w:fill="FFFFFF"/>
          <w:lang w:val="en-US"/>
        </w:rPr>
        <w:t>Journal of financial Economics</w:t>
      </w:r>
      <w:r>
        <w:rPr>
          <w:i/>
          <w:sz w:val="24"/>
          <w:szCs w:val="24"/>
          <w:shd w:val="clear" w:color="auto" w:fill="FFFFFF"/>
          <w:lang w:val="en-US"/>
        </w:rPr>
        <w:t>, 1</w:t>
      </w:r>
      <w:r>
        <w:rPr>
          <w:sz w:val="24"/>
          <w:szCs w:val="24"/>
          <w:shd w:val="clear" w:color="auto" w:fill="FFFFFF"/>
          <w:lang w:val="en-US"/>
        </w:rPr>
        <w:t>(1), p. 1-22.</w:t>
      </w:r>
    </w:p>
    <w:p w14:paraId="02B9EDFC" w14:textId="77777777" w:rsidR="00323705" w:rsidRDefault="00323705" w:rsidP="00323705">
      <w:pPr>
        <w:ind w:left="709" w:hanging="709"/>
        <w:jc w:val="both"/>
        <w:rPr>
          <w:sz w:val="24"/>
          <w:szCs w:val="24"/>
          <w:shd w:val="clear" w:color="auto" w:fill="FFFFFF"/>
          <w:lang w:val="en-US"/>
        </w:rPr>
      </w:pPr>
    </w:p>
    <w:p w14:paraId="31EBA108" w14:textId="77777777" w:rsidR="00323705" w:rsidRDefault="00323705" w:rsidP="00323705">
      <w:pPr>
        <w:ind w:left="709" w:hanging="709"/>
        <w:jc w:val="both"/>
        <w:rPr>
          <w:sz w:val="24"/>
          <w:szCs w:val="24"/>
          <w:shd w:val="clear" w:color="auto" w:fill="FFFFFF"/>
          <w:lang w:val="en-US"/>
        </w:rPr>
      </w:pPr>
      <w:r>
        <w:rPr>
          <w:sz w:val="24"/>
          <w:szCs w:val="24"/>
          <w:shd w:val="clear" w:color="auto" w:fill="FFFFFF"/>
          <w:lang w:val="en-US"/>
        </w:rPr>
        <w:t xml:space="preserve">Chiarello, T. C., da Silva, T. P., &amp; Nakamura, W. T. (2014). Efeito das estratégias financeiras alinhado a política de dividendos das empresas de propriedade familiar e não familiar brasileiras. </w:t>
      </w:r>
      <w:r>
        <w:rPr>
          <w:i/>
          <w:sz w:val="24"/>
          <w:szCs w:val="24"/>
          <w:shd w:val="clear" w:color="auto" w:fill="FFFFFF"/>
          <w:lang w:val="en-US"/>
        </w:rPr>
        <w:t>Advances in Scientific and Applied Accounting, 7</w:t>
      </w:r>
      <w:r>
        <w:rPr>
          <w:sz w:val="24"/>
          <w:szCs w:val="24"/>
          <w:shd w:val="clear" w:color="auto" w:fill="FFFFFF"/>
          <w:lang w:val="en-US"/>
        </w:rPr>
        <w:t>(3), 432-452.</w:t>
      </w:r>
    </w:p>
    <w:p w14:paraId="378D8A7F" w14:textId="77777777" w:rsidR="00323705" w:rsidRDefault="00323705" w:rsidP="00323705">
      <w:pPr>
        <w:ind w:left="709" w:hanging="709"/>
        <w:jc w:val="both"/>
        <w:rPr>
          <w:sz w:val="24"/>
          <w:szCs w:val="24"/>
          <w:shd w:val="clear" w:color="auto" w:fill="FFFFFF"/>
          <w:lang w:val="en-US"/>
        </w:rPr>
      </w:pPr>
    </w:p>
    <w:p w14:paraId="4C070BC5" w14:textId="77777777" w:rsidR="00323705" w:rsidRDefault="00323705" w:rsidP="00323705">
      <w:pPr>
        <w:ind w:left="709" w:hanging="709"/>
        <w:jc w:val="both"/>
        <w:rPr>
          <w:sz w:val="24"/>
          <w:szCs w:val="24"/>
          <w:shd w:val="clear" w:color="auto" w:fill="FFFFFF"/>
          <w:lang w:val="en-US"/>
        </w:rPr>
      </w:pPr>
      <w:r>
        <w:rPr>
          <w:sz w:val="24"/>
          <w:szCs w:val="24"/>
          <w:shd w:val="clear" w:color="auto" w:fill="FFFFFF"/>
          <w:lang w:val="en-US"/>
        </w:rPr>
        <w:t>De Angelo, H., De Angelo, L. (1990). Dividend policy and financial distress: An empirical investigation of troubled NYSE firms. </w:t>
      </w:r>
      <w:r>
        <w:rPr>
          <w:bCs/>
          <w:i/>
          <w:sz w:val="24"/>
          <w:szCs w:val="24"/>
          <w:shd w:val="clear" w:color="auto" w:fill="FFFFFF"/>
          <w:lang w:val="en-US"/>
        </w:rPr>
        <w:t>The Journal of Finance</w:t>
      </w:r>
      <w:r>
        <w:rPr>
          <w:i/>
          <w:sz w:val="24"/>
          <w:szCs w:val="24"/>
          <w:shd w:val="clear" w:color="auto" w:fill="FFFFFF"/>
          <w:lang w:val="en-US"/>
        </w:rPr>
        <w:t>, 45</w:t>
      </w:r>
      <w:r>
        <w:rPr>
          <w:sz w:val="24"/>
          <w:szCs w:val="24"/>
          <w:shd w:val="clear" w:color="auto" w:fill="FFFFFF"/>
          <w:lang w:val="en-US"/>
        </w:rPr>
        <w:t>(5), p. 1415-1431.</w:t>
      </w:r>
    </w:p>
    <w:p w14:paraId="455B520B" w14:textId="77777777" w:rsidR="00323705" w:rsidRDefault="00323705" w:rsidP="00323705">
      <w:pPr>
        <w:ind w:left="709" w:hanging="709"/>
        <w:jc w:val="both"/>
        <w:rPr>
          <w:sz w:val="24"/>
          <w:szCs w:val="24"/>
          <w:shd w:val="clear" w:color="auto" w:fill="FFFFFF"/>
          <w:lang w:val="en-US"/>
        </w:rPr>
      </w:pPr>
    </w:p>
    <w:p w14:paraId="5B6742CA" w14:textId="77777777" w:rsidR="00323705" w:rsidRDefault="00323705" w:rsidP="00323705">
      <w:pPr>
        <w:ind w:left="709" w:hanging="709"/>
        <w:jc w:val="both"/>
        <w:rPr>
          <w:sz w:val="24"/>
          <w:szCs w:val="24"/>
          <w:shd w:val="clear" w:color="auto" w:fill="FFFFFF"/>
        </w:rPr>
      </w:pPr>
      <w:r>
        <w:rPr>
          <w:sz w:val="24"/>
          <w:szCs w:val="24"/>
          <w:shd w:val="clear" w:color="auto" w:fill="FFFFFF"/>
          <w:lang w:val="en-US"/>
        </w:rPr>
        <w:t>Denis, D. J. &amp; Osobov, I. (2008). Why do firms pay dividends? International evidence on the determinants of dividend policy. </w:t>
      </w:r>
      <w:r>
        <w:rPr>
          <w:bCs/>
          <w:i/>
          <w:sz w:val="24"/>
          <w:szCs w:val="24"/>
          <w:shd w:val="clear" w:color="auto" w:fill="FFFFFF"/>
        </w:rPr>
        <w:t>Journal of Financial Economics,</w:t>
      </w:r>
      <w:r>
        <w:rPr>
          <w:i/>
          <w:sz w:val="24"/>
          <w:szCs w:val="24"/>
          <w:shd w:val="clear" w:color="auto" w:fill="FFFFFF"/>
        </w:rPr>
        <w:t xml:space="preserve"> 89</w:t>
      </w:r>
      <w:r>
        <w:rPr>
          <w:sz w:val="24"/>
          <w:szCs w:val="24"/>
          <w:shd w:val="clear" w:color="auto" w:fill="FFFFFF"/>
        </w:rPr>
        <w:t>(1), p. 62-82.</w:t>
      </w:r>
    </w:p>
    <w:p w14:paraId="237A3493" w14:textId="77777777" w:rsidR="00323705" w:rsidRDefault="00323705" w:rsidP="00323705">
      <w:pPr>
        <w:ind w:left="709" w:hanging="709"/>
        <w:jc w:val="both"/>
        <w:rPr>
          <w:sz w:val="24"/>
          <w:szCs w:val="24"/>
          <w:shd w:val="clear" w:color="auto" w:fill="FFFFFF"/>
        </w:rPr>
      </w:pPr>
    </w:p>
    <w:p w14:paraId="223FA22D" w14:textId="77777777" w:rsidR="00323705" w:rsidRDefault="00323705" w:rsidP="00323705">
      <w:pPr>
        <w:ind w:left="709" w:hanging="709"/>
        <w:jc w:val="both"/>
        <w:rPr>
          <w:sz w:val="24"/>
          <w:szCs w:val="24"/>
          <w:shd w:val="clear" w:color="auto" w:fill="FFFFFF"/>
        </w:rPr>
      </w:pPr>
      <w:r>
        <w:rPr>
          <w:sz w:val="24"/>
          <w:szCs w:val="24"/>
          <w:shd w:val="clear" w:color="auto" w:fill="FFFFFF"/>
          <w:lang w:val="de-LI"/>
        </w:rPr>
        <w:t xml:space="preserve">Erkan, A., Fainshmidt, S., &amp; Judge, W. Q. (2016). </w:t>
      </w:r>
      <w:r>
        <w:rPr>
          <w:sz w:val="24"/>
          <w:szCs w:val="24"/>
          <w:shd w:val="clear" w:color="auto" w:fill="FFFFFF"/>
        </w:rPr>
        <w:t>Variance decomposition of the country, industry, firm, and firm-year effects on dividend policy. </w:t>
      </w:r>
      <w:r>
        <w:rPr>
          <w:i/>
          <w:iCs/>
          <w:sz w:val="24"/>
          <w:szCs w:val="24"/>
          <w:shd w:val="clear" w:color="auto" w:fill="FFFFFF"/>
        </w:rPr>
        <w:t>International Business Review</w:t>
      </w:r>
      <w:r>
        <w:rPr>
          <w:sz w:val="24"/>
          <w:szCs w:val="24"/>
          <w:shd w:val="clear" w:color="auto" w:fill="FFFFFF"/>
        </w:rPr>
        <w:t>, </w:t>
      </w:r>
      <w:r>
        <w:rPr>
          <w:i/>
          <w:iCs/>
          <w:sz w:val="24"/>
          <w:szCs w:val="24"/>
          <w:shd w:val="clear" w:color="auto" w:fill="FFFFFF"/>
        </w:rPr>
        <w:t>25</w:t>
      </w:r>
      <w:r>
        <w:rPr>
          <w:sz w:val="24"/>
          <w:szCs w:val="24"/>
          <w:shd w:val="clear" w:color="auto" w:fill="FFFFFF"/>
        </w:rPr>
        <w:t>(6), 1309-1320.</w:t>
      </w:r>
    </w:p>
    <w:p w14:paraId="7E3D69B7" w14:textId="77777777" w:rsidR="00323705" w:rsidRDefault="00323705" w:rsidP="00323705">
      <w:pPr>
        <w:ind w:left="709" w:hanging="709"/>
        <w:jc w:val="both"/>
        <w:rPr>
          <w:rStyle w:val="nfase"/>
          <w:rFonts w:asciiTheme="minorHAnsi" w:hAnsiTheme="minorHAnsi" w:cstheme="minorBidi"/>
          <w:bCs/>
          <w:i w:val="0"/>
          <w:iCs w:val="0"/>
          <w:color w:val="6A6A6A"/>
        </w:rPr>
      </w:pPr>
    </w:p>
    <w:p w14:paraId="150D9BBA" w14:textId="77777777" w:rsidR="00323705" w:rsidRDefault="00323705" w:rsidP="00323705">
      <w:pPr>
        <w:ind w:left="709" w:hanging="709"/>
        <w:jc w:val="both"/>
      </w:pPr>
      <w:r>
        <w:rPr>
          <w:rStyle w:val="nfase"/>
          <w:bCs/>
          <w:i w:val="0"/>
          <w:iCs w:val="0"/>
          <w:sz w:val="24"/>
          <w:szCs w:val="24"/>
          <w:shd w:val="clear" w:color="auto" w:fill="FFFFFF"/>
        </w:rPr>
        <w:t>Fávero</w:t>
      </w:r>
      <w:r>
        <w:rPr>
          <w:sz w:val="24"/>
          <w:szCs w:val="24"/>
          <w:shd w:val="clear" w:color="auto" w:fill="FFFFFF"/>
        </w:rPr>
        <w:t>, </w:t>
      </w:r>
      <w:r>
        <w:rPr>
          <w:rStyle w:val="nfase"/>
          <w:bCs/>
          <w:i w:val="0"/>
          <w:iCs w:val="0"/>
          <w:sz w:val="24"/>
          <w:szCs w:val="24"/>
          <w:shd w:val="clear" w:color="auto" w:fill="FFFFFF"/>
        </w:rPr>
        <w:t>L. P.</w:t>
      </w:r>
      <w:r>
        <w:rPr>
          <w:sz w:val="24"/>
          <w:szCs w:val="24"/>
          <w:shd w:val="clear" w:color="auto" w:fill="FFFFFF"/>
        </w:rPr>
        <w:t>, </w:t>
      </w:r>
      <w:r>
        <w:rPr>
          <w:rStyle w:val="nfase"/>
          <w:bCs/>
          <w:i w:val="0"/>
          <w:iCs w:val="0"/>
          <w:sz w:val="24"/>
          <w:szCs w:val="24"/>
          <w:shd w:val="clear" w:color="auto" w:fill="FFFFFF"/>
        </w:rPr>
        <w:t>Belfiore</w:t>
      </w:r>
      <w:r>
        <w:rPr>
          <w:sz w:val="24"/>
          <w:szCs w:val="24"/>
          <w:shd w:val="clear" w:color="auto" w:fill="FFFFFF"/>
        </w:rPr>
        <w:t>, </w:t>
      </w:r>
      <w:r>
        <w:rPr>
          <w:rStyle w:val="nfase"/>
          <w:bCs/>
          <w:i w:val="0"/>
          <w:iCs w:val="0"/>
          <w:sz w:val="24"/>
          <w:szCs w:val="24"/>
          <w:shd w:val="clear" w:color="auto" w:fill="FFFFFF"/>
        </w:rPr>
        <w:t>P</w:t>
      </w:r>
      <w:r>
        <w:rPr>
          <w:sz w:val="24"/>
          <w:szCs w:val="24"/>
          <w:shd w:val="clear" w:color="auto" w:fill="FFFFFF"/>
        </w:rPr>
        <w:t>., </w:t>
      </w:r>
      <w:r>
        <w:rPr>
          <w:rStyle w:val="nfase"/>
          <w:bCs/>
          <w:i w:val="0"/>
          <w:iCs w:val="0"/>
          <w:sz w:val="24"/>
          <w:szCs w:val="24"/>
          <w:shd w:val="clear" w:color="auto" w:fill="FFFFFF"/>
        </w:rPr>
        <w:t>Silva</w:t>
      </w:r>
      <w:r>
        <w:rPr>
          <w:sz w:val="24"/>
          <w:szCs w:val="24"/>
          <w:shd w:val="clear" w:color="auto" w:fill="FFFFFF"/>
        </w:rPr>
        <w:t>, F.L. &amp; </w:t>
      </w:r>
      <w:r>
        <w:rPr>
          <w:rStyle w:val="nfase"/>
          <w:bCs/>
          <w:i w:val="0"/>
          <w:iCs w:val="0"/>
          <w:sz w:val="24"/>
          <w:szCs w:val="24"/>
          <w:shd w:val="clear" w:color="auto" w:fill="FFFFFF"/>
        </w:rPr>
        <w:t>Chan</w:t>
      </w:r>
      <w:r>
        <w:rPr>
          <w:sz w:val="24"/>
          <w:szCs w:val="24"/>
          <w:shd w:val="clear" w:color="auto" w:fill="FFFFFF"/>
        </w:rPr>
        <w:t>, </w:t>
      </w:r>
      <w:r>
        <w:rPr>
          <w:rStyle w:val="nfase"/>
          <w:bCs/>
          <w:i w:val="0"/>
          <w:iCs w:val="0"/>
          <w:sz w:val="24"/>
          <w:szCs w:val="24"/>
          <w:shd w:val="clear" w:color="auto" w:fill="FFFFFF"/>
        </w:rPr>
        <w:t xml:space="preserve">B.L. (2009). </w:t>
      </w:r>
      <w:r>
        <w:rPr>
          <w:rStyle w:val="nfase"/>
          <w:bCs/>
          <w:iCs w:val="0"/>
          <w:sz w:val="24"/>
          <w:szCs w:val="24"/>
          <w:shd w:val="clear" w:color="auto" w:fill="FFFFFF"/>
        </w:rPr>
        <w:t>Análise de dados</w:t>
      </w:r>
      <w:r>
        <w:rPr>
          <w:sz w:val="24"/>
          <w:szCs w:val="24"/>
          <w:shd w:val="clear" w:color="auto" w:fill="FFFFFF"/>
        </w:rPr>
        <w:t>: </w:t>
      </w:r>
      <w:r>
        <w:rPr>
          <w:rStyle w:val="nfase"/>
          <w:bCs/>
          <w:i w:val="0"/>
          <w:iCs w:val="0"/>
          <w:sz w:val="24"/>
          <w:szCs w:val="24"/>
          <w:shd w:val="clear" w:color="auto" w:fill="FFFFFF"/>
        </w:rPr>
        <w:t>modelagem multivariada para tomada de decisões</w:t>
      </w:r>
      <w:r>
        <w:rPr>
          <w:sz w:val="24"/>
          <w:szCs w:val="24"/>
          <w:shd w:val="clear" w:color="auto" w:fill="FFFFFF"/>
        </w:rPr>
        <w:t>. Rio de Janeiro: Elsevier</w:t>
      </w:r>
      <w:r>
        <w:rPr>
          <w:rStyle w:val="nfase"/>
          <w:bCs/>
          <w:i w:val="0"/>
          <w:iCs w:val="0"/>
          <w:sz w:val="24"/>
          <w:szCs w:val="24"/>
          <w:shd w:val="clear" w:color="auto" w:fill="FFFFFF"/>
        </w:rPr>
        <w:t>.</w:t>
      </w:r>
    </w:p>
    <w:p w14:paraId="461BE6FE" w14:textId="77777777" w:rsidR="00323705" w:rsidRDefault="00323705" w:rsidP="00323705">
      <w:pPr>
        <w:autoSpaceDE w:val="0"/>
        <w:autoSpaceDN w:val="0"/>
        <w:adjustRightInd w:val="0"/>
        <w:ind w:left="709" w:hanging="709"/>
        <w:jc w:val="both"/>
        <w:rPr>
          <w:sz w:val="24"/>
          <w:szCs w:val="24"/>
        </w:rPr>
      </w:pPr>
    </w:p>
    <w:p w14:paraId="37796F7F" w14:textId="77777777" w:rsidR="00323705" w:rsidRDefault="00323705" w:rsidP="00323705">
      <w:pPr>
        <w:autoSpaceDE w:val="0"/>
        <w:autoSpaceDN w:val="0"/>
        <w:adjustRightInd w:val="0"/>
        <w:ind w:left="709" w:hanging="709"/>
        <w:jc w:val="both"/>
        <w:rPr>
          <w:sz w:val="24"/>
          <w:szCs w:val="24"/>
        </w:rPr>
      </w:pPr>
      <w:r>
        <w:rPr>
          <w:sz w:val="24"/>
          <w:szCs w:val="24"/>
        </w:rPr>
        <w:t xml:space="preserve">Fonteles, I. V., Júnior, C. A. P., Vasconcelos, A. C. &amp; Luca, M. M. M. (2013). Política de dividendos das empresas participantes do índice dividendos da BM&amp;FBOVESPA. </w:t>
      </w:r>
      <w:r>
        <w:rPr>
          <w:i/>
          <w:iCs/>
          <w:sz w:val="24"/>
          <w:szCs w:val="24"/>
        </w:rPr>
        <w:t>Contabilidade Vista &amp; Revista</w:t>
      </w:r>
      <w:r>
        <w:rPr>
          <w:i/>
          <w:sz w:val="24"/>
          <w:szCs w:val="24"/>
        </w:rPr>
        <w:t xml:space="preserve">, </w:t>
      </w:r>
      <w:r>
        <w:rPr>
          <w:i/>
          <w:iCs/>
          <w:sz w:val="24"/>
          <w:szCs w:val="24"/>
        </w:rPr>
        <w:t>23</w:t>
      </w:r>
      <w:r>
        <w:rPr>
          <w:sz w:val="24"/>
          <w:szCs w:val="24"/>
        </w:rPr>
        <w:t>(3), pp. 173-204.</w:t>
      </w:r>
    </w:p>
    <w:p w14:paraId="48B73114" w14:textId="77777777" w:rsidR="00323705" w:rsidRDefault="00323705" w:rsidP="00323705">
      <w:pPr>
        <w:autoSpaceDE w:val="0"/>
        <w:autoSpaceDN w:val="0"/>
        <w:adjustRightInd w:val="0"/>
        <w:ind w:left="709" w:hanging="709"/>
        <w:jc w:val="both"/>
        <w:rPr>
          <w:sz w:val="24"/>
          <w:szCs w:val="24"/>
        </w:rPr>
      </w:pPr>
    </w:p>
    <w:p w14:paraId="36E2B338" w14:textId="77777777" w:rsidR="00323705" w:rsidRDefault="00323705" w:rsidP="00323705">
      <w:pPr>
        <w:autoSpaceDE w:val="0"/>
        <w:autoSpaceDN w:val="0"/>
        <w:adjustRightInd w:val="0"/>
        <w:ind w:left="709" w:hanging="709"/>
        <w:jc w:val="both"/>
        <w:rPr>
          <w:sz w:val="24"/>
          <w:szCs w:val="24"/>
          <w:lang w:val="en-US"/>
        </w:rPr>
      </w:pPr>
      <w:r>
        <w:rPr>
          <w:sz w:val="24"/>
          <w:szCs w:val="24"/>
        </w:rPr>
        <w:t xml:space="preserve">Forti, C. A. B., Peixoto, F. M. &amp; Alves, D. L. (2015). </w:t>
      </w:r>
      <w:r>
        <w:rPr>
          <w:sz w:val="24"/>
          <w:szCs w:val="24"/>
          <w:lang w:val="de-LI"/>
        </w:rPr>
        <w:t xml:space="preserve">Determinant Factors of Dividend Payments in Brazil. </w:t>
      </w:r>
      <w:r>
        <w:rPr>
          <w:i/>
          <w:iCs/>
          <w:sz w:val="24"/>
          <w:szCs w:val="24"/>
          <w:lang w:val="en-US"/>
        </w:rPr>
        <w:t>Revista Contabilidade &amp; Finanças</w:t>
      </w:r>
      <w:r>
        <w:rPr>
          <w:i/>
          <w:sz w:val="24"/>
          <w:szCs w:val="24"/>
          <w:lang w:val="en-US"/>
        </w:rPr>
        <w:t xml:space="preserve">, </w:t>
      </w:r>
      <w:r>
        <w:rPr>
          <w:i/>
          <w:iCs/>
          <w:sz w:val="24"/>
          <w:szCs w:val="24"/>
          <w:lang w:val="en-US"/>
        </w:rPr>
        <w:t>26</w:t>
      </w:r>
      <w:r>
        <w:rPr>
          <w:sz w:val="24"/>
          <w:szCs w:val="24"/>
          <w:lang w:val="en-US"/>
        </w:rPr>
        <w:t>(68), pp. 167-180.</w:t>
      </w:r>
    </w:p>
    <w:p w14:paraId="320234D9" w14:textId="77777777" w:rsidR="00323705" w:rsidRDefault="00323705" w:rsidP="00323705">
      <w:pPr>
        <w:autoSpaceDE w:val="0"/>
        <w:autoSpaceDN w:val="0"/>
        <w:adjustRightInd w:val="0"/>
        <w:ind w:left="709" w:hanging="709"/>
        <w:jc w:val="both"/>
        <w:rPr>
          <w:sz w:val="24"/>
          <w:szCs w:val="24"/>
          <w:lang w:val="en-US"/>
        </w:rPr>
      </w:pPr>
    </w:p>
    <w:p w14:paraId="19B249F1" w14:textId="77777777" w:rsidR="00323705" w:rsidRDefault="00323705" w:rsidP="00323705">
      <w:pPr>
        <w:autoSpaceDE w:val="0"/>
        <w:autoSpaceDN w:val="0"/>
        <w:adjustRightInd w:val="0"/>
        <w:ind w:left="709" w:hanging="709"/>
        <w:jc w:val="both"/>
        <w:rPr>
          <w:sz w:val="24"/>
          <w:szCs w:val="24"/>
          <w:lang w:val="en-US"/>
        </w:rPr>
      </w:pPr>
      <w:r>
        <w:rPr>
          <w:sz w:val="24"/>
          <w:szCs w:val="24"/>
          <w:lang w:val="en-US"/>
        </w:rPr>
        <w:t>Francis, J., Schipper, K. &amp; Vincent, L. (</w:t>
      </w:r>
      <w:r>
        <w:rPr>
          <w:sz w:val="24"/>
          <w:szCs w:val="24"/>
        </w:rPr>
        <w:t>2005)</w:t>
      </w:r>
      <w:r>
        <w:rPr>
          <w:sz w:val="24"/>
          <w:szCs w:val="24"/>
          <w:lang w:val="en-US"/>
        </w:rPr>
        <w:t xml:space="preserve"> Earnings and dividend informativeness when cash flow rights are separated from voting rights. </w:t>
      </w:r>
      <w:r>
        <w:rPr>
          <w:i/>
          <w:iCs/>
          <w:sz w:val="24"/>
          <w:szCs w:val="24"/>
          <w:lang w:val="en-US"/>
        </w:rPr>
        <w:t>Journal of Accounting and Economics</w:t>
      </w:r>
      <w:r>
        <w:rPr>
          <w:i/>
          <w:sz w:val="24"/>
          <w:szCs w:val="24"/>
          <w:lang w:val="en-US"/>
        </w:rPr>
        <w:t xml:space="preserve">, </w:t>
      </w:r>
      <w:r>
        <w:rPr>
          <w:i/>
          <w:iCs/>
          <w:sz w:val="24"/>
          <w:szCs w:val="24"/>
          <w:lang w:val="en-US"/>
        </w:rPr>
        <w:t>39</w:t>
      </w:r>
      <w:r>
        <w:rPr>
          <w:sz w:val="24"/>
          <w:szCs w:val="24"/>
          <w:lang w:val="en-US"/>
        </w:rPr>
        <w:t>(2), pp. 329-360.</w:t>
      </w:r>
    </w:p>
    <w:p w14:paraId="67CB659C" w14:textId="77777777" w:rsidR="00323705" w:rsidRDefault="00323705" w:rsidP="00323705">
      <w:pPr>
        <w:autoSpaceDE w:val="0"/>
        <w:autoSpaceDN w:val="0"/>
        <w:adjustRightInd w:val="0"/>
        <w:ind w:left="709" w:hanging="709"/>
        <w:jc w:val="both"/>
        <w:rPr>
          <w:sz w:val="24"/>
          <w:szCs w:val="24"/>
          <w:shd w:val="clear" w:color="auto" w:fill="FFFFFF"/>
          <w:lang w:val="en-US"/>
        </w:rPr>
      </w:pPr>
    </w:p>
    <w:p w14:paraId="01060152" w14:textId="77777777" w:rsidR="00323705" w:rsidRDefault="00323705" w:rsidP="00323705">
      <w:pPr>
        <w:autoSpaceDE w:val="0"/>
        <w:autoSpaceDN w:val="0"/>
        <w:adjustRightInd w:val="0"/>
        <w:ind w:left="709" w:hanging="709"/>
        <w:jc w:val="both"/>
        <w:rPr>
          <w:sz w:val="24"/>
          <w:szCs w:val="24"/>
          <w:shd w:val="clear" w:color="auto" w:fill="FFFFFF"/>
          <w:lang w:val="en-US"/>
        </w:rPr>
      </w:pPr>
      <w:r>
        <w:rPr>
          <w:sz w:val="24"/>
          <w:szCs w:val="24"/>
          <w:shd w:val="clear" w:color="auto" w:fill="FFFFFF"/>
        </w:rPr>
        <w:t>Futema, M. S., Cruz Basso, L. F. &amp; Kayo, E. K. (2009). Estrutura de capital, dividendos e juros sobre o capital próprio: testes no Brasil. </w:t>
      </w:r>
      <w:r>
        <w:rPr>
          <w:bCs/>
          <w:i/>
          <w:sz w:val="24"/>
          <w:szCs w:val="24"/>
          <w:shd w:val="clear" w:color="auto" w:fill="FFFFFF"/>
          <w:lang w:val="en-US"/>
        </w:rPr>
        <w:t>Revista Contabilidade &amp; Finanças-USP</w:t>
      </w:r>
      <w:r>
        <w:rPr>
          <w:i/>
          <w:sz w:val="24"/>
          <w:szCs w:val="24"/>
          <w:shd w:val="clear" w:color="auto" w:fill="FFFFFF"/>
          <w:lang w:val="en-US"/>
        </w:rPr>
        <w:t>, 20</w:t>
      </w:r>
      <w:r>
        <w:rPr>
          <w:sz w:val="24"/>
          <w:szCs w:val="24"/>
          <w:shd w:val="clear" w:color="auto" w:fill="FFFFFF"/>
          <w:lang w:val="en-US"/>
        </w:rPr>
        <w:t>(49).</w:t>
      </w:r>
    </w:p>
    <w:p w14:paraId="5E6D4CA0" w14:textId="77777777" w:rsidR="00323705" w:rsidRDefault="00323705" w:rsidP="00323705">
      <w:pPr>
        <w:autoSpaceDE w:val="0"/>
        <w:autoSpaceDN w:val="0"/>
        <w:adjustRightInd w:val="0"/>
        <w:ind w:left="709" w:hanging="709"/>
        <w:jc w:val="both"/>
        <w:rPr>
          <w:sz w:val="24"/>
          <w:szCs w:val="24"/>
          <w:shd w:val="clear" w:color="auto" w:fill="FFFFFF"/>
          <w:lang w:val="en-US"/>
        </w:rPr>
      </w:pPr>
    </w:p>
    <w:p w14:paraId="22218BEA" w14:textId="77777777" w:rsidR="00323705" w:rsidRDefault="00323705" w:rsidP="00323705">
      <w:pPr>
        <w:autoSpaceDE w:val="0"/>
        <w:autoSpaceDN w:val="0"/>
        <w:adjustRightInd w:val="0"/>
        <w:ind w:left="709" w:hanging="709"/>
        <w:jc w:val="both"/>
        <w:rPr>
          <w:sz w:val="24"/>
          <w:szCs w:val="24"/>
          <w:lang w:val="en-US"/>
        </w:rPr>
      </w:pPr>
      <w:r>
        <w:rPr>
          <w:sz w:val="24"/>
          <w:szCs w:val="24"/>
          <w:shd w:val="clear" w:color="auto" w:fill="FFFFFF"/>
          <w:lang w:val="en-US"/>
        </w:rPr>
        <w:t>Gill, A., Biger, N. &amp; Tibrewala, R. (2010). Determinants of dividend payout ratios: evidence from United States</w:t>
      </w:r>
      <w:r>
        <w:rPr>
          <w:i/>
          <w:sz w:val="24"/>
          <w:szCs w:val="24"/>
          <w:shd w:val="clear" w:color="auto" w:fill="FFFFFF"/>
          <w:lang w:val="en-US"/>
        </w:rPr>
        <w:t>. </w:t>
      </w:r>
      <w:r>
        <w:rPr>
          <w:bCs/>
          <w:i/>
          <w:sz w:val="24"/>
          <w:szCs w:val="24"/>
          <w:shd w:val="clear" w:color="auto" w:fill="FFFFFF"/>
          <w:lang w:val="en-US"/>
        </w:rPr>
        <w:t>The Open Business Journal</w:t>
      </w:r>
      <w:r>
        <w:rPr>
          <w:i/>
          <w:sz w:val="24"/>
          <w:szCs w:val="24"/>
          <w:shd w:val="clear" w:color="auto" w:fill="FFFFFF"/>
          <w:lang w:val="en-US"/>
        </w:rPr>
        <w:t>, 3</w:t>
      </w:r>
      <w:r>
        <w:rPr>
          <w:sz w:val="24"/>
          <w:szCs w:val="24"/>
          <w:shd w:val="clear" w:color="auto" w:fill="FFFFFF"/>
          <w:lang w:val="en-US"/>
        </w:rPr>
        <w:t>(1).</w:t>
      </w:r>
    </w:p>
    <w:p w14:paraId="7C0163A0" w14:textId="77777777" w:rsidR="00323705" w:rsidRDefault="00323705" w:rsidP="00323705">
      <w:pPr>
        <w:autoSpaceDE w:val="0"/>
        <w:autoSpaceDN w:val="0"/>
        <w:adjustRightInd w:val="0"/>
        <w:ind w:left="709" w:hanging="709"/>
        <w:jc w:val="both"/>
        <w:rPr>
          <w:sz w:val="24"/>
          <w:szCs w:val="24"/>
          <w:lang w:val="en-US"/>
        </w:rPr>
      </w:pPr>
    </w:p>
    <w:p w14:paraId="5C57E63D" w14:textId="77777777" w:rsidR="00323705" w:rsidRDefault="00323705" w:rsidP="00323705">
      <w:pPr>
        <w:autoSpaceDE w:val="0"/>
        <w:autoSpaceDN w:val="0"/>
        <w:adjustRightInd w:val="0"/>
        <w:ind w:left="709" w:hanging="709"/>
        <w:jc w:val="both"/>
        <w:rPr>
          <w:sz w:val="24"/>
          <w:szCs w:val="24"/>
          <w:lang w:val="en-US"/>
        </w:rPr>
      </w:pPr>
      <w:r>
        <w:rPr>
          <w:sz w:val="24"/>
          <w:szCs w:val="24"/>
          <w:lang w:val="en-US"/>
        </w:rPr>
        <w:t>Gordon, M. J. (1963). Optimal investment and financing policy</w:t>
      </w:r>
      <w:r>
        <w:rPr>
          <w:i/>
          <w:sz w:val="24"/>
          <w:szCs w:val="24"/>
          <w:lang w:val="en-US"/>
        </w:rPr>
        <w:t xml:space="preserve">. </w:t>
      </w:r>
      <w:r>
        <w:rPr>
          <w:i/>
          <w:iCs/>
          <w:sz w:val="24"/>
          <w:szCs w:val="24"/>
          <w:lang w:val="en-US"/>
        </w:rPr>
        <w:t>The Journal of Finance</w:t>
      </w:r>
      <w:r>
        <w:rPr>
          <w:i/>
          <w:sz w:val="24"/>
          <w:szCs w:val="24"/>
          <w:lang w:val="en-US"/>
        </w:rPr>
        <w:t xml:space="preserve">, </w:t>
      </w:r>
      <w:r>
        <w:rPr>
          <w:i/>
          <w:iCs/>
          <w:sz w:val="24"/>
          <w:szCs w:val="24"/>
          <w:lang w:val="en-US"/>
        </w:rPr>
        <w:t>18</w:t>
      </w:r>
      <w:r>
        <w:rPr>
          <w:sz w:val="24"/>
          <w:szCs w:val="24"/>
          <w:lang w:val="en-US"/>
        </w:rPr>
        <w:t>(2), pp. 264-272.</w:t>
      </w:r>
    </w:p>
    <w:p w14:paraId="33288867" w14:textId="77777777" w:rsidR="00323705" w:rsidRDefault="00323705" w:rsidP="00323705">
      <w:pPr>
        <w:ind w:left="709" w:hanging="709"/>
        <w:jc w:val="both"/>
        <w:rPr>
          <w:sz w:val="24"/>
          <w:szCs w:val="24"/>
          <w:shd w:val="clear" w:color="auto" w:fill="FFFFFF"/>
          <w:lang w:val="en-US"/>
        </w:rPr>
      </w:pPr>
    </w:p>
    <w:p w14:paraId="3505B3E1" w14:textId="77777777" w:rsidR="00323705" w:rsidRDefault="00323705" w:rsidP="00323705">
      <w:pPr>
        <w:ind w:left="709" w:hanging="709"/>
        <w:jc w:val="both"/>
        <w:rPr>
          <w:sz w:val="24"/>
          <w:szCs w:val="24"/>
          <w:shd w:val="clear" w:color="auto" w:fill="FFFFFF"/>
          <w:lang w:val="en-US"/>
        </w:rPr>
      </w:pPr>
      <w:r>
        <w:rPr>
          <w:sz w:val="24"/>
          <w:szCs w:val="24"/>
          <w:shd w:val="clear" w:color="auto" w:fill="FFFFFF"/>
          <w:lang w:val="en-US"/>
        </w:rPr>
        <w:t>Grullon, G., Michaely, R. &amp; Swaminathan, B. (2002) Are dividend changes a sign of firm maturity?. </w:t>
      </w:r>
      <w:r>
        <w:rPr>
          <w:bCs/>
          <w:i/>
          <w:sz w:val="24"/>
          <w:szCs w:val="24"/>
          <w:shd w:val="clear" w:color="auto" w:fill="FFFFFF"/>
          <w:lang w:val="en-US"/>
        </w:rPr>
        <w:t>The Journal of Business</w:t>
      </w:r>
      <w:r>
        <w:rPr>
          <w:i/>
          <w:sz w:val="24"/>
          <w:szCs w:val="24"/>
          <w:shd w:val="clear" w:color="auto" w:fill="FFFFFF"/>
          <w:lang w:val="en-US"/>
        </w:rPr>
        <w:t>, 75</w:t>
      </w:r>
      <w:r>
        <w:rPr>
          <w:sz w:val="24"/>
          <w:szCs w:val="24"/>
          <w:shd w:val="clear" w:color="auto" w:fill="FFFFFF"/>
          <w:lang w:val="en-US"/>
        </w:rPr>
        <w:t>(3), p. 387-424.</w:t>
      </w:r>
    </w:p>
    <w:p w14:paraId="36D29E1F" w14:textId="77777777" w:rsidR="00323705" w:rsidRDefault="00323705" w:rsidP="00323705">
      <w:pPr>
        <w:ind w:left="709" w:hanging="709"/>
        <w:jc w:val="both"/>
        <w:rPr>
          <w:sz w:val="24"/>
          <w:szCs w:val="24"/>
          <w:shd w:val="clear" w:color="auto" w:fill="FFFFFF"/>
          <w:lang w:val="en-US"/>
        </w:rPr>
      </w:pPr>
    </w:p>
    <w:p w14:paraId="4908EDDE" w14:textId="77777777" w:rsidR="00323705" w:rsidRDefault="00323705" w:rsidP="00323705">
      <w:pPr>
        <w:ind w:left="709" w:hanging="709"/>
        <w:jc w:val="both"/>
        <w:rPr>
          <w:sz w:val="24"/>
          <w:szCs w:val="24"/>
          <w:shd w:val="clear" w:color="auto" w:fill="FFFFFF"/>
          <w:lang w:val="en-US"/>
        </w:rPr>
      </w:pPr>
      <w:r>
        <w:rPr>
          <w:sz w:val="24"/>
          <w:szCs w:val="24"/>
          <w:shd w:val="clear" w:color="auto" w:fill="FFFFFF"/>
          <w:lang w:val="en-US"/>
        </w:rPr>
        <w:t xml:space="preserve">Grullon, G. </w:t>
      </w:r>
      <w:r>
        <w:rPr>
          <w:i/>
          <w:sz w:val="24"/>
          <w:szCs w:val="24"/>
          <w:shd w:val="clear" w:color="auto" w:fill="FFFFFF"/>
          <w:lang w:val="en-US"/>
        </w:rPr>
        <w:t>et al</w:t>
      </w:r>
      <w:r>
        <w:rPr>
          <w:sz w:val="24"/>
          <w:szCs w:val="24"/>
          <w:shd w:val="clear" w:color="auto" w:fill="FFFFFF"/>
          <w:lang w:val="en-US"/>
        </w:rPr>
        <w:t>. (2005). Dividend changes do not signal changes in future profitability. </w:t>
      </w:r>
      <w:r>
        <w:rPr>
          <w:bCs/>
          <w:i/>
          <w:sz w:val="24"/>
          <w:szCs w:val="24"/>
          <w:shd w:val="clear" w:color="auto" w:fill="FFFFFF"/>
          <w:lang w:val="en-US"/>
        </w:rPr>
        <w:t>The Journal of Business</w:t>
      </w:r>
      <w:r>
        <w:rPr>
          <w:i/>
          <w:sz w:val="24"/>
          <w:szCs w:val="24"/>
          <w:shd w:val="clear" w:color="auto" w:fill="FFFFFF"/>
          <w:lang w:val="en-US"/>
        </w:rPr>
        <w:t>, 78</w:t>
      </w:r>
      <w:r>
        <w:rPr>
          <w:sz w:val="24"/>
          <w:szCs w:val="24"/>
          <w:shd w:val="clear" w:color="auto" w:fill="FFFFFF"/>
          <w:lang w:val="en-US"/>
        </w:rPr>
        <w:t>(5), p. 1659-1682.</w:t>
      </w:r>
    </w:p>
    <w:p w14:paraId="769A38FC" w14:textId="77777777" w:rsidR="00323705" w:rsidRDefault="00323705" w:rsidP="00323705">
      <w:pPr>
        <w:ind w:left="709" w:hanging="709"/>
        <w:jc w:val="both"/>
        <w:rPr>
          <w:sz w:val="24"/>
          <w:szCs w:val="24"/>
          <w:shd w:val="clear" w:color="auto" w:fill="FFFFFF"/>
          <w:lang w:val="en-US"/>
        </w:rPr>
      </w:pPr>
    </w:p>
    <w:p w14:paraId="15890580" w14:textId="77777777" w:rsidR="00323705" w:rsidRDefault="00323705" w:rsidP="00323705">
      <w:pPr>
        <w:ind w:left="709" w:hanging="709"/>
        <w:jc w:val="both"/>
        <w:rPr>
          <w:sz w:val="24"/>
          <w:szCs w:val="24"/>
          <w:shd w:val="clear" w:color="auto" w:fill="FFFFFF"/>
          <w:lang w:val="en-US"/>
        </w:rPr>
      </w:pPr>
      <w:r>
        <w:rPr>
          <w:sz w:val="24"/>
          <w:szCs w:val="24"/>
          <w:shd w:val="clear" w:color="auto" w:fill="FFFFFF"/>
          <w:lang w:val="en-US"/>
        </w:rPr>
        <w:t>Jensen, G. R., Lundstrum, L. L. &amp; Miller, R. E. (2010). What do dividend reductions signal?. </w:t>
      </w:r>
      <w:r>
        <w:rPr>
          <w:bCs/>
          <w:i/>
          <w:sz w:val="24"/>
          <w:szCs w:val="24"/>
          <w:shd w:val="clear" w:color="auto" w:fill="FFFFFF"/>
          <w:lang w:val="en-US"/>
        </w:rPr>
        <w:t>Journal of Corporate Finance</w:t>
      </w:r>
      <w:r>
        <w:rPr>
          <w:i/>
          <w:sz w:val="24"/>
          <w:szCs w:val="24"/>
          <w:shd w:val="clear" w:color="auto" w:fill="FFFFFF"/>
          <w:lang w:val="en-US"/>
        </w:rPr>
        <w:t>, 16</w:t>
      </w:r>
      <w:r>
        <w:rPr>
          <w:sz w:val="24"/>
          <w:szCs w:val="24"/>
          <w:shd w:val="clear" w:color="auto" w:fill="FFFFFF"/>
          <w:lang w:val="en-US"/>
        </w:rPr>
        <w:t>(5), p. 736-747.</w:t>
      </w:r>
    </w:p>
    <w:p w14:paraId="44A4ACFB" w14:textId="77777777" w:rsidR="00323705" w:rsidRDefault="00323705" w:rsidP="00323705">
      <w:pPr>
        <w:autoSpaceDE w:val="0"/>
        <w:autoSpaceDN w:val="0"/>
        <w:adjustRightInd w:val="0"/>
        <w:ind w:left="709" w:hanging="709"/>
        <w:jc w:val="both"/>
        <w:rPr>
          <w:sz w:val="24"/>
          <w:szCs w:val="24"/>
          <w:lang w:val="en-US"/>
        </w:rPr>
      </w:pPr>
    </w:p>
    <w:p w14:paraId="7C8CFCD6" w14:textId="77777777" w:rsidR="00323705" w:rsidRDefault="00323705" w:rsidP="00323705">
      <w:pPr>
        <w:autoSpaceDE w:val="0"/>
        <w:autoSpaceDN w:val="0"/>
        <w:adjustRightInd w:val="0"/>
        <w:ind w:left="709" w:hanging="709"/>
        <w:jc w:val="both"/>
        <w:rPr>
          <w:sz w:val="24"/>
          <w:szCs w:val="24"/>
          <w:lang w:val="en-US"/>
        </w:rPr>
      </w:pPr>
      <w:r>
        <w:rPr>
          <w:sz w:val="24"/>
          <w:szCs w:val="24"/>
          <w:lang w:val="en-US"/>
        </w:rPr>
        <w:t xml:space="preserve">Jensen, M. C., &amp; Meckling, W. H. (1976). Theory of the firm: Managerial behavior, agency costs and ownership structure. </w:t>
      </w:r>
      <w:r>
        <w:rPr>
          <w:i/>
          <w:iCs/>
          <w:sz w:val="24"/>
          <w:szCs w:val="24"/>
          <w:lang w:val="en-US"/>
        </w:rPr>
        <w:t>Journal of Financial Economics</w:t>
      </w:r>
      <w:r>
        <w:rPr>
          <w:i/>
          <w:sz w:val="24"/>
          <w:szCs w:val="24"/>
          <w:lang w:val="en-US"/>
        </w:rPr>
        <w:t xml:space="preserve">, </w:t>
      </w:r>
      <w:r>
        <w:rPr>
          <w:i/>
          <w:iCs/>
          <w:sz w:val="24"/>
          <w:szCs w:val="24"/>
          <w:lang w:val="en-US"/>
        </w:rPr>
        <w:t>3</w:t>
      </w:r>
      <w:r>
        <w:rPr>
          <w:sz w:val="24"/>
          <w:szCs w:val="24"/>
          <w:lang w:val="en-US"/>
        </w:rPr>
        <w:t>(4), pp. 305-360.</w:t>
      </w:r>
    </w:p>
    <w:p w14:paraId="47CC8DE9" w14:textId="77777777" w:rsidR="00323705" w:rsidRDefault="00323705" w:rsidP="00323705">
      <w:pPr>
        <w:autoSpaceDE w:val="0"/>
        <w:autoSpaceDN w:val="0"/>
        <w:adjustRightInd w:val="0"/>
        <w:ind w:left="709" w:hanging="709"/>
        <w:jc w:val="both"/>
        <w:rPr>
          <w:sz w:val="24"/>
          <w:szCs w:val="24"/>
          <w:lang w:val="en-US"/>
        </w:rPr>
      </w:pPr>
    </w:p>
    <w:p w14:paraId="0D6CFA57" w14:textId="77777777" w:rsidR="00323705" w:rsidRDefault="00323705" w:rsidP="00323705">
      <w:pPr>
        <w:autoSpaceDE w:val="0"/>
        <w:autoSpaceDN w:val="0"/>
        <w:adjustRightInd w:val="0"/>
        <w:ind w:left="709" w:hanging="709"/>
        <w:jc w:val="both"/>
        <w:rPr>
          <w:sz w:val="24"/>
          <w:szCs w:val="24"/>
          <w:lang w:val="en-US"/>
        </w:rPr>
      </w:pPr>
      <w:r>
        <w:rPr>
          <w:sz w:val="24"/>
          <w:szCs w:val="24"/>
          <w:lang w:val="en-US"/>
        </w:rPr>
        <w:t>La Porta, R., Lopez</w:t>
      </w:r>
      <w:r>
        <w:rPr>
          <w:rFonts w:ascii="Cambria Math" w:hAnsi="Cambria Math" w:cs="Cambria Math"/>
          <w:sz w:val="24"/>
          <w:szCs w:val="24"/>
          <w:lang w:val="en-US"/>
        </w:rPr>
        <w:t>‐</w:t>
      </w:r>
      <w:r>
        <w:rPr>
          <w:sz w:val="24"/>
          <w:szCs w:val="24"/>
          <w:lang w:val="en-US"/>
        </w:rPr>
        <w:t>de</w:t>
      </w:r>
      <w:r>
        <w:rPr>
          <w:rFonts w:ascii="Cambria Math" w:hAnsi="Cambria Math" w:cs="Cambria Math"/>
          <w:sz w:val="24"/>
          <w:szCs w:val="24"/>
          <w:lang w:val="en-US"/>
        </w:rPr>
        <w:t>‐</w:t>
      </w:r>
      <w:r>
        <w:rPr>
          <w:sz w:val="24"/>
          <w:szCs w:val="24"/>
          <w:lang w:val="en-US"/>
        </w:rPr>
        <w:t xml:space="preserve">Silanes, F., Shleifer, A., &amp; Vishny, R. W. (2000). Agency problems and dividend policies around the world. </w:t>
      </w:r>
      <w:r>
        <w:rPr>
          <w:i/>
          <w:iCs/>
          <w:sz w:val="24"/>
          <w:szCs w:val="24"/>
          <w:lang w:val="en-US"/>
        </w:rPr>
        <w:t>The Journal of Finance</w:t>
      </w:r>
      <w:r>
        <w:rPr>
          <w:i/>
          <w:sz w:val="24"/>
          <w:szCs w:val="24"/>
          <w:lang w:val="en-US"/>
        </w:rPr>
        <w:t xml:space="preserve">, </w:t>
      </w:r>
      <w:r>
        <w:rPr>
          <w:i/>
          <w:iCs/>
          <w:sz w:val="24"/>
          <w:szCs w:val="24"/>
          <w:lang w:val="en-US"/>
        </w:rPr>
        <w:t>55</w:t>
      </w:r>
      <w:r>
        <w:rPr>
          <w:sz w:val="24"/>
          <w:szCs w:val="24"/>
          <w:lang w:val="en-US"/>
        </w:rPr>
        <w:t>(1), pp. 1-33.</w:t>
      </w:r>
    </w:p>
    <w:p w14:paraId="28CC9527" w14:textId="77777777" w:rsidR="00323705" w:rsidRDefault="00323705" w:rsidP="00323705">
      <w:pPr>
        <w:ind w:left="709" w:hanging="709"/>
        <w:jc w:val="both"/>
        <w:rPr>
          <w:sz w:val="24"/>
          <w:szCs w:val="24"/>
          <w:shd w:val="clear" w:color="auto" w:fill="FFFFFF"/>
          <w:lang w:val="en-US"/>
        </w:rPr>
      </w:pPr>
    </w:p>
    <w:p w14:paraId="4B82BFD3" w14:textId="77777777" w:rsidR="00323705" w:rsidRDefault="00323705" w:rsidP="00323705">
      <w:pPr>
        <w:ind w:left="709" w:hanging="709"/>
        <w:jc w:val="both"/>
        <w:rPr>
          <w:sz w:val="24"/>
          <w:szCs w:val="24"/>
          <w:shd w:val="clear" w:color="auto" w:fill="FFFFFF"/>
          <w:lang w:val="en-US"/>
        </w:rPr>
      </w:pPr>
      <w:r>
        <w:rPr>
          <w:sz w:val="24"/>
          <w:szCs w:val="24"/>
          <w:shd w:val="clear" w:color="auto" w:fill="FFFFFF"/>
          <w:lang w:val="en-US"/>
        </w:rPr>
        <w:t>Lintner, J. (1956). Distribution of incomes of corporations among dividends, retained earnings, and taxes. </w:t>
      </w:r>
      <w:r>
        <w:rPr>
          <w:bCs/>
          <w:i/>
          <w:sz w:val="24"/>
          <w:szCs w:val="24"/>
          <w:shd w:val="clear" w:color="auto" w:fill="FFFFFF"/>
          <w:lang w:val="en-US"/>
        </w:rPr>
        <w:t>The American Economic Review</w:t>
      </w:r>
      <w:r>
        <w:rPr>
          <w:i/>
          <w:sz w:val="24"/>
          <w:szCs w:val="24"/>
          <w:shd w:val="clear" w:color="auto" w:fill="FFFFFF"/>
          <w:lang w:val="en-US"/>
        </w:rPr>
        <w:t>, 46</w:t>
      </w:r>
      <w:r>
        <w:rPr>
          <w:sz w:val="24"/>
          <w:szCs w:val="24"/>
          <w:shd w:val="clear" w:color="auto" w:fill="FFFFFF"/>
          <w:lang w:val="en-US"/>
        </w:rPr>
        <w:t>(2), p. 97-113.</w:t>
      </w:r>
    </w:p>
    <w:p w14:paraId="7205E681" w14:textId="77777777" w:rsidR="00323705" w:rsidRDefault="00323705" w:rsidP="00323705">
      <w:pPr>
        <w:autoSpaceDE w:val="0"/>
        <w:autoSpaceDN w:val="0"/>
        <w:adjustRightInd w:val="0"/>
        <w:ind w:left="709" w:hanging="709"/>
        <w:jc w:val="both"/>
        <w:rPr>
          <w:sz w:val="24"/>
          <w:szCs w:val="24"/>
          <w:lang w:val="en-US"/>
        </w:rPr>
      </w:pPr>
    </w:p>
    <w:p w14:paraId="6768CF6F" w14:textId="77777777" w:rsidR="00323705" w:rsidRDefault="00323705" w:rsidP="00323705">
      <w:pPr>
        <w:autoSpaceDE w:val="0"/>
        <w:autoSpaceDN w:val="0"/>
        <w:adjustRightInd w:val="0"/>
        <w:ind w:left="709" w:hanging="709"/>
        <w:jc w:val="both"/>
        <w:rPr>
          <w:sz w:val="24"/>
          <w:szCs w:val="24"/>
        </w:rPr>
      </w:pPr>
      <w:r>
        <w:rPr>
          <w:sz w:val="24"/>
          <w:szCs w:val="24"/>
          <w:lang w:val="en-US"/>
        </w:rPr>
        <w:t xml:space="preserve">Mota, D. C. (2007). </w:t>
      </w:r>
      <w:r>
        <w:rPr>
          <w:iCs/>
          <w:sz w:val="24"/>
          <w:szCs w:val="24"/>
        </w:rPr>
        <w:t>Dividendos, juros sobre capital póprio e recompra de ações: um estudo empírico sobre a política de distribuição no Brasil</w:t>
      </w:r>
      <w:r>
        <w:rPr>
          <w:sz w:val="24"/>
          <w:szCs w:val="24"/>
        </w:rPr>
        <w:t xml:space="preserve">. </w:t>
      </w:r>
      <w:r>
        <w:rPr>
          <w:i/>
          <w:sz w:val="24"/>
          <w:szCs w:val="24"/>
        </w:rPr>
        <w:t>Dissertação de Mestrado em Administração de Empresas</w:t>
      </w:r>
      <w:r>
        <w:rPr>
          <w:sz w:val="24"/>
          <w:szCs w:val="24"/>
        </w:rPr>
        <w:t>, Escola de Administração de Empresas de São Paulo e</w:t>
      </w:r>
      <w:r>
        <w:rPr>
          <w:iCs/>
          <w:sz w:val="24"/>
          <w:szCs w:val="24"/>
        </w:rPr>
        <w:t xml:space="preserve"> </w:t>
      </w:r>
      <w:r>
        <w:rPr>
          <w:sz w:val="24"/>
          <w:szCs w:val="24"/>
        </w:rPr>
        <w:t>Fundação Getúlio Vargas, São Paulo, SP, Brasil.</w:t>
      </w:r>
    </w:p>
    <w:p w14:paraId="3AEAB6CE" w14:textId="77777777" w:rsidR="00323705" w:rsidRDefault="00323705" w:rsidP="00323705">
      <w:pPr>
        <w:autoSpaceDE w:val="0"/>
        <w:autoSpaceDN w:val="0"/>
        <w:adjustRightInd w:val="0"/>
        <w:ind w:left="709" w:hanging="709"/>
        <w:jc w:val="both"/>
        <w:rPr>
          <w:sz w:val="24"/>
          <w:szCs w:val="24"/>
          <w:shd w:val="clear" w:color="auto" w:fill="FFFFFF"/>
        </w:rPr>
      </w:pPr>
    </w:p>
    <w:p w14:paraId="5973E2BD" w14:textId="77777777" w:rsidR="00323705" w:rsidRDefault="00323705" w:rsidP="00323705">
      <w:pPr>
        <w:autoSpaceDE w:val="0"/>
        <w:autoSpaceDN w:val="0"/>
        <w:adjustRightInd w:val="0"/>
        <w:ind w:left="709" w:hanging="709"/>
        <w:jc w:val="both"/>
        <w:rPr>
          <w:sz w:val="24"/>
          <w:szCs w:val="24"/>
          <w:shd w:val="clear" w:color="auto" w:fill="FFFFFF"/>
          <w:lang w:val="en-US"/>
        </w:rPr>
      </w:pPr>
      <w:r>
        <w:rPr>
          <w:sz w:val="24"/>
          <w:szCs w:val="24"/>
          <w:shd w:val="clear" w:color="auto" w:fill="FFFFFF"/>
        </w:rPr>
        <w:t>Neto, J. A. N. &amp; Saito, R. (2003). Pagamentos de dividendos e persistência de retornos anormais das ações: evidência do mercado brasileiro. </w:t>
      </w:r>
      <w:r>
        <w:rPr>
          <w:bCs/>
          <w:i/>
          <w:sz w:val="24"/>
          <w:szCs w:val="24"/>
          <w:shd w:val="clear" w:color="auto" w:fill="FFFFFF"/>
          <w:lang w:val="en-US"/>
        </w:rPr>
        <w:t>Revista de Administração</w:t>
      </w:r>
      <w:r>
        <w:rPr>
          <w:i/>
          <w:sz w:val="24"/>
          <w:szCs w:val="24"/>
          <w:shd w:val="clear" w:color="auto" w:fill="FFFFFF"/>
          <w:lang w:val="en-US"/>
        </w:rPr>
        <w:t>, 38</w:t>
      </w:r>
      <w:r>
        <w:rPr>
          <w:sz w:val="24"/>
          <w:szCs w:val="24"/>
          <w:shd w:val="clear" w:color="auto" w:fill="FFFFFF"/>
          <w:lang w:val="en-US"/>
        </w:rPr>
        <w:t>(2) 2003.</w:t>
      </w:r>
    </w:p>
    <w:p w14:paraId="4DCE47B3" w14:textId="77777777" w:rsidR="00323705" w:rsidRDefault="00323705" w:rsidP="00323705">
      <w:pPr>
        <w:autoSpaceDE w:val="0"/>
        <w:autoSpaceDN w:val="0"/>
        <w:adjustRightInd w:val="0"/>
        <w:ind w:left="709" w:hanging="709"/>
        <w:jc w:val="both"/>
        <w:rPr>
          <w:sz w:val="24"/>
          <w:szCs w:val="24"/>
          <w:shd w:val="clear" w:color="auto" w:fill="FFFFFF"/>
          <w:lang w:val="en-US"/>
        </w:rPr>
      </w:pPr>
    </w:p>
    <w:p w14:paraId="7DA16C19" w14:textId="77777777" w:rsidR="00323705" w:rsidRDefault="00323705" w:rsidP="00323705">
      <w:pPr>
        <w:autoSpaceDE w:val="0"/>
        <w:autoSpaceDN w:val="0"/>
        <w:adjustRightInd w:val="0"/>
        <w:ind w:left="709" w:hanging="709"/>
        <w:jc w:val="both"/>
        <w:rPr>
          <w:sz w:val="24"/>
          <w:szCs w:val="24"/>
          <w:lang w:val="en-US"/>
        </w:rPr>
      </w:pPr>
      <w:r>
        <w:rPr>
          <w:sz w:val="24"/>
          <w:szCs w:val="24"/>
          <w:shd w:val="clear" w:color="auto" w:fill="FFFFFF"/>
          <w:lang w:val="en-US"/>
        </w:rPr>
        <w:t>Oladipupo, A. O. &amp; Okafor, C. A. (2013). Relative contribution of working capital management to corporate profitability and dividend payout ratio: Evidence from Nigeria. </w:t>
      </w:r>
      <w:r>
        <w:rPr>
          <w:bCs/>
          <w:i/>
          <w:sz w:val="24"/>
          <w:szCs w:val="24"/>
          <w:shd w:val="clear" w:color="auto" w:fill="FFFFFF"/>
          <w:lang w:val="en-US"/>
        </w:rPr>
        <w:t>International Journal of Business and Finance Research</w:t>
      </w:r>
      <w:r>
        <w:rPr>
          <w:i/>
          <w:sz w:val="24"/>
          <w:szCs w:val="24"/>
          <w:shd w:val="clear" w:color="auto" w:fill="FFFFFF"/>
          <w:lang w:val="en-US"/>
        </w:rPr>
        <w:t>, 3</w:t>
      </w:r>
      <w:r>
        <w:rPr>
          <w:sz w:val="24"/>
          <w:szCs w:val="24"/>
          <w:shd w:val="clear" w:color="auto" w:fill="FFFFFF"/>
          <w:lang w:val="en-US"/>
        </w:rPr>
        <w:t>(2), p. 11-20.</w:t>
      </w:r>
    </w:p>
    <w:p w14:paraId="34BD05A0" w14:textId="77777777" w:rsidR="00323705" w:rsidRDefault="00323705" w:rsidP="00323705">
      <w:pPr>
        <w:ind w:left="709" w:hanging="709"/>
        <w:jc w:val="both"/>
        <w:rPr>
          <w:sz w:val="24"/>
          <w:szCs w:val="24"/>
          <w:shd w:val="clear" w:color="auto" w:fill="FFFFFF"/>
          <w:lang w:val="en-US"/>
        </w:rPr>
      </w:pPr>
    </w:p>
    <w:p w14:paraId="528D9F6B" w14:textId="77777777" w:rsidR="00323705" w:rsidRDefault="00323705" w:rsidP="00323705">
      <w:pPr>
        <w:ind w:left="709" w:hanging="709"/>
        <w:jc w:val="both"/>
        <w:rPr>
          <w:sz w:val="24"/>
          <w:szCs w:val="24"/>
          <w:shd w:val="clear" w:color="auto" w:fill="FFFFFF"/>
          <w:lang w:val="en-US"/>
        </w:rPr>
      </w:pPr>
      <w:r>
        <w:rPr>
          <w:sz w:val="24"/>
          <w:szCs w:val="24"/>
          <w:shd w:val="clear" w:color="auto" w:fill="FFFFFF"/>
          <w:lang w:val="en-US"/>
        </w:rPr>
        <w:t xml:space="preserve">Parsian, H. A. &amp; Koloukhi, A. S. (2014). A Study on the Effect of Free Cash Flow and Profitability Current Ratio on Dividend Payout Ratio: Evidence from Tehran Stock Exchange. </w:t>
      </w:r>
      <w:r>
        <w:rPr>
          <w:i/>
          <w:sz w:val="24"/>
          <w:szCs w:val="24"/>
          <w:shd w:val="clear" w:color="auto" w:fill="FFFFFF"/>
          <w:lang w:val="en-US"/>
        </w:rPr>
        <w:t>Management Science Letters. 4</w:t>
      </w:r>
      <w:r>
        <w:rPr>
          <w:sz w:val="24"/>
          <w:szCs w:val="24"/>
          <w:shd w:val="clear" w:color="auto" w:fill="FFFFFF"/>
          <w:lang w:val="en-US"/>
        </w:rPr>
        <w:t xml:space="preserve">, 63–70. </w:t>
      </w:r>
    </w:p>
    <w:p w14:paraId="1E29B2FA" w14:textId="77777777" w:rsidR="00323705" w:rsidRDefault="00323705" w:rsidP="00323705">
      <w:pPr>
        <w:ind w:left="709" w:hanging="709"/>
        <w:jc w:val="both"/>
        <w:rPr>
          <w:sz w:val="24"/>
          <w:szCs w:val="24"/>
          <w:shd w:val="clear" w:color="auto" w:fill="FFFFFF"/>
          <w:lang w:val="en-US"/>
        </w:rPr>
      </w:pPr>
    </w:p>
    <w:p w14:paraId="40C3D1E6" w14:textId="77777777" w:rsidR="00323705" w:rsidRDefault="00323705" w:rsidP="00323705">
      <w:pPr>
        <w:ind w:left="709" w:hanging="709"/>
        <w:jc w:val="both"/>
        <w:rPr>
          <w:sz w:val="24"/>
          <w:szCs w:val="24"/>
          <w:shd w:val="clear" w:color="auto" w:fill="FFFFFF"/>
          <w:lang w:val="en-US"/>
        </w:rPr>
      </w:pPr>
      <w:r>
        <w:rPr>
          <w:sz w:val="24"/>
          <w:szCs w:val="24"/>
          <w:shd w:val="clear" w:color="auto" w:fill="FFFFFF"/>
          <w:lang w:val="en-US"/>
        </w:rPr>
        <w:t xml:space="preserve">Procianoy, J., &amp; Vancin, D. (2014). Dividends: Publicly listed brazilian companies’ propensity to pay or not to pay. </w:t>
      </w:r>
    </w:p>
    <w:p w14:paraId="33583D6C" w14:textId="77777777" w:rsidR="00323705" w:rsidRDefault="00323705" w:rsidP="00323705">
      <w:pPr>
        <w:ind w:left="709" w:hanging="709"/>
        <w:jc w:val="both"/>
        <w:rPr>
          <w:sz w:val="24"/>
          <w:szCs w:val="24"/>
          <w:shd w:val="clear" w:color="auto" w:fill="FFFFFF"/>
          <w:lang w:val="en-US"/>
        </w:rPr>
      </w:pPr>
    </w:p>
    <w:p w14:paraId="5B391C0B" w14:textId="77777777" w:rsidR="00323705" w:rsidRDefault="00323705" w:rsidP="00323705">
      <w:pPr>
        <w:ind w:left="709" w:hanging="709"/>
        <w:jc w:val="both"/>
        <w:rPr>
          <w:sz w:val="24"/>
          <w:szCs w:val="24"/>
          <w:lang w:val="en-US"/>
        </w:rPr>
      </w:pPr>
      <w:r>
        <w:rPr>
          <w:sz w:val="24"/>
          <w:szCs w:val="24"/>
          <w:shd w:val="clear" w:color="auto" w:fill="FFFFFF"/>
          <w:lang w:val="en-US"/>
        </w:rPr>
        <w:t xml:space="preserve">Pirzada, K. (2017). Effects of Dividend Policy on Stock Price Volatility in the Financial Sector. </w:t>
      </w:r>
      <w:r>
        <w:rPr>
          <w:i/>
          <w:sz w:val="24"/>
          <w:szCs w:val="24"/>
          <w:shd w:val="clear" w:color="auto" w:fill="FFFFFF"/>
          <w:lang w:val="en-US"/>
        </w:rPr>
        <w:t>Journal of Finance and Banking Review. 2</w:t>
      </w:r>
      <w:r>
        <w:rPr>
          <w:sz w:val="24"/>
          <w:szCs w:val="24"/>
          <w:shd w:val="clear" w:color="auto" w:fill="FFFFFF"/>
          <w:lang w:val="en-US"/>
        </w:rPr>
        <w:t xml:space="preserve">(2), 34 – 48. </w:t>
      </w:r>
    </w:p>
    <w:p w14:paraId="38F5BA99" w14:textId="77777777" w:rsidR="00323705" w:rsidRDefault="00323705" w:rsidP="00323705">
      <w:pPr>
        <w:ind w:left="709" w:hanging="709"/>
        <w:jc w:val="both"/>
        <w:rPr>
          <w:sz w:val="24"/>
          <w:szCs w:val="24"/>
          <w:lang w:val="en-US"/>
        </w:rPr>
      </w:pPr>
    </w:p>
    <w:p w14:paraId="460448F0" w14:textId="77777777" w:rsidR="00323705" w:rsidRDefault="00323705" w:rsidP="00323705">
      <w:pPr>
        <w:ind w:left="709" w:hanging="709"/>
        <w:jc w:val="both"/>
        <w:rPr>
          <w:sz w:val="24"/>
          <w:szCs w:val="24"/>
          <w:lang w:val="en-US"/>
        </w:rPr>
      </w:pPr>
      <w:r>
        <w:rPr>
          <w:sz w:val="24"/>
          <w:szCs w:val="24"/>
          <w:lang w:val="en-US"/>
        </w:rPr>
        <w:t xml:space="preserve">Purnanandam, A. (2008). Financial distress and corporate risk management: Theory and evidence. </w:t>
      </w:r>
      <w:r>
        <w:rPr>
          <w:i/>
          <w:sz w:val="24"/>
          <w:szCs w:val="24"/>
          <w:lang w:val="en-US"/>
        </w:rPr>
        <w:t>Journal of Financial Economics, 87</w:t>
      </w:r>
      <w:r>
        <w:rPr>
          <w:sz w:val="24"/>
          <w:szCs w:val="24"/>
          <w:lang w:val="en-US"/>
        </w:rPr>
        <w:t>(3), p. 706-739.</w:t>
      </w:r>
    </w:p>
    <w:p w14:paraId="2D6EF25C" w14:textId="77777777" w:rsidR="00323705" w:rsidRDefault="00323705" w:rsidP="00323705">
      <w:pPr>
        <w:autoSpaceDE w:val="0"/>
        <w:autoSpaceDN w:val="0"/>
        <w:adjustRightInd w:val="0"/>
        <w:ind w:left="709" w:hanging="709"/>
        <w:jc w:val="both"/>
        <w:rPr>
          <w:sz w:val="24"/>
          <w:szCs w:val="24"/>
          <w:lang w:val="en-US"/>
        </w:rPr>
      </w:pPr>
    </w:p>
    <w:p w14:paraId="14547EBA" w14:textId="77777777" w:rsidR="00323705" w:rsidRDefault="00323705" w:rsidP="00323705">
      <w:pPr>
        <w:autoSpaceDE w:val="0"/>
        <w:autoSpaceDN w:val="0"/>
        <w:adjustRightInd w:val="0"/>
        <w:ind w:left="709" w:hanging="709"/>
        <w:jc w:val="both"/>
        <w:rPr>
          <w:sz w:val="24"/>
          <w:szCs w:val="24"/>
          <w:lang w:val="en-US"/>
        </w:rPr>
      </w:pPr>
      <w:r>
        <w:rPr>
          <w:sz w:val="24"/>
          <w:szCs w:val="24"/>
          <w:lang w:val="en-US"/>
        </w:rPr>
        <w:t xml:space="preserve">Rozeff, M. S. (1982). Growth, beta and agency costs as determinants of dividend payout ratios. </w:t>
      </w:r>
      <w:r>
        <w:rPr>
          <w:i/>
          <w:iCs/>
          <w:sz w:val="24"/>
          <w:szCs w:val="24"/>
          <w:lang w:val="en-US"/>
        </w:rPr>
        <w:t>Journal of Financial Research</w:t>
      </w:r>
      <w:r>
        <w:rPr>
          <w:i/>
          <w:sz w:val="24"/>
          <w:szCs w:val="24"/>
          <w:lang w:val="en-US"/>
        </w:rPr>
        <w:t xml:space="preserve">, </w:t>
      </w:r>
      <w:r>
        <w:rPr>
          <w:i/>
          <w:iCs/>
          <w:sz w:val="24"/>
          <w:szCs w:val="24"/>
          <w:lang w:val="en-US"/>
        </w:rPr>
        <w:t>5</w:t>
      </w:r>
      <w:r>
        <w:rPr>
          <w:sz w:val="24"/>
          <w:szCs w:val="24"/>
          <w:lang w:val="en-US"/>
        </w:rPr>
        <w:t>(3), pp. 249-259.</w:t>
      </w:r>
    </w:p>
    <w:p w14:paraId="088E6E1B" w14:textId="77777777" w:rsidR="00323705" w:rsidRDefault="00323705" w:rsidP="00323705">
      <w:pPr>
        <w:ind w:left="709" w:hanging="709"/>
        <w:jc w:val="both"/>
        <w:rPr>
          <w:sz w:val="24"/>
          <w:szCs w:val="24"/>
          <w:lang w:val="en-US"/>
        </w:rPr>
      </w:pPr>
    </w:p>
    <w:p w14:paraId="5B22AEB0" w14:textId="77777777" w:rsidR="00323705" w:rsidRDefault="00323705" w:rsidP="00323705">
      <w:pPr>
        <w:ind w:left="709" w:hanging="709"/>
        <w:jc w:val="both"/>
        <w:rPr>
          <w:sz w:val="24"/>
          <w:szCs w:val="24"/>
          <w:lang w:val="en-US"/>
        </w:rPr>
      </w:pPr>
      <w:r>
        <w:rPr>
          <w:sz w:val="24"/>
          <w:szCs w:val="24"/>
          <w:lang w:val="en-US"/>
        </w:rPr>
        <w:lastRenderedPageBreak/>
        <w:t>Sawal, N. A., Zakaria, N. B. &amp; Abdullah, N. (2015). Financial difficulties and performance among fraudulent firms evidence from Malaysia</w:t>
      </w:r>
      <w:r>
        <w:rPr>
          <w:i/>
          <w:sz w:val="24"/>
          <w:szCs w:val="24"/>
          <w:lang w:val="en-US"/>
        </w:rPr>
        <w:t>. International Journal of Applied Business and Economic Research, 13</w:t>
      </w:r>
      <w:r>
        <w:rPr>
          <w:sz w:val="24"/>
          <w:szCs w:val="24"/>
          <w:lang w:val="en-US"/>
        </w:rPr>
        <w:t>(1), p. 161-175.</w:t>
      </w:r>
    </w:p>
    <w:p w14:paraId="5C948E92" w14:textId="77777777" w:rsidR="00323705" w:rsidRDefault="00323705" w:rsidP="00323705">
      <w:pPr>
        <w:ind w:left="709" w:hanging="709"/>
        <w:jc w:val="both"/>
        <w:rPr>
          <w:sz w:val="24"/>
          <w:szCs w:val="24"/>
          <w:shd w:val="clear" w:color="auto" w:fill="FFFFFF"/>
          <w:lang w:val="en-US"/>
        </w:rPr>
      </w:pPr>
    </w:p>
    <w:p w14:paraId="4A2E61D0" w14:textId="77777777" w:rsidR="00323705" w:rsidRDefault="00323705" w:rsidP="00323705">
      <w:pPr>
        <w:ind w:left="709" w:hanging="709"/>
        <w:jc w:val="both"/>
        <w:rPr>
          <w:sz w:val="24"/>
          <w:szCs w:val="24"/>
        </w:rPr>
      </w:pPr>
      <w:r>
        <w:rPr>
          <w:sz w:val="24"/>
          <w:szCs w:val="24"/>
          <w:shd w:val="clear" w:color="auto" w:fill="FFFFFF"/>
        </w:rPr>
        <w:t>Silva, J. C. G. &amp; Brito, R. D. (2005) Testando as previsões de trade-off e pecking order sobre dividendos e dívida no Brasil. </w:t>
      </w:r>
      <w:r>
        <w:rPr>
          <w:bCs/>
          <w:i/>
          <w:sz w:val="24"/>
          <w:szCs w:val="24"/>
          <w:shd w:val="clear" w:color="auto" w:fill="FFFFFF"/>
        </w:rPr>
        <w:t xml:space="preserve">Estudos Econômicos, </w:t>
      </w:r>
      <w:r>
        <w:rPr>
          <w:i/>
          <w:sz w:val="24"/>
          <w:szCs w:val="24"/>
          <w:shd w:val="clear" w:color="auto" w:fill="FFFFFF"/>
        </w:rPr>
        <w:t>35</w:t>
      </w:r>
      <w:r>
        <w:rPr>
          <w:sz w:val="24"/>
          <w:szCs w:val="24"/>
          <w:shd w:val="clear" w:color="auto" w:fill="FFFFFF"/>
        </w:rPr>
        <w:t>(1), p. 37-79.</w:t>
      </w:r>
    </w:p>
    <w:p w14:paraId="706B3C2E" w14:textId="77777777" w:rsidR="00323705" w:rsidRDefault="00323705" w:rsidP="00323705">
      <w:pPr>
        <w:ind w:left="709" w:hanging="709"/>
        <w:jc w:val="both"/>
        <w:rPr>
          <w:sz w:val="24"/>
          <w:szCs w:val="24"/>
          <w:shd w:val="clear" w:color="auto" w:fill="FFFFFF"/>
          <w:lang w:val="en-US"/>
        </w:rPr>
      </w:pPr>
    </w:p>
    <w:p w14:paraId="5CF0A5D3" w14:textId="77777777" w:rsidR="00323705" w:rsidRDefault="00323705" w:rsidP="00323705">
      <w:pPr>
        <w:ind w:left="709" w:hanging="709"/>
        <w:jc w:val="both"/>
        <w:rPr>
          <w:sz w:val="24"/>
          <w:szCs w:val="24"/>
        </w:rPr>
      </w:pPr>
      <w:r>
        <w:rPr>
          <w:sz w:val="24"/>
          <w:szCs w:val="24"/>
          <w:shd w:val="clear" w:color="auto" w:fill="FFFFFF"/>
          <w:lang w:val="en-US"/>
        </w:rPr>
        <w:t>Wruck, K. H. (1990). Financial distress, reorganization, and organizational efficiency. </w:t>
      </w:r>
      <w:r>
        <w:rPr>
          <w:bCs/>
          <w:i/>
          <w:sz w:val="24"/>
          <w:szCs w:val="24"/>
          <w:shd w:val="clear" w:color="auto" w:fill="FFFFFF"/>
        </w:rPr>
        <w:t>Journal of Financial Economics</w:t>
      </w:r>
      <w:r>
        <w:rPr>
          <w:i/>
          <w:sz w:val="24"/>
          <w:szCs w:val="24"/>
          <w:shd w:val="clear" w:color="auto" w:fill="FFFFFF"/>
        </w:rPr>
        <w:t>, 27</w:t>
      </w:r>
      <w:r>
        <w:rPr>
          <w:sz w:val="24"/>
          <w:szCs w:val="24"/>
          <w:shd w:val="clear" w:color="auto" w:fill="FFFFFF"/>
        </w:rPr>
        <w:t>(2), p. 419-444.</w:t>
      </w:r>
    </w:p>
    <w:p w14:paraId="171665E6" w14:textId="77777777" w:rsidR="00323705" w:rsidRDefault="00323705" w:rsidP="00323705">
      <w:pPr>
        <w:ind w:firstLine="708"/>
        <w:jc w:val="both"/>
        <w:rPr>
          <w:sz w:val="24"/>
          <w:szCs w:val="24"/>
        </w:rPr>
      </w:pPr>
    </w:p>
    <w:p w14:paraId="03D7E92B" w14:textId="77777777" w:rsidR="00B41AC1" w:rsidRDefault="00B41AC1" w:rsidP="00B41AC1">
      <w:pPr>
        <w:jc w:val="center"/>
        <w:rPr>
          <w:b/>
          <w:color w:val="999999"/>
        </w:rPr>
      </w:pPr>
    </w:p>
    <w:sectPr w:rsidR="00B41AC1" w:rsidSect="00E361F4">
      <w:headerReference w:type="even" r:id="rId9"/>
      <w:headerReference w:type="default" r:id="rId10"/>
      <w:footerReference w:type="even" r:id="rId11"/>
      <w:footerReference w:type="default" r:id="rId12"/>
      <w:headerReference w:type="first" r:id="rId13"/>
      <w:footerReference w:type="first" r:id="rId14"/>
      <w:pgSz w:w="11900" w:h="16840"/>
      <w:pgMar w:top="1701" w:right="1134" w:bottom="1134" w:left="1701"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5B7CD" w14:textId="77777777" w:rsidR="00D5213F" w:rsidRDefault="00D5213F" w:rsidP="008A5824">
      <w:r>
        <w:separator/>
      </w:r>
    </w:p>
  </w:endnote>
  <w:endnote w:type="continuationSeparator" w:id="0">
    <w:p w14:paraId="43A40958" w14:textId="77777777" w:rsidR="00D5213F" w:rsidRDefault="00D5213F"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MyriadPro-Regular">
    <w:altName w:val="MS Gothic"/>
    <w:panose1 w:val="00000000000000000000"/>
    <w:charset w:val="80"/>
    <w:family w:val="swiss"/>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020AE" w14:textId="77777777" w:rsidR="00E361F4" w:rsidRDefault="00E361F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39BEB" w14:textId="66437129" w:rsidR="00E361F4" w:rsidRDefault="00E361F4">
    <w:pPr>
      <w:pStyle w:val="Rodap"/>
    </w:pPr>
    <w:r>
      <w:rPr>
        <w:noProof/>
        <w:lang w:eastAsia="pt-BR"/>
      </w:rPr>
      <w:drawing>
        <wp:anchor distT="0" distB="0" distL="114300" distR="114300" simplePos="0" relativeHeight="251658240" behindDoc="1" locked="0" layoutInCell="1" allowOverlap="1" wp14:anchorId="54CA4118" wp14:editId="787CCA2F">
          <wp:simplePos x="0" y="0"/>
          <wp:positionH relativeFrom="column">
            <wp:posOffset>240665</wp:posOffset>
          </wp:positionH>
          <wp:positionV relativeFrom="paragraph">
            <wp:posOffset>-17294</wp:posOffset>
          </wp:positionV>
          <wp:extent cx="5558118" cy="649148"/>
          <wp:effectExtent l="0" t="0" r="508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59616" cy="649323"/>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E681F" w14:textId="77777777" w:rsidR="00E361F4" w:rsidRDefault="00E361F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CCED0" w14:textId="77777777" w:rsidR="00D5213F" w:rsidRDefault="00D5213F" w:rsidP="008A5824">
      <w:r>
        <w:separator/>
      </w:r>
    </w:p>
  </w:footnote>
  <w:footnote w:type="continuationSeparator" w:id="0">
    <w:p w14:paraId="6E076646" w14:textId="77777777" w:rsidR="00D5213F" w:rsidRDefault="00D5213F"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701F5" w14:textId="77777777" w:rsidR="00E361F4" w:rsidRDefault="00E361F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E78CC" w14:textId="293C39C3" w:rsidR="00194BA9" w:rsidRPr="00E361F4" w:rsidRDefault="00E361F4" w:rsidP="00E361F4">
    <w:pPr>
      <w:pStyle w:val="Cabealho"/>
    </w:pPr>
    <w:r>
      <w:rPr>
        <w:noProof/>
        <w:lang w:eastAsia="pt-BR"/>
      </w:rPr>
      <w:drawing>
        <wp:inline distT="0" distB="0" distL="0" distR="0" wp14:anchorId="0680C3C9" wp14:editId="2D2F0FBB">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93500" w14:textId="77777777" w:rsidR="00E361F4" w:rsidRDefault="00E361F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35222"/>
    <w:multiLevelType w:val="hybridMultilevel"/>
    <w:tmpl w:val="33663552"/>
    <w:lvl w:ilvl="0" w:tplc="F3BAE7CA">
      <w:start w:val="1"/>
      <w:numFmt w:val="decimal"/>
      <w:lvlText w:val="2.%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B0F2421"/>
    <w:multiLevelType w:val="hybridMultilevel"/>
    <w:tmpl w:val="916078D2"/>
    <w:lvl w:ilvl="0" w:tplc="06425B5E">
      <w:start w:val="5"/>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15:restartNumberingAfterBreak="0">
    <w:nsid w:val="635F001C"/>
    <w:multiLevelType w:val="hybridMultilevel"/>
    <w:tmpl w:val="8D46418E"/>
    <w:lvl w:ilvl="0" w:tplc="CE0E8DE2">
      <w:start w:val="1"/>
      <w:numFmt w:val="decimal"/>
      <w:lvlText w:val="%1"/>
      <w:lvlJc w:val="left"/>
      <w:pPr>
        <w:ind w:left="1065" w:hanging="360"/>
      </w:p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start w:val="1"/>
      <w:numFmt w:val="decimal"/>
      <w:lvlText w:val="%4."/>
      <w:lvlJc w:val="left"/>
      <w:pPr>
        <w:ind w:left="3225" w:hanging="360"/>
      </w:pPr>
    </w:lvl>
    <w:lvl w:ilvl="4" w:tplc="04160019">
      <w:start w:val="1"/>
      <w:numFmt w:val="lowerLetter"/>
      <w:lvlText w:val="%5."/>
      <w:lvlJc w:val="left"/>
      <w:pPr>
        <w:ind w:left="3945" w:hanging="360"/>
      </w:pPr>
    </w:lvl>
    <w:lvl w:ilvl="5" w:tplc="0416001B">
      <w:start w:val="1"/>
      <w:numFmt w:val="lowerRoman"/>
      <w:lvlText w:val="%6."/>
      <w:lvlJc w:val="right"/>
      <w:pPr>
        <w:ind w:left="4665" w:hanging="180"/>
      </w:pPr>
    </w:lvl>
    <w:lvl w:ilvl="6" w:tplc="0416000F">
      <w:start w:val="1"/>
      <w:numFmt w:val="decimal"/>
      <w:lvlText w:val="%7."/>
      <w:lvlJc w:val="left"/>
      <w:pPr>
        <w:ind w:left="5385" w:hanging="360"/>
      </w:pPr>
    </w:lvl>
    <w:lvl w:ilvl="7" w:tplc="04160019">
      <w:start w:val="1"/>
      <w:numFmt w:val="lowerLetter"/>
      <w:lvlText w:val="%8."/>
      <w:lvlJc w:val="left"/>
      <w:pPr>
        <w:ind w:left="6105" w:hanging="360"/>
      </w:pPr>
    </w:lvl>
    <w:lvl w:ilvl="8" w:tplc="0416001B">
      <w:start w:val="1"/>
      <w:numFmt w:val="lowerRoman"/>
      <w:lvlText w:val="%9."/>
      <w:lvlJc w:val="right"/>
      <w:pPr>
        <w:ind w:left="6825"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0MzUwM7IwsjAzsjRW0lEKTi0uzszPAykwqgUAb6RFiiwAAAA="/>
  </w:docVars>
  <w:rsids>
    <w:rsidRoot w:val="008A5824"/>
    <w:rsid w:val="00035892"/>
    <w:rsid w:val="000E499F"/>
    <w:rsid w:val="0016220D"/>
    <w:rsid w:val="00194BA9"/>
    <w:rsid w:val="001A4423"/>
    <w:rsid w:val="001C328B"/>
    <w:rsid w:val="001F6A6D"/>
    <w:rsid w:val="00282124"/>
    <w:rsid w:val="002B0015"/>
    <w:rsid w:val="002B2B78"/>
    <w:rsid w:val="00323705"/>
    <w:rsid w:val="0036377D"/>
    <w:rsid w:val="0038579D"/>
    <w:rsid w:val="004020EB"/>
    <w:rsid w:val="00416BE9"/>
    <w:rsid w:val="00473887"/>
    <w:rsid w:val="00491708"/>
    <w:rsid w:val="00520252"/>
    <w:rsid w:val="00631DCF"/>
    <w:rsid w:val="00686527"/>
    <w:rsid w:val="0072578D"/>
    <w:rsid w:val="007A7862"/>
    <w:rsid w:val="00860B20"/>
    <w:rsid w:val="008A5824"/>
    <w:rsid w:val="008D4F05"/>
    <w:rsid w:val="009833D5"/>
    <w:rsid w:val="00A02E36"/>
    <w:rsid w:val="00AB6351"/>
    <w:rsid w:val="00B32719"/>
    <w:rsid w:val="00B41AC1"/>
    <w:rsid w:val="00B41CAF"/>
    <w:rsid w:val="00BD0F13"/>
    <w:rsid w:val="00C30374"/>
    <w:rsid w:val="00CA2367"/>
    <w:rsid w:val="00CA25AA"/>
    <w:rsid w:val="00CE5296"/>
    <w:rsid w:val="00CF645C"/>
    <w:rsid w:val="00D5213F"/>
    <w:rsid w:val="00D55D19"/>
    <w:rsid w:val="00E361F4"/>
    <w:rsid w:val="00E6136F"/>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D7B35"/>
  <w14:defaultImageDpi w14:val="330"/>
  <w15:docId w15:val="{D9EF1E39-AAE9-422D-A080-5EB3F21B7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paragraph" w:styleId="Textodecomentrio">
    <w:name w:val="annotation text"/>
    <w:basedOn w:val="Normal"/>
    <w:link w:val="TextodecomentrioChar"/>
    <w:uiPriority w:val="99"/>
    <w:semiHidden/>
    <w:unhideWhenUsed/>
    <w:rsid w:val="00AB6351"/>
    <w:pPr>
      <w:suppressAutoHyphens w:val="0"/>
      <w:spacing w:after="160"/>
    </w:pPr>
    <w:rPr>
      <w:rFonts w:asciiTheme="minorHAnsi" w:eastAsiaTheme="minorHAnsi" w:hAnsiTheme="minorHAnsi" w:cstheme="minorBidi"/>
      <w:lang w:eastAsia="en-US"/>
    </w:rPr>
  </w:style>
  <w:style w:type="character" w:customStyle="1" w:styleId="TextodecomentrioChar">
    <w:name w:val="Texto de comentário Char"/>
    <w:basedOn w:val="Fontepargpadro"/>
    <w:link w:val="Textodecomentrio"/>
    <w:uiPriority w:val="99"/>
    <w:semiHidden/>
    <w:rsid w:val="00AB6351"/>
    <w:rPr>
      <w:sz w:val="20"/>
      <w:szCs w:val="20"/>
    </w:rPr>
  </w:style>
  <w:style w:type="paragraph" w:customStyle="1" w:styleId="paragraph">
    <w:name w:val="paragraph"/>
    <w:basedOn w:val="Normal"/>
    <w:rsid w:val="00AB6351"/>
    <w:pPr>
      <w:suppressAutoHyphens w:val="0"/>
      <w:spacing w:before="100" w:beforeAutospacing="1" w:after="100" w:afterAutospacing="1"/>
    </w:pPr>
    <w:rPr>
      <w:sz w:val="24"/>
      <w:szCs w:val="24"/>
    </w:rPr>
  </w:style>
  <w:style w:type="character" w:customStyle="1" w:styleId="normaltextrun">
    <w:name w:val="normaltextrun"/>
    <w:basedOn w:val="Fontepargpadro"/>
    <w:rsid w:val="00AB6351"/>
  </w:style>
  <w:style w:type="character" w:customStyle="1" w:styleId="eop">
    <w:name w:val="eop"/>
    <w:basedOn w:val="Fontepargpadro"/>
    <w:rsid w:val="00AB6351"/>
  </w:style>
  <w:style w:type="character" w:styleId="Hyperlink">
    <w:name w:val="Hyperlink"/>
    <w:basedOn w:val="Fontepargpadro"/>
    <w:uiPriority w:val="99"/>
    <w:semiHidden/>
    <w:unhideWhenUsed/>
    <w:rsid w:val="00323705"/>
    <w:rPr>
      <w:color w:val="0000FF"/>
      <w:u w:val="single"/>
    </w:rPr>
  </w:style>
  <w:style w:type="character" w:customStyle="1" w:styleId="Bodytext">
    <w:name w:val="Body text_"/>
    <w:basedOn w:val="Fontepargpadro"/>
    <w:link w:val="Corpodetexto1"/>
    <w:locked/>
    <w:rsid w:val="00323705"/>
    <w:rPr>
      <w:rFonts w:ascii="Times New Roman" w:eastAsia="Times New Roman" w:hAnsi="Times New Roman" w:cs="Times New Roman"/>
      <w:sz w:val="19"/>
      <w:szCs w:val="19"/>
      <w:shd w:val="clear" w:color="auto" w:fill="FFFFFF"/>
    </w:rPr>
  </w:style>
  <w:style w:type="paragraph" w:customStyle="1" w:styleId="Corpodetexto1">
    <w:name w:val="Corpo de texto1"/>
    <w:basedOn w:val="Normal"/>
    <w:link w:val="Bodytext"/>
    <w:rsid w:val="00323705"/>
    <w:pPr>
      <w:widowControl w:val="0"/>
      <w:shd w:val="clear" w:color="auto" w:fill="FFFFFF"/>
      <w:suppressAutoHyphens w:val="0"/>
      <w:spacing w:after="180" w:line="240" w:lineRule="exact"/>
      <w:ind w:hanging="320"/>
      <w:jc w:val="center"/>
    </w:pPr>
    <w:rPr>
      <w:sz w:val="19"/>
      <w:szCs w:val="19"/>
      <w:lang w:eastAsia="en-US"/>
    </w:rPr>
  </w:style>
  <w:style w:type="character" w:customStyle="1" w:styleId="Heading3">
    <w:name w:val="Heading #3_"/>
    <w:basedOn w:val="Fontepargpadro"/>
    <w:link w:val="Heading30"/>
    <w:locked/>
    <w:rsid w:val="00323705"/>
    <w:rPr>
      <w:rFonts w:ascii="Arial" w:eastAsia="Arial" w:hAnsi="Arial" w:cs="Arial"/>
      <w:b/>
      <w:bCs/>
      <w:sz w:val="20"/>
      <w:szCs w:val="20"/>
      <w:shd w:val="clear" w:color="auto" w:fill="FFFFFF"/>
    </w:rPr>
  </w:style>
  <w:style w:type="paragraph" w:customStyle="1" w:styleId="Heading30">
    <w:name w:val="Heading #3"/>
    <w:basedOn w:val="Normal"/>
    <w:link w:val="Heading3"/>
    <w:rsid w:val="00323705"/>
    <w:pPr>
      <w:widowControl w:val="0"/>
      <w:shd w:val="clear" w:color="auto" w:fill="FFFFFF"/>
      <w:suppressAutoHyphens w:val="0"/>
      <w:spacing w:before="300" w:after="660" w:line="0" w:lineRule="atLeast"/>
      <w:outlineLvl w:val="2"/>
    </w:pPr>
    <w:rPr>
      <w:rFonts w:ascii="Arial" w:eastAsia="Arial" w:hAnsi="Arial" w:cs="Arial"/>
      <w:b/>
      <w:bCs/>
      <w:lang w:eastAsia="en-US"/>
    </w:rPr>
  </w:style>
  <w:style w:type="character" w:customStyle="1" w:styleId="Bodytext4">
    <w:name w:val="Body text (4)"/>
    <w:basedOn w:val="Fontepargpadro"/>
    <w:rsid w:val="00323705"/>
    <w:rPr>
      <w:rFonts w:ascii="Palatino Linotype" w:eastAsia="Palatino Linotype" w:hAnsi="Palatino Linotype" w:cs="Palatino Linotype" w:hint="default"/>
      <w:b/>
      <w:bCs/>
      <w:i w:val="0"/>
      <w:iCs w:val="0"/>
      <w:smallCaps w:val="0"/>
      <w:strike w:val="0"/>
      <w:dstrike w:val="0"/>
      <w:color w:val="000000"/>
      <w:spacing w:val="0"/>
      <w:w w:val="100"/>
      <w:position w:val="0"/>
      <w:sz w:val="18"/>
      <w:szCs w:val="18"/>
      <w:u w:val="none"/>
      <w:effect w:val="none"/>
      <w:lang w:val="en-US"/>
    </w:rPr>
  </w:style>
  <w:style w:type="table" w:styleId="Tabelacomgrade">
    <w:name w:val="Table Grid"/>
    <w:basedOn w:val="Tabelanormal"/>
    <w:uiPriority w:val="39"/>
    <w:rsid w:val="00323705"/>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uiPriority w:val="39"/>
    <w:rsid w:val="00323705"/>
    <w:rPr>
      <w:rFonts w:ascii="Calibri" w:eastAsia="Calibri" w:hAnsi="Calibri" w:cs="Times New Roman"/>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3237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817113">
      <w:bodyDiv w:val="1"/>
      <w:marLeft w:val="0"/>
      <w:marRight w:val="0"/>
      <w:marTop w:val="0"/>
      <w:marBottom w:val="0"/>
      <w:divBdr>
        <w:top w:val="none" w:sz="0" w:space="0" w:color="auto"/>
        <w:left w:val="none" w:sz="0" w:space="0" w:color="auto"/>
        <w:bottom w:val="none" w:sz="0" w:space="0" w:color="auto"/>
        <w:right w:val="none" w:sz="0" w:space="0" w:color="auto"/>
      </w:divBdr>
    </w:div>
    <w:div w:id="1036782092">
      <w:bodyDiv w:val="1"/>
      <w:marLeft w:val="0"/>
      <w:marRight w:val="0"/>
      <w:marTop w:val="0"/>
      <w:marBottom w:val="0"/>
      <w:divBdr>
        <w:top w:val="none" w:sz="0" w:space="0" w:color="auto"/>
        <w:left w:val="none" w:sz="0" w:space="0" w:color="auto"/>
        <w:bottom w:val="none" w:sz="0" w:space="0" w:color="auto"/>
        <w:right w:val="none" w:sz="0" w:space="0" w:color="auto"/>
      </w:divBdr>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602372419">
      <w:bodyDiv w:val="1"/>
      <w:marLeft w:val="0"/>
      <w:marRight w:val="0"/>
      <w:marTop w:val="0"/>
      <w:marBottom w:val="0"/>
      <w:divBdr>
        <w:top w:val="none" w:sz="0" w:space="0" w:color="auto"/>
        <w:left w:val="none" w:sz="0" w:space="0" w:color="auto"/>
        <w:bottom w:val="none" w:sz="0" w:space="0" w:color="auto"/>
        <w:right w:val="none" w:sz="0" w:space="0" w:color="auto"/>
      </w:divBdr>
    </w:div>
    <w:div w:id="21453887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essica\AppData\Roaming\Skype\My%20Skype%20Received%20Files\Artigo%20Oficina%20de%20Jessica%20e%20Mika&#233;li%20-%20Moacir%20-%20Tarc&#237;sio(2).doc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file:///C:\Users\Jessica\AppData\Roaming\Skype\My%20Skype%20Received%20Files\Artigo%20Oficina%20de%20Jessica%20e%20Mika&#233;li%20-%20Moacir%20-%20Tarc&#237;sio(2).docx"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5650</Words>
  <Characters>30510</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Jessica Nolli</cp:lastModifiedBy>
  <cp:revision>2</cp:revision>
  <dcterms:created xsi:type="dcterms:W3CDTF">2018-05-07T13:56:00Z</dcterms:created>
  <dcterms:modified xsi:type="dcterms:W3CDTF">2018-05-07T13:56:00Z</dcterms:modified>
</cp:coreProperties>
</file>