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Default="0036377D" w:rsidP="0036377D">
      <w:pPr>
        <w:jc w:val="center"/>
        <w:rPr>
          <w:b/>
          <w:sz w:val="24"/>
        </w:rPr>
      </w:pPr>
    </w:p>
    <w:p w:rsidR="00437EB5" w:rsidRPr="004677EC" w:rsidRDefault="00437EB5" w:rsidP="00437EB5">
      <w:pPr>
        <w:pStyle w:val="Normal1"/>
        <w:spacing w:after="0" w:line="240" w:lineRule="auto"/>
        <w:jc w:val="center"/>
        <w:rPr>
          <w:rFonts w:ascii="Times New Roman" w:eastAsia="Times New Roman" w:hAnsi="Times New Roman" w:cs="Times New Roman"/>
          <w:b/>
        </w:rPr>
      </w:pPr>
      <w:r w:rsidRPr="009271B7">
        <w:rPr>
          <w:rFonts w:ascii="Times New Roman" w:eastAsia="Times New Roman" w:hAnsi="Times New Roman" w:cs="Times New Roman"/>
          <w:b/>
        </w:rPr>
        <w:t xml:space="preserve">Benefícios </w:t>
      </w:r>
      <w:r>
        <w:rPr>
          <w:rFonts w:ascii="Times New Roman" w:eastAsia="Times New Roman" w:hAnsi="Times New Roman" w:cs="Times New Roman"/>
          <w:b/>
        </w:rPr>
        <w:t>a</w:t>
      </w:r>
      <w:r w:rsidRPr="009271B7">
        <w:rPr>
          <w:rFonts w:ascii="Times New Roman" w:eastAsia="Times New Roman" w:hAnsi="Times New Roman" w:cs="Times New Roman"/>
          <w:b/>
        </w:rPr>
        <w:t xml:space="preserve"> Empregados: Análise </w:t>
      </w:r>
      <w:r>
        <w:rPr>
          <w:rFonts w:ascii="Times New Roman" w:eastAsia="Times New Roman" w:hAnsi="Times New Roman" w:cs="Times New Roman"/>
          <w:b/>
        </w:rPr>
        <w:t>d</w:t>
      </w:r>
      <w:r w:rsidRPr="009271B7">
        <w:rPr>
          <w:rFonts w:ascii="Times New Roman" w:eastAsia="Times New Roman" w:hAnsi="Times New Roman" w:cs="Times New Roman"/>
          <w:b/>
        </w:rPr>
        <w:t>as Informações</w:t>
      </w:r>
      <w:r>
        <w:rPr>
          <w:rFonts w:ascii="Times New Roman" w:hAnsi="Times New Roman" w:cs="Times New Roman"/>
          <w:b/>
        </w:rPr>
        <w:t xml:space="preserve"> </w:t>
      </w:r>
      <w:r w:rsidRPr="002C537A">
        <w:rPr>
          <w:rFonts w:ascii="Times New Roman" w:eastAsia="Times New Roman" w:hAnsi="Times New Roman" w:cs="Times New Roman"/>
          <w:b/>
        </w:rPr>
        <w:t>Divulgadas</w:t>
      </w:r>
      <w:r>
        <w:rPr>
          <w:rFonts w:ascii="Times New Roman" w:eastAsia="Times New Roman" w:hAnsi="Times New Roman" w:cs="Times New Roman"/>
          <w:b/>
        </w:rPr>
        <w:t xml:space="preserve"> p</w:t>
      </w:r>
      <w:r w:rsidRPr="002C537A">
        <w:rPr>
          <w:rFonts w:ascii="Times New Roman" w:eastAsia="Times New Roman" w:hAnsi="Times New Roman" w:cs="Times New Roman"/>
          <w:b/>
        </w:rPr>
        <w:t>elas Instituiç</w:t>
      </w:r>
      <w:r>
        <w:rPr>
          <w:rFonts w:ascii="Times New Roman" w:eastAsia="Times New Roman" w:hAnsi="Times New Roman" w:cs="Times New Roman"/>
          <w:b/>
        </w:rPr>
        <w:t xml:space="preserve">ões </w:t>
      </w:r>
      <w:r w:rsidRPr="002C537A">
        <w:rPr>
          <w:rFonts w:ascii="Times New Roman" w:eastAsia="Times New Roman" w:hAnsi="Times New Roman" w:cs="Times New Roman"/>
          <w:b/>
        </w:rPr>
        <w:t xml:space="preserve">Financeiras Listadas </w:t>
      </w:r>
      <w:r>
        <w:rPr>
          <w:rFonts w:ascii="Times New Roman" w:eastAsia="Times New Roman" w:hAnsi="Times New Roman" w:cs="Times New Roman"/>
          <w:b/>
        </w:rPr>
        <w:t>n</w:t>
      </w:r>
      <w:r w:rsidRPr="002C537A">
        <w:rPr>
          <w:rFonts w:ascii="Times New Roman" w:eastAsia="Times New Roman" w:hAnsi="Times New Roman" w:cs="Times New Roman"/>
          <w:b/>
        </w:rPr>
        <w:t>a B</w:t>
      </w:r>
      <w:r>
        <w:rPr>
          <w:rFonts w:ascii="Times New Roman" w:eastAsia="Times New Roman" w:hAnsi="Times New Roman" w:cs="Times New Roman"/>
          <w:b/>
        </w:rPr>
        <w:t>3</w:t>
      </w:r>
    </w:p>
    <w:p w:rsidR="0036377D" w:rsidRDefault="0036377D" w:rsidP="0036377D">
      <w:pPr>
        <w:jc w:val="center"/>
        <w:rPr>
          <w:color w:val="999999"/>
        </w:rPr>
      </w:pPr>
    </w:p>
    <w:p w:rsidR="00437EB5" w:rsidRPr="005F328B" w:rsidRDefault="00437EB5" w:rsidP="00437EB5">
      <w:pPr>
        <w:widowControl w:val="0"/>
        <w:jc w:val="right"/>
        <w:rPr>
          <w:b/>
          <w:color w:val="000000" w:themeColor="text1"/>
          <w:sz w:val="24"/>
          <w:szCs w:val="24"/>
        </w:rPr>
      </w:pPr>
      <w:r w:rsidRPr="005F328B">
        <w:rPr>
          <w:b/>
          <w:color w:val="000000" w:themeColor="text1"/>
          <w:sz w:val="24"/>
          <w:szCs w:val="24"/>
        </w:rPr>
        <w:t xml:space="preserve">Silvana </w:t>
      </w:r>
      <w:proofErr w:type="spellStart"/>
      <w:r w:rsidRPr="005F328B">
        <w:rPr>
          <w:b/>
          <w:color w:val="000000" w:themeColor="text1"/>
          <w:sz w:val="24"/>
          <w:szCs w:val="24"/>
        </w:rPr>
        <w:t>Dalmutt</w:t>
      </w:r>
      <w:proofErr w:type="spellEnd"/>
      <w:r w:rsidRPr="005F328B">
        <w:rPr>
          <w:b/>
          <w:color w:val="000000" w:themeColor="text1"/>
          <w:sz w:val="24"/>
          <w:szCs w:val="24"/>
        </w:rPr>
        <w:t xml:space="preserve"> </w:t>
      </w:r>
      <w:proofErr w:type="spellStart"/>
      <w:r w:rsidRPr="005F328B">
        <w:rPr>
          <w:b/>
          <w:color w:val="000000" w:themeColor="text1"/>
          <w:sz w:val="24"/>
          <w:szCs w:val="24"/>
        </w:rPr>
        <w:t>Kruger</w:t>
      </w:r>
      <w:proofErr w:type="spellEnd"/>
    </w:p>
    <w:p w:rsidR="00437EB5" w:rsidRPr="005F328B" w:rsidRDefault="00437EB5" w:rsidP="00437EB5">
      <w:pPr>
        <w:widowControl w:val="0"/>
        <w:jc w:val="right"/>
        <w:rPr>
          <w:b/>
          <w:color w:val="000000" w:themeColor="text1"/>
          <w:sz w:val="24"/>
          <w:szCs w:val="24"/>
        </w:rPr>
      </w:pPr>
      <w:r w:rsidRPr="005F328B">
        <w:rPr>
          <w:b/>
          <w:color w:val="000000" w:themeColor="text1"/>
          <w:sz w:val="24"/>
          <w:szCs w:val="24"/>
        </w:rPr>
        <w:t>Universidade Comunitária da Região de Chapecó (UNOCHAPECÓ)</w:t>
      </w:r>
    </w:p>
    <w:p w:rsidR="00437EB5" w:rsidRPr="005F328B" w:rsidRDefault="00437EB5" w:rsidP="00437EB5">
      <w:pPr>
        <w:widowControl w:val="0"/>
        <w:jc w:val="right"/>
        <w:rPr>
          <w:b/>
          <w:color w:val="000000" w:themeColor="text1"/>
          <w:sz w:val="24"/>
          <w:szCs w:val="24"/>
        </w:rPr>
      </w:pPr>
      <w:r w:rsidRPr="005F328B">
        <w:rPr>
          <w:b/>
          <w:i/>
          <w:color w:val="000000" w:themeColor="text1"/>
          <w:sz w:val="24"/>
          <w:szCs w:val="24"/>
        </w:rPr>
        <w:t>E-mail: silvanak@unochapeco.edu.br</w:t>
      </w:r>
    </w:p>
    <w:p w:rsidR="00437EB5" w:rsidRPr="005F328B" w:rsidRDefault="00437EB5" w:rsidP="00437EB5">
      <w:pPr>
        <w:widowControl w:val="0"/>
        <w:jc w:val="right"/>
        <w:rPr>
          <w:b/>
          <w:color w:val="000000" w:themeColor="text1"/>
          <w:sz w:val="24"/>
          <w:szCs w:val="24"/>
          <w:highlight w:val="yellow"/>
        </w:rPr>
      </w:pPr>
    </w:p>
    <w:p w:rsidR="00437EB5" w:rsidRPr="00437EB5" w:rsidRDefault="00437EB5" w:rsidP="00437EB5">
      <w:pPr>
        <w:pStyle w:val="Normal1"/>
        <w:spacing w:after="0" w:line="240" w:lineRule="auto"/>
        <w:jc w:val="right"/>
        <w:rPr>
          <w:rFonts w:ascii="Times New Roman" w:eastAsia="Times New Roman" w:hAnsi="Times New Roman" w:cs="Times New Roman"/>
          <w:b/>
        </w:rPr>
      </w:pPr>
      <w:r w:rsidRPr="00437EB5">
        <w:rPr>
          <w:rFonts w:ascii="Times New Roman" w:eastAsia="Times New Roman" w:hAnsi="Times New Roman" w:cs="Times New Roman"/>
          <w:b/>
        </w:rPr>
        <w:t>Matheus Knorst Furlan</w:t>
      </w:r>
    </w:p>
    <w:p w:rsidR="00437EB5" w:rsidRPr="005F328B" w:rsidRDefault="00437EB5" w:rsidP="00437EB5">
      <w:pPr>
        <w:widowControl w:val="0"/>
        <w:jc w:val="right"/>
        <w:rPr>
          <w:b/>
          <w:color w:val="000000" w:themeColor="text1"/>
          <w:sz w:val="24"/>
          <w:szCs w:val="24"/>
        </w:rPr>
      </w:pPr>
      <w:r w:rsidRPr="005F328B">
        <w:rPr>
          <w:b/>
          <w:color w:val="000000" w:themeColor="text1"/>
          <w:sz w:val="24"/>
          <w:szCs w:val="24"/>
        </w:rPr>
        <w:t>Universidade Comunitária da Região de Chapecó (UNOCHAPECÓ)</w:t>
      </w:r>
    </w:p>
    <w:p w:rsidR="00437EB5" w:rsidRPr="00437EB5" w:rsidRDefault="00437EB5" w:rsidP="00437EB5">
      <w:pPr>
        <w:pStyle w:val="Normal1"/>
        <w:spacing w:after="0" w:line="240" w:lineRule="auto"/>
        <w:jc w:val="right"/>
        <w:rPr>
          <w:rFonts w:ascii="Times New Roman" w:eastAsia="Times New Roman" w:hAnsi="Times New Roman" w:cs="Times New Roman"/>
          <w:b/>
          <w:lang w:val="en-US"/>
        </w:rPr>
      </w:pPr>
      <w:r w:rsidRPr="00437EB5">
        <w:rPr>
          <w:rFonts w:ascii="Times New Roman" w:hAnsi="Times New Roman" w:cs="Times New Roman"/>
          <w:b/>
          <w:i/>
          <w:color w:val="000000" w:themeColor="text1"/>
        </w:rPr>
        <w:t>E-mail</w:t>
      </w:r>
      <w:r>
        <w:rPr>
          <w:rFonts w:ascii="Times New Roman" w:eastAsia="Times New Roman" w:hAnsi="Times New Roman" w:cs="Times New Roman"/>
          <w:b/>
          <w:lang w:val="en-US"/>
        </w:rPr>
        <w:t xml:space="preserve">: </w:t>
      </w:r>
      <w:r w:rsidRPr="00437EB5">
        <w:rPr>
          <w:rFonts w:ascii="Times New Roman" w:eastAsia="Times New Roman" w:hAnsi="Times New Roman" w:cs="Times New Roman"/>
          <w:b/>
          <w:lang w:val="en-US"/>
        </w:rPr>
        <w:t>matheus.knorst</w:t>
      </w:r>
      <w:hyperlink r:id="rId7">
        <w:r w:rsidRPr="00437EB5">
          <w:rPr>
            <w:rFonts w:ascii="Times New Roman" w:eastAsia="Times New Roman" w:hAnsi="Times New Roman" w:cs="Times New Roman"/>
            <w:b/>
            <w:lang w:val="en-US"/>
          </w:rPr>
          <w:t>@unochapeco.edu.br</w:t>
        </w:r>
      </w:hyperlink>
    </w:p>
    <w:p w:rsidR="00437EB5" w:rsidRPr="005F328B" w:rsidRDefault="00437EB5" w:rsidP="00437EB5">
      <w:pPr>
        <w:widowControl w:val="0"/>
        <w:jc w:val="right"/>
        <w:rPr>
          <w:b/>
          <w:color w:val="000000" w:themeColor="text1"/>
          <w:sz w:val="24"/>
          <w:szCs w:val="24"/>
        </w:rPr>
      </w:pPr>
    </w:p>
    <w:p w:rsidR="00437EB5" w:rsidRPr="001A4A97" w:rsidRDefault="004846EC" w:rsidP="00437EB5">
      <w:pPr>
        <w:widowControl w:val="0"/>
        <w:jc w:val="right"/>
        <w:rPr>
          <w:b/>
          <w:color w:val="000000" w:themeColor="text1"/>
          <w:sz w:val="24"/>
          <w:szCs w:val="24"/>
        </w:rPr>
      </w:pPr>
      <w:r w:rsidRPr="001A4A97">
        <w:rPr>
          <w:b/>
          <w:color w:val="000000" w:themeColor="text1"/>
          <w:sz w:val="24"/>
          <w:szCs w:val="24"/>
        </w:rPr>
        <w:t>Franciele Pastre</w:t>
      </w:r>
    </w:p>
    <w:p w:rsidR="00437EB5" w:rsidRPr="001A4A97" w:rsidRDefault="00437EB5" w:rsidP="00437EB5">
      <w:pPr>
        <w:widowControl w:val="0"/>
        <w:jc w:val="right"/>
        <w:rPr>
          <w:b/>
          <w:color w:val="000000" w:themeColor="text1"/>
          <w:sz w:val="24"/>
          <w:szCs w:val="24"/>
        </w:rPr>
      </w:pPr>
      <w:r w:rsidRPr="001A4A97">
        <w:rPr>
          <w:b/>
          <w:color w:val="000000" w:themeColor="text1"/>
          <w:sz w:val="24"/>
          <w:szCs w:val="24"/>
        </w:rPr>
        <w:t>Universidade Comunitária da Região de Chapecó (UNOCHAPECÓ)</w:t>
      </w:r>
    </w:p>
    <w:p w:rsidR="00437EB5" w:rsidRDefault="00437EB5" w:rsidP="00437EB5">
      <w:pPr>
        <w:widowControl w:val="0"/>
        <w:jc w:val="right"/>
        <w:rPr>
          <w:b/>
          <w:i/>
          <w:color w:val="000000" w:themeColor="text1"/>
          <w:sz w:val="24"/>
          <w:szCs w:val="24"/>
        </w:rPr>
      </w:pPr>
      <w:r w:rsidRPr="001A4A97">
        <w:rPr>
          <w:b/>
          <w:i/>
          <w:color w:val="000000" w:themeColor="text1"/>
          <w:sz w:val="24"/>
          <w:szCs w:val="24"/>
        </w:rPr>
        <w:t xml:space="preserve">E-mail: </w:t>
      </w:r>
      <w:r w:rsidR="004846EC" w:rsidRPr="001A4A97">
        <w:rPr>
          <w:b/>
          <w:i/>
          <w:color w:val="000000" w:themeColor="text1"/>
          <w:sz w:val="24"/>
          <w:szCs w:val="24"/>
        </w:rPr>
        <w:t>franci</w:t>
      </w:r>
      <w:r w:rsidRPr="001A4A97">
        <w:rPr>
          <w:b/>
          <w:i/>
          <w:color w:val="000000" w:themeColor="text1"/>
          <w:sz w:val="24"/>
          <w:szCs w:val="24"/>
        </w:rPr>
        <w:t>@unochapeco.edu.br</w:t>
      </w:r>
    </w:p>
    <w:p w:rsidR="00DD5A42" w:rsidRDefault="00DD5A42" w:rsidP="00437EB5">
      <w:pPr>
        <w:widowControl w:val="0"/>
        <w:jc w:val="right"/>
        <w:rPr>
          <w:b/>
          <w:color w:val="000000" w:themeColor="text1"/>
          <w:sz w:val="24"/>
          <w:szCs w:val="24"/>
        </w:rPr>
      </w:pPr>
    </w:p>
    <w:p w:rsidR="00DD5A42" w:rsidRPr="005F328B" w:rsidRDefault="00DD5A42" w:rsidP="00437EB5">
      <w:pPr>
        <w:widowControl w:val="0"/>
        <w:jc w:val="right"/>
        <w:rPr>
          <w:b/>
          <w:color w:val="000000" w:themeColor="text1"/>
          <w:sz w:val="24"/>
          <w:szCs w:val="24"/>
        </w:rPr>
      </w:pPr>
      <w:r>
        <w:rPr>
          <w:b/>
          <w:color w:val="000000" w:themeColor="text1"/>
          <w:sz w:val="24"/>
          <w:szCs w:val="24"/>
        </w:rPr>
        <w:t>Juliana Fabris</w:t>
      </w:r>
    </w:p>
    <w:p w:rsidR="00DD5A42" w:rsidRPr="001A4A97" w:rsidRDefault="00DD5A42" w:rsidP="00DD5A42">
      <w:pPr>
        <w:widowControl w:val="0"/>
        <w:jc w:val="right"/>
        <w:rPr>
          <w:b/>
          <w:color w:val="000000" w:themeColor="text1"/>
          <w:sz w:val="24"/>
          <w:szCs w:val="24"/>
        </w:rPr>
      </w:pPr>
      <w:r w:rsidRPr="001A4A97">
        <w:rPr>
          <w:b/>
          <w:color w:val="000000" w:themeColor="text1"/>
          <w:sz w:val="24"/>
          <w:szCs w:val="24"/>
        </w:rPr>
        <w:t>Universidade Comunitária da Região de Chapecó (UNOCHAPECÓ)</w:t>
      </w:r>
    </w:p>
    <w:p w:rsidR="00DD5A42" w:rsidRDefault="00DD5A42" w:rsidP="00DD5A42">
      <w:pPr>
        <w:widowControl w:val="0"/>
        <w:jc w:val="right"/>
        <w:rPr>
          <w:b/>
          <w:i/>
          <w:color w:val="000000" w:themeColor="text1"/>
          <w:sz w:val="24"/>
          <w:szCs w:val="24"/>
        </w:rPr>
      </w:pPr>
      <w:bookmarkStart w:id="0" w:name="_GoBack"/>
      <w:bookmarkEnd w:id="0"/>
      <w:r w:rsidRPr="001A4A97">
        <w:rPr>
          <w:b/>
          <w:i/>
          <w:color w:val="000000" w:themeColor="text1"/>
          <w:sz w:val="24"/>
          <w:szCs w:val="24"/>
        </w:rPr>
        <w:t xml:space="preserve">E-mail: </w:t>
      </w:r>
      <w:r>
        <w:rPr>
          <w:b/>
          <w:i/>
          <w:color w:val="000000" w:themeColor="text1"/>
          <w:sz w:val="24"/>
          <w:szCs w:val="24"/>
        </w:rPr>
        <w:t>julianafabris</w:t>
      </w:r>
      <w:r w:rsidRPr="001A4A97">
        <w:rPr>
          <w:b/>
          <w:i/>
          <w:color w:val="000000" w:themeColor="text1"/>
          <w:sz w:val="24"/>
          <w:szCs w:val="24"/>
        </w:rPr>
        <w:t>@unochapeco.edu.br</w:t>
      </w: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437EB5" w:rsidRPr="006A3942" w:rsidRDefault="00437EB5" w:rsidP="006A3942">
      <w:pPr>
        <w:pStyle w:val="Normal1"/>
        <w:shd w:val="clear" w:color="auto" w:fill="FFFFFF" w:themeFill="background1"/>
        <w:spacing w:after="0" w:line="240" w:lineRule="auto"/>
        <w:jc w:val="both"/>
        <w:rPr>
          <w:rFonts w:ascii="Times New Roman" w:hAnsi="Times New Roman" w:cs="Times New Roman"/>
        </w:rPr>
      </w:pPr>
      <w:r w:rsidRPr="006A3942">
        <w:rPr>
          <w:rFonts w:ascii="Times New Roman" w:hAnsi="Times New Roman" w:cs="Times New Roman"/>
        </w:rPr>
        <w:t xml:space="preserve">A pesquisa tem por objetivo </w:t>
      </w:r>
      <w:r w:rsidRPr="006A3942">
        <w:rPr>
          <w:rFonts w:ascii="Times New Roman" w:eastAsia="Times New Roman" w:hAnsi="Times New Roman" w:cs="Times New Roman"/>
        </w:rPr>
        <w:t>analisar os benefícios concedidos a</w:t>
      </w:r>
      <w:r w:rsidR="00194BCF">
        <w:rPr>
          <w:rFonts w:ascii="Times New Roman" w:eastAsia="Times New Roman" w:hAnsi="Times New Roman" w:cs="Times New Roman"/>
        </w:rPr>
        <w:t>os</w:t>
      </w:r>
      <w:r w:rsidRPr="006A3942">
        <w:rPr>
          <w:rFonts w:ascii="Times New Roman" w:eastAsia="Times New Roman" w:hAnsi="Times New Roman" w:cs="Times New Roman"/>
        </w:rPr>
        <w:t xml:space="preserve"> empregados </w:t>
      </w:r>
      <w:r w:rsidR="00194BCF">
        <w:rPr>
          <w:rFonts w:ascii="Times New Roman" w:eastAsia="Times New Roman" w:hAnsi="Times New Roman" w:cs="Times New Roman"/>
        </w:rPr>
        <w:t xml:space="preserve">pelas </w:t>
      </w:r>
      <w:r w:rsidRPr="006A3942">
        <w:rPr>
          <w:rFonts w:ascii="Times New Roman" w:eastAsia="Times New Roman" w:hAnsi="Times New Roman" w:cs="Times New Roman"/>
        </w:rPr>
        <w:t>instituições financeiras listadas na B3. Metodologicamente a pesquisa é descritiva, realizada por meio de análise documental, de cunho qualitativo. A</w:t>
      </w:r>
      <w:r w:rsidRPr="006A3942">
        <w:rPr>
          <w:rFonts w:ascii="Times New Roman" w:hAnsi="Times New Roman" w:cs="Times New Roman"/>
        </w:rPr>
        <w:t xml:space="preserve"> amostra é composta por 13 instituições financeiras listadas na </w:t>
      </w:r>
      <w:r w:rsidR="006A3942">
        <w:rPr>
          <w:rFonts w:ascii="Times New Roman" w:hAnsi="Times New Roman" w:cs="Times New Roman"/>
        </w:rPr>
        <w:t>B3</w:t>
      </w:r>
      <w:r w:rsidRPr="006A3942">
        <w:rPr>
          <w:rFonts w:ascii="Times New Roman" w:hAnsi="Times New Roman" w:cs="Times New Roman"/>
        </w:rPr>
        <w:t>, a análise é realizada a partir dos benefícios à empregados evidenciados nas notas explicativas referente ao período de 2016. Na primeira etapa foram identificados quais benefícios são oferecidos aos empregados e classificados conforme a normativa CPC 33. Posteriormente observ</w:t>
      </w:r>
      <w:r w:rsidR="00194BCF">
        <w:rPr>
          <w:rFonts w:ascii="Times New Roman" w:hAnsi="Times New Roman" w:cs="Times New Roman"/>
        </w:rPr>
        <w:t>ou</w:t>
      </w:r>
      <w:r w:rsidRPr="006A3942">
        <w:rPr>
          <w:rFonts w:ascii="Times New Roman" w:hAnsi="Times New Roman" w:cs="Times New Roman"/>
        </w:rPr>
        <w:t xml:space="preserve">-se </w:t>
      </w:r>
      <w:r w:rsidR="00194BCF">
        <w:rPr>
          <w:rFonts w:ascii="Times New Roman" w:hAnsi="Times New Roman" w:cs="Times New Roman"/>
        </w:rPr>
        <w:t xml:space="preserve">os </w:t>
      </w:r>
      <w:r w:rsidRPr="006A3942">
        <w:rPr>
          <w:rFonts w:ascii="Times New Roman" w:hAnsi="Times New Roman" w:cs="Times New Roman"/>
        </w:rPr>
        <w:t xml:space="preserve">aspectos relacionados </w:t>
      </w:r>
      <w:r w:rsidR="00194BCF">
        <w:rPr>
          <w:rFonts w:ascii="Times New Roman" w:hAnsi="Times New Roman" w:cs="Times New Roman"/>
        </w:rPr>
        <w:t xml:space="preserve">ao </w:t>
      </w:r>
      <w:r w:rsidRPr="006A3942">
        <w:rPr>
          <w:rFonts w:ascii="Times New Roman" w:hAnsi="Times New Roman" w:cs="Times New Roman"/>
        </w:rPr>
        <w:t>nível de governança, empresa de audit</w:t>
      </w:r>
      <w:r w:rsidR="00953FC8">
        <w:rPr>
          <w:rFonts w:ascii="Times New Roman" w:hAnsi="Times New Roman" w:cs="Times New Roman"/>
        </w:rPr>
        <w:t>o</w:t>
      </w:r>
      <w:r w:rsidRPr="006A3942">
        <w:rPr>
          <w:rFonts w:ascii="Times New Roman" w:hAnsi="Times New Roman" w:cs="Times New Roman"/>
        </w:rPr>
        <w:t xml:space="preserve">ria independente, valores gastos com benefícios a empregados, relação com o ativo total e o patrimônio líquido. Os resultados do estudo demonstram que as instituições financeiras da amostra oferecem entre 1 e 24 benefícios, sendo identificados um total de 41 benefícios diferentes, </w:t>
      </w:r>
      <w:r w:rsidR="006A3942">
        <w:rPr>
          <w:rFonts w:ascii="Times New Roman" w:hAnsi="Times New Roman" w:cs="Times New Roman"/>
        </w:rPr>
        <w:t xml:space="preserve">classificados </w:t>
      </w:r>
      <w:r w:rsidRPr="006A3942">
        <w:rPr>
          <w:rFonts w:ascii="Times New Roman" w:hAnsi="Times New Roman" w:cs="Times New Roman"/>
        </w:rPr>
        <w:t xml:space="preserve">31 </w:t>
      </w:r>
      <w:r w:rsidR="006A3942">
        <w:rPr>
          <w:rFonts w:ascii="Times New Roman" w:hAnsi="Times New Roman" w:cs="Times New Roman"/>
        </w:rPr>
        <w:t>como d</w:t>
      </w:r>
      <w:r w:rsidRPr="006A3942">
        <w:rPr>
          <w:rFonts w:ascii="Times New Roman" w:hAnsi="Times New Roman" w:cs="Times New Roman"/>
        </w:rPr>
        <w:t>e curto-prazo, 5 de pós-emprego</w:t>
      </w:r>
      <w:r w:rsidR="00953FC8">
        <w:rPr>
          <w:rFonts w:ascii="Times New Roman" w:hAnsi="Times New Roman" w:cs="Times New Roman"/>
        </w:rPr>
        <w:t xml:space="preserve"> e</w:t>
      </w:r>
      <w:r w:rsidRPr="006A3942">
        <w:rPr>
          <w:rFonts w:ascii="Times New Roman" w:hAnsi="Times New Roman" w:cs="Times New Roman"/>
        </w:rPr>
        <w:t xml:space="preserve"> 5 de longo-prazo.</w:t>
      </w:r>
      <w:r w:rsidR="006A3942">
        <w:rPr>
          <w:rFonts w:ascii="Times New Roman" w:hAnsi="Times New Roman" w:cs="Times New Roman"/>
        </w:rPr>
        <w:t xml:space="preserve"> </w:t>
      </w:r>
      <w:r w:rsidRPr="006A3942">
        <w:rPr>
          <w:rFonts w:ascii="Times New Roman" w:hAnsi="Times New Roman" w:cs="Times New Roman"/>
        </w:rPr>
        <w:t>O percentual de investimento v</w:t>
      </w:r>
      <w:r w:rsidR="006A3942">
        <w:rPr>
          <w:rFonts w:ascii="Times New Roman" w:hAnsi="Times New Roman" w:cs="Times New Roman"/>
        </w:rPr>
        <w:t>a</w:t>
      </w:r>
      <w:r w:rsidRPr="006A3942">
        <w:rPr>
          <w:rFonts w:ascii="Times New Roman" w:hAnsi="Times New Roman" w:cs="Times New Roman"/>
        </w:rPr>
        <w:t>ri</w:t>
      </w:r>
      <w:r w:rsidR="006A3942">
        <w:rPr>
          <w:rFonts w:ascii="Times New Roman" w:hAnsi="Times New Roman" w:cs="Times New Roman"/>
        </w:rPr>
        <w:t>ou</w:t>
      </w:r>
      <w:r w:rsidRPr="006A3942">
        <w:rPr>
          <w:rFonts w:ascii="Times New Roman" w:hAnsi="Times New Roman" w:cs="Times New Roman"/>
        </w:rPr>
        <w:t xml:space="preserve"> de 0,18% a 4,32% em relação ao valor total dos ativos, </w:t>
      </w:r>
      <w:r w:rsidR="006A3942">
        <w:rPr>
          <w:rFonts w:ascii="Times New Roman" w:hAnsi="Times New Roman" w:cs="Times New Roman"/>
        </w:rPr>
        <w:t xml:space="preserve">e </w:t>
      </w:r>
      <w:r w:rsidRPr="006A3942">
        <w:rPr>
          <w:rFonts w:ascii="Times New Roman" w:hAnsi="Times New Roman" w:cs="Times New Roman"/>
        </w:rPr>
        <w:t xml:space="preserve">sobre o patrimônio líquido a variação </w:t>
      </w:r>
      <w:r w:rsidR="006A3942">
        <w:rPr>
          <w:rFonts w:ascii="Times New Roman" w:hAnsi="Times New Roman" w:cs="Times New Roman"/>
        </w:rPr>
        <w:t>foi</w:t>
      </w:r>
      <w:r w:rsidRPr="006A3942">
        <w:rPr>
          <w:rFonts w:ascii="Times New Roman" w:hAnsi="Times New Roman" w:cs="Times New Roman"/>
        </w:rPr>
        <w:t xml:space="preserve"> de 0,29% a 55,06%. De forma geral, os resultados evidenciam que </w:t>
      </w:r>
      <w:r w:rsidRPr="006A3942">
        <w:rPr>
          <w:rFonts w:ascii="Times New Roman" w:eastAsia="Times New Roman" w:hAnsi="Times New Roman" w:cs="Times New Roman"/>
        </w:rPr>
        <w:t>os benefícios concedidos a</w:t>
      </w:r>
      <w:r w:rsidR="00EE05E6">
        <w:rPr>
          <w:rFonts w:ascii="Times New Roman" w:eastAsia="Times New Roman" w:hAnsi="Times New Roman" w:cs="Times New Roman"/>
        </w:rPr>
        <w:t>os</w:t>
      </w:r>
      <w:r w:rsidRPr="006A3942">
        <w:rPr>
          <w:rFonts w:ascii="Times New Roman" w:eastAsia="Times New Roman" w:hAnsi="Times New Roman" w:cs="Times New Roman"/>
        </w:rPr>
        <w:t xml:space="preserve"> empregados pelas instituições financeiras são em sua maioria benefícios de curto prazo</w:t>
      </w:r>
      <w:r w:rsidRPr="006A3942">
        <w:rPr>
          <w:rFonts w:ascii="Times New Roman" w:hAnsi="Times New Roman" w:cs="Times New Roman"/>
        </w:rPr>
        <w:t>.</w:t>
      </w:r>
    </w:p>
    <w:p w:rsidR="00437EB5" w:rsidRPr="004846EC" w:rsidRDefault="00437EB5" w:rsidP="00437EB5">
      <w:pPr>
        <w:pStyle w:val="Normal1"/>
        <w:spacing w:after="0" w:line="240" w:lineRule="auto"/>
        <w:jc w:val="both"/>
        <w:rPr>
          <w:rFonts w:ascii="Times New Roman" w:hAnsi="Times New Roman" w:cs="Times New Roman"/>
          <w:highlight w:val="cyan"/>
        </w:rPr>
      </w:pPr>
    </w:p>
    <w:p w:rsidR="00437EB5" w:rsidRDefault="00437EB5" w:rsidP="00437EB5">
      <w:pPr>
        <w:pStyle w:val="Normal1"/>
        <w:spacing w:after="0" w:line="240" w:lineRule="auto"/>
        <w:jc w:val="both"/>
        <w:rPr>
          <w:rFonts w:ascii="Times New Roman" w:eastAsia="Times New Roman" w:hAnsi="Times New Roman" w:cs="Times New Roman"/>
        </w:rPr>
      </w:pPr>
      <w:r w:rsidRPr="00EE2065">
        <w:rPr>
          <w:rFonts w:ascii="Times New Roman" w:eastAsia="Times New Roman" w:hAnsi="Times New Roman" w:cs="Times New Roman"/>
          <w:b/>
        </w:rPr>
        <w:t>Palavras-chave</w:t>
      </w:r>
      <w:r>
        <w:rPr>
          <w:rFonts w:ascii="Times New Roman" w:eastAsia="Times New Roman" w:hAnsi="Times New Roman" w:cs="Times New Roman"/>
        </w:rPr>
        <w:t>: CPC 33; Benefícios a empregados; Evidenciação Contábil.</w:t>
      </w:r>
    </w:p>
    <w:p w:rsidR="00437EB5" w:rsidRDefault="00437EB5" w:rsidP="00437EB5">
      <w:pPr>
        <w:widowControl w:val="0"/>
        <w:rPr>
          <w:b/>
          <w:color w:val="000000" w:themeColor="text1"/>
          <w:sz w:val="24"/>
          <w:szCs w:val="24"/>
        </w:rPr>
      </w:pPr>
    </w:p>
    <w:p w:rsidR="00004FF3" w:rsidRPr="005F328B" w:rsidRDefault="00437EB5" w:rsidP="00004FF3">
      <w:pPr>
        <w:widowControl w:val="0"/>
        <w:rPr>
          <w:color w:val="000000" w:themeColor="text1"/>
        </w:rPr>
      </w:pPr>
      <w:r w:rsidRPr="005F328B">
        <w:rPr>
          <w:b/>
          <w:color w:val="000000" w:themeColor="text1"/>
          <w:sz w:val="24"/>
          <w:szCs w:val="24"/>
        </w:rPr>
        <w:t xml:space="preserve">Linha Temática: </w:t>
      </w:r>
      <w:r w:rsidR="00004FF3">
        <w:rPr>
          <w:b/>
          <w:color w:val="000000" w:themeColor="text1"/>
          <w:sz w:val="24"/>
          <w:szCs w:val="24"/>
        </w:rPr>
        <w:t>Contabilidade financeira</w:t>
      </w:r>
      <w:r w:rsidR="00004FF3" w:rsidRPr="005F328B">
        <w:rPr>
          <w:b/>
          <w:color w:val="000000" w:themeColor="text1"/>
          <w:sz w:val="24"/>
          <w:szCs w:val="24"/>
        </w:rPr>
        <w:t>.</w:t>
      </w:r>
    </w:p>
    <w:p w:rsidR="00437EB5" w:rsidRPr="00004FF3" w:rsidRDefault="00437EB5" w:rsidP="00004FF3">
      <w:pPr>
        <w:widowControl w:val="0"/>
        <w:rPr>
          <w:color w:val="000000" w:themeColor="text1"/>
        </w:rPr>
      </w:pPr>
    </w:p>
    <w:p w:rsidR="00437EB5" w:rsidRDefault="00437EB5" w:rsidP="00437EB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1 Introdução</w:t>
      </w:r>
    </w:p>
    <w:p w:rsidR="00437EB5" w:rsidRDefault="00437EB5" w:rsidP="00437EB5">
      <w:pPr>
        <w:pStyle w:val="Normal1"/>
        <w:spacing w:after="0" w:line="240" w:lineRule="auto"/>
        <w:jc w:val="both"/>
        <w:rPr>
          <w:rFonts w:ascii="Times New Roman" w:hAnsi="Times New Roman" w:cs="Times New Roman"/>
        </w:rPr>
      </w:pPr>
      <w:r>
        <w:tab/>
      </w:r>
      <w:r>
        <w:rPr>
          <w:rFonts w:ascii="Times New Roman" w:hAnsi="Times New Roman" w:cs="Times New Roman"/>
        </w:rPr>
        <w:t>Desde o início do século XX houve registro de</w:t>
      </w:r>
      <w:r w:rsidRPr="008E1AEE">
        <w:rPr>
          <w:rFonts w:ascii="Times New Roman" w:hAnsi="Times New Roman" w:cs="Times New Roman"/>
        </w:rPr>
        <w:t xml:space="preserve"> manifestações da sociedade a favor do desenvolvimento de ações sociais por parte das </w:t>
      </w:r>
      <w:r>
        <w:rPr>
          <w:rFonts w:ascii="Times New Roman" w:hAnsi="Times New Roman" w:cs="Times New Roman"/>
        </w:rPr>
        <w:t>empresas. Mas foi somente no início da década de 60 nos Estados Unidos Da América</w:t>
      </w:r>
      <w:r w:rsidRPr="008E1AEE">
        <w:rPr>
          <w:rFonts w:ascii="Times New Roman" w:hAnsi="Times New Roman" w:cs="Times New Roman"/>
        </w:rPr>
        <w:t>, e no</w:t>
      </w:r>
      <w:r>
        <w:rPr>
          <w:rFonts w:ascii="Times New Roman" w:hAnsi="Times New Roman" w:cs="Times New Roman"/>
        </w:rPr>
        <w:t xml:space="preserve"> início da década de 70 na </w:t>
      </w:r>
      <w:r w:rsidRPr="008E1AEE">
        <w:rPr>
          <w:rFonts w:ascii="Times New Roman" w:hAnsi="Times New Roman" w:cs="Times New Roman"/>
        </w:rPr>
        <w:t>Europa</w:t>
      </w:r>
      <w:r>
        <w:rPr>
          <w:rFonts w:ascii="Times New Roman" w:hAnsi="Times New Roman" w:cs="Times New Roman"/>
        </w:rPr>
        <w:t xml:space="preserve">, França, </w:t>
      </w:r>
      <w:r w:rsidR="00B16629">
        <w:rPr>
          <w:rFonts w:ascii="Times New Roman" w:hAnsi="Times New Roman" w:cs="Times New Roman"/>
        </w:rPr>
        <w:t>Al</w:t>
      </w:r>
      <w:r w:rsidR="001D6589">
        <w:rPr>
          <w:rFonts w:ascii="Times New Roman" w:hAnsi="Times New Roman" w:cs="Times New Roman"/>
        </w:rPr>
        <w:t>e</w:t>
      </w:r>
      <w:r w:rsidR="00B16629">
        <w:rPr>
          <w:rFonts w:ascii="Times New Roman" w:hAnsi="Times New Roman" w:cs="Times New Roman"/>
        </w:rPr>
        <w:t>m</w:t>
      </w:r>
      <w:r>
        <w:rPr>
          <w:rFonts w:ascii="Times New Roman" w:hAnsi="Times New Roman" w:cs="Times New Roman"/>
        </w:rPr>
        <w:t xml:space="preserve">anha e Inglaterra, </w:t>
      </w:r>
      <w:r w:rsidRPr="008E1AEE">
        <w:rPr>
          <w:rFonts w:ascii="Times New Roman" w:hAnsi="Times New Roman" w:cs="Times New Roman"/>
        </w:rPr>
        <w:t>a sociedade começou a cobrar</w:t>
      </w:r>
      <w:r>
        <w:rPr>
          <w:rFonts w:ascii="Times New Roman" w:hAnsi="Times New Roman" w:cs="Times New Roman"/>
        </w:rPr>
        <w:t xml:space="preserve"> e exigir</w:t>
      </w:r>
      <w:r w:rsidRPr="008E1AEE">
        <w:rPr>
          <w:rFonts w:ascii="Times New Roman" w:hAnsi="Times New Roman" w:cs="Times New Roman"/>
        </w:rPr>
        <w:t xml:space="preserve"> por mais responsabilidade das </w:t>
      </w:r>
      <w:r w:rsidRPr="008E1AEE">
        <w:rPr>
          <w:rFonts w:ascii="Times New Roman" w:hAnsi="Times New Roman" w:cs="Times New Roman"/>
        </w:rPr>
        <w:lastRenderedPageBreak/>
        <w:t>empresas,</w:t>
      </w:r>
      <w:r>
        <w:rPr>
          <w:rFonts w:ascii="Times New Roman" w:hAnsi="Times New Roman" w:cs="Times New Roman"/>
        </w:rPr>
        <w:t xml:space="preserve"> motivando</w:t>
      </w:r>
      <w:r w:rsidRPr="008E1AEE">
        <w:rPr>
          <w:rFonts w:ascii="Times New Roman" w:hAnsi="Times New Roman" w:cs="Times New Roman"/>
        </w:rPr>
        <w:t xml:space="preserve"> uma necessidade da divulgação de balanços sociais e relatórios anuais</w:t>
      </w:r>
      <w:r>
        <w:rPr>
          <w:rFonts w:ascii="Times New Roman" w:hAnsi="Times New Roman" w:cs="Times New Roman"/>
        </w:rPr>
        <w:t xml:space="preserve"> mais detalhados</w:t>
      </w:r>
      <w:r w:rsidR="00D24F8E">
        <w:rPr>
          <w:rFonts w:ascii="Times New Roman" w:hAnsi="Times New Roman" w:cs="Times New Roman"/>
        </w:rPr>
        <w:t xml:space="preserve"> acerca das ações sociais desenvolvidas </w:t>
      </w:r>
      <w:r w:rsidRPr="008E1AEE">
        <w:rPr>
          <w:rFonts w:ascii="Times New Roman" w:hAnsi="Times New Roman" w:cs="Times New Roman"/>
        </w:rPr>
        <w:t>(</w:t>
      </w:r>
      <w:r w:rsidR="001D6589" w:rsidRPr="008E1AEE">
        <w:rPr>
          <w:rFonts w:ascii="Times New Roman" w:hAnsi="Times New Roman" w:cs="Times New Roman"/>
        </w:rPr>
        <w:t>Torres</w:t>
      </w:r>
      <w:r w:rsidR="001D6589">
        <w:rPr>
          <w:rFonts w:ascii="Times New Roman" w:hAnsi="Times New Roman" w:cs="Times New Roman"/>
        </w:rPr>
        <w:t xml:space="preserve">, &amp; </w:t>
      </w:r>
      <w:r w:rsidR="001D6589" w:rsidRPr="008E1AEE">
        <w:rPr>
          <w:rFonts w:ascii="Times New Roman" w:hAnsi="Times New Roman" w:cs="Times New Roman"/>
        </w:rPr>
        <w:t>Mansur</w:t>
      </w:r>
      <w:r w:rsidRPr="008E1AEE">
        <w:rPr>
          <w:rFonts w:ascii="Times New Roman" w:hAnsi="Times New Roman" w:cs="Times New Roman"/>
        </w:rPr>
        <w:t>, 2008).</w:t>
      </w:r>
    </w:p>
    <w:p w:rsidR="00A01138" w:rsidRDefault="00437EB5" w:rsidP="00437EB5">
      <w:pPr>
        <w:pStyle w:val="Normal1"/>
        <w:spacing w:after="0" w:line="240" w:lineRule="auto"/>
        <w:jc w:val="both"/>
        <w:rPr>
          <w:rFonts w:ascii="Times New Roman" w:hAnsi="Times New Roman" w:cs="Times New Roman"/>
        </w:rPr>
      </w:pPr>
      <w:r>
        <w:rPr>
          <w:rFonts w:ascii="Times New Roman" w:hAnsi="Times New Roman" w:cs="Times New Roman"/>
        </w:rPr>
        <w:tab/>
      </w:r>
      <w:r w:rsidR="00A01138">
        <w:rPr>
          <w:rFonts w:ascii="Times New Roman" w:hAnsi="Times New Roman" w:cs="Times New Roman"/>
        </w:rPr>
        <w:t xml:space="preserve">Nas relações de trabalho a oferta de benefícios a empregados surge como diferencial competitivo para a retenção e atratividade de colaboradores. As organizações têm buscado alternativas para valorizar e reter talentos, tendo em vista os custos e sua relação com os resultados desejados, nesta perspectiva os benefícios oferecidos aos empregados, de curto ou longo prazo, tornam-se atrativos para a sua retenção. </w:t>
      </w:r>
      <w:r w:rsidR="00A01138">
        <w:rPr>
          <w:rFonts w:ascii="Times New Roman" w:eastAsia="Times New Roman" w:hAnsi="Times New Roman" w:cs="Times New Roman"/>
        </w:rPr>
        <w:t xml:space="preserve">Yamamoto e </w:t>
      </w:r>
      <w:proofErr w:type="spellStart"/>
      <w:r w:rsidR="00A01138">
        <w:rPr>
          <w:rFonts w:ascii="Times New Roman" w:eastAsia="Times New Roman" w:hAnsi="Times New Roman" w:cs="Times New Roman"/>
        </w:rPr>
        <w:t>Salotti</w:t>
      </w:r>
      <w:proofErr w:type="spellEnd"/>
      <w:r w:rsidR="00A01138">
        <w:rPr>
          <w:rFonts w:ascii="Times New Roman" w:eastAsia="Times New Roman" w:hAnsi="Times New Roman" w:cs="Times New Roman"/>
        </w:rPr>
        <w:t xml:space="preserve"> (2006), destacam a importância da evidenciação das informações aos usuários das informações contábeis. </w:t>
      </w:r>
    </w:p>
    <w:p w:rsidR="005069CC" w:rsidRPr="0049166B" w:rsidRDefault="005069CC" w:rsidP="005069CC">
      <w:pPr>
        <w:pStyle w:val="Normal1"/>
        <w:spacing w:after="0" w:line="240" w:lineRule="auto"/>
        <w:ind w:firstLine="708"/>
        <w:jc w:val="both"/>
        <w:rPr>
          <w:rFonts w:ascii="Times New Roman" w:eastAsia="Times New Roman" w:hAnsi="Times New Roman" w:cs="Times New Roman"/>
        </w:rPr>
      </w:pPr>
      <w:r>
        <w:rPr>
          <w:rFonts w:ascii="Times New Roman" w:hAnsi="Times New Roman" w:cs="Times New Roman"/>
        </w:rPr>
        <w:t>A busca incessante</w:t>
      </w:r>
      <w:r w:rsidRPr="0049166B">
        <w:rPr>
          <w:rFonts w:ascii="Times New Roman" w:hAnsi="Times New Roman" w:cs="Times New Roman"/>
        </w:rPr>
        <w:t xml:space="preserve"> por mão de obra</w:t>
      </w:r>
      <w:r>
        <w:rPr>
          <w:rFonts w:ascii="Times New Roman" w:hAnsi="Times New Roman" w:cs="Times New Roman"/>
        </w:rPr>
        <w:t xml:space="preserve"> </w:t>
      </w:r>
      <w:r w:rsidRPr="0049166B">
        <w:rPr>
          <w:rFonts w:ascii="Times New Roman" w:hAnsi="Times New Roman" w:cs="Times New Roman"/>
        </w:rPr>
        <w:t xml:space="preserve">qualificada e, também, </w:t>
      </w:r>
      <w:r>
        <w:rPr>
          <w:rFonts w:ascii="Times New Roman" w:hAnsi="Times New Roman" w:cs="Times New Roman"/>
        </w:rPr>
        <w:t>como mecanismo de retenção e</w:t>
      </w:r>
      <w:r w:rsidRPr="0049166B">
        <w:rPr>
          <w:rFonts w:ascii="Times New Roman" w:hAnsi="Times New Roman" w:cs="Times New Roman"/>
        </w:rPr>
        <w:t xml:space="preserve"> gestão de pessoas</w:t>
      </w:r>
      <w:r>
        <w:rPr>
          <w:rFonts w:ascii="Times New Roman" w:hAnsi="Times New Roman" w:cs="Times New Roman"/>
        </w:rPr>
        <w:t xml:space="preserve">, os benefícios a empregados tornam-se alternativas e incentivos para a captação e retenção de talentos. Os diversos tipos de </w:t>
      </w:r>
      <w:r w:rsidRPr="0049166B">
        <w:rPr>
          <w:rFonts w:ascii="Times New Roman" w:hAnsi="Times New Roman" w:cs="Times New Roman"/>
        </w:rPr>
        <w:t xml:space="preserve">benefícios </w:t>
      </w:r>
      <w:r>
        <w:rPr>
          <w:rFonts w:ascii="Times New Roman" w:hAnsi="Times New Roman" w:cs="Times New Roman"/>
        </w:rPr>
        <w:t xml:space="preserve">utilizados </w:t>
      </w:r>
      <w:r w:rsidRPr="0049166B">
        <w:rPr>
          <w:rFonts w:ascii="Times New Roman" w:hAnsi="Times New Roman" w:cs="Times New Roman"/>
        </w:rPr>
        <w:t xml:space="preserve">pelas empresas, </w:t>
      </w:r>
      <w:r>
        <w:rPr>
          <w:rFonts w:ascii="Times New Roman" w:hAnsi="Times New Roman" w:cs="Times New Roman"/>
        </w:rPr>
        <w:t>de</w:t>
      </w:r>
      <w:r w:rsidRPr="0049166B">
        <w:rPr>
          <w:rFonts w:ascii="Times New Roman" w:hAnsi="Times New Roman" w:cs="Times New Roman"/>
        </w:rPr>
        <w:t>mo</w:t>
      </w:r>
      <w:r>
        <w:rPr>
          <w:rFonts w:ascii="Times New Roman" w:hAnsi="Times New Roman" w:cs="Times New Roman"/>
        </w:rPr>
        <w:t>n</w:t>
      </w:r>
      <w:r w:rsidRPr="0049166B">
        <w:rPr>
          <w:rFonts w:ascii="Times New Roman" w:hAnsi="Times New Roman" w:cs="Times New Roman"/>
        </w:rPr>
        <w:t>stra</w:t>
      </w:r>
      <w:r>
        <w:rPr>
          <w:rFonts w:ascii="Times New Roman" w:hAnsi="Times New Roman" w:cs="Times New Roman"/>
        </w:rPr>
        <w:t>m</w:t>
      </w:r>
      <w:r w:rsidRPr="0049166B">
        <w:rPr>
          <w:rFonts w:ascii="Times New Roman" w:hAnsi="Times New Roman" w:cs="Times New Roman"/>
        </w:rPr>
        <w:t xml:space="preserve"> aos seus funcionários o estreitamento d</w:t>
      </w:r>
      <w:r>
        <w:rPr>
          <w:rFonts w:ascii="Times New Roman" w:hAnsi="Times New Roman" w:cs="Times New Roman"/>
        </w:rPr>
        <w:t>os</w:t>
      </w:r>
      <w:r w:rsidRPr="0049166B">
        <w:rPr>
          <w:rFonts w:ascii="Times New Roman" w:hAnsi="Times New Roman" w:cs="Times New Roman"/>
        </w:rPr>
        <w:t xml:space="preserve"> interesses </w:t>
      </w:r>
      <w:r>
        <w:rPr>
          <w:rFonts w:ascii="Times New Roman" w:hAnsi="Times New Roman" w:cs="Times New Roman"/>
        </w:rPr>
        <w:t>corporativos (</w:t>
      </w:r>
      <w:r w:rsidRPr="0049166B">
        <w:rPr>
          <w:rFonts w:ascii="Times New Roman" w:hAnsi="Times New Roman" w:cs="Times New Roman"/>
        </w:rPr>
        <w:t>M</w:t>
      </w:r>
      <w:r>
        <w:rPr>
          <w:rFonts w:ascii="Times New Roman" w:hAnsi="Times New Roman" w:cs="Times New Roman"/>
        </w:rPr>
        <w:t xml:space="preserve">iranda, </w:t>
      </w:r>
      <w:r w:rsidRPr="0049166B">
        <w:rPr>
          <w:rFonts w:ascii="Times New Roman" w:hAnsi="Times New Roman" w:cs="Times New Roman"/>
        </w:rPr>
        <w:t>T</w:t>
      </w:r>
      <w:r>
        <w:rPr>
          <w:rFonts w:ascii="Times New Roman" w:hAnsi="Times New Roman" w:cs="Times New Roman"/>
        </w:rPr>
        <w:t xml:space="preserve">omé, &amp; </w:t>
      </w:r>
      <w:proofErr w:type="spellStart"/>
      <w:r>
        <w:rPr>
          <w:rFonts w:ascii="Times New Roman" w:hAnsi="Times New Roman" w:cs="Times New Roman"/>
        </w:rPr>
        <w:t>Gallon</w:t>
      </w:r>
      <w:proofErr w:type="spellEnd"/>
      <w:r>
        <w:rPr>
          <w:rFonts w:ascii="Times New Roman" w:hAnsi="Times New Roman" w:cs="Times New Roman"/>
        </w:rPr>
        <w:t>,</w:t>
      </w:r>
      <w:r w:rsidRPr="0049166B">
        <w:rPr>
          <w:rFonts w:ascii="Times New Roman" w:hAnsi="Times New Roman" w:cs="Times New Roman"/>
        </w:rPr>
        <w:t xml:space="preserve"> 2011).</w:t>
      </w:r>
      <w:r>
        <w:rPr>
          <w:rFonts w:ascii="Times New Roman" w:hAnsi="Times New Roman" w:cs="Times New Roman"/>
        </w:rPr>
        <w:t xml:space="preserve"> Destacando-se também a relação destes benefícios com os aspectos de responsabilidade civil entre empregados e empregadores (</w:t>
      </w:r>
      <w:r w:rsidRPr="007B10B4">
        <w:rPr>
          <w:rFonts w:ascii="Times New Roman" w:eastAsia="Times New Roman" w:hAnsi="Times New Roman" w:cs="Times New Roman"/>
          <w:color w:val="auto"/>
          <w:highlight w:val="white"/>
        </w:rPr>
        <w:t>Costa</w:t>
      </w:r>
      <w:r>
        <w:rPr>
          <w:rFonts w:ascii="Times New Roman" w:eastAsia="Times New Roman" w:hAnsi="Times New Roman" w:cs="Times New Roman"/>
          <w:color w:val="auto"/>
          <w:highlight w:val="white"/>
        </w:rPr>
        <w:t>, &amp;</w:t>
      </w:r>
      <w:r w:rsidRPr="007B10B4">
        <w:rPr>
          <w:rFonts w:ascii="Times New Roman" w:eastAsia="Times New Roman" w:hAnsi="Times New Roman" w:cs="Times New Roman"/>
          <w:color w:val="auto"/>
          <w:highlight w:val="white"/>
        </w:rPr>
        <w:t xml:space="preserve"> Correia</w:t>
      </w:r>
      <w:r>
        <w:rPr>
          <w:rFonts w:ascii="Times New Roman" w:eastAsia="Times New Roman" w:hAnsi="Times New Roman" w:cs="Times New Roman"/>
          <w:color w:val="auto"/>
          <w:highlight w:val="white"/>
        </w:rPr>
        <w:t>, 2016).</w:t>
      </w:r>
    </w:p>
    <w:p w:rsidR="00437EB5" w:rsidRDefault="00A01138" w:rsidP="00A01138">
      <w:pPr>
        <w:pStyle w:val="Normal1"/>
        <w:spacing w:after="0" w:line="240" w:lineRule="auto"/>
        <w:ind w:firstLine="708"/>
        <w:jc w:val="both"/>
        <w:rPr>
          <w:rFonts w:ascii="Times New Roman" w:eastAsia="Times New Roman" w:hAnsi="Times New Roman" w:cs="Times New Roman"/>
          <w:b/>
        </w:rPr>
      </w:pPr>
      <w:r>
        <w:rPr>
          <w:rFonts w:ascii="Times New Roman" w:eastAsia="Times New Roman" w:hAnsi="Times New Roman" w:cs="Times New Roman"/>
        </w:rPr>
        <w:t xml:space="preserve">Visando adequar </w:t>
      </w:r>
      <w:r w:rsidR="00437EB5">
        <w:rPr>
          <w:rFonts w:ascii="Times New Roman" w:eastAsia="Times New Roman" w:hAnsi="Times New Roman" w:cs="Times New Roman"/>
        </w:rPr>
        <w:t xml:space="preserve">a </w:t>
      </w:r>
      <w:r>
        <w:rPr>
          <w:rFonts w:ascii="Times New Roman" w:eastAsia="Times New Roman" w:hAnsi="Times New Roman" w:cs="Times New Roman"/>
        </w:rPr>
        <w:t>harmonização da contabilidade e a evidenciação de informações aos diversos usuários, fo</w:t>
      </w:r>
      <w:r w:rsidR="00437EB5">
        <w:rPr>
          <w:rFonts w:ascii="Times New Roman" w:eastAsia="Times New Roman" w:hAnsi="Times New Roman" w:cs="Times New Roman"/>
        </w:rPr>
        <w:t>i idealizado o Comitê de Pronunciamentos Contábeis (CPC) através da Resolução CFC nº 1.055/</w:t>
      </w:r>
      <w:r w:rsidR="00513E50">
        <w:rPr>
          <w:rFonts w:ascii="Times New Roman" w:eastAsia="Times New Roman" w:hAnsi="Times New Roman" w:cs="Times New Roman"/>
        </w:rPr>
        <w:t>20</w:t>
      </w:r>
      <w:r w:rsidR="00437EB5">
        <w:rPr>
          <w:rFonts w:ascii="Times New Roman" w:eastAsia="Times New Roman" w:hAnsi="Times New Roman" w:cs="Times New Roman"/>
        </w:rPr>
        <w:t>05, por meio da união de objetivos de oito entidades, com a função de reduzir os custos na elaboração de relatórios contábeis, redu</w:t>
      </w:r>
      <w:r w:rsidR="005069CC">
        <w:rPr>
          <w:rFonts w:ascii="Times New Roman" w:eastAsia="Times New Roman" w:hAnsi="Times New Roman" w:cs="Times New Roman"/>
        </w:rPr>
        <w:t xml:space="preserve">zir </w:t>
      </w:r>
      <w:r w:rsidR="00437EB5">
        <w:rPr>
          <w:rFonts w:ascii="Times New Roman" w:eastAsia="Times New Roman" w:hAnsi="Times New Roman" w:cs="Times New Roman"/>
        </w:rPr>
        <w:t xml:space="preserve">os riscos nos custos das análises e </w:t>
      </w:r>
      <w:r w:rsidR="005069CC">
        <w:rPr>
          <w:rFonts w:ascii="Times New Roman" w:eastAsia="Times New Roman" w:hAnsi="Times New Roman" w:cs="Times New Roman"/>
        </w:rPr>
        <w:t>n</w:t>
      </w:r>
      <w:r w:rsidR="00437EB5">
        <w:rPr>
          <w:rFonts w:ascii="Times New Roman" w:eastAsia="Times New Roman" w:hAnsi="Times New Roman" w:cs="Times New Roman"/>
        </w:rPr>
        <w:t xml:space="preserve">os custos de capital </w:t>
      </w:r>
      <w:r w:rsidR="00684D0B">
        <w:rPr>
          <w:rFonts w:ascii="Times New Roman" w:eastAsia="Times New Roman" w:hAnsi="Times New Roman" w:cs="Times New Roman"/>
        </w:rPr>
        <w:t>(CPC, 2005</w:t>
      </w:r>
      <w:r w:rsidR="001A4A97">
        <w:rPr>
          <w:rFonts w:ascii="Times New Roman" w:eastAsia="Times New Roman" w:hAnsi="Times New Roman" w:cs="Times New Roman"/>
        </w:rPr>
        <w:t>;</w:t>
      </w:r>
      <w:r w:rsidR="00684D0B">
        <w:rPr>
          <w:rFonts w:ascii="Times New Roman" w:eastAsia="Times New Roman" w:hAnsi="Times New Roman" w:cs="Times New Roman"/>
        </w:rPr>
        <w:t xml:space="preserve"> </w:t>
      </w:r>
      <w:r w:rsidR="00684D0B" w:rsidRPr="001159F5">
        <w:rPr>
          <w:rFonts w:ascii="Times New Roman" w:eastAsia="Times New Roman" w:hAnsi="Times New Roman" w:cs="Times New Roman"/>
          <w:highlight w:val="white"/>
        </w:rPr>
        <w:t xml:space="preserve">Almeida, Costa, </w:t>
      </w:r>
      <w:proofErr w:type="spellStart"/>
      <w:r w:rsidR="00684D0B" w:rsidRPr="001159F5">
        <w:rPr>
          <w:rFonts w:ascii="Times New Roman" w:eastAsia="Times New Roman" w:hAnsi="Times New Roman" w:cs="Times New Roman"/>
          <w:highlight w:val="white"/>
        </w:rPr>
        <w:t>Laurencel</w:t>
      </w:r>
      <w:proofErr w:type="spellEnd"/>
      <w:r w:rsidR="00684D0B" w:rsidRPr="001159F5">
        <w:rPr>
          <w:rFonts w:ascii="Times New Roman" w:eastAsia="Times New Roman" w:hAnsi="Times New Roman" w:cs="Times New Roman"/>
          <w:highlight w:val="white"/>
        </w:rPr>
        <w:t>,</w:t>
      </w:r>
      <w:r w:rsidR="00684D0B">
        <w:rPr>
          <w:rFonts w:ascii="Times New Roman" w:eastAsia="Times New Roman" w:hAnsi="Times New Roman" w:cs="Times New Roman"/>
          <w:highlight w:val="white"/>
        </w:rPr>
        <w:t xml:space="preserve"> &amp; </w:t>
      </w:r>
      <w:r w:rsidR="00684D0B" w:rsidRPr="001159F5">
        <w:rPr>
          <w:rFonts w:ascii="Times New Roman" w:eastAsia="Times New Roman" w:hAnsi="Times New Roman" w:cs="Times New Roman"/>
          <w:highlight w:val="white"/>
        </w:rPr>
        <w:t xml:space="preserve">Silva, </w:t>
      </w:r>
      <w:r w:rsidR="00684D0B">
        <w:rPr>
          <w:rFonts w:ascii="Times New Roman" w:eastAsia="Times New Roman" w:hAnsi="Times New Roman" w:cs="Times New Roman"/>
          <w:highlight w:val="white"/>
        </w:rPr>
        <w:t>2011</w:t>
      </w:r>
      <w:r w:rsidR="00437EB5">
        <w:rPr>
          <w:rFonts w:ascii="Times New Roman" w:eastAsia="Times New Roman" w:hAnsi="Times New Roman" w:cs="Times New Roman"/>
        </w:rPr>
        <w:t>).</w:t>
      </w:r>
    </w:p>
    <w:p w:rsidR="00437EB5" w:rsidRDefault="00A01138" w:rsidP="00437EB5">
      <w:pPr>
        <w:pStyle w:val="Normal1"/>
        <w:spacing w:after="0" w:line="240" w:lineRule="auto"/>
        <w:ind w:firstLine="708"/>
        <w:jc w:val="both"/>
      </w:pPr>
      <w:r>
        <w:rPr>
          <w:rFonts w:ascii="Times New Roman" w:eastAsia="Times New Roman" w:hAnsi="Times New Roman" w:cs="Times New Roman"/>
        </w:rPr>
        <w:t>O CPC enquanto Comitê</w:t>
      </w:r>
      <w:r w:rsidR="005069CC">
        <w:rPr>
          <w:rFonts w:ascii="Times New Roman" w:eastAsia="Times New Roman" w:hAnsi="Times New Roman" w:cs="Times New Roman"/>
        </w:rPr>
        <w:t xml:space="preserve">, </w:t>
      </w:r>
      <w:r>
        <w:rPr>
          <w:rFonts w:ascii="Times New Roman" w:eastAsia="Times New Roman" w:hAnsi="Times New Roman" w:cs="Times New Roman"/>
        </w:rPr>
        <w:t>t</w:t>
      </w:r>
      <w:r w:rsidR="00437EB5">
        <w:rPr>
          <w:rFonts w:ascii="Times New Roman" w:eastAsia="Times New Roman" w:hAnsi="Times New Roman" w:cs="Times New Roman"/>
        </w:rPr>
        <w:t>em como principal função a centralização na emissão das norma</w:t>
      </w:r>
      <w:r>
        <w:rPr>
          <w:rFonts w:ascii="Times New Roman" w:eastAsia="Times New Roman" w:hAnsi="Times New Roman" w:cs="Times New Roman"/>
        </w:rPr>
        <w:t xml:space="preserve">tivas contábeis </w:t>
      </w:r>
      <w:r w:rsidR="00437EB5">
        <w:rPr>
          <w:rFonts w:ascii="Times New Roman" w:eastAsia="Times New Roman" w:hAnsi="Times New Roman" w:cs="Times New Roman"/>
        </w:rPr>
        <w:t>no Brasil, a representação de processos democráticos na produção de informações para governos, usuários interessados e auditores, entre outros</w:t>
      </w:r>
      <w:r>
        <w:rPr>
          <w:rFonts w:ascii="Times New Roman" w:eastAsia="Times New Roman" w:hAnsi="Times New Roman" w:cs="Times New Roman"/>
        </w:rPr>
        <w:t xml:space="preserve">. Nesse contexto </w:t>
      </w:r>
      <w:r w:rsidR="00437EB5">
        <w:rPr>
          <w:rFonts w:ascii="Times New Roman" w:eastAsia="Times New Roman" w:hAnsi="Times New Roman" w:cs="Times New Roman"/>
        </w:rPr>
        <w:t xml:space="preserve">em 2009 foi </w:t>
      </w:r>
      <w:r>
        <w:rPr>
          <w:rFonts w:ascii="Times New Roman" w:eastAsia="Times New Roman" w:hAnsi="Times New Roman" w:cs="Times New Roman"/>
        </w:rPr>
        <w:t xml:space="preserve">publicado </w:t>
      </w:r>
      <w:r w:rsidR="00437EB5">
        <w:rPr>
          <w:rFonts w:ascii="Times New Roman" w:eastAsia="Times New Roman" w:hAnsi="Times New Roman" w:cs="Times New Roman"/>
        </w:rPr>
        <w:t>o CPC 33 – Benefícios a Empregados</w:t>
      </w:r>
      <w:r w:rsidR="005069CC">
        <w:rPr>
          <w:rFonts w:ascii="Times New Roman" w:eastAsia="Times New Roman" w:hAnsi="Times New Roman" w:cs="Times New Roman"/>
        </w:rPr>
        <w:t xml:space="preserve">, sendo a principal normativa contábil orientadora para </w:t>
      </w:r>
      <w:r w:rsidR="00437EB5">
        <w:rPr>
          <w:rFonts w:ascii="Times New Roman" w:eastAsia="Times New Roman" w:hAnsi="Times New Roman" w:cs="Times New Roman"/>
        </w:rPr>
        <w:t xml:space="preserve">a </w:t>
      </w:r>
      <w:r w:rsidR="005069CC">
        <w:rPr>
          <w:rFonts w:ascii="Times New Roman" w:eastAsia="Times New Roman" w:hAnsi="Times New Roman" w:cs="Times New Roman"/>
        </w:rPr>
        <w:t>mensuração</w:t>
      </w:r>
      <w:r>
        <w:rPr>
          <w:rFonts w:ascii="Times New Roman" w:eastAsia="Times New Roman" w:hAnsi="Times New Roman" w:cs="Times New Roman"/>
        </w:rPr>
        <w:t xml:space="preserve"> e evidenciação d</w:t>
      </w:r>
      <w:r w:rsidR="00437EB5">
        <w:rPr>
          <w:rFonts w:ascii="Times New Roman" w:eastAsia="Times New Roman" w:hAnsi="Times New Roman" w:cs="Times New Roman"/>
        </w:rPr>
        <w:t>os benefícios concedidos a</w:t>
      </w:r>
      <w:r w:rsidR="005069CC">
        <w:rPr>
          <w:rFonts w:ascii="Times New Roman" w:eastAsia="Times New Roman" w:hAnsi="Times New Roman" w:cs="Times New Roman"/>
        </w:rPr>
        <w:t>os</w:t>
      </w:r>
      <w:r w:rsidR="00437EB5">
        <w:rPr>
          <w:rFonts w:ascii="Times New Roman" w:eastAsia="Times New Roman" w:hAnsi="Times New Roman" w:cs="Times New Roman"/>
        </w:rPr>
        <w:t xml:space="preserve"> empregados (CPC, 2005).</w:t>
      </w:r>
    </w:p>
    <w:p w:rsidR="00437EB5" w:rsidRPr="00B16629" w:rsidRDefault="00437EB5" w:rsidP="00B16629">
      <w:pPr>
        <w:pStyle w:val="Normal1"/>
        <w:spacing w:after="0" w:line="240" w:lineRule="auto"/>
        <w:ind w:firstLine="708"/>
        <w:jc w:val="both"/>
        <w:rPr>
          <w:rFonts w:ascii="Times New Roman" w:hAnsi="Times New Roman" w:cs="Times New Roman"/>
        </w:rPr>
      </w:pPr>
      <w:r w:rsidRPr="00875048">
        <w:rPr>
          <w:rFonts w:ascii="Times New Roman" w:hAnsi="Times New Roman" w:cs="Times New Roman"/>
        </w:rPr>
        <w:t>Os benefícios podem ser divididos nos seguintes grupos, benefícios de curto prazo, outros benefícios de longo prazo, benefícios pós-emprego o qual inclui os planos com contribuição definida e planos de benefícios definidos, e por último benefício de desligamento.</w:t>
      </w:r>
      <w:r w:rsidR="00B16629">
        <w:rPr>
          <w:rFonts w:ascii="Times New Roman" w:hAnsi="Times New Roman" w:cs="Times New Roman"/>
        </w:rPr>
        <w:t xml:space="preserve"> </w:t>
      </w:r>
      <w:r w:rsidRPr="00875048">
        <w:rPr>
          <w:rFonts w:ascii="Times New Roman" w:eastAsia="Times New Roman" w:hAnsi="Times New Roman" w:cs="Times New Roman"/>
        </w:rPr>
        <w:t xml:space="preserve">O CPC 33 </w:t>
      </w:r>
      <w:r w:rsidRPr="00875048">
        <w:rPr>
          <w:rFonts w:ascii="Times New Roman" w:eastAsia="Times New Roman" w:hAnsi="Times New Roman" w:cs="Times New Roman"/>
          <w:color w:val="000000" w:themeColor="text1"/>
        </w:rPr>
        <w:t xml:space="preserve">(2009) </w:t>
      </w:r>
      <w:r w:rsidRPr="00875048">
        <w:rPr>
          <w:rFonts w:ascii="Times New Roman" w:eastAsia="Times New Roman" w:hAnsi="Times New Roman" w:cs="Times New Roman"/>
        </w:rPr>
        <w:t>inclui como benefícios tanto aqueles para os gestores quanto para os empregados, também inclui seus dependentes como, por exemplo, cônjuges, filhos, outros dependentes e ainda por terceiros que são representados pelas entidades de seguro, a principal importância deste CPC 33 (2009) é garantir que seja gerado relatórios mais elaborados onde neles estejam constatadas todas as informações relevantes para seus usuários</w:t>
      </w:r>
      <w:r>
        <w:rPr>
          <w:rFonts w:ascii="Times New Roman" w:eastAsia="Times New Roman" w:hAnsi="Times New Roman" w:cs="Times New Roman"/>
        </w:rPr>
        <w:t>, por meio disto o funcionário já pode decidir em que área de atuação decidirá atuar</w:t>
      </w:r>
      <w:r w:rsidRPr="00875048">
        <w:rPr>
          <w:rFonts w:ascii="Times New Roman" w:eastAsia="Times New Roman" w:hAnsi="Times New Roman" w:cs="Times New Roman"/>
        </w:rPr>
        <w:t>.</w:t>
      </w:r>
    </w:p>
    <w:p w:rsidR="00437EB5" w:rsidRPr="00874CD5" w:rsidRDefault="00437EB5" w:rsidP="00194BCF">
      <w:pPr>
        <w:pStyle w:val="Normal1"/>
        <w:spacing w:after="0" w:line="240" w:lineRule="auto"/>
        <w:ind w:firstLine="708"/>
        <w:jc w:val="both"/>
        <w:rPr>
          <w:rFonts w:ascii="Times New Roman" w:eastAsia="Times New Roman" w:hAnsi="Times New Roman" w:cs="Times New Roman"/>
          <w:color w:val="000000" w:themeColor="text1"/>
        </w:rPr>
      </w:pPr>
      <w:r>
        <w:rPr>
          <w:rFonts w:ascii="Times New Roman" w:eastAsia="Times New Roman" w:hAnsi="Times New Roman" w:cs="Times New Roman"/>
        </w:rPr>
        <w:t xml:space="preserve">Para Yamamoto e </w:t>
      </w:r>
      <w:proofErr w:type="spellStart"/>
      <w:r>
        <w:rPr>
          <w:rFonts w:ascii="Times New Roman" w:eastAsia="Times New Roman" w:hAnsi="Times New Roman" w:cs="Times New Roman"/>
        </w:rPr>
        <w:t>Salotti</w:t>
      </w:r>
      <w:proofErr w:type="spellEnd"/>
      <w:r>
        <w:rPr>
          <w:rFonts w:ascii="Times New Roman" w:eastAsia="Times New Roman" w:hAnsi="Times New Roman" w:cs="Times New Roman"/>
        </w:rPr>
        <w:t xml:space="preserve"> (2006) destacam que o </w:t>
      </w:r>
      <w:r>
        <w:rPr>
          <w:rFonts w:ascii="Times New Roman" w:eastAsia="Times New Roman" w:hAnsi="Times New Roman" w:cs="Times New Roman"/>
          <w:i/>
        </w:rPr>
        <w:t xml:space="preserve">disclosure </w:t>
      </w:r>
      <w:r>
        <w:rPr>
          <w:rFonts w:ascii="Times New Roman" w:eastAsia="Times New Roman" w:hAnsi="Times New Roman" w:cs="Times New Roman"/>
        </w:rPr>
        <w:t xml:space="preserve">pode surgir de forma voluntária, por meio de políticas internas das empresas, ou por causa de alguma determinação de um órgão </w:t>
      </w:r>
      <w:r w:rsidRPr="00874CD5">
        <w:rPr>
          <w:rFonts w:ascii="Times New Roman" w:eastAsia="Times New Roman" w:hAnsi="Times New Roman" w:cs="Times New Roman"/>
          <w:color w:val="000000" w:themeColor="text1"/>
        </w:rPr>
        <w:t xml:space="preserve">controlador do campo ou alguma exigência governamental. Neste sentido surge a problemática norteadora da pesquisa: Quais são os benefícios a empregados evidenciados pelas empresas do ramo financeiro listadas na B3? </w:t>
      </w:r>
      <w:r w:rsidR="0064794A" w:rsidRPr="00874CD5">
        <w:rPr>
          <w:rFonts w:ascii="Times New Roman" w:eastAsia="Times New Roman" w:hAnsi="Times New Roman" w:cs="Times New Roman"/>
          <w:color w:val="000000" w:themeColor="text1"/>
        </w:rPr>
        <w:t xml:space="preserve">Com </w:t>
      </w:r>
      <w:r w:rsidRPr="00874CD5">
        <w:rPr>
          <w:rFonts w:ascii="Times New Roman" w:eastAsia="Times New Roman" w:hAnsi="Times New Roman" w:cs="Times New Roman"/>
          <w:color w:val="000000" w:themeColor="text1"/>
        </w:rPr>
        <w:t>o objetivo de analisar os benefícios concedidos a empregados das instituições financeiras listadas na B3.</w:t>
      </w:r>
    </w:p>
    <w:p w:rsidR="00437EB5" w:rsidRPr="00874CD5" w:rsidRDefault="00437EB5" w:rsidP="00437EB5">
      <w:pPr>
        <w:pStyle w:val="Normal1"/>
        <w:spacing w:after="0" w:line="240" w:lineRule="auto"/>
        <w:ind w:firstLine="708"/>
        <w:jc w:val="both"/>
        <w:rPr>
          <w:rFonts w:ascii="Times New Roman" w:eastAsia="Times New Roman" w:hAnsi="Times New Roman" w:cs="Times New Roman"/>
          <w:color w:val="000000" w:themeColor="text1"/>
        </w:rPr>
      </w:pPr>
      <w:r w:rsidRPr="00874CD5">
        <w:rPr>
          <w:rFonts w:ascii="Times New Roman" w:hAnsi="Times New Roman" w:cs="Times New Roman"/>
          <w:color w:val="000000" w:themeColor="text1"/>
        </w:rPr>
        <w:t>A pesquisa justifica-se pelo progressivo aumento no interesse da sociedade pela necessidade de divulgação e acesso dessas informações e por se tratar de um assunto relativamente novo no campo acadêmico ainda são poucos os estudos que tratam de compreender os resultados e benefícios obtidos com o estudo do CPC 33 – Benefícios a</w:t>
      </w:r>
      <w:r w:rsidR="001A4A97" w:rsidRPr="00874CD5">
        <w:rPr>
          <w:rFonts w:ascii="Times New Roman" w:hAnsi="Times New Roman" w:cs="Times New Roman"/>
          <w:color w:val="000000" w:themeColor="text1"/>
        </w:rPr>
        <w:t>os</w:t>
      </w:r>
      <w:r w:rsidRPr="00874CD5">
        <w:rPr>
          <w:rFonts w:ascii="Times New Roman" w:hAnsi="Times New Roman" w:cs="Times New Roman"/>
          <w:color w:val="000000" w:themeColor="text1"/>
        </w:rPr>
        <w:t xml:space="preserve"> Empregados.</w:t>
      </w:r>
      <w:r w:rsidRPr="00874CD5">
        <w:rPr>
          <w:rFonts w:ascii="Times New Roman" w:eastAsia="Times New Roman" w:hAnsi="Times New Roman" w:cs="Times New Roman"/>
          <w:color w:val="000000" w:themeColor="text1"/>
        </w:rPr>
        <w:t xml:space="preserve"> </w:t>
      </w:r>
    </w:p>
    <w:p w:rsidR="00437EB5" w:rsidRDefault="00437EB5" w:rsidP="00437EB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ab/>
        <w:t xml:space="preserve">O estudo encontra-se estruturado em cinco seções onde se se inicia pela introdução que apresentará a importância do estudo e sua contextualização, logo a pós o referencial teórico que aborda </w:t>
      </w:r>
      <w:r w:rsidRPr="00730699">
        <w:rPr>
          <w:rFonts w:ascii="Times New Roman" w:eastAsia="Times New Roman" w:hAnsi="Times New Roman" w:cs="Times New Roman"/>
        </w:rPr>
        <w:t>a os fundamentos</w:t>
      </w:r>
      <w:r>
        <w:rPr>
          <w:rFonts w:ascii="Times New Roman" w:eastAsia="Times New Roman" w:hAnsi="Times New Roman" w:cs="Times New Roman"/>
        </w:rPr>
        <w:t xml:space="preserve"> que tem como objetivo dar suporte a coleta de dados, na terceira etapa consta a metodologia da pesquisa que nela será abordado os métodos de pesquisa abordada ao decorrer do artigo, na quarta etapa será representada pelos resultados, na quinta etapa será apresentada as considerações finais.</w:t>
      </w:r>
    </w:p>
    <w:p w:rsidR="00437EB5" w:rsidRDefault="00437EB5" w:rsidP="00437EB5">
      <w:pPr>
        <w:pStyle w:val="Normal1"/>
        <w:spacing w:after="0" w:line="240" w:lineRule="auto"/>
        <w:jc w:val="both"/>
        <w:rPr>
          <w:rFonts w:ascii="Times New Roman" w:eastAsia="Times New Roman" w:hAnsi="Times New Roman" w:cs="Times New Roman"/>
          <w:b/>
        </w:rPr>
      </w:pPr>
    </w:p>
    <w:p w:rsidR="00437EB5" w:rsidRDefault="00437EB5" w:rsidP="00437EB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2 Revisão da Literatura</w:t>
      </w:r>
    </w:p>
    <w:p w:rsidR="00437EB5" w:rsidRPr="008F011F" w:rsidRDefault="00437EB5" w:rsidP="00437EB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t>Apresenta-se nesta seção a</w:t>
      </w:r>
      <w:r w:rsidRPr="008F011F">
        <w:rPr>
          <w:rFonts w:ascii="Times New Roman" w:eastAsia="Times New Roman" w:hAnsi="Times New Roman" w:cs="Times New Roman"/>
        </w:rPr>
        <w:t xml:space="preserve"> importância do CPC 33 (2009) no âmbito </w:t>
      </w:r>
      <w:r>
        <w:rPr>
          <w:rFonts w:ascii="Times New Roman" w:eastAsia="Times New Roman" w:hAnsi="Times New Roman" w:cs="Times New Roman"/>
        </w:rPr>
        <w:t xml:space="preserve">social, tanto para seus usuários quanto para a própria instituição, bem como o método de mensuração e evidenciação dos principais itens listados no CPC 33 (2009), tantos benefícios de curto prazo, pós-emprego contemplando os planos de contribuição definida e benefícios definidos, benefícios de longo prazo e benefícios de desligamentos. Abordam-se também estudos correlatos ao tema. </w:t>
      </w:r>
    </w:p>
    <w:p w:rsidR="00437EB5" w:rsidRDefault="00437EB5" w:rsidP="00437EB5">
      <w:pPr>
        <w:pStyle w:val="Normal1"/>
        <w:spacing w:after="0" w:line="240" w:lineRule="auto"/>
        <w:jc w:val="both"/>
        <w:rPr>
          <w:rFonts w:ascii="Times New Roman" w:eastAsia="Times New Roman" w:hAnsi="Times New Roman" w:cs="Times New Roman"/>
        </w:rPr>
      </w:pPr>
    </w:p>
    <w:p w:rsidR="00437EB5" w:rsidRDefault="00437EB5" w:rsidP="00437EB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2.1 Importância do CPC 33 – Benefícios a empregados </w:t>
      </w:r>
    </w:p>
    <w:p w:rsidR="00437EB5" w:rsidRPr="00875048" w:rsidRDefault="00437EB5" w:rsidP="00437EB5">
      <w:pPr>
        <w:pStyle w:val="Normal1"/>
        <w:spacing w:after="0" w:line="240" w:lineRule="auto"/>
        <w:ind w:firstLine="708"/>
        <w:jc w:val="both"/>
        <w:rPr>
          <w:rFonts w:ascii="Times New Roman" w:eastAsia="Times New Roman" w:hAnsi="Times New Roman" w:cs="Times New Roman"/>
        </w:rPr>
      </w:pPr>
      <w:r w:rsidRPr="00875048">
        <w:rPr>
          <w:rFonts w:ascii="Times New Roman" w:eastAsia="Times New Roman" w:hAnsi="Times New Roman" w:cs="Times New Roman"/>
        </w:rPr>
        <w:t xml:space="preserve">O Pronunciamento Contábil CPC 33 foi aprovado em 2009 pelo Comitê de Pronunciamentos Contábeis, </w:t>
      </w:r>
      <w:r w:rsidR="00B16629">
        <w:rPr>
          <w:rFonts w:ascii="Times New Roman" w:eastAsia="Times New Roman" w:hAnsi="Times New Roman" w:cs="Times New Roman"/>
        </w:rPr>
        <w:t xml:space="preserve">visando implementar as normas brasileiras ao contexto internacional, nos aspectos de mensuração e </w:t>
      </w:r>
      <w:r w:rsidRPr="00875048">
        <w:rPr>
          <w:rFonts w:ascii="Times New Roman" w:eastAsia="Times New Roman" w:hAnsi="Times New Roman" w:cs="Times New Roman"/>
        </w:rPr>
        <w:t>divulgação dos benefícios a</w:t>
      </w:r>
      <w:r w:rsidR="00B16629">
        <w:rPr>
          <w:rFonts w:ascii="Times New Roman" w:eastAsia="Times New Roman" w:hAnsi="Times New Roman" w:cs="Times New Roman"/>
        </w:rPr>
        <w:t>os</w:t>
      </w:r>
      <w:r w:rsidRPr="00875048">
        <w:rPr>
          <w:rFonts w:ascii="Times New Roman" w:eastAsia="Times New Roman" w:hAnsi="Times New Roman" w:cs="Times New Roman"/>
        </w:rPr>
        <w:t xml:space="preserve"> empregados</w:t>
      </w:r>
      <w:r w:rsidR="00B16629">
        <w:rPr>
          <w:rFonts w:ascii="Times New Roman" w:eastAsia="Times New Roman" w:hAnsi="Times New Roman" w:cs="Times New Roman"/>
        </w:rPr>
        <w:t xml:space="preserve"> </w:t>
      </w:r>
      <w:r w:rsidRPr="00875048">
        <w:rPr>
          <w:rFonts w:ascii="Times New Roman" w:hAnsi="Times New Roman" w:cs="Times New Roman"/>
        </w:rPr>
        <w:t>(</w:t>
      </w:r>
      <w:proofErr w:type="spellStart"/>
      <w:r w:rsidR="0007024B" w:rsidRPr="007B10B4">
        <w:rPr>
          <w:rFonts w:ascii="Times New Roman" w:hAnsi="Times New Roman" w:cs="Times New Roman"/>
          <w:color w:val="auto"/>
        </w:rPr>
        <w:t>Gelbcke</w:t>
      </w:r>
      <w:proofErr w:type="spellEnd"/>
      <w:r w:rsidR="0007024B" w:rsidRPr="007B10B4">
        <w:rPr>
          <w:rFonts w:ascii="Times New Roman" w:hAnsi="Times New Roman" w:cs="Times New Roman"/>
          <w:color w:val="auto"/>
        </w:rPr>
        <w:t xml:space="preserve">, </w:t>
      </w:r>
      <w:proofErr w:type="spellStart"/>
      <w:r w:rsidR="0007024B" w:rsidRPr="007B10B4">
        <w:rPr>
          <w:rFonts w:ascii="Times New Roman" w:hAnsi="Times New Roman" w:cs="Times New Roman"/>
          <w:color w:val="auto"/>
        </w:rPr>
        <w:t>Iudícibus</w:t>
      </w:r>
      <w:proofErr w:type="spellEnd"/>
      <w:r w:rsidR="0007024B" w:rsidRPr="007B10B4">
        <w:rPr>
          <w:rFonts w:ascii="Times New Roman" w:hAnsi="Times New Roman" w:cs="Times New Roman"/>
          <w:color w:val="auto"/>
        </w:rPr>
        <w:t xml:space="preserve">, Martins, </w:t>
      </w:r>
      <w:r w:rsidR="0007024B">
        <w:rPr>
          <w:rFonts w:ascii="Times New Roman" w:hAnsi="Times New Roman" w:cs="Times New Roman"/>
          <w:color w:val="auto"/>
        </w:rPr>
        <w:t xml:space="preserve">&amp; </w:t>
      </w:r>
      <w:r w:rsidR="0007024B" w:rsidRPr="007B10B4">
        <w:rPr>
          <w:rFonts w:ascii="Times New Roman" w:hAnsi="Times New Roman" w:cs="Times New Roman"/>
          <w:color w:val="auto"/>
        </w:rPr>
        <w:t>Santos</w:t>
      </w:r>
      <w:r w:rsidR="0007024B">
        <w:rPr>
          <w:rFonts w:ascii="Times New Roman" w:hAnsi="Times New Roman" w:cs="Times New Roman"/>
          <w:color w:val="auto"/>
        </w:rPr>
        <w:t>,</w:t>
      </w:r>
      <w:r w:rsidRPr="00875048">
        <w:rPr>
          <w:rFonts w:ascii="Times New Roman" w:hAnsi="Times New Roman" w:cs="Times New Roman"/>
        </w:rPr>
        <w:t xml:space="preserve"> 2010).</w:t>
      </w:r>
      <w:r w:rsidR="00B16629">
        <w:rPr>
          <w:rFonts w:ascii="Times New Roman" w:hAnsi="Times New Roman" w:cs="Times New Roman"/>
        </w:rPr>
        <w:t xml:space="preserve"> </w:t>
      </w:r>
      <w:r w:rsidRPr="00875048">
        <w:rPr>
          <w:rFonts w:ascii="Times New Roman" w:eastAsia="Times New Roman" w:hAnsi="Times New Roman" w:cs="Times New Roman"/>
        </w:rPr>
        <w:t xml:space="preserve">Conforme a normativa CPC 33 (2009, p. 807) seu principal objetivo é “tratar da contabilização e da divulgação </w:t>
      </w:r>
      <w:r w:rsidR="00547329">
        <w:rPr>
          <w:rFonts w:ascii="Times New Roman" w:eastAsia="Times New Roman" w:hAnsi="Times New Roman" w:cs="Times New Roman"/>
        </w:rPr>
        <w:t xml:space="preserve">dos benefícios </w:t>
      </w:r>
      <w:r w:rsidRPr="00875048">
        <w:rPr>
          <w:rFonts w:ascii="Times New Roman" w:eastAsia="Times New Roman" w:hAnsi="Times New Roman" w:cs="Times New Roman"/>
        </w:rPr>
        <w:t xml:space="preserve">concedidos aos empregados”, ou seja, este pronunciamento requer que a entidade contratante reconheça o passivo quando recebe serviços prestados pelos empregados a serem pagos futuramente, e a despesa quando a empresa empregadora se beneficia economicamente do serviço recebido pelo empregado </w:t>
      </w:r>
      <w:r>
        <w:rPr>
          <w:rFonts w:ascii="Times New Roman" w:eastAsia="Times New Roman" w:hAnsi="Times New Roman" w:cs="Times New Roman"/>
        </w:rPr>
        <w:t>(</w:t>
      </w:r>
      <w:r w:rsidRPr="00875048">
        <w:rPr>
          <w:rFonts w:ascii="Times New Roman" w:eastAsia="Times New Roman" w:hAnsi="Times New Roman" w:cs="Times New Roman"/>
        </w:rPr>
        <w:t>CPC 33</w:t>
      </w:r>
      <w:r>
        <w:rPr>
          <w:rFonts w:ascii="Times New Roman" w:eastAsia="Times New Roman" w:hAnsi="Times New Roman" w:cs="Times New Roman"/>
        </w:rPr>
        <w:t xml:space="preserve">, </w:t>
      </w:r>
      <w:r w:rsidRPr="00875048">
        <w:rPr>
          <w:rFonts w:ascii="Times New Roman" w:eastAsia="Times New Roman" w:hAnsi="Times New Roman" w:cs="Times New Roman"/>
        </w:rPr>
        <w:t>2009).</w:t>
      </w:r>
    </w:p>
    <w:p w:rsidR="00437EB5" w:rsidRDefault="00437EB5" w:rsidP="00437EB5">
      <w:pPr>
        <w:pStyle w:val="Normal1"/>
        <w:spacing w:after="0" w:line="240" w:lineRule="auto"/>
        <w:ind w:firstLine="708"/>
        <w:jc w:val="both"/>
        <w:rPr>
          <w:rFonts w:ascii="Times New Roman" w:eastAsia="Times New Roman" w:hAnsi="Times New Roman" w:cs="Times New Roman"/>
          <w:color w:val="201F1F"/>
          <w:shd w:val="clear" w:color="auto" w:fill="F7F7F7"/>
        </w:rPr>
      </w:pPr>
      <w:r>
        <w:rPr>
          <w:rFonts w:ascii="Times New Roman" w:eastAsia="Times New Roman" w:hAnsi="Times New Roman" w:cs="Times New Roman"/>
        </w:rPr>
        <w:t>Com isso criou-se uma metodologia para demonstrar aos usuários das Demonstrações Contábeis por meio das Notas Explicativas, as perdas, ganhos e riscos proveniente dos benefícios aos empregados. No entanto possui uma exceção, os benefícios que se aplicam no CPC 10 (2010, p. 269), o qual tem por objetivo “determinar os métodos para a divulgação e reconhecimento das transações por meio de pagamento baseado em ações”. A ideia implícita por trás do CPC 10 (2010) é motivar os funcionários a atingir metas a fim de se tornarem acionistas da empresa, ou ganhar pela diferenciação entre o preço de mercado e o valor da subscrição (</w:t>
      </w:r>
      <w:r w:rsidRPr="0052031E">
        <w:rPr>
          <w:rFonts w:ascii="Times New Roman" w:eastAsia="Times New Roman" w:hAnsi="Times New Roman" w:cs="Times New Roman"/>
        </w:rPr>
        <w:t>CPC 33,</w:t>
      </w:r>
      <w:r w:rsidR="0064794A">
        <w:rPr>
          <w:rFonts w:ascii="Times New Roman" w:eastAsia="Times New Roman" w:hAnsi="Times New Roman" w:cs="Times New Roman"/>
        </w:rPr>
        <w:t xml:space="preserve"> </w:t>
      </w:r>
      <w:r w:rsidRPr="0052031E">
        <w:rPr>
          <w:rFonts w:ascii="Times New Roman" w:eastAsia="Times New Roman" w:hAnsi="Times New Roman" w:cs="Times New Roman"/>
        </w:rPr>
        <w:t>2009</w:t>
      </w:r>
      <w:r>
        <w:rPr>
          <w:rFonts w:ascii="Times New Roman" w:eastAsia="Times New Roman" w:hAnsi="Times New Roman" w:cs="Times New Roman"/>
        </w:rPr>
        <w:t>)</w:t>
      </w:r>
      <w:r w:rsidRPr="0052031E">
        <w:rPr>
          <w:rFonts w:ascii="Times New Roman" w:eastAsia="Times New Roman" w:hAnsi="Times New Roman" w:cs="Times New Roman"/>
        </w:rPr>
        <w:t>.</w:t>
      </w:r>
      <w:r>
        <w:rPr>
          <w:rFonts w:ascii="Times New Roman" w:eastAsia="Times New Roman" w:hAnsi="Times New Roman" w:cs="Times New Roman"/>
          <w:color w:val="201F1F"/>
          <w:shd w:val="clear" w:color="auto" w:fill="F7F7F7"/>
        </w:rPr>
        <w:t xml:space="preserve"> </w:t>
      </w:r>
    </w:p>
    <w:p w:rsidR="00437EB5" w:rsidRDefault="00437EB5" w:rsidP="00437EB5">
      <w:pPr>
        <w:pStyle w:val="Normal1"/>
        <w:tabs>
          <w:tab w:val="left" w:pos="72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t>Os benefícios definidos no CPC 33 (2009) se dividem em quatro grupos e outros dois subgrupos que fazem parte dos benefícios pós-emprego, conforme apresenta o Tabela 1:</w:t>
      </w:r>
    </w:p>
    <w:p w:rsidR="00437EB5" w:rsidRDefault="00437EB5" w:rsidP="00437EB5">
      <w:pPr>
        <w:pStyle w:val="Normal1"/>
        <w:tabs>
          <w:tab w:val="left" w:pos="720"/>
        </w:tabs>
        <w:spacing w:after="0" w:line="240" w:lineRule="auto"/>
        <w:jc w:val="both"/>
        <w:rPr>
          <w:rFonts w:ascii="Times New Roman" w:eastAsia="Times New Roman" w:hAnsi="Times New Roman" w:cs="Times New Roman"/>
        </w:rPr>
      </w:pPr>
    </w:p>
    <w:p w:rsidR="00437EB5" w:rsidRPr="00F25577" w:rsidRDefault="00437EB5" w:rsidP="00437EB5">
      <w:pPr>
        <w:pStyle w:val="Normal1"/>
        <w:tabs>
          <w:tab w:val="left" w:pos="720"/>
        </w:tabs>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Tabela</w:t>
      </w:r>
      <w:r w:rsidRPr="00AB2B1C">
        <w:rPr>
          <w:rFonts w:ascii="Times New Roman" w:eastAsia="Times New Roman" w:hAnsi="Times New Roman" w:cs="Times New Roman"/>
          <w:b/>
          <w:sz w:val="20"/>
          <w:szCs w:val="20"/>
        </w:rPr>
        <w:t xml:space="preserve"> 1: Relação dos benefícios e seus conceitos</w:t>
      </w:r>
    </w:p>
    <w:tbl>
      <w:tblPr>
        <w:tblW w:w="90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4"/>
        <w:gridCol w:w="6257"/>
      </w:tblGrid>
      <w:tr w:rsidR="00437EB5" w:rsidTr="00437EB5">
        <w:trPr>
          <w:trHeight w:val="231"/>
        </w:trPr>
        <w:tc>
          <w:tcPr>
            <w:tcW w:w="2814" w:type="dxa"/>
          </w:tcPr>
          <w:p w:rsidR="00437EB5" w:rsidRPr="00953FC8" w:rsidRDefault="00437EB5" w:rsidP="00B16629">
            <w:pPr>
              <w:pStyle w:val="Normal1"/>
              <w:tabs>
                <w:tab w:val="right" w:pos="4106"/>
              </w:tabs>
              <w:jc w:val="both"/>
              <w:rPr>
                <w:rFonts w:ascii="Times New Roman" w:eastAsia="Times New Roman" w:hAnsi="Times New Roman" w:cs="Times New Roman"/>
                <w:b/>
                <w:sz w:val="20"/>
                <w:szCs w:val="18"/>
              </w:rPr>
            </w:pPr>
            <w:r w:rsidRPr="00953FC8">
              <w:rPr>
                <w:rFonts w:ascii="Times New Roman" w:eastAsia="Times New Roman" w:hAnsi="Times New Roman" w:cs="Times New Roman"/>
                <w:b/>
                <w:sz w:val="20"/>
                <w:szCs w:val="18"/>
              </w:rPr>
              <w:t>Benefícios</w:t>
            </w:r>
          </w:p>
        </w:tc>
        <w:tc>
          <w:tcPr>
            <w:tcW w:w="6257" w:type="dxa"/>
          </w:tcPr>
          <w:p w:rsidR="00437EB5" w:rsidRPr="00953FC8" w:rsidRDefault="00437EB5" w:rsidP="00B16629">
            <w:pPr>
              <w:pStyle w:val="Normal1"/>
              <w:jc w:val="both"/>
              <w:rPr>
                <w:rFonts w:ascii="Times New Roman" w:eastAsia="Times New Roman" w:hAnsi="Times New Roman" w:cs="Times New Roman"/>
                <w:b/>
                <w:sz w:val="20"/>
                <w:szCs w:val="18"/>
              </w:rPr>
            </w:pPr>
            <w:r w:rsidRPr="00953FC8">
              <w:rPr>
                <w:rFonts w:ascii="Times New Roman" w:eastAsia="Times New Roman" w:hAnsi="Times New Roman" w:cs="Times New Roman"/>
                <w:b/>
                <w:sz w:val="20"/>
                <w:szCs w:val="18"/>
              </w:rPr>
              <w:t>Conceito</w:t>
            </w:r>
          </w:p>
        </w:tc>
      </w:tr>
      <w:tr w:rsidR="00437EB5" w:rsidTr="0007024B">
        <w:trPr>
          <w:trHeight w:val="713"/>
        </w:trPr>
        <w:tc>
          <w:tcPr>
            <w:tcW w:w="2814" w:type="dxa"/>
          </w:tcPr>
          <w:p w:rsidR="00437EB5" w:rsidRPr="00953FC8" w:rsidRDefault="00437EB5" w:rsidP="00B16629">
            <w:pPr>
              <w:pStyle w:val="Normal1"/>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Benefícios de curto prazo</w:t>
            </w:r>
          </w:p>
        </w:tc>
        <w:tc>
          <w:tcPr>
            <w:tcW w:w="6257" w:type="dxa"/>
          </w:tcPr>
          <w:p w:rsidR="00437EB5" w:rsidRPr="00953FC8" w:rsidRDefault="00437EB5" w:rsidP="0007024B">
            <w:pPr>
              <w:pStyle w:val="Normal1"/>
              <w:spacing w:after="0" w:line="240" w:lineRule="auto"/>
              <w:jc w:val="both"/>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Benefícios de curto prazo a empregados são benefícios (exceto benefícios de desligamento) devidos dentro de um período de doze meses após a prestação do serviço pelos empregados.</w:t>
            </w:r>
          </w:p>
        </w:tc>
      </w:tr>
      <w:tr w:rsidR="00437EB5" w:rsidTr="006A3942">
        <w:trPr>
          <w:trHeight w:val="507"/>
        </w:trPr>
        <w:tc>
          <w:tcPr>
            <w:tcW w:w="2814" w:type="dxa"/>
          </w:tcPr>
          <w:p w:rsidR="00437EB5" w:rsidRPr="00953FC8" w:rsidRDefault="00437EB5" w:rsidP="0007024B">
            <w:pPr>
              <w:pStyle w:val="Normal1"/>
              <w:spacing w:after="0" w:line="240" w:lineRule="auto"/>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Benefícios pós-emprego</w:t>
            </w:r>
          </w:p>
        </w:tc>
        <w:tc>
          <w:tcPr>
            <w:tcW w:w="6257" w:type="dxa"/>
          </w:tcPr>
          <w:p w:rsidR="00437EB5" w:rsidRPr="00953FC8" w:rsidRDefault="00437EB5" w:rsidP="0007024B">
            <w:pPr>
              <w:pStyle w:val="Normal1"/>
              <w:spacing w:after="0" w:line="240" w:lineRule="auto"/>
              <w:jc w:val="both"/>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Benefícios pós-emprego são benefícios a empregados (exceto benefícios de desligamento) que serão pagos após o período de emprego.</w:t>
            </w:r>
          </w:p>
        </w:tc>
      </w:tr>
      <w:tr w:rsidR="00437EB5" w:rsidTr="0007024B">
        <w:trPr>
          <w:trHeight w:val="1125"/>
        </w:trPr>
        <w:tc>
          <w:tcPr>
            <w:tcW w:w="2814" w:type="dxa"/>
          </w:tcPr>
          <w:p w:rsidR="00437EB5" w:rsidRPr="00953FC8" w:rsidRDefault="00437EB5" w:rsidP="00B16629">
            <w:pPr>
              <w:pStyle w:val="Normal1"/>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lastRenderedPageBreak/>
              <w:t>Benefícios pós-emprego: planos de contribuição definida</w:t>
            </w:r>
          </w:p>
        </w:tc>
        <w:tc>
          <w:tcPr>
            <w:tcW w:w="6257" w:type="dxa"/>
          </w:tcPr>
          <w:p w:rsidR="00437EB5" w:rsidRPr="00953FC8" w:rsidRDefault="00437EB5" w:rsidP="0007024B">
            <w:pPr>
              <w:pStyle w:val="Normal1"/>
              <w:spacing w:after="0" w:line="240" w:lineRule="auto"/>
              <w:jc w:val="both"/>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Planos de contribuição definida são planos de benefícios pós-emprego pelos quais a entidade patrocinadora paga contribuições a uma entidade separada (fundo de pensão), não tendo a obrigação legal ou construtiva de pagar contribuições adicionais se o fundo vier a não possuir ativos suficientes para pagar todos os benefícios devidos.</w:t>
            </w:r>
          </w:p>
        </w:tc>
      </w:tr>
      <w:tr w:rsidR="00437EB5" w:rsidTr="0007024B">
        <w:trPr>
          <w:trHeight w:val="403"/>
        </w:trPr>
        <w:tc>
          <w:tcPr>
            <w:tcW w:w="2814" w:type="dxa"/>
          </w:tcPr>
          <w:p w:rsidR="00437EB5" w:rsidRPr="00953FC8" w:rsidRDefault="00437EB5" w:rsidP="00B16629">
            <w:pPr>
              <w:pStyle w:val="Normal1"/>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Benefícios pós-emprego: planos de benefício definido</w:t>
            </w:r>
          </w:p>
        </w:tc>
        <w:tc>
          <w:tcPr>
            <w:tcW w:w="6257" w:type="dxa"/>
          </w:tcPr>
          <w:p w:rsidR="00437EB5" w:rsidRPr="00953FC8" w:rsidRDefault="00437EB5" w:rsidP="0007024B">
            <w:pPr>
              <w:pStyle w:val="Normal1"/>
              <w:spacing w:after="0" w:line="240" w:lineRule="auto"/>
              <w:jc w:val="both"/>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Planos de benefício definido são planos de benefícios pós-emprego que não sejam planos de contribuição definida.</w:t>
            </w:r>
          </w:p>
        </w:tc>
      </w:tr>
      <w:tr w:rsidR="00437EB5" w:rsidTr="00437EB5">
        <w:tc>
          <w:tcPr>
            <w:tcW w:w="2814" w:type="dxa"/>
          </w:tcPr>
          <w:p w:rsidR="00437EB5" w:rsidRPr="00953FC8" w:rsidRDefault="00437EB5" w:rsidP="00B16629">
            <w:pPr>
              <w:pStyle w:val="Normal1"/>
              <w:keepNext/>
              <w:keepLines/>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Outros benefícios de longo prazo</w:t>
            </w:r>
          </w:p>
        </w:tc>
        <w:tc>
          <w:tcPr>
            <w:tcW w:w="6257" w:type="dxa"/>
          </w:tcPr>
          <w:p w:rsidR="00437EB5" w:rsidRPr="00953FC8" w:rsidRDefault="00437EB5" w:rsidP="0007024B">
            <w:pPr>
              <w:pStyle w:val="Normal1"/>
              <w:keepNext/>
              <w:keepLines/>
              <w:spacing w:after="0" w:line="240" w:lineRule="auto"/>
              <w:jc w:val="both"/>
              <w:rPr>
                <w:rFonts w:ascii="Times New Roman" w:eastAsia="Times New Roman" w:hAnsi="Times New Roman" w:cs="Times New Roman"/>
                <w:sz w:val="20"/>
                <w:szCs w:val="18"/>
              </w:rPr>
            </w:pPr>
            <w:r w:rsidRPr="00953FC8">
              <w:rPr>
                <w:rFonts w:ascii="Times New Roman" w:eastAsia="Times New Roman" w:hAnsi="Times New Roman" w:cs="Times New Roman"/>
                <w:sz w:val="20"/>
                <w:szCs w:val="18"/>
              </w:rPr>
              <w:t>São os benefícios a empregados (que não sejam benefícios pós-emprego e benefícios de desligamento) que não se encerram totalmente dentro de doze meses após o final do período em que os empregados prestam o respectivo serviço.</w:t>
            </w:r>
          </w:p>
        </w:tc>
      </w:tr>
      <w:tr w:rsidR="00437EB5" w:rsidTr="00437EB5">
        <w:trPr>
          <w:trHeight w:val="784"/>
        </w:trPr>
        <w:tc>
          <w:tcPr>
            <w:tcW w:w="2814" w:type="dxa"/>
          </w:tcPr>
          <w:p w:rsidR="00437EB5" w:rsidRPr="00953FC8" w:rsidRDefault="00437EB5" w:rsidP="00B16629">
            <w:pPr>
              <w:pStyle w:val="Normal1"/>
              <w:rPr>
                <w:rFonts w:ascii="Times New Roman" w:eastAsia="Times New Roman" w:hAnsi="Times New Roman" w:cs="Times New Roman"/>
                <w:color w:val="000000" w:themeColor="text1"/>
                <w:sz w:val="20"/>
                <w:szCs w:val="18"/>
              </w:rPr>
            </w:pPr>
            <w:r w:rsidRPr="00953FC8">
              <w:rPr>
                <w:rFonts w:ascii="Times New Roman" w:hAnsi="Times New Roman" w:cs="Times New Roman"/>
                <w:color w:val="000000" w:themeColor="text1"/>
                <w:sz w:val="20"/>
                <w:szCs w:val="18"/>
                <w:shd w:val="clear" w:color="auto" w:fill="FFFFFF"/>
              </w:rPr>
              <w:t>Benefícios de desligamento</w:t>
            </w:r>
          </w:p>
        </w:tc>
        <w:tc>
          <w:tcPr>
            <w:tcW w:w="6257" w:type="dxa"/>
          </w:tcPr>
          <w:p w:rsidR="00437EB5" w:rsidRPr="00953FC8" w:rsidRDefault="00437EB5" w:rsidP="0007024B">
            <w:pPr>
              <w:jc w:val="both"/>
              <w:rPr>
                <w:color w:val="000000" w:themeColor="text1"/>
                <w:szCs w:val="18"/>
              </w:rPr>
            </w:pPr>
            <w:r w:rsidRPr="00953FC8">
              <w:rPr>
                <w:szCs w:val="18"/>
                <w:shd w:val="clear" w:color="auto" w:fill="FFFFFF"/>
              </w:rPr>
              <w:t>Benefícios de indenização por desligamento são benefícios a empregados pagáveis em virtude de: (a) decisão de a entidade terminar o vínculo empregatício de empregado antes da data normal de aposentadoria; ou (b) decisão do empregado de aceitar a demissão voluntária em troca desses benefícios.</w:t>
            </w:r>
          </w:p>
        </w:tc>
      </w:tr>
    </w:tbl>
    <w:p w:rsidR="00437EB5" w:rsidRDefault="00437EB5" w:rsidP="00437EB5">
      <w:pPr>
        <w:pStyle w:val="Normal1"/>
        <w:spacing w:after="120" w:line="240" w:lineRule="auto"/>
        <w:jc w:val="both"/>
        <w:rPr>
          <w:rFonts w:ascii="Times New Roman" w:eastAsia="Times New Roman" w:hAnsi="Times New Roman" w:cs="Times New Roman"/>
          <w:sz w:val="20"/>
          <w:szCs w:val="20"/>
        </w:rPr>
      </w:pPr>
      <w:r w:rsidRPr="00EE2065">
        <w:rPr>
          <w:rFonts w:ascii="Times New Roman" w:eastAsia="Times New Roman" w:hAnsi="Times New Roman" w:cs="Times New Roman"/>
          <w:sz w:val="20"/>
          <w:szCs w:val="20"/>
        </w:rPr>
        <w:t>Fonte: Adaptado do CPC 33 (2009, p. 807-808-809).</w:t>
      </w:r>
    </w:p>
    <w:p w:rsidR="00437EB5" w:rsidRDefault="00437EB5" w:rsidP="00437EB5">
      <w:pPr>
        <w:pStyle w:val="Normal1"/>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sz w:val="20"/>
          <w:szCs w:val="20"/>
        </w:rPr>
        <w:tab/>
      </w:r>
      <w:r w:rsidRPr="00C87EED">
        <w:rPr>
          <w:rFonts w:ascii="Times New Roman" w:eastAsia="Times New Roman" w:hAnsi="Times New Roman" w:cs="Times New Roman"/>
          <w:color w:val="000000" w:themeColor="text1"/>
        </w:rPr>
        <w:t xml:space="preserve">O </w:t>
      </w:r>
      <w:r>
        <w:rPr>
          <w:rFonts w:ascii="Times New Roman" w:eastAsia="Times New Roman" w:hAnsi="Times New Roman" w:cs="Times New Roman"/>
          <w:color w:val="000000" w:themeColor="text1"/>
        </w:rPr>
        <w:t>Tabela</w:t>
      </w:r>
      <w:r w:rsidRPr="00C87EED">
        <w:rPr>
          <w:rFonts w:ascii="Times New Roman" w:eastAsia="Times New Roman" w:hAnsi="Times New Roman" w:cs="Times New Roman"/>
          <w:color w:val="000000" w:themeColor="text1"/>
        </w:rPr>
        <w:t xml:space="preserve"> 1 apresenta e destaca a relação e o conceito dos benefícios e principalmente a diferença entre eles</w:t>
      </w:r>
      <w:r w:rsidR="000B7939">
        <w:rPr>
          <w:rFonts w:ascii="Times New Roman" w:eastAsia="Times New Roman" w:hAnsi="Times New Roman" w:cs="Times New Roman"/>
          <w:color w:val="000000" w:themeColor="text1"/>
        </w:rPr>
        <w:t xml:space="preserve">, considerando benefícios </w:t>
      </w:r>
      <w:r w:rsidRPr="00C87EED">
        <w:rPr>
          <w:rFonts w:ascii="Times New Roman" w:eastAsia="Times New Roman" w:hAnsi="Times New Roman" w:cs="Times New Roman"/>
          <w:color w:val="000000" w:themeColor="text1"/>
        </w:rPr>
        <w:t>tanto de curto prazo até benefícios de desligament</w:t>
      </w:r>
      <w:r w:rsidR="000B7939">
        <w:rPr>
          <w:rFonts w:ascii="Times New Roman" w:eastAsia="Times New Roman" w:hAnsi="Times New Roman" w:cs="Times New Roman"/>
          <w:color w:val="000000" w:themeColor="text1"/>
        </w:rPr>
        <w:t xml:space="preserve">o, </w:t>
      </w:r>
      <w:r w:rsidRPr="00C87EED">
        <w:rPr>
          <w:rFonts w:ascii="Times New Roman" w:eastAsia="Times New Roman" w:hAnsi="Times New Roman" w:cs="Times New Roman"/>
          <w:color w:val="000000" w:themeColor="text1"/>
        </w:rPr>
        <w:t xml:space="preserve">todos </w:t>
      </w:r>
      <w:r w:rsidR="000B7939">
        <w:rPr>
          <w:rFonts w:ascii="Times New Roman" w:eastAsia="Times New Roman" w:hAnsi="Times New Roman" w:cs="Times New Roman"/>
          <w:color w:val="000000" w:themeColor="text1"/>
        </w:rPr>
        <w:t xml:space="preserve">são </w:t>
      </w:r>
      <w:r w:rsidRPr="00C87EED">
        <w:rPr>
          <w:rFonts w:ascii="Times New Roman" w:eastAsia="Times New Roman" w:hAnsi="Times New Roman" w:cs="Times New Roman"/>
          <w:color w:val="000000" w:themeColor="text1"/>
        </w:rPr>
        <w:t>direito</w:t>
      </w:r>
      <w:r w:rsidR="000B7939">
        <w:rPr>
          <w:rFonts w:ascii="Times New Roman" w:eastAsia="Times New Roman" w:hAnsi="Times New Roman" w:cs="Times New Roman"/>
          <w:color w:val="000000" w:themeColor="text1"/>
        </w:rPr>
        <w:t>s</w:t>
      </w:r>
      <w:r w:rsidRPr="00C87EED">
        <w:rPr>
          <w:rFonts w:ascii="Times New Roman" w:eastAsia="Times New Roman" w:hAnsi="Times New Roman" w:cs="Times New Roman"/>
          <w:color w:val="000000" w:themeColor="text1"/>
        </w:rPr>
        <w:t xml:space="preserve"> </w:t>
      </w:r>
      <w:r w:rsidR="000B7939">
        <w:rPr>
          <w:rFonts w:ascii="Times New Roman" w:eastAsia="Times New Roman" w:hAnsi="Times New Roman" w:cs="Times New Roman"/>
          <w:color w:val="000000" w:themeColor="text1"/>
        </w:rPr>
        <w:t>relacionados aos</w:t>
      </w:r>
      <w:r w:rsidRPr="00C87EED">
        <w:rPr>
          <w:rFonts w:ascii="Times New Roman" w:eastAsia="Times New Roman" w:hAnsi="Times New Roman" w:cs="Times New Roman"/>
          <w:color w:val="000000" w:themeColor="text1"/>
        </w:rPr>
        <w:t xml:space="preserve"> serviços. Nota-se a importância </w:t>
      </w:r>
      <w:r w:rsidR="000B7939">
        <w:rPr>
          <w:rFonts w:ascii="Times New Roman" w:eastAsia="Times New Roman" w:hAnsi="Times New Roman" w:cs="Times New Roman"/>
          <w:color w:val="000000" w:themeColor="text1"/>
        </w:rPr>
        <w:t>do</w:t>
      </w:r>
      <w:r w:rsidRPr="00C87EED">
        <w:rPr>
          <w:rFonts w:ascii="Times New Roman" w:eastAsia="Times New Roman" w:hAnsi="Times New Roman" w:cs="Times New Roman"/>
          <w:color w:val="000000" w:themeColor="text1"/>
        </w:rPr>
        <w:t xml:space="preserve"> CPC 33</w:t>
      </w:r>
      <w:r w:rsidR="000B7939">
        <w:rPr>
          <w:rFonts w:ascii="Times New Roman" w:eastAsia="Times New Roman" w:hAnsi="Times New Roman" w:cs="Times New Roman"/>
          <w:color w:val="000000" w:themeColor="text1"/>
        </w:rPr>
        <w:t xml:space="preserve"> (2009)</w:t>
      </w:r>
      <w:r w:rsidRPr="00C87EED">
        <w:rPr>
          <w:rFonts w:ascii="Times New Roman" w:eastAsia="Times New Roman" w:hAnsi="Times New Roman" w:cs="Times New Roman"/>
          <w:color w:val="000000" w:themeColor="text1"/>
        </w:rPr>
        <w:t xml:space="preserve"> no âmbito social, </w:t>
      </w:r>
      <w:r w:rsidR="000B7939">
        <w:rPr>
          <w:rFonts w:ascii="Times New Roman" w:eastAsia="Times New Roman" w:hAnsi="Times New Roman" w:cs="Times New Roman"/>
          <w:color w:val="000000" w:themeColor="text1"/>
        </w:rPr>
        <w:t>como</w:t>
      </w:r>
      <w:r w:rsidRPr="00C87EED">
        <w:rPr>
          <w:rFonts w:ascii="Times New Roman" w:eastAsia="Times New Roman" w:hAnsi="Times New Roman" w:cs="Times New Roman"/>
          <w:color w:val="000000" w:themeColor="text1"/>
        </w:rPr>
        <w:t xml:space="preserve"> norma responsável por dividir e classificar os benefícios de acordo com as especificações </w:t>
      </w:r>
      <w:r>
        <w:rPr>
          <w:rFonts w:ascii="Times New Roman" w:eastAsia="Times New Roman" w:hAnsi="Times New Roman" w:cs="Times New Roman"/>
          <w:color w:val="000000" w:themeColor="text1"/>
        </w:rPr>
        <w:t>necessárias</w:t>
      </w:r>
      <w:r w:rsidR="000B7939">
        <w:rPr>
          <w:rFonts w:ascii="Times New Roman" w:eastAsia="Times New Roman" w:hAnsi="Times New Roman" w:cs="Times New Roman"/>
          <w:color w:val="000000" w:themeColor="text1"/>
        </w:rPr>
        <w:t>, r</w:t>
      </w:r>
      <w:r>
        <w:rPr>
          <w:rFonts w:ascii="Times New Roman" w:eastAsia="Times New Roman" w:hAnsi="Times New Roman" w:cs="Times New Roman"/>
          <w:color w:val="000000" w:themeColor="text1"/>
        </w:rPr>
        <w:t xml:space="preserve">esponsável por </w:t>
      </w:r>
      <w:r w:rsidR="000B7939">
        <w:rPr>
          <w:rFonts w:ascii="Times New Roman" w:eastAsia="Times New Roman" w:hAnsi="Times New Roman" w:cs="Times New Roman"/>
          <w:color w:val="000000" w:themeColor="text1"/>
        </w:rPr>
        <w:t xml:space="preserve">evidenciar </w:t>
      </w:r>
      <w:r>
        <w:rPr>
          <w:rFonts w:ascii="Times New Roman" w:eastAsia="Times New Roman" w:hAnsi="Times New Roman" w:cs="Times New Roman"/>
          <w:color w:val="000000" w:themeColor="text1"/>
        </w:rPr>
        <w:t xml:space="preserve">a participação da empresa </w:t>
      </w:r>
      <w:r w:rsidR="000B7939">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rPr>
        <w:t xml:space="preserve"> os benefícios</w:t>
      </w:r>
      <w:r w:rsidR="000B7939">
        <w:rPr>
          <w:rFonts w:ascii="Times New Roman" w:eastAsia="Times New Roman" w:hAnsi="Times New Roman" w:cs="Times New Roman"/>
          <w:color w:val="000000" w:themeColor="text1"/>
        </w:rPr>
        <w:t xml:space="preserve"> relacionados aos funcionários</w:t>
      </w:r>
      <w:r>
        <w:rPr>
          <w:rFonts w:ascii="Times New Roman" w:eastAsia="Times New Roman" w:hAnsi="Times New Roman" w:cs="Times New Roman"/>
          <w:color w:val="000000" w:themeColor="text1"/>
        </w:rPr>
        <w:t>.</w:t>
      </w:r>
    </w:p>
    <w:p w:rsidR="00437EB5" w:rsidRPr="002840F7" w:rsidRDefault="00437EB5" w:rsidP="00437EB5">
      <w:pPr>
        <w:pStyle w:val="Normal1"/>
        <w:spacing w:after="0" w:line="240" w:lineRule="auto"/>
        <w:jc w:val="both"/>
        <w:rPr>
          <w:rFonts w:ascii="Times New Roman" w:eastAsia="Times New Roman" w:hAnsi="Times New Roman" w:cs="Times New Roman"/>
          <w:color w:val="000000" w:themeColor="text1"/>
          <w:sz w:val="22"/>
          <w:szCs w:val="22"/>
        </w:rPr>
      </w:pPr>
    </w:p>
    <w:p w:rsidR="00437EB5" w:rsidRDefault="00437EB5" w:rsidP="00437EB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2.2 Mensuração e evidenciação dos benefícios a empregados</w:t>
      </w:r>
    </w:p>
    <w:p w:rsidR="00437EB5" w:rsidRDefault="00437EB5" w:rsidP="00437EB5">
      <w:pPr>
        <w:pStyle w:val="Normal1"/>
        <w:spacing w:after="0"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No que se diz respeito aos benefícios de curto prazo o CPC 33 (2009, p. 804) estabelece que “quando o empregado prestar serviços à entidade durante um período contábil, a entidade patrocinadora deve reconhecer o montante não descontado de benefícios de curto prazo a empregados”. A empresa deve reconhecer como despesa acumulada toda e qualquer baixa de quantia já paga, se por acaso </w:t>
      </w:r>
      <w:r w:rsidR="0007024B">
        <w:rPr>
          <w:rFonts w:ascii="Times New Roman" w:eastAsia="Times New Roman" w:hAnsi="Times New Roman" w:cs="Times New Roman"/>
        </w:rPr>
        <w:t>à</w:t>
      </w:r>
      <w:r>
        <w:rPr>
          <w:rFonts w:ascii="Times New Roman" w:eastAsia="Times New Roman" w:hAnsi="Times New Roman" w:cs="Times New Roman"/>
        </w:rPr>
        <w:t xml:space="preserve"> quantia já deduzida exceder a quantia não descontada dos benefícios, a entidade deverá reconhecer o valor remanescente como despesa</w:t>
      </w:r>
      <w:r w:rsidR="0007024B">
        <w:rPr>
          <w:rFonts w:ascii="Times New Roman" w:eastAsia="Times New Roman" w:hAnsi="Times New Roman" w:cs="Times New Roman"/>
        </w:rPr>
        <w:t xml:space="preserve"> </w:t>
      </w:r>
      <w:r>
        <w:rPr>
          <w:rFonts w:ascii="Times New Roman" w:eastAsia="Times New Roman" w:hAnsi="Times New Roman" w:cs="Times New Roman"/>
        </w:rPr>
        <w:t xml:space="preserve">antecipadamente no ativo, o qual deverá ser abatido nos pagamentos futuros ou uma restituição de caixa e deverá permitir a inclusão da despesa no custo do ativo (CPC 33, 2009). </w:t>
      </w:r>
    </w:p>
    <w:p w:rsidR="00437EB5" w:rsidRDefault="00437EB5" w:rsidP="00437EB5">
      <w:pPr>
        <w:pStyle w:val="Normal1"/>
        <w:spacing w:after="0"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Em relação aos benefícios pós-emprego que possui duas ramificações, que são os planos de contribuição definida e os planos de </w:t>
      </w:r>
      <w:r w:rsidR="00B16629">
        <w:rPr>
          <w:rFonts w:ascii="Times New Roman" w:eastAsia="Times New Roman" w:hAnsi="Times New Roman" w:cs="Times New Roman"/>
        </w:rPr>
        <w:t>benefício</w:t>
      </w:r>
      <w:r>
        <w:rPr>
          <w:rFonts w:ascii="Times New Roman" w:eastAsia="Times New Roman" w:hAnsi="Times New Roman" w:cs="Times New Roman"/>
        </w:rPr>
        <w:t xml:space="preserve"> definido, os planos de contribuição definida, o CPC 33 (2009, p.807) estabelece que “A contabilização dos planos de contribuição definida é direta porque a obrigação da entidade patrocinadora relativa a cada exercício é determinada pelos montantes a serem contribuídos no período”. Como consequência de que não haverá qualquer ganho ou perda atuarial, pois não será necessário que haja avaliação para mensurar a despesa e a obrigação, além disso, as obrigações que não vencem completamente em um período de 12 meses são mensuradas a partir da base não descontada (CPC 33, 2009).</w:t>
      </w:r>
    </w:p>
    <w:p w:rsidR="00437EB5" w:rsidRDefault="00437EB5" w:rsidP="00437EB5">
      <w:pPr>
        <w:pStyle w:val="Normal1"/>
        <w:spacing w:after="0" w:line="240" w:lineRule="auto"/>
        <w:ind w:firstLine="708"/>
        <w:jc w:val="both"/>
        <w:rPr>
          <w:rFonts w:ascii="Times New Roman" w:eastAsia="Times New Roman" w:hAnsi="Times New Roman" w:cs="Times New Roman"/>
        </w:rPr>
      </w:pPr>
      <w:r>
        <w:rPr>
          <w:rFonts w:ascii="Times New Roman" w:eastAsia="Times New Roman" w:hAnsi="Times New Roman" w:cs="Times New Roman"/>
        </w:rPr>
        <w:t>O método de mensuração e reconhecimento dos benefícios pós-emprego</w:t>
      </w:r>
      <w:r w:rsidR="0064794A">
        <w:rPr>
          <w:rFonts w:ascii="Times New Roman" w:eastAsia="Times New Roman" w:hAnsi="Times New Roman" w:cs="Times New Roman"/>
        </w:rPr>
        <w:t xml:space="preserve">, </w:t>
      </w:r>
      <w:r>
        <w:rPr>
          <w:rFonts w:ascii="Times New Roman" w:eastAsia="Times New Roman" w:hAnsi="Times New Roman" w:cs="Times New Roman"/>
        </w:rPr>
        <w:t xml:space="preserve">podem se comparar com os benefícios de curto prazo, com exceção da despesa, que a menos que outro CPC venha ordenar ou a aceitar a inclusão da contribuição como custo do ativo, os </w:t>
      </w:r>
      <w:proofErr w:type="spellStart"/>
      <w:r>
        <w:rPr>
          <w:rFonts w:ascii="Times New Roman" w:eastAsia="Times New Roman" w:hAnsi="Times New Roman" w:cs="Times New Roman"/>
        </w:rPr>
        <w:t>CPC’s</w:t>
      </w:r>
      <w:proofErr w:type="spellEnd"/>
      <w:r>
        <w:rPr>
          <w:rFonts w:ascii="Times New Roman" w:eastAsia="Times New Roman" w:hAnsi="Times New Roman" w:cs="Times New Roman"/>
        </w:rPr>
        <w:t xml:space="preserve"> responsáveis são o CPC 16 – Estoques e o CPC 27 – Ativo Imobilizado o CPC 33 (2009, p. 810) ordena que “A entidade deverá divulgar o valor reconhecido como despesa nos planos de contribuição definida, sempre que for exigido pelo CPC 05 no que se diz respeito aos planos de </w:t>
      </w:r>
      <w:r>
        <w:rPr>
          <w:rFonts w:ascii="Times New Roman" w:eastAsia="Times New Roman" w:hAnsi="Times New Roman" w:cs="Times New Roman"/>
        </w:rPr>
        <w:lastRenderedPageBreak/>
        <w:t>contribuição definida aos gestores da entidade”.</w:t>
      </w:r>
    </w:p>
    <w:p w:rsidR="00437EB5" w:rsidRPr="00C35E8C" w:rsidRDefault="00437EB5" w:rsidP="00437EB5">
      <w:pPr>
        <w:pStyle w:val="Normal1"/>
        <w:spacing w:after="0" w:line="240" w:lineRule="auto"/>
        <w:ind w:firstLine="708"/>
        <w:jc w:val="both"/>
        <w:rPr>
          <w:rFonts w:ascii="Times New Roman" w:eastAsia="Times New Roman" w:hAnsi="Times New Roman" w:cs="Times New Roman"/>
        </w:rPr>
      </w:pPr>
      <w:r>
        <w:rPr>
          <w:rFonts w:ascii="Times New Roman" w:eastAsia="Times New Roman" w:hAnsi="Times New Roman" w:cs="Times New Roman"/>
        </w:rPr>
        <w:t>Já nos planos de benefícios definid</w:t>
      </w:r>
      <w:r w:rsidR="00684D0B">
        <w:rPr>
          <w:rFonts w:ascii="Times New Roman" w:eastAsia="Times New Roman" w:hAnsi="Times New Roman" w:cs="Times New Roman"/>
        </w:rPr>
        <w:t>os</w:t>
      </w:r>
      <w:r>
        <w:rPr>
          <w:rFonts w:ascii="Times New Roman" w:eastAsia="Times New Roman" w:hAnsi="Times New Roman" w:cs="Times New Roman"/>
        </w:rPr>
        <w:t xml:space="preserve"> o CPC 33 (2009 p. 810) indica que “a contabilização dos planos podem ser considerados complexo, pois são necessários axiomas atuariais para determinar a obrigação e a despesa” </w:t>
      </w:r>
      <w:r w:rsidRPr="00F63287">
        <w:rPr>
          <w:rFonts w:ascii="Times New Roman" w:eastAsia="Times New Roman" w:hAnsi="Times New Roman" w:cs="Times New Roman"/>
        </w:rPr>
        <w:t xml:space="preserve">e </w:t>
      </w:r>
      <w:r>
        <w:rPr>
          <w:rFonts w:ascii="Times New Roman" w:eastAsia="Times New Roman" w:hAnsi="Times New Roman" w:cs="Times New Roman"/>
        </w:rPr>
        <w:t>para</w:t>
      </w:r>
      <w:r w:rsidRPr="00F63287">
        <w:rPr>
          <w:rFonts w:ascii="Times New Roman" w:eastAsia="Times New Roman" w:hAnsi="Times New Roman" w:cs="Times New Roman"/>
        </w:rPr>
        <w:t>,</w:t>
      </w:r>
      <w:r w:rsidRPr="00F63287">
        <w:rPr>
          <w:rFonts w:ascii="Times New Roman" w:hAnsi="Times New Roman" w:cs="Times New Roman"/>
        </w:rPr>
        <w:t xml:space="preserve"> </w:t>
      </w:r>
      <w:r>
        <w:rPr>
          <w:rFonts w:ascii="Times New Roman" w:hAnsi="Times New Roman" w:cs="Times New Roman"/>
        </w:rPr>
        <w:t>Ernst</w:t>
      </w:r>
      <w:r w:rsidR="0007024B">
        <w:rPr>
          <w:rFonts w:ascii="Times New Roman" w:hAnsi="Times New Roman" w:cs="Times New Roman"/>
        </w:rPr>
        <w:t xml:space="preserve"> &amp;</w:t>
      </w:r>
      <w:r w:rsidRPr="00F63287">
        <w:rPr>
          <w:rFonts w:ascii="Times New Roman" w:hAnsi="Times New Roman" w:cs="Times New Roman"/>
        </w:rPr>
        <w:t xml:space="preserve"> Young e </w:t>
      </w:r>
      <w:proofErr w:type="spellStart"/>
      <w:r w:rsidRPr="00F63287">
        <w:rPr>
          <w:rFonts w:ascii="Times New Roman" w:hAnsi="Times New Roman" w:cs="Times New Roman"/>
        </w:rPr>
        <w:t>Fipecafi</w:t>
      </w:r>
      <w:proofErr w:type="spellEnd"/>
      <w:r w:rsidRPr="00F63287">
        <w:rPr>
          <w:rFonts w:ascii="Times New Roman" w:hAnsi="Times New Roman" w:cs="Times New Roman"/>
        </w:rPr>
        <w:t xml:space="preserve"> (2009, p. 165), “são planos cujo arranjo institucional possa gerar obrigação formal ou construtiva de contribuições adicionais do ente empregad</w:t>
      </w:r>
      <w:r>
        <w:rPr>
          <w:rFonts w:ascii="Times New Roman" w:hAnsi="Times New Roman" w:cs="Times New Roman"/>
        </w:rPr>
        <w:t>or além da inicialmente fixada”,</w:t>
      </w:r>
      <w:r>
        <w:rPr>
          <w:rFonts w:ascii="Times New Roman" w:eastAsia="Times New Roman" w:hAnsi="Times New Roman" w:cs="Times New Roman"/>
        </w:rPr>
        <w:t xml:space="preserve"> sendo assim existem a possibilidade de ganhos e perdas atuariais, as obrigações devem ser mensuradas ao seu valor presente, pois diferente das contribuições definidas podem ser </w:t>
      </w:r>
      <w:r w:rsidRPr="00C35E8C">
        <w:rPr>
          <w:rFonts w:ascii="Times New Roman" w:eastAsia="Times New Roman" w:hAnsi="Times New Roman" w:cs="Times New Roman"/>
        </w:rPr>
        <w:t>abatidas anos após a prestação dos serviços.</w:t>
      </w:r>
    </w:p>
    <w:p w:rsidR="00437EB5" w:rsidRPr="00C35E8C" w:rsidRDefault="00437EB5" w:rsidP="00437EB5">
      <w:pPr>
        <w:pStyle w:val="Normal1"/>
        <w:spacing w:after="0" w:line="240" w:lineRule="auto"/>
        <w:ind w:firstLine="708"/>
        <w:jc w:val="both"/>
        <w:rPr>
          <w:rFonts w:ascii="Times New Roman" w:eastAsia="Times New Roman" w:hAnsi="Times New Roman" w:cs="Times New Roman"/>
        </w:rPr>
      </w:pPr>
      <w:r w:rsidRPr="00C35E8C">
        <w:rPr>
          <w:rFonts w:ascii="Times New Roman" w:eastAsia="Times New Roman" w:hAnsi="Times New Roman" w:cs="Times New Roman"/>
        </w:rPr>
        <w:t>Em quesito ao reconhecimento e mensuração dos benefícios pós-emprego “</w:t>
      </w:r>
      <w:r w:rsidRPr="00C35E8C">
        <w:rPr>
          <w:rFonts w:ascii="Times New Roman" w:hAnsi="Times New Roman" w:cs="Times New Roman"/>
        </w:rPr>
        <w:t>os planos podem não possuir fundo constituído, ou podem estar parcialmente ou totalmente cobertos pelas contribuições da entidade</w:t>
      </w:r>
      <w:r w:rsidRPr="00C35E8C">
        <w:rPr>
          <w:rFonts w:ascii="Times New Roman" w:eastAsia="Times New Roman" w:hAnsi="Times New Roman" w:cs="Times New Roman"/>
        </w:rPr>
        <w:t>” (CPC 33, 2009, p.822). Já no que se diz respeito à liquidação dos benefícios “o pagamento dos benefícios concedidos depende não somente da situação financeira e do desempenho dos investimentos do fundo, mas também da capacidade (e da vontade) da entidade de suprir qualquer insuficiência nos ativos do fundo” CPC 33 (2009, p.822). Ou seja, a empresa deverá assumir a natureza dos investimentos e dos riscos atuariais associados ao plano ou pelo menos parte deles.</w:t>
      </w:r>
    </w:p>
    <w:p w:rsidR="00437EB5" w:rsidRDefault="00437EB5" w:rsidP="00437EB5">
      <w:pPr>
        <w:pStyle w:val="Normal1"/>
        <w:spacing w:after="0"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Já em relação ao grau de incerteza os outros benefícios a longo prazo são todos os benefícios que a empresa não espera que sejam totalmente liquidados dentro de 12 meses após o momento em que o funcionário prestou o referente serviço, como por exemplo, </w:t>
      </w:r>
      <w:r w:rsidRPr="001758B3">
        <w:rPr>
          <w:rFonts w:ascii="Times New Roman" w:eastAsia="Times New Roman" w:hAnsi="Times New Roman" w:cs="Times New Roman"/>
        </w:rPr>
        <w:t>a</w:t>
      </w:r>
      <w:r>
        <w:rPr>
          <w:rFonts w:ascii="Times New Roman" w:eastAsia="Times New Roman" w:hAnsi="Times New Roman" w:cs="Times New Roman"/>
        </w:rPr>
        <w:t xml:space="preserve"> remuneração diferida, os benefícios por invalidez de longo prazo, gratificações por tempo de serviço, licenças por tempo de serviço ou jubileu (CPC 33, 2009, p. 823).</w:t>
      </w:r>
    </w:p>
    <w:p w:rsidR="00437EB5" w:rsidRDefault="00437EB5" w:rsidP="00437EB5">
      <w:pPr>
        <w:pStyle w:val="Normal1"/>
        <w:spacing w:after="0" w:line="240" w:lineRule="auto"/>
        <w:ind w:firstLine="708"/>
        <w:jc w:val="both"/>
        <w:rPr>
          <w:rFonts w:ascii="Times New Roman" w:eastAsia="Times New Roman" w:hAnsi="Times New Roman" w:cs="Times New Roman"/>
        </w:rPr>
      </w:pPr>
      <w:r>
        <w:rPr>
          <w:rFonts w:ascii="Times New Roman" w:eastAsia="Times New Roman" w:hAnsi="Times New Roman" w:cs="Times New Roman"/>
        </w:rPr>
        <w:t>O critério de mensuração utilizado para os benefícios a longo prazo requer um método mais simplificado de contabilização pois o grau de incerteza é diferente dos benefícios pós-emprego. Como despesa acumulada no passivo, após a dedução de qualquer contribuição já paga. Se por acaso a contribuição já paga exceder a quota devida antes do período contábil a que se referem às demonstrações contábeis, a entidade contratante deve reconhecer esse excesso como despesa antecipada no ativo (CPC 33, 2009, p. 824).</w:t>
      </w:r>
    </w:p>
    <w:p w:rsidR="00437EB5" w:rsidRDefault="00437EB5" w:rsidP="00437EB5">
      <w:pPr>
        <w:pStyle w:val="Normal1"/>
        <w:spacing w:after="0" w:line="240" w:lineRule="auto"/>
        <w:ind w:firstLine="708"/>
        <w:jc w:val="both"/>
      </w:pPr>
      <w:r>
        <w:rPr>
          <w:rFonts w:ascii="Times New Roman" w:eastAsia="Times New Roman" w:hAnsi="Times New Roman" w:cs="Times New Roman"/>
        </w:rPr>
        <w:t>A divulgação como despesa dos benefícios não possui um método especifico, somente se outro CPC exigir que seja divulgado como, por exemplo, o CPC 05 (2010) – Divulgação sobre partes relacionadas, e o pronunciamento CPC 26 (2011) – Apresentação das Demonstrações Contábeis que requer que sejam divulgadas as despesas relacionadas aos benefícios a empregados, além disso, deve-se divulgar o montante reconhecido como despesas para os planos de contribuição definidos (CPC 33, 2009)</w:t>
      </w:r>
      <w:r>
        <w:t>.</w:t>
      </w:r>
    </w:p>
    <w:p w:rsidR="00437EB5" w:rsidRDefault="00437EB5" w:rsidP="00437EB5">
      <w:pPr>
        <w:pStyle w:val="Normal1"/>
        <w:spacing w:after="0" w:line="240" w:lineRule="auto"/>
        <w:ind w:firstLine="708"/>
        <w:jc w:val="both"/>
        <w:rPr>
          <w:rFonts w:ascii="Times New Roman" w:eastAsia="Times New Roman" w:hAnsi="Times New Roman" w:cs="Times New Roman"/>
        </w:rPr>
      </w:pPr>
      <w:r>
        <w:rPr>
          <w:rFonts w:ascii="Times New Roman" w:eastAsia="Times New Roman" w:hAnsi="Times New Roman" w:cs="Times New Roman"/>
        </w:rPr>
        <w:t>Os benefícios de desligamento são todos os benefícios de indenizações pagáveis em virtude de decisões da entidade em encerrar qualquer v</w:t>
      </w:r>
      <w:r w:rsidR="00B16629">
        <w:rPr>
          <w:rFonts w:ascii="Times New Roman" w:eastAsia="Times New Roman" w:hAnsi="Times New Roman" w:cs="Times New Roman"/>
        </w:rPr>
        <w:t>ín</w:t>
      </w:r>
      <w:r>
        <w:rPr>
          <w:rFonts w:ascii="Times New Roman" w:eastAsia="Times New Roman" w:hAnsi="Times New Roman" w:cs="Times New Roman"/>
        </w:rPr>
        <w:t>culo empregatícios antes da data estipulada, a decisão do empregado em aceitar a demissão em troca desses benefícios, a entidade deverá reconhecer o desligamento como passivo e despesa, somente quando a entidade contratante estiver vinculada resolver cessar o contrato empregatício do empregado ou de um grupo de empregados antes da data de aposentadoria e oferecer benefícios com intuito de encorajar a saída voluntária (</w:t>
      </w:r>
      <w:proofErr w:type="spellStart"/>
      <w:r w:rsidR="00684D0B" w:rsidRPr="007B10B4">
        <w:rPr>
          <w:rFonts w:ascii="Times New Roman" w:eastAsia="Times New Roman" w:hAnsi="Times New Roman" w:cs="Times New Roman"/>
          <w:color w:val="auto"/>
        </w:rPr>
        <w:t>Hirsch</w:t>
      </w:r>
      <w:proofErr w:type="spellEnd"/>
      <w:r w:rsidR="00684D0B" w:rsidRPr="007B10B4">
        <w:rPr>
          <w:rFonts w:ascii="Times New Roman" w:eastAsia="Times New Roman" w:hAnsi="Times New Roman" w:cs="Times New Roman"/>
          <w:color w:val="auto"/>
        </w:rPr>
        <w:t xml:space="preserve">, </w:t>
      </w:r>
      <w:r w:rsidR="00684D0B">
        <w:rPr>
          <w:rFonts w:ascii="Times New Roman" w:eastAsia="Times New Roman" w:hAnsi="Times New Roman" w:cs="Times New Roman"/>
          <w:color w:val="auto"/>
        </w:rPr>
        <w:t>&amp;</w:t>
      </w:r>
      <w:r w:rsidR="00684D0B" w:rsidRPr="007B10B4">
        <w:rPr>
          <w:rFonts w:ascii="Times New Roman" w:eastAsia="Times New Roman" w:hAnsi="Times New Roman" w:cs="Times New Roman"/>
          <w:color w:val="auto"/>
        </w:rPr>
        <w:t xml:space="preserve"> Martins,</w:t>
      </w:r>
      <w:r w:rsidR="00684D0B">
        <w:rPr>
          <w:rFonts w:ascii="Times New Roman" w:eastAsia="Times New Roman" w:hAnsi="Times New Roman" w:cs="Times New Roman"/>
          <w:color w:val="auto"/>
        </w:rPr>
        <w:t xml:space="preserve"> 2013; </w:t>
      </w:r>
      <w:r>
        <w:rPr>
          <w:rFonts w:ascii="Times New Roman" w:eastAsia="Times New Roman" w:hAnsi="Times New Roman" w:cs="Times New Roman"/>
        </w:rPr>
        <w:t xml:space="preserve">CPC 33, 2009). </w:t>
      </w:r>
    </w:p>
    <w:p w:rsidR="00437EB5" w:rsidRDefault="00437EB5" w:rsidP="001D6589">
      <w:pPr>
        <w:pStyle w:val="Normal1"/>
        <w:spacing w:after="0" w:line="240" w:lineRule="auto"/>
        <w:ind w:firstLine="709"/>
        <w:jc w:val="both"/>
        <w:rPr>
          <w:rFonts w:ascii="Times New Roman" w:hAnsi="Times New Roman" w:cs="Times New Roman"/>
        </w:rPr>
      </w:pPr>
      <w:r>
        <w:rPr>
          <w:rFonts w:ascii="Times New Roman" w:eastAsia="Times New Roman" w:hAnsi="Times New Roman" w:cs="Times New Roman"/>
        </w:rPr>
        <w:t xml:space="preserve">No que se refere </w:t>
      </w:r>
      <w:r w:rsidR="001D6589">
        <w:rPr>
          <w:rFonts w:ascii="Times New Roman" w:eastAsia="Times New Roman" w:hAnsi="Times New Roman" w:cs="Times New Roman"/>
        </w:rPr>
        <w:t>à</w:t>
      </w:r>
      <w:r>
        <w:rPr>
          <w:rFonts w:ascii="Times New Roman" w:eastAsia="Times New Roman" w:hAnsi="Times New Roman" w:cs="Times New Roman"/>
        </w:rPr>
        <w:t xml:space="preserve"> mensuração o CPC 33 (2009)</w:t>
      </w:r>
      <w:r w:rsidR="001D6589">
        <w:rPr>
          <w:rFonts w:ascii="Times New Roman" w:eastAsia="Times New Roman" w:hAnsi="Times New Roman" w:cs="Times New Roman"/>
        </w:rPr>
        <w:t xml:space="preserve">, </w:t>
      </w:r>
      <w:r>
        <w:rPr>
          <w:rFonts w:ascii="Times New Roman" w:eastAsia="Times New Roman" w:hAnsi="Times New Roman" w:cs="Times New Roman"/>
        </w:rPr>
        <w:t>espec</w:t>
      </w:r>
      <w:r w:rsidR="001D6589">
        <w:rPr>
          <w:rFonts w:ascii="Times New Roman" w:eastAsia="Times New Roman" w:hAnsi="Times New Roman" w:cs="Times New Roman"/>
        </w:rPr>
        <w:t>í</w:t>
      </w:r>
      <w:r>
        <w:rPr>
          <w:rFonts w:ascii="Times New Roman" w:eastAsia="Times New Roman" w:hAnsi="Times New Roman" w:cs="Times New Roman"/>
        </w:rPr>
        <w:t>f</w:t>
      </w:r>
      <w:r w:rsidR="001D6589">
        <w:rPr>
          <w:rFonts w:ascii="Times New Roman" w:eastAsia="Times New Roman" w:hAnsi="Times New Roman" w:cs="Times New Roman"/>
        </w:rPr>
        <w:t xml:space="preserve">ica em relação aos planos de benefícios de desligamento, que deverão ser avaliados a valor presente. </w:t>
      </w:r>
      <w:r w:rsidRPr="001D6589">
        <w:rPr>
          <w:rFonts w:ascii="Times New Roman" w:hAnsi="Times New Roman" w:cs="Times New Roman"/>
        </w:rPr>
        <w:t>Ainda</w:t>
      </w:r>
      <w:r w:rsidR="001D6589" w:rsidRPr="001D6589">
        <w:rPr>
          <w:rFonts w:ascii="Times New Roman" w:hAnsi="Times New Roman" w:cs="Times New Roman"/>
        </w:rPr>
        <w:t xml:space="preserve">, </w:t>
      </w:r>
      <w:r w:rsidRPr="001D6589">
        <w:rPr>
          <w:rFonts w:ascii="Times New Roman" w:hAnsi="Times New Roman" w:cs="Times New Roman"/>
        </w:rPr>
        <w:t>em relação aos benefícios a</w:t>
      </w:r>
      <w:r w:rsidR="001D6589" w:rsidRPr="001D6589">
        <w:rPr>
          <w:rFonts w:ascii="Times New Roman" w:hAnsi="Times New Roman" w:cs="Times New Roman"/>
        </w:rPr>
        <w:t>os</w:t>
      </w:r>
      <w:r w:rsidRPr="001D6589">
        <w:rPr>
          <w:rFonts w:ascii="Times New Roman" w:hAnsi="Times New Roman" w:cs="Times New Roman"/>
        </w:rPr>
        <w:t xml:space="preserve"> funcionários, o CPC 26 (2011), que </w:t>
      </w:r>
      <w:r w:rsidR="001D6589" w:rsidRPr="001D6589">
        <w:rPr>
          <w:rFonts w:ascii="Times New Roman" w:hAnsi="Times New Roman" w:cs="Times New Roman"/>
        </w:rPr>
        <w:t xml:space="preserve">regulamenta </w:t>
      </w:r>
      <w:r w:rsidRPr="001D6589">
        <w:rPr>
          <w:rFonts w:ascii="Times New Roman" w:hAnsi="Times New Roman" w:cs="Times New Roman"/>
          <w:bCs/>
          <w:color w:val="000000" w:themeColor="text1"/>
        </w:rPr>
        <w:t xml:space="preserve">a </w:t>
      </w:r>
      <w:r w:rsidRPr="001D6589">
        <w:rPr>
          <w:rFonts w:ascii="Times New Roman" w:hAnsi="Times New Roman" w:cs="Times New Roman"/>
        </w:rPr>
        <w:t xml:space="preserve">Apresentação das Demonstrações Contábeis, </w:t>
      </w:r>
      <w:r w:rsidR="001D6589" w:rsidRPr="001D6589">
        <w:rPr>
          <w:rFonts w:ascii="Times New Roman" w:hAnsi="Times New Roman" w:cs="Times New Roman"/>
        </w:rPr>
        <w:t xml:space="preserve">indica </w:t>
      </w:r>
      <w:r w:rsidR="001D6589">
        <w:rPr>
          <w:rFonts w:ascii="Times New Roman" w:hAnsi="Times New Roman" w:cs="Times New Roman"/>
        </w:rPr>
        <w:t xml:space="preserve">sobre </w:t>
      </w:r>
      <w:r w:rsidR="001D6589" w:rsidRPr="001D6589">
        <w:rPr>
          <w:rFonts w:ascii="Times New Roman" w:hAnsi="Times New Roman" w:cs="Times New Roman"/>
        </w:rPr>
        <w:t xml:space="preserve">a evidenciação nas notas explicativas de informações </w:t>
      </w:r>
      <w:r w:rsidR="001D6589" w:rsidRPr="001D6589">
        <w:rPr>
          <w:rFonts w:ascii="Times New Roman" w:hAnsi="Times New Roman" w:cs="Times New Roman"/>
        </w:rPr>
        <w:lastRenderedPageBreak/>
        <w:t>que possam compreender receitas ou despesas relacionadas aos planos de benefícios aos empregados, bem como</w:t>
      </w:r>
      <w:r w:rsidR="001D6589">
        <w:rPr>
          <w:rFonts w:ascii="Times New Roman" w:hAnsi="Times New Roman" w:cs="Times New Roman"/>
        </w:rPr>
        <w:t>,</w:t>
      </w:r>
      <w:r w:rsidR="001D6589" w:rsidRPr="001D6589">
        <w:rPr>
          <w:rFonts w:ascii="Times New Roman" w:hAnsi="Times New Roman" w:cs="Times New Roman"/>
        </w:rPr>
        <w:t xml:space="preserve"> o</w:t>
      </w:r>
      <w:r w:rsidRPr="001D6589">
        <w:rPr>
          <w:rFonts w:ascii="Times New Roman" w:hAnsi="Times New Roman" w:cs="Times New Roman"/>
        </w:rPr>
        <w:t>s itens considerados com resultados abrangentes</w:t>
      </w:r>
      <w:r w:rsidR="001D6589" w:rsidRPr="001D6589">
        <w:rPr>
          <w:rFonts w:ascii="Times New Roman" w:hAnsi="Times New Roman" w:cs="Times New Roman"/>
        </w:rPr>
        <w:t xml:space="preserve">, tais como </w:t>
      </w:r>
      <w:r w:rsidRPr="001D6589">
        <w:rPr>
          <w:rFonts w:ascii="Times New Roman" w:hAnsi="Times New Roman" w:cs="Times New Roman"/>
        </w:rPr>
        <w:t xml:space="preserve">ganhos </w:t>
      </w:r>
      <w:r w:rsidR="001D6589" w:rsidRPr="001D6589">
        <w:rPr>
          <w:rFonts w:ascii="Times New Roman" w:hAnsi="Times New Roman" w:cs="Times New Roman"/>
        </w:rPr>
        <w:t>ou</w:t>
      </w:r>
      <w:r w:rsidRPr="001D6589">
        <w:rPr>
          <w:rFonts w:ascii="Times New Roman" w:hAnsi="Times New Roman" w:cs="Times New Roman"/>
        </w:rPr>
        <w:t xml:space="preserve"> perdas atuariais em planos de pensão com benefício</w:t>
      </w:r>
      <w:r w:rsidR="001D6589" w:rsidRPr="001D6589">
        <w:rPr>
          <w:rFonts w:ascii="Times New Roman" w:hAnsi="Times New Roman" w:cs="Times New Roman"/>
        </w:rPr>
        <w:t>s</w:t>
      </w:r>
      <w:r w:rsidRPr="001D6589">
        <w:rPr>
          <w:rFonts w:ascii="Times New Roman" w:hAnsi="Times New Roman" w:cs="Times New Roman"/>
        </w:rPr>
        <w:t xml:space="preserve"> definido</w:t>
      </w:r>
      <w:r w:rsidR="001D6589" w:rsidRPr="001D6589">
        <w:rPr>
          <w:rFonts w:ascii="Times New Roman" w:hAnsi="Times New Roman" w:cs="Times New Roman"/>
        </w:rPr>
        <w:t>s</w:t>
      </w:r>
      <w:r w:rsidRPr="001D6589">
        <w:rPr>
          <w:rFonts w:ascii="Times New Roman" w:hAnsi="Times New Roman" w:cs="Times New Roman"/>
        </w:rPr>
        <w:t xml:space="preserve"> </w:t>
      </w:r>
      <w:r w:rsidR="001D6589" w:rsidRPr="001D6589">
        <w:rPr>
          <w:rFonts w:ascii="Times New Roman" w:hAnsi="Times New Roman" w:cs="Times New Roman"/>
        </w:rPr>
        <w:t>, conforme previsto n</w:t>
      </w:r>
      <w:r w:rsidRPr="001D6589">
        <w:rPr>
          <w:rFonts w:ascii="Times New Roman" w:hAnsi="Times New Roman" w:cs="Times New Roman"/>
        </w:rPr>
        <w:t>o item 93A do Pronunciamento Técnico CPC 33 – Benefícios a Empregados</w:t>
      </w:r>
      <w:r w:rsidR="001D6589" w:rsidRPr="001D6589">
        <w:rPr>
          <w:rFonts w:ascii="Times New Roman" w:hAnsi="Times New Roman" w:cs="Times New Roman"/>
        </w:rPr>
        <w:t xml:space="preserve"> (2009)</w:t>
      </w:r>
      <w:r w:rsidRPr="001D6589">
        <w:rPr>
          <w:rFonts w:ascii="Times New Roman" w:hAnsi="Times New Roman" w:cs="Times New Roman"/>
        </w:rPr>
        <w:t>.</w:t>
      </w:r>
    </w:p>
    <w:p w:rsidR="00874CD5" w:rsidRPr="001D6589" w:rsidRDefault="00874CD5" w:rsidP="001D6589">
      <w:pPr>
        <w:pStyle w:val="Normal1"/>
        <w:spacing w:after="0" w:line="240" w:lineRule="auto"/>
        <w:ind w:firstLine="709"/>
        <w:jc w:val="both"/>
        <w:rPr>
          <w:rFonts w:ascii="Times New Roman" w:hAnsi="Times New Roman" w:cs="Times New Roman"/>
          <w:color w:val="000000" w:themeColor="text1"/>
        </w:rPr>
      </w:pPr>
    </w:p>
    <w:p w:rsidR="00437EB5" w:rsidRDefault="00437EB5" w:rsidP="00437EB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2.3 Estudos correlatos</w:t>
      </w:r>
    </w:p>
    <w:p w:rsidR="00437EB5" w:rsidRPr="00F25577" w:rsidRDefault="00437EB5" w:rsidP="00437EB5">
      <w:pPr>
        <w:pStyle w:val="Normal1"/>
        <w:spacing w:after="0" w:line="240" w:lineRule="auto"/>
        <w:ind w:firstLine="709"/>
        <w:jc w:val="both"/>
        <w:rPr>
          <w:rFonts w:ascii="Times New Roman" w:eastAsia="Times New Roman" w:hAnsi="Times New Roman" w:cs="Times New Roman"/>
        </w:rPr>
      </w:pPr>
      <w:r w:rsidRPr="00F25577">
        <w:rPr>
          <w:rFonts w:ascii="Times New Roman" w:eastAsia="Times New Roman" w:hAnsi="Times New Roman" w:cs="Times New Roman"/>
        </w:rPr>
        <w:t>Os estudos co</w:t>
      </w:r>
      <w:r w:rsidR="001D6589">
        <w:rPr>
          <w:rFonts w:ascii="Times New Roman" w:eastAsia="Times New Roman" w:hAnsi="Times New Roman" w:cs="Times New Roman"/>
        </w:rPr>
        <w:t>r</w:t>
      </w:r>
      <w:r w:rsidRPr="00F25577">
        <w:rPr>
          <w:rFonts w:ascii="Times New Roman" w:eastAsia="Times New Roman" w:hAnsi="Times New Roman" w:cs="Times New Roman"/>
        </w:rPr>
        <w:t xml:space="preserve">relatos </w:t>
      </w:r>
      <w:r w:rsidR="00874CD5">
        <w:rPr>
          <w:rFonts w:ascii="Times New Roman" w:eastAsia="Times New Roman" w:hAnsi="Times New Roman" w:cs="Times New Roman"/>
        </w:rPr>
        <w:t>contribuem na análise da</w:t>
      </w:r>
      <w:r w:rsidRPr="00F25577">
        <w:rPr>
          <w:rFonts w:ascii="Times New Roman" w:eastAsia="Times New Roman" w:hAnsi="Times New Roman" w:cs="Times New Roman"/>
        </w:rPr>
        <w:t xml:space="preserve"> evidenciação </w:t>
      </w:r>
      <w:r w:rsidR="00874CD5">
        <w:rPr>
          <w:rFonts w:ascii="Times New Roman" w:eastAsia="Times New Roman" w:hAnsi="Times New Roman" w:cs="Times New Roman"/>
        </w:rPr>
        <w:t xml:space="preserve">e adoção </w:t>
      </w:r>
      <w:r w:rsidRPr="00F25577">
        <w:rPr>
          <w:rFonts w:ascii="Times New Roman" w:eastAsia="Times New Roman" w:hAnsi="Times New Roman" w:cs="Times New Roman"/>
        </w:rPr>
        <w:t>do CPC 33 (2009)</w:t>
      </w:r>
      <w:r w:rsidR="00874CD5">
        <w:rPr>
          <w:rFonts w:ascii="Times New Roman" w:eastAsia="Times New Roman" w:hAnsi="Times New Roman" w:cs="Times New Roman"/>
        </w:rPr>
        <w:t xml:space="preserve">, por </w:t>
      </w:r>
      <w:r w:rsidRPr="00F25577">
        <w:rPr>
          <w:rFonts w:ascii="Times New Roman" w:eastAsia="Times New Roman" w:hAnsi="Times New Roman" w:cs="Times New Roman"/>
        </w:rPr>
        <w:t xml:space="preserve">empresas </w:t>
      </w:r>
      <w:r w:rsidR="00874CD5">
        <w:rPr>
          <w:rFonts w:ascii="Times New Roman" w:eastAsia="Times New Roman" w:hAnsi="Times New Roman" w:cs="Times New Roman"/>
        </w:rPr>
        <w:t xml:space="preserve">de diferentes segmentos, como destaca-se nas pesquisas realizadas por </w:t>
      </w:r>
      <w:r w:rsidR="00874CD5" w:rsidRPr="00F25577">
        <w:rPr>
          <w:rFonts w:ascii="Times New Roman" w:eastAsia="Times New Roman" w:hAnsi="Times New Roman" w:cs="Times New Roman"/>
        </w:rPr>
        <w:t xml:space="preserve">Figueiredo (2012), </w:t>
      </w:r>
      <w:r w:rsidR="00684D0B" w:rsidRPr="001159F5">
        <w:rPr>
          <w:rFonts w:ascii="Times New Roman" w:eastAsia="Times New Roman" w:hAnsi="Times New Roman" w:cs="Times New Roman"/>
          <w:highlight w:val="white"/>
        </w:rPr>
        <w:t xml:space="preserve">Carneiro, Morais, </w:t>
      </w:r>
      <w:proofErr w:type="spellStart"/>
      <w:r w:rsidR="00684D0B" w:rsidRPr="001159F5">
        <w:rPr>
          <w:rFonts w:ascii="Times New Roman" w:eastAsia="Times New Roman" w:hAnsi="Times New Roman" w:cs="Times New Roman"/>
          <w:highlight w:val="white"/>
        </w:rPr>
        <w:t>Mapurunga</w:t>
      </w:r>
      <w:proofErr w:type="spellEnd"/>
      <w:r w:rsidR="00684D0B" w:rsidRPr="001159F5">
        <w:rPr>
          <w:rFonts w:ascii="Times New Roman" w:eastAsia="Times New Roman" w:hAnsi="Times New Roman" w:cs="Times New Roman"/>
          <w:highlight w:val="white"/>
        </w:rPr>
        <w:t xml:space="preserve"> </w:t>
      </w:r>
      <w:r w:rsidR="00684D0B">
        <w:rPr>
          <w:rFonts w:ascii="Times New Roman" w:eastAsia="Times New Roman" w:hAnsi="Times New Roman" w:cs="Times New Roman"/>
          <w:highlight w:val="white"/>
        </w:rPr>
        <w:t>e</w:t>
      </w:r>
      <w:r w:rsidR="00684D0B" w:rsidRPr="001159F5">
        <w:rPr>
          <w:rFonts w:ascii="Times New Roman" w:eastAsia="Times New Roman" w:hAnsi="Times New Roman" w:cs="Times New Roman"/>
          <w:highlight w:val="white"/>
        </w:rPr>
        <w:t xml:space="preserve"> Ponte</w:t>
      </w:r>
      <w:r w:rsidRPr="00F25577">
        <w:rPr>
          <w:rFonts w:ascii="Times New Roman" w:eastAsia="Times New Roman" w:hAnsi="Times New Roman" w:cs="Times New Roman"/>
        </w:rPr>
        <w:t xml:space="preserve"> (2013),</w:t>
      </w:r>
      <w:r w:rsidR="00874CD5" w:rsidRPr="00874CD5">
        <w:rPr>
          <w:rFonts w:ascii="Times New Roman" w:eastAsia="Times New Roman" w:hAnsi="Times New Roman" w:cs="Times New Roman"/>
        </w:rPr>
        <w:t xml:space="preserve"> </w:t>
      </w:r>
      <w:r w:rsidR="00874CD5">
        <w:rPr>
          <w:rFonts w:ascii="Times New Roman" w:eastAsia="Times New Roman" w:hAnsi="Times New Roman" w:cs="Times New Roman"/>
        </w:rPr>
        <w:t xml:space="preserve">Da </w:t>
      </w:r>
      <w:r w:rsidR="00874CD5" w:rsidRPr="00F25577">
        <w:rPr>
          <w:rFonts w:ascii="Times New Roman" w:eastAsia="Times New Roman" w:hAnsi="Times New Roman" w:cs="Times New Roman"/>
        </w:rPr>
        <w:t>Silva, Tinoco e Vieira (2015)</w:t>
      </w:r>
      <w:r w:rsidR="00874CD5">
        <w:rPr>
          <w:rFonts w:ascii="Times New Roman" w:eastAsia="Times New Roman" w:hAnsi="Times New Roman" w:cs="Times New Roman"/>
        </w:rPr>
        <w:t>,</w:t>
      </w:r>
      <w:r w:rsidRPr="00F25577">
        <w:rPr>
          <w:rFonts w:ascii="Times New Roman" w:eastAsia="Times New Roman" w:hAnsi="Times New Roman" w:cs="Times New Roman"/>
        </w:rPr>
        <w:t xml:space="preserve"> </w:t>
      </w:r>
      <w:r w:rsidR="00804FA6" w:rsidRPr="00804FA6">
        <w:rPr>
          <w:rFonts w:ascii="Times New Roman" w:hAnsi="Times New Roman" w:cs="Times New Roman"/>
          <w:color w:val="222222"/>
          <w:shd w:val="clear" w:color="auto" w:fill="FFFFFF"/>
        </w:rPr>
        <w:t xml:space="preserve">Silva, </w:t>
      </w:r>
      <w:proofErr w:type="spellStart"/>
      <w:r w:rsidR="00804FA6" w:rsidRPr="00804FA6">
        <w:rPr>
          <w:rFonts w:ascii="Times New Roman" w:hAnsi="Times New Roman" w:cs="Times New Roman"/>
          <w:color w:val="222222"/>
          <w:shd w:val="clear" w:color="auto" w:fill="FFFFFF"/>
        </w:rPr>
        <w:t>Drumond</w:t>
      </w:r>
      <w:proofErr w:type="spellEnd"/>
      <w:r w:rsidR="00804FA6" w:rsidRPr="00804FA6">
        <w:rPr>
          <w:rFonts w:ascii="Times New Roman" w:hAnsi="Times New Roman" w:cs="Times New Roman"/>
          <w:color w:val="222222"/>
          <w:shd w:val="clear" w:color="auto" w:fill="FFFFFF"/>
        </w:rPr>
        <w:t>, Silva</w:t>
      </w:r>
      <w:r w:rsidR="00804FA6">
        <w:rPr>
          <w:rFonts w:ascii="Times New Roman" w:hAnsi="Times New Roman" w:cs="Times New Roman"/>
          <w:color w:val="222222"/>
          <w:shd w:val="clear" w:color="auto" w:fill="FFFFFF"/>
        </w:rPr>
        <w:t xml:space="preserve">, </w:t>
      </w:r>
      <w:r w:rsidR="00804FA6" w:rsidRPr="00804FA6">
        <w:rPr>
          <w:rFonts w:ascii="Times New Roman" w:hAnsi="Times New Roman" w:cs="Times New Roman"/>
          <w:color w:val="222222"/>
          <w:shd w:val="clear" w:color="auto" w:fill="FFFFFF"/>
        </w:rPr>
        <w:t>Pereira</w:t>
      </w:r>
      <w:r w:rsidR="00804FA6">
        <w:rPr>
          <w:rFonts w:ascii="Times New Roman" w:hAnsi="Times New Roman" w:cs="Times New Roman"/>
          <w:color w:val="222222"/>
          <w:shd w:val="clear" w:color="auto" w:fill="FFFFFF"/>
        </w:rPr>
        <w:t xml:space="preserve"> e</w:t>
      </w:r>
      <w:r w:rsidR="00804FA6" w:rsidRPr="00804FA6">
        <w:rPr>
          <w:rFonts w:ascii="Times New Roman" w:hAnsi="Times New Roman" w:cs="Times New Roman"/>
          <w:color w:val="222222"/>
          <w:shd w:val="clear" w:color="auto" w:fill="FFFFFF"/>
        </w:rPr>
        <w:t xml:space="preserve"> Oliveira</w:t>
      </w:r>
      <w:r w:rsidR="00804FA6" w:rsidRPr="00F25577">
        <w:rPr>
          <w:rFonts w:ascii="Times New Roman" w:eastAsia="Times New Roman" w:hAnsi="Times New Roman" w:cs="Times New Roman"/>
        </w:rPr>
        <w:t xml:space="preserve"> </w:t>
      </w:r>
      <w:r w:rsidRPr="00F25577">
        <w:rPr>
          <w:rFonts w:ascii="Times New Roman" w:eastAsia="Times New Roman" w:hAnsi="Times New Roman" w:cs="Times New Roman"/>
        </w:rPr>
        <w:t xml:space="preserve">(2016), </w:t>
      </w:r>
      <w:r w:rsidR="00874CD5" w:rsidRPr="00F25577">
        <w:rPr>
          <w:rFonts w:ascii="Times New Roman" w:hAnsi="Times New Roman" w:cs="Times New Roman"/>
        </w:rPr>
        <w:t>Oswaldo</w:t>
      </w:r>
      <w:r w:rsidR="00874CD5">
        <w:rPr>
          <w:rFonts w:ascii="Times New Roman" w:hAnsi="Times New Roman" w:cs="Times New Roman"/>
        </w:rPr>
        <w:t>,</w:t>
      </w:r>
      <w:r w:rsidR="00874CD5" w:rsidRPr="00F25577">
        <w:rPr>
          <w:rFonts w:ascii="Times New Roman" w:hAnsi="Times New Roman" w:cs="Times New Roman"/>
        </w:rPr>
        <w:t xml:space="preserve"> </w:t>
      </w:r>
      <w:r w:rsidR="00874CD5" w:rsidRPr="00514EA3">
        <w:rPr>
          <w:rFonts w:ascii="Times New Roman" w:hAnsi="Times New Roman" w:cs="Times New Roman"/>
        </w:rPr>
        <w:t xml:space="preserve">Borges, </w:t>
      </w:r>
      <w:proofErr w:type="spellStart"/>
      <w:r w:rsidR="00874CD5" w:rsidRPr="00514EA3">
        <w:rPr>
          <w:rFonts w:ascii="Times New Roman" w:hAnsi="Times New Roman" w:cs="Times New Roman"/>
        </w:rPr>
        <w:t>Igarashi</w:t>
      </w:r>
      <w:proofErr w:type="spellEnd"/>
      <w:r w:rsidR="00874CD5">
        <w:rPr>
          <w:rFonts w:ascii="Times New Roman" w:hAnsi="Times New Roman" w:cs="Times New Roman"/>
        </w:rPr>
        <w:t xml:space="preserve"> e </w:t>
      </w:r>
      <w:proofErr w:type="spellStart"/>
      <w:r w:rsidR="00874CD5" w:rsidRPr="00514EA3">
        <w:rPr>
          <w:rFonts w:ascii="Times New Roman" w:hAnsi="Times New Roman" w:cs="Times New Roman"/>
        </w:rPr>
        <w:t>Igarashi</w:t>
      </w:r>
      <w:proofErr w:type="spellEnd"/>
      <w:r w:rsidR="00874CD5">
        <w:rPr>
          <w:rFonts w:ascii="Times New Roman" w:hAnsi="Times New Roman" w:cs="Times New Roman"/>
        </w:rPr>
        <w:t xml:space="preserve"> </w:t>
      </w:r>
      <w:r w:rsidR="00874CD5" w:rsidRPr="00F25577">
        <w:rPr>
          <w:rFonts w:ascii="Times New Roman" w:hAnsi="Times New Roman" w:cs="Times New Roman"/>
        </w:rPr>
        <w:t>(2016)</w:t>
      </w:r>
      <w:r w:rsidR="00874CD5">
        <w:rPr>
          <w:rFonts w:ascii="Times New Roman" w:eastAsia="Times New Roman" w:hAnsi="Times New Roman" w:cs="Times New Roman"/>
        </w:rPr>
        <w:t xml:space="preserve"> e </w:t>
      </w:r>
      <w:proofErr w:type="spellStart"/>
      <w:r w:rsidRPr="00F25577">
        <w:rPr>
          <w:rFonts w:ascii="Times New Roman" w:eastAsia="Times New Roman" w:hAnsi="Times New Roman" w:cs="Times New Roman"/>
        </w:rPr>
        <w:t>Lay</w:t>
      </w:r>
      <w:proofErr w:type="spellEnd"/>
      <w:r w:rsidRPr="00F25577">
        <w:rPr>
          <w:rFonts w:ascii="Times New Roman" w:eastAsia="Times New Roman" w:hAnsi="Times New Roman" w:cs="Times New Roman"/>
        </w:rPr>
        <w:t xml:space="preserve">, </w:t>
      </w:r>
      <w:r w:rsidR="00804FA6">
        <w:rPr>
          <w:rFonts w:ascii="Times New Roman" w:eastAsia="Times New Roman" w:hAnsi="Times New Roman" w:cs="Times New Roman"/>
        </w:rPr>
        <w:t xml:space="preserve">Silva e </w:t>
      </w:r>
      <w:proofErr w:type="spellStart"/>
      <w:r w:rsidR="00804FA6">
        <w:rPr>
          <w:rFonts w:ascii="Times New Roman" w:eastAsia="Times New Roman" w:hAnsi="Times New Roman" w:cs="Times New Roman"/>
        </w:rPr>
        <w:t>M</w:t>
      </w:r>
      <w:r w:rsidRPr="00F25577">
        <w:rPr>
          <w:rFonts w:ascii="Times New Roman" w:eastAsia="Times New Roman" w:hAnsi="Times New Roman" w:cs="Times New Roman"/>
        </w:rPr>
        <w:t>ichels</w:t>
      </w:r>
      <w:proofErr w:type="spellEnd"/>
      <w:r w:rsidRPr="00F25577">
        <w:rPr>
          <w:rFonts w:ascii="Times New Roman" w:eastAsia="Times New Roman" w:hAnsi="Times New Roman" w:cs="Times New Roman"/>
        </w:rPr>
        <w:t xml:space="preserve"> (2017)</w:t>
      </w:r>
      <w:r w:rsidR="00874CD5">
        <w:rPr>
          <w:rFonts w:ascii="Times New Roman" w:eastAsia="Times New Roman" w:hAnsi="Times New Roman" w:cs="Times New Roman"/>
        </w:rPr>
        <w:t>.</w:t>
      </w:r>
      <w:r w:rsidRPr="00F25577">
        <w:rPr>
          <w:rFonts w:ascii="Times New Roman" w:eastAsia="Times New Roman" w:hAnsi="Times New Roman" w:cs="Times New Roman"/>
        </w:rPr>
        <w:t xml:space="preserve"> </w:t>
      </w:r>
    </w:p>
    <w:p w:rsidR="001A4A97" w:rsidRPr="00874CD5" w:rsidRDefault="001A4A97" w:rsidP="001A4A97">
      <w:pPr>
        <w:pStyle w:val="Normal1"/>
        <w:spacing w:after="0" w:line="240" w:lineRule="auto"/>
        <w:ind w:firstLine="709"/>
        <w:jc w:val="both"/>
        <w:rPr>
          <w:rFonts w:ascii="Times New Roman" w:eastAsia="Times New Roman" w:hAnsi="Times New Roman" w:cs="Times New Roman"/>
        </w:rPr>
      </w:pPr>
      <w:r w:rsidRPr="00F25577">
        <w:rPr>
          <w:rFonts w:ascii="Times New Roman" w:eastAsia="Times New Roman" w:hAnsi="Times New Roman" w:cs="Times New Roman"/>
        </w:rPr>
        <w:t>Figueiredo (2012), analisou as informações divulgadas em relação a normativa CPC 33 (2009</w:t>
      </w:r>
      <w:r w:rsidRPr="00874CD5">
        <w:rPr>
          <w:rFonts w:ascii="Times New Roman" w:eastAsia="Times New Roman" w:hAnsi="Times New Roman" w:cs="Times New Roman"/>
        </w:rPr>
        <w:t xml:space="preserve">). Teve como objeto de pesquisa 20 empresas cotadas na </w:t>
      </w:r>
      <w:proofErr w:type="spellStart"/>
      <w:r w:rsidRPr="00874CD5">
        <w:rPr>
          <w:rFonts w:ascii="Times New Roman" w:eastAsia="Times New Roman" w:hAnsi="Times New Roman" w:cs="Times New Roman"/>
        </w:rPr>
        <w:t>Euronext</w:t>
      </w:r>
      <w:proofErr w:type="spellEnd"/>
      <w:r w:rsidRPr="00874CD5">
        <w:rPr>
          <w:rFonts w:ascii="Times New Roman" w:eastAsia="Times New Roman" w:hAnsi="Times New Roman" w:cs="Times New Roman"/>
        </w:rPr>
        <w:t xml:space="preserve"> Lisboa no período de 2007 a 2009, o método de pesquisa </w:t>
      </w:r>
      <w:r w:rsidR="005069CC" w:rsidRPr="00874CD5">
        <w:rPr>
          <w:rFonts w:ascii="Times New Roman" w:eastAsia="Times New Roman" w:hAnsi="Times New Roman" w:cs="Times New Roman"/>
        </w:rPr>
        <w:t xml:space="preserve">foi a </w:t>
      </w:r>
      <w:r w:rsidRPr="00874CD5">
        <w:rPr>
          <w:rFonts w:ascii="Times New Roman" w:eastAsia="Times New Roman" w:hAnsi="Times New Roman" w:cs="Times New Roman"/>
        </w:rPr>
        <w:t>análise de conteúdo. Os resultados indicam que as empresas do ramo financeiro têm maior nível de divulgação dos benefícios (entre eles estão os planos definidos), constatam que houve evolução, porém não significativa na divulgação das informações publicadas ao longo do período analisado.</w:t>
      </w:r>
    </w:p>
    <w:p w:rsidR="00437EB5" w:rsidRPr="00874CD5" w:rsidRDefault="00437EB5" w:rsidP="00437EB5">
      <w:pPr>
        <w:pStyle w:val="Normal1"/>
        <w:spacing w:after="0" w:line="240" w:lineRule="auto"/>
        <w:ind w:firstLine="709"/>
        <w:jc w:val="both"/>
        <w:rPr>
          <w:rFonts w:ascii="Times New Roman" w:eastAsia="Times New Roman" w:hAnsi="Times New Roman" w:cs="Times New Roman"/>
        </w:rPr>
      </w:pPr>
      <w:r w:rsidRPr="00874CD5">
        <w:rPr>
          <w:rFonts w:ascii="Times New Roman" w:eastAsia="Times New Roman" w:hAnsi="Times New Roman" w:cs="Times New Roman"/>
        </w:rPr>
        <w:t xml:space="preserve">O estudo de Carneiro et al. (2013), evidenciou o grau de comprometimento em relação </w:t>
      </w:r>
      <w:r w:rsidR="001D6589" w:rsidRPr="00874CD5">
        <w:rPr>
          <w:rFonts w:ascii="Times New Roman" w:eastAsia="Times New Roman" w:hAnsi="Times New Roman" w:cs="Times New Roman"/>
        </w:rPr>
        <w:t>à</w:t>
      </w:r>
      <w:r w:rsidRPr="00874CD5">
        <w:rPr>
          <w:rFonts w:ascii="Times New Roman" w:eastAsia="Times New Roman" w:hAnsi="Times New Roman" w:cs="Times New Roman"/>
        </w:rPr>
        <w:t xml:space="preserve"> divulgação dos benefícios a empregados orientados no CPC 33 (2009), em relação aos níveis diferenciados de governança corporativa. Teve como amostra 376 empresas listadas na BMF&amp;FBovespa, o levantamento dos dados ocorreu por meio das notas explicativas. Os resultados demonstram que 41,8% das empresas não divulgaram nenhuma informação sobre o assunto, 16,2% disponibilizaram as informações e com base nestas informações foi concluído que a normativa não lhes era aplicável, e outras 16,2% indicaram que a normativa não lhes era aplicável, enquanto outras 25,8% da amostra disponibilizaram entre 32 a 65 itens requeridos pelo CPC 33. No caso das empresas que não divulgaram informação, o fator principal pode ter sido o nível de governança corporativa associado à decisão pela não divulgação</w:t>
      </w:r>
      <w:r w:rsidR="000E0FA8">
        <w:rPr>
          <w:rFonts w:ascii="Times New Roman" w:eastAsia="Times New Roman" w:hAnsi="Times New Roman" w:cs="Times New Roman"/>
        </w:rPr>
        <w:t xml:space="preserve"> de informações.</w:t>
      </w:r>
    </w:p>
    <w:p w:rsidR="001A4A97" w:rsidRPr="00F25577" w:rsidRDefault="001A4A97" w:rsidP="001A4A97">
      <w:pPr>
        <w:pStyle w:val="Normal1"/>
        <w:spacing w:after="0" w:line="240" w:lineRule="auto"/>
        <w:ind w:firstLine="709"/>
        <w:jc w:val="both"/>
        <w:rPr>
          <w:rFonts w:ascii="Times New Roman" w:eastAsia="Times New Roman" w:hAnsi="Times New Roman" w:cs="Times New Roman"/>
        </w:rPr>
      </w:pPr>
      <w:r w:rsidRPr="00874CD5">
        <w:rPr>
          <w:rFonts w:ascii="Times New Roman" w:eastAsia="Times New Roman" w:hAnsi="Times New Roman" w:cs="Times New Roman"/>
        </w:rPr>
        <w:t>O estudo de Da Silva et al. (2015), identificou os passivos das empresas brasileiras onerados com obrigações de benefícios pós-emprego. Usaram como amostra 30 empresas listadas na BMF&amp;FBovespa, no período de 2013. Os resultados indicam que 7% das empresas da amostra não demonstraram informações sobre benefícios pós-emprego nas notas explicativas, outras 17% não tiveram</w:t>
      </w:r>
      <w:r w:rsidRPr="00F25577">
        <w:rPr>
          <w:rFonts w:ascii="Times New Roman" w:eastAsia="Times New Roman" w:hAnsi="Times New Roman" w:cs="Times New Roman"/>
        </w:rPr>
        <w:t xml:space="preserve"> saldos no ativo ou passivo relacionados aos benefícios pós-emprego, que leva a conclusão que não possuíam planos com benefícios definidos. Observaram um montante de R$ 64.284 milhões em saldos com obrigações de benefícios pós-emprego, onde 93% são representados por onze empresas. Os autores destacam que as empresas vêm mudando os benefícios pós-emprego com o objetivo de conter as incertezas e os riscos.</w:t>
      </w:r>
    </w:p>
    <w:p w:rsidR="00437EB5" w:rsidRPr="00F25577" w:rsidRDefault="00437EB5" w:rsidP="00437EB5">
      <w:pPr>
        <w:pStyle w:val="Normal1"/>
        <w:spacing w:after="0" w:line="240" w:lineRule="auto"/>
        <w:ind w:firstLine="709"/>
        <w:jc w:val="both"/>
        <w:rPr>
          <w:rFonts w:ascii="Times New Roman" w:eastAsia="Times New Roman" w:hAnsi="Times New Roman" w:cs="Times New Roman"/>
        </w:rPr>
      </w:pPr>
      <w:r w:rsidRPr="00F25577">
        <w:rPr>
          <w:rFonts w:ascii="Times New Roman" w:eastAsia="Times New Roman" w:hAnsi="Times New Roman" w:cs="Times New Roman"/>
        </w:rPr>
        <w:t xml:space="preserve">A pesquisa de </w:t>
      </w:r>
      <w:r w:rsidR="00804FA6">
        <w:rPr>
          <w:rFonts w:ascii="Times New Roman" w:eastAsia="Times New Roman" w:hAnsi="Times New Roman" w:cs="Times New Roman"/>
        </w:rPr>
        <w:t>Silva</w:t>
      </w:r>
      <w:r w:rsidRPr="00F25577">
        <w:rPr>
          <w:rFonts w:ascii="Times New Roman" w:eastAsia="Times New Roman" w:hAnsi="Times New Roman" w:cs="Times New Roman"/>
        </w:rPr>
        <w:t xml:space="preserve"> et al. (2016), analisa os </w:t>
      </w:r>
      <w:proofErr w:type="spellStart"/>
      <w:r w:rsidRPr="00F25577">
        <w:rPr>
          <w:rFonts w:ascii="Times New Roman" w:eastAsia="Times New Roman" w:hAnsi="Times New Roman" w:cs="Times New Roman"/>
          <w:i/>
        </w:rPr>
        <w:t>disclosures</w:t>
      </w:r>
      <w:proofErr w:type="spellEnd"/>
      <w:r w:rsidRPr="00F25577">
        <w:rPr>
          <w:rFonts w:ascii="Times New Roman" w:eastAsia="Times New Roman" w:hAnsi="Times New Roman" w:cs="Times New Roman"/>
          <w:i/>
        </w:rPr>
        <w:t xml:space="preserve"> </w:t>
      </w:r>
      <w:r w:rsidRPr="00F25577">
        <w:rPr>
          <w:rFonts w:ascii="Times New Roman" w:eastAsia="Times New Roman" w:hAnsi="Times New Roman" w:cs="Times New Roman"/>
        </w:rPr>
        <w:t>do</w:t>
      </w:r>
      <w:r w:rsidRPr="00F25577">
        <w:rPr>
          <w:rFonts w:ascii="Times New Roman" w:eastAsia="Times New Roman" w:hAnsi="Times New Roman" w:cs="Times New Roman"/>
          <w:i/>
        </w:rPr>
        <w:t xml:space="preserve"> </w:t>
      </w:r>
      <w:r w:rsidRPr="00F25577">
        <w:rPr>
          <w:rFonts w:ascii="Times New Roman" w:eastAsia="Times New Roman" w:hAnsi="Times New Roman" w:cs="Times New Roman"/>
        </w:rPr>
        <w:t xml:space="preserve">CPC 33 (2009) nas demonstrações de empresas do segmento de telefonia listadas na BM&amp;FBovespa. Utilizam como método de pesquisa um questionário, elaborado com 54 critérios e quesitos extraídos da normativa CPC 33 (2009). </w:t>
      </w:r>
      <w:r w:rsidR="001D6589">
        <w:rPr>
          <w:rFonts w:ascii="Times New Roman" w:eastAsia="Times New Roman" w:hAnsi="Times New Roman" w:cs="Times New Roman"/>
        </w:rPr>
        <w:t>A</w:t>
      </w:r>
      <w:r w:rsidRPr="00F25577">
        <w:rPr>
          <w:rFonts w:ascii="Times New Roman" w:eastAsia="Times New Roman" w:hAnsi="Times New Roman" w:cs="Times New Roman"/>
        </w:rPr>
        <w:t>s respostas foram processadas com base nos dados disponíveis nas notas explicativas. Os resultados indicam que uma empresa obteve 44,44% dos critérios, a segunda empresa obteve 24,07%, já a terceira obteve 7,40% dos critérios as outras três empresas tiveram apenas 1,85%, e apenas uma não preencher nem um critério. Os autores destacam a preocupação com a adequação da normativa pelas empresas.</w:t>
      </w:r>
    </w:p>
    <w:p w:rsidR="001A4A97" w:rsidRDefault="00437EB5" w:rsidP="00437EB5">
      <w:pPr>
        <w:pStyle w:val="Normal1"/>
        <w:spacing w:after="0" w:line="240" w:lineRule="auto"/>
        <w:ind w:firstLine="709"/>
        <w:jc w:val="both"/>
        <w:rPr>
          <w:rFonts w:ascii="Times New Roman" w:hAnsi="Times New Roman" w:cs="Times New Roman"/>
        </w:rPr>
      </w:pPr>
      <w:r w:rsidRPr="00F25577">
        <w:rPr>
          <w:rFonts w:ascii="Times New Roman" w:hAnsi="Times New Roman" w:cs="Times New Roman"/>
        </w:rPr>
        <w:t>Oswaldo et al. (2016)</w:t>
      </w:r>
      <w:r w:rsidR="005069CC">
        <w:rPr>
          <w:rFonts w:ascii="Times New Roman" w:hAnsi="Times New Roman" w:cs="Times New Roman"/>
        </w:rPr>
        <w:t>,</w:t>
      </w:r>
      <w:r w:rsidRPr="00F25577">
        <w:rPr>
          <w:rFonts w:ascii="Times New Roman" w:hAnsi="Times New Roman" w:cs="Times New Roman"/>
        </w:rPr>
        <w:t xml:space="preserve"> </w:t>
      </w:r>
      <w:r w:rsidR="005069CC">
        <w:rPr>
          <w:rFonts w:ascii="Times New Roman" w:hAnsi="Times New Roman" w:cs="Times New Roman"/>
        </w:rPr>
        <w:t xml:space="preserve">analisaram </w:t>
      </w:r>
      <w:r w:rsidRPr="00F25577">
        <w:rPr>
          <w:rFonts w:ascii="Times New Roman" w:hAnsi="Times New Roman" w:cs="Times New Roman"/>
        </w:rPr>
        <w:t xml:space="preserve">os relatórios do Balanço Social dos 4 maiores bancos </w:t>
      </w:r>
      <w:r w:rsidRPr="00F25577">
        <w:rPr>
          <w:rFonts w:ascii="Times New Roman" w:hAnsi="Times New Roman" w:cs="Times New Roman"/>
        </w:rPr>
        <w:lastRenderedPageBreak/>
        <w:t>do Brasil para analisar a evidenciação do comprimento das normas estabelecidas no CPC 33 (2009) nos anos de 2012 e 2013, por meio de uma confrontação do relatório de sustentabilidade de cada banco e Notas Explicativas utilizando os elementos previstos no CPC 33 (2009) com finalidade de analisar se possui divulgação voluntaria das informações ou se as referidas informações são publicadas nos relatórios obrigatórios, os indicadores com menores especificações tiveram que ser supridos os quais eram: ‘Licença Anual Remunerada’, ‘Participações nos Lucros’, ‘Bônus e Benefícios Pós Emprego’, os quais não possuíam o determinado aprofundamento fazendo com que causassem duplicidade de informação.</w:t>
      </w:r>
      <w:r w:rsidR="001A4A97">
        <w:rPr>
          <w:rFonts w:ascii="Times New Roman" w:hAnsi="Times New Roman" w:cs="Times New Roman"/>
        </w:rPr>
        <w:t xml:space="preserve"> </w:t>
      </w:r>
      <w:r w:rsidRPr="00F25577">
        <w:rPr>
          <w:rFonts w:ascii="Times New Roman" w:hAnsi="Times New Roman" w:cs="Times New Roman"/>
        </w:rPr>
        <w:t>Os resultados demonstraram que tanto o relatório de sustentabilidade quanto as Notas Explicativas não preenchem totalmente os requisitos do CPC 33 (2009)</w:t>
      </w:r>
      <w:r w:rsidR="001A4A97">
        <w:rPr>
          <w:rFonts w:ascii="Times New Roman" w:hAnsi="Times New Roman" w:cs="Times New Roman"/>
        </w:rPr>
        <w:t xml:space="preserve">. </w:t>
      </w:r>
    </w:p>
    <w:p w:rsidR="001A4A97" w:rsidRPr="00F25577" w:rsidRDefault="001A4A97" w:rsidP="001A4A97">
      <w:pPr>
        <w:pStyle w:val="Normal1"/>
        <w:spacing w:after="0" w:line="240" w:lineRule="auto"/>
        <w:ind w:firstLine="709"/>
        <w:jc w:val="both"/>
        <w:rPr>
          <w:rFonts w:ascii="Times New Roman" w:eastAsia="Times New Roman" w:hAnsi="Times New Roman" w:cs="Times New Roman"/>
        </w:rPr>
      </w:pPr>
      <w:r w:rsidRPr="00F25577">
        <w:rPr>
          <w:rFonts w:ascii="Times New Roman" w:eastAsia="Times New Roman" w:hAnsi="Times New Roman" w:cs="Times New Roman"/>
        </w:rPr>
        <w:t xml:space="preserve">A pesquisa de </w:t>
      </w:r>
      <w:proofErr w:type="spellStart"/>
      <w:r w:rsidRPr="00F25577">
        <w:rPr>
          <w:rFonts w:ascii="Times New Roman" w:eastAsia="Times New Roman" w:hAnsi="Times New Roman" w:cs="Times New Roman"/>
        </w:rPr>
        <w:t>Lay</w:t>
      </w:r>
      <w:proofErr w:type="spellEnd"/>
      <w:r>
        <w:rPr>
          <w:rFonts w:ascii="Times New Roman" w:eastAsia="Times New Roman" w:hAnsi="Times New Roman" w:cs="Times New Roman"/>
        </w:rPr>
        <w:t xml:space="preserve"> et al. </w:t>
      </w:r>
      <w:r w:rsidRPr="00F25577">
        <w:rPr>
          <w:rFonts w:ascii="Times New Roman" w:eastAsia="Times New Roman" w:hAnsi="Times New Roman" w:cs="Times New Roman"/>
        </w:rPr>
        <w:t>(2017), teve por objetivo analisar quais</w:t>
      </w:r>
      <w:r w:rsidRPr="00F25577">
        <w:rPr>
          <w:rFonts w:ascii="Times New Roman" w:hAnsi="Times New Roman" w:cs="Times New Roman"/>
        </w:rPr>
        <w:t xml:space="preserve"> são fatores determinantes para o nível de evidenciação dos benefícios aos empregados das empresas brasileiras listadas no </w:t>
      </w:r>
      <w:proofErr w:type="spellStart"/>
      <w:r w:rsidRPr="00F25577">
        <w:rPr>
          <w:rFonts w:ascii="Times New Roman" w:hAnsi="Times New Roman" w:cs="Times New Roman"/>
        </w:rPr>
        <w:t>IBRx</w:t>
      </w:r>
      <w:proofErr w:type="spellEnd"/>
      <w:r w:rsidRPr="00F25577">
        <w:rPr>
          <w:rFonts w:ascii="Times New Roman" w:hAnsi="Times New Roman" w:cs="Times New Roman"/>
        </w:rPr>
        <w:t xml:space="preserve"> 100,</w:t>
      </w:r>
      <w:r w:rsidRPr="00AB2B1C">
        <w:rPr>
          <w:rFonts w:ascii="Times New Roman" w:hAnsi="Times New Roman" w:cs="Times New Roman"/>
        </w:rPr>
        <w:t xml:space="preserve"> </w:t>
      </w:r>
      <w:r w:rsidRPr="00F25577">
        <w:rPr>
          <w:rFonts w:ascii="Times New Roman" w:eastAsia="Times New Roman" w:hAnsi="Times New Roman" w:cs="Times New Roman"/>
        </w:rPr>
        <w:t xml:space="preserve">em nível de afirmação por meio de uma amostra de 76 empresas, os métodos utilizados para a pesquisa foram a análise quantitativa por meio de modelos estatísticos. O estudo concluiu que quanto maior o porte da empresa maior é o nível de divulgação dos benefícios a empregados, das 76 empresas utilizadas como amostra, nem uma das empresas obtive a nota máxima no quesito evidenciação, e apenas nove empresas que possuíam maior </w:t>
      </w:r>
      <w:r w:rsidRPr="00F25577">
        <w:rPr>
          <w:rFonts w:ascii="Times New Roman" w:eastAsia="Times New Roman" w:hAnsi="Times New Roman" w:cs="Times New Roman"/>
          <w:i/>
        </w:rPr>
        <w:t>disclosure</w:t>
      </w:r>
      <w:r w:rsidRPr="00F25577">
        <w:rPr>
          <w:rFonts w:ascii="Times New Roman" w:eastAsia="Times New Roman" w:hAnsi="Times New Roman" w:cs="Times New Roman"/>
        </w:rPr>
        <w:t xml:space="preserve"> obtiveram 91% dos quesitos exigidos pela normativa CPC 33.</w:t>
      </w:r>
    </w:p>
    <w:p w:rsidR="00437EB5" w:rsidRDefault="00437EB5" w:rsidP="00437EB5">
      <w:pPr>
        <w:pStyle w:val="Normal1"/>
        <w:spacing w:after="0" w:line="240" w:lineRule="auto"/>
        <w:ind w:firstLine="709"/>
        <w:jc w:val="both"/>
        <w:rPr>
          <w:rFonts w:ascii="Times New Roman" w:eastAsia="Times New Roman" w:hAnsi="Times New Roman" w:cs="Times New Roman"/>
        </w:rPr>
      </w:pPr>
      <w:r w:rsidRPr="00F25577">
        <w:rPr>
          <w:rFonts w:ascii="Times New Roman" w:eastAsia="Times New Roman" w:hAnsi="Times New Roman" w:cs="Times New Roman"/>
        </w:rPr>
        <w:t xml:space="preserve">De forma geral, observa-se que por mais que sejam padronizados os métodos de evidenciação, </w:t>
      </w:r>
      <w:r w:rsidR="000E0FA8">
        <w:rPr>
          <w:rFonts w:ascii="Times New Roman" w:eastAsia="Times New Roman" w:hAnsi="Times New Roman" w:cs="Times New Roman"/>
        </w:rPr>
        <w:t xml:space="preserve">e exista orientação normativa, </w:t>
      </w:r>
      <w:r w:rsidRPr="00F25577">
        <w:rPr>
          <w:rFonts w:ascii="Times New Roman" w:eastAsia="Times New Roman" w:hAnsi="Times New Roman" w:cs="Times New Roman"/>
        </w:rPr>
        <w:t xml:space="preserve">muitas empresas ainda </w:t>
      </w:r>
      <w:r w:rsidR="000E0FA8">
        <w:rPr>
          <w:rFonts w:ascii="Times New Roman" w:eastAsia="Times New Roman" w:hAnsi="Times New Roman" w:cs="Times New Roman"/>
        </w:rPr>
        <w:t>adequaram as</w:t>
      </w:r>
      <w:r w:rsidRPr="00F25577">
        <w:rPr>
          <w:rFonts w:ascii="Times New Roman" w:eastAsia="Times New Roman" w:hAnsi="Times New Roman" w:cs="Times New Roman"/>
        </w:rPr>
        <w:t xml:space="preserve"> informações</w:t>
      </w:r>
      <w:r w:rsidR="000E0FA8">
        <w:rPr>
          <w:rFonts w:ascii="Times New Roman" w:eastAsia="Times New Roman" w:hAnsi="Times New Roman" w:cs="Times New Roman"/>
        </w:rPr>
        <w:t xml:space="preserve"> e sua forma de evidenciação, a partir da</w:t>
      </w:r>
      <w:r w:rsidRPr="00F25577">
        <w:rPr>
          <w:rFonts w:ascii="Times New Roman" w:eastAsia="Times New Roman" w:hAnsi="Times New Roman" w:cs="Times New Roman"/>
        </w:rPr>
        <w:t xml:space="preserve"> vigência</w:t>
      </w:r>
      <w:r w:rsidR="000E0FA8">
        <w:rPr>
          <w:rFonts w:ascii="Times New Roman" w:eastAsia="Times New Roman" w:hAnsi="Times New Roman" w:cs="Times New Roman"/>
        </w:rPr>
        <w:t xml:space="preserve"> do CPC 33</w:t>
      </w:r>
      <w:r w:rsidR="005069CC">
        <w:rPr>
          <w:rFonts w:ascii="Times New Roman" w:eastAsia="Times New Roman" w:hAnsi="Times New Roman" w:cs="Times New Roman"/>
        </w:rPr>
        <w:t>.</w:t>
      </w:r>
    </w:p>
    <w:p w:rsidR="005069CC" w:rsidRDefault="005069CC" w:rsidP="00437EB5">
      <w:pPr>
        <w:pStyle w:val="Normal1"/>
        <w:spacing w:after="0" w:line="240" w:lineRule="auto"/>
        <w:ind w:firstLine="709"/>
        <w:jc w:val="both"/>
        <w:rPr>
          <w:rFonts w:ascii="Times New Roman" w:eastAsia="Times New Roman" w:hAnsi="Times New Roman" w:cs="Times New Roman"/>
        </w:rPr>
      </w:pPr>
    </w:p>
    <w:p w:rsidR="00437EB5" w:rsidRPr="00BE3DED" w:rsidRDefault="00437EB5" w:rsidP="00437EB5">
      <w:pPr>
        <w:pStyle w:val="Normal1"/>
        <w:spacing w:after="0" w:line="240" w:lineRule="auto"/>
        <w:jc w:val="both"/>
        <w:rPr>
          <w:rFonts w:ascii="Times New Roman" w:eastAsia="Times New Roman" w:hAnsi="Times New Roman" w:cs="Times New Roman"/>
          <w:b/>
        </w:rPr>
      </w:pPr>
      <w:r w:rsidRPr="006A000B">
        <w:rPr>
          <w:rFonts w:ascii="Times New Roman" w:eastAsia="Times New Roman" w:hAnsi="Times New Roman" w:cs="Times New Roman"/>
          <w:b/>
        </w:rPr>
        <w:t>3 Procedimentos Metodol</w:t>
      </w:r>
      <w:r>
        <w:rPr>
          <w:rFonts w:ascii="Times New Roman" w:eastAsia="Times New Roman" w:hAnsi="Times New Roman" w:cs="Times New Roman"/>
          <w:b/>
        </w:rPr>
        <w:t>ó</w:t>
      </w:r>
      <w:r w:rsidRPr="006A000B">
        <w:rPr>
          <w:rFonts w:ascii="Times New Roman" w:eastAsia="Times New Roman" w:hAnsi="Times New Roman" w:cs="Times New Roman"/>
          <w:b/>
        </w:rPr>
        <w:t>gicos</w:t>
      </w:r>
    </w:p>
    <w:p w:rsidR="00437EB5" w:rsidRDefault="00437EB5" w:rsidP="00437EB5">
      <w:pPr>
        <w:jc w:val="both"/>
        <w:rPr>
          <w:sz w:val="24"/>
          <w:szCs w:val="24"/>
        </w:rPr>
      </w:pPr>
      <w:r>
        <w:tab/>
      </w:r>
      <w:r w:rsidRPr="00AB2B1C">
        <w:rPr>
          <w:sz w:val="24"/>
          <w:szCs w:val="24"/>
        </w:rPr>
        <w:t xml:space="preserve">Esta pesquisa tem como objetivo a análise e mensuração dos benefícios recebidos pelos empregados das instituições financeiras contidas na listagem da </w:t>
      </w:r>
      <w:r>
        <w:rPr>
          <w:sz w:val="24"/>
          <w:szCs w:val="24"/>
        </w:rPr>
        <w:t>B3</w:t>
      </w:r>
      <w:r w:rsidRPr="00AB2B1C">
        <w:rPr>
          <w:sz w:val="24"/>
          <w:szCs w:val="24"/>
        </w:rPr>
        <w:t>, para posteriormente analisar seu método de mensuração e contabilização.</w:t>
      </w:r>
    </w:p>
    <w:p w:rsidR="00437EB5" w:rsidRPr="00F25577" w:rsidRDefault="00437EB5" w:rsidP="00437EB5">
      <w:pPr>
        <w:pStyle w:val="Normal1"/>
        <w:spacing w:after="0" w:line="240" w:lineRule="auto"/>
        <w:jc w:val="both"/>
        <w:rPr>
          <w:rFonts w:ascii="Times New Roman" w:eastAsia="Times New Roman" w:hAnsi="Times New Roman" w:cs="Times New Roman"/>
        </w:rPr>
      </w:pPr>
      <w:r w:rsidRPr="00F25577">
        <w:rPr>
          <w:rFonts w:ascii="Times New Roman" w:eastAsia="Times New Roman" w:hAnsi="Times New Roman" w:cs="Times New Roman"/>
        </w:rPr>
        <w:tab/>
      </w:r>
      <w:r w:rsidRPr="00F25577">
        <w:rPr>
          <w:rFonts w:ascii="Times New Roman" w:eastAsia="Times New Roman" w:hAnsi="Times New Roman" w:cs="Times New Roman"/>
          <w:color w:val="000000" w:themeColor="text1"/>
        </w:rPr>
        <w:t>Quanto aos objetivos caracteriza-se como pesquisa descritiva, pois se limita a analisar</w:t>
      </w:r>
      <w:r w:rsidRPr="00F25577">
        <w:rPr>
          <w:rFonts w:ascii="Times New Roman" w:hAnsi="Times New Roman" w:cs="Times New Roman"/>
          <w:color w:val="000000" w:themeColor="text1"/>
          <w:shd w:val="clear" w:color="auto" w:fill="FFFFFF"/>
        </w:rPr>
        <w:t xml:space="preserve"> </w:t>
      </w:r>
      <w:r w:rsidR="005069CC">
        <w:rPr>
          <w:rFonts w:ascii="Times New Roman" w:hAnsi="Times New Roman" w:cs="Times New Roman"/>
          <w:color w:val="000000" w:themeColor="text1"/>
          <w:shd w:val="clear" w:color="auto" w:fill="FFFFFF"/>
        </w:rPr>
        <w:t xml:space="preserve">e descrever as informações a partir da </w:t>
      </w:r>
      <w:r w:rsidRPr="00F25577">
        <w:rPr>
          <w:rFonts w:ascii="Times New Roman" w:hAnsi="Times New Roman" w:cs="Times New Roman"/>
          <w:color w:val="000000" w:themeColor="text1"/>
          <w:shd w:val="clear" w:color="auto" w:fill="FFFFFF"/>
        </w:rPr>
        <w:t>organização dos dados</w:t>
      </w:r>
      <w:r w:rsidRPr="00F25577">
        <w:rPr>
          <w:rFonts w:ascii="Times New Roman" w:eastAsia="Times New Roman" w:hAnsi="Times New Roman" w:cs="Times New Roman"/>
        </w:rPr>
        <w:t>.</w:t>
      </w:r>
      <w:r w:rsidR="00513E50">
        <w:rPr>
          <w:rFonts w:ascii="Times New Roman" w:eastAsia="Times New Roman" w:hAnsi="Times New Roman" w:cs="Times New Roman"/>
        </w:rPr>
        <w:t xml:space="preserve"> </w:t>
      </w:r>
      <w:r w:rsidRPr="00F25577">
        <w:rPr>
          <w:rFonts w:ascii="Times New Roman" w:eastAsia="Times New Roman" w:hAnsi="Times New Roman" w:cs="Times New Roman"/>
        </w:rPr>
        <w:t>A pesquisa também é caracterizada como documental, pois o trabalho é considerado como uma fonte de coleta de dados secundários. Contudo Lakatos e Marconi (2001, p. 183), explica que a pesquisa documental é “</w:t>
      </w:r>
      <w:r w:rsidRPr="00F25577">
        <w:rPr>
          <w:rFonts w:ascii="Times New Roman" w:hAnsi="Times New Roman" w:cs="Times New Roman"/>
        </w:rPr>
        <w:t>que a fonte de coleta de dados está restrita a documentos, escritos ou não, constituindo o que se denomina de fontes primárias</w:t>
      </w:r>
      <w:r w:rsidRPr="00AB2B1C">
        <w:rPr>
          <w:rFonts w:ascii="Times New Roman" w:hAnsi="Times New Roman" w:cs="Times New Roman"/>
        </w:rPr>
        <w:t>, e</w:t>
      </w:r>
      <w:r w:rsidRPr="00F25577">
        <w:rPr>
          <w:rFonts w:ascii="Times New Roman" w:hAnsi="Times New Roman" w:cs="Times New Roman"/>
        </w:rPr>
        <w:t>stas podem ser feitas no momento em que o fato ou fenômeno ocorre, ou depois”.</w:t>
      </w:r>
    </w:p>
    <w:p w:rsidR="00437EB5" w:rsidRDefault="00437EB5" w:rsidP="00437EB5">
      <w:pPr>
        <w:pStyle w:val="Normal1"/>
        <w:spacing w:after="0" w:line="240" w:lineRule="auto"/>
        <w:jc w:val="both"/>
        <w:rPr>
          <w:rFonts w:ascii="Times New Roman" w:hAnsi="Times New Roman" w:cs="Times New Roman"/>
        </w:rPr>
      </w:pPr>
      <w:r w:rsidRPr="00F25577">
        <w:rPr>
          <w:rFonts w:ascii="Times New Roman" w:eastAsia="Times New Roman" w:hAnsi="Times New Roman" w:cs="Times New Roman"/>
        </w:rPr>
        <w:tab/>
      </w:r>
      <w:r w:rsidR="00513E50">
        <w:rPr>
          <w:rFonts w:ascii="Times New Roman" w:eastAsia="Times New Roman" w:hAnsi="Times New Roman" w:cs="Times New Roman"/>
        </w:rPr>
        <w:t>O</w:t>
      </w:r>
      <w:r w:rsidRPr="00F25577">
        <w:rPr>
          <w:rFonts w:ascii="Times New Roman" w:eastAsia="Times New Roman" w:hAnsi="Times New Roman" w:cs="Times New Roman"/>
        </w:rPr>
        <w:t xml:space="preserve"> estudo </w:t>
      </w:r>
      <w:r w:rsidR="005069CC">
        <w:rPr>
          <w:rFonts w:ascii="Times New Roman" w:eastAsia="Times New Roman" w:hAnsi="Times New Roman" w:cs="Times New Roman"/>
        </w:rPr>
        <w:t>se utiliza de</w:t>
      </w:r>
      <w:r w:rsidRPr="00F25577">
        <w:rPr>
          <w:rFonts w:ascii="Times New Roman" w:eastAsia="Times New Roman" w:hAnsi="Times New Roman" w:cs="Times New Roman"/>
        </w:rPr>
        <w:t xml:space="preserve"> dados extraídos diretamente do site da </w:t>
      </w:r>
      <w:r>
        <w:rPr>
          <w:rFonts w:ascii="Times New Roman" w:eastAsia="Times New Roman" w:hAnsi="Times New Roman" w:cs="Times New Roman"/>
        </w:rPr>
        <w:t>B3</w:t>
      </w:r>
      <w:r w:rsidRPr="00F25577">
        <w:rPr>
          <w:rFonts w:ascii="Times New Roman" w:eastAsia="Times New Roman" w:hAnsi="Times New Roman" w:cs="Times New Roman"/>
        </w:rPr>
        <w:t xml:space="preserve"> considerando uma amostra de 13 instituições financeiras. </w:t>
      </w:r>
      <w:r w:rsidRPr="00F25577">
        <w:rPr>
          <w:rFonts w:ascii="Times New Roman" w:hAnsi="Times New Roman" w:cs="Times New Roman"/>
          <w:color w:val="000000" w:themeColor="text1"/>
          <w:shd w:val="clear" w:color="auto" w:fill="FFFFFF"/>
        </w:rPr>
        <w:t>Os bancos múltiplos são instituições financeiras privadas ou públicas que realizam as operações ativas, passivas e acessórias das diversas instituições financeiras, por intermédio de suas respectivas carteiras.</w:t>
      </w:r>
      <w:r w:rsidR="005069CC">
        <w:rPr>
          <w:rFonts w:ascii="Times New Roman" w:hAnsi="Times New Roman" w:cs="Times New Roman"/>
          <w:color w:val="000000" w:themeColor="text1"/>
          <w:shd w:val="clear" w:color="auto" w:fill="FFFFFF"/>
        </w:rPr>
        <w:t xml:space="preserve"> </w:t>
      </w:r>
      <w:r w:rsidRPr="00F25577">
        <w:rPr>
          <w:rFonts w:ascii="Times New Roman" w:hAnsi="Times New Roman" w:cs="Times New Roman"/>
        </w:rPr>
        <w:t>Para alcançar o objetivo apresentado, a análise dos dados será executada em cinco etapas:</w:t>
      </w:r>
    </w:p>
    <w:p w:rsidR="001A4A97" w:rsidRDefault="001A4A97" w:rsidP="00437EB5">
      <w:pPr>
        <w:pStyle w:val="Normal1"/>
        <w:spacing w:after="0" w:line="240" w:lineRule="auto"/>
        <w:jc w:val="both"/>
        <w:rPr>
          <w:rFonts w:ascii="Times New Roman" w:hAnsi="Times New Roman" w:cs="Times New Roman"/>
        </w:rPr>
      </w:pPr>
    </w:p>
    <w:p w:rsidR="001A4A97" w:rsidRPr="001A4A97" w:rsidRDefault="001A4A97" w:rsidP="00437EB5">
      <w:pPr>
        <w:pStyle w:val="Normal1"/>
        <w:spacing w:after="0" w:line="240" w:lineRule="auto"/>
        <w:jc w:val="both"/>
        <w:rPr>
          <w:rFonts w:ascii="Times New Roman" w:hAnsi="Times New Roman" w:cs="Times New Roman"/>
          <w:b/>
          <w:color w:val="000000" w:themeColor="text1"/>
          <w:sz w:val="20"/>
          <w:szCs w:val="20"/>
          <w:shd w:val="clear" w:color="auto" w:fill="FFFFFF"/>
        </w:rPr>
      </w:pPr>
      <w:r w:rsidRPr="001A4A97">
        <w:rPr>
          <w:rFonts w:ascii="Times New Roman" w:hAnsi="Times New Roman" w:cs="Times New Roman"/>
          <w:b/>
          <w:color w:val="000000" w:themeColor="text1"/>
          <w:sz w:val="20"/>
          <w:szCs w:val="20"/>
          <w:shd w:val="clear" w:color="auto" w:fill="FFFFFF"/>
        </w:rPr>
        <w:t xml:space="preserve">Tabela </w:t>
      </w:r>
      <w:r w:rsidR="000248D3">
        <w:rPr>
          <w:rFonts w:ascii="Times New Roman" w:hAnsi="Times New Roman" w:cs="Times New Roman"/>
          <w:b/>
          <w:color w:val="000000" w:themeColor="text1"/>
          <w:sz w:val="20"/>
          <w:szCs w:val="20"/>
          <w:shd w:val="clear" w:color="auto" w:fill="FFFFFF"/>
        </w:rPr>
        <w:t>2</w:t>
      </w:r>
      <w:r w:rsidRPr="001A4A97">
        <w:rPr>
          <w:rFonts w:ascii="Times New Roman" w:hAnsi="Times New Roman" w:cs="Times New Roman"/>
          <w:b/>
          <w:color w:val="000000" w:themeColor="text1"/>
          <w:sz w:val="20"/>
          <w:szCs w:val="20"/>
          <w:shd w:val="clear" w:color="auto" w:fill="FFFFFF"/>
        </w:rPr>
        <w:t>. Etapas da pesquisa</w:t>
      </w:r>
    </w:p>
    <w:tbl>
      <w:tblPr>
        <w:tblW w:w="0" w:type="auto"/>
        <w:tblLook w:val="04A0" w:firstRow="1" w:lastRow="0" w:firstColumn="1" w:lastColumn="0" w:noHBand="0" w:noVBand="1"/>
      </w:tblPr>
      <w:tblGrid>
        <w:gridCol w:w="4107"/>
        <w:gridCol w:w="4948"/>
      </w:tblGrid>
      <w:tr w:rsidR="00437EB5" w:rsidRPr="000B7939" w:rsidTr="000B7939">
        <w:trPr>
          <w:trHeight w:val="354"/>
        </w:trPr>
        <w:tc>
          <w:tcPr>
            <w:tcW w:w="4107"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Normal1"/>
              <w:spacing w:after="0" w:line="240" w:lineRule="auto"/>
              <w:contextualSpacing/>
              <w:rPr>
                <w:rFonts w:ascii="Times New Roman" w:hAnsi="Times New Roman" w:cs="Times New Roman"/>
                <w:b/>
                <w:color w:val="000000" w:themeColor="text1"/>
                <w:sz w:val="20"/>
                <w:szCs w:val="20"/>
                <w:shd w:val="clear" w:color="auto" w:fill="FFFFFF"/>
              </w:rPr>
            </w:pPr>
            <w:r w:rsidRPr="000B7939">
              <w:rPr>
                <w:rFonts w:ascii="Times New Roman" w:hAnsi="Times New Roman" w:cs="Times New Roman"/>
                <w:b/>
                <w:color w:val="000000" w:themeColor="text1"/>
                <w:sz w:val="20"/>
                <w:szCs w:val="20"/>
                <w:shd w:val="clear" w:color="auto" w:fill="FFFFFF"/>
              </w:rPr>
              <w:t>Etapa</w:t>
            </w:r>
          </w:p>
        </w:tc>
        <w:tc>
          <w:tcPr>
            <w:tcW w:w="4948" w:type="dxa"/>
            <w:tcBorders>
              <w:top w:val="single" w:sz="4" w:space="0" w:color="auto"/>
              <w:left w:val="single" w:sz="4" w:space="0" w:color="auto"/>
              <w:bottom w:val="single" w:sz="4" w:space="0" w:color="auto"/>
              <w:right w:val="single" w:sz="4" w:space="0" w:color="auto"/>
            </w:tcBorders>
          </w:tcPr>
          <w:p w:rsidR="00437EB5" w:rsidRPr="000B7939" w:rsidRDefault="00004FF3" w:rsidP="000B7939">
            <w:pPr>
              <w:pStyle w:val="Normal1"/>
              <w:spacing w:after="0" w:line="240" w:lineRule="auto"/>
              <w:contextualSpacing/>
              <w:rPr>
                <w:rFonts w:ascii="Times New Roman" w:hAnsi="Times New Roman" w:cs="Times New Roman"/>
                <w:b/>
                <w:color w:val="000000" w:themeColor="text1"/>
                <w:sz w:val="20"/>
                <w:szCs w:val="20"/>
                <w:shd w:val="clear" w:color="auto" w:fill="FFFFFF"/>
              </w:rPr>
            </w:pPr>
            <w:r>
              <w:rPr>
                <w:rFonts w:ascii="Times New Roman" w:hAnsi="Times New Roman" w:cs="Times New Roman"/>
                <w:b/>
                <w:color w:val="000000" w:themeColor="text1"/>
                <w:sz w:val="20"/>
                <w:szCs w:val="20"/>
                <w:shd w:val="clear" w:color="auto" w:fill="FFFFFF"/>
              </w:rPr>
              <w:t>Documentos utilizados na análise</w:t>
            </w:r>
          </w:p>
        </w:tc>
      </w:tr>
      <w:tr w:rsidR="00437EB5" w:rsidRPr="000B7939" w:rsidTr="000B7939">
        <w:tc>
          <w:tcPr>
            <w:tcW w:w="4107"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PargrafodaLista"/>
              <w:ind w:left="0"/>
              <w:rPr>
                <w:color w:val="000000" w:themeColor="text1"/>
                <w:shd w:val="clear" w:color="auto" w:fill="FFFFFF"/>
              </w:rPr>
            </w:pPr>
            <w:r w:rsidRPr="000B7939">
              <w:t>Evidenciação dos benefícios levando em consideração a exigência do CPC 33 (2009)</w:t>
            </w:r>
          </w:p>
        </w:tc>
        <w:tc>
          <w:tcPr>
            <w:tcW w:w="4948"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Normal1"/>
              <w:spacing w:after="0" w:line="240" w:lineRule="auto"/>
              <w:contextualSpacing/>
              <w:rPr>
                <w:rFonts w:ascii="Times New Roman" w:hAnsi="Times New Roman" w:cs="Times New Roman"/>
                <w:color w:val="000000" w:themeColor="text1"/>
                <w:sz w:val="20"/>
                <w:szCs w:val="20"/>
                <w:shd w:val="clear" w:color="auto" w:fill="FFFFFF"/>
              </w:rPr>
            </w:pPr>
            <w:r w:rsidRPr="000B7939">
              <w:rPr>
                <w:rFonts w:ascii="Times New Roman" w:hAnsi="Times New Roman" w:cs="Times New Roman"/>
                <w:color w:val="000000" w:themeColor="text1"/>
                <w:sz w:val="20"/>
                <w:szCs w:val="20"/>
                <w:shd w:val="clear" w:color="auto" w:fill="FFFFFF"/>
              </w:rPr>
              <w:t>Demonstrações Financeiras Padronizadas - DPF / Notas Explicativas;</w:t>
            </w:r>
          </w:p>
        </w:tc>
      </w:tr>
      <w:tr w:rsidR="00437EB5" w:rsidRPr="000B7939" w:rsidTr="000B7939">
        <w:trPr>
          <w:trHeight w:val="223"/>
        </w:trPr>
        <w:tc>
          <w:tcPr>
            <w:tcW w:w="4107"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PargrafodaLista"/>
              <w:ind w:left="0"/>
            </w:pPr>
            <w:r w:rsidRPr="000B7939">
              <w:t>Avaliação dos benefícios evidenciados</w:t>
            </w:r>
          </w:p>
        </w:tc>
        <w:tc>
          <w:tcPr>
            <w:tcW w:w="4948" w:type="dxa"/>
            <w:tcBorders>
              <w:top w:val="single" w:sz="4" w:space="0" w:color="auto"/>
              <w:left w:val="single" w:sz="4" w:space="0" w:color="auto"/>
              <w:bottom w:val="single" w:sz="4" w:space="0" w:color="auto"/>
              <w:right w:val="single" w:sz="4" w:space="0" w:color="auto"/>
            </w:tcBorders>
          </w:tcPr>
          <w:p w:rsidR="00437EB5" w:rsidRPr="000B7939" w:rsidRDefault="000B7939" w:rsidP="000B7939">
            <w:pPr>
              <w:pStyle w:val="Normal1"/>
              <w:spacing w:after="0" w:line="240" w:lineRule="auto"/>
              <w:contextualSpacing/>
              <w:rPr>
                <w:rFonts w:ascii="Times New Roman" w:hAnsi="Times New Roman" w:cs="Times New Roman"/>
                <w:color w:val="000000" w:themeColor="text1"/>
                <w:sz w:val="20"/>
                <w:szCs w:val="20"/>
                <w:shd w:val="clear" w:color="auto" w:fill="FFFFFF"/>
              </w:rPr>
            </w:pPr>
            <w:r w:rsidRPr="000B7939">
              <w:rPr>
                <w:rFonts w:ascii="Times New Roman" w:hAnsi="Times New Roman" w:cs="Times New Roman"/>
                <w:color w:val="000000" w:themeColor="text1"/>
                <w:sz w:val="20"/>
                <w:szCs w:val="20"/>
                <w:shd w:val="clear" w:color="auto" w:fill="FFFFFF"/>
              </w:rPr>
              <w:t>Demonstrações Financeiras Padronizadas - DPF / Notas Explicativas;</w:t>
            </w:r>
          </w:p>
        </w:tc>
      </w:tr>
      <w:tr w:rsidR="00437EB5" w:rsidRPr="000B7939" w:rsidTr="000B7939">
        <w:tc>
          <w:tcPr>
            <w:tcW w:w="4107"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PargrafodaLista"/>
              <w:ind w:left="0"/>
            </w:pPr>
            <w:r w:rsidRPr="000B7939">
              <w:t>Identificação do índice de rotatividade</w:t>
            </w:r>
          </w:p>
          <w:p w:rsidR="00437EB5" w:rsidRPr="000B7939" w:rsidRDefault="00437EB5" w:rsidP="000B7939">
            <w:pPr>
              <w:pStyle w:val="Normal1"/>
              <w:spacing w:after="0" w:line="240" w:lineRule="auto"/>
              <w:contextualSpacing/>
              <w:rPr>
                <w:rFonts w:ascii="Times New Roman" w:hAnsi="Times New Roman" w:cs="Times New Roman"/>
                <w:color w:val="000000" w:themeColor="text1"/>
                <w:sz w:val="20"/>
                <w:szCs w:val="20"/>
                <w:shd w:val="clear" w:color="auto" w:fill="FFFFFF"/>
              </w:rPr>
            </w:pPr>
          </w:p>
        </w:tc>
        <w:tc>
          <w:tcPr>
            <w:tcW w:w="4948"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Normal1"/>
              <w:spacing w:after="0" w:line="240" w:lineRule="auto"/>
              <w:contextualSpacing/>
              <w:rPr>
                <w:rFonts w:ascii="Times New Roman" w:hAnsi="Times New Roman" w:cs="Times New Roman"/>
                <w:color w:val="000000" w:themeColor="text1"/>
                <w:sz w:val="20"/>
                <w:szCs w:val="20"/>
                <w:shd w:val="clear" w:color="auto" w:fill="FFFFFF"/>
              </w:rPr>
            </w:pPr>
            <w:r w:rsidRPr="000B7939">
              <w:rPr>
                <w:rFonts w:ascii="Times New Roman" w:hAnsi="Times New Roman" w:cs="Times New Roman"/>
                <w:color w:val="000000" w:themeColor="text1"/>
                <w:sz w:val="20"/>
                <w:szCs w:val="20"/>
              </w:rPr>
              <w:lastRenderedPageBreak/>
              <w:t xml:space="preserve">Formulários de Referência / 14. Recursos Humanos / 14.3 </w:t>
            </w:r>
            <w:r w:rsidRPr="000B7939">
              <w:rPr>
                <w:rFonts w:ascii="Times New Roman" w:hAnsi="Times New Roman" w:cs="Times New Roman"/>
                <w:color w:val="000000" w:themeColor="text1"/>
                <w:sz w:val="20"/>
                <w:szCs w:val="20"/>
              </w:rPr>
              <w:lastRenderedPageBreak/>
              <w:t>Política de Remuneração dos empregados</w:t>
            </w:r>
            <w:r w:rsidRPr="000B7939">
              <w:rPr>
                <w:rFonts w:ascii="Times New Roman" w:hAnsi="Times New Roman" w:cs="Times New Roman"/>
                <w:color w:val="000000" w:themeColor="text1"/>
                <w:sz w:val="20"/>
                <w:szCs w:val="20"/>
                <w:shd w:val="clear" w:color="auto" w:fill="FFFFFF"/>
              </w:rPr>
              <w:t>;</w:t>
            </w:r>
          </w:p>
        </w:tc>
      </w:tr>
      <w:tr w:rsidR="00437EB5" w:rsidRPr="000B7939" w:rsidTr="000B7939">
        <w:tc>
          <w:tcPr>
            <w:tcW w:w="4107"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PargrafodaLista"/>
              <w:ind w:left="0"/>
            </w:pPr>
            <w:r w:rsidRPr="000B7939">
              <w:lastRenderedPageBreak/>
              <w:t>Da auditoria independente da amostra</w:t>
            </w:r>
          </w:p>
          <w:p w:rsidR="00437EB5" w:rsidRPr="000B7939" w:rsidRDefault="00437EB5" w:rsidP="000B7939">
            <w:pPr>
              <w:pStyle w:val="Normal1"/>
              <w:spacing w:after="0" w:line="240" w:lineRule="auto"/>
              <w:contextualSpacing/>
              <w:rPr>
                <w:rFonts w:ascii="Times New Roman" w:hAnsi="Times New Roman" w:cs="Times New Roman"/>
                <w:color w:val="000000" w:themeColor="text1"/>
                <w:sz w:val="20"/>
                <w:szCs w:val="20"/>
                <w:shd w:val="clear" w:color="auto" w:fill="FFFFFF"/>
              </w:rPr>
            </w:pPr>
          </w:p>
        </w:tc>
        <w:tc>
          <w:tcPr>
            <w:tcW w:w="4948"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Normal1"/>
              <w:spacing w:after="0" w:line="240" w:lineRule="auto"/>
              <w:contextualSpacing/>
              <w:rPr>
                <w:rFonts w:ascii="Times New Roman" w:hAnsi="Times New Roman" w:cs="Times New Roman"/>
                <w:color w:val="000000" w:themeColor="text1"/>
                <w:sz w:val="20"/>
                <w:szCs w:val="20"/>
                <w:shd w:val="clear" w:color="auto" w:fill="FFFFFF"/>
              </w:rPr>
            </w:pPr>
            <w:r w:rsidRPr="000B7939">
              <w:rPr>
                <w:rFonts w:ascii="Times New Roman" w:hAnsi="Times New Roman" w:cs="Times New Roman"/>
                <w:color w:val="000000" w:themeColor="text1"/>
                <w:sz w:val="20"/>
                <w:szCs w:val="20"/>
              </w:rPr>
              <w:t>Formulários de Referência / 14. Recursos Humanos / 14.5 Outras informações Relevantes-Recursos Humanos</w:t>
            </w:r>
            <w:r w:rsidRPr="000B7939">
              <w:rPr>
                <w:rFonts w:ascii="Times New Roman" w:hAnsi="Times New Roman" w:cs="Times New Roman"/>
                <w:color w:val="000000" w:themeColor="text1"/>
                <w:sz w:val="20"/>
                <w:szCs w:val="20"/>
                <w:shd w:val="clear" w:color="auto" w:fill="FFFFFF"/>
              </w:rPr>
              <w:t>;</w:t>
            </w:r>
          </w:p>
        </w:tc>
      </w:tr>
      <w:tr w:rsidR="00437EB5" w:rsidRPr="000B7939" w:rsidTr="000B7939">
        <w:tc>
          <w:tcPr>
            <w:tcW w:w="4107" w:type="dxa"/>
            <w:tcBorders>
              <w:top w:val="single" w:sz="4" w:space="0" w:color="auto"/>
              <w:left w:val="single" w:sz="4" w:space="0" w:color="auto"/>
              <w:bottom w:val="single" w:sz="4" w:space="0" w:color="auto"/>
              <w:right w:val="single" w:sz="4" w:space="0" w:color="auto"/>
            </w:tcBorders>
          </w:tcPr>
          <w:p w:rsidR="00437EB5" w:rsidRPr="000B7939" w:rsidRDefault="00437EB5" w:rsidP="000B7939">
            <w:pPr>
              <w:pStyle w:val="PargrafodaLista"/>
              <w:ind w:left="0"/>
            </w:pPr>
            <w:r w:rsidRPr="000B7939">
              <w:t>Análise de indicadores</w:t>
            </w:r>
          </w:p>
        </w:tc>
        <w:tc>
          <w:tcPr>
            <w:tcW w:w="4948" w:type="dxa"/>
            <w:tcBorders>
              <w:top w:val="single" w:sz="4" w:space="0" w:color="auto"/>
              <w:left w:val="single" w:sz="4" w:space="0" w:color="auto"/>
              <w:bottom w:val="single" w:sz="4" w:space="0" w:color="auto"/>
              <w:right w:val="single" w:sz="4" w:space="0" w:color="auto"/>
            </w:tcBorders>
          </w:tcPr>
          <w:p w:rsidR="00437EB5" w:rsidRPr="000B7939" w:rsidRDefault="00004FF3" w:rsidP="000B7939">
            <w:pPr>
              <w:pStyle w:val="Normal1"/>
              <w:spacing w:after="0" w:line="240" w:lineRule="auto"/>
              <w:contextualSpacing/>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Balanço Patrimonial e Notas explicativas</w:t>
            </w:r>
          </w:p>
        </w:tc>
      </w:tr>
    </w:tbl>
    <w:p w:rsidR="00437EB5" w:rsidRDefault="00437EB5" w:rsidP="00437EB5">
      <w:pPr>
        <w:spacing w:after="120"/>
      </w:pPr>
      <w:r w:rsidRPr="001758B3">
        <w:t>Fonte: Elaborado pelo</w:t>
      </w:r>
      <w:r w:rsidR="001A4A97">
        <w:t>s autores</w:t>
      </w:r>
      <w:r w:rsidRPr="001758B3">
        <w:t>.</w:t>
      </w:r>
    </w:p>
    <w:p w:rsidR="00437EB5" w:rsidRDefault="00437EB5" w:rsidP="00437EB5">
      <w:pPr>
        <w:jc w:val="both"/>
        <w:rPr>
          <w:sz w:val="24"/>
          <w:szCs w:val="24"/>
        </w:rPr>
      </w:pPr>
      <w:r>
        <w:rPr>
          <w:sz w:val="24"/>
          <w:szCs w:val="24"/>
        </w:rPr>
        <w:tab/>
      </w:r>
      <w:r w:rsidR="005069CC">
        <w:rPr>
          <w:sz w:val="24"/>
          <w:szCs w:val="24"/>
        </w:rPr>
        <w:t>A</w:t>
      </w:r>
      <w:r w:rsidRPr="00AB2B1C">
        <w:rPr>
          <w:sz w:val="24"/>
          <w:szCs w:val="24"/>
        </w:rPr>
        <w:t xml:space="preserve"> pesquisa </w:t>
      </w:r>
      <w:r w:rsidR="005069CC">
        <w:rPr>
          <w:sz w:val="24"/>
          <w:szCs w:val="24"/>
        </w:rPr>
        <w:t xml:space="preserve">considera os documentos indicados na </w:t>
      </w:r>
      <w:r w:rsidR="000248D3">
        <w:rPr>
          <w:sz w:val="24"/>
          <w:szCs w:val="24"/>
        </w:rPr>
        <w:t>T</w:t>
      </w:r>
      <w:r w:rsidR="005069CC">
        <w:rPr>
          <w:sz w:val="24"/>
          <w:szCs w:val="24"/>
        </w:rPr>
        <w:t xml:space="preserve">abela </w:t>
      </w:r>
      <w:r w:rsidR="000248D3">
        <w:rPr>
          <w:sz w:val="24"/>
          <w:szCs w:val="24"/>
        </w:rPr>
        <w:t xml:space="preserve">2 como </w:t>
      </w:r>
      <w:r w:rsidRPr="00AB2B1C">
        <w:rPr>
          <w:sz w:val="24"/>
          <w:szCs w:val="24"/>
        </w:rPr>
        <w:t xml:space="preserve">proposta </w:t>
      </w:r>
      <w:r w:rsidR="000248D3">
        <w:rPr>
          <w:sz w:val="24"/>
          <w:szCs w:val="24"/>
        </w:rPr>
        <w:t xml:space="preserve">para </w:t>
      </w:r>
      <w:r w:rsidRPr="00AB2B1C">
        <w:rPr>
          <w:sz w:val="24"/>
          <w:szCs w:val="24"/>
        </w:rPr>
        <w:t>analisar</w:t>
      </w:r>
      <w:r w:rsidRPr="00AB2B1C">
        <w:rPr>
          <w:b/>
          <w:sz w:val="24"/>
          <w:szCs w:val="24"/>
        </w:rPr>
        <w:t xml:space="preserve"> </w:t>
      </w:r>
      <w:r w:rsidRPr="00AB2B1C">
        <w:rPr>
          <w:sz w:val="24"/>
          <w:szCs w:val="24"/>
        </w:rPr>
        <w:t xml:space="preserve">as informações divulgadas nos relatórios obrigatórios pelas instituições financeiras listadas na </w:t>
      </w:r>
      <w:r>
        <w:rPr>
          <w:sz w:val="24"/>
          <w:szCs w:val="24"/>
        </w:rPr>
        <w:t>B3</w:t>
      </w:r>
      <w:r w:rsidRPr="00AB2B1C">
        <w:rPr>
          <w:sz w:val="24"/>
          <w:szCs w:val="24"/>
        </w:rPr>
        <w:t xml:space="preserve"> no período de 2016</w:t>
      </w:r>
      <w:r w:rsidR="000248D3">
        <w:rPr>
          <w:sz w:val="24"/>
          <w:szCs w:val="24"/>
        </w:rPr>
        <w:t>, visando atingir o objetivo do estudo</w:t>
      </w:r>
      <w:r w:rsidRPr="00AB2B1C">
        <w:rPr>
          <w:sz w:val="24"/>
          <w:szCs w:val="24"/>
        </w:rPr>
        <w:t>.</w:t>
      </w:r>
    </w:p>
    <w:p w:rsidR="00437EB5" w:rsidRPr="005D3390" w:rsidRDefault="00437EB5" w:rsidP="00437EB5">
      <w:pPr>
        <w:pStyle w:val="Normal1"/>
        <w:spacing w:after="0" w:line="240" w:lineRule="auto"/>
        <w:jc w:val="both"/>
        <w:rPr>
          <w:rFonts w:ascii="Times New Roman" w:hAnsi="Times New Roman" w:cs="Times New Roman"/>
          <w:color w:val="000000" w:themeColor="text1"/>
          <w:shd w:val="clear" w:color="auto" w:fill="FFFFFF"/>
        </w:rPr>
      </w:pPr>
    </w:p>
    <w:p w:rsidR="00437EB5" w:rsidRDefault="00437EB5" w:rsidP="00437EB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4 Análise e Interpretação dos Dados</w:t>
      </w:r>
    </w:p>
    <w:p w:rsidR="00437EB5" w:rsidRPr="00F25577" w:rsidRDefault="00437EB5" w:rsidP="00437EB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ab/>
      </w:r>
      <w:r w:rsidRPr="00F25577">
        <w:rPr>
          <w:rFonts w:ascii="Times New Roman" w:hAnsi="Times New Roman" w:cs="Times New Roman"/>
        </w:rPr>
        <w:t>Neste tópico apresentam-se os resultados alcançados por meio da pesquisa realizada e a interpretação da análise documental das empresas estudadas.</w:t>
      </w:r>
    </w:p>
    <w:p w:rsidR="00437EB5" w:rsidRDefault="00437EB5" w:rsidP="00437EB5">
      <w:pPr>
        <w:pStyle w:val="Normal1"/>
        <w:spacing w:after="120" w:line="240" w:lineRule="auto"/>
        <w:jc w:val="both"/>
        <w:rPr>
          <w:rFonts w:ascii="Times New Roman" w:hAnsi="Times New Roman" w:cs="Times New Roman"/>
          <w:b/>
          <w:sz w:val="20"/>
          <w:szCs w:val="20"/>
        </w:rPr>
      </w:pPr>
      <w:r w:rsidRPr="00F25577">
        <w:rPr>
          <w:rFonts w:ascii="Times New Roman" w:hAnsi="Times New Roman" w:cs="Times New Roman"/>
        </w:rPr>
        <w:tab/>
        <w:t xml:space="preserve">Apresenta-se no </w:t>
      </w:r>
      <w:r>
        <w:rPr>
          <w:rFonts w:ascii="Times New Roman" w:hAnsi="Times New Roman" w:cs="Times New Roman"/>
        </w:rPr>
        <w:t>Tabela</w:t>
      </w:r>
      <w:r w:rsidRPr="00F25577">
        <w:rPr>
          <w:rFonts w:ascii="Times New Roman" w:hAnsi="Times New Roman" w:cs="Times New Roman"/>
        </w:rPr>
        <w:t xml:space="preserve"> 3 a evidenciação dos benefícios apresentados nas notas explicativas e nos relatórios financeiros das empresas selecionadas e </w:t>
      </w:r>
      <w:r w:rsidR="005069CC">
        <w:rPr>
          <w:rFonts w:ascii="Times New Roman" w:hAnsi="Times New Roman" w:cs="Times New Roman"/>
        </w:rPr>
        <w:t>o</w:t>
      </w:r>
      <w:r w:rsidRPr="00F25577">
        <w:rPr>
          <w:rFonts w:ascii="Times New Roman" w:hAnsi="Times New Roman" w:cs="Times New Roman"/>
        </w:rPr>
        <w:t xml:space="preserve"> grau de </w:t>
      </w:r>
      <w:proofErr w:type="spellStart"/>
      <w:r w:rsidRPr="00F25577">
        <w:rPr>
          <w:rFonts w:ascii="Times New Roman" w:eastAsia="Times New Roman" w:hAnsi="Times New Roman" w:cs="Times New Roman"/>
          <w:i/>
        </w:rPr>
        <w:t>disclosure</w:t>
      </w:r>
      <w:proofErr w:type="spellEnd"/>
      <w:r w:rsidRPr="00F25577">
        <w:rPr>
          <w:rFonts w:ascii="Times New Roman" w:hAnsi="Times New Roman" w:cs="Times New Roman"/>
        </w:rPr>
        <w:t>. Separados devidamente conforme o CPC 33 (2009)</w:t>
      </w:r>
      <w:r>
        <w:rPr>
          <w:rFonts w:ascii="Times New Roman" w:hAnsi="Times New Roman" w:cs="Times New Roman"/>
        </w:rPr>
        <w:t xml:space="preserve">. </w:t>
      </w:r>
    </w:p>
    <w:p w:rsidR="00437EB5" w:rsidRDefault="00437EB5" w:rsidP="00437EB5">
      <w:pPr>
        <w:pStyle w:val="Normal1"/>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Tabela</w:t>
      </w:r>
      <w:r w:rsidRPr="00753989">
        <w:rPr>
          <w:rFonts w:ascii="Times New Roman" w:hAnsi="Times New Roman" w:cs="Times New Roman"/>
          <w:b/>
          <w:sz w:val="20"/>
          <w:szCs w:val="20"/>
        </w:rPr>
        <w:t xml:space="preserve"> 3:</w:t>
      </w:r>
      <w:r>
        <w:rPr>
          <w:rFonts w:ascii="Times New Roman" w:hAnsi="Times New Roman" w:cs="Times New Roman"/>
          <w:b/>
          <w:sz w:val="20"/>
          <w:szCs w:val="20"/>
        </w:rPr>
        <w:t xml:space="preserve"> Benefícios e</w:t>
      </w:r>
      <w:r w:rsidRPr="00753989">
        <w:rPr>
          <w:rFonts w:ascii="Times New Roman" w:hAnsi="Times New Roman" w:cs="Times New Roman"/>
          <w:b/>
          <w:sz w:val="20"/>
          <w:szCs w:val="20"/>
        </w:rPr>
        <w:t>videnciados</w:t>
      </w:r>
    </w:p>
    <w:tbl>
      <w:tblPr>
        <w:tblW w:w="9072" w:type="dxa"/>
        <w:tblInd w:w="-5" w:type="dxa"/>
        <w:tblLayout w:type="fixed"/>
        <w:tblCellMar>
          <w:left w:w="70" w:type="dxa"/>
          <w:right w:w="70" w:type="dxa"/>
        </w:tblCellMar>
        <w:tblLook w:val="04A0" w:firstRow="1" w:lastRow="0" w:firstColumn="1" w:lastColumn="0" w:noHBand="0" w:noVBand="1"/>
      </w:tblPr>
      <w:tblGrid>
        <w:gridCol w:w="1493"/>
        <w:gridCol w:w="4252"/>
        <w:gridCol w:w="1985"/>
        <w:gridCol w:w="1342"/>
      </w:tblGrid>
      <w:tr w:rsidR="00437EB5" w:rsidRPr="00903E13" w:rsidTr="00B16629">
        <w:trPr>
          <w:trHeight w:val="141"/>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Bancos</w:t>
            </w:r>
          </w:p>
        </w:tc>
        <w:tc>
          <w:tcPr>
            <w:tcW w:w="4252" w:type="dxa"/>
            <w:tcBorders>
              <w:top w:val="single" w:sz="4" w:space="0" w:color="auto"/>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Benefícios de Curto Prazo</w:t>
            </w:r>
          </w:p>
        </w:tc>
        <w:tc>
          <w:tcPr>
            <w:tcW w:w="1985" w:type="dxa"/>
            <w:tcBorders>
              <w:top w:val="single" w:sz="4" w:space="0" w:color="auto"/>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Benefício Pós-Emprego</w:t>
            </w:r>
          </w:p>
        </w:tc>
        <w:tc>
          <w:tcPr>
            <w:tcW w:w="1342" w:type="dxa"/>
            <w:tcBorders>
              <w:top w:val="single" w:sz="4" w:space="0" w:color="auto"/>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Benefícios de Longo Prazo</w:t>
            </w:r>
          </w:p>
        </w:tc>
      </w:tr>
      <w:tr w:rsidR="00437EB5" w:rsidRPr="00903E13" w:rsidTr="00B16629">
        <w:trPr>
          <w:trHeight w:val="1437"/>
        </w:trPr>
        <w:tc>
          <w:tcPr>
            <w:tcW w:w="1493" w:type="dxa"/>
            <w:tcBorders>
              <w:top w:val="nil"/>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Banco do Brasil S.A</w:t>
            </w:r>
          </w:p>
        </w:tc>
        <w:tc>
          <w:tcPr>
            <w:tcW w:w="4252"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Salário Fixo; Salário-Maternidade; Vale Alimentação e Refeição; Plano de saúde; Deslocamento Noturno; Auxílio-Creche; Faltas Abonadas; Plano Odontológico; Auxílio Filho com de Deficiência; Indenização por morte ou incapacidade decorrente de assalto; Vale-Transporte; Licença-Maternidade; Auxílio-Educação p/ dependentes.</w:t>
            </w:r>
          </w:p>
        </w:tc>
        <w:tc>
          <w:tcPr>
            <w:tcW w:w="1985"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 xml:space="preserve">Complementação para aposentadoria; </w:t>
            </w:r>
            <w:r w:rsidRPr="00953FC8">
              <w:rPr>
                <w:color w:val="000000" w:themeColor="text1"/>
                <w:szCs w:val="18"/>
              </w:rPr>
              <w:t>Previdência Privada;</w:t>
            </w:r>
          </w:p>
          <w:p w:rsidR="00437EB5" w:rsidRPr="00953FC8" w:rsidRDefault="00437EB5" w:rsidP="00B16629">
            <w:pPr>
              <w:rPr>
                <w:szCs w:val="18"/>
              </w:rPr>
            </w:pPr>
            <w:r w:rsidRPr="00953FC8">
              <w:rPr>
                <w:szCs w:val="18"/>
                <w:shd w:val="clear" w:color="auto" w:fill="FFFFFF"/>
              </w:rPr>
              <w:t xml:space="preserve">Seguro Saúde Pós-emprego. </w:t>
            </w:r>
          </w:p>
          <w:p w:rsidR="00437EB5" w:rsidRPr="00953FC8" w:rsidRDefault="00437EB5" w:rsidP="00B16629">
            <w:pPr>
              <w:rPr>
                <w:szCs w:val="18"/>
              </w:rPr>
            </w:pPr>
          </w:p>
          <w:p w:rsidR="00437EB5" w:rsidRPr="00953FC8" w:rsidRDefault="00437EB5" w:rsidP="00B16629">
            <w:pPr>
              <w:rPr>
                <w:szCs w:val="18"/>
              </w:rPr>
            </w:pPr>
          </w:p>
        </w:tc>
        <w:tc>
          <w:tcPr>
            <w:tcW w:w="1342"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P</w:t>
            </w:r>
            <w:r w:rsidR="00080E7E">
              <w:rPr>
                <w:szCs w:val="18"/>
              </w:rPr>
              <w:t>lano de participação nos Lucros e Resultados - P</w:t>
            </w:r>
            <w:r w:rsidRPr="00953FC8">
              <w:rPr>
                <w:szCs w:val="18"/>
              </w:rPr>
              <w:t>LR</w:t>
            </w:r>
          </w:p>
        </w:tc>
      </w:tr>
      <w:tr w:rsidR="00437EB5" w:rsidRPr="00903E13" w:rsidTr="00B16629">
        <w:trPr>
          <w:trHeight w:val="952"/>
        </w:trPr>
        <w:tc>
          <w:tcPr>
            <w:tcW w:w="1493" w:type="dxa"/>
            <w:tcBorders>
              <w:top w:val="nil"/>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Banco Amazônia S.A</w:t>
            </w:r>
          </w:p>
        </w:tc>
        <w:tc>
          <w:tcPr>
            <w:tcW w:w="4252"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Salário Fixo; Gratificação Mensal; Auxílio Creche; Vale Transporte; Indenização por morte ou incapacidade decorrente de assalto; Férias; Promoções Automáticas; Plano de saúde.</w:t>
            </w:r>
          </w:p>
        </w:tc>
        <w:tc>
          <w:tcPr>
            <w:tcW w:w="1985"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Complementação para aposentadoria; Plano de Saúde.</w:t>
            </w:r>
          </w:p>
          <w:p w:rsidR="00437EB5" w:rsidRPr="00953FC8" w:rsidRDefault="00437EB5" w:rsidP="00B16629">
            <w:pPr>
              <w:rPr>
                <w:szCs w:val="18"/>
              </w:rPr>
            </w:pPr>
          </w:p>
        </w:tc>
        <w:tc>
          <w:tcPr>
            <w:tcW w:w="1342"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 xml:space="preserve">Gratificação por tempo de serviço; Adiantamento de </w:t>
            </w:r>
          </w:p>
          <w:p w:rsidR="00437EB5" w:rsidRPr="00953FC8" w:rsidRDefault="00437EB5" w:rsidP="00B16629">
            <w:pPr>
              <w:rPr>
                <w:szCs w:val="18"/>
              </w:rPr>
            </w:pPr>
            <w:r w:rsidRPr="00953FC8">
              <w:rPr>
                <w:szCs w:val="18"/>
              </w:rPr>
              <w:t>Benefício; PLR</w:t>
            </w:r>
          </w:p>
        </w:tc>
      </w:tr>
      <w:tr w:rsidR="00437EB5" w:rsidRPr="00903E13" w:rsidTr="00B16629">
        <w:trPr>
          <w:trHeight w:val="503"/>
        </w:trPr>
        <w:tc>
          <w:tcPr>
            <w:tcW w:w="1493" w:type="dxa"/>
            <w:tcBorders>
              <w:top w:val="nil"/>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Alfa Holdings S.A</w:t>
            </w:r>
          </w:p>
        </w:tc>
        <w:tc>
          <w:tcPr>
            <w:tcW w:w="4252"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Salário Fixo; Plano de Saúde; Vale Alimentação; Treinamento; Bolsa de estudo Pós-Graduação.</w:t>
            </w:r>
          </w:p>
        </w:tc>
        <w:tc>
          <w:tcPr>
            <w:tcW w:w="1985"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Não Possui.</w:t>
            </w:r>
          </w:p>
        </w:tc>
        <w:tc>
          <w:tcPr>
            <w:tcW w:w="1342"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Não Evidência</w:t>
            </w:r>
          </w:p>
        </w:tc>
      </w:tr>
      <w:tr w:rsidR="00437EB5" w:rsidRPr="00903E13" w:rsidTr="00B16629">
        <w:trPr>
          <w:trHeight w:val="627"/>
        </w:trPr>
        <w:tc>
          <w:tcPr>
            <w:tcW w:w="1493" w:type="dxa"/>
            <w:tcBorders>
              <w:top w:val="nil"/>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Banco Bradesco S.A</w:t>
            </w:r>
          </w:p>
        </w:tc>
        <w:tc>
          <w:tcPr>
            <w:tcW w:w="4252"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Salário Fixo; Férias; Treinamentos; Licenças médicas remuneradas; Plano Odontológico; Plano de Saúde.</w:t>
            </w:r>
          </w:p>
        </w:tc>
        <w:tc>
          <w:tcPr>
            <w:tcW w:w="1985"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Previdência Privada;</w:t>
            </w:r>
          </w:p>
          <w:p w:rsidR="00437EB5" w:rsidRPr="00953FC8" w:rsidRDefault="00437EB5" w:rsidP="00B16629">
            <w:pPr>
              <w:rPr>
                <w:szCs w:val="18"/>
              </w:rPr>
            </w:pPr>
          </w:p>
        </w:tc>
        <w:tc>
          <w:tcPr>
            <w:tcW w:w="1342" w:type="dxa"/>
            <w:tcBorders>
              <w:top w:val="nil"/>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PLR</w:t>
            </w:r>
          </w:p>
        </w:tc>
      </w:tr>
      <w:tr w:rsidR="00437EB5" w:rsidRPr="00903E13" w:rsidTr="00B16629">
        <w:trPr>
          <w:trHeight w:val="278"/>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Itaú Unibanco Holding S.A</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Salário Fixo; Auxílio-alimentação; Auxilio babá/creche; Auxilio transporte; Plano Odontológico; Seguro de vida; Serviços psicossociais; Tratamento personalizado no uso de produtos e serviços bancários.</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Plano de Saúde; Previdência Privada;</w:t>
            </w:r>
          </w:p>
          <w:p w:rsidR="00437EB5" w:rsidRPr="00953FC8" w:rsidRDefault="00437EB5" w:rsidP="00B16629">
            <w:pPr>
              <w:rPr>
                <w:szCs w:val="18"/>
              </w:rPr>
            </w:pPr>
          </w:p>
        </w:tc>
        <w:tc>
          <w:tcPr>
            <w:tcW w:w="1342"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437EB5" w:rsidRPr="00953FC8" w:rsidRDefault="00437EB5" w:rsidP="00B16629">
            <w:pPr>
              <w:rPr>
                <w:szCs w:val="18"/>
              </w:rPr>
            </w:pPr>
            <w:r w:rsidRPr="00953FC8">
              <w:rPr>
                <w:szCs w:val="18"/>
              </w:rPr>
              <w:t>PLR.</w:t>
            </w:r>
          </w:p>
        </w:tc>
      </w:tr>
      <w:tr w:rsidR="00437EB5" w:rsidRPr="00BF1429" w:rsidTr="00B16629">
        <w:trPr>
          <w:trHeight w:val="703"/>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Banco Banrisul S.A</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 xml:space="preserve">Salário; Seguro de vida; Vale transporte; Gratificação Mensal; Vale cultura; Prêmios Físicos; Plano Odontológico; Vale Refeição; Vale Alimentação; Auxílio à Graduação; Vale transporte; Auxilio Pós-Graduação; Plano de Saúde; Auxílio Cesta Alimentação; 13ª Cesta Alimentação; Auxílio-Creche/Babá; Auxílio </w:t>
            </w:r>
            <w:r w:rsidRPr="00953FC8">
              <w:rPr>
                <w:szCs w:val="18"/>
              </w:rPr>
              <w:lastRenderedPageBreak/>
              <w:t>dependente; Deslocamento noturno; Previdência Privada.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lastRenderedPageBreak/>
              <w:t>Auxílio Funeral; Plano De Saúde; Previdência Privada.</w:t>
            </w:r>
          </w:p>
          <w:p w:rsidR="00437EB5" w:rsidRPr="00953FC8" w:rsidRDefault="00437EB5" w:rsidP="00B16629">
            <w:pPr>
              <w:rPr>
                <w:szCs w:val="18"/>
              </w:rPr>
            </w:pPr>
          </w:p>
        </w:tc>
        <w:tc>
          <w:tcPr>
            <w:tcW w:w="13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Prêmio Aposentadoria; Empréstimos de retorno de Férias PLR.</w:t>
            </w:r>
          </w:p>
        </w:tc>
      </w:tr>
      <w:tr w:rsidR="00437EB5" w:rsidRPr="00BF1429" w:rsidTr="00B16629">
        <w:trPr>
          <w:trHeight w:val="1072"/>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 xml:space="preserve">Banco Santander S.A.                                                                                                                                                                </w:t>
            </w:r>
          </w:p>
        </w:tc>
        <w:tc>
          <w:tcPr>
            <w:tcW w:w="4252" w:type="dxa"/>
            <w:tcBorders>
              <w:top w:val="single" w:sz="4" w:space="0" w:color="auto"/>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Salário fixo e Variável; Seguro de Vida; Assistência Odontológica; Plano de saúde; Auxílio Creche/Babá; Vale-Transporte; Auxílio Refeição; Auxílio Alimentação; Previdência Privada; Bolsa de Estudos para dependentes.</w:t>
            </w:r>
          </w:p>
        </w:tc>
        <w:tc>
          <w:tcPr>
            <w:tcW w:w="1985" w:type="dxa"/>
            <w:tcBorders>
              <w:top w:val="single" w:sz="4" w:space="0" w:color="auto"/>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Complementação para aposentadoria;</w:t>
            </w:r>
          </w:p>
          <w:p w:rsidR="00437EB5" w:rsidRPr="00953FC8" w:rsidRDefault="00437EB5" w:rsidP="00B16629">
            <w:pPr>
              <w:rPr>
                <w:szCs w:val="18"/>
              </w:rPr>
            </w:pPr>
            <w:r w:rsidRPr="00953FC8">
              <w:rPr>
                <w:szCs w:val="18"/>
              </w:rPr>
              <w:t>Plano de Saúde;</w:t>
            </w:r>
          </w:p>
          <w:p w:rsidR="00437EB5" w:rsidRPr="00953FC8" w:rsidRDefault="00437EB5" w:rsidP="00B16629">
            <w:pPr>
              <w:rPr>
                <w:szCs w:val="18"/>
              </w:rPr>
            </w:pPr>
            <w:r w:rsidRPr="00953FC8">
              <w:rPr>
                <w:szCs w:val="18"/>
              </w:rPr>
              <w:t>Previdência Privada.</w:t>
            </w:r>
          </w:p>
          <w:p w:rsidR="00437EB5" w:rsidRPr="00953FC8" w:rsidRDefault="00437EB5" w:rsidP="00B16629">
            <w:pPr>
              <w:rPr>
                <w:szCs w:val="18"/>
              </w:rPr>
            </w:pPr>
          </w:p>
        </w:tc>
        <w:tc>
          <w:tcPr>
            <w:tcW w:w="1342" w:type="dxa"/>
            <w:tcBorders>
              <w:top w:val="single" w:sz="4" w:space="0" w:color="auto"/>
              <w:left w:val="nil"/>
              <w:bottom w:val="single" w:sz="4" w:space="0" w:color="auto"/>
              <w:right w:val="single" w:sz="4" w:space="0" w:color="auto"/>
            </w:tcBorders>
            <w:shd w:val="clear" w:color="auto" w:fill="FFFFFF" w:themeFill="background1"/>
            <w:hideMark/>
          </w:tcPr>
          <w:p w:rsidR="00437EB5" w:rsidRPr="00953FC8" w:rsidRDefault="00437EB5" w:rsidP="00B16629">
            <w:pPr>
              <w:rPr>
                <w:szCs w:val="18"/>
              </w:rPr>
            </w:pPr>
            <w:r w:rsidRPr="00953FC8">
              <w:rPr>
                <w:szCs w:val="18"/>
              </w:rPr>
              <w:t>Gratificações por tempo de serviço.</w:t>
            </w:r>
          </w:p>
        </w:tc>
      </w:tr>
      <w:tr w:rsidR="00437EB5" w:rsidRPr="00BF1429" w:rsidTr="00B16629">
        <w:trPr>
          <w:trHeight w:val="255"/>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rStyle w:val="label"/>
                <w:bCs/>
                <w:color w:val="000000" w:themeColor="text1"/>
                <w:szCs w:val="18"/>
              </w:rPr>
              <w:t>Banco ABC Brasil S.A</w:t>
            </w:r>
          </w:p>
        </w:tc>
        <w:tc>
          <w:tcPr>
            <w:tcW w:w="4252"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Salário fixo e Variável; 13° salário; Plano de Saúde.</w:t>
            </w:r>
          </w:p>
        </w:tc>
        <w:tc>
          <w:tcPr>
            <w:tcW w:w="1985"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Não Evidência.</w:t>
            </w:r>
          </w:p>
        </w:tc>
        <w:tc>
          <w:tcPr>
            <w:tcW w:w="1342"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PLR</w:t>
            </w:r>
          </w:p>
        </w:tc>
      </w:tr>
      <w:tr w:rsidR="00437EB5" w:rsidRPr="00BF1429" w:rsidTr="00B16629">
        <w:trPr>
          <w:trHeight w:val="255"/>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tcPr>
          <w:p w:rsidR="00437EB5" w:rsidRPr="00953FC8" w:rsidRDefault="00437EB5" w:rsidP="00B16629">
            <w:pPr>
              <w:rPr>
                <w:rStyle w:val="label"/>
                <w:bCs/>
                <w:color w:val="000000" w:themeColor="text1"/>
                <w:szCs w:val="18"/>
              </w:rPr>
            </w:pPr>
            <w:r w:rsidRPr="00953FC8">
              <w:rPr>
                <w:rStyle w:val="label"/>
                <w:bCs/>
                <w:color w:val="000000" w:themeColor="text1"/>
                <w:szCs w:val="18"/>
              </w:rPr>
              <w:t>Banco Estado Do Pará S.A</w:t>
            </w:r>
          </w:p>
        </w:tc>
        <w:tc>
          <w:tcPr>
            <w:tcW w:w="4252"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Salário Fixo; Férias; Plano de Saúde;</w:t>
            </w:r>
          </w:p>
          <w:p w:rsidR="00437EB5" w:rsidRPr="00953FC8" w:rsidRDefault="00437EB5" w:rsidP="00B16629">
            <w:pPr>
              <w:rPr>
                <w:szCs w:val="18"/>
              </w:rPr>
            </w:pPr>
            <w:r w:rsidRPr="00953FC8">
              <w:rPr>
                <w:szCs w:val="18"/>
              </w:rPr>
              <w:t>Plano Odontológico; Vale Transporte; Vale Alimentação; Vale Cultura; Indenização por morte ou incapacidade decorrente de assalto.</w:t>
            </w:r>
          </w:p>
        </w:tc>
        <w:tc>
          <w:tcPr>
            <w:tcW w:w="1985"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Complementação para aposentadoria;</w:t>
            </w:r>
          </w:p>
          <w:p w:rsidR="00437EB5" w:rsidRPr="00953FC8" w:rsidRDefault="00437EB5" w:rsidP="00B16629">
            <w:pPr>
              <w:rPr>
                <w:szCs w:val="18"/>
              </w:rPr>
            </w:pPr>
            <w:r w:rsidRPr="00953FC8">
              <w:rPr>
                <w:szCs w:val="18"/>
              </w:rPr>
              <w:t>Plano de Saúde;</w:t>
            </w:r>
          </w:p>
          <w:p w:rsidR="00437EB5" w:rsidRPr="00953FC8" w:rsidRDefault="00437EB5" w:rsidP="00B16629">
            <w:pPr>
              <w:rPr>
                <w:szCs w:val="18"/>
              </w:rPr>
            </w:pPr>
            <w:r w:rsidRPr="00953FC8">
              <w:rPr>
                <w:szCs w:val="18"/>
              </w:rPr>
              <w:t>Auxilio Funeral.</w:t>
            </w:r>
          </w:p>
        </w:tc>
        <w:tc>
          <w:tcPr>
            <w:tcW w:w="1342"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PLR</w:t>
            </w:r>
          </w:p>
        </w:tc>
      </w:tr>
      <w:tr w:rsidR="00437EB5" w:rsidRPr="00BF1429" w:rsidTr="00B16629">
        <w:trPr>
          <w:trHeight w:val="255"/>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tcPr>
          <w:p w:rsidR="00437EB5" w:rsidRPr="00953FC8" w:rsidRDefault="00A269CD" w:rsidP="00B16629">
            <w:pPr>
              <w:rPr>
                <w:rStyle w:val="label"/>
                <w:bCs/>
                <w:color w:val="000000" w:themeColor="text1"/>
                <w:szCs w:val="18"/>
              </w:rPr>
            </w:pPr>
            <w:hyperlink r:id="rId8" w:history="1">
              <w:r w:rsidR="00437EB5" w:rsidRPr="00953FC8">
                <w:rPr>
                  <w:rStyle w:val="Hyperlink"/>
                  <w:rFonts w:eastAsia="Calibri"/>
                  <w:color w:val="000000" w:themeColor="text1"/>
                  <w:szCs w:val="18"/>
                  <w:shd w:val="clear" w:color="auto" w:fill="FFFFFF"/>
                </w:rPr>
                <w:t>Banco Nordeste Do Brasil S.A.</w:t>
              </w:r>
            </w:hyperlink>
          </w:p>
        </w:tc>
        <w:tc>
          <w:tcPr>
            <w:tcW w:w="4252"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Salário Fixo e Variável; Vale Alimentação; Vale Refeição; Vale Transporte; Seguro de Vida; Folgas e Ausências Abonadas.</w:t>
            </w:r>
          </w:p>
        </w:tc>
        <w:tc>
          <w:tcPr>
            <w:tcW w:w="1985"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Plano de Saúde;</w:t>
            </w:r>
          </w:p>
          <w:p w:rsidR="00437EB5" w:rsidRPr="00953FC8" w:rsidRDefault="00437EB5" w:rsidP="00B16629">
            <w:pPr>
              <w:rPr>
                <w:szCs w:val="18"/>
              </w:rPr>
            </w:pPr>
            <w:r w:rsidRPr="00953FC8">
              <w:rPr>
                <w:szCs w:val="18"/>
              </w:rPr>
              <w:t>Complementação para aposentadoria.</w:t>
            </w:r>
          </w:p>
        </w:tc>
        <w:tc>
          <w:tcPr>
            <w:tcW w:w="1342" w:type="dxa"/>
            <w:tcBorders>
              <w:top w:val="single" w:sz="4" w:space="0" w:color="auto"/>
              <w:left w:val="nil"/>
              <w:bottom w:val="single" w:sz="4" w:space="0" w:color="auto"/>
              <w:right w:val="single" w:sz="4" w:space="0" w:color="auto"/>
            </w:tcBorders>
            <w:shd w:val="clear" w:color="auto" w:fill="FFFFFF" w:themeFill="background1"/>
          </w:tcPr>
          <w:p w:rsidR="00437EB5" w:rsidRPr="00953FC8" w:rsidRDefault="00437EB5" w:rsidP="00B16629">
            <w:pPr>
              <w:rPr>
                <w:szCs w:val="18"/>
              </w:rPr>
            </w:pPr>
            <w:r w:rsidRPr="00953FC8">
              <w:rPr>
                <w:szCs w:val="18"/>
              </w:rPr>
              <w:t>Não Evidência</w:t>
            </w:r>
          </w:p>
        </w:tc>
      </w:tr>
      <w:tr w:rsidR="00437EB5" w:rsidRPr="00BF1429" w:rsidTr="00B16629">
        <w:trPr>
          <w:trHeight w:val="736"/>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Banco Pan S.A</w:t>
            </w:r>
          </w:p>
        </w:tc>
        <w:tc>
          <w:tcPr>
            <w:tcW w:w="4252"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Salário Fixo; Plano de Saúde; Vale-alimentação; Vale-refeição; Plano Odontológico; Auxilio Transporte.</w:t>
            </w:r>
          </w:p>
        </w:tc>
        <w:tc>
          <w:tcPr>
            <w:tcW w:w="1985"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Complementação para aposentadoria.</w:t>
            </w:r>
          </w:p>
          <w:p w:rsidR="00437EB5" w:rsidRPr="00953FC8" w:rsidRDefault="00437EB5" w:rsidP="00B16629">
            <w:pPr>
              <w:rPr>
                <w:szCs w:val="18"/>
              </w:rPr>
            </w:pPr>
            <w:r w:rsidRPr="00953FC8">
              <w:rPr>
                <w:szCs w:val="18"/>
              </w:rPr>
              <w:t>Previdência Privada;</w:t>
            </w:r>
          </w:p>
        </w:tc>
        <w:tc>
          <w:tcPr>
            <w:tcW w:w="1342"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PLR</w:t>
            </w:r>
          </w:p>
        </w:tc>
      </w:tr>
      <w:tr w:rsidR="00437EB5" w:rsidRPr="00BF1429" w:rsidTr="00B16629">
        <w:trPr>
          <w:trHeight w:val="278"/>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37EB5" w:rsidRPr="00953FC8" w:rsidRDefault="00A269CD" w:rsidP="00B16629">
            <w:pPr>
              <w:rPr>
                <w:color w:val="000000" w:themeColor="text1"/>
                <w:szCs w:val="18"/>
              </w:rPr>
            </w:pPr>
            <w:hyperlink r:id="rId9" w:history="1">
              <w:r w:rsidR="00437EB5" w:rsidRPr="00953FC8">
                <w:rPr>
                  <w:rStyle w:val="Hyperlink"/>
                  <w:rFonts w:eastAsia="Calibri"/>
                  <w:color w:val="000000" w:themeColor="text1"/>
                  <w:szCs w:val="18"/>
                  <w:shd w:val="clear" w:color="auto" w:fill="FFFFFF"/>
                </w:rPr>
                <w:t>Banco</w:t>
              </w:r>
            </w:hyperlink>
            <w:r w:rsidR="00437EB5" w:rsidRPr="00953FC8">
              <w:rPr>
                <w:color w:val="000000" w:themeColor="text1"/>
                <w:szCs w:val="18"/>
              </w:rPr>
              <w:t xml:space="preserve"> Patagônia S.A</w:t>
            </w:r>
          </w:p>
        </w:tc>
        <w:tc>
          <w:tcPr>
            <w:tcW w:w="4252"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Salário Fixo; Gratificação mensal; Plano de Saúde; Vale Alimentação; Vale Refeição.</w:t>
            </w:r>
          </w:p>
        </w:tc>
        <w:tc>
          <w:tcPr>
            <w:tcW w:w="1985"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Complementação para aposentadoria.</w:t>
            </w:r>
          </w:p>
          <w:p w:rsidR="00437EB5" w:rsidRPr="00953FC8" w:rsidRDefault="00437EB5" w:rsidP="00B16629">
            <w:pPr>
              <w:rPr>
                <w:szCs w:val="18"/>
              </w:rPr>
            </w:pPr>
            <w:r w:rsidRPr="00953FC8">
              <w:rPr>
                <w:szCs w:val="18"/>
              </w:rPr>
              <w:t>Previdência Privada;</w:t>
            </w:r>
          </w:p>
        </w:tc>
        <w:tc>
          <w:tcPr>
            <w:tcW w:w="1342"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PLR.</w:t>
            </w:r>
          </w:p>
        </w:tc>
      </w:tr>
      <w:tr w:rsidR="00437EB5" w:rsidRPr="00BF1429" w:rsidTr="00B16629">
        <w:trPr>
          <w:trHeight w:val="451"/>
        </w:trPr>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37EB5" w:rsidRPr="00953FC8" w:rsidRDefault="00437EB5" w:rsidP="00B16629">
            <w:pPr>
              <w:pStyle w:val="Ttulo2"/>
              <w:shd w:val="clear" w:color="auto" w:fill="FFFFFF"/>
              <w:spacing w:before="0" w:after="0" w:line="240" w:lineRule="auto"/>
              <w:rPr>
                <w:rFonts w:ascii="Times New Roman" w:hAnsi="Times New Roman" w:cs="Times New Roman"/>
                <w:b w:val="0"/>
                <w:color w:val="000000" w:themeColor="text1"/>
                <w:sz w:val="20"/>
                <w:szCs w:val="18"/>
              </w:rPr>
            </w:pPr>
            <w:r w:rsidRPr="00953FC8">
              <w:rPr>
                <w:rStyle w:val="label"/>
                <w:rFonts w:ascii="Times New Roman" w:hAnsi="Times New Roman" w:cs="Times New Roman"/>
                <w:b w:val="0"/>
                <w:bCs/>
                <w:color w:val="000000" w:themeColor="text1"/>
                <w:sz w:val="20"/>
                <w:szCs w:val="18"/>
              </w:rPr>
              <w:t xml:space="preserve">Banco do Estado de Sergipe S.A </w:t>
            </w:r>
          </w:p>
        </w:tc>
        <w:tc>
          <w:tcPr>
            <w:tcW w:w="4252"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Salário Fixo; Férias; Plano de Saúde; Treinamentos.</w:t>
            </w:r>
          </w:p>
        </w:tc>
        <w:tc>
          <w:tcPr>
            <w:tcW w:w="1985"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Complementação para aposentadoria.</w:t>
            </w:r>
          </w:p>
        </w:tc>
        <w:tc>
          <w:tcPr>
            <w:tcW w:w="1342" w:type="dxa"/>
            <w:tcBorders>
              <w:top w:val="single" w:sz="4" w:space="0" w:color="auto"/>
              <w:left w:val="nil"/>
              <w:bottom w:val="single" w:sz="4" w:space="0" w:color="auto"/>
              <w:right w:val="single" w:sz="4" w:space="0" w:color="auto"/>
            </w:tcBorders>
            <w:shd w:val="clear" w:color="auto" w:fill="FFFFFF" w:themeFill="background1"/>
            <w:vAlign w:val="center"/>
          </w:tcPr>
          <w:p w:rsidR="00437EB5" w:rsidRPr="00953FC8" w:rsidRDefault="00437EB5" w:rsidP="00B16629">
            <w:pPr>
              <w:rPr>
                <w:szCs w:val="18"/>
              </w:rPr>
            </w:pPr>
            <w:r w:rsidRPr="00953FC8">
              <w:rPr>
                <w:szCs w:val="18"/>
              </w:rPr>
              <w:t>PLR.</w:t>
            </w:r>
          </w:p>
        </w:tc>
      </w:tr>
    </w:tbl>
    <w:p w:rsidR="00437EB5" w:rsidRDefault="00437EB5" w:rsidP="00437EB5">
      <w:pPr>
        <w:pStyle w:val="Normal1"/>
        <w:spacing w:after="120" w:line="240" w:lineRule="auto"/>
        <w:jc w:val="both"/>
        <w:rPr>
          <w:rFonts w:ascii="Times New Roman" w:eastAsia="Times New Roman" w:hAnsi="Times New Roman" w:cs="Times New Roman"/>
          <w:sz w:val="20"/>
          <w:szCs w:val="20"/>
        </w:rPr>
      </w:pPr>
      <w:r w:rsidRPr="008F1665">
        <w:rPr>
          <w:rFonts w:ascii="Times New Roman" w:eastAsia="Times New Roman" w:hAnsi="Times New Roman" w:cs="Times New Roman"/>
          <w:sz w:val="20"/>
          <w:szCs w:val="20"/>
        </w:rPr>
        <w:t xml:space="preserve">Fonte: </w:t>
      </w:r>
      <w:r w:rsidR="00004FF3">
        <w:rPr>
          <w:rFonts w:ascii="Times New Roman" w:eastAsia="Times New Roman" w:hAnsi="Times New Roman" w:cs="Times New Roman"/>
          <w:sz w:val="20"/>
          <w:szCs w:val="20"/>
        </w:rPr>
        <w:t>D</w:t>
      </w:r>
      <w:r w:rsidRPr="008F1665">
        <w:rPr>
          <w:rFonts w:ascii="Times New Roman" w:eastAsia="Times New Roman" w:hAnsi="Times New Roman" w:cs="Times New Roman"/>
          <w:sz w:val="20"/>
          <w:szCs w:val="20"/>
        </w:rPr>
        <w:t>ados da pesquisa.</w:t>
      </w:r>
    </w:p>
    <w:p w:rsidR="00437EB5" w:rsidRPr="00D47631" w:rsidRDefault="00437EB5" w:rsidP="00437EB5">
      <w:pPr>
        <w:pStyle w:val="Normal1"/>
        <w:spacing w:after="0" w:line="240" w:lineRule="auto"/>
        <w:jc w:val="both"/>
        <w:rPr>
          <w:rFonts w:ascii="Times New Roman" w:eastAsia="Times New Roman" w:hAnsi="Times New Roman" w:cs="Times New Roman"/>
        </w:rPr>
      </w:pPr>
      <w:r w:rsidRPr="00644564">
        <w:rPr>
          <w:rFonts w:ascii="Times New Roman" w:eastAsia="Times New Roman" w:hAnsi="Times New Roman" w:cs="Times New Roman"/>
        </w:rPr>
        <w:tab/>
      </w:r>
      <w:r w:rsidRPr="00D47631">
        <w:rPr>
          <w:rFonts w:ascii="Times New Roman" w:eastAsia="Times New Roman" w:hAnsi="Times New Roman" w:cs="Times New Roman"/>
        </w:rPr>
        <w:t xml:space="preserve">A competência dos benefícios acima foi definida levando em consideração de que todo funcionário tenha o direito de receber </w:t>
      </w:r>
      <w:r>
        <w:rPr>
          <w:rFonts w:ascii="Times New Roman" w:eastAsia="Times New Roman" w:hAnsi="Times New Roman" w:cs="Times New Roman"/>
        </w:rPr>
        <w:t>tais benefícios desde que tenha ou a empresa tenha intenções de manter a sua prestação de serviço como, por exemplo, os benefícios de curto prazo se analisado</w:t>
      </w:r>
      <w:r w:rsidRPr="00966BBD">
        <w:rPr>
          <w:rFonts w:ascii="Times New Roman" w:eastAsia="Times New Roman" w:hAnsi="Times New Roman" w:cs="Times New Roman"/>
        </w:rPr>
        <w:t xml:space="preserve"> profundamente muitos se encaixariam nos benefícios de longo prazo, </w:t>
      </w:r>
      <w:r>
        <w:rPr>
          <w:rFonts w:ascii="Times New Roman" w:eastAsia="Times New Roman" w:hAnsi="Times New Roman" w:cs="Times New Roman"/>
        </w:rPr>
        <w:t xml:space="preserve">sendo </w:t>
      </w:r>
      <w:r w:rsidRPr="00966BBD">
        <w:rPr>
          <w:rFonts w:ascii="Times New Roman" w:eastAsia="Times New Roman" w:hAnsi="Times New Roman" w:cs="Times New Roman"/>
        </w:rPr>
        <w:t xml:space="preserve">benefícios de longo prazo todos os benefícios </w:t>
      </w:r>
      <w:r w:rsidRPr="00EE2065">
        <w:rPr>
          <w:rFonts w:ascii="Times New Roman" w:eastAsia="Times New Roman" w:hAnsi="Times New Roman" w:cs="Times New Roman"/>
        </w:rPr>
        <w:t>que não se encerram totalmente dentro de doze meses</w:t>
      </w:r>
      <w:r>
        <w:rPr>
          <w:rFonts w:ascii="Times New Roman" w:eastAsia="Times New Roman" w:hAnsi="Times New Roman" w:cs="Times New Roman"/>
        </w:rPr>
        <w:t xml:space="preserve"> como, por exemplo, PLR que o funcionário tem direito de receber desde que esteja dentro do período estimado pela empresa</w:t>
      </w:r>
      <w:r w:rsidRPr="00EE2065">
        <w:rPr>
          <w:rFonts w:ascii="Times New Roman" w:eastAsia="Times New Roman" w:hAnsi="Times New Roman" w:cs="Times New Roman"/>
        </w:rPr>
        <w:t xml:space="preserve">, </w:t>
      </w:r>
      <w:r>
        <w:rPr>
          <w:rFonts w:ascii="Times New Roman" w:eastAsia="Times New Roman" w:hAnsi="Times New Roman" w:cs="Times New Roman"/>
        </w:rPr>
        <w:t xml:space="preserve">sendo considerado neste caso </w:t>
      </w:r>
      <w:r w:rsidRPr="00EE2065">
        <w:rPr>
          <w:rFonts w:ascii="Times New Roman" w:eastAsia="Times New Roman" w:hAnsi="Times New Roman" w:cs="Times New Roman"/>
        </w:rPr>
        <w:t>o fator da competência.</w:t>
      </w:r>
    </w:p>
    <w:p w:rsidR="00437EB5" w:rsidRPr="00D47631" w:rsidRDefault="00470415" w:rsidP="00437EB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t>Por meio da análise da</w:t>
      </w:r>
      <w:r w:rsidR="00437EB5">
        <w:rPr>
          <w:rFonts w:ascii="Times New Roman" w:eastAsia="Times New Roman" w:hAnsi="Times New Roman" w:cs="Times New Roman"/>
        </w:rPr>
        <w:t xml:space="preserve"> Tabela 3 é possível ter uma visão analítica das informações coletadas, os benefícios são classificados em quatro categorias distintas, benefícios de curto e longo prazo, benefícios de pós-emprego e de desligamento, também é constituído por dois subgrupos que são os planos de contribuição definida e os planos de </w:t>
      </w:r>
      <w:r w:rsidR="00B16629">
        <w:rPr>
          <w:rFonts w:ascii="Times New Roman" w:eastAsia="Times New Roman" w:hAnsi="Times New Roman" w:cs="Times New Roman"/>
        </w:rPr>
        <w:t>benefício</w:t>
      </w:r>
      <w:r w:rsidR="00437EB5">
        <w:rPr>
          <w:rFonts w:ascii="Times New Roman" w:eastAsia="Times New Roman" w:hAnsi="Times New Roman" w:cs="Times New Roman"/>
        </w:rPr>
        <w:t xml:space="preserve"> definido que fazem parte do grupo de benefícios pós-emprego, a amostra é contemplada por uma variável classificada pelo nível de governança de 13 instituições.</w:t>
      </w:r>
    </w:p>
    <w:p w:rsidR="00437EB5" w:rsidRPr="00D47631" w:rsidRDefault="00437EB5" w:rsidP="00437EB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t>Nas informações coletadas algumas instituições não possuem anúncio de plano de benefício de desligamento</w:t>
      </w:r>
      <w:r w:rsidR="00874CD5">
        <w:rPr>
          <w:rFonts w:ascii="Times New Roman" w:eastAsia="Times New Roman" w:hAnsi="Times New Roman" w:cs="Times New Roman"/>
        </w:rPr>
        <w:t xml:space="preserve">, </w:t>
      </w:r>
      <w:r>
        <w:rPr>
          <w:rFonts w:ascii="Times New Roman" w:eastAsia="Times New Roman" w:hAnsi="Times New Roman" w:cs="Times New Roman"/>
        </w:rPr>
        <w:t xml:space="preserve">com exceção de duas instituições que foram o Banco Bradesco e o Banco Santander, </w:t>
      </w:r>
      <w:r w:rsidR="00874CD5">
        <w:rPr>
          <w:rFonts w:ascii="Times New Roman" w:eastAsia="Times New Roman" w:hAnsi="Times New Roman" w:cs="Times New Roman"/>
        </w:rPr>
        <w:t xml:space="preserve">todavia </w:t>
      </w:r>
      <w:r>
        <w:rPr>
          <w:rFonts w:ascii="Times New Roman" w:eastAsia="Times New Roman" w:hAnsi="Times New Roman" w:cs="Times New Roman"/>
        </w:rPr>
        <w:t>não descriminam quais seriam os benefícios oferecidos.</w:t>
      </w:r>
    </w:p>
    <w:p w:rsidR="00437EB5" w:rsidRPr="00DB2395" w:rsidRDefault="00437EB5" w:rsidP="00437EB5">
      <w:pPr>
        <w:jc w:val="both"/>
        <w:rPr>
          <w:sz w:val="24"/>
          <w:szCs w:val="24"/>
        </w:rPr>
      </w:pPr>
      <w:r w:rsidRPr="00DB2395">
        <w:rPr>
          <w:sz w:val="24"/>
          <w:szCs w:val="24"/>
        </w:rPr>
        <w:tab/>
        <w:t>Ao final da coleta dos dados foi evidenciado um total de 41 benefícios diferentes onde 7</w:t>
      </w:r>
      <w:r>
        <w:rPr>
          <w:sz w:val="24"/>
          <w:szCs w:val="24"/>
        </w:rPr>
        <w:t>3,17</w:t>
      </w:r>
      <w:r w:rsidRPr="00DB2395">
        <w:rPr>
          <w:sz w:val="24"/>
          <w:szCs w:val="24"/>
        </w:rPr>
        <w:t>% são representados pelos benefícios de cu</w:t>
      </w:r>
      <w:r>
        <w:rPr>
          <w:sz w:val="24"/>
          <w:szCs w:val="24"/>
        </w:rPr>
        <w:t>rto prazo, houve um total de 106</w:t>
      </w:r>
      <w:r w:rsidRPr="00DB2395">
        <w:rPr>
          <w:sz w:val="24"/>
          <w:szCs w:val="24"/>
        </w:rPr>
        <w:t xml:space="preserve"> evidenciações entre eles os benefícios que mais foram evidenciados foram o da remuneração fixa, vale alimentação e o plano odontológico que contemplam juntos um total de</w:t>
      </w:r>
      <w:r>
        <w:rPr>
          <w:sz w:val="24"/>
          <w:szCs w:val="24"/>
        </w:rPr>
        <w:t xml:space="preserve"> 38,68</w:t>
      </w:r>
      <w:r w:rsidRPr="00DB2395">
        <w:rPr>
          <w:sz w:val="24"/>
          <w:szCs w:val="24"/>
        </w:rPr>
        <w:t xml:space="preserve">% dos benefícios a curto prazo, no estudo de </w:t>
      </w:r>
      <w:r w:rsidR="00290012">
        <w:rPr>
          <w:sz w:val="24"/>
          <w:szCs w:val="24"/>
        </w:rPr>
        <w:t xml:space="preserve">Da </w:t>
      </w:r>
      <w:r w:rsidRPr="00DB2395">
        <w:rPr>
          <w:sz w:val="24"/>
          <w:szCs w:val="24"/>
        </w:rPr>
        <w:t>Silva</w:t>
      </w:r>
      <w:r w:rsidR="00290012">
        <w:rPr>
          <w:sz w:val="24"/>
          <w:szCs w:val="24"/>
        </w:rPr>
        <w:t xml:space="preserve"> et al.</w:t>
      </w:r>
      <w:r w:rsidRPr="00DB2395">
        <w:rPr>
          <w:sz w:val="24"/>
          <w:szCs w:val="24"/>
        </w:rPr>
        <w:t xml:space="preserve"> (2015) apenas 20% das empresas analisadas não possuíam ou não evidência os benefícios de pós-empr</w:t>
      </w:r>
      <w:r>
        <w:rPr>
          <w:sz w:val="24"/>
          <w:szCs w:val="24"/>
        </w:rPr>
        <w:t xml:space="preserve">ego pelo </w:t>
      </w:r>
      <w:r w:rsidRPr="00DB2395">
        <w:rPr>
          <w:sz w:val="24"/>
          <w:szCs w:val="24"/>
        </w:rPr>
        <w:t>motivo</w:t>
      </w:r>
      <w:r>
        <w:rPr>
          <w:sz w:val="24"/>
          <w:szCs w:val="24"/>
        </w:rPr>
        <w:t xml:space="preserve"> de diminuir as incertezas </w:t>
      </w:r>
      <w:r>
        <w:rPr>
          <w:sz w:val="24"/>
          <w:szCs w:val="24"/>
        </w:rPr>
        <w:lastRenderedPageBreak/>
        <w:t>e os riscos, neste estudo em questão os benefícios não estão alocados de forma especifica nas notas explicativas, tendo isso em vista pode ter influenciado para que algumas empresas não tenham tal benefício evidenciado corretamente, mas não quer dizer que não os possui</w:t>
      </w:r>
      <w:r w:rsidRPr="00DB2395">
        <w:rPr>
          <w:sz w:val="24"/>
          <w:szCs w:val="24"/>
        </w:rPr>
        <w:t xml:space="preserve">. </w:t>
      </w:r>
    </w:p>
    <w:p w:rsidR="00874CD5" w:rsidRDefault="00437EB5" w:rsidP="00437EB5">
      <w:pPr>
        <w:jc w:val="both"/>
        <w:rPr>
          <w:sz w:val="24"/>
          <w:szCs w:val="24"/>
        </w:rPr>
      </w:pPr>
      <w:r w:rsidRPr="00DB2395">
        <w:rPr>
          <w:sz w:val="24"/>
          <w:szCs w:val="24"/>
        </w:rPr>
        <w:tab/>
        <w:t xml:space="preserve">Os benefícios de pós-emprego tiveram 5 evidenciações de benefícios diferentes, a previdência privada com 30,43%, plano de complementação para aposentadoria com 30,43%, plano de saúde com 26,09%, auxilio funeral com 8,70% e por </w:t>
      </w:r>
      <w:r w:rsidR="00B16629">
        <w:rPr>
          <w:sz w:val="24"/>
          <w:szCs w:val="24"/>
        </w:rPr>
        <w:t>último</w:t>
      </w:r>
      <w:r w:rsidRPr="00DB2395">
        <w:rPr>
          <w:sz w:val="24"/>
          <w:szCs w:val="24"/>
        </w:rPr>
        <w:t xml:space="preserve"> o seguro saúde com 4,35%, de evidenciação, 2 empresas ou 15,39% das instituições não possuem benefícios pós-emprego uma delas publicou que não possui tal </w:t>
      </w:r>
      <w:r w:rsidR="00B16629">
        <w:rPr>
          <w:sz w:val="24"/>
          <w:szCs w:val="24"/>
        </w:rPr>
        <w:t>benefício</w:t>
      </w:r>
      <w:r w:rsidRPr="00DB2395">
        <w:rPr>
          <w:sz w:val="24"/>
          <w:szCs w:val="24"/>
        </w:rPr>
        <w:t xml:space="preserve"> e a outra não evidenci</w:t>
      </w:r>
      <w:r w:rsidR="00B16629">
        <w:rPr>
          <w:sz w:val="24"/>
          <w:szCs w:val="24"/>
        </w:rPr>
        <w:t>ou</w:t>
      </w:r>
      <w:r w:rsidRPr="00DB2395">
        <w:rPr>
          <w:sz w:val="24"/>
          <w:szCs w:val="24"/>
        </w:rPr>
        <w:t xml:space="preserve">. Foi identificado um total de </w:t>
      </w:r>
      <w:r>
        <w:rPr>
          <w:sz w:val="24"/>
          <w:szCs w:val="24"/>
        </w:rPr>
        <w:t>seis</w:t>
      </w:r>
      <w:r w:rsidRPr="00DB2395">
        <w:rPr>
          <w:sz w:val="24"/>
          <w:szCs w:val="24"/>
        </w:rPr>
        <w:t xml:space="preserve"> benefícios diferentes de longo-prazo </w:t>
      </w:r>
      <w:r w:rsidRPr="00B03206">
        <w:rPr>
          <w:sz w:val="24"/>
          <w:szCs w:val="24"/>
        </w:rPr>
        <w:t>onde 15,39% das empresas</w:t>
      </w:r>
      <w:r w:rsidRPr="00DB2395">
        <w:rPr>
          <w:sz w:val="24"/>
          <w:szCs w:val="24"/>
        </w:rPr>
        <w:t xml:space="preserve"> </w:t>
      </w:r>
      <w:r>
        <w:rPr>
          <w:sz w:val="24"/>
          <w:szCs w:val="24"/>
        </w:rPr>
        <w:t xml:space="preserve">não </w:t>
      </w:r>
      <w:r w:rsidRPr="00DB2395">
        <w:rPr>
          <w:sz w:val="24"/>
          <w:szCs w:val="24"/>
        </w:rPr>
        <w:t>evidenciam</w:t>
      </w:r>
      <w:r>
        <w:rPr>
          <w:sz w:val="24"/>
          <w:szCs w:val="24"/>
        </w:rPr>
        <w:t xml:space="preserve"> esse </w:t>
      </w:r>
      <w:r w:rsidR="00B16629">
        <w:rPr>
          <w:sz w:val="24"/>
          <w:szCs w:val="24"/>
        </w:rPr>
        <w:t>benefício</w:t>
      </w:r>
      <w:r>
        <w:rPr>
          <w:sz w:val="24"/>
          <w:szCs w:val="24"/>
        </w:rPr>
        <w:t>,</w:t>
      </w:r>
      <w:r w:rsidRPr="00DB2395">
        <w:rPr>
          <w:sz w:val="24"/>
          <w:szCs w:val="24"/>
        </w:rPr>
        <w:t xml:space="preserve"> </w:t>
      </w:r>
      <w:r>
        <w:rPr>
          <w:sz w:val="24"/>
          <w:szCs w:val="24"/>
        </w:rPr>
        <w:t>os outros 84,62</w:t>
      </w:r>
      <w:r w:rsidRPr="00DB2395">
        <w:rPr>
          <w:sz w:val="24"/>
          <w:szCs w:val="24"/>
        </w:rPr>
        <w:t xml:space="preserve">% </w:t>
      </w:r>
      <w:r>
        <w:rPr>
          <w:sz w:val="24"/>
          <w:szCs w:val="24"/>
        </w:rPr>
        <w:t>evidenciam, o benéfico mais evidenciado a longo prazo é o de PLR que possui 76,92% de evidenciação</w:t>
      </w:r>
      <w:r w:rsidRPr="00DB2395">
        <w:rPr>
          <w:sz w:val="24"/>
          <w:szCs w:val="24"/>
        </w:rPr>
        <w:t>.</w:t>
      </w:r>
    </w:p>
    <w:p w:rsidR="00437EB5" w:rsidRPr="00DB2395" w:rsidRDefault="00437EB5" w:rsidP="00437EB5">
      <w:pPr>
        <w:jc w:val="both"/>
        <w:rPr>
          <w:sz w:val="24"/>
          <w:szCs w:val="24"/>
        </w:rPr>
      </w:pPr>
      <w:r w:rsidRPr="00DB2395">
        <w:rPr>
          <w:sz w:val="24"/>
          <w:szCs w:val="24"/>
        </w:rPr>
        <w:tab/>
        <w:t>Al</w:t>
      </w:r>
      <w:r w:rsidR="00B16629">
        <w:rPr>
          <w:sz w:val="24"/>
          <w:szCs w:val="24"/>
        </w:rPr>
        <w:t>é</w:t>
      </w:r>
      <w:r w:rsidRPr="00DB2395">
        <w:rPr>
          <w:sz w:val="24"/>
          <w:szCs w:val="24"/>
        </w:rPr>
        <w:t xml:space="preserve">m dos benefícios já conhecidos e que toda empresa é obrigada a disponibilizar ao funcionário tais como salários, férias, 13º entre outros, também possui benefícios que não são obrigatórios, mas que são disponibilizados para seus funcionários, tais como, </w:t>
      </w:r>
      <w:r w:rsidRPr="00B03206">
        <w:rPr>
          <w:sz w:val="24"/>
          <w:szCs w:val="24"/>
        </w:rPr>
        <w:t>PLR</w:t>
      </w:r>
      <w:r w:rsidRPr="00DB2395">
        <w:rPr>
          <w:sz w:val="24"/>
          <w:szCs w:val="24"/>
        </w:rPr>
        <w:t>, plano de saúde e odontológico</w:t>
      </w:r>
      <w:r>
        <w:rPr>
          <w:sz w:val="24"/>
          <w:szCs w:val="24"/>
        </w:rPr>
        <w:t>, previdência privada</w:t>
      </w:r>
      <w:r w:rsidRPr="00DB2395">
        <w:rPr>
          <w:sz w:val="24"/>
          <w:szCs w:val="24"/>
        </w:rPr>
        <w:t xml:space="preserve"> etc. A lista é bem extensa quando se refere a benefícios não obrigatórios.</w:t>
      </w:r>
    </w:p>
    <w:p w:rsidR="00437EB5" w:rsidRPr="00DB2395" w:rsidRDefault="00437EB5" w:rsidP="00437EB5">
      <w:pPr>
        <w:jc w:val="both"/>
        <w:rPr>
          <w:sz w:val="24"/>
          <w:szCs w:val="24"/>
          <w:shd w:val="clear" w:color="auto" w:fill="FFFFFF"/>
        </w:rPr>
      </w:pPr>
      <w:r w:rsidRPr="00DB2395">
        <w:rPr>
          <w:sz w:val="24"/>
          <w:szCs w:val="24"/>
        </w:rPr>
        <w:tab/>
        <w:t xml:space="preserve">O índice de Rotatividade </w:t>
      </w:r>
      <w:r w:rsidRPr="00DB2395">
        <w:rPr>
          <w:bCs/>
          <w:sz w:val="24"/>
          <w:szCs w:val="24"/>
          <w:shd w:val="clear" w:color="auto" w:fill="FFFFFF"/>
        </w:rPr>
        <w:t xml:space="preserve">ou também conhecido taxa de </w:t>
      </w:r>
      <w:r w:rsidRPr="00DB2395">
        <w:rPr>
          <w:bCs/>
          <w:i/>
          <w:sz w:val="24"/>
          <w:szCs w:val="24"/>
          <w:shd w:val="clear" w:color="auto" w:fill="FFFFFF"/>
        </w:rPr>
        <w:t>turnover</w:t>
      </w:r>
      <w:r w:rsidRPr="00DB2395">
        <w:rPr>
          <w:bCs/>
          <w:sz w:val="24"/>
          <w:szCs w:val="24"/>
          <w:shd w:val="clear" w:color="auto" w:fill="FFFFFF"/>
        </w:rPr>
        <w:t xml:space="preserve">, </w:t>
      </w:r>
      <w:r w:rsidRPr="00DB2395">
        <w:rPr>
          <w:sz w:val="24"/>
          <w:szCs w:val="24"/>
          <w:shd w:val="clear" w:color="auto" w:fill="FFFFFF"/>
        </w:rPr>
        <w:t>representa a porcentagem média de saída dos funcionários em determinado período, independente se for involuntário ou voluntariamente. Uma das fórmulas utilizadas para esse cálculo é a seguinte:</w:t>
      </w:r>
    </w:p>
    <w:p w:rsidR="00437EB5" w:rsidRPr="006A3942" w:rsidRDefault="00437EB5" w:rsidP="000B7939">
      <w:pPr>
        <w:spacing w:before="120"/>
        <w:jc w:val="center"/>
        <w:rPr>
          <w:sz w:val="22"/>
          <w:szCs w:val="22"/>
          <w:shd w:val="clear" w:color="auto" w:fill="FFFFFF"/>
        </w:rPr>
      </w:pPr>
      <w:r w:rsidRPr="00B16629">
        <w:rPr>
          <w:sz w:val="24"/>
          <w:szCs w:val="24"/>
          <w:u w:val="single"/>
          <w:shd w:val="clear" w:color="auto" w:fill="FFFFFF"/>
        </w:rPr>
        <w:t>____</w:t>
      </w:r>
      <w:r w:rsidRPr="006A3942">
        <w:rPr>
          <w:sz w:val="22"/>
          <w:szCs w:val="22"/>
          <w:u w:val="single"/>
          <w:shd w:val="clear" w:color="auto" w:fill="FFFFFF"/>
        </w:rPr>
        <w:t xml:space="preserve">ADMITIDOS + DESLIGAMENTOS/2____ </w:t>
      </w:r>
      <w:r w:rsidR="006A3942">
        <w:rPr>
          <w:sz w:val="22"/>
          <w:szCs w:val="22"/>
          <w:u w:val="single"/>
          <w:shd w:val="clear" w:color="auto" w:fill="FFFFFF"/>
        </w:rPr>
        <w:t xml:space="preserve">     </w:t>
      </w:r>
      <w:proofErr w:type="gramStart"/>
      <w:r w:rsidR="006A3942">
        <w:rPr>
          <w:sz w:val="22"/>
          <w:szCs w:val="22"/>
          <w:u w:val="single"/>
          <w:shd w:val="clear" w:color="auto" w:fill="FFFFFF"/>
        </w:rPr>
        <w:t>X</w:t>
      </w:r>
      <w:r w:rsidR="006A3942">
        <w:rPr>
          <w:sz w:val="22"/>
          <w:szCs w:val="22"/>
          <w:shd w:val="clear" w:color="auto" w:fill="FFFFFF"/>
        </w:rPr>
        <w:t xml:space="preserve">  </w:t>
      </w:r>
      <w:r w:rsidRPr="006A3942">
        <w:rPr>
          <w:sz w:val="22"/>
          <w:szCs w:val="22"/>
          <w:shd w:val="clear" w:color="auto" w:fill="FFFFFF"/>
        </w:rPr>
        <w:t>100</w:t>
      </w:r>
      <w:proofErr w:type="gramEnd"/>
    </w:p>
    <w:p w:rsidR="00437EB5" w:rsidRPr="006A3942" w:rsidRDefault="006A3942" w:rsidP="006A3942">
      <w:pPr>
        <w:spacing w:before="120"/>
        <w:rPr>
          <w:sz w:val="22"/>
          <w:szCs w:val="22"/>
          <w:shd w:val="clear" w:color="auto" w:fill="FFFFFF"/>
        </w:rPr>
      </w:pPr>
      <w:r>
        <w:rPr>
          <w:sz w:val="22"/>
          <w:szCs w:val="22"/>
          <w:shd w:val="clear" w:color="auto" w:fill="FFFFFF"/>
        </w:rPr>
        <w:t xml:space="preserve">                                   </w:t>
      </w:r>
      <w:r w:rsidR="00437EB5" w:rsidRPr="006A3942">
        <w:rPr>
          <w:sz w:val="22"/>
          <w:szCs w:val="22"/>
          <w:shd w:val="clear" w:color="auto" w:fill="FFFFFF"/>
        </w:rPr>
        <w:t>MÉDIA DE TRABALHADORES NESTE PERÍODO</w:t>
      </w:r>
    </w:p>
    <w:p w:rsidR="00437EB5" w:rsidRPr="00DB2395" w:rsidRDefault="00437EB5" w:rsidP="00437EB5">
      <w:pPr>
        <w:jc w:val="center"/>
        <w:rPr>
          <w:sz w:val="24"/>
          <w:szCs w:val="24"/>
          <w:shd w:val="clear" w:color="auto" w:fill="FFFFFF"/>
        </w:rPr>
      </w:pPr>
    </w:p>
    <w:p w:rsidR="00437EB5" w:rsidRDefault="00437EB5" w:rsidP="00437EB5">
      <w:pPr>
        <w:spacing w:after="120"/>
        <w:jc w:val="both"/>
      </w:pPr>
      <w:r w:rsidRPr="00DB2395">
        <w:rPr>
          <w:sz w:val="24"/>
          <w:szCs w:val="24"/>
        </w:rPr>
        <w:tab/>
        <w:t>Apresenta-se n</w:t>
      </w:r>
      <w:r w:rsidR="00953FC8">
        <w:rPr>
          <w:sz w:val="24"/>
          <w:szCs w:val="24"/>
        </w:rPr>
        <w:t>a</w:t>
      </w:r>
      <w:r w:rsidRPr="00DB2395">
        <w:rPr>
          <w:sz w:val="24"/>
          <w:szCs w:val="24"/>
        </w:rPr>
        <w:t xml:space="preserve"> </w:t>
      </w:r>
      <w:r>
        <w:rPr>
          <w:sz w:val="24"/>
          <w:szCs w:val="24"/>
        </w:rPr>
        <w:t>Tabela</w:t>
      </w:r>
      <w:r w:rsidRPr="00DB2395">
        <w:rPr>
          <w:sz w:val="24"/>
          <w:szCs w:val="24"/>
        </w:rPr>
        <w:t xml:space="preserve"> 4 o índice de rotatividade das empresas utilizadas como amostra, evidenciados nos Formulários de Referência/14. Recursos Humanos/14.3 Política de Remuneração dos empregados.</w:t>
      </w:r>
    </w:p>
    <w:p w:rsidR="00437EB5" w:rsidRPr="004A04D0" w:rsidRDefault="00437EB5" w:rsidP="00437EB5">
      <w:pPr>
        <w:spacing w:after="120"/>
        <w:rPr>
          <w:b/>
        </w:rPr>
      </w:pPr>
      <w:r>
        <w:rPr>
          <w:b/>
        </w:rPr>
        <w:t>Tabela</w:t>
      </w:r>
      <w:r w:rsidRPr="00DB2395">
        <w:rPr>
          <w:b/>
        </w:rPr>
        <w:t xml:space="preserve"> 4: Índice de Rotatividade</w:t>
      </w:r>
    </w:p>
    <w:p w:rsidR="00437EB5" w:rsidRDefault="00437EB5" w:rsidP="00437EB5">
      <w:pPr>
        <w:spacing w:after="120"/>
      </w:pPr>
      <w:r w:rsidRPr="004A04D0">
        <w:rPr>
          <w:noProof/>
        </w:rPr>
        <w:lastRenderedPageBreak/>
        <w:drawing>
          <wp:inline distT="0" distB="0" distL="0" distR="0" wp14:anchorId="646E5538" wp14:editId="77C82746">
            <wp:extent cx="5772150" cy="32575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37EB5" w:rsidRDefault="00437EB5" w:rsidP="00437EB5">
      <w:pPr>
        <w:spacing w:after="120"/>
      </w:pPr>
      <w:r w:rsidRPr="004A04D0">
        <w:t xml:space="preserve">Fonte: </w:t>
      </w:r>
      <w:r w:rsidR="00004FF3">
        <w:t>D</w:t>
      </w:r>
      <w:r w:rsidRPr="004A04D0">
        <w:t>ados da pesquisa.</w:t>
      </w:r>
    </w:p>
    <w:p w:rsidR="00DD5A42" w:rsidRDefault="00437EB5" w:rsidP="00DD5A42">
      <w:pPr>
        <w:jc w:val="both"/>
        <w:rPr>
          <w:sz w:val="24"/>
          <w:szCs w:val="24"/>
        </w:rPr>
      </w:pPr>
      <w:r>
        <w:tab/>
      </w:r>
      <w:r w:rsidR="00DD5A42" w:rsidRPr="00DB2395">
        <w:rPr>
          <w:sz w:val="24"/>
          <w:szCs w:val="24"/>
        </w:rPr>
        <w:t xml:space="preserve">Com os dados </w:t>
      </w:r>
      <w:r w:rsidR="00DD5A42">
        <w:rPr>
          <w:sz w:val="24"/>
          <w:szCs w:val="24"/>
        </w:rPr>
        <w:t>da Tabela</w:t>
      </w:r>
      <w:r w:rsidR="00DD5A42" w:rsidRPr="00DB2395">
        <w:rPr>
          <w:sz w:val="24"/>
          <w:szCs w:val="24"/>
        </w:rPr>
        <w:t xml:space="preserve"> 4 se observa o nível de demissões ocorridas em 2016 pelo Banco Pan S.A, Banco ABC do Brasil e Banco Patagônia</w:t>
      </w:r>
      <w:r w:rsidR="00DD5A42">
        <w:rPr>
          <w:sz w:val="24"/>
          <w:szCs w:val="24"/>
        </w:rPr>
        <w:t xml:space="preserve">, </w:t>
      </w:r>
      <w:r w:rsidR="00DD5A42" w:rsidRPr="00DB2395">
        <w:rPr>
          <w:sz w:val="24"/>
          <w:szCs w:val="24"/>
        </w:rPr>
        <w:t>os mesmos não possuem registros do motivo do número de rotatividade</w:t>
      </w:r>
      <w:r w:rsidR="00DD5A42">
        <w:rPr>
          <w:sz w:val="24"/>
          <w:szCs w:val="24"/>
        </w:rPr>
        <w:t>. J</w:t>
      </w:r>
      <w:r w:rsidR="00DD5A42" w:rsidRPr="00DB2395">
        <w:rPr>
          <w:sz w:val="24"/>
          <w:szCs w:val="24"/>
        </w:rPr>
        <w:t xml:space="preserve">á o Banco do Brasil </w:t>
      </w:r>
      <w:r w:rsidR="00DD5A42">
        <w:rPr>
          <w:sz w:val="24"/>
          <w:szCs w:val="24"/>
        </w:rPr>
        <w:t xml:space="preserve">indica </w:t>
      </w:r>
      <w:r w:rsidR="00DD5A42" w:rsidRPr="00DB2395">
        <w:rPr>
          <w:sz w:val="24"/>
          <w:szCs w:val="24"/>
        </w:rPr>
        <w:t>que se deu pelo fechamento de 402 agências e um total de 18 mil demissões</w:t>
      </w:r>
      <w:r w:rsidR="00DD5A42">
        <w:rPr>
          <w:sz w:val="24"/>
          <w:szCs w:val="24"/>
        </w:rPr>
        <w:t xml:space="preserve"> não compulsoriamente, já que essas demissões foram de aposentados e de plano de demissões voluntárias no período de 2015 a 2016. O Santander </w:t>
      </w:r>
      <w:r w:rsidR="00DD5A42" w:rsidRPr="00DB2395">
        <w:rPr>
          <w:sz w:val="24"/>
          <w:szCs w:val="24"/>
        </w:rPr>
        <w:t>teve em torno de 2</w:t>
      </w:r>
      <w:r w:rsidR="00DD5A42">
        <w:rPr>
          <w:sz w:val="24"/>
          <w:szCs w:val="24"/>
        </w:rPr>
        <w:t>.</w:t>
      </w:r>
      <w:r w:rsidR="00DD5A42" w:rsidRPr="00DB2395">
        <w:rPr>
          <w:sz w:val="24"/>
          <w:szCs w:val="24"/>
        </w:rPr>
        <w:t>633 demissões até a metade de 2016, esses cortes operacio</w:t>
      </w:r>
      <w:r w:rsidR="00DD5A42">
        <w:rPr>
          <w:sz w:val="24"/>
          <w:szCs w:val="24"/>
        </w:rPr>
        <w:t xml:space="preserve">nais tiveram </w:t>
      </w:r>
      <w:r w:rsidR="00DD5A42" w:rsidRPr="00DB2395">
        <w:rPr>
          <w:sz w:val="24"/>
          <w:szCs w:val="24"/>
        </w:rPr>
        <w:t>como principal motivo melhorar o capital principal das instituições, outra instituição que teve publicação justificando os cortes de pessoal foi o Banco BANASE que em 2016, o índice de rotatividade de empregados na empresa atingiu 1,2%. Desse percentual, tiveram 5 desligamentos provenientes de aposentadoria por tempo de serviço e 7 a pedido e, em contrapartida, ocorreu a contratação de 10 novos empregados na empresa.</w:t>
      </w:r>
      <w:r w:rsidR="00DD5A42">
        <w:rPr>
          <w:sz w:val="24"/>
          <w:szCs w:val="24"/>
        </w:rPr>
        <w:t xml:space="preserve"> </w:t>
      </w:r>
    </w:p>
    <w:p w:rsidR="00DD5A42" w:rsidRPr="00BC078F" w:rsidRDefault="00DD5A42" w:rsidP="00DD5A42">
      <w:pPr>
        <w:ind w:firstLine="708"/>
        <w:jc w:val="both"/>
        <w:rPr>
          <w:sz w:val="24"/>
          <w:szCs w:val="24"/>
        </w:rPr>
      </w:pPr>
      <w:r>
        <w:rPr>
          <w:sz w:val="24"/>
          <w:szCs w:val="24"/>
        </w:rPr>
        <w:t>Também pode-se observar que as instituições com maior rotatividade não são as que menos possuem evidenciação de benefícios, pois o Banco do Nordeste teve um índice de 0,53% e teve somente 8 evidenciações, e a instituição que possui o maior índice de rotatividade teve somente 9 benefícios com 20,21% de rotatividade.</w:t>
      </w:r>
    </w:p>
    <w:p w:rsidR="00437EB5" w:rsidRDefault="00437EB5" w:rsidP="00DD5A42">
      <w:pPr>
        <w:ind w:firstLine="708"/>
        <w:jc w:val="both"/>
        <w:rPr>
          <w:sz w:val="24"/>
          <w:szCs w:val="24"/>
        </w:rPr>
      </w:pPr>
      <w:r>
        <w:rPr>
          <w:sz w:val="24"/>
          <w:szCs w:val="24"/>
        </w:rPr>
        <w:t>Um dos motivos desligamento volunt</w:t>
      </w:r>
      <w:r w:rsidR="000B7939">
        <w:rPr>
          <w:sz w:val="24"/>
          <w:szCs w:val="24"/>
        </w:rPr>
        <w:t>á</w:t>
      </w:r>
      <w:r>
        <w:rPr>
          <w:sz w:val="24"/>
          <w:szCs w:val="24"/>
        </w:rPr>
        <w:t xml:space="preserve">rio pode-se dar por salários defasados em relação com a exigência de metas exercida pela instituição, falta de uma política de desenvolvimento clara e promissória, liderança </w:t>
      </w:r>
      <w:r w:rsidRPr="00C13D95">
        <w:rPr>
          <w:sz w:val="24"/>
          <w:szCs w:val="24"/>
        </w:rPr>
        <w:t>desrespeitosa</w:t>
      </w:r>
      <w:r>
        <w:rPr>
          <w:sz w:val="24"/>
          <w:szCs w:val="24"/>
        </w:rPr>
        <w:t xml:space="preserve"> e opressora, esses são alguns dos motivos que podem fazer com que o funcionário peça demissão, também não se pode levar em consideração motivos pessoais, já eu a economia e a área de atuação da empresa podem influenciar na decisão tanto nas demissões voluntárias quanto nas involuntárias.</w:t>
      </w:r>
    </w:p>
    <w:p w:rsidR="000248D3" w:rsidRPr="00DB2395" w:rsidRDefault="000248D3" w:rsidP="000248D3">
      <w:pPr>
        <w:ind w:firstLine="708"/>
        <w:jc w:val="both"/>
        <w:rPr>
          <w:sz w:val="24"/>
          <w:szCs w:val="24"/>
        </w:rPr>
      </w:pPr>
      <w:r>
        <w:rPr>
          <w:sz w:val="24"/>
          <w:szCs w:val="24"/>
        </w:rPr>
        <w:t>Por meio</w:t>
      </w:r>
      <w:r w:rsidRPr="00DB2395">
        <w:rPr>
          <w:sz w:val="24"/>
          <w:szCs w:val="24"/>
        </w:rPr>
        <w:t xml:space="preserve"> d</w:t>
      </w:r>
      <w:r>
        <w:rPr>
          <w:sz w:val="24"/>
          <w:szCs w:val="24"/>
        </w:rPr>
        <w:t>a</w:t>
      </w:r>
      <w:r w:rsidRPr="00DB2395">
        <w:rPr>
          <w:sz w:val="24"/>
          <w:szCs w:val="24"/>
        </w:rPr>
        <w:t xml:space="preserve"> </w:t>
      </w:r>
      <w:r>
        <w:rPr>
          <w:sz w:val="24"/>
          <w:szCs w:val="24"/>
        </w:rPr>
        <w:t>Tabela</w:t>
      </w:r>
      <w:r w:rsidRPr="00DB2395">
        <w:rPr>
          <w:sz w:val="24"/>
          <w:szCs w:val="24"/>
        </w:rPr>
        <w:t xml:space="preserve"> 5, observam-se as variáveis já analisadas, com as variáveis de rentabilidade e do valor investido no período de 2016, a fim de verificar a relação entre elas, assim como o grau de investimento em benefícios. Para e</w:t>
      </w:r>
      <w:r>
        <w:rPr>
          <w:sz w:val="24"/>
          <w:szCs w:val="24"/>
        </w:rPr>
        <w:t>n</w:t>
      </w:r>
      <w:r w:rsidRPr="00DB2395">
        <w:rPr>
          <w:sz w:val="24"/>
          <w:szCs w:val="24"/>
        </w:rPr>
        <w:t>fim encontrar indicadores que sejam capazes de explicar o nível de evidenciação dos benefícios nas empresas.</w:t>
      </w:r>
    </w:p>
    <w:p w:rsidR="000B7939" w:rsidRPr="000B7939" w:rsidRDefault="000B7939" w:rsidP="000B7939">
      <w:pPr>
        <w:pStyle w:val="Normal1"/>
        <w:spacing w:before="120"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Tabela</w:t>
      </w:r>
      <w:r w:rsidRPr="00EE2065">
        <w:rPr>
          <w:rFonts w:ascii="Times New Roman" w:eastAsia="Times New Roman" w:hAnsi="Times New Roman" w:cs="Times New Roman"/>
          <w:b/>
          <w:sz w:val="20"/>
          <w:szCs w:val="20"/>
        </w:rPr>
        <w:t xml:space="preserve"> 5: Índice das Variáveis</w:t>
      </w:r>
    </w:p>
    <w:tbl>
      <w:tblPr>
        <w:tblpPr w:leftFromText="141" w:rightFromText="141" w:vertAnchor="text" w:horzAnchor="margin" w:tblpY="80"/>
        <w:tblW w:w="5000" w:type="pct"/>
        <w:tblCellMar>
          <w:left w:w="70" w:type="dxa"/>
          <w:right w:w="70" w:type="dxa"/>
        </w:tblCellMar>
        <w:tblLook w:val="04A0" w:firstRow="1" w:lastRow="0" w:firstColumn="1" w:lastColumn="0" w:noHBand="0" w:noVBand="1"/>
      </w:tblPr>
      <w:tblGrid>
        <w:gridCol w:w="1143"/>
        <w:gridCol w:w="1344"/>
        <w:gridCol w:w="1222"/>
        <w:gridCol w:w="2255"/>
        <w:gridCol w:w="1398"/>
        <w:gridCol w:w="855"/>
        <w:gridCol w:w="838"/>
      </w:tblGrid>
      <w:tr w:rsidR="000B7939" w:rsidRPr="00C6570D" w:rsidTr="000B7939">
        <w:trPr>
          <w:trHeight w:val="703"/>
        </w:trPr>
        <w:tc>
          <w:tcPr>
            <w:tcW w:w="6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939" w:rsidRPr="00F20247" w:rsidRDefault="000B7939" w:rsidP="000B7939">
            <w:pPr>
              <w:jc w:val="center"/>
              <w:rPr>
                <w:b/>
                <w:color w:val="000000" w:themeColor="text1"/>
              </w:rPr>
            </w:pPr>
            <w:r w:rsidRPr="00AB2B1C">
              <w:rPr>
                <w:b/>
                <w:color w:val="000000" w:themeColor="text1"/>
              </w:rPr>
              <w:t>Banco</w:t>
            </w:r>
          </w:p>
        </w:tc>
        <w:tc>
          <w:tcPr>
            <w:tcW w:w="742" w:type="pct"/>
            <w:tcBorders>
              <w:top w:val="single" w:sz="4" w:space="0" w:color="auto"/>
              <w:left w:val="nil"/>
              <w:bottom w:val="single" w:sz="4" w:space="0" w:color="auto"/>
              <w:right w:val="single" w:sz="4" w:space="0" w:color="auto"/>
            </w:tcBorders>
            <w:shd w:val="clear" w:color="auto" w:fill="auto"/>
            <w:vAlign w:val="center"/>
            <w:hideMark/>
          </w:tcPr>
          <w:p w:rsidR="000B7939" w:rsidRPr="00F20247" w:rsidRDefault="000B7939" w:rsidP="000B7939">
            <w:pPr>
              <w:rPr>
                <w:b/>
                <w:color w:val="000000" w:themeColor="text1"/>
              </w:rPr>
            </w:pPr>
            <w:r w:rsidRPr="00AB2B1C">
              <w:rPr>
                <w:b/>
                <w:color w:val="000000" w:themeColor="text1"/>
              </w:rPr>
              <w:t>Nº Benefícios Evidenciados</w:t>
            </w:r>
          </w:p>
        </w:tc>
        <w:tc>
          <w:tcPr>
            <w:tcW w:w="675" w:type="pct"/>
            <w:tcBorders>
              <w:top w:val="single" w:sz="4" w:space="0" w:color="auto"/>
              <w:left w:val="nil"/>
              <w:bottom w:val="single" w:sz="4" w:space="0" w:color="auto"/>
              <w:right w:val="single" w:sz="4" w:space="0" w:color="auto"/>
            </w:tcBorders>
            <w:shd w:val="clear" w:color="auto" w:fill="auto"/>
            <w:vAlign w:val="center"/>
            <w:hideMark/>
          </w:tcPr>
          <w:p w:rsidR="000B7939" w:rsidRPr="00F20247" w:rsidRDefault="000B7939" w:rsidP="000B7939">
            <w:pPr>
              <w:jc w:val="center"/>
              <w:rPr>
                <w:b/>
                <w:color w:val="000000" w:themeColor="text1"/>
              </w:rPr>
            </w:pPr>
            <w:r w:rsidRPr="00AB2B1C">
              <w:rPr>
                <w:b/>
                <w:color w:val="000000" w:themeColor="text1"/>
              </w:rPr>
              <w:t>Nível de Governança</w:t>
            </w:r>
          </w:p>
        </w:tc>
        <w:tc>
          <w:tcPr>
            <w:tcW w:w="1245" w:type="pct"/>
            <w:tcBorders>
              <w:top w:val="single" w:sz="4" w:space="0" w:color="auto"/>
              <w:left w:val="nil"/>
              <w:bottom w:val="single" w:sz="4" w:space="0" w:color="auto"/>
              <w:right w:val="single" w:sz="4" w:space="0" w:color="auto"/>
            </w:tcBorders>
            <w:shd w:val="clear" w:color="auto" w:fill="auto"/>
            <w:vAlign w:val="center"/>
            <w:hideMark/>
          </w:tcPr>
          <w:p w:rsidR="000B7939" w:rsidRPr="00F20247" w:rsidRDefault="000B7939" w:rsidP="000B7939">
            <w:pPr>
              <w:rPr>
                <w:b/>
                <w:color w:val="000000" w:themeColor="text1"/>
              </w:rPr>
            </w:pPr>
            <w:r w:rsidRPr="00AB2B1C">
              <w:rPr>
                <w:b/>
                <w:color w:val="000000" w:themeColor="text1"/>
              </w:rPr>
              <w:t>Empresa de Auditoria</w:t>
            </w:r>
          </w:p>
        </w:tc>
        <w:tc>
          <w:tcPr>
            <w:tcW w:w="772" w:type="pct"/>
            <w:tcBorders>
              <w:top w:val="single" w:sz="4" w:space="0" w:color="auto"/>
              <w:left w:val="nil"/>
              <w:bottom w:val="single" w:sz="4" w:space="0" w:color="auto"/>
              <w:right w:val="single" w:sz="4" w:space="0" w:color="auto"/>
            </w:tcBorders>
            <w:shd w:val="clear" w:color="auto" w:fill="auto"/>
            <w:vAlign w:val="center"/>
            <w:hideMark/>
          </w:tcPr>
          <w:p w:rsidR="000B7939" w:rsidRPr="00F20247" w:rsidRDefault="000B7939" w:rsidP="000B7939">
            <w:pPr>
              <w:rPr>
                <w:b/>
                <w:color w:val="000000" w:themeColor="text1"/>
              </w:rPr>
            </w:pPr>
            <w:r w:rsidRPr="00AB2B1C">
              <w:rPr>
                <w:b/>
                <w:color w:val="000000" w:themeColor="text1"/>
              </w:rPr>
              <w:t>Investimentos em benefícios</w:t>
            </w:r>
          </w:p>
          <w:p w:rsidR="000B7939" w:rsidRPr="00F20247" w:rsidRDefault="000B7939" w:rsidP="000B7939">
            <w:pPr>
              <w:rPr>
                <w:b/>
                <w:color w:val="000000" w:themeColor="text1"/>
              </w:rPr>
            </w:pPr>
            <w:r w:rsidRPr="00AB2B1C">
              <w:rPr>
                <w:b/>
                <w:color w:val="000000" w:themeColor="text1"/>
              </w:rPr>
              <w:t xml:space="preserve">R$ </w:t>
            </w:r>
            <w:proofErr w:type="spellStart"/>
            <w:r w:rsidRPr="00AB2B1C">
              <w:rPr>
                <w:b/>
                <w:color w:val="000000" w:themeColor="text1"/>
              </w:rPr>
              <w:t>Milh</w:t>
            </w:r>
            <w:proofErr w:type="spellEnd"/>
            <w:r w:rsidRPr="00AB2B1C">
              <w:rPr>
                <w:b/>
                <w:color w:val="000000" w:themeColor="text1"/>
              </w:rPr>
              <w:t>/Mil</w:t>
            </w:r>
          </w:p>
        </w:tc>
        <w:tc>
          <w:tcPr>
            <w:tcW w:w="472" w:type="pct"/>
            <w:tcBorders>
              <w:top w:val="single" w:sz="4" w:space="0" w:color="auto"/>
              <w:left w:val="nil"/>
              <w:bottom w:val="single" w:sz="4" w:space="0" w:color="auto"/>
              <w:right w:val="single" w:sz="4" w:space="0" w:color="auto"/>
            </w:tcBorders>
            <w:shd w:val="clear" w:color="auto" w:fill="auto"/>
            <w:vAlign w:val="center"/>
            <w:hideMark/>
          </w:tcPr>
          <w:p w:rsidR="000B7939" w:rsidRPr="00F20247" w:rsidRDefault="000B7939" w:rsidP="000B7939">
            <w:pPr>
              <w:rPr>
                <w:b/>
                <w:color w:val="000000" w:themeColor="text1"/>
              </w:rPr>
            </w:pPr>
            <w:r w:rsidRPr="00AB2B1C">
              <w:rPr>
                <w:b/>
                <w:color w:val="000000" w:themeColor="text1"/>
              </w:rPr>
              <w:t>% Em relação ao Ativo</w:t>
            </w:r>
          </w:p>
        </w:tc>
        <w:tc>
          <w:tcPr>
            <w:tcW w:w="463" w:type="pct"/>
            <w:tcBorders>
              <w:top w:val="single" w:sz="4" w:space="0" w:color="auto"/>
              <w:left w:val="nil"/>
              <w:bottom w:val="single" w:sz="4" w:space="0" w:color="auto"/>
              <w:right w:val="single" w:sz="4" w:space="0" w:color="auto"/>
            </w:tcBorders>
            <w:shd w:val="clear" w:color="auto" w:fill="auto"/>
            <w:vAlign w:val="center"/>
            <w:hideMark/>
          </w:tcPr>
          <w:p w:rsidR="000B7939" w:rsidRPr="00F20247" w:rsidRDefault="000B7939" w:rsidP="000B7939">
            <w:pPr>
              <w:rPr>
                <w:b/>
                <w:color w:val="000000" w:themeColor="text1"/>
              </w:rPr>
            </w:pPr>
            <w:r w:rsidRPr="00AB2B1C">
              <w:rPr>
                <w:b/>
                <w:color w:val="000000" w:themeColor="text1"/>
              </w:rPr>
              <w:t>% Em relação ao PL</w:t>
            </w:r>
          </w:p>
        </w:tc>
      </w:tr>
      <w:tr w:rsidR="000B7939" w:rsidRPr="00C6570D" w:rsidTr="000B7939">
        <w:trPr>
          <w:trHeight w:val="475"/>
        </w:trPr>
        <w:tc>
          <w:tcPr>
            <w:tcW w:w="631" w:type="pct"/>
            <w:tcBorders>
              <w:top w:val="nil"/>
              <w:left w:val="single" w:sz="4" w:space="0" w:color="auto"/>
              <w:bottom w:val="single" w:sz="4" w:space="0" w:color="auto"/>
              <w:right w:val="single" w:sz="4" w:space="0" w:color="auto"/>
            </w:tcBorders>
            <w:shd w:val="clear" w:color="auto" w:fill="auto"/>
            <w:hideMark/>
          </w:tcPr>
          <w:p w:rsidR="000B7939" w:rsidRDefault="000B7939" w:rsidP="000B7939">
            <w:pPr>
              <w:jc w:val="center"/>
              <w:rPr>
                <w:color w:val="000000" w:themeColor="text1"/>
              </w:rPr>
            </w:pPr>
            <w:r w:rsidRPr="00AB2B1C">
              <w:rPr>
                <w:color w:val="000000" w:themeColor="text1"/>
              </w:rPr>
              <w:t>Banco Do Brasil S.A</w:t>
            </w:r>
          </w:p>
        </w:tc>
        <w:tc>
          <w:tcPr>
            <w:tcW w:w="74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17</w:t>
            </w:r>
          </w:p>
        </w:tc>
        <w:tc>
          <w:tcPr>
            <w:tcW w:w="67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NM</w:t>
            </w:r>
          </w:p>
        </w:tc>
        <w:tc>
          <w:tcPr>
            <w:tcW w:w="124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KPMG Auditores Independentes</w:t>
            </w:r>
          </w:p>
        </w:tc>
        <w:tc>
          <w:tcPr>
            <w:tcW w:w="7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20.133.255,00</w:t>
            </w:r>
          </w:p>
        </w:tc>
        <w:tc>
          <w:tcPr>
            <w:tcW w:w="4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1,45%</w:t>
            </w:r>
          </w:p>
        </w:tc>
        <w:tc>
          <w:tcPr>
            <w:tcW w:w="463"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22,35%</w:t>
            </w:r>
          </w:p>
        </w:tc>
      </w:tr>
      <w:tr w:rsidR="000B7939" w:rsidRPr="00C6570D" w:rsidTr="000B7939">
        <w:trPr>
          <w:trHeight w:val="499"/>
        </w:trPr>
        <w:tc>
          <w:tcPr>
            <w:tcW w:w="631" w:type="pct"/>
            <w:tcBorders>
              <w:top w:val="nil"/>
              <w:left w:val="single" w:sz="4" w:space="0" w:color="auto"/>
              <w:bottom w:val="single" w:sz="4" w:space="0" w:color="auto"/>
              <w:right w:val="single" w:sz="4" w:space="0" w:color="auto"/>
            </w:tcBorders>
            <w:shd w:val="clear" w:color="auto" w:fill="auto"/>
            <w:hideMark/>
          </w:tcPr>
          <w:p w:rsidR="000B7939" w:rsidRDefault="000B7939" w:rsidP="000B7939">
            <w:pPr>
              <w:jc w:val="center"/>
              <w:rPr>
                <w:color w:val="000000" w:themeColor="text1"/>
              </w:rPr>
            </w:pPr>
            <w:r w:rsidRPr="00AB2B1C">
              <w:rPr>
                <w:color w:val="000000" w:themeColor="text1"/>
              </w:rPr>
              <w:t>Banco Amazônia S.A</w:t>
            </w:r>
          </w:p>
        </w:tc>
        <w:tc>
          <w:tcPr>
            <w:tcW w:w="74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13</w:t>
            </w:r>
          </w:p>
        </w:tc>
        <w:tc>
          <w:tcPr>
            <w:tcW w:w="67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Bolsa</w:t>
            </w:r>
          </w:p>
        </w:tc>
        <w:tc>
          <w:tcPr>
            <w:tcW w:w="124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KPMG Auditores Independentes</w:t>
            </w:r>
          </w:p>
        </w:tc>
        <w:tc>
          <w:tcPr>
            <w:tcW w:w="772" w:type="pct"/>
            <w:tcBorders>
              <w:top w:val="nil"/>
              <w:left w:val="nil"/>
              <w:bottom w:val="single" w:sz="4" w:space="0" w:color="auto"/>
              <w:right w:val="single" w:sz="4" w:space="0" w:color="auto"/>
            </w:tcBorders>
            <w:shd w:val="clear" w:color="auto" w:fill="auto"/>
            <w:noWrap/>
            <w:vAlign w:val="center"/>
            <w:hideMark/>
          </w:tcPr>
          <w:p w:rsidR="000B7939" w:rsidRDefault="000B7939" w:rsidP="000B7939">
            <w:pPr>
              <w:jc w:val="center"/>
              <w:rPr>
                <w:color w:val="000000" w:themeColor="text1"/>
              </w:rPr>
            </w:pPr>
            <w:r w:rsidRPr="00AB2B1C">
              <w:rPr>
                <w:color w:val="000000" w:themeColor="text1"/>
              </w:rPr>
              <w:t>611.819,00</w:t>
            </w:r>
          </w:p>
        </w:tc>
        <w:tc>
          <w:tcPr>
            <w:tcW w:w="4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4,32%</w:t>
            </w:r>
          </w:p>
        </w:tc>
        <w:tc>
          <w:tcPr>
            <w:tcW w:w="463"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31,22%</w:t>
            </w:r>
          </w:p>
        </w:tc>
      </w:tr>
      <w:tr w:rsidR="000B7939" w:rsidRPr="00C6570D" w:rsidTr="000B7939">
        <w:trPr>
          <w:trHeight w:val="549"/>
        </w:trPr>
        <w:tc>
          <w:tcPr>
            <w:tcW w:w="631" w:type="pct"/>
            <w:tcBorders>
              <w:top w:val="nil"/>
              <w:left w:val="single" w:sz="4" w:space="0" w:color="auto"/>
              <w:bottom w:val="single" w:sz="4" w:space="0" w:color="auto"/>
              <w:right w:val="single" w:sz="4" w:space="0" w:color="auto"/>
            </w:tcBorders>
            <w:shd w:val="clear" w:color="auto" w:fill="auto"/>
            <w:hideMark/>
          </w:tcPr>
          <w:p w:rsidR="000B7939" w:rsidRDefault="000B7939" w:rsidP="000B7939">
            <w:pPr>
              <w:jc w:val="center"/>
              <w:rPr>
                <w:color w:val="000000" w:themeColor="text1"/>
              </w:rPr>
            </w:pPr>
            <w:r w:rsidRPr="00AB2B1C">
              <w:rPr>
                <w:color w:val="000000" w:themeColor="text1"/>
              </w:rPr>
              <w:t>Alfa Holdings S.A</w:t>
            </w:r>
          </w:p>
        </w:tc>
        <w:tc>
          <w:tcPr>
            <w:tcW w:w="74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5</w:t>
            </w:r>
          </w:p>
        </w:tc>
        <w:tc>
          <w:tcPr>
            <w:tcW w:w="67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Bolsa</w:t>
            </w:r>
          </w:p>
        </w:tc>
        <w:tc>
          <w:tcPr>
            <w:tcW w:w="124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KPMG Auditores Independentes</w:t>
            </w:r>
          </w:p>
        </w:tc>
        <w:tc>
          <w:tcPr>
            <w:tcW w:w="7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2.554</w:t>
            </w:r>
            <w:r>
              <w:rPr>
                <w:color w:val="000000" w:themeColor="text1"/>
              </w:rPr>
              <w:t>,00</w:t>
            </w:r>
          </w:p>
        </w:tc>
        <w:tc>
          <w:tcPr>
            <w:tcW w:w="4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0,29%</w:t>
            </w:r>
          </w:p>
        </w:tc>
        <w:tc>
          <w:tcPr>
            <w:tcW w:w="463"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0,29%</w:t>
            </w:r>
          </w:p>
        </w:tc>
      </w:tr>
      <w:tr w:rsidR="000B7939" w:rsidRPr="00C6570D" w:rsidTr="000B7939">
        <w:trPr>
          <w:trHeight w:val="415"/>
        </w:trPr>
        <w:tc>
          <w:tcPr>
            <w:tcW w:w="631" w:type="pct"/>
            <w:tcBorders>
              <w:top w:val="nil"/>
              <w:left w:val="single" w:sz="4" w:space="0" w:color="auto"/>
              <w:bottom w:val="single" w:sz="4" w:space="0" w:color="auto"/>
              <w:right w:val="single" w:sz="4" w:space="0" w:color="auto"/>
            </w:tcBorders>
            <w:shd w:val="clear" w:color="auto" w:fill="auto"/>
            <w:hideMark/>
          </w:tcPr>
          <w:p w:rsidR="000B7939" w:rsidRDefault="000B7939" w:rsidP="000B7939">
            <w:pPr>
              <w:jc w:val="center"/>
              <w:rPr>
                <w:color w:val="000000" w:themeColor="text1"/>
              </w:rPr>
            </w:pPr>
            <w:r w:rsidRPr="00AB2B1C">
              <w:rPr>
                <w:color w:val="000000" w:themeColor="text1"/>
              </w:rPr>
              <w:t>Banco Bradesco S.A</w:t>
            </w:r>
          </w:p>
        </w:tc>
        <w:tc>
          <w:tcPr>
            <w:tcW w:w="74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8</w:t>
            </w:r>
          </w:p>
        </w:tc>
        <w:tc>
          <w:tcPr>
            <w:tcW w:w="67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Nível 1</w:t>
            </w:r>
          </w:p>
        </w:tc>
        <w:tc>
          <w:tcPr>
            <w:tcW w:w="124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KPMG Auditores Independentes</w:t>
            </w:r>
          </w:p>
        </w:tc>
        <w:tc>
          <w:tcPr>
            <w:tcW w:w="7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17.003.783</w:t>
            </w:r>
            <w:r>
              <w:rPr>
                <w:color w:val="000000" w:themeColor="text1"/>
              </w:rPr>
              <w:t>,00</w:t>
            </w:r>
          </w:p>
        </w:tc>
        <w:tc>
          <w:tcPr>
            <w:tcW w:w="4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1,43%</w:t>
            </w:r>
          </w:p>
        </w:tc>
        <w:tc>
          <w:tcPr>
            <w:tcW w:w="463"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16,12%</w:t>
            </w:r>
          </w:p>
        </w:tc>
      </w:tr>
      <w:tr w:rsidR="000B7939" w:rsidRPr="00C6570D" w:rsidTr="000B7939">
        <w:trPr>
          <w:trHeight w:val="507"/>
        </w:trPr>
        <w:tc>
          <w:tcPr>
            <w:tcW w:w="631" w:type="pct"/>
            <w:tcBorders>
              <w:top w:val="nil"/>
              <w:left w:val="single" w:sz="4" w:space="0" w:color="auto"/>
              <w:bottom w:val="single" w:sz="4" w:space="0" w:color="auto"/>
              <w:right w:val="single" w:sz="4" w:space="0" w:color="auto"/>
            </w:tcBorders>
            <w:shd w:val="clear" w:color="auto" w:fill="auto"/>
            <w:hideMark/>
          </w:tcPr>
          <w:p w:rsidR="000B7939" w:rsidRDefault="000B7939" w:rsidP="000B7939">
            <w:pPr>
              <w:jc w:val="center"/>
              <w:rPr>
                <w:color w:val="000000" w:themeColor="text1"/>
              </w:rPr>
            </w:pPr>
            <w:r w:rsidRPr="00AB2B1C">
              <w:rPr>
                <w:color w:val="000000" w:themeColor="text1"/>
              </w:rPr>
              <w:t>Itaú Unibanco Holding S.A</w:t>
            </w:r>
          </w:p>
        </w:tc>
        <w:tc>
          <w:tcPr>
            <w:tcW w:w="74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11</w:t>
            </w:r>
          </w:p>
        </w:tc>
        <w:tc>
          <w:tcPr>
            <w:tcW w:w="67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Nível 1</w:t>
            </w:r>
          </w:p>
        </w:tc>
        <w:tc>
          <w:tcPr>
            <w:tcW w:w="124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proofErr w:type="spellStart"/>
            <w:r w:rsidRPr="00AB2B1C">
              <w:rPr>
                <w:color w:val="000000" w:themeColor="text1"/>
              </w:rPr>
              <w:t>Pricewater</w:t>
            </w:r>
            <w:r>
              <w:rPr>
                <w:color w:val="000000" w:themeColor="text1"/>
              </w:rPr>
              <w:t>h</w:t>
            </w:r>
            <w:r w:rsidRPr="00AB2B1C">
              <w:rPr>
                <w:color w:val="000000" w:themeColor="text1"/>
              </w:rPr>
              <w:t>ouseCoopers</w:t>
            </w:r>
            <w:proofErr w:type="spellEnd"/>
            <w:r w:rsidRPr="00AB2B1C">
              <w:rPr>
                <w:color w:val="000000" w:themeColor="text1"/>
              </w:rPr>
              <w:t xml:space="preserve"> Auditores Independentes</w:t>
            </w:r>
          </w:p>
        </w:tc>
        <w:tc>
          <w:tcPr>
            <w:tcW w:w="7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21.420.469</w:t>
            </w:r>
            <w:r>
              <w:rPr>
                <w:color w:val="000000" w:themeColor="text1"/>
              </w:rPr>
              <w:t>,00</w:t>
            </w:r>
          </w:p>
        </w:tc>
        <w:tc>
          <w:tcPr>
            <w:tcW w:w="4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1,58%</w:t>
            </w:r>
          </w:p>
        </w:tc>
        <w:tc>
          <w:tcPr>
            <w:tcW w:w="463"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15,89%</w:t>
            </w:r>
          </w:p>
        </w:tc>
      </w:tr>
      <w:tr w:rsidR="000B7939" w:rsidRPr="00C6570D" w:rsidTr="000B7939">
        <w:trPr>
          <w:trHeight w:val="429"/>
        </w:trPr>
        <w:tc>
          <w:tcPr>
            <w:tcW w:w="631" w:type="pct"/>
            <w:tcBorders>
              <w:top w:val="nil"/>
              <w:left w:val="single" w:sz="4" w:space="0" w:color="auto"/>
              <w:bottom w:val="single" w:sz="4" w:space="0" w:color="auto"/>
              <w:right w:val="single" w:sz="4" w:space="0" w:color="auto"/>
            </w:tcBorders>
            <w:shd w:val="clear" w:color="auto" w:fill="auto"/>
            <w:hideMark/>
          </w:tcPr>
          <w:p w:rsidR="000B7939" w:rsidRDefault="000B7939" w:rsidP="000B7939">
            <w:pPr>
              <w:jc w:val="center"/>
              <w:rPr>
                <w:color w:val="000000" w:themeColor="text1"/>
              </w:rPr>
            </w:pPr>
            <w:r w:rsidRPr="00AB2B1C">
              <w:rPr>
                <w:color w:val="000000" w:themeColor="text1"/>
              </w:rPr>
              <w:t>Banco Banrisul S.A</w:t>
            </w:r>
          </w:p>
        </w:tc>
        <w:tc>
          <w:tcPr>
            <w:tcW w:w="74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24</w:t>
            </w:r>
          </w:p>
        </w:tc>
        <w:tc>
          <w:tcPr>
            <w:tcW w:w="67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Nível 1</w:t>
            </w:r>
          </w:p>
        </w:tc>
        <w:tc>
          <w:tcPr>
            <w:tcW w:w="1245"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KPMG Auditores Independentes</w:t>
            </w:r>
          </w:p>
        </w:tc>
        <w:tc>
          <w:tcPr>
            <w:tcW w:w="7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1.915.957</w:t>
            </w:r>
            <w:r>
              <w:rPr>
                <w:color w:val="000000" w:themeColor="text1"/>
              </w:rPr>
              <w:t>,00</w:t>
            </w:r>
          </w:p>
        </w:tc>
        <w:tc>
          <w:tcPr>
            <w:tcW w:w="472"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2,73%</w:t>
            </w:r>
          </w:p>
        </w:tc>
        <w:tc>
          <w:tcPr>
            <w:tcW w:w="463" w:type="pct"/>
            <w:tcBorders>
              <w:top w:val="nil"/>
              <w:left w:val="nil"/>
              <w:bottom w:val="single" w:sz="4" w:space="0" w:color="auto"/>
              <w:right w:val="single" w:sz="4" w:space="0" w:color="auto"/>
            </w:tcBorders>
            <w:shd w:val="clear" w:color="auto" w:fill="auto"/>
            <w:vAlign w:val="center"/>
            <w:hideMark/>
          </w:tcPr>
          <w:p w:rsidR="000B7939" w:rsidRDefault="000B7939" w:rsidP="000B7939">
            <w:pPr>
              <w:jc w:val="center"/>
              <w:rPr>
                <w:color w:val="000000" w:themeColor="text1"/>
              </w:rPr>
            </w:pPr>
            <w:r w:rsidRPr="00AB2B1C">
              <w:rPr>
                <w:color w:val="000000" w:themeColor="text1"/>
              </w:rPr>
              <w:t>28,49%</w:t>
            </w:r>
          </w:p>
        </w:tc>
      </w:tr>
      <w:tr w:rsidR="000B7939" w:rsidRPr="00C6570D" w:rsidTr="000B7939">
        <w:trPr>
          <w:trHeight w:val="649"/>
        </w:trPr>
        <w:tc>
          <w:tcPr>
            <w:tcW w:w="631" w:type="pct"/>
            <w:tcBorders>
              <w:top w:val="nil"/>
              <w:left w:val="single" w:sz="4" w:space="0" w:color="auto"/>
              <w:bottom w:val="single" w:sz="4" w:space="0" w:color="auto"/>
              <w:right w:val="single" w:sz="4" w:space="0" w:color="auto"/>
            </w:tcBorders>
            <w:shd w:val="clear" w:color="auto" w:fill="auto"/>
            <w:hideMark/>
          </w:tcPr>
          <w:p w:rsidR="000B7939" w:rsidRDefault="000B7939" w:rsidP="000B7939">
            <w:pPr>
              <w:jc w:val="center"/>
              <w:rPr>
                <w:color w:val="000000" w:themeColor="text1"/>
              </w:rPr>
            </w:pPr>
            <w:r w:rsidRPr="00AB2B1C">
              <w:rPr>
                <w:color w:val="000000" w:themeColor="text1"/>
              </w:rPr>
              <w:t>Banco Santander S.A</w:t>
            </w:r>
          </w:p>
        </w:tc>
        <w:tc>
          <w:tcPr>
            <w:tcW w:w="742" w:type="pct"/>
            <w:tcBorders>
              <w:top w:val="nil"/>
              <w:left w:val="nil"/>
              <w:bottom w:val="single" w:sz="4" w:space="0" w:color="auto"/>
              <w:right w:val="single" w:sz="4" w:space="0" w:color="auto"/>
            </w:tcBorders>
            <w:shd w:val="clear" w:color="auto" w:fill="auto"/>
            <w:vAlign w:val="center"/>
            <w:hideMark/>
          </w:tcPr>
          <w:p w:rsidR="000B7939" w:rsidRPr="00F20247" w:rsidRDefault="000B7939" w:rsidP="000B7939">
            <w:pPr>
              <w:jc w:val="center"/>
              <w:rPr>
                <w:color w:val="000000" w:themeColor="text1"/>
              </w:rPr>
            </w:pPr>
            <w:r w:rsidRPr="00AB2B1C">
              <w:rPr>
                <w:color w:val="000000" w:themeColor="text1"/>
              </w:rPr>
              <w:t>12</w:t>
            </w:r>
          </w:p>
        </w:tc>
        <w:tc>
          <w:tcPr>
            <w:tcW w:w="675" w:type="pct"/>
            <w:tcBorders>
              <w:top w:val="nil"/>
              <w:left w:val="nil"/>
              <w:bottom w:val="single" w:sz="4" w:space="0" w:color="auto"/>
              <w:right w:val="single" w:sz="4" w:space="0" w:color="auto"/>
            </w:tcBorders>
            <w:shd w:val="clear" w:color="auto" w:fill="auto"/>
            <w:vAlign w:val="center"/>
            <w:hideMark/>
          </w:tcPr>
          <w:p w:rsidR="000B7939" w:rsidRPr="00F20247" w:rsidRDefault="000B7939" w:rsidP="000B7939">
            <w:pPr>
              <w:jc w:val="center"/>
              <w:rPr>
                <w:color w:val="000000" w:themeColor="text1"/>
              </w:rPr>
            </w:pPr>
            <w:r w:rsidRPr="00AB2B1C">
              <w:rPr>
                <w:color w:val="000000" w:themeColor="text1"/>
              </w:rPr>
              <w:t>BDR Nível 3</w:t>
            </w:r>
          </w:p>
        </w:tc>
        <w:tc>
          <w:tcPr>
            <w:tcW w:w="1245" w:type="pct"/>
            <w:tcBorders>
              <w:top w:val="nil"/>
              <w:left w:val="nil"/>
              <w:bottom w:val="single" w:sz="4" w:space="0" w:color="auto"/>
              <w:right w:val="single" w:sz="4" w:space="0" w:color="auto"/>
            </w:tcBorders>
            <w:shd w:val="clear" w:color="auto" w:fill="auto"/>
            <w:vAlign w:val="center"/>
            <w:hideMark/>
          </w:tcPr>
          <w:p w:rsidR="000B7939" w:rsidRPr="00F20247" w:rsidRDefault="000B7939" w:rsidP="000B7939">
            <w:pPr>
              <w:jc w:val="center"/>
              <w:rPr>
                <w:color w:val="000000" w:themeColor="text1"/>
              </w:rPr>
            </w:pPr>
            <w:proofErr w:type="spellStart"/>
            <w:r w:rsidRPr="00AB2B1C">
              <w:rPr>
                <w:color w:val="000000" w:themeColor="text1"/>
              </w:rPr>
              <w:t>PricewaterhouseCoopers</w:t>
            </w:r>
            <w:proofErr w:type="spellEnd"/>
            <w:r w:rsidRPr="00AB2B1C">
              <w:rPr>
                <w:color w:val="000000" w:themeColor="text1"/>
              </w:rPr>
              <w:t xml:space="preserve"> Auditores Independentes</w:t>
            </w:r>
          </w:p>
        </w:tc>
        <w:tc>
          <w:tcPr>
            <w:tcW w:w="772" w:type="pct"/>
            <w:tcBorders>
              <w:top w:val="nil"/>
              <w:left w:val="nil"/>
              <w:bottom w:val="single" w:sz="4" w:space="0" w:color="auto"/>
              <w:right w:val="single" w:sz="4" w:space="0" w:color="auto"/>
            </w:tcBorders>
            <w:shd w:val="clear" w:color="auto" w:fill="auto"/>
            <w:vAlign w:val="center"/>
            <w:hideMark/>
          </w:tcPr>
          <w:p w:rsidR="000B7939" w:rsidRPr="00F20247" w:rsidRDefault="000B7939" w:rsidP="000B7939">
            <w:pPr>
              <w:jc w:val="center"/>
              <w:rPr>
                <w:color w:val="000000" w:themeColor="text1"/>
              </w:rPr>
            </w:pPr>
            <w:r w:rsidRPr="00AB2B1C">
              <w:rPr>
                <w:color w:val="000000" w:themeColor="text1"/>
              </w:rPr>
              <w:t>8.377.265</w:t>
            </w:r>
            <w:r>
              <w:rPr>
                <w:color w:val="000000" w:themeColor="text1"/>
              </w:rPr>
              <w:t>,00</w:t>
            </w:r>
          </w:p>
        </w:tc>
        <w:tc>
          <w:tcPr>
            <w:tcW w:w="472" w:type="pct"/>
            <w:tcBorders>
              <w:top w:val="nil"/>
              <w:left w:val="nil"/>
              <w:bottom w:val="single" w:sz="4" w:space="0" w:color="auto"/>
              <w:right w:val="single" w:sz="4" w:space="0" w:color="auto"/>
            </w:tcBorders>
            <w:shd w:val="clear" w:color="auto" w:fill="auto"/>
            <w:vAlign w:val="center"/>
            <w:hideMark/>
          </w:tcPr>
          <w:p w:rsidR="000B7939" w:rsidRPr="00F20247" w:rsidRDefault="000B7939" w:rsidP="000B7939">
            <w:pPr>
              <w:jc w:val="center"/>
              <w:rPr>
                <w:color w:val="000000" w:themeColor="text1"/>
              </w:rPr>
            </w:pPr>
            <w:r w:rsidRPr="00AB2B1C">
              <w:rPr>
                <w:color w:val="000000" w:themeColor="text1"/>
              </w:rPr>
              <w:t>0,18%</w:t>
            </w:r>
          </w:p>
        </w:tc>
        <w:tc>
          <w:tcPr>
            <w:tcW w:w="463" w:type="pct"/>
            <w:tcBorders>
              <w:top w:val="single" w:sz="4" w:space="0" w:color="auto"/>
              <w:left w:val="nil"/>
              <w:bottom w:val="single" w:sz="4" w:space="0" w:color="auto"/>
              <w:right w:val="single" w:sz="4" w:space="0" w:color="auto"/>
            </w:tcBorders>
            <w:shd w:val="clear" w:color="auto" w:fill="auto"/>
            <w:vAlign w:val="center"/>
            <w:hideMark/>
          </w:tcPr>
          <w:p w:rsidR="000B7939" w:rsidRPr="00F20247" w:rsidRDefault="000B7939" w:rsidP="000B7939">
            <w:pPr>
              <w:jc w:val="center"/>
              <w:rPr>
                <w:color w:val="000000" w:themeColor="text1"/>
              </w:rPr>
            </w:pPr>
            <w:r w:rsidRPr="00AB2B1C">
              <w:rPr>
                <w:color w:val="000000" w:themeColor="text1"/>
              </w:rPr>
              <w:t>2,37%</w:t>
            </w:r>
          </w:p>
        </w:tc>
      </w:tr>
      <w:tr w:rsidR="000B7939" w:rsidRPr="00C6570D" w:rsidTr="000B7939">
        <w:trPr>
          <w:trHeight w:val="569"/>
        </w:trPr>
        <w:tc>
          <w:tcPr>
            <w:tcW w:w="631" w:type="pct"/>
            <w:tcBorders>
              <w:top w:val="single" w:sz="4" w:space="0" w:color="auto"/>
              <w:left w:val="single" w:sz="4" w:space="0" w:color="auto"/>
              <w:bottom w:val="single" w:sz="4" w:space="0" w:color="auto"/>
              <w:right w:val="single" w:sz="4" w:space="0" w:color="auto"/>
            </w:tcBorders>
            <w:shd w:val="clear" w:color="auto" w:fill="auto"/>
          </w:tcPr>
          <w:p w:rsidR="000B7939" w:rsidRPr="00F20247" w:rsidRDefault="000B7939" w:rsidP="000B7939">
            <w:pPr>
              <w:jc w:val="center"/>
              <w:rPr>
                <w:bCs/>
                <w:color w:val="000000" w:themeColor="text1"/>
              </w:rPr>
            </w:pPr>
            <w:r w:rsidRPr="00F20247">
              <w:rPr>
                <w:rStyle w:val="label"/>
                <w:bCs/>
                <w:color w:val="000000" w:themeColor="text1"/>
              </w:rPr>
              <w:t>Banco ABC Brasil S.A</w:t>
            </w:r>
          </w:p>
        </w:tc>
        <w:tc>
          <w:tcPr>
            <w:tcW w:w="742" w:type="pct"/>
            <w:tcBorders>
              <w:top w:val="single" w:sz="4" w:space="0" w:color="auto"/>
              <w:left w:val="nil"/>
              <w:bottom w:val="single" w:sz="4" w:space="0" w:color="auto"/>
              <w:right w:val="single" w:sz="4" w:space="0" w:color="auto"/>
            </w:tcBorders>
            <w:shd w:val="clear" w:color="auto" w:fill="auto"/>
            <w:vAlign w:val="center"/>
          </w:tcPr>
          <w:p w:rsidR="000B7939" w:rsidRPr="00F20247" w:rsidRDefault="000B7939" w:rsidP="000B7939">
            <w:pPr>
              <w:jc w:val="center"/>
              <w:rPr>
                <w:color w:val="000000" w:themeColor="text1"/>
              </w:rPr>
            </w:pPr>
            <w:r w:rsidRPr="00AB2B1C">
              <w:rPr>
                <w:color w:val="000000" w:themeColor="text1"/>
              </w:rPr>
              <w:t>4</w:t>
            </w:r>
          </w:p>
        </w:tc>
        <w:tc>
          <w:tcPr>
            <w:tcW w:w="675" w:type="pct"/>
            <w:tcBorders>
              <w:top w:val="single" w:sz="4" w:space="0" w:color="auto"/>
              <w:left w:val="nil"/>
              <w:bottom w:val="single" w:sz="4" w:space="0" w:color="auto"/>
              <w:right w:val="single" w:sz="4" w:space="0" w:color="auto"/>
            </w:tcBorders>
            <w:shd w:val="clear" w:color="auto" w:fill="auto"/>
            <w:vAlign w:val="center"/>
          </w:tcPr>
          <w:p w:rsidR="000B7939" w:rsidRPr="00F20247" w:rsidRDefault="000B7939" w:rsidP="000B7939">
            <w:pPr>
              <w:jc w:val="center"/>
              <w:rPr>
                <w:color w:val="000000" w:themeColor="text1"/>
              </w:rPr>
            </w:pPr>
            <w:r w:rsidRPr="00AB2B1C">
              <w:rPr>
                <w:color w:val="000000" w:themeColor="text1"/>
              </w:rPr>
              <w:t>Nível 2</w:t>
            </w:r>
          </w:p>
        </w:tc>
        <w:tc>
          <w:tcPr>
            <w:tcW w:w="1245" w:type="pct"/>
            <w:tcBorders>
              <w:top w:val="single" w:sz="4" w:space="0" w:color="auto"/>
              <w:left w:val="nil"/>
              <w:bottom w:val="single" w:sz="4" w:space="0" w:color="auto"/>
              <w:right w:val="single" w:sz="4" w:space="0" w:color="auto"/>
            </w:tcBorders>
            <w:shd w:val="clear" w:color="auto" w:fill="auto"/>
            <w:vAlign w:val="center"/>
          </w:tcPr>
          <w:p w:rsidR="000B7939" w:rsidRPr="00F20247" w:rsidRDefault="000B7939" w:rsidP="000B7939">
            <w:pPr>
              <w:jc w:val="center"/>
              <w:rPr>
                <w:color w:val="000000" w:themeColor="text1"/>
              </w:rPr>
            </w:pPr>
            <w:r w:rsidRPr="00AB2B1C">
              <w:rPr>
                <w:color w:val="000000" w:themeColor="text1"/>
              </w:rPr>
              <w:t xml:space="preserve">Ernst &amp; Young </w:t>
            </w:r>
            <w:proofErr w:type="spellStart"/>
            <w:r w:rsidRPr="00AB2B1C">
              <w:rPr>
                <w:color w:val="000000" w:themeColor="text1"/>
              </w:rPr>
              <w:t>Terco</w:t>
            </w:r>
            <w:proofErr w:type="spellEnd"/>
            <w:r w:rsidRPr="00AB2B1C">
              <w:rPr>
                <w:color w:val="000000" w:themeColor="text1"/>
              </w:rPr>
              <w:t xml:space="preserve"> Auditores Independentes</w:t>
            </w:r>
          </w:p>
        </w:tc>
        <w:tc>
          <w:tcPr>
            <w:tcW w:w="772" w:type="pct"/>
            <w:tcBorders>
              <w:top w:val="single" w:sz="4" w:space="0" w:color="auto"/>
              <w:left w:val="nil"/>
              <w:bottom w:val="single" w:sz="4" w:space="0" w:color="auto"/>
              <w:right w:val="single" w:sz="4" w:space="0" w:color="auto"/>
            </w:tcBorders>
            <w:shd w:val="clear" w:color="auto" w:fill="auto"/>
            <w:vAlign w:val="center"/>
          </w:tcPr>
          <w:p w:rsidR="000B7939" w:rsidRPr="00F20247" w:rsidRDefault="000B7939" w:rsidP="000B7939">
            <w:pPr>
              <w:jc w:val="center"/>
              <w:rPr>
                <w:color w:val="000000" w:themeColor="text1"/>
              </w:rPr>
            </w:pPr>
            <w:r w:rsidRPr="00AB2B1C">
              <w:rPr>
                <w:color w:val="000000" w:themeColor="text1"/>
              </w:rPr>
              <w:t>146.664</w:t>
            </w:r>
            <w:r>
              <w:rPr>
                <w:color w:val="000000" w:themeColor="text1"/>
              </w:rPr>
              <w:t>,00</w:t>
            </w:r>
          </w:p>
        </w:tc>
        <w:tc>
          <w:tcPr>
            <w:tcW w:w="472" w:type="pct"/>
            <w:tcBorders>
              <w:top w:val="single" w:sz="4" w:space="0" w:color="auto"/>
              <w:left w:val="nil"/>
              <w:bottom w:val="single" w:sz="4" w:space="0" w:color="auto"/>
              <w:right w:val="single" w:sz="4" w:space="0" w:color="auto"/>
            </w:tcBorders>
            <w:shd w:val="clear" w:color="auto" w:fill="auto"/>
            <w:vAlign w:val="center"/>
          </w:tcPr>
          <w:p w:rsidR="000B7939" w:rsidRPr="00F20247" w:rsidRDefault="000B7939" w:rsidP="000B7939">
            <w:pPr>
              <w:jc w:val="center"/>
              <w:rPr>
                <w:color w:val="000000" w:themeColor="text1"/>
              </w:rPr>
            </w:pPr>
            <w:r w:rsidRPr="00AB2B1C">
              <w:rPr>
                <w:color w:val="000000" w:themeColor="text1"/>
              </w:rPr>
              <w:t>0,57%</w:t>
            </w:r>
          </w:p>
        </w:tc>
        <w:tc>
          <w:tcPr>
            <w:tcW w:w="463" w:type="pct"/>
            <w:tcBorders>
              <w:top w:val="single" w:sz="4" w:space="0" w:color="auto"/>
              <w:left w:val="nil"/>
              <w:bottom w:val="single" w:sz="4" w:space="0" w:color="auto"/>
              <w:right w:val="single" w:sz="4" w:space="0" w:color="auto"/>
            </w:tcBorders>
            <w:shd w:val="clear" w:color="auto" w:fill="auto"/>
            <w:vAlign w:val="center"/>
          </w:tcPr>
          <w:p w:rsidR="000B7939" w:rsidRPr="00F20247" w:rsidRDefault="000B7939" w:rsidP="000B7939">
            <w:pPr>
              <w:jc w:val="center"/>
              <w:rPr>
                <w:color w:val="000000" w:themeColor="text1"/>
              </w:rPr>
            </w:pPr>
            <w:r w:rsidRPr="00AB2B1C">
              <w:rPr>
                <w:color w:val="000000" w:themeColor="text1"/>
              </w:rPr>
              <w:t>5,07%</w:t>
            </w:r>
          </w:p>
        </w:tc>
      </w:tr>
      <w:tr w:rsidR="000B7939" w:rsidRPr="00C6570D" w:rsidTr="000B7939">
        <w:trPr>
          <w:trHeight w:val="554"/>
        </w:trPr>
        <w:tc>
          <w:tcPr>
            <w:tcW w:w="631" w:type="pct"/>
            <w:tcBorders>
              <w:top w:val="nil"/>
              <w:left w:val="single" w:sz="4" w:space="0" w:color="auto"/>
              <w:bottom w:val="single" w:sz="4" w:space="0" w:color="auto"/>
              <w:right w:val="single" w:sz="4" w:space="0" w:color="auto"/>
            </w:tcBorders>
            <w:shd w:val="clear" w:color="auto" w:fill="auto"/>
          </w:tcPr>
          <w:p w:rsidR="000B7939" w:rsidRDefault="000B7939" w:rsidP="000B7939">
            <w:pPr>
              <w:jc w:val="center"/>
              <w:rPr>
                <w:rStyle w:val="label"/>
                <w:bCs/>
                <w:color w:val="000000" w:themeColor="text1"/>
              </w:rPr>
            </w:pPr>
            <w:r w:rsidRPr="00F20247">
              <w:rPr>
                <w:rStyle w:val="label"/>
                <w:bCs/>
                <w:color w:val="000000" w:themeColor="text1"/>
              </w:rPr>
              <w:t>Banco Estado Do Pará S.A</w:t>
            </w:r>
          </w:p>
        </w:tc>
        <w:tc>
          <w:tcPr>
            <w:tcW w:w="742" w:type="pct"/>
            <w:tcBorders>
              <w:top w:val="nil"/>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10</w:t>
            </w:r>
          </w:p>
        </w:tc>
        <w:tc>
          <w:tcPr>
            <w:tcW w:w="675" w:type="pct"/>
            <w:tcBorders>
              <w:top w:val="nil"/>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Bolsa</w:t>
            </w:r>
          </w:p>
        </w:tc>
        <w:tc>
          <w:tcPr>
            <w:tcW w:w="1245" w:type="pct"/>
            <w:tcBorders>
              <w:top w:val="nil"/>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KPMG Auditores Independentes</w:t>
            </w:r>
          </w:p>
        </w:tc>
        <w:tc>
          <w:tcPr>
            <w:tcW w:w="772" w:type="pct"/>
            <w:tcBorders>
              <w:top w:val="nil"/>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303.129</w:t>
            </w:r>
            <w:r>
              <w:rPr>
                <w:color w:val="000000" w:themeColor="text1"/>
              </w:rPr>
              <w:t>,00</w:t>
            </w:r>
          </w:p>
        </w:tc>
        <w:tc>
          <w:tcPr>
            <w:tcW w:w="472" w:type="pct"/>
            <w:tcBorders>
              <w:top w:val="nil"/>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4,78%</w:t>
            </w:r>
          </w:p>
        </w:tc>
        <w:tc>
          <w:tcPr>
            <w:tcW w:w="463" w:type="pct"/>
            <w:tcBorders>
              <w:top w:val="nil"/>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36,49%</w:t>
            </w:r>
          </w:p>
        </w:tc>
      </w:tr>
      <w:tr w:rsidR="000B7939" w:rsidRPr="004A67DA" w:rsidTr="000B7939">
        <w:trPr>
          <w:trHeight w:val="690"/>
        </w:trPr>
        <w:tc>
          <w:tcPr>
            <w:tcW w:w="631" w:type="pct"/>
            <w:tcBorders>
              <w:top w:val="single" w:sz="4" w:space="0" w:color="auto"/>
              <w:left w:val="single" w:sz="4" w:space="0" w:color="auto"/>
              <w:bottom w:val="single" w:sz="4" w:space="0" w:color="auto"/>
              <w:right w:val="single" w:sz="4" w:space="0" w:color="auto"/>
            </w:tcBorders>
            <w:shd w:val="clear" w:color="auto" w:fill="auto"/>
          </w:tcPr>
          <w:p w:rsidR="000B7939" w:rsidRDefault="00A269CD" w:rsidP="000B7939">
            <w:pPr>
              <w:jc w:val="center"/>
              <w:rPr>
                <w:rStyle w:val="label"/>
                <w:bCs/>
                <w:color w:val="000000" w:themeColor="text1"/>
              </w:rPr>
            </w:pPr>
            <w:hyperlink r:id="rId11" w:history="1">
              <w:r w:rsidR="000B7939" w:rsidRPr="00F20247">
                <w:rPr>
                  <w:rStyle w:val="Hyperlink"/>
                  <w:rFonts w:eastAsia="Calibri"/>
                  <w:color w:val="000000" w:themeColor="text1"/>
                  <w:shd w:val="clear" w:color="auto" w:fill="FFFFFF"/>
                </w:rPr>
                <w:t>Banco Nordeste Do Brasil S.A.</w:t>
              </w:r>
            </w:hyperlink>
          </w:p>
        </w:tc>
        <w:tc>
          <w:tcPr>
            <w:tcW w:w="74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8</w:t>
            </w:r>
          </w:p>
        </w:tc>
        <w:tc>
          <w:tcPr>
            <w:tcW w:w="675"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Bolsa</w:t>
            </w:r>
          </w:p>
        </w:tc>
        <w:tc>
          <w:tcPr>
            <w:tcW w:w="1245"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 xml:space="preserve">Ernst &amp; Young </w:t>
            </w:r>
            <w:proofErr w:type="spellStart"/>
            <w:r w:rsidRPr="00AB2B1C">
              <w:rPr>
                <w:color w:val="000000" w:themeColor="text1"/>
              </w:rPr>
              <w:t>Terco</w:t>
            </w:r>
            <w:proofErr w:type="spellEnd"/>
            <w:r w:rsidRPr="00AB2B1C">
              <w:rPr>
                <w:color w:val="000000" w:themeColor="text1"/>
              </w:rPr>
              <w:t xml:space="preserve"> Auditores Independentes</w:t>
            </w:r>
          </w:p>
        </w:tc>
        <w:tc>
          <w:tcPr>
            <w:tcW w:w="77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1.070.120</w:t>
            </w:r>
            <w:r>
              <w:rPr>
                <w:color w:val="000000" w:themeColor="text1"/>
              </w:rPr>
              <w:t>,00</w:t>
            </w:r>
          </w:p>
        </w:tc>
        <w:tc>
          <w:tcPr>
            <w:tcW w:w="47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2,31%</w:t>
            </w:r>
          </w:p>
        </w:tc>
        <w:tc>
          <w:tcPr>
            <w:tcW w:w="463"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31,83%</w:t>
            </w:r>
          </w:p>
        </w:tc>
      </w:tr>
      <w:tr w:rsidR="000B7939" w:rsidRPr="004A67DA" w:rsidTr="000B7939">
        <w:trPr>
          <w:trHeight w:val="491"/>
        </w:trPr>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Banco Pan S.A</w:t>
            </w:r>
          </w:p>
        </w:tc>
        <w:tc>
          <w:tcPr>
            <w:tcW w:w="74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9</w:t>
            </w:r>
          </w:p>
        </w:tc>
        <w:tc>
          <w:tcPr>
            <w:tcW w:w="675"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Nível 1</w:t>
            </w:r>
          </w:p>
        </w:tc>
        <w:tc>
          <w:tcPr>
            <w:tcW w:w="1245"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proofErr w:type="spellStart"/>
            <w:r w:rsidRPr="00AB2B1C">
              <w:rPr>
                <w:color w:val="000000" w:themeColor="text1"/>
              </w:rPr>
              <w:t>PricewaterhouseCoopers</w:t>
            </w:r>
            <w:proofErr w:type="spellEnd"/>
            <w:r w:rsidRPr="00AB2B1C">
              <w:rPr>
                <w:color w:val="000000" w:themeColor="text1"/>
              </w:rPr>
              <w:t xml:space="preserve">  Auditores </w:t>
            </w:r>
            <w:proofErr w:type="spellStart"/>
            <w:r w:rsidRPr="00AB2B1C">
              <w:rPr>
                <w:color w:val="000000" w:themeColor="text1"/>
              </w:rPr>
              <w:t>Independ</w:t>
            </w:r>
            <w:proofErr w:type="spellEnd"/>
            <w:r w:rsidRPr="00AB2B1C">
              <w:rPr>
                <w:color w:val="000000" w:themeColor="text1"/>
              </w:rPr>
              <w:t>.</w:t>
            </w:r>
          </w:p>
        </w:tc>
        <w:tc>
          <w:tcPr>
            <w:tcW w:w="77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70.210</w:t>
            </w:r>
            <w:r>
              <w:rPr>
                <w:color w:val="000000" w:themeColor="text1"/>
              </w:rPr>
              <w:t>,00</w:t>
            </w:r>
          </w:p>
        </w:tc>
        <w:tc>
          <w:tcPr>
            <w:tcW w:w="47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0,25%</w:t>
            </w:r>
          </w:p>
        </w:tc>
        <w:tc>
          <w:tcPr>
            <w:tcW w:w="463"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2,03%</w:t>
            </w:r>
          </w:p>
        </w:tc>
      </w:tr>
      <w:tr w:rsidR="000B7939" w:rsidRPr="004A67DA" w:rsidTr="000B7939">
        <w:trPr>
          <w:trHeight w:val="270"/>
        </w:trPr>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rsidR="000B7939" w:rsidRDefault="00A269CD" w:rsidP="000B7939">
            <w:pPr>
              <w:jc w:val="center"/>
              <w:rPr>
                <w:color w:val="000000" w:themeColor="text1"/>
              </w:rPr>
            </w:pPr>
            <w:hyperlink r:id="rId12" w:history="1">
              <w:r w:rsidR="000B7939" w:rsidRPr="00F20247">
                <w:rPr>
                  <w:rStyle w:val="Hyperlink"/>
                  <w:rFonts w:eastAsia="Calibri"/>
                  <w:color w:val="000000" w:themeColor="text1"/>
                  <w:shd w:val="clear" w:color="auto" w:fill="FFFFFF"/>
                </w:rPr>
                <w:t>Banco</w:t>
              </w:r>
            </w:hyperlink>
            <w:r w:rsidR="000B7939" w:rsidRPr="00AB2B1C">
              <w:rPr>
                <w:color w:val="000000" w:themeColor="text1"/>
              </w:rPr>
              <w:t xml:space="preserve"> Patagônia S.A</w:t>
            </w:r>
          </w:p>
        </w:tc>
        <w:tc>
          <w:tcPr>
            <w:tcW w:w="74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8</w:t>
            </w:r>
          </w:p>
        </w:tc>
        <w:tc>
          <w:tcPr>
            <w:tcW w:w="675"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shd w:val="clear" w:color="auto" w:fill="FFFFFF"/>
              </w:rPr>
              <w:t>BDR Nível 3</w:t>
            </w:r>
          </w:p>
        </w:tc>
        <w:tc>
          <w:tcPr>
            <w:tcW w:w="1245"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KPMG Auditores Independentes</w:t>
            </w:r>
          </w:p>
        </w:tc>
        <w:tc>
          <w:tcPr>
            <w:tcW w:w="77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469.831</w:t>
            </w:r>
            <w:r>
              <w:rPr>
                <w:color w:val="000000" w:themeColor="text1"/>
              </w:rPr>
              <w:t>,00</w:t>
            </w:r>
          </w:p>
        </w:tc>
        <w:tc>
          <w:tcPr>
            <w:tcW w:w="47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1,72%</w:t>
            </w:r>
          </w:p>
        </w:tc>
        <w:tc>
          <w:tcPr>
            <w:tcW w:w="463"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13,58%</w:t>
            </w:r>
          </w:p>
        </w:tc>
      </w:tr>
      <w:tr w:rsidR="000B7939" w:rsidRPr="004A67DA" w:rsidTr="000B7939">
        <w:trPr>
          <w:trHeight w:val="660"/>
        </w:trPr>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rsidR="000B7939" w:rsidRDefault="000B7939" w:rsidP="000B7939">
            <w:pPr>
              <w:pStyle w:val="Ttulo2"/>
              <w:shd w:val="clear" w:color="auto" w:fill="FFFFFF"/>
              <w:spacing w:before="0" w:after="0" w:line="240" w:lineRule="auto"/>
              <w:jc w:val="center"/>
              <w:rPr>
                <w:rFonts w:ascii="Times New Roman" w:eastAsia="Georgia" w:hAnsi="Times New Roman" w:cs="Times New Roman"/>
                <w:b w:val="0"/>
                <w:i/>
                <w:color w:val="000000" w:themeColor="text1"/>
                <w:sz w:val="20"/>
                <w:szCs w:val="20"/>
              </w:rPr>
            </w:pPr>
            <w:r w:rsidRPr="00F20247">
              <w:rPr>
                <w:rStyle w:val="label"/>
                <w:rFonts w:ascii="Times New Roman" w:hAnsi="Times New Roman" w:cs="Times New Roman"/>
                <w:b w:val="0"/>
                <w:bCs/>
                <w:color w:val="000000" w:themeColor="text1"/>
                <w:sz w:val="20"/>
                <w:szCs w:val="20"/>
              </w:rPr>
              <w:t>Banco Estado De Sergipe S.A -</w:t>
            </w:r>
            <w:r w:rsidRPr="00AB2B1C">
              <w:rPr>
                <w:rFonts w:ascii="Times New Roman" w:hAnsi="Times New Roman" w:cs="Times New Roman"/>
                <w:b w:val="0"/>
                <w:bCs/>
                <w:color w:val="000000" w:themeColor="text1"/>
                <w:sz w:val="20"/>
                <w:szCs w:val="20"/>
              </w:rPr>
              <w:t xml:space="preserve"> </w:t>
            </w:r>
            <w:r w:rsidRPr="00F20247">
              <w:rPr>
                <w:rStyle w:val="label"/>
                <w:rFonts w:ascii="Times New Roman" w:hAnsi="Times New Roman" w:cs="Times New Roman"/>
                <w:b w:val="0"/>
                <w:bCs/>
                <w:color w:val="000000" w:themeColor="text1"/>
                <w:sz w:val="20"/>
                <w:szCs w:val="20"/>
              </w:rPr>
              <w:t>BANESE</w:t>
            </w:r>
          </w:p>
        </w:tc>
        <w:tc>
          <w:tcPr>
            <w:tcW w:w="74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6</w:t>
            </w:r>
          </w:p>
        </w:tc>
        <w:tc>
          <w:tcPr>
            <w:tcW w:w="675"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Nível 2</w:t>
            </w:r>
          </w:p>
        </w:tc>
        <w:tc>
          <w:tcPr>
            <w:tcW w:w="1245"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proofErr w:type="spellStart"/>
            <w:r w:rsidRPr="00AB2B1C">
              <w:rPr>
                <w:color w:val="000000" w:themeColor="text1"/>
              </w:rPr>
              <w:t>PricewaterhouseCoopers</w:t>
            </w:r>
            <w:proofErr w:type="spellEnd"/>
            <w:r w:rsidRPr="00AB2B1C">
              <w:rPr>
                <w:color w:val="000000" w:themeColor="text1"/>
              </w:rPr>
              <w:t xml:space="preserve"> Auditores </w:t>
            </w:r>
            <w:proofErr w:type="spellStart"/>
            <w:r w:rsidRPr="00AB2B1C">
              <w:rPr>
                <w:color w:val="000000" w:themeColor="text1"/>
              </w:rPr>
              <w:t>Independ</w:t>
            </w:r>
            <w:proofErr w:type="spellEnd"/>
            <w:r w:rsidRPr="00AB2B1C">
              <w:rPr>
                <w:color w:val="000000" w:themeColor="text1"/>
              </w:rPr>
              <w:t>.</w:t>
            </w:r>
          </w:p>
        </w:tc>
        <w:tc>
          <w:tcPr>
            <w:tcW w:w="77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183.894</w:t>
            </w:r>
            <w:r>
              <w:rPr>
                <w:color w:val="000000" w:themeColor="text1"/>
              </w:rPr>
              <w:t>,00</w:t>
            </w:r>
          </w:p>
        </w:tc>
        <w:tc>
          <w:tcPr>
            <w:tcW w:w="472"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3,94%</w:t>
            </w:r>
          </w:p>
        </w:tc>
        <w:tc>
          <w:tcPr>
            <w:tcW w:w="463" w:type="pct"/>
            <w:tcBorders>
              <w:top w:val="single" w:sz="4" w:space="0" w:color="auto"/>
              <w:left w:val="nil"/>
              <w:bottom w:val="single" w:sz="4" w:space="0" w:color="auto"/>
              <w:right w:val="single" w:sz="4" w:space="0" w:color="auto"/>
            </w:tcBorders>
            <w:shd w:val="clear" w:color="auto" w:fill="auto"/>
            <w:vAlign w:val="center"/>
          </w:tcPr>
          <w:p w:rsidR="000B7939" w:rsidRDefault="000B7939" w:rsidP="000B7939">
            <w:pPr>
              <w:jc w:val="center"/>
              <w:rPr>
                <w:color w:val="000000" w:themeColor="text1"/>
              </w:rPr>
            </w:pPr>
            <w:r w:rsidRPr="00AB2B1C">
              <w:rPr>
                <w:color w:val="000000" w:themeColor="text1"/>
              </w:rPr>
              <w:t>55,06%</w:t>
            </w:r>
          </w:p>
        </w:tc>
      </w:tr>
    </w:tbl>
    <w:p w:rsidR="000B7939" w:rsidRDefault="000B7939" w:rsidP="000B7939">
      <w:pPr>
        <w:pStyle w:val="Normal1"/>
        <w:spacing w:after="120" w:line="240" w:lineRule="auto"/>
        <w:jc w:val="both"/>
        <w:rPr>
          <w:rFonts w:ascii="Times New Roman" w:eastAsia="Times New Roman" w:hAnsi="Times New Roman" w:cs="Times New Roman"/>
          <w:sz w:val="20"/>
          <w:szCs w:val="20"/>
        </w:rPr>
      </w:pPr>
      <w:r w:rsidRPr="008F1665">
        <w:rPr>
          <w:rFonts w:ascii="Times New Roman" w:eastAsia="Times New Roman" w:hAnsi="Times New Roman" w:cs="Times New Roman"/>
          <w:sz w:val="20"/>
          <w:szCs w:val="20"/>
        </w:rPr>
        <w:t xml:space="preserve">Fonte: </w:t>
      </w:r>
      <w:r>
        <w:rPr>
          <w:rFonts w:ascii="Times New Roman" w:eastAsia="Times New Roman" w:hAnsi="Times New Roman" w:cs="Times New Roman"/>
          <w:sz w:val="20"/>
          <w:szCs w:val="20"/>
        </w:rPr>
        <w:t>D</w:t>
      </w:r>
      <w:r w:rsidRPr="008F1665">
        <w:rPr>
          <w:rFonts w:ascii="Times New Roman" w:eastAsia="Times New Roman" w:hAnsi="Times New Roman" w:cs="Times New Roman"/>
          <w:sz w:val="20"/>
          <w:szCs w:val="20"/>
        </w:rPr>
        <w:t>ados da pesquisa.</w:t>
      </w:r>
    </w:p>
    <w:p w:rsidR="00437EB5" w:rsidRPr="00080E7E" w:rsidRDefault="00437EB5" w:rsidP="000B7939">
      <w:pPr>
        <w:ind w:firstLine="708"/>
        <w:jc w:val="both"/>
        <w:rPr>
          <w:sz w:val="24"/>
          <w:szCs w:val="24"/>
        </w:rPr>
      </w:pPr>
      <w:r>
        <w:rPr>
          <w:sz w:val="24"/>
          <w:szCs w:val="24"/>
        </w:rPr>
        <w:t>Ao contr</w:t>
      </w:r>
      <w:r w:rsidR="00B16629">
        <w:rPr>
          <w:sz w:val="24"/>
          <w:szCs w:val="24"/>
        </w:rPr>
        <w:t>á</w:t>
      </w:r>
      <w:r>
        <w:rPr>
          <w:sz w:val="24"/>
          <w:szCs w:val="24"/>
        </w:rPr>
        <w:t xml:space="preserve">rio de que muitos pensam um índice de rotatividade muito baixo não é saudável para a empresa, pois </w:t>
      </w:r>
      <w:r w:rsidR="000248D3">
        <w:rPr>
          <w:sz w:val="24"/>
          <w:szCs w:val="24"/>
        </w:rPr>
        <w:t>há</w:t>
      </w:r>
      <w:r>
        <w:rPr>
          <w:sz w:val="24"/>
          <w:szCs w:val="24"/>
        </w:rPr>
        <w:t xml:space="preserve"> momentos em que a empresa precisa se readequar ao mercado e se vê obrigada a substituir seus funcionários por outros com maior conhecimento ou especificações, já </w:t>
      </w:r>
      <w:r w:rsidR="000248D3">
        <w:rPr>
          <w:sz w:val="24"/>
          <w:szCs w:val="24"/>
        </w:rPr>
        <w:t xml:space="preserve">se </w:t>
      </w:r>
      <w:r>
        <w:rPr>
          <w:sz w:val="24"/>
          <w:szCs w:val="24"/>
        </w:rPr>
        <w:t xml:space="preserve">o índice </w:t>
      </w:r>
      <w:r w:rsidR="000248D3">
        <w:rPr>
          <w:sz w:val="24"/>
          <w:szCs w:val="24"/>
        </w:rPr>
        <w:t xml:space="preserve">for </w:t>
      </w:r>
      <w:r>
        <w:rPr>
          <w:sz w:val="24"/>
          <w:szCs w:val="24"/>
        </w:rPr>
        <w:t>relativamente</w:t>
      </w:r>
      <w:r w:rsidR="000248D3">
        <w:rPr>
          <w:sz w:val="24"/>
          <w:szCs w:val="24"/>
        </w:rPr>
        <w:t xml:space="preserve"> superior, pode indicar </w:t>
      </w:r>
      <w:r>
        <w:rPr>
          <w:sz w:val="24"/>
          <w:szCs w:val="24"/>
        </w:rPr>
        <w:t>que a empresa est</w:t>
      </w:r>
      <w:r w:rsidR="00B16629">
        <w:rPr>
          <w:sz w:val="24"/>
          <w:szCs w:val="24"/>
        </w:rPr>
        <w:t>á</w:t>
      </w:r>
      <w:r>
        <w:rPr>
          <w:sz w:val="24"/>
          <w:szCs w:val="24"/>
        </w:rPr>
        <w:t xml:space="preserve"> buscando profissionais mais capacitados</w:t>
      </w:r>
      <w:r w:rsidR="000248D3">
        <w:rPr>
          <w:sz w:val="24"/>
          <w:szCs w:val="24"/>
        </w:rPr>
        <w:t xml:space="preserve">, </w:t>
      </w:r>
      <w:r>
        <w:rPr>
          <w:sz w:val="24"/>
          <w:szCs w:val="24"/>
        </w:rPr>
        <w:t xml:space="preserve">como por exemplo um funcionário com outras </w:t>
      </w:r>
      <w:r>
        <w:rPr>
          <w:sz w:val="24"/>
          <w:szCs w:val="24"/>
        </w:rPr>
        <w:lastRenderedPageBreak/>
        <w:t>especificações entre eles profissionais com nível de graduação superior, fluência em outras línguas</w:t>
      </w:r>
      <w:r w:rsidR="000248D3">
        <w:rPr>
          <w:sz w:val="24"/>
          <w:szCs w:val="24"/>
        </w:rPr>
        <w:t xml:space="preserve">, </w:t>
      </w:r>
      <w:r w:rsidR="000248D3" w:rsidRPr="00080E7E">
        <w:rPr>
          <w:sz w:val="24"/>
          <w:szCs w:val="24"/>
        </w:rPr>
        <w:t>etc</w:t>
      </w:r>
      <w:r w:rsidRPr="00080E7E">
        <w:rPr>
          <w:sz w:val="24"/>
          <w:szCs w:val="24"/>
        </w:rPr>
        <w:t>.</w:t>
      </w:r>
    </w:p>
    <w:p w:rsidR="00437EB5" w:rsidRPr="00080E7E" w:rsidRDefault="00437EB5" w:rsidP="00080E7E">
      <w:pPr>
        <w:jc w:val="both"/>
        <w:rPr>
          <w:sz w:val="24"/>
          <w:szCs w:val="24"/>
        </w:rPr>
      </w:pPr>
      <w:r w:rsidRPr="00080E7E">
        <w:rPr>
          <w:sz w:val="24"/>
          <w:szCs w:val="24"/>
        </w:rPr>
        <w:tab/>
        <w:t>Em relação à empresa responsável ela auditoria</w:t>
      </w:r>
      <w:r w:rsidR="000248D3" w:rsidRPr="00080E7E">
        <w:rPr>
          <w:sz w:val="24"/>
          <w:szCs w:val="24"/>
        </w:rPr>
        <w:t xml:space="preserve">, identificou-se que </w:t>
      </w:r>
      <w:r w:rsidRPr="00080E7E">
        <w:rPr>
          <w:sz w:val="24"/>
          <w:szCs w:val="24"/>
        </w:rPr>
        <w:t xml:space="preserve">a KPMG Auditores Independentes </w:t>
      </w:r>
      <w:r w:rsidR="000248D3" w:rsidRPr="00080E7E">
        <w:rPr>
          <w:sz w:val="24"/>
          <w:szCs w:val="24"/>
        </w:rPr>
        <w:t>é</w:t>
      </w:r>
      <w:r w:rsidRPr="00080E7E">
        <w:rPr>
          <w:sz w:val="24"/>
          <w:szCs w:val="24"/>
        </w:rPr>
        <w:t xml:space="preserve"> responsável por auditar 53,85% das empresas </w:t>
      </w:r>
      <w:r w:rsidR="000248D3" w:rsidRPr="00080E7E">
        <w:rPr>
          <w:sz w:val="24"/>
          <w:szCs w:val="24"/>
        </w:rPr>
        <w:t xml:space="preserve">da amostra, </w:t>
      </w:r>
      <w:r w:rsidRPr="00080E7E">
        <w:rPr>
          <w:sz w:val="24"/>
          <w:szCs w:val="24"/>
        </w:rPr>
        <w:t xml:space="preserve">entre as empresas auditadas pela KPMG há uma variação de 61,54% de evidenciação, pode-se constatar que as empresas auditadas pela KPMG </w:t>
      </w:r>
      <w:r w:rsidR="000248D3" w:rsidRPr="00080E7E">
        <w:rPr>
          <w:sz w:val="24"/>
          <w:szCs w:val="24"/>
        </w:rPr>
        <w:t xml:space="preserve">obtiveram </w:t>
      </w:r>
      <w:r w:rsidRPr="00080E7E">
        <w:rPr>
          <w:sz w:val="24"/>
          <w:szCs w:val="24"/>
        </w:rPr>
        <w:t>maior grau de evidenciação.</w:t>
      </w:r>
    </w:p>
    <w:p w:rsidR="00080E7E" w:rsidRPr="000248D3" w:rsidRDefault="00437EB5" w:rsidP="00080E7E">
      <w:pPr>
        <w:jc w:val="both"/>
        <w:rPr>
          <w:sz w:val="24"/>
          <w:szCs w:val="24"/>
        </w:rPr>
      </w:pPr>
      <w:r w:rsidRPr="00080E7E">
        <w:rPr>
          <w:sz w:val="24"/>
          <w:szCs w:val="24"/>
        </w:rPr>
        <w:tab/>
      </w:r>
      <w:r w:rsidR="00080E7E" w:rsidRPr="000248D3">
        <w:rPr>
          <w:sz w:val="24"/>
          <w:szCs w:val="24"/>
        </w:rPr>
        <w:t xml:space="preserve">O estudo de Carneiro et al. (2013), evidenciou o grau de comprometimento das empresas em relação ao nível de governança corporativa, assim como neste estudo não se pode levar em consideração o nível de governança para fins de análise do nível de evidenciação, pois a maioria das empresas são pertencentes à bolsa ou estão no nível 1 e que várias empresas não evidenciam os benefícios de pós-emprego, independentemente do nível de governança, apesar de serem poucas as empresas que estão em um nível diferente de governança, o nível de evidenciação </w:t>
      </w:r>
      <w:r w:rsidR="00080E7E">
        <w:rPr>
          <w:sz w:val="24"/>
          <w:szCs w:val="24"/>
        </w:rPr>
        <w:t xml:space="preserve">foi em </w:t>
      </w:r>
      <w:r w:rsidR="00080E7E" w:rsidRPr="000248D3">
        <w:rPr>
          <w:sz w:val="24"/>
          <w:szCs w:val="24"/>
        </w:rPr>
        <w:t>média de 7 a 8 benefícios</w:t>
      </w:r>
      <w:r w:rsidR="00080E7E">
        <w:rPr>
          <w:sz w:val="24"/>
          <w:szCs w:val="24"/>
        </w:rPr>
        <w:t>.</w:t>
      </w:r>
    </w:p>
    <w:p w:rsidR="00437EB5" w:rsidRPr="00DB2395" w:rsidRDefault="00437EB5" w:rsidP="00080E7E">
      <w:pPr>
        <w:ind w:firstLine="708"/>
        <w:jc w:val="both"/>
        <w:rPr>
          <w:sz w:val="24"/>
          <w:szCs w:val="24"/>
        </w:rPr>
      </w:pPr>
      <w:r w:rsidRPr="00080E7E">
        <w:rPr>
          <w:sz w:val="24"/>
          <w:szCs w:val="24"/>
        </w:rPr>
        <w:t>O investimento em benefício das instituições varia na média de R$ 5.516.073,00, essa variável se destaca</w:t>
      </w:r>
      <w:r w:rsidRPr="00DB2395">
        <w:rPr>
          <w:sz w:val="24"/>
          <w:szCs w:val="24"/>
        </w:rPr>
        <w:t xml:space="preserve"> pelo fato de que nem todas que tem mais investimento em benefícios, um exemplo que deve levado em consideração é do Banco Bradesco S.A</w:t>
      </w:r>
      <w:r w:rsidR="000248D3">
        <w:rPr>
          <w:sz w:val="24"/>
          <w:szCs w:val="24"/>
        </w:rPr>
        <w:t>, o qual</w:t>
      </w:r>
      <w:r w:rsidRPr="00DB2395">
        <w:rPr>
          <w:sz w:val="24"/>
          <w:szCs w:val="24"/>
        </w:rPr>
        <w:t xml:space="preserve"> possui um total de R$ 17.003.783,00 em benefícios, mas publicou apenas 8 benefícios</w:t>
      </w:r>
      <w:r w:rsidR="000248D3">
        <w:rPr>
          <w:sz w:val="24"/>
          <w:szCs w:val="24"/>
        </w:rPr>
        <w:t>. E</w:t>
      </w:r>
      <w:r w:rsidRPr="00DB2395">
        <w:rPr>
          <w:sz w:val="24"/>
          <w:szCs w:val="24"/>
        </w:rPr>
        <w:t xml:space="preserve">m contrapartida o </w:t>
      </w:r>
      <w:r w:rsidR="000248D3">
        <w:rPr>
          <w:sz w:val="24"/>
          <w:szCs w:val="24"/>
        </w:rPr>
        <w:t>B</w:t>
      </w:r>
      <w:r w:rsidRPr="00DB2395">
        <w:rPr>
          <w:sz w:val="24"/>
          <w:szCs w:val="24"/>
        </w:rPr>
        <w:t>anco Alfa Holdings S.A com apenas R$ 2.554,00</w:t>
      </w:r>
      <w:r>
        <w:rPr>
          <w:sz w:val="24"/>
          <w:szCs w:val="24"/>
        </w:rPr>
        <w:t xml:space="preserve"> mil</w:t>
      </w:r>
      <w:r w:rsidRPr="00DB2395">
        <w:rPr>
          <w:sz w:val="24"/>
          <w:szCs w:val="24"/>
        </w:rPr>
        <w:t xml:space="preserve"> publicou um total de 5 benefícios</w:t>
      </w:r>
      <w:r w:rsidR="000248D3">
        <w:rPr>
          <w:sz w:val="24"/>
          <w:szCs w:val="24"/>
        </w:rPr>
        <w:t>. D</w:t>
      </w:r>
      <w:r w:rsidRPr="00DB2395">
        <w:rPr>
          <w:sz w:val="24"/>
          <w:szCs w:val="24"/>
        </w:rPr>
        <w:t>essa forma pode</w:t>
      </w:r>
      <w:r w:rsidR="000248D3">
        <w:rPr>
          <w:sz w:val="24"/>
          <w:szCs w:val="24"/>
        </w:rPr>
        <w:t>-se induzir q</w:t>
      </w:r>
      <w:r w:rsidRPr="00DB2395">
        <w:rPr>
          <w:sz w:val="24"/>
          <w:szCs w:val="24"/>
        </w:rPr>
        <w:t>ue nem todos os benefícios estão sendo publicados pelas instituições.</w:t>
      </w:r>
      <w:r w:rsidR="000B7939">
        <w:rPr>
          <w:sz w:val="24"/>
          <w:szCs w:val="24"/>
        </w:rPr>
        <w:t xml:space="preserve"> </w:t>
      </w:r>
      <w:r w:rsidRPr="00DB2395">
        <w:rPr>
          <w:sz w:val="24"/>
          <w:szCs w:val="24"/>
        </w:rPr>
        <w:t xml:space="preserve">Ao que se diz respeito </w:t>
      </w:r>
      <w:r w:rsidR="000248D3">
        <w:rPr>
          <w:sz w:val="24"/>
          <w:szCs w:val="24"/>
        </w:rPr>
        <w:t>ao</w:t>
      </w:r>
      <w:r w:rsidRPr="00DB2395">
        <w:rPr>
          <w:sz w:val="24"/>
          <w:szCs w:val="24"/>
        </w:rPr>
        <w:t xml:space="preserve"> valor do investimento em benefícios e o ativo total da empresa, foi possível extrair um índice médio de 1,97%</w:t>
      </w:r>
      <w:r w:rsidR="000248D3">
        <w:rPr>
          <w:sz w:val="24"/>
          <w:szCs w:val="24"/>
        </w:rPr>
        <w:t xml:space="preserve">, </w:t>
      </w:r>
      <w:r w:rsidRPr="00DB2395">
        <w:rPr>
          <w:sz w:val="24"/>
          <w:szCs w:val="24"/>
        </w:rPr>
        <w:t>representado por uma variável de 0,18% a 4,78% de investimento em benefícios</w:t>
      </w:r>
      <w:r w:rsidR="000248D3">
        <w:rPr>
          <w:sz w:val="24"/>
          <w:szCs w:val="24"/>
        </w:rPr>
        <w:t xml:space="preserve"> em relação ao total do ativo</w:t>
      </w:r>
      <w:r w:rsidRPr="00DB2395">
        <w:rPr>
          <w:sz w:val="24"/>
          <w:szCs w:val="24"/>
        </w:rPr>
        <w:t>.</w:t>
      </w:r>
    </w:p>
    <w:p w:rsidR="00437EB5" w:rsidRPr="00DB2395" w:rsidRDefault="00437EB5" w:rsidP="00437EB5">
      <w:pPr>
        <w:jc w:val="both"/>
        <w:rPr>
          <w:sz w:val="24"/>
          <w:szCs w:val="24"/>
        </w:rPr>
      </w:pPr>
      <w:r w:rsidRPr="00DB2395">
        <w:rPr>
          <w:sz w:val="24"/>
          <w:szCs w:val="24"/>
        </w:rPr>
        <w:tab/>
        <w:t>Em relação ao Patrimônio Líquido, a variação entre os índices é significa</w:t>
      </w:r>
      <w:r w:rsidR="00B16629">
        <w:rPr>
          <w:sz w:val="24"/>
          <w:szCs w:val="24"/>
        </w:rPr>
        <w:t>ntemente</w:t>
      </w:r>
      <w:r w:rsidRPr="00DB2395">
        <w:rPr>
          <w:sz w:val="24"/>
          <w:szCs w:val="24"/>
        </w:rPr>
        <w:t xml:space="preserve"> maior</w:t>
      </w:r>
      <w:r w:rsidR="00B16629">
        <w:rPr>
          <w:sz w:val="24"/>
          <w:szCs w:val="24"/>
        </w:rPr>
        <w:t>,</w:t>
      </w:r>
      <w:r w:rsidRPr="00DB2395">
        <w:rPr>
          <w:sz w:val="24"/>
          <w:szCs w:val="24"/>
        </w:rPr>
        <w:t xml:space="preserve"> ficando em média de 20,06%, o que representa uma </w:t>
      </w:r>
      <w:r w:rsidR="000248D3">
        <w:rPr>
          <w:sz w:val="24"/>
          <w:szCs w:val="24"/>
        </w:rPr>
        <w:t xml:space="preserve">variação </w:t>
      </w:r>
      <w:r w:rsidRPr="00DB2395">
        <w:rPr>
          <w:sz w:val="24"/>
          <w:szCs w:val="24"/>
        </w:rPr>
        <w:t xml:space="preserve">de 0,29% a 55,06%. O Banco que mais evidenciou </w:t>
      </w:r>
      <w:r w:rsidR="000248D3">
        <w:rPr>
          <w:sz w:val="24"/>
          <w:szCs w:val="24"/>
        </w:rPr>
        <w:t xml:space="preserve">benefícios </w:t>
      </w:r>
      <w:r w:rsidRPr="00DB2395">
        <w:rPr>
          <w:sz w:val="24"/>
          <w:szCs w:val="24"/>
        </w:rPr>
        <w:t xml:space="preserve">foi o Banco do Estado do Rio Grande do Sul que divulgou </w:t>
      </w:r>
      <w:r w:rsidR="000248D3">
        <w:rPr>
          <w:sz w:val="24"/>
          <w:szCs w:val="24"/>
        </w:rPr>
        <w:t xml:space="preserve">ao todo </w:t>
      </w:r>
      <w:r w:rsidRPr="00DB2395">
        <w:rPr>
          <w:sz w:val="24"/>
          <w:szCs w:val="24"/>
        </w:rPr>
        <w:t>24</w:t>
      </w:r>
      <w:r>
        <w:rPr>
          <w:sz w:val="24"/>
          <w:szCs w:val="24"/>
        </w:rPr>
        <w:t xml:space="preserve"> benefícios, </w:t>
      </w:r>
      <w:r w:rsidR="000248D3">
        <w:rPr>
          <w:sz w:val="24"/>
          <w:szCs w:val="24"/>
        </w:rPr>
        <w:t xml:space="preserve">sendo </w:t>
      </w:r>
      <w:r>
        <w:rPr>
          <w:sz w:val="24"/>
          <w:szCs w:val="24"/>
        </w:rPr>
        <w:t>18</w:t>
      </w:r>
      <w:r w:rsidRPr="00DB2395">
        <w:rPr>
          <w:sz w:val="24"/>
          <w:szCs w:val="24"/>
        </w:rPr>
        <w:t xml:space="preserve"> de curto prazo</w:t>
      </w:r>
      <w:r w:rsidR="000248D3">
        <w:rPr>
          <w:sz w:val="24"/>
          <w:szCs w:val="24"/>
        </w:rPr>
        <w:t>, 3</w:t>
      </w:r>
      <w:r>
        <w:rPr>
          <w:sz w:val="24"/>
          <w:szCs w:val="24"/>
        </w:rPr>
        <w:t xml:space="preserve"> de pós-emprego e 3</w:t>
      </w:r>
      <w:r w:rsidRPr="00DB2395">
        <w:rPr>
          <w:sz w:val="24"/>
          <w:szCs w:val="24"/>
        </w:rPr>
        <w:t xml:space="preserve"> de longo prazo.</w:t>
      </w:r>
    </w:p>
    <w:p w:rsidR="000E0FA8" w:rsidRPr="00DB2395" w:rsidRDefault="000E0FA8" w:rsidP="000E0FA8">
      <w:pPr>
        <w:ind w:firstLine="708"/>
        <w:jc w:val="both"/>
        <w:rPr>
          <w:sz w:val="24"/>
          <w:szCs w:val="24"/>
        </w:rPr>
      </w:pPr>
      <w:r>
        <w:rPr>
          <w:sz w:val="24"/>
          <w:szCs w:val="24"/>
        </w:rPr>
        <w:t xml:space="preserve">De forma geral, os resultados corroboram com </w:t>
      </w:r>
      <w:r w:rsidRPr="00DB2395">
        <w:rPr>
          <w:sz w:val="24"/>
          <w:szCs w:val="24"/>
        </w:rPr>
        <w:t>o estudo de Oswaldo et al. (2016)</w:t>
      </w:r>
      <w:r>
        <w:rPr>
          <w:sz w:val="24"/>
          <w:szCs w:val="24"/>
        </w:rPr>
        <w:t xml:space="preserve">, o qual destaca que </w:t>
      </w:r>
      <w:r w:rsidRPr="00DB2395">
        <w:rPr>
          <w:sz w:val="24"/>
          <w:szCs w:val="24"/>
        </w:rPr>
        <w:t>as empresas não evidenciam totalmente os quesitos</w:t>
      </w:r>
      <w:r>
        <w:rPr>
          <w:sz w:val="24"/>
          <w:szCs w:val="24"/>
        </w:rPr>
        <w:t xml:space="preserve"> ou critérios estabelecidos pelo</w:t>
      </w:r>
      <w:r w:rsidRPr="00DB2395">
        <w:rPr>
          <w:sz w:val="24"/>
          <w:szCs w:val="24"/>
        </w:rPr>
        <w:t xml:space="preserve"> do CPC 33 (2009)</w:t>
      </w:r>
      <w:r>
        <w:rPr>
          <w:sz w:val="24"/>
          <w:szCs w:val="24"/>
        </w:rPr>
        <w:t xml:space="preserve">, </w:t>
      </w:r>
      <w:r w:rsidRPr="00DB2395">
        <w:rPr>
          <w:sz w:val="24"/>
          <w:szCs w:val="24"/>
        </w:rPr>
        <w:t xml:space="preserve">ou por não estarem descriminados corretamente os benefícios de curto prazo </w:t>
      </w:r>
      <w:r>
        <w:rPr>
          <w:sz w:val="24"/>
          <w:szCs w:val="24"/>
        </w:rPr>
        <w:t>ou</w:t>
      </w:r>
      <w:r w:rsidRPr="00DB2395">
        <w:rPr>
          <w:sz w:val="24"/>
          <w:szCs w:val="24"/>
        </w:rPr>
        <w:t xml:space="preserve"> de pós-emprego</w:t>
      </w:r>
      <w:r>
        <w:rPr>
          <w:sz w:val="24"/>
          <w:szCs w:val="24"/>
        </w:rPr>
        <w:t xml:space="preserve">, dificultando </w:t>
      </w:r>
      <w:r w:rsidRPr="00DB2395">
        <w:rPr>
          <w:sz w:val="24"/>
          <w:szCs w:val="24"/>
        </w:rPr>
        <w:t>a classificação</w:t>
      </w:r>
      <w:r>
        <w:rPr>
          <w:sz w:val="24"/>
          <w:szCs w:val="24"/>
        </w:rPr>
        <w:t xml:space="preserve"> e análise destes, como por exemplo</w:t>
      </w:r>
      <w:r w:rsidRPr="00DB2395">
        <w:rPr>
          <w:sz w:val="24"/>
          <w:szCs w:val="24"/>
        </w:rPr>
        <w:t xml:space="preserve"> a licença anual remunerada e a</w:t>
      </w:r>
      <w:r>
        <w:rPr>
          <w:sz w:val="24"/>
          <w:szCs w:val="24"/>
        </w:rPr>
        <w:t>s</w:t>
      </w:r>
      <w:r w:rsidRPr="00DB2395">
        <w:rPr>
          <w:sz w:val="24"/>
          <w:szCs w:val="24"/>
        </w:rPr>
        <w:t xml:space="preserve"> participações nos lucros</w:t>
      </w:r>
      <w:r>
        <w:rPr>
          <w:sz w:val="24"/>
          <w:szCs w:val="24"/>
        </w:rPr>
        <w:t>.</w:t>
      </w:r>
    </w:p>
    <w:p w:rsidR="00437EB5" w:rsidRDefault="00437EB5" w:rsidP="00437EB5"/>
    <w:p w:rsidR="00437EB5" w:rsidRPr="00DB2395" w:rsidRDefault="00437EB5" w:rsidP="00437EB5">
      <w:pPr>
        <w:rPr>
          <w:b/>
          <w:sz w:val="24"/>
          <w:szCs w:val="24"/>
        </w:rPr>
      </w:pPr>
      <w:r w:rsidRPr="00AB2B1C">
        <w:rPr>
          <w:b/>
          <w:sz w:val="24"/>
          <w:szCs w:val="24"/>
        </w:rPr>
        <w:t xml:space="preserve">5 </w:t>
      </w:r>
      <w:r w:rsidR="00B16629" w:rsidRPr="00AB2B1C">
        <w:rPr>
          <w:b/>
          <w:sz w:val="24"/>
          <w:szCs w:val="24"/>
        </w:rPr>
        <w:t xml:space="preserve">Conclusões </w:t>
      </w:r>
      <w:r w:rsidR="00B16629">
        <w:rPr>
          <w:b/>
          <w:sz w:val="24"/>
          <w:szCs w:val="24"/>
        </w:rPr>
        <w:t>e</w:t>
      </w:r>
      <w:r w:rsidR="00B16629" w:rsidRPr="00AB2B1C">
        <w:rPr>
          <w:b/>
          <w:sz w:val="24"/>
          <w:szCs w:val="24"/>
        </w:rPr>
        <w:t xml:space="preserve"> Pesquisas Futuras</w:t>
      </w:r>
    </w:p>
    <w:p w:rsidR="00437EB5" w:rsidRPr="00DB2395" w:rsidRDefault="00437EB5" w:rsidP="00437EB5">
      <w:pPr>
        <w:jc w:val="both"/>
        <w:rPr>
          <w:sz w:val="24"/>
          <w:szCs w:val="24"/>
        </w:rPr>
      </w:pPr>
      <w:r>
        <w:tab/>
      </w:r>
      <w:r w:rsidRPr="00DB2395">
        <w:rPr>
          <w:sz w:val="24"/>
          <w:szCs w:val="24"/>
        </w:rPr>
        <w:t xml:space="preserve">Em relação ao nível de evidenciação dos benefícios a empregados, foram encontrados em média </w:t>
      </w:r>
      <w:r w:rsidR="00080E7E">
        <w:rPr>
          <w:sz w:val="24"/>
          <w:szCs w:val="24"/>
        </w:rPr>
        <w:t>1</w:t>
      </w:r>
      <w:r w:rsidRPr="00DB2395">
        <w:rPr>
          <w:sz w:val="24"/>
          <w:szCs w:val="24"/>
        </w:rPr>
        <w:t>0 benefícios por empresa</w:t>
      </w:r>
      <w:r w:rsidR="00080E7E">
        <w:rPr>
          <w:sz w:val="24"/>
          <w:szCs w:val="24"/>
        </w:rPr>
        <w:t>. E</w:t>
      </w:r>
      <w:r w:rsidRPr="00DB2395">
        <w:rPr>
          <w:sz w:val="24"/>
          <w:szCs w:val="24"/>
        </w:rPr>
        <w:t xml:space="preserve">m relação ao nível de </w:t>
      </w:r>
      <w:r w:rsidRPr="00DB2395">
        <w:rPr>
          <w:i/>
          <w:sz w:val="24"/>
          <w:szCs w:val="24"/>
        </w:rPr>
        <w:t>disclosure</w:t>
      </w:r>
      <w:r w:rsidRPr="00DB2395">
        <w:rPr>
          <w:sz w:val="24"/>
          <w:szCs w:val="24"/>
        </w:rPr>
        <w:t xml:space="preserve"> observou-se que a maioria os benefícios foram classificados no curto prazo</w:t>
      </w:r>
      <w:r w:rsidR="00080E7E">
        <w:rPr>
          <w:sz w:val="24"/>
          <w:szCs w:val="24"/>
        </w:rPr>
        <w:t xml:space="preserve">, tendo em vista que as empresas analisadas não fazem menção quanto aos critérios de classificação dos benefícios. </w:t>
      </w:r>
      <w:r w:rsidRPr="00DB2395">
        <w:rPr>
          <w:sz w:val="24"/>
          <w:szCs w:val="24"/>
        </w:rPr>
        <w:t>Já os benefícios de desligamento não foram constatados menções ou resquício de tal oferta</w:t>
      </w:r>
      <w:r w:rsidR="00080E7E">
        <w:rPr>
          <w:sz w:val="24"/>
          <w:szCs w:val="24"/>
        </w:rPr>
        <w:t xml:space="preserve"> pelas empresas da amostra</w:t>
      </w:r>
      <w:r w:rsidRPr="00DB2395">
        <w:rPr>
          <w:sz w:val="24"/>
          <w:szCs w:val="24"/>
        </w:rPr>
        <w:t>.</w:t>
      </w:r>
    </w:p>
    <w:p w:rsidR="00080E7E" w:rsidRDefault="00437EB5" w:rsidP="00437EB5">
      <w:pPr>
        <w:jc w:val="both"/>
        <w:rPr>
          <w:sz w:val="24"/>
          <w:szCs w:val="24"/>
        </w:rPr>
      </w:pPr>
      <w:r w:rsidRPr="00DB2395">
        <w:rPr>
          <w:sz w:val="24"/>
          <w:szCs w:val="24"/>
        </w:rPr>
        <w:tab/>
        <w:t xml:space="preserve">No total foram </w:t>
      </w:r>
      <w:r w:rsidR="00080E7E">
        <w:rPr>
          <w:sz w:val="24"/>
          <w:szCs w:val="24"/>
        </w:rPr>
        <w:t xml:space="preserve">identificados </w:t>
      </w:r>
      <w:r w:rsidRPr="00DB2395">
        <w:rPr>
          <w:sz w:val="24"/>
          <w:szCs w:val="24"/>
        </w:rPr>
        <w:t>41 benefícios</w:t>
      </w:r>
      <w:r w:rsidR="00080E7E">
        <w:rPr>
          <w:sz w:val="24"/>
          <w:szCs w:val="24"/>
        </w:rPr>
        <w:t xml:space="preserve"> diferentes ofertados pelas empresas da amostra</w:t>
      </w:r>
      <w:r w:rsidRPr="00DB2395">
        <w:rPr>
          <w:sz w:val="24"/>
          <w:szCs w:val="24"/>
        </w:rPr>
        <w:t>, entre eles 3</w:t>
      </w:r>
      <w:r>
        <w:rPr>
          <w:sz w:val="24"/>
          <w:szCs w:val="24"/>
        </w:rPr>
        <w:t>0</w:t>
      </w:r>
      <w:r w:rsidRPr="00DB2395">
        <w:rPr>
          <w:sz w:val="24"/>
          <w:szCs w:val="24"/>
        </w:rPr>
        <w:t xml:space="preserve"> </w:t>
      </w:r>
      <w:r w:rsidR="00080E7E">
        <w:rPr>
          <w:sz w:val="24"/>
          <w:szCs w:val="24"/>
        </w:rPr>
        <w:t xml:space="preserve">são benefícios </w:t>
      </w:r>
      <w:r w:rsidRPr="00DB2395">
        <w:rPr>
          <w:sz w:val="24"/>
          <w:szCs w:val="24"/>
        </w:rPr>
        <w:t xml:space="preserve">de curto prazo, </w:t>
      </w:r>
      <w:r>
        <w:rPr>
          <w:sz w:val="24"/>
          <w:szCs w:val="24"/>
        </w:rPr>
        <w:t>5 de pós-emprego, e apenas 6</w:t>
      </w:r>
      <w:r w:rsidRPr="00DB2395">
        <w:rPr>
          <w:sz w:val="24"/>
          <w:szCs w:val="24"/>
        </w:rPr>
        <w:t xml:space="preserve"> </w:t>
      </w:r>
      <w:r w:rsidR="00080E7E">
        <w:rPr>
          <w:sz w:val="24"/>
          <w:szCs w:val="24"/>
        </w:rPr>
        <w:t xml:space="preserve">benefícios </w:t>
      </w:r>
      <w:r w:rsidRPr="00DB2395">
        <w:rPr>
          <w:sz w:val="24"/>
          <w:szCs w:val="24"/>
        </w:rPr>
        <w:t>de longo-prazo</w:t>
      </w:r>
      <w:r>
        <w:rPr>
          <w:sz w:val="24"/>
          <w:szCs w:val="24"/>
        </w:rPr>
        <w:t xml:space="preserve"> </w:t>
      </w:r>
      <w:r w:rsidR="00080E7E">
        <w:rPr>
          <w:sz w:val="24"/>
          <w:szCs w:val="24"/>
        </w:rPr>
        <w:t xml:space="preserve">sendo </w:t>
      </w:r>
      <w:r>
        <w:rPr>
          <w:sz w:val="24"/>
          <w:szCs w:val="24"/>
        </w:rPr>
        <w:t xml:space="preserve">eles, </w:t>
      </w:r>
      <w:r w:rsidR="00080E7E">
        <w:rPr>
          <w:sz w:val="24"/>
          <w:szCs w:val="24"/>
        </w:rPr>
        <w:t>o plano de participação nos lucros e resultados,</w:t>
      </w:r>
      <w:r>
        <w:rPr>
          <w:sz w:val="24"/>
          <w:szCs w:val="24"/>
        </w:rPr>
        <w:t xml:space="preserve"> gratificações por tempo de serviço</w:t>
      </w:r>
      <w:r w:rsidR="00080E7E">
        <w:rPr>
          <w:sz w:val="24"/>
          <w:szCs w:val="24"/>
        </w:rPr>
        <w:t>,</w:t>
      </w:r>
      <w:r w:rsidR="00080E7E" w:rsidRPr="00182BB2">
        <w:rPr>
          <w:sz w:val="18"/>
          <w:szCs w:val="18"/>
        </w:rPr>
        <w:t xml:space="preserve"> </w:t>
      </w:r>
      <w:r w:rsidR="00080E7E" w:rsidRPr="00182BB2">
        <w:rPr>
          <w:sz w:val="24"/>
          <w:szCs w:val="24"/>
        </w:rPr>
        <w:t>adiantamento de benefício</w:t>
      </w:r>
      <w:r w:rsidR="00080E7E">
        <w:rPr>
          <w:sz w:val="24"/>
          <w:szCs w:val="24"/>
        </w:rPr>
        <w:t>s,</w:t>
      </w:r>
      <w:r w:rsidR="00080E7E" w:rsidRPr="00930C00">
        <w:rPr>
          <w:sz w:val="18"/>
          <w:szCs w:val="18"/>
        </w:rPr>
        <w:t xml:space="preserve"> </w:t>
      </w:r>
      <w:r w:rsidR="00080E7E" w:rsidRPr="00930C00">
        <w:rPr>
          <w:sz w:val="24"/>
          <w:szCs w:val="24"/>
        </w:rPr>
        <w:t>prêmio aposentadoria</w:t>
      </w:r>
      <w:r w:rsidR="00080E7E">
        <w:rPr>
          <w:sz w:val="24"/>
          <w:szCs w:val="24"/>
        </w:rPr>
        <w:t xml:space="preserve">, empréstimos de </w:t>
      </w:r>
      <w:r w:rsidR="00080E7E" w:rsidRPr="00930C00">
        <w:rPr>
          <w:sz w:val="24"/>
          <w:szCs w:val="24"/>
        </w:rPr>
        <w:t>retorno de férias</w:t>
      </w:r>
      <w:r w:rsidR="00080E7E" w:rsidRPr="00DB2395">
        <w:rPr>
          <w:sz w:val="24"/>
          <w:szCs w:val="24"/>
        </w:rPr>
        <w:t>.</w:t>
      </w:r>
      <w:r w:rsidR="00080E7E">
        <w:rPr>
          <w:sz w:val="24"/>
          <w:szCs w:val="24"/>
        </w:rPr>
        <w:t xml:space="preserve"> </w:t>
      </w:r>
    </w:p>
    <w:p w:rsidR="00437EB5" w:rsidRPr="00DB2395" w:rsidRDefault="00080E7E" w:rsidP="00080E7E">
      <w:pPr>
        <w:ind w:firstLine="708"/>
        <w:jc w:val="both"/>
        <w:rPr>
          <w:sz w:val="24"/>
          <w:szCs w:val="24"/>
        </w:rPr>
      </w:pPr>
      <w:r>
        <w:rPr>
          <w:sz w:val="24"/>
          <w:szCs w:val="24"/>
        </w:rPr>
        <w:lastRenderedPageBreak/>
        <w:t>De forma geral, o</w:t>
      </w:r>
      <w:r w:rsidR="00437EB5" w:rsidRPr="00DB2395">
        <w:rPr>
          <w:sz w:val="24"/>
          <w:szCs w:val="24"/>
        </w:rPr>
        <w:t xml:space="preserve">s resultados </w:t>
      </w:r>
      <w:r w:rsidR="001D43D8">
        <w:rPr>
          <w:sz w:val="24"/>
          <w:szCs w:val="24"/>
        </w:rPr>
        <w:t>evidenciam em relação aos</w:t>
      </w:r>
      <w:r w:rsidR="00437EB5" w:rsidRPr="00DB2395">
        <w:rPr>
          <w:sz w:val="24"/>
          <w:szCs w:val="24"/>
        </w:rPr>
        <w:t xml:space="preserve"> critérios </w:t>
      </w:r>
      <w:r w:rsidR="001D43D8">
        <w:rPr>
          <w:sz w:val="24"/>
          <w:szCs w:val="24"/>
        </w:rPr>
        <w:t xml:space="preserve">estabelecidos pelo CPC 33, </w:t>
      </w:r>
      <w:r w:rsidR="00437EB5" w:rsidRPr="00DB2395">
        <w:rPr>
          <w:sz w:val="24"/>
          <w:szCs w:val="24"/>
        </w:rPr>
        <w:t>que</w:t>
      </w:r>
      <w:r>
        <w:rPr>
          <w:sz w:val="24"/>
          <w:szCs w:val="24"/>
        </w:rPr>
        <w:t xml:space="preserve"> </w:t>
      </w:r>
      <w:r w:rsidR="00437EB5" w:rsidRPr="00DB2395">
        <w:rPr>
          <w:sz w:val="24"/>
          <w:szCs w:val="24"/>
        </w:rPr>
        <w:t xml:space="preserve">as empresas </w:t>
      </w:r>
      <w:r>
        <w:rPr>
          <w:sz w:val="24"/>
          <w:szCs w:val="24"/>
        </w:rPr>
        <w:t xml:space="preserve">ainda precisam melhorar no processo e forma de </w:t>
      </w:r>
      <w:r w:rsidR="00437EB5" w:rsidRPr="00DB2395">
        <w:rPr>
          <w:sz w:val="24"/>
          <w:szCs w:val="24"/>
        </w:rPr>
        <w:t>evidencia</w:t>
      </w:r>
      <w:r>
        <w:rPr>
          <w:sz w:val="24"/>
          <w:szCs w:val="24"/>
        </w:rPr>
        <w:t>ção d</w:t>
      </w:r>
      <w:r w:rsidR="00437EB5" w:rsidRPr="00DB2395">
        <w:rPr>
          <w:sz w:val="24"/>
          <w:szCs w:val="24"/>
        </w:rPr>
        <w:t>os benefícios</w:t>
      </w:r>
      <w:r>
        <w:rPr>
          <w:sz w:val="24"/>
          <w:szCs w:val="24"/>
        </w:rPr>
        <w:t xml:space="preserve"> aos empregados</w:t>
      </w:r>
      <w:r w:rsidR="00437EB5" w:rsidRPr="00DB2395">
        <w:rPr>
          <w:sz w:val="24"/>
          <w:szCs w:val="24"/>
        </w:rPr>
        <w:t xml:space="preserve">, </w:t>
      </w:r>
      <w:r>
        <w:rPr>
          <w:sz w:val="24"/>
          <w:szCs w:val="24"/>
        </w:rPr>
        <w:t>tanto na forma d</w:t>
      </w:r>
      <w:r w:rsidR="00437EB5" w:rsidRPr="00DB2395">
        <w:rPr>
          <w:sz w:val="24"/>
          <w:szCs w:val="24"/>
        </w:rPr>
        <w:t>e classific</w:t>
      </w:r>
      <w:r w:rsidR="001D43D8">
        <w:rPr>
          <w:sz w:val="24"/>
          <w:szCs w:val="24"/>
        </w:rPr>
        <w:t>á</w:t>
      </w:r>
      <w:r w:rsidR="00437EB5" w:rsidRPr="00DB2395">
        <w:rPr>
          <w:sz w:val="24"/>
          <w:szCs w:val="24"/>
        </w:rPr>
        <w:t>-los</w:t>
      </w:r>
      <w:r>
        <w:rPr>
          <w:sz w:val="24"/>
          <w:szCs w:val="24"/>
        </w:rPr>
        <w:t>, como para</w:t>
      </w:r>
      <w:r w:rsidR="00437EB5" w:rsidRPr="00DB2395">
        <w:rPr>
          <w:sz w:val="24"/>
          <w:szCs w:val="24"/>
        </w:rPr>
        <w:t xml:space="preserve"> especificá-los</w:t>
      </w:r>
      <w:r w:rsidR="001D43D8">
        <w:rPr>
          <w:sz w:val="24"/>
          <w:szCs w:val="24"/>
        </w:rPr>
        <w:t xml:space="preserve"> nas notas explicativas conforme orienta a normativa</w:t>
      </w:r>
      <w:r w:rsidR="00437EB5" w:rsidRPr="00DB2395">
        <w:rPr>
          <w:sz w:val="24"/>
          <w:szCs w:val="24"/>
        </w:rPr>
        <w:t xml:space="preserve">. </w:t>
      </w:r>
      <w:r>
        <w:rPr>
          <w:sz w:val="24"/>
          <w:szCs w:val="24"/>
        </w:rPr>
        <w:t>Também n</w:t>
      </w:r>
      <w:r w:rsidR="001D43D8">
        <w:rPr>
          <w:sz w:val="24"/>
          <w:szCs w:val="24"/>
        </w:rPr>
        <w:t xml:space="preserve">ão foi possível perceber relação entre o valor investido </w:t>
      </w:r>
      <w:r>
        <w:rPr>
          <w:sz w:val="24"/>
          <w:szCs w:val="24"/>
        </w:rPr>
        <w:t xml:space="preserve">em benefícios a empregados </w:t>
      </w:r>
      <w:r w:rsidR="001D43D8">
        <w:rPr>
          <w:sz w:val="24"/>
          <w:szCs w:val="24"/>
        </w:rPr>
        <w:t xml:space="preserve">e </w:t>
      </w:r>
      <w:r>
        <w:rPr>
          <w:sz w:val="24"/>
          <w:szCs w:val="24"/>
        </w:rPr>
        <w:t>o</w:t>
      </w:r>
      <w:r w:rsidR="001D43D8">
        <w:rPr>
          <w:sz w:val="24"/>
          <w:szCs w:val="24"/>
        </w:rPr>
        <w:t xml:space="preserve"> nível de evidenciação das empresas analisadas.</w:t>
      </w:r>
      <w:r w:rsidR="00437EB5" w:rsidRPr="00DB2395">
        <w:rPr>
          <w:sz w:val="24"/>
          <w:szCs w:val="24"/>
        </w:rPr>
        <w:tab/>
        <w:t>Destaca-se entre os benefícios oferecidos a empregados</w:t>
      </w:r>
      <w:r w:rsidR="001D43D8">
        <w:rPr>
          <w:sz w:val="24"/>
          <w:szCs w:val="24"/>
        </w:rPr>
        <w:t>, a indicação de</w:t>
      </w:r>
      <w:r w:rsidR="00437EB5" w:rsidRPr="00DB2395">
        <w:rPr>
          <w:sz w:val="24"/>
          <w:szCs w:val="24"/>
        </w:rPr>
        <w:t xml:space="preserve"> salário, 13º, férias</w:t>
      </w:r>
      <w:r w:rsidR="001D43D8">
        <w:rPr>
          <w:sz w:val="24"/>
          <w:szCs w:val="24"/>
        </w:rPr>
        <w:t xml:space="preserve">, </w:t>
      </w:r>
      <w:r w:rsidR="00437EB5" w:rsidRPr="00DB2395">
        <w:rPr>
          <w:sz w:val="24"/>
          <w:szCs w:val="24"/>
        </w:rPr>
        <w:t xml:space="preserve">que são obrigatórios por lei, </w:t>
      </w:r>
      <w:r w:rsidR="00B16629">
        <w:rPr>
          <w:sz w:val="24"/>
          <w:szCs w:val="24"/>
        </w:rPr>
        <w:t>porém</w:t>
      </w:r>
      <w:r w:rsidR="00437EB5" w:rsidRPr="00DB2395">
        <w:rPr>
          <w:sz w:val="24"/>
          <w:szCs w:val="24"/>
        </w:rPr>
        <w:t xml:space="preserve"> outros benefícios </w:t>
      </w:r>
      <w:r w:rsidR="001D43D8">
        <w:rPr>
          <w:sz w:val="24"/>
          <w:szCs w:val="24"/>
        </w:rPr>
        <w:t xml:space="preserve">não </w:t>
      </w:r>
      <w:r w:rsidR="00437EB5" w:rsidRPr="00DB2395">
        <w:rPr>
          <w:sz w:val="24"/>
          <w:szCs w:val="24"/>
        </w:rPr>
        <w:t>possuem obrigaç</w:t>
      </w:r>
      <w:r w:rsidR="001D43D8">
        <w:rPr>
          <w:sz w:val="24"/>
          <w:szCs w:val="24"/>
        </w:rPr>
        <w:t xml:space="preserve">ão legal, </w:t>
      </w:r>
      <w:r w:rsidR="00437EB5" w:rsidRPr="00DB2395">
        <w:rPr>
          <w:sz w:val="24"/>
          <w:szCs w:val="24"/>
        </w:rPr>
        <w:t>tais como plano odontológico, previdência privada, plano de saúde</w:t>
      </w:r>
      <w:r w:rsidR="001D43D8">
        <w:rPr>
          <w:sz w:val="24"/>
          <w:szCs w:val="24"/>
        </w:rPr>
        <w:t xml:space="preserve">, </w:t>
      </w:r>
      <w:r w:rsidR="00437EB5" w:rsidRPr="00DB2395">
        <w:rPr>
          <w:sz w:val="24"/>
          <w:szCs w:val="24"/>
        </w:rPr>
        <w:t>entre outros</w:t>
      </w:r>
      <w:r w:rsidR="001D43D8">
        <w:rPr>
          <w:sz w:val="24"/>
          <w:szCs w:val="24"/>
        </w:rPr>
        <w:t xml:space="preserve">, </w:t>
      </w:r>
      <w:r w:rsidR="00437EB5" w:rsidRPr="00DB2395">
        <w:rPr>
          <w:sz w:val="24"/>
          <w:szCs w:val="24"/>
        </w:rPr>
        <w:t>que a empre</w:t>
      </w:r>
      <w:r w:rsidR="001D43D8">
        <w:rPr>
          <w:sz w:val="24"/>
          <w:szCs w:val="24"/>
        </w:rPr>
        <w:t>sa</w:t>
      </w:r>
      <w:r w:rsidR="00437EB5" w:rsidRPr="00DB2395">
        <w:rPr>
          <w:sz w:val="24"/>
          <w:szCs w:val="24"/>
        </w:rPr>
        <w:t xml:space="preserve"> oferece para al</w:t>
      </w:r>
      <w:r w:rsidR="00B16629">
        <w:rPr>
          <w:sz w:val="24"/>
          <w:szCs w:val="24"/>
        </w:rPr>
        <w:t>é</w:t>
      </w:r>
      <w:r w:rsidR="00437EB5" w:rsidRPr="00DB2395">
        <w:rPr>
          <w:sz w:val="24"/>
          <w:szCs w:val="24"/>
        </w:rPr>
        <w:t xml:space="preserve">m da responsabilidade legal e trabalhista, </w:t>
      </w:r>
      <w:r w:rsidR="001D43D8">
        <w:rPr>
          <w:sz w:val="24"/>
          <w:szCs w:val="24"/>
        </w:rPr>
        <w:t>são</w:t>
      </w:r>
      <w:r w:rsidR="00437EB5" w:rsidRPr="00DB2395">
        <w:rPr>
          <w:sz w:val="24"/>
          <w:szCs w:val="24"/>
        </w:rPr>
        <w:t xml:space="preserve"> benefícios </w:t>
      </w:r>
      <w:r w:rsidR="001D43D8">
        <w:rPr>
          <w:sz w:val="24"/>
          <w:szCs w:val="24"/>
        </w:rPr>
        <w:t xml:space="preserve">considerados </w:t>
      </w:r>
      <w:r w:rsidR="00437EB5" w:rsidRPr="00DB2395">
        <w:rPr>
          <w:sz w:val="24"/>
          <w:szCs w:val="24"/>
        </w:rPr>
        <w:t>diferencia</w:t>
      </w:r>
      <w:r w:rsidR="001D43D8">
        <w:rPr>
          <w:sz w:val="24"/>
          <w:szCs w:val="24"/>
        </w:rPr>
        <w:t>is para reter e atrair colaboradores</w:t>
      </w:r>
      <w:r w:rsidR="00437EB5" w:rsidRPr="00DB2395">
        <w:rPr>
          <w:sz w:val="24"/>
          <w:szCs w:val="24"/>
        </w:rPr>
        <w:t>.</w:t>
      </w:r>
    </w:p>
    <w:p w:rsidR="00437EB5" w:rsidRPr="00DB2395" w:rsidRDefault="00437EB5" w:rsidP="00437EB5">
      <w:pPr>
        <w:jc w:val="both"/>
        <w:rPr>
          <w:sz w:val="24"/>
          <w:szCs w:val="24"/>
        </w:rPr>
      </w:pPr>
      <w:r>
        <w:rPr>
          <w:sz w:val="24"/>
          <w:szCs w:val="24"/>
        </w:rPr>
        <w:tab/>
      </w:r>
      <w:r w:rsidRPr="00DB2395">
        <w:rPr>
          <w:sz w:val="24"/>
          <w:szCs w:val="24"/>
        </w:rPr>
        <w:t xml:space="preserve">De certa forma foi possível concluir que a evidenciação dos benefícios a empregados nas instituições financeiras listadas </w:t>
      </w:r>
      <w:r>
        <w:rPr>
          <w:sz w:val="24"/>
          <w:szCs w:val="24"/>
        </w:rPr>
        <w:t>B3</w:t>
      </w:r>
      <w:r w:rsidRPr="00DB2395">
        <w:rPr>
          <w:sz w:val="24"/>
          <w:szCs w:val="24"/>
        </w:rPr>
        <w:t>, não estão sendo publicadas de forma precisa de quais ben</w:t>
      </w:r>
      <w:r w:rsidR="000248D3">
        <w:rPr>
          <w:sz w:val="24"/>
          <w:szCs w:val="24"/>
        </w:rPr>
        <w:t xml:space="preserve">efícios </w:t>
      </w:r>
      <w:r w:rsidRPr="00DB2395">
        <w:rPr>
          <w:sz w:val="24"/>
          <w:szCs w:val="24"/>
        </w:rPr>
        <w:t xml:space="preserve">estão sendo oferecidos aos seus funcionários, </w:t>
      </w:r>
      <w:r w:rsidR="000248D3">
        <w:rPr>
          <w:sz w:val="24"/>
          <w:szCs w:val="24"/>
        </w:rPr>
        <w:t>n</w:t>
      </w:r>
      <w:r w:rsidRPr="00DB2395">
        <w:rPr>
          <w:sz w:val="24"/>
          <w:szCs w:val="24"/>
        </w:rPr>
        <w:t>o que se refere aos fatores pode</w:t>
      </w:r>
      <w:r w:rsidR="000248D3">
        <w:rPr>
          <w:sz w:val="24"/>
          <w:szCs w:val="24"/>
        </w:rPr>
        <w:t xml:space="preserve">-se indicar </w:t>
      </w:r>
      <w:r w:rsidRPr="00DB2395">
        <w:rPr>
          <w:sz w:val="24"/>
          <w:szCs w:val="24"/>
        </w:rPr>
        <w:t>que é relativ</w:t>
      </w:r>
      <w:r w:rsidR="000248D3">
        <w:rPr>
          <w:sz w:val="24"/>
          <w:szCs w:val="24"/>
        </w:rPr>
        <w:t>a a evidenciação de</w:t>
      </w:r>
      <w:r w:rsidRPr="00DB2395">
        <w:rPr>
          <w:sz w:val="24"/>
          <w:szCs w:val="24"/>
        </w:rPr>
        <w:t xml:space="preserve"> cada instituição</w:t>
      </w:r>
      <w:r w:rsidR="000248D3">
        <w:rPr>
          <w:sz w:val="24"/>
          <w:szCs w:val="24"/>
        </w:rPr>
        <w:t xml:space="preserve">, com </w:t>
      </w:r>
      <w:r w:rsidRPr="00DB2395">
        <w:rPr>
          <w:sz w:val="24"/>
          <w:szCs w:val="24"/>
        </w:rPr>
        <w:t>suas singularidades que devem ser analisadas isoladamente.</w:t>
      </w:r>
    </w:p>
    <w:p w:rsidR="00437EB5" w:rsidRPr="00DB2395" w:rsidRDefault="00437EB5" w:rsidP="00437EB5">
      <w:pPr>
        <w:jc w:val="both"/>
        <w:rPr>
          <w:sz w:val="24"/>
          <w:szCs w:val="24"/>
        </w:rPr>
      </w:pPr>
      <w:r>
        <w:rPr>
          <w:sz w:val="24"/>
          <w:szCs w:val="24"/>
        </w:rPr>
        <w:tab/>
        <w:t>Umas das dificuldade</w:t>
      </w:r>
      <w:r w:rsidR="00B16629">
        <w:rPr>
          <w:sz w:val="24"/>
          <w:szCs w:val="24"/>
        </w:rPr>
        <w:t>s</w:t>
      </w:r>
      <w:r>
        <w:rPr>
          <w:sz w:val="24"/>
          <w:szCs w:val="24"/>
        </w:rPr>
        <w:t xml:space="preserve"> encontradas neste estudo foi à classificação dos benefícios, pois tanto o CPC 33 (2009)</w:t>
      </w:r>
      <w:r w:rsidR="001D43D8">
        <w:rPr>
          <w:sz w:val="24"/>
          <w:szCs w:val="24"/>
        </w:rPr>
        <w:t xml:space="preserve">, </w:t>
      </w:r>
      <w:r>
        <w:rPr>
          <w:sz w:val="24"/>
          <w:szCs w:val="24"/>
        </w:rPr>
        <w:t>quanto as instituições não possu</w:t>
      </w:r>
      <w:r w:rsidR="001D43D8">
        <w:rPr>
          <w:sz w:val="24"/>
          <w:szCs w:val="24"/>
        </w:rPr>
        <w:t xml:space="preserve">em </w:t>
      </w:r>
      <w:r>
        <w:rPr>
          <w:sz w:val="24"/>
          <w:szCs w:val="24"/>
        </w:rPr>
        <w:t xml:space="preserve">um modelo de classificação dos benefícios. </w:t>
      </w:r>
      <w:r w:rsidRPr="00DB2395">
        <w:rPr>
          <w:sz w:val="24"/>
          <w:szCs w:val="24"/>
        </w:rPr>
        <w:t>Co</w:t>
      </w:r>
      <w:r>
        <w:rPr>
          <w:sz w:val="24"/>
          <w:szCs w:val="24"/>
        </w:rPr>
        <w:t>n</w:t>
      </w:r>
      <w:r w:rsidRPr="00DB2395">
        <w:rPr>
          <w:sz w:val="24"/>
          <w:szCs w:val="24"/>
        </w:rPr>
        <w:t xml:space="preserve">tudo, os resultados </w:t>
      </w:r>
      <w:r w:rsidR="001D43D8">
        <w:rPr>
          <w:sz w:val="24"/>
          <w:szCs w:val="24"/>
        </w:rPr>
        <w:t>indicam a necessidade de melhorias nos</w:t>
      </w:r>
      <w:r w:rsidRPr="00DB2395">
        <w:rPr>
          <w:sz w:val="24"/>
          <w:szCs w:val="24"/>
        </w:rPr>
        <w:t xml:space="preserve"> níveis de divulgação </w:t>
      </w:r>
      <w:r w:rsidR="001D43D8">
        <w:rPr>
          <w:sz w:val="24"/>
          <w:szCs w:val="24"/>
        </w:rPr>
        <w:t xml:space="preserve">e </w:t>
      </w:r>
      <w:r w:rsidRPr="00DB2395">
        <w:rPr>
          <w:sz w:val="24"/>
          <w:szCs w:val="24"/>
        </w:rPr>
        <w:t>evidenciação,</w:t>
      </w:r>
      <w:r w:rsidR="001D43D8">
        <w:rPr>
          <w:sz w:val="24"/>
          <w:szCs w:val="24"/>
        </w:rPr>
        <w:t xml:space="preserve"> visando o atendimento a normativa CPC 33 em relação as características dos benefícios de curto prazo, longo prazo, pós-emprego ou de desligamento. Recomenda-se </w:t>
      </w:r>
      <w:r w:rsidRPr="00DB2395">
        <w:rPr>
          <w:sz w:val="24"/>
          <w:szCs w:val="24"/>
        </w:rPr>
        <w:t xml:space="preserve">para </w:t>
      </w:r>
      <w:r w:rsidR="001D43D8">
        <w:rPr>
          <w:sz w:val="24"/>
          <w:szCs w:val="24"/>
        </w:rPr>
        <w:t>novos</w:t>
      </w:r>
      <w:r w:rsidRPr="00DB2395">
        <w:rPr>
          <w:sz w:val="24"/>
          <w:szCs w:val="24"/>
        </w:rPr>
        <w:t xml:space="preserve"> estudos, </w:t>
      </w:r>
      <w:r w:rsidR="001D43D8">
        <w:rPr>
          <w:sz w:val="24"/>
          <w:szCs w:val="24"/>
        </w:rPr>
        <w:t xml:space="preserve">a análise de outros </w:t>
      </w:r>
      <w:r w:rsidRPr="00DB2395">
        <w:rPr>
          <w:sz w:val="24"/>
          <w:szCs w:val="24"/>
        </w:rPr>
        <w:t xml:space="preserve">períodos </w:t>
      </w:r>
      <w:r w:rsidR="001D43D8">
        <w:rPr>
          <w:sz w:val="24"/>
          <w:szCs w:val="24"/>
        </w:rPr>
        <w:t xml:space="preserve">e a ampliação da amostra da pesquisa. </w:t>
      </w:r>
    </w:p>
    <w:p w:rsidR="00470415" w:rsidRDefault="00470415" w:rsidP="00437EB5">
      <w:pPr>
        <w:pStyle w:val="Normal1"/>
        <w:spacing w:after="0" w:line="240" w:lineRule="auto"/>
        <w:jc w:val="center"/>
        <w:rPr>
          <w:rFonts w:ascii="Times New Roman" w:eastAsia="Times New Roman" w:hAnsi="Times New Roman" w:cs="Times New Roman"/>
          <w:b/>
        </w:rPr>
      </w:pPr>
    </w:p>
    <w:p w:rsidR="00437EB5" w:rsidRDefault="00B16629" w:rsidP="00437EB5">
      <w:pPr>
        <w:pStyle w:val="Normal1"/>
        <w:spacing w:after="0" w:line="240" w:lineRule="auto"/>
        <w:jc w:val="center"/>
        <w:rPr>
          <w:rFonts w:ascii="Times New Roman" w:eastAsia="Times New Roman" w:hAnsi="Times New Roman" w:cs="Times New Roman"/>
          <w:b/>
        </w:rPr>
      </w:pPr>
      <w:r w:rsidRPr="00DD07EE">
        <w:rPr>
          <w:rFonts w:ascii="Times New Roman" w:eastAsia="Times New Roman" w:hAnsi="Times New Roman" w:cs="Times New Roman"/>
          <w:b/>
        </w:rPr>
        <w:t>Referências</w:t>
      </w:r>
    </w:p>
    <w:p w:rsidR="00437EB5" w:rsidRDefault="00437EB5" w:rsidP="00437EB5">
      <w:pPr>
        <w:pStyle w:val="Normal1"/>
        <w:spacing w:after="0" w:line="240" w:lineRule="auto"/>
        <w:jc w:val="center"/>
        <w:rPr>
          <w:rFonts w:ascii="Times New Roman" w:eastAsia="Times New Roman" w:hAnsi="Times New Roman" w:cs="Times New Roman"/>
          <w:b/>
        </w:rPr>
      </w:pPr>
    </w:p>
    <w:p w:rsidR="00437EB5" w:rsidRPr="001159F5" w:rsidRDefault="00684D0B" w:rsidP="00004FF3">
      <w:pPr>
        <w:pStyle w:val="Normal1"/>
        <w:spacing w:after="0" w:line="240" w:lineRule="auto"/>
        <w:rPr>
          <w:rFonts w:ascii="Times New Roman" w:eastAsia="Times New Roman" w:hAnsi="Times New Roman" w:cs="Times New Roman"/>
          <w:highlight w:val="white"/>
        </w:rPr>
      </w:pPr>
      <w:r w:rsidRPr="001159F5">
        <w:rPr>
          <w:rFonts w:ascii="Times New Roman" w:eastAsia="Times New Roman" w:hAnsi="Times New Roman" w:cs="Times New Roman"/>
          <w:highlight w:val="white"/>
        </w:rPr>
        <w:t>Almeida, S. R. V.</w:t>
      </w:r>
      <w:r>
        <w:rPr>
          <w:rFonts w:ascii="Times New Roman" w:eastAsia="Times New Roman" w:hAnsi="Times New Roman" w:cs="Times New Roman"/>
          <w:highlight w:val="white"/>
        </w:rPr>
        <w:t>,</w:t>
      </w:r>
      <w:r w:rsidRPr="001159F5">
        <w:rPr>
          <w:rFonts w:ascii="Times New Roman" w:eastAsia="Times New Roman" w:hAnsi="Times New Roman" w:cs="Times New Roman"/>
          <w:highlight w:val="white"/>
        </w:rPr>
        <w:t xml:space="preserve"> Costa, T. De A.</w:t>
      </w:r>
      <w:r>
        <w:rPr>
          <w:rFonts w:ascii="Times New Roman" w:eastAsia="Times New Roman" w:hAnsi="Times New Roman" w:cs="Times New Roman"/>
          <w:highlight w:val="white"/>
        </w:rPr>
        <w:t>,</w:t>
      </w:r>
      <w:r w:rsidRPr="001159F5">
        <w:rPr>
          <w:rFonts w:ascii="Times New Roman" w:eastAsia="Times New Roman" w:hAnsi="Times New Roman" w:cs="Times New Roman"/>
          <w:highlight w:val="white"/>
        </w:rPr>
        <w:t xml:space="preserve"> </w:t>
      </w:r>
      <w:proofErr w:type="spellStart"/>
      <w:r w:rsidRPr="001159F5">
        <w:rPr>
          <w:rFonts w:ascii="Times New Roman" w:eastAsia="Times New Roman" w:hAnsi="Times New Roman" w:cs="Times New Roman"/>
          <w:highlight w:val="white"/>
        </w:rPr>
        <w:t>Laurencel</w:t>
      </w:r>
      <w:proofErr w:type="spellEnd"/>
      <w:r w:rsidRPr="001159F5">
        <w:rPr>
          <w:rFonts w:ascii="Times New Roman" w:eastAsia="Times New Roman" w:hAnsi="Times New Roman" w:cs="Times New Roman"/>
          <w:highlight w:val="white"/>
        </w:rPr>
        <w:t>, L.</w:t>
      </w:r>
      <w:r>
        <w:rPr>
          <w:rFonts w:ascii="Times New Roman" w:eastAsia="Times New Roman" w:hAnsi="Times New Roman" w:cs="Times New Roman"/>
          <w:highlight w:val="white"/>
        </w:rPr>
        <w:t xml:space="preserve">, &amp; </w:t>
      </w:r>
      <w:r w:rsidRPr="001159F5">
        <w:rPr>
          <w:rFonts w:ascii="Times New Roman" w:eastAsia="Times New Roman" w:hAnsi="Times New Roman" w:cs="Times New Roman"/>
          <w:highlight w:val="white"/>
        </w:rPr>
        <w:t xml:space="preserve">Silva, A. H. C. </w:t>
      </w:r>
      <w:r>
        <w:rPr>
          <w:rFonts w:ascii="Times New Roman" w:eastAsia="Times New Roman" w:hAnsi="Times New Roman" w:cs="Times New Roman"/>
          <w:highlight w:val="white"/>
        </w:rPr>
        <w:t xml:space="preserve">(2011). </w:t>
      </w:r>
      <w:r w:rsidR="00437EB5" w:rsidRPr="001159F5">
        <w:rPr>
          <w:rFonts w:ascii="Times New Roman" w:eastAsia="Times New Roman" w:hAnsi="Times New Roman" w:cs="Times New Roman"/>
          <w:highlight w:val="white"/>
        </w:rPr>
        <w:t xml:space="preserve">Análise dos impactos das normas internacionais de contabilidade sobre o Lucro Líquido e o Patrimônio Líquido das empresas do setor de extração e processamento de recursos naturais. </w:t>
      </w:r>
      <w:r w:rsidR="00437EB5" w:rsidRPr="00684D0B">
        <w:rPr>
          <w:rFonts w:ascii="Times New Roman" w:eastAsia="Times New Roman" w:hAnsi="Times New Roman" w:cs="Times New Roman"/>
          <w:i/>
          <w:highlight w:val="white"/>
        </w:rPr>
        <w:t>Revista de Contabilidade do Mestrado em Ciências Contábeis da UERJ,</w:t>
      </w:r>
      <w:r w:rsidR="00437EB5" w:rsidRPr="001159F5">
        <w:rPr>
          <w:rFonts w:ascii="Times New Roman" w:eastAsia="Times New Roman" w:hAnsi="Times New Roman" w:cs="Times New Roman"/>
          <w:highlight w:val="white"/>
        </w:rPr>
        <w:t xml:space="preserve"> 16</w:t>
      </w:r>
      <w:r>
        <w:rPr>
          <w:rFonts w:ascii="Times New Roman" w:eastAsia="Times New Roman" w:hAnsi="Times New Roman" w:cs="Times New Roman"/>
          <w:highlight w:val="white"/>
        </w:rPr>
        <w:t>(</w:t>
      </w:r>
      <w:r w:rsidR="00437EB5" w:rsidRPr="001159F5">
        <w:rPr>
          <w:rFonts w:ascii="Times New Roman" w:eastAsia="Times New Roman" w:hAnsi="Times New Roman" w:cs="Times New Roman"/>
          <w:highlight w:val="white"/>
        </w:rPr>
        <w:t>3</w:t>
      </w:r>
      <w:r>
        <w:rPr>
          <w:rFonts w:ascii="Times New Roman" w:eastAsia="Times New Roman" w:hAnsi="Times New Roman" w:cs="Times New Roman"/>
          <w:highlight w:val="white"/>
        </w:rPr>
        <w:t>)</w:t>
      </w:r>
      <w:r w:rsidR="00437EB5" w:rsidRPr="001159F5">
        <w:rPr>
          <w:rFonts w:ascii="Times New Roman" w:eastAsia="Times New Roman" w:hAnsi="Times New Roman" w:cs="Times New Roman"/>
          <w:highlight w:val="white"/>
        </w:rPr>
        <w:t xml:space="preserve">, 136-156. </w:t>
      </w:r>
    </w:p>
    <w:p w:rsidR="00437EB5" w:rsidRPr="001159F5" w:rsidRDefault="00437EB5" w:rsidP="00004FF3">
      <w:pPr>
        <w:pStyle w:val="Normal1"/>
        <w:spacing w:after="0" w:line="240" w:lineRule="auto"/>
        <w:rPr>
          <w:rFonts w:ascii="Times New Roman" w:eastAsia="Times New Roman" w:hAnsi="Times New Roman" w:cs="Times New Roman"/>
          <w:highlight w:val="white"/>
        </w:rPr>
      </w:pPr>
    </w:p>
    <w:p w:rsidR="00437EB5" w:rsidRPr="001159F5" w:rsidRDefault="00684D0B" w:rsidP="00004FF3">
      <w:pPr>
        <w:pStyle w:val="Normal1"/>
        <w:spacing w:after="0" w:line="240" w:lineRule="auto"/>
        <w:rPr>
          <w:rFonts w:ascii="Times New Roman" w:eastAsia="Times New Roman" w:hAnsi="Times New Roman" w:cs="Times New Roman"/>
          <w:highlight w:val="white"/>
        </w:rPr>
      </w:pPr>
      <w:r w:rsidRPr="001159F5">
        <w:rPr>
          <w:rFonts w:ascii="Times New Roman" w:eastAsia="Times New Roman" w:hAnsi="Times New Roman" w:cs="Times New Roman"/>
          <w:highlight w:val="white"/>
        </w:rPr>
        <w:t>Carneiro, A. R. A.</w:t>
      </w:r>
      <w:r>
        <w:rPr>
          <w:rFonts w:ascii="Times New Roman" w:eastAsia="Times New Roman" w:hAnsi="Times New Roman" w:cs="Times New Roman"/>
          <w:highlight w:val="white"/>
        </w:rPr>
        <w:t>,</w:t>
      </w:r>
      <w:r w:rsidRPr="001159F5">
        <w:rPr>
          <w:rFonts w:ascii="Times New Roman" w:eastAsia="Times New Roman" w:hAnsi="Times New Roman" w:cs="Times New Roman"/>
          <w:highlight w:val="white"/>
        </w:rPr>
        <w:t xml:space="preserve"> Morais, C. R. F.</w:t>
      </w:r>
      <w:r>
        <w:rPr>
          <w:rFonts w:ascii="Times New Roman" w:eastAsia="Times New Roman" w:hAnsi="Times New Roman" w:cs="Times New Roman"/>
          <w:highlight w:val="white"/>
        </w:rPr>
        <w:t>,</w:t>
      </w:r>
      <w:r w:rsidRPr="001159F5">
        <w:rPr>
          <w:rFonts w:ascii="Times New Roman" w:eastAsia="Times New Roman" w:hAnsi="Times New Roman" w:cs="Times New Roman"/>
          <w:highlight w:val="white"/>
        </w:rPr>
        <w:t xml:space="preserve"> </w:t>
      </w:r>
      <w:proofErr w:type="spellStart"/>
      <w:r w:rsidRPr="001159F5">
        <w:rPr>
          <w:rFonts w:ascii="Times New Roman" w:eastAsia="Times New Roman" w:hAnsi="Times New Roman" w:cs="Times New Roman"/>
          <w:highlight w:val="white"/>
        </w:rPr>
        <w:t>Mapurunga</w:t>
      </w:r>
      <w:proofErr w:type="spellEnd"/>
      <w:r w:rsidRPr="001159F5">
        <w:rPr>
          <w:rFonts w:ascii="Times New Roman" w:eastAsia="Times New Roman" w:hAnsi="Times New Roman" w:cs="Times New Roman"/>
          <w:highlight w:val="white"/>
        </w:rPr>
        <w:t>, P. V. R.</w:t>
      </w:r>
      <w:r>
        <w:rPr>
          <w:rFonts w:ascii="Times New Roman" w:eastAsia="Times New Roman" w:hAnsi="Times New Roman" w:cs="Times New Roman"/>
          <w:highlight w:val="white"/>
        </w:rPr>
        <w:t>, &amp;</w:t>
      </w:r>
      <w:r w:rsidRPr="001159F5">
        <w:rPr>
          <w:rFonts w:ascii="Times New Roman" w:eastAsia="Times New Roman" w:hAnsi="Times New Roman" w:cs="Times New Roman"/>
          <w:highlight w:val="white"/>
        </w:rPr>
        <w:t xml:space="preserve"> Ponte, V. M. R</w:t>
      </w:r>
      <w:r w:rsidR="00437EB5" w:rsidRPr="001159F5">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(2013). </w:t>
      </w:r>
      <w:r w:rsidR="00437EB5" w:rsidRPr="001159F5">
        <w:rPr>
          <w:rFonts w:ascii="Times New Roman" w:hAnsi="Times New Roman" w:cs="Times New Roman"/>
        </w:rPr>
        <w:t xml:space="preserve">Governança corporativa em empresas brasileiras como determinante da evidenciação de benefícios a empregados. </w:t>
      </w:r>
      <w:r w:rsidR="00437EB5" w:rsidRPr="00684D0B">
        <w:rPr>
          <w:rFonts w:ascii="Times New Roman" w:hAnsi="Times New Roman" w:cs="Times New Roman"/>
          <w:i/>
        </w:rPr>
        <w:t>Revista Contemporânea de Contabilidade,</w:t>
      </w:r>
      <w:r w:rsidR="00437EB5" w:rsidRPr="001159F5">
        <w:rPr>
          <w:rFonts w:ascii="Times New Roman" w:hAnsi="Times New Roman" w:cs="Times New Roman"/>
          <w:b/>
        </w:rPr>
        <w:t xml:space="preserve"> </w:t>
      </w:r>
      <w:r w:rsidR="00437EB5" w:rsidRPr="001159F5">
        <w:rPr>
          <w:rFonts w:ascii="Times New Roman" w:hAnsi="Times New Roman" w:cs="Times New Roman"/>
        </w:rPr>
        <w:t>10</w:t>
      </w:r>
      <w:r>
        <w:rPr>
          <w:rFonts w:ascii="Times New Roman" w:hAnsi="Times New Roman" w:cs="Times New Roman"/>
        </w:rPr>
        <w:t>(</w:t>
      </w:r>
      <w:r w:rsidR="00437EB5" w:rsidRPr="001159F5">
        <w:rPr>
          <w:rFonts w:ascii="Times New Roman" w:hAnsi="Times New Roman" w:cs="Times New Roman"/>
        </w:rPr>
        <w:t>19</w:t>
      </w:r>
      <w:r>
        <w:rPr>
          <w:rFonts w:ascii="Times New Roman" w:hAnsi="Times New Roman" w:cs="Times New Roman"/>
        </w:rPr>
        <w:t>)</w:t>
      </w:r>
      <w:r w:rsidR="00437EB5" w:rsidRPr="001159F5">
        <w:rPr>
          <w:rFonts w:ascii="Times New Roman" w:hAnsi="Times New Roman" w:cs="Times New Roman"/>
        </w:rPr>
        <w:t>, 157-178.</w:t>
      </w:r>
    </w:p>
    <w:p w:rsidR="00437EB5" w:rsidRPr="001159F5" w:rsidRDefault="00437EB5" w:rsidP="00004FF3">
      <w:pPr>
        <w:pStyle w:val="Normal1"/>
        <w:spacing w:after="0" w:line="240" w:lineRule="auto"/>
        <w:rPr>
          <w:rFonts w:ascii="Times New Roman" w:eastAsia="Times New Roman" w:hAnsi="Times New Roman" w:cs="Times New Roman"/>
        </w:rPr>
      </w:pPr>
    </w:p>
    <w:p w:rsidR="00437EB5" w:rsidRPr="001C1F2F" w:rsidRDefault="00A131C8" w:rsidP="00004FF3">
      <w:pPr>
        <w:pStyle w:val="Normal1"/>
        <w:spacing w:after="0" w:line="240" w:lineRule="auto"/>
        <w:rPr>
          <w:rFonts w:ascii="Times New Roman" w:eastAsia="Times New Roman" w:hAnsi="Times New Roman" w:cs="Times New Roman"/>
          <w:color w:val="auto"/>
        </w:rPr>
      </w:pPr>
      <w:r w:rsidRPr="007B10B4">
        <w:rPr>
          <w:rFonts w:ascii="Times New Roman" w:eastAsia="Times New Roman" w:hAnsi="Times New Roman" w:cs="Times New Roman"/>
          <w:color w:val="auto"/>
          <w:highlight w:val="white"/>
        </w:rPr>
        <w:t>Costa, F. M.</w:t>
      </w:r>
      <w:r>
        <w:rPr>
          <w:rFonts w:ascii="Times New Roman" w:eastAsia="Times New Roman" w:hAnsi="Times New Roman" w:cs="Times New Roman"/>
          <w:color w:val="auto"/>
          <w:highlight w:val="white"/>
        </w:rPr>
        <w:t>, &amp;</w:t>
      </w:r>
      <w:r w:rsidRPr="007B10B4">
        <w:rPr>
          <w:rFonts w:ascii="Times New Roman" w:eastAsia="Times New Roman" w:hAnsi="Times New Roman" w:cs="Times New Roman"/>
          <w:color w:val="auto"/>
          <w:highlight w:val="white"/>
        </w:rPr>
        <w:t xml:space="preserve"> Correia, R. D. A. </w:t>
      </w:r>
      <w:r>
        <w:rPr>
          <w:rFonts w:ascii="Times New Roman" w:eastAsia="Times New Roman" w:hAnsi="Times New Roman" w:cs="Times New Roman"/>
          <w:color w:val="auto"/>
          <w:highlight w:val="white"/>
        </w:rPr>
        <w:t xml:space="preserve">(2016). </w:t>
      </w:r>
      <w:r w:rsidR="00437EB5" w:rsidRPr="007B10B4">
        <w:rPr>
          <w:rFonts w:ascii="Times New Roman" w:eastAsia="Times New Roman" w:hAnsi="Times New Roman" w:cs="Times New Roman"/>
          <w:color w:val="auto"/>
          <w:highlight w:val="white"/>
        </w:rPr>
        <w:t>Sistematização das normas contábeis no ordenamento jurídico brasileiro. </w:t>
      </w:r>
      <w:r w:rsidR="00437EB5" w:rsidRPr="00A131C8">
        <w:rPr>
          <w:rFonts w:ascii="Times New Roman" w:eastAsia="Times New Roman" w:hAnsi="Times New Roman" w:cs="Times New Roman"/>
          <w:i/>
          <w:color w:val="auto"/>
          <w:highlight w:val="white"/>
        </w:rPr>
        <w:t>Revista de Contabilidade e Organizações,</w:t>
      </w:r>
      <w:r w:rsidR="00437EB5" w:rsidRPr="007B10B4">
        <w:rPr>
          <w:rFonts w:ascii="Times New Roman" w:eastAsia="Times New Roman" w:hAnsi="Times New Roman" w:cs="Times New Roman"/>
          <w:color w:val="auto"/>
          <w:highlight w:val="white"/>
        </w:rPr>
        <w:t xml:space="preserve"> 10</w:t>
      </w:r>
      <w:r>
        <w:rPr>
          <w:rFonts w:ascii="Times New Roman" w:eastAsia="Times New Roman" w:hAnsi="Times New Roman" w:cs="Times New Roman"/>
          <w:color w:val="auto"/>
          <w:highlight w:val="white"/>
        </w:rPr>
        <w:t>(</w:t>
      </w:r>
      <w:r w:rsidR="00437EB5" w:rsidRPr="007B10B4">
        <w:rPr>
          <w:rFonts w:ascii="Times New Roman" w:eastAsia="Times New Roman" w:hAnsi="Times New Roman" w:cs="Times New Roman"/>
          <w:color w:val="auto"/>
          <w:highlight w:val="white"/>
        </w:rPr>
        <w:t>27</w:t>
      </w:r>
      <w:r>
        <w:rPr>
          <w:rFonts w:ascii="Times New Roman" w:eastAsia="Times New Roman" w:hAnsi="Times New Roman" w:cs="Times New Roman"/>
          <w:color w:val="auto"/>
          <w:highlight w:val="white"/>
        </w:rPr>
        <w:t>)</w:t>
      </w:r>
      <w:r w:rsidR="00437EB5" w:rsidRPr="007B10B4">
        <w:rPr>
          <w:rFonts w:ascii="Times New Roman" w:eastAsia="Times New Roman" w:hAnsi="Times New Roman" w:cs="Times New Roman"/>
          <w:color w:val="auto"/>
          <w:highlight w:val="white"/>
        </w:rPr>
        <w:t>, 47-57.</w:t>
      </w:r>
    </w:p>
    <w:p w:rsidR="00437EB5" w:rsidRPr="001C1F2F" w:rsidRDefault="00437EB5" w:rsidP="00004FF3">
      <w:pPr>
        <w:pStyle w:val="Normal1"/>
        <w:spacing w:after="0" w:line="240" w:lineRule="auto"/>
        <w:rPr>
          <w:rFonts w:ascii="Times New Roman" w:eastAsia="Times New Roman" w:hAnsi="Times New Roman" w:cs="Times New Roman"/>
          <w:color w:val="auto"/>
        </w:rPr>
      </w:pPr>
    </w:p>
    <w:p w:rsidR="00437EB5" w:rsidRPr="00470415" w:rsidRDefault="00437EB5" w:rsidP="00004FF3">
      <w:pPr>
        <w:pStyle w:val="Normal1"/>
        <w:spacing w:after="0" w:line="240" w:lineRule="auto"/>
        <w:rPr>
          <w:rFonts w:ascii="Times New Roman" w:hAnsi="Times New Roman" w:cs="Times New Roman"/>
          <w:color w:val="auto"/>
        </w:rPr>
      </w:pPr>
      <w:r w:rsidRPr="00470415">
        <w:rPr>
          <w:rFonts w:ascii="Times New Roman" w:hAnsi="Times New Roman" w:cs="Times New Roman"/>
          <w:color w:val="auto"/>
        </w:rPr>
        <w:t xml:space="preserve">CPC 26. </w:t>
      </w:r>
      <w:r w:rsidRPr="00470415">
        <w:rPr>
          <w:rFonts w:ascii="Times New Roman" w:hAnsi="Times New Roman" w:cs="Times New Roman"/>
          <w:i/>
          <w:color w:val="auto"/>
        </w:rPr>
        <w:t>Pronunciamento Técnico CPC 26: Apresentação das Demonstrações Contábeis.</w:t>
      </w:r>
      <w:r w:rsidRPr="00470415">
        <w:rPr>
          <w:rFonts w:ascii="Times New Roman" w:hAnsi="Times New Roman" w:cs="Times New Roman"/>
          <w:color w:val="auto"/>
        </w:rPr>
        <w:t xml:space="preserve"> </w:t>
      </w:r>
      <w:r w:rsidR="00A131C8" w:rsidRPr="00470415">
        <w:rPr>
          <w:rFonts w:ascii="Times New Roman" w:hAnsi="Times New Roman" w:cs="Times New Roman"/>
          <w:color w:val="auto"/>
        </w:rPr>
        <w:t xml:space="preserve">(2009). </w:t>
      </w:r>
      <w:r w:rsidRPr="00470415">
        <w:rPr>
          <w:rFonts w:ascii="Times New Roman" w:hAnsi="Times New Roman" w:cs="Times New Roman"/>
          <w:color w:val="auto"/>
        </w:rPr>
        <w:t xml:space="preserve">Disponível em </w:t>
      </w:r>
      <w:hyperlink r:id="rId13" w:history="1">
        <w:r w:rsidR="0064794A" w:rsidRPr="00470415">
          <w:rPr>
            <w:rStyle w:val="Hyperlink"/>
            <w:rFonts w:ascii="Times New Roman" w:hAnsi="Times New Roman" w:cs="Times New Roman"/>
            <w:color w:val="auto"/>
            <w:u w:val="none"/>
          </w:rPr>
          <w:t>http://www.cpc.org.br/CPC/Documentos-Emitidos/Pronunciamentos/Pronunciamento?Id=57</w:t>
        </w:r>
      </w:hyperlink>
      <w:r w:rsidR="0064794A" w:rsidRPr="00470415">
        <w:rPr>
          <w:rFonts w:ascii="Times New Roman" w:hAnsi="Times New Roman" w:cs="Times New Roman"/>
          <w:color w:val="auto"/>
        </w:rPr>
        <w:t>.</w:t>
      </w:r>
    </w:p>
    <w:p w:rsidR="00437EB5" w:rsidRPr="00470415" w:rsidRDefault="00437EB5" w:rsidP="00004FF3">
      <w:pPr>
        <w:pStyle w:val="Normal1"/>
        <w:spacing w:after="0" w:line="240" w:lineRule="auto"/>
        <w:rPr>
          <w:rFonts w:ascii="Times New Roman" w:hAnsi="Times New Roman" w:cs="Times New Roman"/>
          <w:color w:val="auto"/>
        </w:rPr>
      </w:pPr>
    </w:p>
    <w:p w:rsidR="00437EB5" w:rsidRPr="00470415" w:rsidRDefault="00437EB5" w:rsidP="00004FF3">
      <w:pPr>
        <w:pStyle w:val="Normal1"/>
        <w:spacing w:after="0" w:line="240" w:lineRule="auto"/>
        <w:rPr>
          <w:rFonts w:ascii="Times New Roman" w:hAnsi="Times New Roman" w:cs="Times New Roman"/>
          <w:color w:val="auto"/>
        </w:rPr>
      </w:pPr>
      <w:r w:rsidRPr="00470415">
        <w:rPr>
          <w:rFonts w:ascii="Times New Roman" w:hAnsi="Times New Roman" w:cs="Times New Roman"/>
          <w:color w:val="auto"/>
        </w:rPr>
        <w:t xml:space="preserve">CPC 33. </w:t>
      </w:r>
      <w:r w:rsidRPr="00470415">
        <w:rPr>
          <w:rFonts w:ascii="Times New Roman" w:hAnsi="Times New Roman" w:cs="Times New Roman"/>
          <w:i/>
          <w:color w:val="auto"/>
        </w:rPr>
        <w:t>Pronunciamentos Técnicos Contábeis CPC 33 – Benefícios a Empregados.</w:t>
      </w:r>
      <w:r w:rsidRPr="00470415">
        <w:rPr>
          <w:rFonts w:ascii="Times New Roman" w:hAnsi="Times New Roman" w:cs="Times New Roman"/>
          <w:color w:val="auto"/>
        </w:rPr>
        <w:t xml:space="preserve"> </w:t>
      </w:r>
      <w:r w:rsidR="00A131C8" w:rsidRPr="00470415">
        <w:rPr>
          <w:rFonts w:ascii="Times New Roman" w:hAnsi="Times New Roman" w:cs="Times New Roman"/>
          <w:color w:val="auto"/>
        </w:rPr>
        <w:t xml:space="preserve">(2009). </w:t>
      </w:r>
      <w:r w:rsidRPr="00470415">
        <w:rPr>
          <w:rFonts w:ascii="Times New Roman" w:hAnsi="Times New Roman" w:cs="Times New Roman"/>
          <w:color w:val="auto"/>
        </w:rPr>
        <w:t>Disponível</w:t>
      </w:r>
      <w:r w:rsidRPr="00470415">
        <w:rPr>
          <w:rFonts w:ascii="Times New Roman" w:eastAsia="Times New Roman" w:hAnsi="Times New Roman" w:cs="Times New Roman"/>
          <w:color w:val="auto"/>
        </w:rPr>
        <w:t xml:space="preserve"> em</w:t>
      </w:r>
      <w:r w:rsidRPr="00470415">
        <w:rPr>
          <w:rFonts w:ascii="Times New Roman" w:hAnsi="Times New Roman" w:cs="Times New Roman"/>
          <w:color w:val="auto"/>
        </w:rPr>
        <w:t xml:space="preserve"> &lt;</w:t>
      </w:r>
      <w:hyperlink r:id="rId14" w:history="1">
        <w:r w:rsidRPr="00470415">
          <w:rPr>
            <w:rStyle w:val="Hyperlink"/>
            <w:rFonts w:ascii="Times New Roman" w:eastAsia="Times New Roman" w:hAnsi="Times New Roman" w:cs="Times New Roman"/>
            <w:color w:val="auto"/>
            <w:u w:val="none"/>
          </w:rPr>
          <w:t>http://www.cpc.org.br/CPC/Documentos-Emitidos/Pronunciamentos/Pronunciamento?Id=74</w:t>
        </w:r>
      </w:hyperlink>
      <w:r w:rsidRPr="00470415">
        <w:rPr>
          <w:rFonts w:ascii="Times New Roman" w:hAnsi="Times New Roman" w:cs="Times New Roman"/>
          <w:color w:val="auto"/>
        </w:rPr>
        <w:t>&gt;</w:t>
      </w:r>
      <w:r w:rsidR="0064794A" w:rsidRPr="00470415">
        <w:rPr>
          <w:rFonts w:ascii="Times New Roman" w:hAnsi="Times New Roman" w:cs="Times New Roman"/>
          <w:color w:val="auto"/>
        </w:rPr>
        <w:t>.</w:t>
      </w:r>
    </w:p>
    <w:p w:rsidR="0064794A" w:rsidRPr="00A131C8" w:rsidRDefault="0064794A" w:rsidP="00004FF3">
      <w:pPr>
        <w:pStyle w:val="Normal1"/>
        <w:spacing w:after="0" w:line="240" w:lineRule="auto"/>
        <w:rPr>
          <w:rFonts w:ascii="Times New Roman" w:eastAsia="Times New Roman" w:hAnsi="Times New Roman" w:cs="Times New Roman"/>
          <w:color w:val="auto"/>
          <w:highlight w:val="green"/>
        </w:rPr>
      </w:pPr>
    </w:p>
    <w:p w:rsidR="00290012" w:rsidRPr="00290012" w:rsidRDefault="00290012" w:rsidP="00004FF3">
      <w:pPr>
        <w:pStyle w:val="Normal1"/>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Da </w:t>
      </w:r>
      <w:r w:rsidRPr="00290012">
        <w:rPr>
          <w:rFonts w:ascii="Times New Roman" w:hAnsi="Times New Roman" w:cs="Times New Roman"/>
          <w:color w:val="222222"/>
          <w:shd w:val="clear" w:color="auto" w:fill="FFFFFF"/>
        </w:rPr>
        <w:t xml:space="preserve">Silva, M. A. F., Tinoco, P. P., &amp; da Cunha Vieira, S. S. (2015). Benefícios pós-emprego e </w:t>
      </w:r>
      <w:r w:rsidRPr="00290012">
        <w:rPr>
          <w:rFonts w:ascii="Times New Roman" w:hAnsi="Times New Roman" w:cs="Times New Roman"/>
          <w:color w:val="222222"/>
          <w:shd w:val="clear" w:color="auto" w:fill="FFFFFF"/>
        </w:rPr>
        <w:lastRenderedPageBreak/>
        <w:t>seus impactos nas demonstrações contábeis das empresas brasileiras. </w:t>
      </w:r>
      <w:r w:rsidRPr="00290012">
        <w:rPr>
          <w:rFonts w:ascii="Times New Roman" w:hAnsi="Times New Roman" w:cs="Times New Roman"/>
          <w:i/>
          <w:iCs/>
          <w:color w:val="222222"/>
          <w:shd w:val="clear" w:color="auto" w:fill="FFFFFF"/>
        </w:rPr>
        <w:t>Registro Contábil</w:t>
      </w:r>
      <w:r w:rsidRPr="00290012">
        <w:rPr>
          <w:rFonts w:ascii="Times New Roman" w:hAnsi="Times New Roman" w:cs="Times New Roman"/>
          <w:color w:val="222222"/>
          <w:shd w:val="clear" w:color="auto" w:fill="FFFFFF"/>
        </w:rPr>
        <w:t>, </w:t>
      </w:r>
      <w:r w:rsidRPr="00290012">
        <w:rPr>
          <w:rFonts w:ascii="Times New Roman" w:hAnsi="Times New Roman" w:cs="Times New Roman"/>
          <w:i/>
          <w:iCs/>
          <w:color w:val="222222"/>
          <w:shd w:val="clear" w:color="auto" w:fill="FFFFFF"/>
        </w:rPr>
        <w:t>6</w:t>
      </w:r>
      <w:r w:rsidRPr="00290012">
        <w:rPr>
          <w:rFonts w:ascii="Times New Roman" w:hAnsi="Times New Roman" w:cs="Times New Roman"/>
          <w:color w:val="222222"/>
          <w:shd w:val="clear" w:color="auto" w:fill="FFFFFF"/>
        </w:rPr>
        <w:t>(3), 118-135.</w:t>
      </w:r>
    </w:p>
    <w:p w:rsidR="00290012" w:rsidRPr="00804FA6" w:rsidRDefault="00290012" w:rsidP="00004FF3">
      <w:pPr>
        <w:pStyle w:val="Normal1"/>
        <w:spacing w:after="0" w:line="240" w:lineRule="auto"/>
        <w:rPr>
          <w:rFonts w:ascii="Times New Roman" w:eastAsia="Times New Roman" w:hAnsi="Times New Roman" w:cs="Times New Roman"/>
          <w:color w:val="auto"/>
        </w:rPr>
      </w:pPr>
    </w:p>
    <w:p w:rsidR="00437EB5" w:rsidRPr="001C1F2F" w:rsidRDefault="00804FA6" w:rsidP="00004FF3">
      <w:pPr>
        <w:pStyle w:val="Normal1"/>
        <w:spacing w:after="0" w:line="240" w:lineRule="auto"/>
        <w:rPr>
          <w:rFonts w:ascii="Times New Roman" w:hAnsi="Times New Roman" w:cs="Times New Roman"/>
          <w:color w:val="auto"/>
        </w:rPr>
      </w:pPr>
      <w:r w:rsidRPr="00804FA6">
        <w:rPr>
          <w:rFonts w:ascii="Times New Roman" w:hAnsi="Times New Roman" w:cs="Times New Roman"/>
          <w:color w:val="222222"/>
          <w:shd w:val="clear" w:color="auto" w:fill="FFFFFF"/>
        </w:rPr>
        <w:t xml:space="preserve">Silva, C. M., </w:t>
      </w:r>
      <w:proofErr w:type="spellStart"/>
      <w:r w:rsidRPr="00804FA6">
        <w:rPr>
          <w:rFonts w:ascii="Times New Roman" w:hAnsi="Times New Roman" w:cs="Times New Roman"/>
          <w:color w:val="222222"/>
          <w:shd w:val="clear" w:color="auto" w:fill="FFFFFF"/>
        </w:rPr>
        <w:t>Drumond</w:t>
      </w:r>
      <w:proofErr w:type="spellEnd"/>
      <w:r w:rsidRPr="00804FA6">
        <w:rPr>
          <w:rFonts w:ascii="Times New Roman" w:hAnsi="Times New Roman" w:cs="Times New Roman"/>
          <w:color w:val="222222"/>
          <w:shd w:val="clear" w:color="auto" w:fill="FFFFFF"/>
        </w:rPr>
        <w:t>, F. M. P., Silva, D. M. I., Pereira, V. H., &amp; de Oliveira, C. V. (2016).</w:t>
      </w:r>
      <w:r w:rsidR="00437EB5" w:rsidRPr="00804FA6">
        <w:rPr>
          <w:rFonts w:ascii="Times New Roman" w:eastAsia="Times New Roman" w:hAnsi="Times New Roman" w:cs="Times New Roman"/>
          <w:color w:val="auto"/>
        </w:rPr>
        <w:t xml:space="preserve"> Identificação dos </w:t>
      </w:r>
      <w:proofErr w:type="spellStart"/>
      <w:r w:rsidR="00437EB5" w:rsidRPr="00804FA6">
        <w:rPr>
          <w:rFonts w:ascii="Times New Roman" w:eastAsia="Times New Roman" w:hAnsi="Times New Roman" w:cs="Times New Roman"/>
          <w:i/>
          <w:color w:val="auto"/>
        </w:rPr>
        <w:t>Disclosures</w:t>
      </w:r>
      <w:proofErr w:type="spellEnd"/>
      <w:r w:rsidR="00437EB5" w:rsidRPr="00804FA6">
        <w:rPr>
          <w:rFonts w:ascii="Times New Roman" w:eastAsia="Times New Roman" w:hAnsi="Times New Roman" w:cs="Times New Roman"/>
          <w:color w:val="auto"/>
        </w:rPr>
        <w:t xml:space="preserve"> do CPC 33 (R1)</w:t>
      </w:r>
      <w:r>
        <w:rPr>
          <w:rFonts w:ascii="Times New Roman" w:eastAsia="Times New Roman" w:hAnsi="Times New Roman" w:cs="Times New Roman"/>
          <w:color w:val="auto"/>
        </w:rPr>
        <w:t xml:space="preserve"> </w:t>
      </w:r>
      <w:r w:rsidR="00437EB5" w:rsidRPr="007B10B4">
        <w:rPr>
          <w:rFonts w:ascii="Times New Roman" w:eastAsia="Times New Roman" w:hAnsi="Times New Roman" w:cs="Times New Roman"/>
          <w:color w:val="auto"/>
        </w:rPr>
        <w:t>nas demonstrações contábeis de empresas brasileiras do segmento de telefoni</w:t>
      </w:r>
      <w:r w:rsidR="00437EB5" w:rsidRPr="007B10B4">
        <w:rPr>
          <w:rFonts w:ascii="Times New Roman" w:hAnsi="Times New Roman" w:cs="Times New Roman"/>
          <w:color w:val="auto"/>
        </w:rPr>
        <w:t>a listadas na BM&amp;FBovespa.  </w:t>
      </w:r>
      <w:r w:rsidR="00437EB5" w:rsidRPr="00804FA6">
        <w:rPr>
          <w:rFonts w:ascii="Times New Roman" w:hAnsi="Times New Roman" w:cs="Times New Roman"/>
          <w:i/>
          <w:color w:val="auto"/>
        </w:rPr>
        <w:t>Revista de Auditoria, Governança e Contabilidade,</w:t>
      </w:r>
      <w:r w:rsidR="00437EB5" w:rsidRPr="007B10B4">
        <w:rPr>
          <w:rFonts w:ascii="Times New Roman" w:hAnsi="Times New Roman" w:cs="Times New Roman"/>
          <w:color w:val="auto"/>
        </w:rPr>
        <w:t xml:space="preserve"> 4</w:t>
      </w:r>
      <w:r>
        <w:rPr>
          <w:rFonts w:ascii="Times New Roman" w:hAnsi="Times New Roman" w:cs="Times New Roman"/>
          <w:color w:val="auto"/>
        </w:rPr>
        <w:t>(</w:t>
      </w:r>
      <w:r w:rsidR="00437EB5" w:rsidRPr="007B10B4">
        <w:rPr>
          <w:rFonts w:ascii="Times New Roman" w:hAnsi="Times New Roman" w:cs="Times New Roman"/>
          <w:color w:val="auto"/>
        </w:rPr>
        <w:t>17</w:t>
      </w:r>
      <w:r>
        <w:rPr>
          <w:rFonts w:ascii="Times New Roman" w:hAnsi="Times New Roman" w:cs="Times New Roman"/>
          <w:color w:val="auto"/>
        </w:rPr>
        <w:t>)</w:t>
      </w:r>
      <w:r w:rsidR="00437EB5" w:rsidRPr="007B10B4">
        <w:rPr>
          <w:rFonts w:ascii="Times New Roman" w:hAnsi="Times New Roman" w:cs="Times New Roman"/>
          <w:color w:val="auto"/>
        </w:rPr>
        <w:t xml:space="preserve">, </w:t>
      </w:r>
      <w:r>
        <w:rPr>
          <w:rFonts w:ascii="Times New Roman" w:hAnsi="Times New Roman" w:cs="Times New Roman"/>
          <w:color w:val="auto"/>
        </w:rPr>
        <w:t>1</w:t>
      </w:r>
      <w:r w:rsidR="00437EB5" w:rsidRPr="007B10B4">
        <w:rPr>
          <w:rFonts w:ascii="Times New Roman" w:hAnsi="Times New Roman" w:cs="Times New Roman"/>
          <w:color w:val="auto"/>
        </w:rPr>
        <w:t>33-153.</w:t>
      </w:r>
    </w:p>
    <w:p w:rsidR="00437EB5" w:rsidRPr="001C1F2F" w:rsidRDefault="00437EB5" w:rsidP="00004FF3">
      <w:pPr>
        <w:pStyle w:val="Normal1"/>
        <w:spacing w:after="0" w:line="240" w:lineRule="auto"/>
        <w:rPr>
          <w:rFonts w:ascii="Times New Roman" w:hAnsi="Times New Roman" w:cs="Times New Roman"/>
          <w:color w:val="auto"/>
        </w:rPr>
      </w:pPr>
    </w:p>
    <w:p w:rsidR="00437EB5" w:rsidRPr="001C1F2F" w:rsidRDefault="0007024B" w:rsidP="00004FF3">
      <w:pPr>
        <w:pStyle w:val="Normal1"/>
        <w:spacing w:after="0" w:line="240" w:lineRule="auto"/>
        <w:rPr>
          <w:rFonts w:ascii="Times New Roman" w:hAnsi="Times New Roman" w:cs="Times New Roman"/>
          <w:color w:val="auto"/>
        </w:rPr>
      </w:pPr>
      <w:r w:rsidRPr="007B10B4">
        <w:rPr>
          <w:rFonts w:ascii="Times New Roman" w:hAnsi="Times New Roman" w:cs="Times New Roman"/>
          <w:color w:val="auto"/>
        </w:rPr>
        <w:t>Ernst</w:t>
      </w:r>
      <w:r>
        <w:rPr>
          <w:rFonts w:ascii="Times New Roman" w:hAnsi="Times New Roman" w:cs="Times New Roman"/>
          <w:color w:val="auto"/>
        </w:rPr>
        <w:t xml:space="preserve"> &amp;</w:t>
      </w:r>
      <w:r w:rsidRPr="007B10B4">
        <w:rPr>
          <w:rFonts w:ascii="Times New Roman" w:hAnsi="Times New Roman" w:cs="Times New Roman"/>
          <w:color w:val="auto"/>
        </w:rPr>
        <w:t xml:space="preserve"> Young, </w:t>
      </w:r>
      <w:r>
        <w:rPr>
          <w:rFonts w:ascii="Times New Roman" w:hAnsi="Times New Roman" w:cs="Times New Roman"/>
          <w:color w:val="auto"/>
        </w:rPr>
        <w:t xml:space="preserve">&amp; </w:t>
      </w:r>
      <w:proofErr w:type="spellStart"/>
      <w:r w:rsidRPr="007B10B4">
        <w:rPr>
          <w:rFonts w:ascii="Times New Roman" w:hAnsi="Times New Roman" w:cs="Times New Roman"/>
          <w:color w:val="auto"/>
        </w:rPr>
        <w:t>Fipecafi</w:t>
      </w:r>
      <w:proofErr w:type="spellEnd"/>
      <w:r w:rsidRPr="007B10B4">
        <w:rPr>
          <w:rFonts w:ascii="Times New Roman" w:hAnsi="Times New Roman" w:cs="Times New Roman"/>
          <w:color w:val="auto"/>
        </w:rPr>
        <w:t xml:space="preserve">. </w:t>
      </w:r>
      <w:r>
        <w:rPr>
          <w:rFonts w:ascii="Times New Roman" w:hAnsi="Times New Roman" w:cs="Times New Roman"/>
          <w:color w:val="auto"/>
        </w:rPr>
        <w:t xml:space="preserve">(2009). </w:t>
      </w:r>
      <w:r w:rsidR="00437EB5" w:rsidRPr="0007024B">
        <w:rPr>
          <w:rFonts w:ascii="Times New Roman" w:hAnsi="Times New Roman" w:cs="Times New Roman"/>
          <w:i/>
          <w:color w:val="auto"/>
        </w:rPr>
        <w:t>Manual de normas internacionais de contabilidade:</w:t>
      </w:r>
      <w:r w:rsidR="00437EB5" w:rsidRPr="007B10B4">
        <w:rPr>
          <w:rFonts w:ascii="Times New Roman" w:hAnsi="Times New Roman" w:cs="Times New Roman"/>
          <w:b/>
          <w:color w:val="auto"/>
        </w:rPr>
        <w:t xml:space="preserve"> </w:t>
      </w:r>
      <w:r w:rsidR="00437EB5" w:rsidRPr="007B10B4">
        <w:rPr>
          <w:rFonts w:ascii="Times New Roman" w:hAnsi="Times New Roman" w:cs="Times New Roman"/>
          <w:color w:val="auto"/>
        </w:rPr>
        <w:t>IFRS versus normas brasileiras. São Paulo: Atlas.</w:t>
      </w:r>
    </w:p>
    <w:p w:rsidR="00437EB5" w:rsidRPr="001C1F2F" w:rsidRDefault="00437EB5" w:rsidP="00004FF3">
      <w:pPr>
        <w:pStyle w:val="Normal1"/>
        <w:spacing w:after="0" w:line="240" w:lineRule="auto"/>
        <w:rPr>
          <w:rFonts w:ascii="Times New Roman" w:hAnsi="Times New Roman" w:cs="Times New Roman"/>
          <w:color w:val="auto"/>
        </w:rPr>
      </w:pPr>
    </w:p>
    <w:p w:rsidR="00437EB5" w:rsidRPr="002D5BB7" w:rsidRDefault="00437EB5" w:rsidP="00004FF3">
      <w:pPr>
        <w:pStyle w:val="Normal1"/>
        <w:spacing w:after="0" w:line="240" w:lineRule="auto"/>
        <w:rPr>
          <w:rFonts w:ascii="Times New Roman" w:hAnsi="Times New Roman" w:cs="Times New Roman"/>
        </w:rPr>
      </w:pPr>
      <w:r w:rsidRPr="002D5BB7">
        <w:rPr>
          <w:rFonts w:ascii="Times New Roman" w:eastAsia="Times New Roman" w:hAnsi="Times New Roman" w:cs="Times New Roman"/>
          <w:color w:val="auto"/>
        </w:rPr>
        <w:t>F</w:t>
      </w:r>
      <w:r w:rsidR="002D5BB7" w:rsidRPr="002D5BB7">
        <w:rPr>
          <w:rFonts w:ascii="Times New Roman" w:eastAsia="Times New Roman" w:hAnsi="Times New Roman" w:cs="Times New Roman"/>
          <w:color w:val="auto"/>
        </w:rPr>
        <w:t>igueiredo</w:t>
      </w:r>
      <w:r w:rsidR="0007024B" w:rsidRPr="002D5BB7">
        <w:rPr>
          <w:rFonts w:ascii="Times New Roman" w:eastAsia="Times New Roman" w:hAnsi="Times New Roman" w:cs="Times New Roman"/>
          <w:color w:val="auto"/>
        </w:rPr>
        <w:t>,</w:t>
      </w:r>
      <w:r w:rsidRPr="002D5BB7">
        <w:rPr>
          <w:rFonts w:ascii="Times New Roman" w:eastAsia="Times New Roman" w:hAnsi="Times New Roman" w:cs="Times New Roman"/>
          <w:color w:val="auto"/>
        </w:rPr>
        <w:t xml:space="preserve"> S. M. G. </w:t>
      </w:r>
      <w:r w:rsidR="0007024B" w:rsidRPr="002D5BB7">
        <w:rPr>
          <w:rFonts w:ascii="Times New Roman" w:eastAsia="Times New Roman" w:hAnsi="Times New Roman" w:cs="Times New Roman"/>
          <w:color w:val="auto"/>
        </w:rPr>
        <w:t xml:space="preserve">(2012). </w:t>
      </w:r>
      <w:r w:rsidRPr="002D5BB7">
        <w:rPr>
          <w:rFonts w:ascii="Times New Roman" w:eastAsia="Times New Roman" w:hAnsi="Times New Roman" w:cs="Times New Roman"/>
          <w:color w:val="auto"/>
        </w:rPr>
        <w:t xml:space="preserve">A evolução da divulgação de informações sobre os benefícios dos empregados: Os casos das empresas do PSI 20 nos anos de 2007 a 2009. </w:t>
      </w:r>
      <w:r w:rsidR="002D5BB7" w:rsidRPr="002D5BB7">
        <w:rPr>
          <w:rFonts w:ascii="Times New Roman" w:hAnsi="Times New Roman" w:cs="Times New Roman"/>
          <w:i/>
        </w:rPr>
        <w:t>Dissertação de Mestrado em Contabilidade</w:t>
      </w:r>
      <w:r w:rsidR="002D5BB7" w:rsidRPr="002D5BB7">
        <w:rPr>
          <w:rFonts w:ascii="Times New Roman" w:hAnsi="Times New Roman" w:cs="Times New Roman"/>
        </w:rPr>
        <w:t>, Instituto Superior de Contabilidade e Administração de Lisboa.</w:t>
      </w:r>
    </w:p>
    <w:p w:rsidR="002D5BB7" w:rsidRPr="001C1F2F" w:rsidRDefault="002D5BB7" w:rsidP="00004FF3">
      <w:pPr>
        <w:pStyle w:val="Normal1"/>
        <w:spacing w:after="0" w:line="240" w:lineRule="auto"/>
        <w:rPr>
          <w:rFonts w:ascii="Times New Roman" w:hAnsi="Times New Roman" w:cs="Times New Roman"/>
          <w:color w:val="auto"/>
        </w:rPr>
      </w:pPr>
    </w:p>
    <w:p w:rsidR="00437EB5" w:rsidRPr="001C1F2F" w:rsidRDefault="002D5BB7" w:rsidP="00004FF3">
      <w:pPr>
        <w:pStyle w:val="Normal1"/>
        <w:spacing w:after="0" w:line="240" w:lineRule="auto"/>
        <w:rPr>
          <w:rFonts w:ascii="Times New Roman" w:hAnsi="Times New Roman" w:cs="Times New Roman"/>
          <w:color w:val="auto"/>
        </w:rPr>
      </w:pPr>
      <w:proofErr w:type="spellStart"/>
      <w:r w:rsidRPr="007B10B4">
        <w:rPr>
          <w:rFonts w:ascii="Times New Roman" w:hAnsi="Times New Roman" w:cs="Times New Roman"/>
          <w:color w:val="auto"/>
        </w:rPr>
        <w:t>Gelbcke</w:t>
      </w:r>
      <w:proofErr w:type="spellEnd"/>
      <w:r w:rsidRPr="007B10B4">
        <w:rPr>
          <w:rFonts w:ascii="Times New Roman" w:hAnsi="Times New Roman" w:cs="Times New Roman"/>
          <w:color w:val="auto"/>
        </w:rPr>
        <w:t>, E.R</w:t>
      </w:r>
      <w:r>
        <w:rPr>
          <w:rFonts w:ascii="Times New Roman" w:hAnsi="Times New Roman" w:cs="Times New Roman"/>
          <w:color w:val="auto"/>
        </w:rPr>
        <w:t>.,</w:t>
      </w:r>
      <w:r w:rsidRPr="007B10B4">
        <w:rPr>
          <w:rFonts w:ascii="Times New Roman" w:hAnsi="Times New Roman" w:cs="Times New Roman"/>
          <w:color w:val="auto"/>
        </w:rPr>
        <w:t xml:space="preserve"> </w:t>
      </w:r>
      <w:proofErr w:type="spellStart"/>
      <w:r w:rsidRPr="007B10B4">
        <w:rPr>
          <w:rFonts w:ascii="Times New Roman" w:hAnsi="Times New Roman" w:cs="Times New Roman"/>
          <w:color w:val="auto"/>
        </w:rPr>
        <w:t>Iudícibus</w:t>
      </w:r>
      <w:proofErr w:type="spellEnd"/>
      <w:r w:rsidRPr="007B10B4">
        <w:rPr>
          <w:rFonts w:ascii="Times New Roman" w:hAnsi="Times New Roman" w:cs="Times New Roman"/>
          <w:color w:val="auto"/>
        </w:rPr>
        <w:t>, S.</w:t>
      </w:r>
      <w:r>
        <w:rPr>
          <w:rFonts w:ascii="Times New Roman" w:hAnsi="Times New Roman" w:cs="Times New Roman"/>
          <w:color w:val="auto"/>
        </w:rPr>
        <w:t>,</w:t>
      </w:r>
      <w:r w:rsidRPr="007B10B4">
        <w:rPr>
          <w:rFonts w:ascii="Times New Roman" w:hAnsi="Times New Roman" w:cs="Times New Roman"/>
          <w:color w:val="auto"/>
        </w:rPr>
        <w:t xml:space="preserve"> Martins, E.</w:t>
      </w:r>
      <w:r>
        <w:rPr>
          <w:rFonts w:ascii="Times New Roman" w:hAnsi="Times New Roman" w:cs="Times New Roman"/>
          <w:color w:val="auto"/>
        </w:rPr>
        <w:t>, &amp;</w:t>
      </w:r>
      <w:r w:rsidRPr="007B10B4">
        <w:rPr>
          <w:rFonts w:ascii="Times New Roman" w:hAnsi="Times New Roman" w:cs="Times New Roman"/>
          <w:color w:val="auto"/>
        </w:rPr>
        <w:t xml:space="preserve"> Santos</w:t>
      </w:r>
      <w:r w:rsidR="00437EB5" w:rsidRPr="007B10B4">
        <w:rPr>
          <w:rFonts w:ascii="Times New Roman" w:hAnsi="Times New Roman" w:cs="Times New Roman"/>
          <w:color w:val="auto"/>
        </w:rPr>
        <w:t xml:space="preserve">, A. D. </w:t>
      </w:r>
      <w:r>
        <w:rPr>
          <w:rFonts w:ascii="Times New Roman" w:hAnsi="Times New Roman" w:cs="Times New Roman"/>
          <w:color w:val="auto"/>
        </w:rPr>
        <w:t xml:space="preserve">(2010). </w:t>
      </w:r>
      <w:r w:rsidR="00437EB5" w:rsidRPr="002D5BB7">
        <w:rPr>
          <w:rFonts w:ascii="Times New Roman" w:hAnsi="Times New Roman" w:cs="Times New Roman"/>
          <w:i/>
          <w:color w:val="auto"/>
        </w:rPr>
        <w:t xml:space="preserve">Manual de Contabilidade Societária. </w:t>
      </w:r>
      <w:r w:rsidR="00437EB5" w:rsidRPr="007B10B4">
        <w:rPr>
          <w:rFonts w:ascii="Times New Roman" w:hAnsi="Times New Roman" w:cs="Times New Roman"/>
          <w:color w:val="auto"/>
        </w:rPr>
        <w:t>1. ed. São Paulo: Atlas.</w:t>
      </w:r>
    </w:p>
    <w:p w:rsidR="00437EB5" w:rsidRPr="001C1F2F" w:rsidRDefault="00437EB5" w:rsidP="00004FF3">
      <w:pPr>
        <w:pStyle w:val="Normal1"/>
        <w:spacing w:after="0" w:line="240" w:lineRule="auto"/>
        <w:rPr>
          <w:rFonts w:ascii="Times New Roman" w:eastAsia="Times New Roman" w:hAnsi="Times New Roman" w:cs="Times New Roman"/>
          <w:color w:val="auto"/>
        </w:rPr>
      </w:pPr>
    </w:p>
    <w:p w:rsidR="00437EB5" w:rsidRPr="001C1F2F" w:rsidRDefault="002D5BB7" w:rsidP="00004FF3">
      <w:pPr>
        <w:pStyle w:val="Normal1"/>
        <w:spacing w:after="0" w:line="240" w:lineRule="auto"/>
        <w:rPr>
          <w:rFonts w:ascii="Times New Roman" w:eastAsia="Times New Roman" w:hAnsi="Times New Roman" w:cs="Times New Roman"/>
          <w:color w:val="auto"/>
          <w:highlight w:val="white"/>
        </w:rPr>
      </w:pPr>
      <w:proofErr w:type="spellStart"/>
      <w:r w:rsidRPr="007B10B4">
        <w:rPr>
          <w:rFonts w:ascii="Times New Roman" w:eastAsia="Times New Roman" w:hAnsi="Times New Roman" w:cs="Times New Roman"/>
          <w:color w:val="auto"/>
        </w:rPr>
        <w:t>Hirsch</w:t>
      </w:r>
      <w:proofErr w:type="spellEnd"/>
      <w:r w:rsidRPr="007B10B4">
        <w:rPr>
          <w:rFonts w:ascii="Times New Roman" w:eastAsia="Times New Roman" w:hAnsi="Times New Roman" w:cs="Times New Roman"/>
          <w:color w:val="auto"/>
        </w:rPr>
        <w:t>, C.</w:t>
      </w:r>
      <w:r>
        <w:rPr>
          <w:rFonts w:ascii="Times New Roman" w:eastAsia="Times New Roman" w:hAnsi="Times New Roman" w:cs="Times New Roman"/>
          <w:color w:val="auto"/>
        </w:rPr>
        <w:t>, &amp;</w:t>
      </w:r>
      <w:r w:rsidRPr="007B10B4">
        <w:rPr>
          <w:rFonts w:ascii="Times New Roman" w:eastAsia="Times New Roman" w:hAnsi="Times New Roman" w:cs="Times New Roman"/>
          <w:color w:val="auto"/>
        </w:rPr>
        <w:t xml:space="preserve"> Martins, </w:t>
      </w:r>
      <w:r w:rsidR="00437EB5" w:rsidRPr="007B10B4">
        <w:rPr>
          <w:rFonts w:ascii="Times New Roman" w:eastAsia="Times New Roman" w:hAnsi="Times New Roman" w:cs="Times New Roman"/>
          <w:color w:val="auto"/>
        </w:rPr>
        <w:t xml:space="preserve">E. S. </w:t>
      </w:r>
      <w:r>
        <w:rPr>
          <w:rFonts w:ascii="Times New Roman" w:eastAsia="Times New Roman" w:hAnsi="Times New Roman" w:cs="Times New Roman"/>
          <w:color w:val="auto"/>
        </w:rPr>
        <w:t xml:space="preserve">(2013). </w:t>
      </w:r>
      <w:r w:rsidR="00437EB5" w:rsidRPr="007B10B4">
        <w:rPr>
          <w:rFonts w:ascii="Times New Roman" w:eastAsia="Times New Roman" w:hAnsi="Times New Roman" w:cs="Times New Roman"/>
          <w:color w:val="auto"/>
        </w:rPr>
        <w:t xml:space="preserve">Benefícios flexíveis: Um estudo de caso </w:t>
      </w:r>
      <w:r w:rsidR="00684D0B">
        <w:rPr>
          <w:rFonts w:ascii="Times New Roman" w:eastAsia="Times New Roman" w:hAnsi="Times New Roman" w:cs="Times New Roman"/>
          <w:color w:val="auto"/>
        </w:rPr>
        <w:t>à</w:t>
      </w:r>
      <w:r w:rsidR="00437EB5" w:rsidRPr="007B10B4">
        <w:rPr>
          <w:rFonts w:ascii="Times New Roman" w:eastAsia="Times New Roman" w:hAnsi="Times New Roman" w:cs="Times New Roman"/>
          <w:color w:val="auto"/>
        </w:rPr>
        <w:t xml:space="preserve"> luz da percepção d</w:t>
      </w:r>
      <w:r w:rsidR="00684D0B">
        <w:rPr>
          <w:rFonts w:ascii="Times New Roman" w:eastAsia="Times New Roman" w:hAnsi="Times New Roman" w:cs="Times New Roman"/>
          <w:color w:val="auto"/>
        </w:rPr>
        <w:t>a t</w:t>
      </w:r>
      <w:r w:rsidR="00437EB5">
        <w:rPr>
          <w:rFonts w:ascii="Times New Roman" w:eastAsia="Times New Roman" w:hAnsi="Times New Roman" w:cs="Times New Roman"/>
          <w:color w:val="auto"/>
        </w:rPr>
        <w:t>abela</w:t>
      </w:r>
      <w:r w:rsidR="00437EB5" w:rsidRPr="007B10B4">
        <w:rPr>
          <w:rFonts w:ascii="Times New Roman" w:eastAsia="Times New Roman" w:hAnsi="Times New Roman" w:cs="Times New Roman"/>
          <w:color w:val="auto"/>
        </w:rPr>
        <w:t xml:space="preserve"> funcional de uma empresa. </w:t>
      </w:r>
      <w:r w:rsidR="00437EB5" w:rsidRPr="00684D0B">
        <w:rPr>
          <w:rFonts w:ascii="Times New Roman" w:eastAsia="Times New Roman" w:hAnsi="Times New Roman" w:cs="Times New Roman"/>
          <w:i/>
          <w:color w:val="auto"/>
          <w:highlight w:val="white"/>
        </w:rPr>
        <w:t>Revista Contemporânea de Contabilidade,</w:t>
      </w:r>
      <w:r w:rsidR="00437EB5" w:rsidRPr="007B10B4">
        <w:rPr>
          <w:rFonts w:ascii="Times New Roman" w:eastAsia="Times New Roman" w:hAnsi="Times New Roman" w:cs="Times New Roman"/>
          <w:color w:val="auto"/>
          <w:highlight w:val="white"/>
        </w:rPr>
        <w:t xml:space="preserve"> 9</w:t>
      </w:r>
      <w:r w:rsidR="00684D0B">
        <w:rPr>
          <w:rFonts w:ascii="Times New Roman" w:eastAsia="Times New Roman" w:hAnsi="Times New Roman" w:cs="Times New Roman"/>
          <w:color w:val="auto"/>
          <w:highlight w:val="white"/>
        </w:rPr>
        <w:t>(</w:t>
      </w:r>
      <w:r w:rsidR="00437EB5" w:rsidRPr="007B10B4">
        <w:rPr>
          <w:rFonts w:ascii="Times New Roman" w:eastAsia="Times New Roman" w:hAnsi="Times New Roman" w:cs="Times New Roman"/>
          <w:color w:val="auto"/>
          <w:highlight w:val="white"/>
        </w:rPr>
        <w:t>14</w:t>
      </w:r>
      <w:r w:rsidR="00684D0B">
        <w:rPr>
          <w:rFonts w:ascii="Times New Roman" w:eastAsia="Times New Roman" w:hAnsi="Times New Roman" w:cs="Times New Roman"/>
          <w:color w:val="auto"/>
          <w:highlight w:val="white"/>
        </w:rPr>
        <w:t>)</w:t>
      </w:r>
      <w:r w:rsidR="00437EB5" w:rsidRPr="007B10B4">
        <w:rPr>
          <w:rFonts w:ascii="Times New Roman" w:eastAsia="Times New Roman" w:hAnsi="Times New Roman" w:cs="Times New Roman"/>
          <w:color w:val="auto"/>
          <w:highlight w:val="white"/>
        </w:rPr>
        <w:t>, 137-153.</w:t>
      </w:r>
    </w:p>
    <w:p w:rsidR="00437EB5" w:rsidRPr="001C1F2F" w:rsidRDefault="00437EB5" w:rsidP="00004FF3">
      <w:pPr>
        <w:pStyle w:val="Normal1"/>
        <w:spacing w:after="0" w:line="240" w:lineRule="auto"/>
        <w:rPr>
          <w:rFonts w:ascii="Times New Roman" w:eastAsia="Times New Roman" w:hAnsi="Times New Roman" w:cs="Times New Roman"/>
          <w:color w:val="auto"/>
          <w:highlight w:val="white"/>
        </w:rPr>
      </w:pPr>
    </w:p>
    <w:p w:rsidR="00437EB5" w:rsidRPr="001C1F2F" w:rsidRDefault="00513E50" w:rsidP="00004FF3">
      <w:pPr>
        <w:pStyle w:val="Normal1"/>
        <w:spacing w:after="0" w:line="240" w:lineRule="auto"/>
        <w:rPr>
          <w:rFonts w:ascii="Times New Roman" w:hAnsi="Times New Roman" w:cs="Times New Roman"/>
          <w:color w:val="auto"/>
        </w:rPr>
      </w:pPr>
      <w:r w:rsidRPr="007B10B4">
        <w:rPr>
          <w:rFonts w:ascii="Times New Roman" w:hAnsi="Times New Roman" w:cs="Times New Roman"/>
          <w:color w:val="auto"/>
        </w:rPr>
        <w:t>Lakatos, E. M.</w:t>
      </w:r>
      <w:r>
        <w:rPr>
          <w:rFonts w:ascii="Times New Roman" w:hAnsi="Times New Roman" w:cs="Times New Roman"/>
          <w:color w:val="auto"/>
        </w:rPr>
        <w:t>, &amp;</w:t>
      </w:r>
      <w:r w:rsidRPr="007B10B4">
        <w:rPr>
          <w:rFonts w:ascii="Times New Roman" w:hAnsi="Times New Roman" w:cs="Times New Roman"/>
          <w:color w:val="auto"/>
        </w:rPr>
        <w:t xml:space="preserve"> Marconi</w:t>
      </w:r>
      <w:r w:rsidR="00437EB5" w:rsidRPr="007B10B4">
        <w:rPr>
          <w:rFonts w:ascii="Times New Roman" w:hAnsi="Times New Roman" w:cs="Times New Roman"/>
          <w:color w:val="auto"/>
        </w:rPr>
        <w:t xml:space="preserve">, M. A. </w:t>
      </w:r>
      <w:r>
        <w:rPr>
          <w:rFonts w:ascii="Times New Roman" w:hAnsi="Times New Roman" w:cs="Times New Roman"/>
          <w:color w:val="auto"/>
        </w:rPr>
        <w:t xml:space="preserve">(2001). </w:t>
      </w:r>
      <w:r w:rsidR="00437EB5" w:rsidRPr="00513E50">
        <w:rPr>
          <w:rFonts w:ascii="Times New Roman" w:hAnsi="Times New Roman" w:cs="Times New Roman"/>
          <w:i/>
          <w:color w:val="auto"/>
        </w:rPr>
        <w:t>Fundamentos metodologia científica.</w:t>
      </w:r>
      <w:r w:rsidR="00437EB5" w:rsidRPr="007B10B4">
        <w:rPr>
          <w:rFonts w:ascii="Times New Roman" w:hAnsi="Times New Roman" w:cs="Times New Roman"/>
          <w:color w:val="auto"/>
        </w:rPr>
        <w:t xml:space="preserve"> 4. ed. São Paulo: Atlas.</w:t>
      </w:r>
    </w:p>
    <w:p w:rsidR="00437EB5" w:rsidRPr="001C1F2F" w:rsidRDefault="00437EB5" w:rsidP="00004FF3">
      <w:pPr>
        <w:pStyle w:val="Normal1"/>
        <w:spacing w:after="0" w:line="240" w:lineRule="auto"/>
        <w:rPr>
          <w:rFonts w:ascii="Times New Roman" w:hAnsi="Times New Roman" w:cs="Times New Roman"/>
          <w:color w:val="auto"/>
        </w:rPr>
      </w:pPr>
    </w:p>
    <w:p w:rsidR="00437EB5" w:rsidRPr="001C1F2F" w:rsidRDefault="00804FA6" w:rsidP="00004FF3">
      <w:pPr>
        <w:pStyle w:val="Normal1"/>
        <w:spacing w:after="0" w:line="240" w:lineRule="auto"/>
        <w:rPr>
          <w:rFonts w:ascii="Times New Roman" w:hAnsi="Times New Roman" w:cs="Times New Roman"/>
          <w:color w:val="auto"/>
        </w:rPr>
      </w:pPr>
      <w:proofErr w:type="spellStart"/>
      <w:r w:rsidRPr="007B10B4">
        <w:rPr>
          <w:rFonts w:ascii="Times New Roman" w:hAnsi="Times New Roman" w:cs="Times New Roman"/>
          <w:color w:val="auto"/>
          <w:shd w:val="clear" w:color="auto" w:fill="FFFFFF"/>
        </w:rPr>
        <w:t>Lay</w:t>
      </w:r>
      <w:proofErr w:type="spellEnd"/>
      <w:r w:rsidRPr="007B10B4">
        <w:rPr>
          <w:rFonts w:ascii="Times New Roman" w:hAnsi="Times New Roman" w:cs="Times New Roman"/>
          <w:color w:val="auto"/>
          <w:shd w:val="clear" w:color="auto" w:fill="FFFFFF"/>
        </w:rPr>
        <w:t>, L.</w:t>
      </w:r>
      <w:r>
        <w:rPr>
          <w:rFonts w:ascii="Times New Roman" w:hAnsi="Times New Roman" w:cs="Times New Roman"/>
          <w:color w:val="auto"/>
          <w:shd w:val="clear" w:color="auto" w:fill="FFFFFF"/>
        </w:rPr>
        <w:t xml:space="preserve"> </w:t>
      </w:r>
      <w:r w:rsidRPr="007B10B4">
        <w:rPr>
          <w:rFonts w:ascii="Times New Roman" w:hAnsi="Times New Roman" w:cs="Times New Roman"/>
          <w:color w:val="auto"/>
          <w:shd w:val="clear" w:color="auto" w:fill="FFFFFF"/>
        </w:rPr>
        <w:t>A.</w:t>
      </w:r>
      <w:r>
        <w:rPr>
          <w:rFonts w:ascii="Times New Roman" w:hAnsi="Times New Roman" w:cs="Times New Roman"/>
          <w:color w:val="auto"/>
          <w:shd w:val="clear" w:color="auto" w:fill="FFFFFF"/>
        </w:rPr>
        <w:t>,</w:t>
      </w:r>
      <w:r w:rsidRPr="007B10B4">
        <w:rPr>
          <w:rFonts w:ascii="Times New Roman" w:hAnsi="Times New Roman" w:cs="Times New Roman"/>
          <w:color w:val="auto"/>
          <w:shd w:val="clear" w:color="auto" w:fill="FFFFFF"/>
        </w:rPr>
        <w:t xml:space="preserve"> Silva, T.</w:t>
      </w:r>
      <w:r>
        <w:rPr>
          <w:rFonts w:ascii="Times New Roman" w:hAnsi="Times New Roman" w:cs="Times New Roman"/>
          <w:color w:val="auto"/>
          <w:shd w:val="clear" w:color="auto" w:fill="FFFFFF"/>
        </w:rPr>
        <w:t xml:space="preserve"> </w:t>
      </w:r>
      <w:r w:rsidRPr="007B10B4">
        <w:rPr>
          <w:rFonts w:ascii="Times New Roman" w:hAnsi="Times New Roman" w:cs="Times New Roman"/>
          <w:color w:val="auto"/>
          <w:shd w:val="clear" w:color="auto" w:fill="FFFFFF"/>
        </w:rPr>
        <w:t>B.</w:t>
      </w:r>
      <w:r>
        <w:rPr>
          <w:rFonts w:ascii="Times New Roman" w:hAnsi="Times New Roman" w:cs="Times New Roman"/>
          <w:color w:val="auto"/>
          <w:shd w:val="clear" w:color="auto" w:fill="FFFFFF"/>
        </w:rPr>
        <w:t xml:space="preserve"> </w:t>
      </w:r>
      <w:r w:rsidRPr="007B10B4">
        <w:rPr>
          <w:rFonts w:ascii="Times New Roman" w:hAnsi="Times New Roman" w:cs="Times New Roman"/>
          <w:color w:val="auto"/>
          <w:shd w:val="clear" w:color="auto" w:fill="FFFFFF"/>
        </w:rPr>
        <w:t>J.</w:t>
      </w:r>
      <w:r>
        <w:rPr>
          <w:rFonts w:ascii="Times New Roman" w:hAnsi="Times New Roman" w:cs="Times New Roman"/>
          <w:color w:val="auto"/>
          <w:shd w:val="clear" w:color="auto" w:fill="FFFFFF"/>
        </w:rPr>
        <w:t>,</w:t>
      </w:r>
      <w:r w:rsidRPr="007B10B4">
        <w:rPr>
          <w:rFonts w:ascii="Times New Roman" w:hAnsi="Times New Roman" w:cs="Times New Roman"/>
          <w:color w:val="auto"/>
          <w:shd w:val="clear" w:color="auto" w:fill="FFFFFF"/>
        </w:rPr>
        <w:t xml:space="preserve"> </w:t>
      </w:r>
      <w:r>
        <w:rPr>
          <w:rFonts w:ascii="Times New Roman" w:hAnsi="Times New Roman" w:cs="Times New Roman"/>
          <w:color w:val="auto"/>
          <w:shd w:val="clear" w:color="auto" w:fill="FFFFFF"/>
        </w:rPr>
        <w:t xml:space="preserve">&amp; </w:t>
      </w:r>
      <w:proofErr w:type="spellStart"/>
      <w:r w:rsidRPr="007B10B4">
        <w:rPr>
          <w:rFonts w:ascii="Times New Roman" w:hAnsi="Times New Roman" w:cs="Times New Roman"/>
          <w:color w:val="auto"/>
          <w:shd w:val="clear" w:color="auto" w:fill="FFFFFF"/>
        </w:rPr>
        <w:t>Michels</w:t>
      </w:r>
      <w:proofErr w:type="spellEnd"/>
      <w:r w:rsidRPr="007B10B4">
        <w:rPr>
          <w:rFonts w:ascii="Times New Roman" w:hAnsi="Times New Roman" w:cs="Times New Roman"/>
          <w:color w:val="auto"/>
          <w:shd w:val="clear" w:color="auto" w:fill="FFFFFF"/>
        </w:rPr>
        <w:t>, A</w:t>
      </w:r>
      <w:r w:rsidR="00437EB5" w:rsidRPr="007B10B4">
        <w:rPr>
          <w:rFonts w:ascii="Times New Roman" w:hAnsi="Times New Roman" w:cs="Times New Roman"/>
          <w:color w:val="auto"/>
          <w:shd w:val="clear" w:color="auto" w:fill="FFFFFF"/>
        </w:rPr>
        <w:t xml:space="preserve">. </w:t>
      </w:r>
      <w:r>
        <w:rPr>
          <w:rFonts w:ascii="Times New Roman" w:hAnsi="Times New Roman" w:cs="Times New Roman"/>
          <w:color w:val="auto"/>
          <w:shd w:val="clear" w:color="auto" w:fill="FFFFFF"/>
        </w:rPr>
        <w:t>(2017). F</w:t>
      </w:r>
      <w:r w:rsidRPr="007B10B4">
        <w:rPr>
          <w:rFonts w:ascii="Times New Roman" w:hAnsi="Times New Roman" w:cs="Times New Roman"/>
          <w:color w:val="auto"/>
          <w:shd w:val="clear" w:color="auto" w:fill="FFFFFF"/>
        </w:rPr>
        <w:t xml:space="preserve">atores explicativos da evidenciação dos benefícios aos empregados em empresas brasileiras listadas no </w:t>
      </w:r>
      <w:r w:rsidR="00437EB5" w:rsidRPr="007B10B4">
        <w:rPr>
          <w:rFonts w:ascii="Times New Roman" w:hAnsi="Times New Roman" w:cs="Times New Roman"/>
          <w:color w:val="auto"/>
          <w:shd w:val="clear" w:color="auto" w:fill="FFFFFF"/>
        </w:rPr>
        <w:t>IBRX 100 da BM&amp;FBovespa</w:t>
      </w:r>
      <w:r w:rsidR="00513E50">
        <w:rPr>
          <w:rFonts w:ascii="Times New Roman" w:hAnsi="Times New Roman" w:cs="Times New Roman"/>
          <w:color w:val="auto"/>
          <w:shd w:val="clear" w:color="auto" w:fill="FFFFFF"/>
        </w:rPr>
        <w:t xml:space="preserve">. </w:t>
      </w:r>
      <w:r w:rsidR="00437EB5" w:rsidRPr="00804FA6">
        <w:rPr>
          <w:rStyle w:val="Forte"/>
          <w:rFonts w:ascii="Times New Roman" w:hAnsi="Times New Roman" w:cs="Times New Roman"/>
          <w:b w:val="0"/>
          <w:i/>
          <w:color w:val="auto"/>
          <w:bdr w:val="none" w:sz="0" w:space="0" w:color="auto" w:frame="1"/>
          <w:shd w:val="clear" w:color="auto" w:fill="FFFFFF"/>
        </w:rPr>
        <w:t>Revista de Gestão, Finanças e Contabilidade</w:t>
      </w:r>
      <w:r>
        <w:rPr>
          <w:rStyle w:val="Forte"/>
          <w:rFonts w:ascii="Times New Roman" w:hAnsi="Times New Roman" w:cs="Times New Roman"/>
          <w:b w:val="0"/>
          <w:i/>
          <w:color w:val="auto"/>
          <w:bdr w:val="none" w:sz="0" w:space="0" w:color="auto" w:frame="1"/>
          <w:shd w:val="clear" w:color="auto" w:fill="FFFFFF"/>
        </w:rPr>
        <w:t>,</w:t>
      </w:r>
      <w:r w:rsidR="00437EB5" w:rsidRPr="007B10B4">
        <w:rPr>
          <w:rFonts w:ascii="Times New Roman" w:hAnsi="Times New Roman" w:cs="Times New Roman"/>
          <w:color w:val="auto"/>
          <w:shd w:val="clear" w:color="auto" w:fill="FFFFFF"/>
        </w:rPr>
        <w:t xml:space="preserve"> 7</w:t>
      </w:r>
      <w:r>
        <w:rPr>
          <w:rFonts w:ascii="Times New Roman" w:hAnsi="Times New Roman" w:cs="Times New Roman"/>
          <w:color w:val="auto"/>
          <w:shd w:val="clear" w:color="auto" w:fill="FFFFFF"/>
        </w:rPr>
        <w:t>(</w:t>
      </w:r>
      <w:r w:rsidR="00437EB5" w:rsidRPr="007B10B4">
        <w:rPr>
          <w:rFonts w:ascii="Times New Roman" w:hAnsi="Times New Roman" w:cs="Times New Roman"/>
          <w:color w:val="auto"/>
          <w:shd w:val="clear" w:color="auto" w:fill="FFFFFF"/>
        </w:rPr>
        <w:t>1</w:t>
      </w:r>
      <w:r>
        <w:rPr>
          <w:rFonts w:ascii="Times New Roman" w:hAnsi="Times New Roman" w:cs="Times New Roman"/>
          <w:color w:val="auto"/>
          <w:shd w:val="clear" w:color="auto" w:fill="FFFFFF"/>
        </w:rPr>
        <w:t>)</w:t>
      </w:r>
      <w:r w:rsidR="00437EB5" w:rsidRPr="007B10B4">
        <w:rPr>
          <w:rFonts w:ascii="Times New Roman" w:hAnsi="Times New Roman" w:cs="Times New Roman"/>
          <w:color w:val="auto"/>
          <w:shd w:val="clear" w:color="auto" w:fill="FFFFFF"/>
        </w:rPr>
        <w:t>, 185-204.</w:t>
      </w:r>
    </w:p>
    <w:p w:rsidR="00437EB5" w:rsidRPr="001C1F2F" w:rsidRDefault="00437EB5" w:rsidP="00004FF3">
      <w:pPr>
        <w:pStyle w:val="Normal1"/>
        <w:spacing w:after="0" w:line="240" w:lineRule="auto"/>
        <w:rPr>
          <w:rFonts w:ascii="Times New Roman" w:hAnsi="Times New Roman" w:cs="Times New Roman"/>
          <w:color w:val="auto"/>
        </w:rPr>
      </w:pPr>
    </w:p>
    <w:p w:rsidR="00513E50" w:rsidRPr="00513E50" w:rsidRDefault="00513E50" w:rsidP="00004FF3">
      <w:pPr>
        <w:pStyle w:val="Normal1"/>
        <w:spacing w:after="0" w:line="240" w:lineRule="auto"/>
        <w:rPr>
          <w:rFonts w:ascii="Times New Roman" w:hAnsi="Times New Roman" w:cs="Times New Roman"/>
          <w:color w:val="auto"/>
          <w:shd w:val="clear" w:color="auto" w:fill="FFFFFF"/>
        </w:rPr>
      </w:pPr>
      <w:r w:rsidRPr="00513E50">
        <w:rPr>
          <w:rFonts w:ascii="Times New Roman" w:hAnsi="Times New Roman" w:cs="Times New Roman"/>
          <w:color w:val="auto"/>
          <w:shd w:val="clear" w:color="auto" w:fill="FFFFFF"/>
        </w:rPr>
        <w:t xml:space="preserve">Miranda, K. F., Tomé, W. C., &amp; </w:t>
      </w:r>
      <w:proofErr w:type="spellStart"/>
      <w:r w:rsidRPr="00513E50">
        <w:rPr>
          <w:rFonts w:ascii="Times New Roman" w:hAnsi="Times New Roman" w:cs="Times New Roman"/>
          <w:color w:val="auto"/>
          <w:shd w:val="clear" w:color="auto" w:fill="FFFFFF"/>
        </w:rPr>
        <w:t>Gallon</w:t>
      </w:r>
      <w:proofErr w:type="spellEnd"/>
      <w:r w:rsidRPr="00513E50">
        <w:rPr>
          <w:rFonts w:ascii="Times New Roman" w:hAnsi="Times New Roman" w:cs="Times New Roman"/>
          <w:color w:val="auto"/>
          <w:shd w:val="clear" w:color="auto" w:fill="FFFFFF"/>
        </w:rPr>
        <w:t xml:space="preserve">, A. V. (2011). Evidenciação da remuneração variável nas melhores empresas para se trabalhar listadas na BM&amp;FBOVESPA: um estudo à luz dos </w:t>
      </w:r>
      <w:proofErr w:type="spellStart"/>
      <w:r w:rsidRPr="00513E50">
        <w:rPr>
          <w:rFonts w:ascii="Times New Roman" w:hAnsi="Times New Roman" w:cs="Times New Roman"/>
          <w:color w:val="auto"/>
          <w:shd w:val="clear" w:color="auto" w:fill="FFFFFF"/>
        </w:rPr>
        <w:t>CPCs</w:t>
      </w:r>
      <w:proofErr w:type="spellEnd"/>
      <w:r w:rsidRPr="00513E50">
        <w:rPr>
          <w:rFonts w:ascii="Times New Roman" w:hAnsi="Times New Roman" w:cs="Times New Roman"/>
          <w:color w:val="auto"/>
          <w:shd w:val="clear" w:color="auto" w:fill="FFFFFF"/>
        </w:rPr>
        <w:t xml:space="preserve"> 10 e 33. </w:t>
      </w:r>
      <w:proofErr w:type="gramStart"/>
      <w:r w:rsidRPr="00513E50">
        <w:rPr>
          <w:rFonts w:ascii="Times New Roman" w:hAnsi="Times New Roman" w:cs="Times New Roman"/>
          <w:i/>
          <w:iCs/>
          <w:color w:val="auto"/>
          <w:shd w:val="clear" w:color="auto" w:fill="FFFFFF"/>
        </w:rPr>
        <w:t>Pensar Contábil</w:t>
      </w:r>
      <w:proofErr w:type="gramEnd"/>
      <w:r w:rsidRPr="00513E50">
        <w:rPr>
          <w:rFonts w:ascii="Times New Roman" w:hAnsi="Times New Roman" w:cs="Times New Roman"/>
          <w:color w:val="auto"/>
          <w:shd w:val="clear" w:color="auto" w:fill="FFFFFF"/>
        </w:rPr>
        <w:t>, </w:t>
      </w:r>
      <w:r w:rsidRPr="00513E50">
        <w:rPr>
          <w:rFonts w:ascii="Times New Roman" w:hAnsi="Times New Roman" w:cs="Times New Roman"/>
          <w:i/>
          <w:iCs/>
          <w:color w:val="auto"/>
          <w:shd w:val="clear" w:color="auto" w:fill="FFFFFF"/>
        </w:rPr>
        <w:t>13</w:t>
      </w:r>
      <w:r w:rsidRPr="00513E50">
        <w:rPr>
          <w:rFonts w:ascii="Times New Roman" w:hAnsi="Times New Roman" w:cs="Times New Roman"/>
          <w:color w:val="auto"/>
          <w:shd w:val="clear" w:color="auto" w:fill="FFFFFF"/>
        </w:rPr>
        <w:t>(51)</w:t>
      </w:r>
      <w:r w:rsidR="00290012">
        <w:rPr>
          <w:rFonts w:ascii="Times New Roman" w:hAnsi="Times New Roman" w:cs="Times New Roman"/>
          <w:color w:val="auto"/>
          <w:shd w:val="clear" w:color="auto" w:fill="FFFFFF"/>
        </w:rPr>
        <w:t>, 35-47</w:t>
      </w:r>
      <w:r w:rsidRPr="00513E50">
        <w:rPr>
          <w:rFonts w:ascii="Times New Roman" w:hAnsi="Times New Roman" w:cs="Times New Roman"/>
          <w:color w:val="auto"/>
          <w:shd w:val="clear" w:color="auto" w:fill="FFFFFF"/>
        </w:rPr>
        <w:t>.</w:t>
      </w:r>
    </w:p>
    <w:p w:rsidR="00513E50" w:rsidRDefault="00513E50" w:rsidP="00004FF3">
      <w:pPr>
        <w:pStyle w:val="Normal1"/>
        <w:spacing w:after="0" w:line="240" w:lineRule="auto"/>
        <w:rPr>
          <w:rFonts w:ascii="Times New Roman" w:hAnsi="Times New Roman" w:cs="Times New Roman"/>
          <w:color w:val="auto"/>
        </w:rPr>
      </w:pPr>
    </w:p>
    <w:p w:rsidR="00437EB5" w:rsidRPr="00514EA3" w:rsidRDefault="00514EA3" w:rsidP="00004FF3">
      <w:pPr>
        <w:pStyle w:val="Normal1"/>
        <w:spacing w:after="0" w:line="240" w:lineRule="auto"/>
        <w:rPr>
          <w:rFonts w:ascii="Times New Roman" w:eastAsia="Times New Roman" w:hAnsi="Times New Roman" w:cs="Times New Roman"/>
          <w:color w:val="auto"/>
          <w:highlight w:val="white"/>
        </w:rPr>
      </w:pPr>
      <w:r w:rsidRPr="00514EA3">
        <w:rPr>
          <w:rFonts w:ascii="Times New Roman" w:hAnsi="Times New Roman" w:cs="Times New Roman"/>
        </w:rPr>
        <w:t xml:space="preserve">Oswaldo, C. M., Borges, B. J., </w:t>
      </w:r>
      <w:proofErr w:type="spellStart"/>
      <w:r w:rsidRPr="00514EA3">
        <w:rPr>
          <w:rFonts w:ascii="Times New Roman" w:hAnsi="Times New Roman" w:cs="Times New Roman"/>
        </w:rPr>
        <w:t>Igarashi</w:t>
      </w:r>
      <w:proofErr w:type="spellEnd"/>
      <w:r w:rsidRPr="00514EA3">
        <w:rPr>
          <w:rFonts w:ascii="Times New Roman" w:hAnsi="Times New Roman" w:cs="Times New Roman"/>
        </w:rPr>
        <w:t xml:space="preserve">, D.C.C., &amp; </w:t>
      </w:r>
      <w:proofErr w:type="spellStart"/>
      <w:r w:rsidRPr="00514EA3">
        <w:rPr>
          <w:rFonts w:ascii="Times New Roman" w:hAnsi="Times New Roman" w:cs="Times New Roman"/>
        </w:rPr>
        <w:t>Igarashi</w:t>
      </w:r>
      <w:proofErr w:type="spellEnd"/>
      <w:r w:rsidRPr="00514EA3">
        <w:rPr>
          <w:rFonts w:ascii="Times New Roman" w:hAnsi="Times New Roman" w:cs="Times New Roman"/>
        </w:rPr>
        <w:t xml:space="preserve">, W. </w:t>
      </w:r>
      <w:r w:rsidR="00437EB5" w:rsidRPr="00514EA3">
        <w:rPr>
          <w:rFonts w:ascii="Times New Roman" w:hAnsi="Times New Roman" w:cs="Times New Roman"/>
          <w:color w:val="auto"/>
        </w:rPr>
        <w:t>(2016). Benefício a empregados: análise das informações divulgadas em relatórios obrigatórios e não obrigatórios</w:t>
      </w:r>
      <w:r w:rsidR="00437EB5" w:rsidRPr="00514EA3">
        <w:rPr>
          <w:rFonts w:ascii="Times New Roman" w:eastAsia="Times New Roman" w:hAnsi="Times New Roman" w:cs="Times New Roman"/>
          <w:color w:val="auto"/>
          <w:highlight w:val="white"/>
        </w:rPr>
        <w:t xml:space="preserve">. </w:t>
      </w:r>
      <w:r w:rsidRPr="0064794A">
        <w:rPr>
          <w:rFonts w:ascii="Times New Roman" w:eastAsia="Times New Roman" w:hAnsi="Times New Roman" w:cs="Times New Roman"/>
          <w:i/>
          <w:color w:val="auto"/>
          <w:highlight w:val="white"/>
        </w:rPr>
        <w:t>Congresso Brasileiro de Engenharia de Produção</w:t>
      </w:r>
      <w:r w:rsidR="0064794A">
        <w:rPr>
          <w:rFonts w:ascii="Times New Roman" w:eastAsia="Times New Roman" w:hAnsi="Times New Roman" w:cs="Times New Roman"/>
          <w:i/>
          <w:color w:val="auto"/>
          <w:highlight w:val="white"/>
        </w:rPr>
        <w:t xml:space="preserve"> - </w:t>
      </w:r>
      <w:proofErr w:type="spellStart"/>
      <w:r w:rsidR="0064794A">
        <w:rPr>
          <w:rFonts w:ascii="Times New Roman" w:eastAsia="Times New Roman" w:hAnsi="Times New Roman" w:cs="Times New Roman"/>
          <w:i/>
          <w:color w:val="auto"/>
          <w:highlight w:val="white"/>
        </w:rPr>
        <w:t>Conbrepro</w:t>
      </w:r>
      <w:proofErr w:type="spellEnd"/>
      <w:r w:rsidRPr="00514EA3">
        <w:rPr>
          <w:rFonts w:ascii="Times New Roman" w:eastAsia="Times New Roman" w:hAnsi="Times New Roman" w:cs="Times New Roman"/>
          <w:color w:val="auto"/>
          <w:highlight w:val="white"/>
        </w:rPr>
        <w:t>, 6, Ponta Grossa.</w:t>
      </w:r>
    </w:p>
    <w:p w:rsidR="00514EA3" w:rsidRPr="001C1F2F" w:rsidRDefault="00514EA3" w:rsidP="00004FF3">
      <w:pPr>
        <w:pStyle w:val="Normal1"/>
        <w:spacing w:after="0" w:line="240" w:lineRule="auto"/>
        <w:rPr>
          <w:rFonts w:ascii="Times New Roman" w:eastAsia="Times New Roman" w:hAnsi="Times New Roman" w:cs="Times New Roman"/>
          <w:color w:val="auto"/>
          <w:highlight w:val="white"/>
        </w:rPr>
      </w:pPr>
    </w:p>
    <w:p w:rsidR="00437EB5" w:rsidRPr="001C1F2F" w:rsidRDefault="0064794A" w:rsidP="00004FF3">
      <w:pPr>
        <w:pStyle w:val="Normal1"/>
        <w:spacing w:after="0" w:line="240" w:lineRule="auto"/>
        <w:rPr>
          <w:rFonts w:ascii="Times New Roman" w:hAnsi="Times New Roman" w:cs="Times New Roman"/>
          <w:color w:val="auto"/>
        </w:rPr>
      </w:pPr>
      <w:r w:rsidRPr="007B10B4">
        <w:rPr>
          <w:rFonts w:ascii="Times New Roman" w:hAnsi="Times New Roman" w:cs="Times New Roman"/>
          <w:color w:val="auto"/>
        </w:rPr>
        <w:t>Yamamoto, M. M.</w:t>
      </w:r>
      <w:r>
        <w:rPr>
          <w:rFonts w:ascii="Times New Roman" w:hAnsi="Times New Roman" w:cs="Times New Roman"/>
          <w:color w:val="auto"/>
        </w:rPr>
        <w:t xml:space="preserve">, &amp; </w:t>
      </w:r>
      <w:proofErr w:type="spellStart"/>
      <w:r w:rsidRPr="007B10B4">
        <w:rPr>
          <w:rFonts w:ascii="Times New Roman" w:hAnsi="Times New Roman" w:cs="Times New Roman"/>
          <w:color w:val="auto"/>
        </w:rPr>
        <w:t>Salotti</w:t>
      </w:r>
      <w:proofErr w:type="spellEnd"/>
      <w:r w:rsidRPr="007B10B4">
        <w:rPr>
          <w:rFonts w:ascii="Times New Roman" w:hAnsi="Times New Roman" w:cs="Times New Roman"/>
          <w:color w:val="auto"/>
        </w:rPr>
        <w:t>, B. M</w:t>
      </w:r>
      <w:r>
        <w:rPr>
          <w:rFonts w:ascii="Times New Roman" w:hAnsi="Times New Roman" w:cs="Times New Roman"/>
          <w:color w:val="auto"/>
        </w:rPr>
        <w:t xml:space="preserve">. (2006). </w:t>
      </w:r>
      <w:r w:rsidR="00437EB5" w:rsidRPr="0064794A">
        <w:rPr>
          <w:rFonts w:ascii="Times New Roman" w:hAnsi="Times New Roman" w:cs="Times New Roman"/>
          <w:i/>
          <w:color w:val="auto"/>
        </w:rPr>
        <w:t>Informação contábil:</w:t>
      </w:r>
      <w:r w:rsidR="00437EB5" w:rsidRPr="007B10B4">
        <w:rPr>
          <w:rFonts w:ascii="Times New Roman" w:hAnsi="Times New Roman" w:cs="Times New Roman"/>
          <w:color w:val="auto"/>
        </w:rPr>
        <w:t xml:space="preserve"> estudos sobre a sua divulgação no mercado de capitais. São Paulo: Atlas.</w:t>
      </w:r>
    </w:p>
    <w:p w:rsidR="00437EB5" w:rsidRPr="001C1F2F" w:rsidRDefault="00437EB5" w:rsidP="00004FF3">
      <w:pPr>
        <w:pStyle w:val="Normal1"/>
        <w:spacing w:after="0" w:line="240" w:lineRule="auto"/>
        <w:rPr>
          <w:rFonts w:ascii="Times New Roman" w:eastAsia="Times New Roman" w:hAnsi="Times New Roman" w:cs="Times New Roman"/>
          <w:color w:val="auto"/>
          <w:highlight w:val="white"/>
        </w:rPr>
      </w:pPr>
    </w:p>
    <w:p w:rsidR="00513E50" w:rsidRPr="001C1F2F" w:rsidRDefault="00513E50" w:rsidP="00004FF3">
      <w:pPr>
        <w:pStyle w:val="Normal1"/>
        <w:spacing w:after="0" w:line="240" w:lineRule="auto"/>
        <w:rPr>
          <w:rFonts w:ascii="Times New Roman" w:hAnsi="Times New Roman" w:cs="Times New Roman"/>
          <w:color w:val="auto"/>
        </w:rPr>
      </w:pPr>
      <w:r w:rsidRPr="007B10B4">
        <w:rPr>
          <w:rFonts w:ascii="Times New Roman" w:hAnsi="Times New Roman" w:cs="Times New Roman"/>
          <w:color w:val="auto"/>
        </w:rPr>
        <w:t>Torres</w:t>
      </w:r>
      <w:r>
        <w:rPr>
          <w:rFonts w:ascii="Times New Roman" w:hAnsi="Times New Roman" w:cs="Times New Roman"/>
          <w:color w:val="auto"/>
        </w:rPr>
        <w:t xml:space="preserve">, C., &amp; </w:t>
      </w:r>
      <w:r w:rsidRPr="007B10B4">
        <w:rPr>
          <w:rFonts w:ascii="Times New Roman" w:hAnsi="Times New Roman" w:cs="Times New Roman"/>
          <w:color w:val="auto"/>
        </w:rPr>
        <w:t xml:space="preserve">Mansur, C. </w:t>
      </w:r>
      <w:r>
        <w:rPr>
          <w:rFonts w:ascii="Times New Roman" w:hAnsi="Times New Roman" w:cs="Times New Roman"/>
          <w:color w:val="auto"/>
        </w:rPr>
        <w:t xml:space="preserve">(2008). </w:t>
      </w:r>
      <w:r w:rsidRPr="00513E50">
        <w:rPr>
          <w:rFonts w:ascii="Times New Roman" w:hAnsi="Times New Roman" w:cs="Times New Roman"/>
          <w:color w:val="auto"/>
        </w:rPr>
        <w:t>Balanço Social,</w:t>
      </w:r>
      <w:r w:rsidRPr="007B10B4">
        <w:rPr>
          <w:rFonts w:ascii="Times New Roman" w:hAnsi="Times New Roman" w:cs="Times New Roman"/>
          <w:color w:val="auto"/>
        </w:rPr>
        <w:t xml:space="preserve"> dez anos: o desafio da transparência. Rio de Janeiro: </w:t>
      </w:r>
      <w:r w:rsidRPr="00513E50">
        <w:rPr>
          <w:rFonts w:ascii="Times New Roman" w:hAnsi="Times New Roman" w:cs="Times New Roman"/>
          <w:i/>
          <w:color w:val="auto"/>
        </w:rPr>
        <w:t>IBASE</w:t>
      </w:r>
      <w:r w:rsidRPr="007B10B4">
        <w:rPr>
          <w:rFonts w:ascii="Times New Roman" w:hAnsi="Times New Roman" w:cs="Times New Roman"/>
          <w:color w:val="auto"/>
        </w:rPr>
        <w:t>.</w:t>
      </w:r>
      <w:r w:rsidR="0064794A">
        <w:rPr>
          <w:rFonts w:ascii="Times New Roman" w:hAnsi="Times New Roman" w:cs="Times New Roman"/>
          <w:color w:val="auto"/>
        </w:rPr>
        <w:t xml:space="preserve"> Disponível em: </w:t>
      </w:r>
      <w:r w:rsidRPr="001D6589">
        <w:t xml:space="preserve"> </w:t>
      </w:r>
      <w:r w:rsidRPr="001D6589">
        <w:rPr>
          <w:rFonts w:ascii="Times New Roman" w:hAnsi="Times New Roman" w:cs="Times New Roman"/>
          <w:color w:val="auto"/>
        </w:rPr>
        <w:t>http://www2.senado.leg.br/bdsf/bitstream/handle/id/102804/BS_completo.pdf?sequence=7</w:t>
      </w:r>
    </w:p>
    <w:p w:rsidR="00437EB5" w:rsidRDefault="00437EB5" w:rsidP="00437EB5">
      <w:pPr>
        <w:pStyle w:val="Normal1"/>
        <w:spacing w:after="0" w:line="240" w:lineRule="auto"/>
        <w:jc w:val="both"/>
        <w:rPr>
          <w:rFonts w:ascii="Times New Roman" w:eastAsia="Times New Roman" w:hAnsi="Times New Roman" w:cs="Times New Roman"/>
          <w:color w:val="auto"/>
          <w:highlight w:val="white"/>
        </w:rPr>
      </w:pPr>
    </w:p>
    <w:sectPr w:rsidR="00437EB5" w:rsidSect="00C04F45">
      <w:headerReference w:type="default" r:id="rId15"/>
      <w:footerReference w:type="default" r:id="rId16"/>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9CD" w:rsidRDefault="00A269CD" w:rsidP="008A5824">
      <w:r>
        <w:separator/>
      </w:r>
    </w:p>
  </w:endnote>
  <w:endnote w:type="continuationSeparator" w:id="0">
    <w:p w:rsidR="00A269CD" w:rsidRDefault="00A269CD"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rsidR="000248D3" w:rsidRDefault="000248D3">
        <w:pPr>
          <w:pStyle w:val="Rodap"/>
          <w:jc w:val="right"/>
          <w:rPr>
            <w:rFonts w:ascii="Times New Roman" w:hAnsi="Times New Roman" w:cs="Times New Roman"/>
          </w:rPr>
        </w:pPr>
      </w:p>
      <w:p w:rsidR="000248D3" w:rsidRPr="00C04F45" w:rsidRDefault="000248D3">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16</w:t>
        </w:r>
        <w:r w:rsidRPr="00C04F45">
          <w:rPr>
            <w:rFonts w:ascii="Times New Roman" w:hAnsi="Times New Roman" w:cs="Times New Roman"/>
          </w:rPr>
          <w:fldChar w:fldCharType="end"/>
        </w:r>
      </w:p>
    </w:sdtContent>
  </w:sdt>
  <w:p w:rsidR="000248D3" w:rsidRDefault="000248D3">
    <w:pPr>
      <w:pStyle w:val="Rodap"/>
      <w:rPr>
        <w:rFonts w:ascii="Times New Roman" w:hAnsi="Times New Roman" w:cs="Times New Roman"/>
      </w:rPr>
    </w:pPr>
  </w:p>
  <w:p w:rsidR="000248D3" w:rsidRPr="00C04F45" w:rsidRDefault="000248D3"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9CD" w:rsidRDefault="00A269CD" w:rsidP="008A5824">
      <w:r>
        <w:separator/>
      </w:r>
    </w:p>
  </w:footnote>
  <w:footnote w:type="continuationSeparator" w:id="0">
    <w:p w:rsidR="00A269CD" w:rsidRDefault="00A269CD"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8D3" w:rsidRPr="00E361F4" w:rsidRDefault="000248D3"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189E"/>
    <w:multiLevelType w:val="hybridMultilevel"/>
    <w:tmpl w:val="4ED478D6"/>
    <w:lvl w:ilvl="0" w:tplc="3ADED4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C616B"/>
    <w:multiLevelType w:val="hybridMultilevel"/>
    <w:tmpl w:val="1EFAA0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6F1A39"/>
    <w:multiLevelType w:val="hybridMultilevel"/>
    <w:tmpl w:val="858E1B7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976D4C"/>
    <w:multiLevelType w:val="hybridMultilevel"/>
    <w:tmpl w:val="8BE68F50"/>
    <w:lvl w:ilvl="0" w:tplc="8EDACE50">
      <w:start w:val="5"/>
      <w:numFmt w:val="bullet"/>
      <w:lvlText w:val=""/>
      <w:lvlJc w:val="left"/>
      <w:pPr>
        <w:ind w:left="1068" w:hanging="360"/>
      </w:pPr>
      <w:rPr>
        <w:rFonts w:ascii="Symbol" w:eastAsia="Calibri"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39C919B2"/>
    <w:multiLevelType w:val="hybridMultilevel"/>
    <w:tmpl w:val="BA3E8EA6"/>
    <w:lvl w:ilvl="0" w:tplc="6680B7F4">
      <w:start w:val="1"/>
      <w:numFmt w:val="lowerRoman"/>
      <w:lvlText w:val="(%1)"/>
      <w:lvlJc w:val="left"/>
      <w:pPr>
        <w:ind w:left="1803" w:hanging="1035"/>
      </w:pPr>
      <w:rPr>
        <w:rFonts w:hint="default"/>
      </w:rPr>
    </w:lvl>
    <w:lvl w:ilvl="1" w:tplc="04160019" w:tentative="1">
      <w:start w:val="1"/>
      <w:numFmt w:val="lowerLetter"/>
      <w:lvlText w:val="%2."/>
      <w:lvlJc w:val="left"/>
      <w:pPr>
        <w:ind w:left="1848" w:hanging="360"/>
      </w:pPr>
    </w:lvl>
    <w:lvl w:ilvl="2" w:tplc="0416001B" w:tentative="1">
      <w:start w:val="1"/>
      <w:numFmt w:val="lowerRoman"/>
      <w:lvlText w:val="%3."/>
      <w:lvlJc w:val="right"/>
      <w:pPr>
        <w:ind w:left="2568" w:hanging="180"/>
      </w:pPr>
    </w:lvl>
    <w:lvl w:ilvl="3" w:tplc="0416000F" w:tentative="1">
      <w:start w:val="1"/>
      <w:numFmt w:val="decimal"/>
      <w:lvlText w:val="%4."/>
      <w:lvlJc w:val="left"/>
      <w:pPr>
        <w:ind w:left="3288" w:hanging="360"/>
      </w:pPr>
    </w:lvl>
    <w:lvl w:ilvl="4" w:tplc="04160019" w:tentative="1">
      <w:start w:val="1"/>
      <w:numFmt w:val="lowerLetter"/>
      <w:lvlText w:val="%5."/>
      <w:lvlJc w:val="left"/>
      <w:pPr>
        <w:ind w:left="4008" w:hanging="360"/>
      </w:pPr>
    </w:lvl>
    <w:lvl w:ilvl="5" w:tplc="0416001B" w:tentative="1">
      <w:start w:val="1"/>
      <w:numFmt w:val="lowerRoman"/>
      <w:lvlText w:val="%6."/>
      <w:lvlJc w:val="right"/>
      <w:pPr>
        <w:ind w:left="4728" w:hanging="180"/>
      </w:pPr>
    </w:lvl>
    <w:lvl w:ilvl="6" w:tplc="0416000F" w:tentative="1">
      <w:start w:val="1"/>
      <w:numFmt w:val="decimal"/>
      <w:lvlText w:val="%7."/>
      <w:lvlJc w:val="left"/>
      <w:pPr>
        <w:ind w:left="5448" w:hanging="360"/>
      </w:pPr>
    </w:lvl>
    <w:lvl w:ilvl="7" w:tplc="04160019" w:tentative="1">
      <w:start w:val="1"/>
      <w:numFmt w:val="lowerLetter"/>
      <w:lvlText w:val="%8."/>
      <w:lvlJc w:val="left"/>
      <w:pPr>
        <w:ind w:left="6168" w:hanging="360"/>
      </w:pPr>
    </w:lvl>
    <w:lvl w:ilvl="8" w:tplc="0416001B" w:tentative="1">
      <w:start w:val="1"/>
      <w:numFmt w:val="lowerRoman"/>
      <w:lvlText w:val="%9."/>
      <w:lvlJc w:val="right"/>
      <w:pPr>
        <w:ind w:left="6888" w:hanging="180"/>
      </w:pPr>
    </w:lvl>
  </w:abstractNum>
  <w:abstractNum w:abstractNumId="7" w15:restartNumberingAfterBreak="0">
    <w:nsid w:val="59166EB1"/>
    <w:multiLevelType w:val="hybridMultilevel"/>
    <w:tmpl w:val="8278DCB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9"/>
  </w:num>
  <w:num w:numId="4">
    <w:abstractNumId w:val="1"/>
  </w:num>
  <w:num w:numId="5">
    <w:abstractNumId w:val="7"/>
  </w:num>
  <w:num w:numId="6">
    <w:abstractNumId w:val="3"/>
  </w:num>
  <w:num w:numId="7">
    <w:abstractNumId w:val="2"/>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24"/>
    <w:rsid w:val="00004FF3"/>
    <w:rsid w:val="000248D3"/>
    <w:rsid w:val="00031A32"/>
    <w:rsid w:val="00067126"/>
    <w:rsid w:val="0007024B"/>
    <w:rsid w:val="00080E7E"/>
    <w:rsid w:val="000A0FDC"/>
    <w:rsid w:val="000B7939"/>
    <w:rsid w:val="000E0FA8"/>
    <w:rsid w:val="0011202F"/>
    <w:rsid w:val="00140A88"/>
    <w:rsid w:val="00142A9A"/>
    <w:rsid w:val="0016220D"/>
    <w:rsid w:val="00194BA9"/>
    <w:rsid w:val="00194BCF"/>
    <w:rsid w:val="001A4423"/>
    <w:rsid w:val="001A4A97"/>
    <w:rsid w:val="001C328B"/>
    <w:rsid w:val="001D43D8"/>
    <w:rsid w:val="001D6589"/>
    <w:rsid w:val="001F6A6D"/>
    <w:rsid w:val="00201732"/>
    <w:rsid w:val="00246024"/>
    <w:rsid w:val="00290012"/>
    <w:rsid w:val="002B0015"/>
    <w:rsid w:val="002B2B78"/>
    <w:rsid w:val="002D5BB7"/>
    <w:rsid w:val="0036377D"/>
    <w:rsid w:val="0038579D"/>
    <w:rsid w:val="004020EB"/>
    <w:rsid w:val="00437EB5"/>
    <w:rsid w:val="00470415"/>
    <w:rsid w:val="00473887"/>
    <w:rsid w:val="004846EC"/>
    <w:rsid w:val="00491708"/>
    <w:rsid w:val="005069CC"/>
    <w:rsid w:val="00513E50"/>
    <w:rsid w:val="00514EA3"/>
    <w:rsid w:val="00547329"/>
    <w:rsid w:val="006064A3"/>
    <w:rsid w:val="00631DCF"/>
    <w:rsid w:val="0064794A"/>
    <w:rsid w:val="00684D0B"/>
    <w:rsid w:val="00686527"/>
    <w:rsid w:val="006A3942"/>
    <w:rsid w:val="00700EB4"/>
    <w:rsid w:val="0072578D"/>
    <w:rsid w:val="00804FA6"/>
    <w:rsid w:val="00860B20"/>
    <w:rsid w:val="00874CD5"/>
    <w:rsid w:val="008A5824"/>
    <w:rsid w:val="008D4F05"/>
    <w:rsid w:val="00953FC8"/>
    <w:rsid w:val="009833D5"/>
    <w:rsid w:val="00A01138"/>
    <w:rsid w:val="00A131C8"/>
    <w:rsid w:val="00A233E8"/>
    <w:rsid w:val="00A269CD"/>
    <w:rsid w:val="00A86ECF"/>
    <w:rsid w:val="00B16629"/>
    <w:rsid w:val="00B32719"/>
    <w:rsid w:val="00B41CAF"/>
    <w:rsid w:val="00BD0F13"/>
    <w:rsid w:val="00C04F45"/>
    <w:rsid w:val="00C30374"/>
    <w:rsid w:val="00CA2367"/>
    <w:rsid w:val="00CA25AA"/>
    <w:rsid w:val="00CC65FB"/>
    <w:rsid w:val="00CE5296"/>
    <w:rsid w:val="00CF645C"/>
    <w:rsid w:val="00D24F8E"/>
    <w:rsid w:val="00D91EAD"/>
    <w:rsid w:val="00DD5A42"/>
    <w:rsid w:val="00E361F4"/>
    <w:rsid w:val="00E6136F"/>
    <w:rsid w:val="00ED7A83"/>
    <w:rsid w:val="00EE05E6"/>
    <w:rsid w:val="00F523BB"/>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E7781A"/>
  <w15:docId w15:val="{6B659CB9-FE4A-4F87-B9BD-825942E0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1"/>
    <w:next w:val="Normal1"/>
    <w:link w:val="Ttulo1Char"/>
    <w:rsid w:val="00437EB5"/>
    <w:pPr>
      <w:keepNext/>
      <w:keepLines/>
      <w:spacing w:before="480" w:after="120"/>
      <w:contextualSpacing/>
      <w:outlineLvl w:val="0"/>
    </w:pPr>
    <w:rPr>
      <w:b/>
      <w:sz w:val="48"/>
      <w:szCs w:val="48"/>
    </w:rPr>
  </w:style>
  <w:style w:type="paragraph" w:styleId="Ttulo2">
    <w:name w:val="heading 2"/>
    <w:basedOn w:val="Normal1"/>
    <w:next w:val="Normal1"/>
    <w:link w:val="Ttulo2Char"/>
    <w:rsid w:val="00437EB5"/>
    <w:pPr>
      <w:keepNext/>
      <w:keepLines/>
      <w:spacing w:before="360" w:after="80"/>
      <w:contextualSpacing/>
      <w:outlineLvl w:val="1"/>
    </w:pPr>
    <w:rPr>
      <w:b/>
      <w:sz w:val="36"/>
      <w:szCs w:val="36"/>
    </w:rPr>
  </w:style>
  <w:style w:type="paragraph" w:styleId="Ttulo3">
    <w:name w:val="heading 3"/>
    <w:basedOn w:val="Normal1"/>
    <w:next w:val="Normal1"/>
    <w:link w:val="Ttulo3Char"/>
    <w:rsid w:val="00437EB5"/>
    <w:pPr>
      <w:keepNext/>
      <w:keepLines/>
      <w:spacing w:before="280" w:after="80"/>
      <w:contextualSpacing/>
      <w:outlineLvl w:val="2"/>
    </w:pPr>
    <w:rPr>
      <w:b/>
      <w:sz w:val="28"/>
      <w:szCs w:val="28"/>
    </w:rPr>
  </w:style>
  <w:style w:type="paragraph" w:styleId="Ttulo4">
    <w:name w:val="heading 4"/>
    <w:basedOn w:val="Normal1"/>
    <w:next w:val="Normal1"/>
    <w:link w:val="Ttulo4Char"/>
    <w:rsid w:val="00437EB5"/>
    <w:pPr>
      <w:keepNext/>
      <w:keepLines/>
      <w:spacing w:before="240" w:after="40"/>
      <w:contextualSpacing/>
      <w:outlineLvl w:val="3"/>
    </w:pPr>
    <w:rPr>
      <w:b/>
    </w:rPr>
  </w:style>
  <w:style w:type="paragraph" w:styleId="Ttulo5">
    <w:name w:val="heading 5"/>
    <w:basedOn w:val="Normal1"/>
    <w:next w:val="Normal1"/>
    <w:link w:val="Ttulo5Char"/>
    <w:rsid w:val="00437EB5"/>
    <w:pPr>
      <w:keepNext/>
      <w:keepLines/>
      <w:spacing w:before="220" w:after="40"/>
      <w:contextualSpacing/>
      <w:outlineLvl w:val="4"/>
    </w:pPr>
    <w:rPr>
      <w:b/>
      <w:sz w:val="22"/>
      <w:szCs w:val="22"/>
    </w:rPr>
  </w:style>
  <w:style w:type="paragraph" w:styleId="Ttulo6">
    <w:name w:val="heading 6"/>
    <w:basedOn w:val="Normal1"/>
    <w:next w:val="Normal1"/>
    <w:link w:val="Ttulo6Char"/>
    <w:rsid w:val="00437EB5"/>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437EB5"/>
    <w:pPr>
      <w:widowControl w:val="0"/>
      <w:spacing w:after="200" w:line="276" w:lineRule="auto"/>
    </w:pPr>
    <w:rPr>
      <w:rFonts w:ascii="Calibri" w:eastAsia="Calibri" w:hAnsi="Calibri" w:cs="Calibri"/>
      <w:color w:val="000000"/>
      <w:lang w:eastAsia="pt-BR"/>
    </w:rPr>
  </w:style>
  <w:style w:type="character" w:customStyle="1" w:styleId="Ttulo1Char">
    <w:name w:val="Título 1 Char"/>
    <w:basedOn w:val="Fontepargpadro"/>
    <w:link w:val="Ttulo1"/>
    <w:rsid w:val="00437EB5"/>
    <w:rPr>
      <w:rFonts w:ascii="Calibri" w:eastAsia="Calibri" w:hAnsi="Calibri" w:cs="Calibri"/>
      <w:b/>
      <w:color w:val="000000"/>
      <w:sz w:val="48"/>
      <w:szCs w:val="48"/>
      <w:lang w:eastAsia="pt-BR"/>
    </w:rPr>
  </w:style>
  <w:style w:type="character" w:customStyle="1" w:styleId="Ttulo2Char">
    <w:name w:val="Título 2 Char"/>
    <w:basedOn w:val="Fontepargpadro"/>
    <w:link w:val="Ttulo2"/>
    <w:rsid w:val="00437EB5"/>
    <w:rPr>
      <w:rFonts w:ascii="Calibri" w:eastAsia="Calibri" w:hAnsi="Calibri" w:cs="Calibri"/>
      <w:b/>
      <w:color w:val="000000"/>
      <w:sz w:val="36"/>
      <w:szCs w:val="36"/>
      <w:lang w:eastAsia="pt-BR"/>
    </w:rPr>
  </w:style>
  <w:style w:type="character" w:customStyle="1" w:styleId="Ttulo3Char">
    <w:name w:val="Título 3 Char"/>
    <w:basedOn w:val="Fontepargpadro"/>
    <w:link w:val="Ttulo3"/>
    <w:rsid w:val="00437EB5"/>
    <w:rPr>
      <w:rFonts w:ascii="Calibri" w:eastAsia="Calibri" w:hAnsi="Calibri" w:cs="Calibri"/>
      <w:b/>
      <w:color w:val="000000"/>
      <w:sz w:val="28"/>
      <w:szCs w:val="28"/>
      <w:lang w:eastAsia="pt-BR"/>
    </w:rPr>
  </w:style>
  <w:style w:type="character" w:customStyle="1" w:styleId="Ttulo4Char">
    <w:name w:val="Título 4 Char"/>
    <w:basedOn w:val="Fontepargpadro"/>
    <w:link w:val="Ttulo4"/>
    <w:rsid w:val="00437EB5"/>
    <w:rPr>
      <w:rFonts w:ascii="Calibri" w:eastAsia="Calibri" w:hAnsi="Calibri" w:cs="Calibri"/>
      <w:b/>
      <w:color w:val="000000"/>
      <w:lang w:eastAsia="pt-BR"/>
    </w:rPr>
  </w:style>
  <w:style w:type="character" w:customStyle="1" w:styleId="Ttulo5Char">
    <w:name w:val="Título 5 Char"/>
    <w:basedOn w:val="Fontepargpadro"/>
    <w:link w:val="Ttulo5"/>
    <w:rsid w:val="00437EB5"/>
    <w:rPr>
      <w:rFonts w:ascii="Calibri" w:eastAsia="Calibri" w:hAnsi="Calibri" w:cs="Calibri"/>
      <w:b/>
      <w:color w:val="000000"/>
      <w:sz w:val="22"/>
      <w:szCs w:val="22"/>
      <w:lang w:eastAsia="pt-BR"/>
    </w:rPr>
  </w:style>
  <w:style w:type="character" w:customStyle="1" w:styleId="Ttulo6Char">
    <w:name w:val="Título 6 Char"/>
    <w:basedOn w:val="Fontepargpadro"/>
    <w:link w:val="Ttulo6"/>
    <w:rsid w:val="00437EB5"/>
    <w:rPr>
      <w:rFonts w:ascii="Calibri" w:eastAsia="Calibri" w:hAnsi="Calibri" w:cs="Calibri"/>
      <w:b/>
      <w:color w:val="000000"/>
      <w:sz w:val="20"/>
      <w:szCs w:val="20"/>
      <w:lang w:eastAsia="pt-BR"/>
    </w:rPr>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table" w:customStyle="1" w:styleId="TableNormal">
    <w:name w:val="Table Normal"/>
    <w:rsid w:val="00437EB5"/>
    <w:pPr>
      <w:widowControl w:val="0"/>
      <w:spacing w:after="200" w:line="276" w:lineRule="auto"/>
    </w:pPr>
    <w:rPr>
      <w:rFonts w:ascii="Calibri" w:eastAsia="Calibri" w:hAnsi="Calibri" w:cs="Calibri"/>
      <w:color w:val="000000"/>
      <w:lang w:eastAsia="pt-BR"/>
    </w:rPr>
    <w:tblPr>
      <w:tblCellMar>
        <w:top w:w="0" w:type="dxa"/>
        <w:left w:w="0" w:type="dxa"/>
        <w:bottom w:w="0" w:type="dxa"/>
        <w:right w:w="0" w:type="dxa"/>
      </w:tblCellMar>
    </w:tblPr>
  </w:style>
  <w:style w:type="paragraph" w:styleId="Ttulo">
    <w:name w:val="Title"/>
    <w:basedOn w:val="Normal1"/>
    <w:next w:val="Normal1"/>
    <w:link w:val="TtuloChar"/>
    <w:rsid w:val="00437EB5"/>
    <w:pPr>
      <w:keepNext/>
      <w:keepLines/>
      <w:spacing w:before="480" w:after="120"/>
      <w:contextualSpacing/>
    </w:pPr>
    <w:rPr>
      <w:b/>
      <w:sz w:val="72"/>
      <w:szCs w:val="72"/>
    </w:rPr>
  </w:style>
  <w:style w:type="character" w:customStyle="1" w:styleId="TtuloChar">
    <w:name w:val="Título Char"/>
    <w:basedOn w:val="Fontepargpadro"/>
    <w:link w:val="Ttulo"/>
    <w:rsid w:val="00437EB5"/>
    <w:rPr>
      <w:rFonts w:ascii="Calibri" w:eastAsia="Calibri" w:hAnsi="Calibri" w:cs="Calibri"/>
      <w:b/>
      <w:color w:val="000000"/>
      <w:sz w:val="72"/>
      <w:szCs w:val="72"/>
      <w:lang w:eastAsia="pt-BR"/>
    </w:rPr>
  </w:style>
  <w:style w:type="paragraph" w:styleId="Subttulo">
    <w:name w:val="Subtitle"/>
    <w:basedOn w:val="Normal1"/>
    <w:next w:val="Normal1"/>
    <w:link w:val="SubttuloChar"/>
    <w:rsid w:val="00437EB5"/>
    <w:pPr>
      <w:keepNext/>
      <w:keepLines/>
      <w:spacing w:before="360" w:after="80"/>
      <w:contextualSpacing/>
    </w:pPr>
    <w:rPr>
      <w:rFonts w:ascii="Georgia" w:eastAsia="Georgia" w:hAnsi="Georgia" w:cs="Georgia"/>
      <w:i/>
      <w:color w:val="666666"/>
      <w:sz w:val="48"/>
      <w:szCs w:val="48"/>
    </w:rPr>
  </w:style>
  <w:style w:type="character" w:customStyle="1" w:styleId="SubttuloChar">
    <w:name w:val="Subtítulo Char"/>
    <w:basedOn w:val="Fontepargpadro"/>
    <w:link w:val="Subttulo"/>
    <w:rsid w:val="00437EB5"/>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semiHidden/>
    <w:unhideWhenUsed/>
    <w:rsid w:val="00437EB5"/>
    <w:pPr>
      <w:widowControl w:val="0"/>
      <w:suppressAutoHyphens w:val="0"/>
    </w:pPr>
    <w:rPr>
      <w:color w:val="000000"/>
    </w:rPr>
  </w:style>
  <w:style w:type="character" w:customStyle="1" w:styleId="TextodecomentrioChar">
    <w:name w:val="Texto de comentário Char"/>
    <w:basedOn w:val="Fontepargpadro"/>
    <w:link w:val="Textodecomentrio"/>
    <w:uiPriority w:val="99"/>
    <w:semiHidden/>
    <w:rsid w:val="00437EB5"/>
    <w:rPr>
      <w:rFonts w:ascii="Times New Roman" w:eastAsia="Times New Roman" w:hAnsi="Times New Roman" w:cs="Times New Roman"/>
      <w:color w:val="000000"/>
      <w:sz w:val="20"/>
      <w:szCs w:val="20"/>
      <w:lang w:eastAsia="pt-BR"/>
    </w:rPr>
  </w:style>
  <w:style w:type="character" w:customStyle="1" w:styleId="apple-converted-space">
    <w:name w:val="apple-converted-space"/>
    <w:basedOn w:val="Fontepargpadro"/>
    <w:rsid w:val="00437EB5"/>
  </w:style>
  <w:style w:type="character" w:styleId="nfase">
    <w:name w:val="Emphasis"/>
    <w:basedOn w:val="Fontepargpadro"/>
    <w:uiPriority w:val="20"/>
    <w:qFormat/>
    <w:rsid w:val="00437EB5"/>
    <w:rPr>
      <w:i/>
      <w:iCs/>
    </w:rPr>
  </w:style>
  <w:style w:type="table" w:styleId="Tabelacomgrade">
    <w:name w:val="Table Grid"/>
    <w:basedOn w:val="Tabelanormal"/>
    <w:uiPriority w:val="39"/>
    <w:rsid w:val="00437EB5"/>
    <w:pPr>
      <w:widowControl w:val="0"/>
      <w:ind w:firstLine="720"/>
      <w:jc w:val="both"/>
    </w:pPr>
    <w:rPr>
      <w:rFonts w:ascii="Times New Roman" w:eastAsia="Times New Roman" w:hAnsi="Times New Roman" w:cs="Times New Roman"/>
      <w:color w:val="00000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437EB5"/>
    <w:rPr>
      <w:b/>
      <w:bCs/>
    </w:rPr>
  </w:style>
  <w:style w:type="character" w:customStyle="1" w:styleId="label">
    <w:name w:val="label"/>
    <w:basedOn w:val="Fontepargpadro"/>
    <w:rsid w:val="00437EB5"/>
  </w:style>
  <w:style w:type="paragraph" w:customStyle="1" w:styleId="Default">
    <w:name w:val="Default"/>
    <w:rsid w:val="00437EB5"/>
    <w:pPr>
      <w:autoSpaceDE w:val="0"/>
      <w:autoSpaceDN w:val="0"/>
      <w:adjustRightInd w:val="0"/>
    </w:pPr>
    <w:rPr>
      <w:rFonts w:ascii="Times New Roman" w:eastAsia="Calibri" w:hAnsi="Times New Roman" w:cs="Times New Roman"/>
      <w:color w:val="000000"/>
      <w:lang w:eastAsia="pt-BR"/>
    </w:rPr>
  </w:style>
  <w:style w:type="character" w:customStyle="1" w:styleId="AssuntodocomentrioChar">
    <w:name w:val="Assunto do comentário Char"/>
    <w:basedOn w:val="TextodecomentrioChar"/>
    <w:link w:val="Assuntodocomentrio"/>
    <w:uiPriority w:val="99"/>
    <w:semiHidden/>
    <w:rsid w:val="00437EB5"/>
    <w:rPr>
      <w:rFonts w:ascii="Times New Roman" w:eastAsia="Times New Roman" w:hAnsi="Times New Roman" w:cs="Times New Roman"/>
      <w:b/>
      <w:bCs/>
      <w:color w:val="000000"/>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437EB5"/>
    <w:rPr>
      <w:b/>
      <w:bCs/>
    </w:rPr>
  </w:style>
  <w:style w:type="character" w:customStyle="1" w:styleId="MenoPendente1">
    <w:name w:val="Menção Pendente1"/>
    <w:basedOn w:val="Fontepargpadro"/>
    <w:uiPriority w:val="99"/>
    <w:semiHidden/>
    <w:unhideWhenUsed/>
    <w:rsid w:val="00514EA3"/>
    <w:rPr>
      <w:color w:val="808080"/>
      <w:shd w:val="clear" w:color="auto" w:fill="E6E6E6"/>
    </w:rPr>
  </w:style>
  <w:style w:type="character" w:styleId="MenoPendente">
    <w:name w:val="Unresolved Mention"/>
    <w:basedOn w:val="Fontepargpadro"/>
    <w:uiPriority w:val="99"/>
    <w:semiHidden/>
    <w:unhideWhenUsed/>
    <w:rsid w:val="00DD5A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vmf.bmfbovespa.com.br/cias-listadas/empresas-listadas/ResumoEmpresaPrincipal.aspx?codigoCvm=1228" TargetMode="External"/><Relationship Id="rId13" Type="http://schemas.openxmlformats.org/officeDocument/2006/relationships/hyperlink" Target="http://www.cpc.org.br/CPC/Documentos-Emitidos/Pronunciamentos/Pronunciamento?Id=5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ussum@unochapeco.edu.br" TargetMode="External"/><Relationship Id="rId12" Type="http://schemas.openxmlformats.org/officeDocument/2006/relationships/hyperlink" Target="http://bvmf.bmfbovespa.com.br/cias-listadas/empresas-listadas/ResumoEmpresaPrincipal.aspx?codigoCvm=800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vmf.bmfbovespa.com.br/cias-listadas/empresas-listadas/ResumoEmpresaPrincipal.aspx?codigoCvm=122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bvmf.bmfbovespa.com.br/cias-listadas/empresas-listadas/ResumoEmpresaPrincipal.aspx?codigoCvm=80063" TargetMode="External"/><Relationship Id="rId14" Type="http://schemas.openxmlformats.org/officeDocument/2006/relationships/hyperlink" Target="http://www.cpc.org.br/CPC/Documentos-Emitidos/Pronunciamentos/Pronunciamento?Id=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Desktop\silvana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16"/>
    </mc:Choice>
    <mc:Fallback>
      <c:style val="16"/>
    </mc:Fallback>
  </mc:AlternateContent>
  <c:chart>
    <c:autoTitleDeleted val="0"/>
    <c:plotArea>
      <c:layout/>
      <c:barChart>
        <c:barDir val="col"/>
        <c:grouping val="percentStacked"/>
        <c:varyColors val="0"/>
        <c:ser>
          <c:idx val="0"/>
          <c:order val="0"/>
          <c:tx>
            <c:strRef>
              <c:f>Plan1!$E$1</c:f>
              <c:strCache>
                <c:ptCount val="1"/>
                <c:pt idx="0">
                  <c:v>Qt Ben Evidenciado</c:v>
                </c:pt>
              </c:strCache>
            </c:strRef>
          </c:tx>
          <c:invertIfNegative val="0"/>
          <c:dLbls>
            <c:spPr>
              <a:noFill/>
              <a:ln>
                <a:noFill/>
              </a:ln>
              <a:effectLst/>
            </c:spPr>
            <c:txPr>
              <a:bodyPr/>
              <a:lstStyle/>
              <a:p>
                <a:pPr>
                  <a:defRPr b="1">
                    <a:latin typeface="Times New Roman" pitchFamily="18" charset="0"/>
                    <a:cs typeface="Times New Roman" pitchFamily="18" charset="0"/>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Plan1!$D$2:$D$14</c:f>
              <c:strCache>
                <c:ptCount val="13"/>
                <c:pt idx="0">
                  <c:v>B. Pan 1º</c:v>
                </c:pt>
                <c:pt idx="1">
                  <c:v>B. ABC do Brasil 2º</c:v>
                </c:pt>
                <c:pt idx="2">
                  <c:v>B. Patagonia 3º</c:v>
                </c:pt>
                <c:pt idx="3">
                  <c:v>B. Santander 4º</c:v>
                </c:pt>
                <c:pt idx="4">
                  <c:v>B. Brasil 5º</c:v>
                </c:pt>
                <c:pt idx="5">
                  <c:v>B. Itáu 6º</c:v>
                </c:pt>
                <c:pt idx="6">
                  <c:v>B. Bradesco 7º</c:v>
                </c:pt>
                <c:pt idx="7">
                  <c:v>B. Banrisul 8º</c:v>
                </c:pt>
                <c:pt idx="8">
                  <c:v>B. Alfa 9º</c:v>
                </c:pt>
                <c:pt idx="9">
                  <c:v>B. Amazônia 10º</c:v>
                </c:pt>
                <c:pt idx="10">
                  <c:v>B. Pará 11º</c:v>
                </c:pt>
                <c:pt idx="11">
                  <c:v>B. BANASE 12º</c:v>
                </c:pt>
                <c:pt idx="12">
                  <c:v>B. Nordeste 13º</c:v>
                </c:pt>
              </c:strCache>
            </c:strRef>
          </c:cat>
          <c:val>
            <c:numRef>
              <c:f>Plan1!$E$2:$E$14</c:f>
              <c:numCache>
                <c:formatCode>General</c:formatCode>
                <c:ptCount val="13"/>
                <c:pt idx="0">
                  <c:v>9</c:v>
                </c:pt>
                <c:pt idx="1">
                  <c:v>4</c:v>
                </c:pt>
                <c:pt idx="2">
                  <c:v>8</c:v>
                </c:pt>
                <c:pt idx="3">
                  <c:v>12</c:v>
                </c:pt>
                <c:pt idx="4">
                  <c:v>17</c:v>
                </c:pt>
                <c:pt idx="5">
                  <c:v>11</c:v>
                </c:pt>
                <c:pt idx="6">
                  <c:v>8</c:v>
                </c:pt>
                <c:pt idx="7">
                  <c:v>24</c:v>
                </c:pt>
                <c:pt idx="8">
                  <c:v>5</c:v>
                </c:pt>
                <c:pt idx="9">
                  <c:v>13</c:v>
                </c:pt>
                <c:pt idx="10">
                  <c:v>10</c:v>
                </c:pt>
                <c:pt idx="11">
                  <c:v>6</c:v>
                </c:pt>
                <c:pt idx="12">
                  <c:v>8</c:v>
                </c:pt>
              </c:numCache>
            </c:numRef>
          </c:val>
          <c:extLst>
            <c:ext xmlns:c16="http://schemas.microsoft.com/office/drawing/2014/chart" uri="{C3380CC4-5D6E-409C-BE32-E72D297353CC}">
              <c16:uniqueId val="{00000000-F5A7-43B5-9934-B1C951C295F4}"/>
            </c:ext>
          </c:extLst>
        </c:ser>
        <c:ser>
          <c:idx val="1"/>
          <c:order val="1"/>
          <c:tx>
            <c:strRef>
              <c:f>Plan1!$F$1</c:f>
              <c:strCache>
                <c:ptCount val="1"/>
                <c:pt idx="0">
                  <c:v>% de Rotatividade</c:v>
                </c:pt>
              </c:strCache>
            </c:strRef>
          </c:tx>
          <c:invertIfNegative val="0"/>
          <c:dLbls>
            <c:dLbl>
              <c:idx val="4"/>
              <c:layout>
                <c:manualLayout>
                  <c:x val="-4.9291435613062293E-3"/>
                  <c:y val="0.1269841269841269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5A7-43B5-9934-B1C951C295F4}"/>
                </c:ext>
              </c:extLst>
            </c:dLbl>
            <c:dLbl>
              <c:idx val="5"/>
              <c:layout>
                <c:manualLayout>
                  <c:x val="0"/>
                  <c:y val="9.7000643108724724E-1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5A7-43B5-9934-B1C951C295F4}"/>
                </c:ext>
              </c:extLst>
            </c:dLbl>
            <c:dLbl>
              <c:idx val="6"/>
              <c:layout>
                <c:manualLayout>
                  <c:x val="4.9291435613062727E-3"/>
                  <c:y val="7.61904761904762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5A7-43B5-9934-B1C951C295F4}"/>
                </c:ext>
              </c:extLst>
            </c:dLbl>
            <c:dLbl>
              <c:idx val="8"/>
              <c:layout>
                <c:manualLayout>
                  <c:x val="2.4645717806531216E-3"/>
                  <c:y val="9.73544973544977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5A7-43B5-9934-B1C951C295F4}"/>
                </c:ext>
              </c:extLst>
            </c:dLbl>
            <c:dLbl>
              <c:idx val="10"/>
              <c:layout>
                <c:manualLayout>
                  <c:x val="-4.9291435613062293E-3"/>
                  <c:y val="6.77248677248677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5A7-43B5-9934-B1C951C295F4}"/>
                </c:ext>
              </c:extLst>
            </c:dLbl>
            <c:dLbl>
              <c:idx val="11"/>
              <c:layout>
                <c:manualLayout>
                  <c:x val="2.4645717806531216E-3"/>
                  <c:y val="0.1608465608465609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5A7-43B5-9934-B1C951C295F4}"/>
                </c:ext>
              </c:extLst>
            </c:dLbl>
            <c:dLbl>
              <c:idx val="12"/>
              <c:layout>
                <c:manualLayout>
                  <c:x val="-9.0366588034745352E-17"/>
                  <c:y val="7.61904761904762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5A7-43B5-9934-B1C951C295F4}"/>
                </c:ext>
              </c:extLst>
            </c:dLbl>
            <c:spPr>
              <a:noFill/>
              <a:ln>
                <a:noFill/>
              </a:ln>
              <a:effectLst/>
            </c:spPr>
            <c:txPr>
              <a:bodyPr/>
              <a:lstStyle/>
              <a:p>
                <a:pPr>
                  <a:defRPr b="1">
                    <a:latin typeface="Times New Roman" pitchFamily="18" charset="0"/>
                    <a:cs typeface="Times New Roman" pitchFamily="18" charset="0"/>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Plan1!$D$2:$D$14</c:f>
              <c:strCache>
                <c:ptCount val="13"/>
                <c:pt idx="0">
                  <c:v>B. Pan 1º</c:v>
                </c:pt>
                <c:pt idx="1">
                  <c:v>B. ABC do Brasil 2º</c:v>
                </c:pt>
                <c:pt idx="2">
                  <c:v>B. Patagonia 3º</c:v>
                </c:pt>
                <c:pt idx="3">
                  <c:v>B. Santander 4º</c:v>
                </c:pt>
                <c:pt idx="4">
                  <c:v>B. Brasil 5º</c:v>
                </c:pt>
                <c:pt idx="5">
                  <c:v>B. Itáu 6º</c:v>
                </c:pt>
                <c:pt idx="6">
                  <c:v>B. Bradesco 7º</c:v>
                </c:pt>
                <c:pt idx="7">
                  <c:v>B. Banrisul 8º</c:v>
                </c:pt>
                <c:pt idx="8">
                  <c:v>B. Alfa 9º</c:v>
                </c:pt>
                <c:pt idx="9">
                  <c:v>B. Amazônia 10º</c:v>
                </c:pt>
                <c:pt idx="10">
                  <c:v>B. Pará 11º</c:v>
                </c:pt>
                <c:pt idx="11">
                  <c:v>B. BANASE 12º</c:v>
                </c:pt>
                <c:pt idx="12">
                  <c:v>B. Nordeste 13º</c:v>
                </c:pt>
              </c:strCache>
            </c:strRef>
          </c:cat>
          <c:val>
            <c:numRef>
              <c:f>Plan1!$F$2:$F$14</c:f>
              <c:numCache>
                <c:formatCode>0.00%</c:formatCode>
                <c:ptCount val="13"/>
                <c:pt idx="0">
                  <c:v>0.2021</c:v>
                </c:pt>
                <c:pt idx="1">
                  <c:v>0.19000000000000009</c:v>
                </c:pt>
                <c:pt idx="2">
                  <c:v>0.17550000000000004</c:v>
                </c:pt>
                <c:pt idx="3">
                  <c:v>0.13969999999999999</c:v>
                </c:pt>
                <c:pt idx="4">
                  <c:v>0.1041000000000001</c:v>
                </c:pt>
                <c:pt idx="5">
                  <c:v>8.5000000000000048E-2</c:v>
                </c:pt>
                <c:pt idx="6">
                  <c:v>7.9000000000000126E-2</c:v>
                </c:pt>
                <c:pt idx="7">
                  <c:v>3.0400000000000038E-2</c:v>
                </c:pt>
                <c:pt idx="8">
                  <c:v>2.9399999999999999E-2</c:v>
                </c:pt>
                <c:pt idx="9">
                  <c:v>2.9200000000000021E-2</c:v>
                </c:pt>
                <c:pt idx="10">
                  <c:v>1.4400000000000008E-2</c:v>
                </c:pt>
                <c:pt idx="11">
                  <c:v>1.2000000000000009E-2</c:v>
                </c:pt>
                <c:pt idx="12">
                  <c:v>5.3000000000000061E-3</c:v>
                </c:pt>
              </c:numCache>
            </c:numRef>
          </c:val>
          <c:extLst>
            <c:ext xmlns:c16="http://schemas.microsoft.com/office/drawing/2014/chart" uri="{C3380CC4-5D6E-409C-BE32-E72D297353CC}">
              <c16:uniqueId val="{00000008-F5A7-43B5-9934-B1C951C295F4}"/>
            </c:ext>
          </c:extLst>
        </c:ser>
        <c:dLbls>
          <c:showLegendKey val="0"/>
          <c:showVal val="0"/>
          <c:showCatName val="0"/>
          <c:showSerName val="0"/>
          <c:showPercent val="0"/>
          <c:showBubbleSize val="0"/>
        </c:dLbls>
        <c:gapWidth val="150"/>
        <c:overlap val="100"/>
        <c:axId val="81537664"/>
        <c:axId val="81899904"/>
      </c:barChart>
      <c:catAx>
        <c:axId val="81537664"/>
        <c:scaling>
          <c:orientation val="minMax"/>
        </c:scaling>
        <c:delete val="0"/>
        <c:axPos val="b"/>
        <c:numFmt formatCode="General" sourceLinked="0"/>
        <c:majorTickMark val="out"/>
        <c:minorTickMark val="none"/>
        <c:tickLblPos val="nextTo"/>
        <c:crossAx val="81899904"/>
        <c:crosses val="autoZero"/>
        <c:auto val="1"/>
        <c:lblAlgn val="ctr"/>
        <c:lblOffset val="100"/>
        <c:noMultiLvlLbl val="0"/>
      </c:catAx>
      <c:valAx>
        <c:axId val="81899904"/>
        <c:scaling>
          <c:orientation val="minMax"/>
        </c:scaling>
        <c:delete val="0"/>
        <c:axPos val="l"/>
        <c:majorGridlines/>
        <c:numFmt formatCode="0%" sourceLinked="1"/>
        <c:majorTickMark val="out"/>
        <c:minorTickMark val="none"/>
        <c:tickLblPos val="nextTo"/>
        <c:crossAx val="81537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7120</Words>
  <Characters>38450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Usuarios</cp:lastModifiedBy>
  <cp:revision>3</cp:revision>
  <dcterms:created xsi:type="dcterms:W3CDTF">2018-05-07T04:45:00Z</dcterms:created>
  <dcterms:modified xsi:type="dcterms:W3CDTF">2018-05-07T04:54:00Z</dcterms:modified>
</cp:coreProperties>
</file>