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608BE" w14:textId="77777777" w:rsidR="0036377D" w:rsidRDefault="0036377D" w:rsidP="00820D75">
      <w:pPr>
        <w:jc w:val="center"/>
        <w:rPr>
          <w:b/>
          <w:sz w:val="24"/>
        </w:rPr>
      </w:pPr>
    </w:p>
    <w:p w14:paraId="067608BF" w14:textId="77777777" w:rsidR="008B283A" w:rsidRDefault="008B283A" w:rsidP="00820D75">
      <w:pPr>
        <w:jc w:val="center"/>
        <w:rPr>
          <w:b/>
          <w:sz w:val="24"/>
          <w:szCs w:val="24"/>
        </w:rPr>
      </w:pPr>
      <w:r w:rsidRPr="00AA65FC">
        <w:rPr>
          <w:b/>
          <w:sz w:val="24"/>
          <w:szCs w:val="24"/>
        </w:rPr>
        <w:t xml:space="preserve">Influência </w:t>
      </w:r>
      <w:r>
        <w:rPr>
          <w:b/>
          <w:sz w:val="24"/>
          <w:szCs w:val="24"/>
        </w:rPr>
        <w:t>do Comitê de Auditoria e suas Características na Assimetria da Informação e</w:t>
      </w:r>
      <w:r w:rsidRPr="00AA65FC">
        <w:rPr>
          <w:b/>
          <w:sz w:val="24"/>
          <w:szCs w:val="24"/>
        </w:rPr>
        <w:t>m Empresas Brasileiras</w:t>
      </w:r>
    </w:p>
    <w:p w14:paraId="067608C0" w14:textId="77777777" w:rsidR="0036377D" w:rsidRDefault="0036377D" w:rsidP="00820D75">
      <w:pPr>
        <w:jc w:val="center"/>
        <w:rPr>
          <w:color w:val="999999"/>
        </w:rPr>
      </w:pPr>
    </w:p>
    <w:p w14:paraId="067608C1" w14:textId="77777777" w:rsidR="0036377D" w:rsidRDefault="008B283A" w:rsidP="00820D75">
      <w:pPr>
        <w:jc w:val="right"/>
        <w:rPr>
          <w:b/>
          <w:sz w:val="24"/>
          <w:szCs w:val="24"/>
        </w:rPr>
      </w:pPr>
      <w:r>
        <w:rPr>
          <w:b/>
          <w:sz w:val="24"/>
          <w:szCs w:val="24"/>
        </w:rPr>
        <w:t>Daiani Schlup</w:t>
      </w:r>
    </w:p>
    <w:p w14:paraId="067608C2" w14:textId="77777777" w:rsidR="0036377D" w:rsidRDefault="008B283A" w:rsidP="00820D75">
      <w:pPr>
        <w:jc w:val="right"/>
        <w:rPr>
          <w:b/>
          <w:i/>
          <w:sz w:val="24"/>
          <w:szCs w:val="24"/>
        </w:rPr>
      </w:pPr>
      <w:r>
        <w:rPr>
          <w:b/>
          <w:sz w:val="24"/>
          <w:szCs w:val="24"/>
        </w:rPr>
        <w:t>Universidade Regional de Blumenau (FURB)</w:t>
      </w:r>
    </w:p>
    <w:p w14:paraId="067608C3" w14:textId="77777777" w:rsidR="0036377D" w:rsidRPr="00B72BF6" w:rsidRDefault="00C04F45" w:rsidP="00820D75">
      <w:pPr>
        <w:jc w:val="right"/>
        <w:rPr>
          <w:b/>
          <w:sz w:val="24"/>
          <w:szCs w:val="24"/>
          <w:lang w:val="en-US"/>
        </w:rPr>
      </w:pPr>
      <w:r w:rsidRPr="00B72BF6">
        <w:rPr>
          <w:b/>
          <w:i/>
          <w:sz w:val="24"/>
          <w:szCs w:val="24"/>
          <w:lang w:val="en-US"/>
        </w:rPr>
        <w:t>E</w:t>
      </w:r>
      <w:r w:rsidR="0036377D" w:rsidRPr="00B72BF6">
        <w:rPr>
          <w:b/>
          <w:i/>
          <w:sz w:val="24"/>
          <w:szCs w:val="24"/>
          <w:lang w:val="en-US"/>
        </w:rPr>
        <w:t>-mail</w:t>
      </w:r>
      <w:r w:rsidRPr="00B72BF6">
        <w:rPr>
          <w:b/>
          <w:i/>
          <w:sz w:val="24"/>
          <w:szCs w:val="24"/>
          <w:lang w:val="en-US"/>
        </w:rPr>
        <w:t>:</w:t>
      </w:r>
      <w:r w:rsidR="008B283A" w:rsidRPr="00B72BF6">
        <w:rPr>
          <w:b/>
          <w:i/>
          <w:sz w:val="24"/>
          <w:szCs w:val="24"/>
          <w:lang w:val="en-US"/>
        </w:rPr>
        <w:t xml:space="preserve"> daianischlup@gmail.com</w:t>
      </w:r>
    </w:p>
    <w:p w14:paraId="067608C4" w14:textId="77777777" w:rsidR="0036377D" w:rsidRPr="00B72BF6" w:rsidRDefault="0036377D" w:rsidP="00820D75">
      <w:pPr>
        <w:jc w:val="right"/>
        <w:rPr>
          <w:b/>
          <w:sz w:val="24"/>
          <w:szCs w:val="24"/>
          <w:lang w:val="en-US"/>
        </w:rPr>
      </w:pPr>
    </w:p>
    <w:p w14:paraId="067608C5" w14:textId="77777777" w:rsidR="0036377D" w:rsidRPr="00B72BF6" w:rsidRDefault="008B283A" w:rsidP="00820D75">
      <w:pPr>
        <w:widowControl w:val="0"/>
        <w:jc w:val="right"/>
        <w:rPr>
          <w:b/>
          <w:sz w:val="24"/>
          <w:szCs w:val="24"/>
          <w:lang w:val="en-US"/>
        </w:rPr>
      </w:pPr>
      <w:r w:rsidRPr="00B72BF6">
        <w:rPr>
          <w:b/>
          <w:sz w:val="24"/>
          <w:szCs w:val="24"/>
          <w:lang w:val="en-US"/>
        </w:rPr>
        <w:t xml:space="preserve">Caroline </w:t>
      </w:r>
      <w:proofErr w:type="spellStart"/>
      <w:r w:rsidRPr="00B72BF6">
        <w:rPr>
          <w:b/>
          <w:sz w:val="24"/>
          <w:szCs w:val="24"/>
          <w:lang w:val="en-US"/>
        </w:rPr>
        <w:t>Keidann</w:t>
      </w:r>
      <w:proofErr w:type="spellEnd"/>
      <w:r w:rsidRPr="00B72BF6">
        <w:rPr>
          <w:b/>
          <w:sz w:val="24"/>
          <w:szCs w:val="24"/>
          <w:lang w:val="en-US"/>
        </w:rPr>
        <w:t xml:space="preserve"> </w:t>
      </w:r>
      <w:proofErr w:type="spellStart"/>
      <w:r w:rsidRPr="00B72BF6">
        <w:rPr>
          <w:b/>
          <w:sz w:val="24"/>
          <w:szCs w:val="24"/>
          <w:lang w:val="en-US"/>
        </w:rPr>
        <w:t>Soschinski</w:t>
      </w:r>
      <w:proofErr w:type="spellEnd"/>
    </w:p>
    <w:p w14:paraId="067608C6" w14:textId="77777777" w:rsidR="0036377D" w:rsidRDefault="008B283A" w:rsidP="00820D75">
      <w:pPr>
        <w:jc w:val="right"/>
        <w:rPr>
          <w:b/>
          <w:i/>
          <w:sz w:val="24"/>
          <w:szCs w:val="24"/>
        </w:rPr>
      </w:pPr>
      <w:r>
        <w:rPr>
          <w:b/>
          <w:sz w:val="24"/>
          <w:szCs w:val="24"/>
        </w:rPr>
        <w:t>Universidade Regional de Blumenau (FURB)</w:t>
      </w:r>
    </w:p>
    <w:p w14:paraId="067608C7" w14:textId="315C8828" w:rsidR="0036377D" w:rsidRPr="008B283A" w:rsidRDefault="00C04F45" w:rsidP="00820D75">
      <w:pPr>
        <w:widowControl w:val="0"/>
        <w:jc w:val="right"/>
        <w:rPr>
          <w:b/>
          <w:i/>
          <w:sz w:val="24"/>
          <w:szCs w:val="24"/>
        </w:rPr>
      </w:pPr>
      <w:r>
        <w:rPr>
          <w:b/>
          <w:i/>
          <w:sz w:val="24"/>
          <w:szCs w:val="24"/>
        </w:rPr>
        <w:t>E</w:t>
      </w:r>
      <w:r w:rsidR="0036377D">
        <w:rPr>
          <w:b/>
          <w:i/>
          <w:sz w:val="24"/>
          <w:szCs w:val="24"/>
        </w:rPr>
        <w:t>-</w:t>
      </w:r>
      <w:r w:rsidR="0036377D" w:rsidRPr="008B283A">
        <w:rPr>
          <w:b/>
          <w:i/>
          <w:sz w:val="24"/>
          <w:szCs w:val="24"/>
        </w:rPr>
        <w:t>mail</w:t>
      </w:r>
      <w:r w:rsidRPr="008B283A">
        <w:rPr>
          <w:b/>
          <w:i/>
          <w:sz w:val="24"/>
          <w:szCs w:val="24"/>
        </w:rPr>
        <w:t>:</w:t>
      </w:r>
      <w:r w:rsidR="008B283A" w:rsidRPr="008B283A">
        <w:rPr>
          <w:b/>
          <w:i/>
          <w:sz w:val="24"/>
          <w:szCs w:val="24"/>
        </w:rPr>
        <w:t xml:space="preserve"> c</w:t>
      </w:r>
      <w:r w:rsidR="006448DB">
        <w:rPr>
          <w:b/>
          <w:i/>
          <w:sz w:val="24"/>
          <w:szCs w:val="24"/>
        </w:rPr>
        <w:t>soschinski</w:t>
      </w:r>
      <w:r w:rsidR="008B283A" w:rsidRPr="008B283A">
        <w:rPr>
          <w:b/>
          <w:i/>
          <w:sz w:val="24"/>
          <w:szCs w:val="24"/>
        </w:rPr>
        <w:t>@</w:t>
      </w:r>
      <w:r w:rsidR="006448DB">
        <w:rPr>
          <w:b/>
          <w:i/>
          <w:sz w:val="24"/>
          <w:szCs w:val="24"/>
        </w:rPr>
        <w:t>furb.</w:t>
      </w:r>
      <w:r w:rsidR="008B283A" w:rsidRPr="008B283A">
        <w:rPr>
          <w:b/>
          <w:i/>
          <w:sz w:val="24"/>
          <w:szCs w:val="24"/>
        </w:rPr>
        <w:t>br</w:t>
      </w:r>
    </w:p>
    <w:p w14:paraId="067608C8" w14:textId="77777777" w:rsidR="008B283A" w:rsidRDefault="008B283A" w:rsidP="00820D75">
      <w:pPr>
        <w:widowControl w:val="0"/>
        <w:jc w:val="right"/>
        <w:rPr>
          <w:b/>
          <w:i/>
          <w:sz w:val="24"/>
          <w:szCs w:val="24"/>
        </w:rPr>
      </w:pPr>
    </w:p>
    <w:p w14:paraId="067608C9" w14:textId="77777777" w:rsidR="008B283A" w:rsidRDefault="008B283A" w:rsidP="00820D75">
      <w:pPr>
        <w:widowControl w:val="0"/>
        <w:jc w:val="right"/>
        <w:rPr>
          <w:b/>
          <w:sz w:val="24"/>
          <w:szCs w:val="24"/>
        </w:rPr>
      </w:pPr>
      <w:r>
        <w:rPr>
          <w:b/>
          <w:sz w:val="24"/>
          <w:szCs w:val="24"/>
        </w:rPr>
        <w:t>Paulo Roberto da Cunha</w:t>
      </w:r>
    </w:p>
    <w:p w14:paraId="067608CA" w14:textId="77777777" w:rsidR="008B283A" w:rsidRDefault="008B283A" w:rsidP="00820D75">
      <w:pPr>
        <w:jc w:val="right"/>
        <w:rPr>
          <w:b/>
          <w:sz w:val="24"/>
          <w:szCs w:val="24"/>
        </w:rPr>
      </w:pPr>
      <w:r>
        <w:rPr>
          <w:b/>
          <w:sz w:val="24"/>
          <w:szCs w:val="24"/>
        </w:rPr>
        <w:t>Universidade Regional de Blumenau (FURB)</w:t>
      </w:r>
    </w:p>
    <w:p w14:paraId="69BB2B42" w14:textId="09410AE7" w:rsidR="00B72BF6" w:rsidRDefault="00B72BF6" w:rsidP="00820D75">
      <w:pPr>
        <w:jc w:val="right"/>
        <w:rPr>
          <w:b/>
          <w:i/>
          <w:sz w:val="24"/>
          <w:szCs w:val="24"/>
        </w:rPr>
      </w:pPr>
      <w:r>
        <w:rPr>
          <w:b/>
          <w:sz w:val="24"/>
          <w:szCs w:val="24"/>
        </w:rPr>
        <w:t>Universidade do Estado de Santa Catarina</w:t>
      </w:r>
      <w:r w:rsidR="00D04AD3">
        <w:rPr>
          <w:b/>
          <w:sz w:val="24"/>
          <w:szCs w:val="24"/>
        </w:rPr>
        <w:t xml:space="preserve"> (UDESC)</w:t>
      </w:r>
    </w:p>
    <w:p w14:paraId="067608CB" w14:textId="77777777" w:rsidR="008B283A" w:rsidRDefault="008B283A" w:rsidP="00820D75">
      <w:pPr>
        <w:widowControl w:val="0"/>
        <w:jc w:val="right"/>
        <w:rPr>
          <w:b/>
          <w:sz w:val="24"/>
          <w:szCs w:val="24"/>
        </w:rPr>
      </w:pPr>
      <w:r>
        <w:rPr>
          <w:b/>
          <w:i/>
          <w:sz w:val="24"/>
          <w:szCs w:val="24"/>
        </w:rPr>
        <w:t>E-mail:</w:t>
      </w:r>
      <w:r w:rsidRPr="008B283A">
        <w:t xml:space="preserve"> </w:t>
      </w:r>
      <w:r w:rsidRPr="008B283A">
        <w:rPr>
          <w:b/>
          <w:i/>
          <w:sz w:val="24"/>
          <w:szCs w:val="24"/>
        </w:rPr>
        <w:t>pauloccsa@furb.br</w:t>
      </w:r>
    </w:p>
    <w:p w14:paraId="067608CC" w14:textId="77777777" w:rsidR="008B283A" w:rsidRDefault="008B283A" w:rsidP="00820D75">
      <w:pPr>
        <w:widowControl w:val="0"/>
        <w:jc w:val="right"/>
        <w:rPr>
          <w:b/>
          <w:sz w:val="24"/>
          <w:szCs w:val="24"/>
        </w:rPr>
      </w:pPr>
    </w:p>
    <w:p w14:paraId="067608CD" w14:textId="77777777" w:rsidR="008B283A" w:rsidRDefault="008B283A" w:rsidP="00820D75">
      <w:pPr>
        <w:widowControl w:val="0"/>
        <w:jc w:val="right"/>
        <w:rPr>
          <w:b/>
          <w:sz w:val="24"/>
          <w:szCs w:val="24"/>
        </w:rPr>
      </w:pPr>
      <w:r>
        <w:rPr>
          <w:b/>
          <w:sz w:val="24"/>
          <w:szCs w:val="24"/>
        </w:rPr>
        <w:t>Alini da Silva</w:t>
      </w:r>
    </w:p>
    <w:p w14:paraId="067608CE" w14:textId="77777777" w:rsidR="008B283A" w:rsidRDefault="008B283A" w:rsidP="00820D75">
      <w:pPr>
        <w:jc w:val="right"/>
        <w:rPr>
          <w:b/>
          <w:i/>
          <w:sz w:val="24"/>
          <w:szCs w:val="24"/>
        </w:rPr>
      </w:pPr>
      <w:r>
        <w:rPr>
          <w:b/>
          <w:sz w:val="24"/>
          <w:szCs w:val="24"/>
        </w:rPr>
        <w:t>Universidade Regional de Blumenau (FURB)</w:t>
      </w:r>
    </w:p>
    <w:p w14:paraId="067608CF" w14:textId="77777777" w:rsidR="008B283A" w:rsidRDefault="008B283A" w:rsidP="00820D75">
      <w:pPr>
        <w:widowControl w:val="0"/>
        <w:jc w:val="right"/>
        <w:rPr>
          <w:b/>
          <w:sz w:val="24"/>
          <w:szCs w:val="24"/>
        </w:rPr>
      </w:pPr>
      <w:r>
        <w:rPr>
          <w:b/>
          <w:i/>
          <w:sz w:val="24"/>
          <w:szCs w:val="24"/>
        </w:rPr>
        <w:t>E-mail:</w:t>
      </w:r>
      <w:r w:rsidRPr="008B283A">
        <w:t xml:space="preserve"> </w:t>
      </w:r>
      <w:r w:rsidRPr="008B283A">
        <w:rPr>
          <w:b/>
          <w:i/>
          <w:sz w:val="24"/>
          <w:szCs w:val="24"/>
        </w:rPr>
        <w:t>alinicont@gmail.com</w:t>
      </w:r>
    </w:p>
    <w:p w14:paraId="067608D0" w14:textId="77777777" w:rsidR="008B283A" w:rsidRDefault="008B283A" w:rsidP="00820D75">
      <w:pPr>
        <w:widowControl w:val="0"/>
        <w:jc w:val="right"/>
        <w:rPr>
          <w:b/>
          <w:sz w:val="24"/>
          <w:szCs w:val="24"/>
        </w:rPr>
      </w:pPr>
    </w:p>
    <w:p w14:paraId="067608D1" w14:textId="77777777" w:rsidR="0036377D" w:rsidRDefault="0036377D" w:rsidP="00820D75">
      <w:pPr>
        <w:widowControl w:val="0"/>
        <w:jc w:val="center"/>
        <w:rPr>
          <w:b/>
          <w:color w:val="999999"/>
        </w:rPr>
      </w:pPr>
    </w:p>
    <w:p w14:paraId="067608D2" w14:textId="77777777" w:rsidR="00C04F45" w:rsidRDefault="0036377D" w:rsidP="00820D75">
      <w:pPr>
        <w:widowControl w:val="0"/>
        <w:jc w:val="both"/>
        <w:rPr>
          <w:b/>
          <w:sz w:val="24"/>
          <w:szCs w:val="24"/>
        </w:rPr>
      </w:pPr>
      <w:r>
        <w:rPr>
          <w:b/>
          <w:sz w:val="24"/>
          <w:szCs w:val="24"/>
        </w:rPr>
        <w:t xml:space="preserve">Resumo </w:t>
      </w:r>
    </w:p>
    <w:p w14:paraId="067608D3" w14:textId="6EAD96F1" w:rsidR="0036377D" w:rsidRDefault="008B283A" w:rsidP="00820D75">
      <w:pPr>
        <w:widowControl w:val="0"/>
        <w:jc w:val="both"/>
        <w:rPr>
          <w:b/>
          <w:sz w:val="24"/>
          <w:szCs w:val="24"/>
        </w:rPr>
      </w:pPr>
      <w:r w:rsidRPr="00AA65FC">
        <w:rPr>
          <w:color w:val="000000"/>
          <w:sz w:val="24"/>
          <w:szCs w:val="24"/>
        </w:rPr>
        <w:t>O estudo objetivou analisar a influência do comitê de auditoria</w:t>
      </w:r>
      <w:r w:rsidR="006448DB">
        <w:rPr>
          <w:color w:val="000000"/>
          <w:sz w:val="24"/>
          <w:szCs w:val="24"/>
        </w:rPr>
        <w:t xml:space="preserve"> </w:t>
      </w:r>
      <w:r w:rsidRPr="00AA65FC">
        <w:rPr>
          <w:color w:val="000000"/>
          <w:sz w:val="24"/>
          <w:szCs w:val="24"/>
        </w:rPr>
        <w:t xml:space="preserve">e de suas características de independência e </w:t>
      </w:r>
      <w:r w:rsidRPr="00AA65FC">
        <w:rPr>
          <w:i/>
          <w:color w:val="000000"/>
          <w:sz w:val="24"/>
          <w:szCs w:val="24"/>
        </w:rPr>
        <w:t>expertise</w:t>
      </w:r>
      <w:r w:rsidRPr="00AA65FC">
        <w:rPr>
          <w:color w:val="000000"/>
          <w:sz w:val="24"/>
          <w:szCs w:val="24"/>
        </w:rPr>
        <w:t xml:space="preserve"> na assimetria da informação em empresas brasileiras. Para tanto, utilizou-se de pesquisa descritiva, documental e</w:t>
      </w:r>
      <w:r w:rsidR="00C03C1E">
        <w:rPr>
          <w:color w:val="000000"/>
          <w:sz w:val="24"/>
          <w:szCs w:val="24"/>
        </w:rPr>
        <w:t xml:space="preserve"> </w:t>
      </w:r>
      <w:r w:rsidRPr="00AA65FC">
        <w:rPr>
          <w:color w:val="000000"/>
          <w:sz w:val="24"/>
          <w:szCs w:val="24"/>
        </w:rPr>
        <w:t>quantitativa. A</w:t>
      </w:r>
      <w:r w:rsidR="006448DB">
        <w:rPr>
          <w:color w:val="000000"/>
          <w:sz w:val="24"/>
          <w:szCs w:val="24"/>
        </w:rPr>
        <w:t xml:space="preserve"> </w:t>
      </w:r>
      <w:r w:rsidR="00ED2F10">
        <w:rPr>
          <w:color w:val="000000"/>
          <w:sz w:val="24"/>
          <w:szCs w:val="24"/>
        </w:rPr>
        <w:t>população</w:t>
      </w:r>
      <w:r w:rsidR="006448DB">
        <w:rPr>
          <w:color w:val="000000"/>
          <w:sz w:val="24"/>
          <w:szCs w:val="24"/>
        </w:rPr>
        <w:t xml:space="preserve"> de</w:t>
      </w:r>
      <w:r w:rsidR="00C03C1E">
        <w:rPr>
          <w:color w:val="000000"/>
          <w:sz w:val="24"/>
          <w:szCs w:val="24"/>
        </w:rPr>
        <w:t xml:space="preserve"> pesquisa foi determinada pelas</w:t>
      </w:r>
      <w:r w:rsidRPr="00AA65FC">
        <w:rPr>
          <w:color w:val="000000"/>
          <w:sz w:val="24"/>
          <w:szCs w:val="24"/>
        </w:rPr>
        <w:t xml:space="preserve"> 100 </w:t>
      </w:r>
      <w:r w:rsidR="006448DB">
        <w:rPr>
          <w:color w:val="000000"/>
          <w:sz w:val="24"/>
          <w:szCs w:val="24"/>
        </w:rPr>
        <w:t xml:space="preserve">empresas </w:t>
      </w:r>
      <w:r w:rsidRPr="00AA65FC">
        <w:rPr>
          <w:color w:val="000000"/>
          <w:sz w:val="24"/>
          <w:szCs w:val="24"/>
        </w:rPr>
        <w:t xml:space="preserve">listadas no índice </w:t>
      </w:r>
      <w:r w:rsidRPr="00AA65FC">
        <w:rPr>
          <w:sz w:val="24"/>
          <w:szCs w:val="24"/>
        </w:rPr>
        <w:t xml:space="preserve">IBRx100 da B3 (Brasil, Bolsa e Balcão), durante o período de 2012 </w:t>
      </w:r>
      <w:r w:rsidR="006448DB" w:rsidRPr="00AA65FC">
        <w:rPr>
          <w:sz w:val="24"/>
          <w:szCs w:val="24"/>
        </w:rPr>
        <w:t>a</w:t>
      </w:r>
      <w:r w:rsidRPr="00AA65FC">
        <w:rPr>
          <w:sz w:val="24"/>
          <w:szCs w:val="24"/>
        </w:rPr>
        <w:t xml:space="preserve"> 2016. Os resultados relacionados a influência do </w:t>
      </w:r>
      <w:r w:rsidR="00B210B8">
        <w:rPr>
          <w:sz w:val="24"/>
          <w:szCs w:val="24"/>
        </w:rPr>
        <w:t>comitê de auditoria</w:t>
      </w:r>
      <w:r w:rsidR="00DE4584">
        <w:rPr>
          <w:sz w:val="24"/>
          <w:szCs w:val="24"/>
        </w:rPr>
        <w:t xml:space="preserve"> na</w:t>
      </w:r>
      <w:r w:rsidRPr="00AA65FC">
        <w:rPr>
          <w:sz w:val="24"/>
          <w:szCs w:val="24"/>
        </w:rPr>
        <w:t xml:space="preserve"> assimetria informacional não foram estatisticamente significantes,</w:t>
      </w:r>
      <w:r w:rsidR="006448DB">
        <w:rPr>
          <w:sz w:val="24"/>
          <w:szCs w:val="24"/>
        </w:rPr>
        <w:t xml:space="preserve"> o que sugere que a existência d</w:t>
      </w:r>
      <w:r w:rsidR="00AA1B71">
        <w:rPr>
          <w:sz w:val="24"/>
          <w:szCs w:val="24"/>
        </w:rPr>
        <w:t>e um</w:t>
      </w:r>
      <w:r w:rsidR="006448DB">
        <w:rPr>
          <w:sz w:val="24"/>
          <w:szCs w:val="24"/>
        </w:rPr>
        <w:t xml:space="preserve"> </w:t>
      </w:r>
      <w:r w:rsidR="00AA1B71">
        <w:rPr>
          <w:sz w:val="24"/>
          <w:szCs w:val="24"/>
        </w:rPr>
        <w:t>comitê de auditoria</w:t>
      </w:r>
      <w:r w:rsidR="006448DB">
        <w:rPr>
          <w:sz w:val="24"/>
          <w:szCs w:val="24"/>
        </w:rPr>
        <w:t xml:space="preserve"> por si só não se mostrou capaz de minimizar a assimetria informacional. </w:t>
      </w:r>
      <w:r w:rsidR="00B210B8">
        <w:rPr>
          <w:sz w:val="24"/>
          <w:szCs w:val="24"/>
        </w:rPr>
        <w:t>No que concerne as características do comitê, de</w:t>
      </w:r>
      <w:r w:rsidR="006448DB">
        <w:rPr>
          <w:sz w:val="24"/>
          <w:szCs w:val="24"/>
        </w:rPr>
        <w:t xml:space="preserve"> independência e </w:t>
      </w:r>
      <w:r w:rsidR="006448DB" w:rsidRPr="00DE4584">
        <w:rPr>
          <w:i/>
          <w:sz w:val="24"/>
          <w:szCs w:val="24"/>
        </w:rPr>
        <w:t>expertise</w:t>
      </w:r>
      <w:r w:rsidR="006448DB">
        <w:rPr>
          <w:sz w:val="24"/>
          <w:szCs w:val="24"/>
        </w:rPr>
        <w:t xml:space="preserve">, </w:t>
      </w:r>
      <w:r w:rsidR="00DE4584">
        <w:rPr>
          <w:sz w:val="24"/>
          <w:szCs w:val="24"/>
        </w:rPr>
        <w:t xml:space="preserve">constatou-se que </w:t>
      </w:r>
      <w:r w:rsidR="00720A80">
        <w:rPr>
          <w:sz w:val="24"/>
          <w:szCs w:val="24"/>
        </w:rPr>
        <w:t xml:space="preserve">somente </w:t>
      </w:r>
      <w:r w:rsidR="00DE4584">
        <w:rPr>
          <w:sz w:val="24"/>
          <w:szCs w:val="24"/>
        </w:rPr>
        <w:t>a</w:t>
      </w:r>
      <w:r w:rsidR="006448DB">
        <w:rPr>
          <w:sz w:val="24"/>
          <w:szCs w:val="24"/>
        </w:rPr>
        <w:t xml:space="preserve"> </w:t>
      </w:r>
      <w:r w:rsidR="006448DB" w:rsidRPr="00DE4584">
        <w:rPr>
          <w:i/>
          <w:sz w:val="24"/>
          <w:szCs w:val="24"/>
        </w:rPr>
        <w:t>expertise</w:t>
      </w:r>
      <w:r w:rsidR="006448DB">
        <w:rPr>
          <w:sz w:val="24"/>
          <w:szCs w:val="24"/>
        </w:rPr>
        <w:t xml:space="preserve"> se mostrou estatisticamente significante e negativamente relacionada a assimetria informacional, </w:t>
      </w:r>
      <w:r w:rsidR="00E35B2A">
        <w:rPr>
          <w:sz w:val="24"/>
          <w:szCs w:val="24"/>
        </w:rPr>
        <w:t>gerando</w:t>
      </w:r>
      <w:r w:rsidR="006448DB">
        <w:rPr>
          <w:sz w:val="24"/>
          <w:szCs w:val="24"/>
        </w:rPr>
        <w:t xml:space="preserve"> evidências de</w:t>
      </w:r>
      <w:r w:rsidR="00DE4584">
        <w:rPr>
          <w:sz w:val="24"/>
          <w:szCs w:val="24"/>
        </w:rPr>
        <w:t xml:space="preserve"> que um</w:t>
      </w:r>
      <w:r w:rsidR="006448DB">
        <w:rPr>
          <w:sz w:val="24"/>
          <w:szCs w:val="24"/>
        </w:rPr>
        <w:t xml:space="preserve"> </w:t>
      </w:r>
      <w:r w:rsidR="00AA1B71">
        <w:rPr>
          <w:sz w:val="24"/>
          <w:szCs w:val="24"/>
        </w:rPr>
        <w:t>comitê de auditoria</w:t>
      </w:r>
      <w:r w:rsidR="00DE4584">
        <w:rPr>
          <w:sz w:val="24"/>
          <w:szCs w:val="24"/>
        </w:rPr>
        <w:t xml:space="preserve"> que possu</w:t>
      </w:r>
      <w:r w:rsidR="00882C65">
        <w:rPr>
          <w:sz w:val="24"/>
          <w:szCs w:val="24"/>
        </w:rPr>
        <w:t>a</w:t>
      </w:r>
      <w:r w:rsidR="00DE4584">
        <w:rPr>
          <w:sz w:val="24"/>
          <w:szCs w:val="24"/>
        </w:rPr>
        <w:t xml:space="preserve"> pelo menos um membro com </w:t>
      </w:r>
      <w:r w:rsidR="00DE4584" w:rsidRPr="00DE4584">
        <w:rPr>
          <w:i/>
          <w:sz w:val="24"/>
          <w:szCs w:val="24"/>
        </w:rPr>
        <w:t>expertise</w:t>
      </w:r>
      <w:r w:rsidR="00DE4584">
        <w:rPr>
          <w:sz w:val="24"/>
          <w:szCs w:val="24"/>
        </w:rPr>
        <w:t xml:space="preserve"> financeira</w:t>
      </w:r>
      <w:r w:rsidR="00B210B8">
        <w:rPr>
          <w:sz w:val="24"/>
          <w:szCs w:val="24"/>
        </w:rPr>
        <w:t>,</w:t>
      </w:r>
      <w:r w:rsidR="00DE4584">
        <w:rPr>
          <w:sz w:val="24"/>
          <w:szCs w:val="24"/>
        </w:rPr>
        <w:t xml:space="preserve"> </w:t>
      </w:r>
      <w:r w:rsidR="00882C65">
        <w:rPr>
          <w:sz w:val="24"/>
          <w:szCs w:val="24"/>
        </w:rPr>
        <w:t>é</w:t>
      </w:r>
      <w:r w:rsidR="00DE4584">
        <w:rPr>
          <w:sz w:val="24"/>
          <w:szCs w:val="24"/>
        </w:rPr>
        <w:t xml:space="preserve"> capaz de minimizar a assimetria informacional entre gestores e investidores.</w:t>
      </w:r>
      <w:r w:rsidRPr="006770C6">
        <w:rPr>
          <w:sz w:val="24"/>
          <w:szCs w:val="24"/>
        </w:rPr>
        <w:t xml:space="preserve"> </w:t>
      </w:r>
      <w:r w:rsidR="00B210B8">
        <w:rPr>
          <w:sz w:val="24"/>
          <w:szCs w:val="24"/>
        </w:rPr>
        <w:t>Mediante os resultados encontrados</w:t>
      </w:r>
      <w:r w:rsidRPr="006770C6">
        <w:rPr>
          <w:sz w:val="24"/>
          <w:szCs w:val="24"/>
        </w:rPr>
        <w:t xml:space="preserve">, contribui-se em cenário brasileiro como forma de nortear as empresas ao estruturarem de maneira adequada seu </w:t>
      </w:r>
      <w:r w:rsidR="00524D6A">
        <w:rPr>
          <w:sz w:val="24"/>
          <w:szCs w:val="24"/>
        </w:rPr>
        <w:t>comitê de auditoria</w:t>
      </w:r>
      <w:r w:rsidRPr="006770C6">
        <w:rPr>
          <w:sz w:val="24"/>
          <w:szCs w:val="24"/>
        </w:rPr>
        <w:t xml:space="preserve">, buscando membros com </w:t>
      </w:r>
      <w:r w:rsidRPr="006770C6">
        <w:rPr>
          <w:i/>
          <w:sz w:val="24"/>
          <w:szCs w:val="24"/>
        </w:rPr>
        <w:t>expertise</w:t>
      </w:r>
      <w:r w:rsidRPr="006770C6">
        <w:rPr>
          <w:sz w:val="24"/>
          <w:szCs w:val="24"/>
        </w:rPr>
        <w:t xml:space="preserve"> financeira, para assim, melhorar a qualidade do comitê no cumprimento de suas funções e na redução da assimetria informacional</w:t>
      </w:r>
      <w:r w:rsidR="0036377D">
        <w:rPr>
          <w:sz w:val="24"/>
          <w:szCs w:val="24"/>
        </w:rPr>
        <w:t xml:space="preserve">. </w:t>
      </w:r>
    </w:p>
    <w:p w14:paraId="067608D4" w14:textId="77777777" w:rsidR="0036377D" w:rsidRDefault="0036377D" w:rsidP="00820D75">
      <w:pPr>
        <w:widowControl w:val="0"/>
        <w:rPr>
          <w:b/>
          <w:sz w:val="24"/>
          <w:szCs w:val="24"/>
        </w:rPr>
      </w:pPr>
    </w:p>
    <w:p w14:paraId="067608D5" w14:textId="0DA17380" w:rsidR="0036377D" w:rsidRDefault="0036377D" w:rsidP="00820D75">
      <w:pPr>
        <w:widowControl w:val="0"/>
        <w:rPr>
          <w:sz w:val="24"/>
          <w:szCs w:val="24"/>
        </w:rPr>
      </w:pPr>
      <w:r>
        <w:rPr>
          <w:b/>
          <w:sz w:val="24"/>
          <w:szCs w:val="24"/>
        </w:rPr>
        <w:t xml:space="preserve">Palavras-chave: </w:t>
      </w:r>
      <w:r w:rsidR="008B283A" w:rsidRPr="00AA65FC">
        <w:rPr>
          <w:sz w:val="24"/>
          <w:szCs w:val="24"/>
        </w:rPr>
        <w:t>Comitê de auditoria; Assimetria de informação; Auditoria</w:t>
      </w:r>
      <w:r w:rsidR="00BD2670">
        <w:rPr>
          <w:sz w:val="24"/>
          <w:szCs w:val="24"/>
        </w:rPr>
        <w:t>.</w:t>
      </w:r>
    </w:p>
    <w:p w14:paraId="067608D6" w14:textId="77777777" w:rsidR="0036377D" w:rsidRDefault="0036377D" w:rsidP="00820D75">
      <w:pPr>
        <w:widowControl w:val="0"/>
        <w:rPr>
          <w:sz w:val="24"/>
          <w:szCs w:val="24"/>
        </w:rPr>
      </w:pPr>
    </w:p>
    <w:p w14:paraId="067608D7" w14:textId="07E22FE4" w:rsidR="0036377D" w:rsidRPr="003E1E6E" w:rsidRDefault="0036377D" w:rsidP="00820D75">
      <w:pPr>
        <w:widowControl w:val="0"/>
        <w:rPr>
          <w:sz w:val="24"/>
          <w:szCs w:val="24"/>
        </w:rPr>
      </w:pPr>
      <w:r>
        <w:rPr>
          <w:b/>
          <w:sz w:val="24"/>
          <w:szCs w:val="24"/>
        </w:rPr>
        <w:t xml:space="preserve">Linha Temática: </w:t>
      </w:r>
      <w:r w:rsidR="006E192B">
        <w:rPr>
          <w:sz w:val="24"/>
          <w:szCs w:val="24"/>
        </w:rPr>
        <w:t>Auditoria Contábil.</w:t>
      </w:r>
    </w:p>
    <w:p w14:paraId="067608D8" w14:textId="77777777" w:rsidR="008B283A" w:rsidRDefault="008B283A" w:rsidP="00820D75">
      <w:pPr>
        <w:widowControl w:val="0"/>
      </w:pPr>
    </w:p>
    <w:p w14:paraId="067608D9" w14:textId="77777777" w:rsidR="0036377D" w:rsidRDefault="0036377D" w:rsidP="00820D75">
      <w:pPr>
        <w:widowControl w:val="0"/>
      </w:pPr>
    </w:p>
    <w:p w14:paraId="628F9F3C" w14:textId="77777777" w:rsidR="00BD2670" w:rsidRDefault="00BD2670" w:rsidP="00820D75">
      <w:pPr>
        <w:widowControl w:val="0"/>
        <w:rPr>
          <w:b/>
          <w:sz w:val="24"/>
          <w:szCs w:val="24"/>
        </w:rPr>
      </w:pPr>
    </w:p>
    <w:p w14:paraId="067608DB" w14:textId="05D8A070" w:rsidR="00E6136F" w:rsidRPr="008B283A" w:rsidRDefault="008B283A" w:rsidP="00820D75">
      <w:pPr>
        <w:widowControl w:val="0"/>
        <w:rPr>
          <w:b/>
          <w:sz w:val="24"/>
          <w:szCs w:val="24"/>
        </w:rPr>
      </w:pPr>
      <w:r w:rsidRPr="008B283A">
        <w:rPr>
          <w:b/>
          <w:sz w:val="24"/>
          <w:szCs w:val="24"/>
        </w:rPr>
        <w:lastRenderedPageBreak/>
        <w:t>1 I</w:t>
      </w:r>
      <w:r w:rsidR="006448DB">
        <w:rPr>
          <w:b/>
          <w:sz w:val="24"/>
          <w:szCs w:val="24"/>
        </w:rPr>
        <w:t>ntrodução</w:t>
      </w:r>
    </w:p>
    <w:p w14:paraId="067608DC" w14:textId="77777777" w:rsidR="008B283A" w:rsidRDefault="008B283A" w:rsidP="006448DB">
      <w:pPr>
        <w:ind w:firstLine="720"/>
        <w:jc w:val="both"/>
        <w:rPr>
          <w:sz w:val="24"/>
          <w:szCs w:val="24"/>
        </w:rPr>
      </w:pPr>
      <w:r>
        <w:rPr>
          <w:sz w:val="24"/>
          <w:szCs w:val="24"/>
        </w:rPr>
        <w:t>Nos últimos anos o</w:t>
      </w:r>
      <w:r w:rsidRPr="00F75350">
        <w:rPr>
          <w:sz w:val="24"/>
          <w:szCs w:val="24"/>
        </w:rPr>
        <w:t xml:space="preserve"> crescimento do mercado</w:t>
      </w:r>
      <w:r>
        <w:rPr>
          <w:sz w:val="24"/>
          <w:szCs w:val="24"/>
        </w:rPr>
        <w:t xml:space="preserve"> de ações brasileiro</w:t>
      </w:r>
      <w:r w:rsidRPr="00F75350">
        <w:rPr>
          <w:sz w:val="24"/>
          <w:szCs w:val="24"/>
        </w:rPr>
        <w:t xml:space="preserve">, </w:t>
      </w:r>
      <w:r>
        <w:rPr>
          <w:sz w:val="24"/>
          <w:szCs w:val="24"/>
        </w:rPr>
        <w:t>principalmente</w:t>
      </w:r>
      <w:r w:rsidRPr="00F75350">
        <w:rPr>
          <w:sz w:val="24"/>
          <w:szCs w:val="24"/>
        </w:rPr>
        <w:t xml:space="preserve"> </w:t>
      </w:r>
      <w:r>
        <w:rPr>
          <w:sz w:val="24"/>
          <w:szCs w:val="24"/>
        </w:rPr>
        <w:t xml:space="preserve">durante a primeira década do </w:t>
      </w:r>
      <w:r w:rsidRPr="00F75350">
        <w:rPr>
          <w:sz w:val="24"/>
          <w:szCs w:val="24"/>
        </w:rPr>
        <w:t xml:space="preserve">século XXI, tem </w:t>
      </w:r>
      <w:r>
        <w:rPr>
          <w:sz w:val="24"/>
          <w:szCs w:val="24"/>
        </w:rPr>
        <w:t>chamado</w:t>
      </w:r>
      <w:r w:rsidRPr="00F75350">
        <w:rPr>
          <w:sz w:val="24"/>
          <w:szCs w:val="24"/>
        </w:rPr>
        <w:t xml:space="preserve"> a</w:t>
      </w:r>
      <w:r>
        <w:rPr>
          <w:sz w:val="24"/>
          <w:szCs w:val="24"/>
        </w:rPr>
        <w:t xml:space="preserve"> atenção de diversas empresas e </w:t>
      </w:r>
      <w:r w:rsidRPr="00F75350">
        <w:rPr>
          <w:sz w:val="24"/>
          <w:szCs w:val="24"/>
        </w:rPr>
        <w:t xml:space="preserve">investidores de diferentes </w:t>
      </w:r>
      <w:r>
        <w:rPr>
          <w:sz w:val="24"/>
          <w:szCs w:val="24"/>
        </w:rPr>
        <w:t xml:space="preserve">países. Assim, o Brasil tem sido visto como uma economia emergente se tornado </w:t>
      </w:r>
      <w:r w:rsidRPr="00F75350">
        <w:rPr>
          <w:sz w:val="24"/>
          <w:szCs w:val="24"/>
        </w:rPr>
        <w:t>o destino de grandes inve</w:t>
      </w:r>
      <w:r>
        <w:rPr>
          <w:sz w:val="24"/>
          <w:szCs w:val="24"/>
        </w:rPr>
        <w:t xml:space="preserve">stimentos, o que consequentemente tem alavancado </w:t>
      </w:r>
      <w:r w:rsidRPr="00F75350">
        <w:rPr>
          <w:sz w:val="24"/>
          <w:szCs w:val="24"/>
        </w:rPr>
        <w:t>algumas empresas nacionais ao ce</w:t>
      </w:r>
      <w:r>
        <w:rPr>
          <w:sz w:val="24"/>
          <w:szCs w:val="24"/>
        </w:rPr>
        <w:t xml:space="preserve">nário financeiro internacional. Ademais, isso tem motivado pesquisas </w:t>
      </w:r>
      <w:r w:rsidRPr="00F75350">
        <w:rPr>
          <w:sz w:val="24"/>
          <w:szCs w:val="24"/>
        </w:rPr>
        <w:t>e discussões acerca de negociaç</w:t>
      </w:r>
      <w:r>
        <w:rPr>
          <w:sz w:val="24"/>
          <w:szCs w:val="24"/>
        </w:rPr>
        <w:t xml:space="preserve">ões com informação privilegiada </w:t>
      </w:r>
      <w:r w:rsidRPr="00F75350">
        <w:rPr>
          <w:sz w:val="24"/>
          <w:szCs w:val="24"/>
        </w:rPr>
        <w:t>no mercado aci</w:t>
      </w:r>
      <w:r>
        <w:rPr>
          <w:sz w:val="24"/>
          <w:szCs w:val="24"/>
        </w:rPr>
        <w:t>onário nacional, provocadas por conflitos de agência entre executivos e investidores (Martins &amp; Paulo, 2014).</w:t>
      </w:r>
    </w:p>
    <w:p w14:paraId="067608DD" w14:textId="77777777" w:rsidR="008B283A" w:rsidRPr="00AA65FC" w:rsidRDefault="008B283A" w:rsidP="006448DB">
      <w:pPr>
        <w:ind w:firstLine="720"/>
        <w:jc w:val="both"/>
        <w:rPr>
          <w:sz w:val="24"/>
          <w:szCs w:val="24"/>
        </w:rPr>
      </w:pPr>
      <w:r>
        <w:rPr>
          <w:sz w:val="24"/>
          <w:szCs w:val="24"/>
        </w:rPr>
        <w:t>As empresas são</w:t>
      </w:r>
      <w:r w:rsidRPr="00AA65FC">
        <w:rPr>
          <w:sz w:val="24"/>
          <w:szCs w:val="24"/>
        </w:rPr>
        <w:t xml:space="preserve"> conhecidas, por serem compostas por uma pessoa ou por um grupo de pessoas responsáveis pela propriedade e por outro grupo </w:t>
      </w:r>
      <w:r>
        <w:rPr>
          <w:sz w:val="24"/>
          <w:szCs w:val="24"/>
        </w:rPr>
        <w:t xml:space="preserve">de pessoas </w:t>
      </w:r>
      <w:r w:rsidRPr="00AA65FC">
        <w:rPr>
          <w:sz w:val="24"/>
          <w:szCs w:val="24"/>
        </w:rPr>
        <w:t>responsáve</w:t>
      </w:r>
      <w:r>
        <w:rPr>
          <w:sz w:val="24"/>
          <w:szCs w:val="24"/>
        </w:rPr>
        <w:t>is</w:t>
      </w:r>
      <w:r w:rsidRPr="00AA65FC">
        <w:rPr>
          <w:sz w:val="24"/>
          <w:szCs w:val="24"/>
        </w:rPr>
        <w:t xml:space="preserve"> pelo</w:t>
      </w:r>
      <w:r>
        <w:rPr>
          <w:sz w:val="24"/>
          <w:szCs w:val="24"/>
        </w:rPr>
        <w:t xml:space="preserve"> seu</w:t>
      </w:r>
      <w:r w:rsidRPr="00AA65FC">
        <w:rPr>
          <w:sz w:val="24"/>
          <w:szCs w:val="24"/>
        </w:rPr>
        <w:t xml:space="preserve"> controle </w:t>
      </w:r>
      <w:r>
        <w:rPr>
          <w:sz w:val="24"/>
          <w:szCs w:val="24"/>
        </w:rPr>
        <w:t>(Jensen &amp;</w:t>
      </w:r>
      <w:r w:rsidRPr="00AA65FC">
        <w:rPr>
          <w:sz w:val="24"/>
          <w:szCs w:val="24"/>
        </w:rPr>
        <w:t xml:space="preserve"> </w:t>
      </w:r>
      <w:proofErr w:type="spellStart"/>
      <w:r w:rsidRPr="00AA65FC">
        <w:rPr>
          <w:sz w:val="24"/>
          <w:szCs w:val="24"/>
        </w:rPr>
        <w:t>Me</w:t>
      </w:r>
      <w:r>
        <w:rPr>
          <w:sz w:val="24"/>
          <w:szCs w:val="24"/>
        </w:rPr>
        <w:t>ckling</w:t>
      </w:r>
      <w:proofErr w:type="spellEnd"/>
      <w:r>
        <w:rPr>
          <w:sz w:val="24"/>
          <w:szCs w:val="24"/>
        </w:rPr>
        <w:t xml:space="preserve">, </w:t>
      </w:r>
      <w:r w:rsidRPr="00AA65FC">
        <w:rPr>
          <w:sz w:val="24"/>
          <w:szCs w:val="24"/>
        </w:rPr>
        <w:t>1976</w:t>
      </w:r>
      <w:r>
        <w:rPr>
          <w:sz w:val="24"/>
          <w:szCs w:val="24"/>
        </w:rPr>
        <w:t>)</w:t>
      </w:r>
      <w:r w:rsidRPr="00AA65FC">
        <w:rPr>
          <w:sz w:val="24"/>
          <w:szCs w:val="24"/>
        </w:rPr>
        <w:t>. Essa separação</w:t>
      </w:r>
      <w:r>
        <w:rPr>
          <w:sz w:val="24"/>
          <w:szCs w:val="24"/>
        </w:rPr>
        <w:t xml:space="preserve"> </w:t>
      </w:r>
      <w:r w:rsidRPr="00AA65FC">
        <w:rPr>
          <w:sz w:val="24"/>
          <w:szCs w:val="24"/>
        </w:rPr>
        <w:t xml:space="preserve">é percebida pelos autores como causadora de conflitos de agência, ou seja, quando os interesses do grupo de pessoas responsáveis pelo controle (agentes) são diferentes dos interesses do grupo de pessoas responsáveis pela propriedade (principais), assim há um conflito de interesses. </w:t>
      </w:r>
    </w:p>
    <w:p w14:paraId="067608DE" w14:textId="4B44BF66" w:rsidR="008B283A" w:rsidRPr="00251157" w:rsidRDefault="008B283A" w:rsidP="006448DB">
      <w:pPr>
        <w:ind w:firstLine="720"/>
        <w:jc w:val="both"/>
        <w:rPr>
          <w:sz w:val="24"/>
          <w:szCs w:val="24"/>
        </w:rPr>
      </w:pPr>
      <w:r w:rsidRPr="00AA65FC">
        <w:rPr>
          <w:sz w:val="24"/>
          <w:szCs w:val="24"/>
        </w:rPr>
        <w:t>A</w:t>
      </w:r>
      <w:r>
        <w:rPr>
          <w:sz w:val="24"/>
          <w:szCs w:val="24"/>
        </w:rPr>
        <w:t xml:space="preserve"> </w:t>
      </w:r>
      <w:r w:rsidRPr="00AA65FC">
        <w:rPr>
          <w:sz w:val="24"/>
          <w:szCs w:val="24"/>
        </w:rPr>
        <w:t xml:space="preserve">fim de alinhar os interesses entre as relações de agência, o estudo seminal de </w:t>
      </w:r>
      <w:proofErr w:type="spellStart"/>
      <w:r w:rsidRPr="00AA65FC">
        <w:rPr>
          <w:sz w:val="24"/>
          <w:szCs w:val="24"/>
        </w:rPr>
        <w:t>Berle</w:t>
      </w:r>
      <w:proofErr w:type="spellEnd"/>
      <w:r w:rsidRPr="00AA65FC">
        <w:rPr>
          <w:sz w:val="24"/>
          <w:szCs w:val="24"/>
        </w:rPr>
        <w:t xml:space="preserve"> e </w:t>
      </w:r>
      <w:proofErr w:type="spellStart"/>
      <w:r w:rsidRPr="00AA65FC">
        <w:rPr>
          <w:sz w:val="24"/>
          <w:szCs w:val="24"/>
        </w:rPr>
        <w:t>Means</w:t>
      </w:r>
      <w:proofErr w:type="spellEnd"/>
      <w:r w:rsidRPr="00AA65FC">
        <w:rPr>
          <w:sz w:val="24"/>
          <w:szCs w:val="24"/>
        </w:rPr>
        <w:t xml:space="preserve"> (1932) propõem que os principais (sócios, acionistas, investidores) monitorem o comportamento dos agentes (</w:t>
      </w:r>
      <w:r>
        <w:rPr>
          <w:sz w:val="24"/>
          <w:szCs w:val="24"/>
        </w:rPr>
        <w:t>gestores</w:t>
      </w:r>
      <w:r w:rsidRPr="00AA65FC">
        <w:rPr>
          <w:sz w:val="24"/>
          <w:szCs w:val="24"/>
        </w:rPr>
        <w:t xml:space="preserve">). Neste sentido, a governança corporativa ganhou destaque como uma prática corporativa, pois tem a principal função de alinhar os interesses e reduzir a assimetria de informação entre investidores e </w:t>
      </w:r>
      <w:r>
        <w:rPr>
          <w:sz w:val="24"/>
          <w:szCs w:val="24"/>
        </w:rPr>
        <w:t>gestores (</w:t>
      </w:r>
      <w:proofErr w:type="spellStart"/>
      <w:r>
        <w:rPr>
          <w:sz w:val="24"/>
          <w:szCs w:val="24"/>
        </w:rPr>
        <w:t>Shleifer</w:t>
      </w:r>
      <w:proofErr w:type="spellEnd"/>
      <w:r>
        <w:rPr>
          <w:sz w:val="24"/>
          <w:szCs w:val="24"/>
        </w:rPr>
        <w:t xml:space="preserve"> &amp; </w:t>
      </w:r>
      <w:proofErr w:type="spellStart"/>
      <w:r>
        <w:rPr>
          <w:sz w:val="24"/>
          <w:szCs w:val="24"/>
        </w:rPr>
        <w:t>Vishny</w:t>
      </w:r>
      <w:proofErr w:type="spellEnd"/>
      <w:r>
        <w:rPr>
          <w:sz w:val="24"/>
          <w:szCs w:val="24"/>
        </w:rPr>
        <w:t>, 1997).</w:t>
      </w:r>
      <w:r w:rsidRPr="00AA65FC">
        <w:rPr>
          <w:bCs/>
          <w:sz w:val="24"/>
          <w:szCs w:val="24"/>
        </w:rPr>
        <w:t xml:space="preserve"> </w:t>
      </w:r>
    </w:p>
    <w:p w14:paraId="067608DF" w14:textId="77777777" w:rsidR="008B283A" w:rsidRDefault="008B283A" w:rsidP="006448DB">
      <w:pPr>
        <w:ind w:firstLine="720"/>
        <w:jc w:val="both"/>
        <w:rPr>
          <w:bCs/>
          <w:sz w:val="24"/>
          <w:szCs w:val="24"/>
        </w:rPr>
      </w:pPr>
      <w:r w:rsidRPr="00AA65FC">
        <w:rPr>
          <w:bCs/>
          <w:sz w:val="24"/>
          <w:szCs w:val="24"/>
        </w:rPr>
        <w:t>Em âmbito empresarial, a assimetria de informação acontece quando os executivos</w:t>
      </w:r>
      <w:r>
        <w:rPr>
          <w:bCs/>
          <w:sz w:val="24"/>
          <w:szCs w:val="24"/>
        </w:rPr>
        <w:t xml:space="preserve"> ou gestores</w:t>
      </w:r>
      <w:r w:rsidRPr="00AA65FC">
        <w:rPr>
          <w:bCs/>
          <w:sz w:val="24"/>
          <w:szCs w:val="24"/>
        </w:rPr>
        <w:t xml:space="preserve"> possuem informações privadas e privilegiadas sobre o potencial econômico da empresa, enquanto que os investidores podem possuir informações relativamente vagas e limitadas (</w:t>
      </w:r>
      <w:proofErr w:type="spellStart"/>
      <w:r w:rsidRPr="00AA65FC">
        <w:rPr>
          <w:bCs/>
          <w:sz w:val="24"/>
          <w:szCs w:val="24"/>
        </w:rPr>
        <w:t>Han</w:t>
      </w:r>
      <w:proofErr w:type="spellEnd"/>
      <w:r w:rsidRPr="00AA65FC">
        <w:rPr>
          <w:bCs/>
          <w:sz w:val="24"/>
          <w:szCs w:val="24"/>
        </w:rPr>
        <w:t>,</w:t>
      </w:r>
      <w:r>
        <w:rPr>
          <w:bCs/>
          <w:sz w:val="24"/>
          <w:szCs w:val="24"/>
        </w:rPr>
        <w:t xml:space="preserve"> Kim, Lee &amp; Lee,</w:t>
      </w:r>
      <w:r w:rsidRPr="00AA65FC">
        <w:rPr>
          <w:bCs/>
          <w:sz w:val="24"/>
          <w:szCs w:val="24"/>
        </w:rPr>
        <w:t xml:space="preserve"> 2014). Diante disso, algumas pesquisas buscaram definir mecanismos que possivelmente auxiliariam na diminuição da assimetria de informação.</w:t>
      </w:r>
    </w:p>
    <w:p w14:paraId="067608E0" w14:textId="6E50732D" w:rsidR="008B283A" w:rsidRPr="00AA65FC" w:rsidRDefault="008B283A" w:rsidP="006448DB">
      <w:pPr>
        <w:ind w:firstLine="720"/>
        <w:jc w:val="both"/>
        <w:rPr>
          <w:bCs/>
          <w:sz w:val="24"/>
          <w:szCs w:val="24"/>
        </w:rPr>
      </w:pPr>
      <w:r w:rsidRPr="00AA65FC">
        <w:rPr>
          <w:bCs/>
          <w:sz w:val="24"/>
          <w:szCs w:val="24"/>
        </w:rPr>
        <w:t xml:space="preserve">De acordo com </w:t>
      </w:r>
      <w:proofErr w:type="spellStart"/>
      <w:r w:rsidRPr="00AA65FC">
        <w:rPr>
          <w:bCs/>
          <w:sz w:val="24"/>
          <w:szCs w:val="24"/>
        </w:rPr>
        <w:t>Kanagaretnam</w:t>
      </w:r>
      <w:proofErr w:type="spellEnd"/>
      <w:r w:rsidRPr="00AA65FC">
        <w:rPr>
          <w:bCs/>
          <w:sz w:val="24"/>
          <w:szCs w:val="24"/>
        </w:rPr>
        <w:t xml:space="preserve">, Lobo e </w:t>
      </w:r>
      <w:proofErr w:type="spellStart"/>
      <w:r w:rsidRPr="00AA65FC">
        <w:rPr>
          <w:bCs/>
          <w:sz w:val="24"/>
          <w:szCs w:val="24"/>
        </w:rPr>
        <w:t>Whalen</w:t>
      </w:r>
      <w:proofErr w:type="spellEnd"/>
      <w:r w:rsidRPr="00AA65FC">
        <w:rPr>
          <w:bCs/>
          <w:sz w:val="24"/>
          <w:szCs w:val="24"/>
        </w:rPr>
        <w:t xml:space="preserve"> (2007), empresas que possuem conselhos mais eficazes podem gerar maior qualidade e quantidade de informações em seus relatórios, contribuindo assim, para a redução da assimetria da informação entre</w:t>
      </w:r>
      <w:r>
        <w:rPr>
          <w:bCs/>
          <w:sz w:val="24"/>
          <w:szCs w:val="24"/>
        </w:rPr>
        <w:t xml:space="preserve"> gestores</w:t>
      </w:r>
      <w:r w:rsidRPr="00AA65FC">
        <w:rPr>
          <w:bCs/>
          <w:sz w:val="24"/>
          <w:szCs w:val="24"/>
        </w:rPr>
        <w:t xml:space="preserve"> e investidores. </w:t>
      </w:r>
      <w:r>
        <w:rPr>
          <w:bCs/>
          <w:sz w:val="24"/>
          <w:szCs w:val="24"/>
        </w:rPr>
        <w:t>Ainda segundo os autores, é p</w:t>
      </w:r>
      <w:r w:rsidRPr="00AA65FC">
        <w:rPr>
          <w:bCs/>
          <w:sz w:val="24"/>
          <w:szCs w:val="24"/>
        </w:rPr>
        <w:t>or isso, tem-se que mecanismos de governança corporativa, como por exemplo, o conselho de administração e o comitê de auditoria</w:t>
      </w:r>
      <w:r w:rsidR="001C29E3">
        <w:rPr>
          <w:bCs/>
          <w:sz w:val="24"/>
          <w:szCs w:val="24"/>
        </w:rPr>
        <w:t xml:space="preserve"> (CA)</w:t>
      </w:r>
      <w:r w:rsidRPr="00AA65FC">
        <w:rPr>
          <w:bCs/>
          <w:sz w:val="24"/>
          <w:szCs w:val="24"/>
        </w:rPr>
        <w:t>, são capazes de minimizar a assimetria de informação exist</w:t>
      </w:r>
      <w:r>
        <w:rPr>
          <w:bCs/>
          <w:sz w:val="24"/>
          <w:szCs w:val="24"/>
        </w:rPr>
        <w:t>ente entre o agente e principal.</w:t>
      </w:r>
    </w:p>
    <w:p w14:paraId="067608E1" w14:textId="3BC2A44C" w:rsidR="008B283A" w:rsidRPr="00AA65FC" w:rsidRDefault="008B283A" w:rsidP="00820D75">
      <w:pPr>
        <w:ind w:firstLine="708"/>
        <w:jc w:val="both"/>
        <w:rPr>
          <w:sz w:val="24"/>
          <w:szCs w:val="24"/>
        </w:rPr>
      </w:pPr>
      <w:r w:rsidRPr="00AA65FC">
        <w:rPr>
          <w:sz w:val="24"/>
          <w:szCs w:val="24"/>
        </w:rPr>
        <w:t xml:space="preserve">O </w:t>
      </w:r>
      <w:r w:rsidR="001C29E3">
        <w:rPr>
          <w:sz w:val="24"/>
          <w:szCs w:val="24"/>
        </w:rPr>
        <w:t>CA</w:t>
      </w:r>
      <w:r w:rsidRPr="00AA65FC">
        <w:rPr>
          <w:sz w:val="24"/>
          <w:szCs w:val="24"/>
        </w:rPr>
        <w:t xml:space="preserve"> é formado por membros do conselho de administração, que agem em nome deste, afim de supervisionar a gestão dos processos internos, assim como assegurar a integridade e efetividade dos controles internos para a produção dos relatórios financeiros, com o intuito de proteger os investidores e as partes interessadas (IBGC, 2009).</w:t>
      </w:r>
    </w:p>
    <w:p w14:paraId="067608E2" w14:textId="20C73386" w:rsidR="008B283A" w:rsidRPr="00AA65FC" w:rsidRDefault="008B283A" w:rsidP="00CB4AAE">
      <w:pPr>
        <w:ind w:firstLine="708"/>
        <w:jc w:val="both"/>
        <w:rPr>
          <w:sz w:val="24"/>
          <w:szCs w:val="24"/>
        </w:rPr>
      </w:pPr>
      <w:r>
        <w:rPr>
          <w:sz w:val="24"/>
          <w:szCs w:val="24"/>
        </w:rPr>
        <w:t xml:space="preserve">De acordo com </w:t>
      </w:r>
      <w:r w:rsidRPr="00BB58F5">
        <w:rPr>
          <w:sz w:val="24"/>
          <w:szCs w:val="24"/>
        </w:rPr>
        <w:t xml:space="preserve">Álvares, Giacometti e </w:t>
      </w:r>
      <w:proofErr w:type="spellStart"/>
      <w:r w:rsidRPr="00BB58F5">
        <w:rPr>
          <w:sz w:val="24"/>
          <w:szCs w:val="24"/>
        </w:rPr>
        <w:t>Gusso</w:t>
      </w:r>
      <w:proofErr w:type="spellEnd"/>
      <w:r w:rsidRPr="00BB58F5">
        <w:rPr>
          <w:sz w:val="24"/>
          <w:szCs w:val="24"/>
        </w:rPr>
        <w:t xml:space="preserve"> (2008),</w:t>
      </w:r>
      <w:r w:rsidRPr="00AA65FC">
        <w:rPr>
          <w:sz w:val="24"/>
          <w:szCs w:val="24"/>
        </w:rPr>
        <w:t xml:space="preserve"> o </w:t>
      </w:r>
      <w:r w:rsidR="001C29E3">
        <w:rPr>
          <w:sz w:val="24"/>
          <w:szCs w:val="24"/>
        </w:rPr>
        <w:t>CA</w:t>
      </w:r>
      <w:r w:rsidRPr="00AA65FC">
        <w:rPr>
          <w:sz w:val="24"/>
          <w:szCs w:val="24"/>
        </w:rPr>
        <w:t xml:space="preserve"> é visto como um mecanismo de governança corporativa que concede credibilidade aos investidores, que os </w:t>
      </w:r>
      <w:r>
        <w:rPr>
          <w:sz w:val="24"/>
          <w:szCs w:val="24"/>
        </w:rPr>
        <w:t>gestores</w:t>
      </w:r>
      <w:r w:rsidRPr="00AA65FC">
        <w:rPr>
          <w:sz w:val="24"/>
          <w:szCs w:val="24"/>
        </w:rPr>
        <w:t xml:space="preserve"> estão atendendo de forma ampla e confiável as suas funções e agindo em prol da empresa como um todo. Entretanto, para que o </w:t>
      </w:r>
      <w:r w:rsidR="001C29E3">
        <w:rPr>
          <w:sz w:val="24"/>
          <w:szCs w:val="24"/>
        </w:rPr>
        <w:t>CA</w:t>
      </w:r>
      <w:r w:rsidRPr="00AA65FC">
        <w:rPr>
          <w:sz w:val="24"/>
          <w:szCs w:val="24"/>
        </w:rPr>
        <w:t xml:space="preserve"> cumpra de maneira eficaz com sua função de monitoramento</w:t>
      </w:r>
      <w:r>
        <w:rPr>
          <w:sz w:val="24"/>
          <w:szCs w:val="24"/>
        </w:rPr>
        <w:t xml:space="preserve"> e contribua de forma significativa na organização</w:t>
      </w:r>
      <w:r w:rsidRPr="00AA65FC">
        <w:rPr>
          <w:sz w:val="24"/>
          <w:szCs w:val="24"/>
        </w:rPr>
        <w:t xml:space="preserve">, </w:t>
      </w:r>
      <w:r>
        <w:rPr>
          <w:sz w:val="24"/>
          <w:szCs w:val="24"/>
        </w:rPr>
        <w:t>é necessário possuir</w:t>
      </w:r>
      <w:r w:rsidRPr="00AA65FC">
        <w:rPr>
          <w:sz w:val="24"/>
          <w:szCs w:val="24"/>
        </w:rPr>
        <w:t xml:space="preserve"> algumas características conhecidas como características de qualidade, </w:t>
      </w:r>
      <w:r>
        <w:rPr>
          <w:sz w:val="24"/>
          <w:szCs w:val="24"/>
        </w:rPr>
        <w:t>tais como</w:t>
      </w:r>
      <w:r w:rsidRPr="00AA65FC">
        <w:rPr>
          <w:sz w:val="24"/>
          <w:szCs w:val="24"/>
        </w:rPr>
        <w:t xml:space="preserve">, </w:t>
      </w:r>
      <w:r>
        <w:rPr>
          <w:sz w:val="24"/>
          <w:szCs w:val="24"/>
        </w:rPr>
        <w:t>o número de membros do comitê (tamanho) (</w:t>
      </w:r>
      <w:proofErr w:type="spellStart"/>
      <w:r w:rsidRPr="0087694E">
        <w:rPr>
          <w:sz w:val="24"/>
          <w:szCs w:val="24"/>
        </w:rPr>
        <w:t>DeZoort</w:t>
      </w:r>
      <w:proofErr w:type="spellEnd"/>
      <w:r>
        <w:rPr>
          <w:sz w:val="24"/>
          <w:szCs w:val="24"/>
        </w:rPr>
        <w:t xml:space="preserve">, </w:t>
      </w:r>
      <w:proofErr w:type="spellStart"/>
      <w:r>
        <w:rPr>
          <w:sz w:val="24"/>
          <w:szCs w:val="24"/>
          <w:shd w:val="clear" w:color="auto" w:fill="FFFFFF"/>
        </w:rPr>
        <w:t>Hermanson</w:t>
      </w:r>
      <w:proofErr w:type="spellEnd"/>
      <w:r>
        <w:rPr>
          <w:sz w:val="24"/>
          <w:szCs w:val="24"/>
          <w:shd w:val="clear" w:color="auto" w:fill="FFFFFF"/>
        </w:rPr>
        <w:t>,</w:t>
      </w:r>
      <w:r w:rsidRPr="0087694E">
        <w:rPr>
          <w:sz w:val="24"/>
          <w:szCs w:val="24"/>
          <w:shd w:val="clear" w:color="auto" w:fill="FFFFFF"/>
        </w:rPr>
        <w:t xml:space="preserve"> </w:t>
      </w:r>
      <w:r>
        <w:rPr>
          <w:sz w:val="24"/>
          <w:szCs w:val="24"/>
          <w:shd w:val="clear" w:color="auto" w:fill="FFFFFF"/>
        </w:rPr>
        <w:t xml:space="preserve">&amp; </w:t>
      </w:r>
      <w:proofErr w:type="spellStart"/>
      <w:r w:rsidRPr="0087694E">
        <w:rPr>
          <w:sz w:val="24"/>
          <w:szCs w:val="24"/>
          <w:shd w:val="clear" w:color="auto" w:fill="FFFFFF"/>
        </w:rPr>
        <w:t>Archambeault</w:t>
      </w:r>
      <w:proofErr w:type="spellEnd"/>
      <w:r>
        <w:rPr>
          <w:sz w:val="24"/>
          <w:szCs w:val="24"/>
          <w:shd w:val="clear" w:color="auto" w:fill="FFFFFF"/>
        </w:rPr>
        <w:t>,</w:t>
      </w:r>
      <w:r>
        <w:rPr>
          <w:sz w:val="24"/>
          <w:szCs w:val="24"/>
        </w:rPr>
        <w:t xml:space="preserve"> 2002); quantidade de reuniões realizadas (IBG, 2009); membros</w:t>
      </w:r>
      <w:r w:rsidRPr="00AA65FC">
        <w:rPr>
          <w:sz w:val="24"/>
          <w:szCs w:val="24"/>
        </w:rPr>
        <w:t xml:space="preserve"> independente</w:t>
      </w:r>
      <w:r>
        <w:rPr>
          <w:sz w:val="24"/>
          <w:szCs w:val="24"/>
        </w:rPr>
        <w:t>s</w:t>
      </w:r>
      <w:r w:rsidR="00E42097">
        <w:rPr>
          <w:sz w:val="24"/>
          <w:szCs w:val="24"/>
        </w:rPr>
        <w:t xml:space="preserve"> à organização (Klein, 2002</w:t>
      </w:r>
      <w:r>
        <w:rPr>
          <w:sz w:val="24"/>
          <w:szCs w:val="24"/>
        </w:rPr>
        <w:t xml:space="preserve">; IBGC, 2009; </w:t>
      </w:r>
      <w:proofErr w:type="spellStart"/>
      <w:r>
        <w:rPr>
          <w:sz w:val="24"/>
          <w:szCs w:val="24"/>
        </w:rPr>
        <w:t>Lin</w:t>
      </w:r>
      <w:proofErr w:type="spellEnd"/>
      <w:r>
        <w:rPr>
          <w:sz w:val="24"/>
          <w:szCs w:val="24"/>
        </w:rPr>
        <w:t xml:space="preserve">, Li &amp; </w:t>
      </w:r>
      <w:r w:rsidRPr="00EB6B1B">
        <w:rPr>
          <w:sz w:val="24"/>
          <w:szCs w:val="24"/>
          <w:shd w:val="clear" w:color="auto" w:fill="FFFFFF"/>
        </w:rPr>
        <w:t>Yang</w:t>
      </w:r>
      <w:r>
        <w:rPr>
          <w:sz w:val="24"/>
          <w:szCs w:val="24"/>
        </w:rPr>
        <w:t>, 2006</w:t>
      </w:r>
      <w:r w:rsidRPr="00AA65FC">
        <w:rPr>
          <w:sz w:val="24"/>
          <w:szCs w:val="24"/>
        </w:rPr>
        <w:t>) e possuir</w:t>
      </w:r>
      <w:r>
        <w:rPr>
          <w:sz w:val="24"/>
          <w:szCs w:val="24"/>
        </w:rPr>
        <w:t xml:space="preserve"> também</w:t>
      </w:r>
      <w:r w:rsidRPr="00AA65FC">
        <w:rPr>
          <w:sz w:val="24"/>
          <w:szCs w:val="24"/>
        </w:rPr>
        <w:t xml:space="preserve"> membros com </w:t>
      </w:r>
      <w:r w:rsidRPr="00AA65FC">
        <w:rPr>
          <w:i/>
          <w:sz w:val="24"/>
          <w:szCs w:val="24"/>
        </w:rPr>
        <w:t>expertise</w:t>
      </w:r>
      <w:r w:rsidRPr="00AA65FC">
        <w:rPr>
          <w:sz w:val="24"/>
          <w:szCs w:val="24"/>
        </w:rPr>
        <w:t xml:space="preserve"> financeira ou contábil (</w:t>
      </w:r>
      <w:proofErr w:type="spellStart"/>
      <w:r w:rsidRPr="00AA65FC">
        <w:rPr>
          <w:sz w:val="24"/>
          <w:szCs w:val="24"/>
        </w:rPr>
        <w:t>Jirapo</w:t>
      </w:r>
      <w:r>
        <w:rPr>
          <w:sz w:val="24"/>
          <w:szCs w:val="24"/>
        </w:rPr>
        <w:t>r</w:t>
      </w:r>
      <w:r w:rsidRPr="00AA65FC">
        <w:rPr>
          <w:sz w:val="24"/>
          <w:szCs w:val="24"/>
        </w:rPr>
        <w:t>n</w:t>
      </w:r>
      <w:proofErr w:type="spellEnd"/>
      <w:r>
        <w:rPr>
          <w:sz w:val="24"/>
          <w:szCs w:val="24"/>
        </w:rPr>
        <w:t>,</w:t>
      </w:r>
      <w:r w:rsidRPr="00AA65FC">
        <w:rPr>
          <w:sz w:val="24"/>
          <w:szCs w:val="24"/>
        </w:rPr>
        <w:t xml:space="preserve"> </w:t>
      </w:r>
      <w:r w:rsidRPr="0087694E">
        <w:rPr>
          <w:sz w:val="24"/>
          <w:szCs w:val="24"/>
        </w:rPr>
        <w:t>Singh</w:t>
      </w:r>
      <w:r>
        <w:rPr>
          <w:sz w:val="24"/>
          <w:szCs w:val="24"/>
        </w:rPr>
        <w:t xml:space="preserve"> e</w:t>
      </w:r>
      <w:r w:rsidRPr="0087694E">
        <w:rPr>
          <w:sz w:val="24"/>
          <w:szCs w:val="24"/>
        </w:rPr>
        <w:t xml:space="preserve"> Lee</w:t>
      </w:r>
      <w:r w:rsidRPr="00AA65FC">
        <w:rPr>
          <w:sz w:val="24"/>
          <w:szCs w:val="24"/>
        </w:rPr>
        <w:t xml:space="preserve">, 2009; IBGC, 2009). </w:t>
      </w:r>
    </w:p>
    <w:p w14:paraId="7901B9FD" w14:textId="3807DAC1" w:rsidR="006448DB" w:rsidRDefault="008B283A" w:rsidP="00BD2670">
      <w:pPr>
        <w:ind w:firstLine="708"/>
        <w:jc w:val="both"/>
        <w:rPr>
          <w:bCs/>
          <w:sz w:val="24"/>
          <w:szCs w:val="24"/>
        </w:rPr>
      </w:pPr>
      <w:r w:rsidRPr="00001E3D">
        <w:rPr>
          <w:bCs/>
          <w:sz w:val="24"/>
          <w:szCs w:val="24"/>
        </w:rPr>
        <w:lastRenderedPageBreak/>
        <w:t xml:space="preserve">No que concerne à independência dos membros do </w:t>
      </w:r>
      <w:r w:rsidR="001C29E3">
        <w:rPr>
          <w:bCs/>
          <w:sz w:val="24"/>
          <w:szCs w:val="24"/>
        </w:rPr>
        <w:t>CA</w:t>
      </w:r>
      <w:r w:rsidRPr="00001E3D">
        <w:rPr>
          <w:bCs/>
          <w:sz w:val="24"/>
          <w:szCs w:val="24"/>
        </w:rPr>
        <w:t>, o IBGC (2009)</w:t>
      </w:r>
      <w:r>
        <w:rPr>
          <w:bCs/>
          <w:sz w:val="24"/>
          <w:szCs w:val="24"/>
        </w:rPr>
        <w:t xml:space="preserve"> menciona que se</w:t>
      </w:r>
      <w:r w:rsidRPr="00C137B1">
        <w:rPr>
          <w:bCs/>
          <w:sz w:val="24"/>
          <w:szCs w:val="24"/>
        </w:rPr>
        <w:t xml:space="preserve"> refere a capacidade de exercer julgamentos</w:t>
      </w:r>
      <w:r w:rsidRPr="00AA65FC">
        <w:rPr>
          <w:bCs/>
          <w:sz w:val="24"/>
          <w:szCs w:val="24"/>
        </w:rPr>
        <w:t xml:space="preserve"> e é demonstrada na forma como são desempenhadas as funções do comitê. Recomenda-se que o </w:t>
      </w:r>
      <w:r w:rsidR="001C29E3">
        <w:rPr>
          <w:bCs/>
          <w:sz w:val="24"/>
          <w:szCs w:val="24"/>
        </w:rPr>
        <w:t>CA</w:t>
      </w:r>
      <w:r w:rsidRPr="00AA65FC">
        <w:rPr>
          <w:bCs/>
          <w:sz w:val="24"/>
          <w:szCs w:val="24"/>
        </w:rPr>
        <w:t xml:space="preserve"> seja constituído preferencialmente por </w:t>
      </w:r>
      <w:r w:rsidR="00FF12A2">
        <w:rPr>
          <w:bCs/>
          <w:sz w:val="24"/>
          <w:szCs w:val="24"/>
        </w:rPr>
        <w:t xml:space="preserve">membros </w:t>
      </w:r>
      <w:r w:rsidRPr="00AA65FC">
        <w:rPr>
          <w:bCs/>
          <w:sz w:val="24"/>
          <w:szCs w:val="24"/>
        </w:rPr>
        <w:t>independentes ou</w:t>
      </w:r>
      <w:r w:rsidR="00FF12A2">
        <w:rPr>
          <w:bCs/>
          <w:sz w:val="24"/>
          <w:szCs w:val="24"/>
        </w:rPr>
        <w:t xml:space="preserve"> </w:t>
      </w:r>
      <w:r w:rsidRPr="00AA65FC">
        <w:rPr>
          <w:bCs/>
          <w:sz w:val="24"/>
          <w:szCs w:val="24"/>
        </w:rPr>
        <w:t xml:space="preserve">que a sua maioria seja independente. </w:t>
      </w:r>
    </w:p>
    <w:p w14:paraId="067608E3" w14:textId="38EF4F2C" w:rsidR="008B283A" w:rsidRPr="00AA65FC" w:rsidRDefault="00191ACD" w:rsidP="00BD2670">
      <w:pPr>
        <w:ind w:firstLine="708"/>
        <w:jc w:val="both"/>
        <w:rPr>
          <w:bCs/>
          <w:sz w:val="24"/>
          <w:szCs w:val="24"/>
        </w:rPr>
      </w:pPr>
      <w:r>
        <w:rPr>
          <w:bCs/>
          <w:sz w:val="24"/>
          <w:szCs w:val="24"/>
        </w:rPr>
        <w:t>De</w:t>
      </w:r>
      <w:r w:rsidR="008B283A">
        <w:rPr>
          <w:bCs/>
          <w:sz w:val="24"/>
          <w:szCs w:val="24"/>
        </w:rPr>
        <w:t xml:space="preserve"> acordo com </w:t>
      </w:r>
      <w:proofErr w:type="spellStart"/>
      <w:r w:rsidR="008B283A">
        <w:rPr>
          <w:bCs/>
          <w:sz w:val="24"/>
          <w:szCs w:val="24"/>
        </w:rPr>
        <w:t>Méndez</w:t>
      </w:r>
      <w:proofErr w:type="spellEnd"/>
      <w:r w:rsidR="008B283A">
        <w:rPr>
          <w:bCs/>
          <w:sz w:val="24"/>
          <w:szCs w:val="24"/>
        </w:rPr>
        <w:t xml:space="preserve"> e Garcia (2007), </w:t>
      </w:r>
      <w:r>
        <w:rPr>
          <w:bCs/>
          <w:sz w:val="24"/>
          <w:szCs w:val="24"/>
        </w:rPr>
        <w:t xml:space="preserve">a independência </w:t>
      </w:r>
      <w:r w:rsidR="008B283A">
        <w:rPr>
          <w:bCs/>
          <w:sz w:val="24"/>
          <w:szCs w:val="24"/>
        </w:rPr>
        <w:t>significa que os me</w:t>
      </w:r>
      <w:r>
        <w:rPr>
          <w:bCs/>
          <w:sz w:val="24"/>
          <w:szCs w:val="24"/>
        </w:rPr>
        <w:t>mbros</w:t>
      </w:r>
      <w:r w:rsidR="008B283A">
        <w:rPr>
          <w:bCs/>
          <w:sz w:val="24"/>
          <w:szCs w:val="24"/>
        </w:rPr>
        <w:t xml:space="preserve"> </w:t>
      </w:r>
      <w:r w:rsidR="008B283A" w:rsidRPr="00AA65FC">
        <w:rPr>
          <w:bCs/>
          <w:sz w:val="24"/>
          <w:szCs w:val="24"/>
        </w:rPr>
        <w:t>não devem ter um relacionamento trabalhista direto ou indireto com a empresa, não devem ser diretores de empresas que representem ser grandes acionistas</w:t>
      </w:r>
      <w:r w:rsidR="008B283A">
        <w:rPr>
          <w:bCs/>
          <w:sz w:val="24"/>
          <w:szCs w:val="24"/>
        </w:rPr>
        <w:t xml:space="preserve"> na qual ele é membro do comitê</w:t>
      </w:r>
      <w:r w:rsidR="008B283A" w:rsidRPr="00AA65FC">
        <w:rPr>
          <w:bCs/>
          <w:sz w:val="24"/>
          <w:szCs w:val="24"/>
        </w:rPr>
        <w:t>,</w:t>
      </w:r>
      <w:r w:rsidR="008B283A">
        <w:rPr>
          <w:bCs/>
          <w:sz w:val="24"/>
          <w:szCs w:val="24"/>
        </w:rPr>
        <w:t xml:space="preserve"> assim como não ter nenhum outro envolvimento com a empresa que comprometa sua independência.</w:t>
      </w:r>
      <w:r w:rsidR="008B283A" w:rsidRPr="00AA65FC">
        <w:rPr>
          <w:bCs/>
          <w:sz w:val="24"/>
          <w:szCs w:val="24"/>
        </w:rPr>
        <w:t xml:space="preserve"> Já a característica denominada de </w:t>
      </w:r>
      <w:r w:rsidR="008B283A" w:rsidRPr="00AA65FC">
        <w:rPr>
          <w:bCs/>
          <w:i/>
          <w:sz w:val="24"/>
          <w:szCs w:val="24"/>
        </w:rPr>
        <w:t>expertise</w:t>
      </w:r>
      <w:r w:rsidR="008B283A" w:rsidRPr="00AA65FC">
        <w:rPr>
          <w:bCs/>
          <w:sz w:val="24"/>
          <w:szCs w:val="24"/>
        </w:rPr>
        <w:t xml:space="preserve">, refere-se ao conhecimento e experiência que o membro do </w:t>
      </w:r>
      <w:r w:rsidR="00FF12A2">
        <w:rPr>
          <w:bCs/>
          <w:sz w:val="24"/>
          <w:szCs w:val="24"/>
        </w:rPr>
        <w:t>CA</w:t>
      </w:r>
      <w:r w:rsidR="008B283A" w:rsidRPr="00AA65FC">
        <w:rPr>
          <w:bCs/>
          <w:sz w:val="24"/>
          <w:szCs w:val="24"/>
        </w:rPr>
        <w:t xml:space="preserve"> possui em contabilidade, e/ou finanças. Destaca-se que a maioria ou pelo menos um dos membros deva ter tal </w:t>
      </w:r>
      <w:r w:rsidR="008B283A" w:rsidRPr="00AA65FC">
        <w:rPr>
          <w:bCs/>
          <w:i/>
          <w:sz w:val="24"/>
          <w:szCs w:val="24"/>
        </w:rPr>
        <w:t>expertise</w:t>
      </w:r>
      <w:r w:rsidR="008B283A" w:rsidRPr="00AA65FC">
        <w:rPr>
          <w:bCs/>
          <w:sz w:val="24"/>
          <w:szCs w:val="24"/>
        </w:rPr>
        <w:t>.</w:t>
      </w:r>
    </w:p>
    <w:p w14:paraId="067608E4" w14:textId="2C6AC7B5" w:rsidR="008B283A" w:rsidRPr="00AA65FC" w:rsidRDefault="00BD2670" w:rsidP="00BD2670">
      <w:pPr>
        <w:ind w:firstLine="708"/>
        <w:jc w:val="both"/>
        <w:rPr>
          <w:sz w:val="24"/>
          <w:szCs w:val="24"/>
        </w:rPr>
      </w:pPr>
      <w:r>
        <w:rPr>
          <w:sz w:val="24"/>
          <w:szCs w:val="24"/>
        </w:rPr>
        <w:t>Para</w:t>
      </w:r>
      <w:r w:rsidR="008B283A" w:rsidRPr="00AA65FC">
        <w:rPr>
          <w:sz w:val="24"/>
          <w:szCs w:val="24"/>
        </w:rPr>
        <w:t xml:space="preserve"> Cunha</w:t>
      </w:r>
      <w:r w:rsidR="008B283A">
        <w:rPr>
          <w:sz w:val="24"/>
          <w:szCs w:val="24"/>
        </w:rPr>
        <w:t xml:space="preserve">, </w:t>
      </w:r>
      <w:proofErr w:type="spellStart"/>
      <w:r w:rsidR="008B283A">
        <w:rPr>
          <w:sz w:val="24"/>
          <w:szCs w:val="24"/>
        </w:rPr>
        <w:t>Sant’ana</w:t>
      </w:r>
      <w:proofErr w:type="spellEnd"/>
      <w:r w:rsidR="008B283A">
        <w:rPr>
          <w:sz w:val="24"/>
          <w:szCs w:val="24"/>
        </w:rPr>
        <w:t xml:space="preserve">, </w:t>
      </w:r>
      <w:proofErr w:type="spellStart"/>
      <w:r w:rsidR="008B283A">
        <w:rPr>
          <w:sz w:val="24"/>
          <w:szCs w:val="24"/>
        </w:rPr>
        <w:t>Theis</w:t>
      </w:r>
      <w:proofErr w:type="spellEnd"/>
      <w:r w:rsidR="008B283A">
        <w:rPr>
          <w:sz w:val="24"/>
          <w:szCs w:val="24"/>
        </w:rPr>
        <w:t xml:space="preserve"> e </w:t>
      </w:r>
      <w:proofErr w:type="spellStart"/>
      <w:r w:rsidR="008B283A">
        <w:rPr>
          <w:sz w:val="24"/>
          <w:szCs w:val="24"/>
        </w:rPr>
        <w:t>Krespi</w:t>
      </w:r>
      <w:proofErr w:type="spellEnd"/>
      <w:r w:rsidR="00E42097">
        <w:rPr>
          <w:sz w:val="24"/>
          <w:szCs w:val="24"/>
        </w:rPr>
        <w:t xml:space="preserve"> </w:t>
      </w:r>
      <w:r w:rsidR="008B283A" w:rsidRPr="00AA65FC">
        <w:rPr>
          <w:sz w:val="24"/>
          <w:szCs w:val="24"/>
        </w:rPr>
        <w:t xml:space="preserve">(2013), essas diretrizes atribuídas ao </w:t>
      </w:r>
      <w:r w:rsidR="00FF12A2">
        <w:rPr>
          <w:sz w:val="24"/>
          <w:szCs w:val="24"/>
        </w:rPr>
        <w:t>CA</w:t>
      </w:r>
      <w:r w:rsidR="008B283A" w:rsidRPr="00AA65FC">
        <w:rPr>
          <w:sz w:val="24"/>
          <w:szCs w:val="24"/>
        </w:rPr>
        <w:t xml:space="preserve"> associadas </w:t>
      </w:r>
      <w:r w:rsidR="008B283A">
        <w:rPr>
          <w:sz w:val="24"/>
          <w:szCs w:val="24"/>
        </w:rPr>
        <w:t>à</w:t>
      </w:r>
      <w:r w:rsidR="008B283A" w:rsidRPr="00AA65FC">
        <w:rPr>
          <w:sz w:val="24"/>
          <w:szCs w:val="24"/>
        </w:rPr>
        <w:t>s características dos seus componentes auxiliam as organizações a refletirem demonstrações contábeis com maior segurança e qualidade aos seus investidores. Assim, tem-se d</w:t>
      </w:r>
      <w:r w:rsidR="008B283A" w:rsidRPr="00AA65FC">
        <w:rPr>
          <w:bCs/>
          <w:sz w:val="24"/>
          <w:szCs w:val="24"/>
        </w:rPr>
        <w:t xml:space="preserve">iversos estudos que investigaram o </w:t>
      </w:r>
      <w:r w:rsidR="00FF12A2">
        <w:rPr>
          <w:bCs/>
          <w:sz w:val="24"/>
          <w:szCs w:val="24"/>
        </w:rPr>
        <w:t>CA</w:t>
      </w:r>
      <w:r w:rsidR="008B283A" w:rsidRPr="00AA65FC">
        <w:rPr>
          <w:bCs/>
          <w:sz w:val="24"/>
          <w:szCs w:val="24"/>
        </w:rPr>
        <w:t xml:space="preserve"> como forma de prevenir fraudes e otimizar a riqueza dos acionistas</w:t>
      </w:r>
      <w:r w:rsidR="008B283A" w:rsidRPr="00AA65FC">
        <w:rPr>
          <w:sz w:val="24"/>
          <w:szCs w:val="24"/>
        </w:rPr>
        <w:t xml:space="preserve"> (</w:t>
      </w:r>
      <w:proofErr w:type="spellStart"/>
      <w:r w:rsidR="008B283A" w:rsidRPr="00AA65FC">
        <w:rPr>
          <w:sz w:val="24"/>
          <w:szCs w:val="24"/>
        </w:rPr>
        <w:t>Healy</w:t>
      </w:r>
      <w:proofErr w:type="spellEnd"/>
      <w:r w:rsidR="008B283A" w:rsidRPr="00AA65FC">
        <w:rPr>
          <w:sz w:val="24"/>
          <w:szCs w:val="24"/>
        </w:rPr>
        <w:t xml:space="preserve"> &amp; </w:t>
      </w:r>
      <w:proofErr w:type="spellStart"/>
      <w:r w:rsidR="008B283A" w:rsidRPr="00AA65FC">
        <w:rPr>
          <w:sz w:val="24"/>
          <w:szCs w:val="24"/>
        </w:rPr>
        <w:t>Wahlen</w:t>
      </w:r>
      <w:proofErr w:type="spellEnd"/>
      <w:r w:rsidR="008B283A" w:rsidRPr="00AA65FC">
        <w:rPr>
          <w:sz w:val="24"/>
          <w:szCs w:val="24"/>
        </w:rPr>
        <w:t>, 1999</w:t>
      </w:r>
      <w:r w:rsidR="008B283A">
        <w:rPr>
          <w:sz w:val="24"/>
          <w:szCs w:val="24"/>
        </w:rPr>
        <w:t xml:space="preserve">; </w:t>
      </w:r>
      <w:proofErr w:type="spellStart"/>
      <w:r w:rsidR="008B283A">
        <w:rPr>
          <w:sz w:val="24"/>
          <w:szCs w:val="24"/>
        </w:rPr>
        <w:t>Xie</w:t>
      </w:r>
      <w:proofErr w:type="spellEnd"/>
      <w:r w:rsidR="008B283A">
        <w:rPr>
          <w:sz w:val="24"/>
          <w:szCs w:val="24"/>
        </w:rPr>
        <w:t xml:space="preserve">, </w:t>
      </w:r>
      <w:r w:rsidR="008B283A">
        <w:rPr>
          <w:sz w:val="24"/>
          <w:szCs w:val="24"/>
          <w:shd w:val="clear" w:color="auto" w:fill="FFFFFF"/>
        </w:rPr>
        <w:t>e</w:t>
      </w:r>
      <w:r w:rsidR="008B283A" w:rsidRPr="005C1C69">
        <w:rPr>
          <w:sz w:val="24"/>
          <w:szCs w:val="24"/>
          <w:shd w:val="clear" w:color="auto" w:fill="FFFFFF"/>
        </w:rPr>
        <w:t xml:space="preserve"> </w:t>
      </w:r>
      <w:proofErr w:type="spellStart"/>
      <w:r w:rsidR="008B283A" w:rsidRPr="005C1C69">
        <w:rPr>
          <w:sz w:val="24"/>
          <w:szCs w:val="24"/>
          <w:shd w:val="clear" w:color="auto" w:fill="FFFFFF"/>
        </w:rPr>
        <w:t>DaDalt</w:t>
      </w:r>
      <w:proofErr w:type="spellEnd"/>
      <w:r w:rsidR="008B283A" w:rsidRPr="00AA65FC">
        <w:rPr>
          <w:sz w:val="24"/>
          <w:szCs w:val="24"/>
        </w:rPr>
        <w:t xml:space="preserve"> 2003</w:t>
      </w:r>
      <w:r w:rsidR="008B283A">
        <w:rPr>
          <w:sz w:val="24"/>
          <w:szCs w:val="24"/>
        </w:rPr>
        <w:t xml:space="preserve">; </w:t>
      </w:r>
      <w:proofErr w:type="spellStart"/>
      <w:r w:rsidR="008B283A">
        <w:rPr>
          <w:sz w:val="24"/>
          <w:szCs w:val="24"/>
        </w:rPr>
        <w:t>DeFond</w:t>
      </w:r>
      <w:proofErr w:type="spellEnd"/>
      <w:r w:rsidR="008B283A">
        <w:rPr>
          <w:sz w:val="24"/>
          <w:szCs w:val="24"/>
        </w:rPr>
        <w:t xml:space="preserve">, </w:t>
      </w:r>
      <w:proofErr w:type="spellStart"/>
      <w:r w:rsidR="008B283A">
        <w:rPr>
          <w:sz w:val="24"/>
          <w:szCs w:val="24"/>
        </w:rPr>
        <w:t>Han</w:t>
      </w:r>
      <w:proofErr w:type="spellEnd"/>
      <w:r w:rsidR="008B283A">
        <w:rPr>
          <w:sz w:val="24"/>
          <w:szCs w:val="24"/>
        </w:rPr>
        <w:t xml:space="preserve"> e Hu</w:t>
      </w:r>
      <w:r w:rsidR="008B283A" w:rsidRPr="00AA65FC">
        <w:rPr>
          <w:sz w:val="24"/>
          <w:szCs w:val="24"/>
        </w:rPr>
        <w:t xml:space="preserve">, 2005) e </w:t>
      </w:r>
      <w:r w:rsidR="008B283A">
        <w:rPr>
          <w:sz w:val="24"/>
          <w:szCs w:val="24"/>
        </w:rPr>
        <w:t xml:space="preserve">também </w:t>
      </w:r>
      <w:r w:rsidR="008B283A" w:rsidRPr="00AA65FC">
        <w:rPr>
          <w:sz w:val="24"/>
          <w:szCs w:val="24"/>
        </w:rPr>
        <w:t>como</w:t>
      </w:r>
      <w:r w:rsidR="008B283A">
        <w:rPr>
          <w:sz w:val="24"/>
          <w:szCs w:val="24"/>
        </w:rPr>
        <w:t xml:space="preserve"> uma</w:t>
      </w:r>
      <w:r w:rsidR="008B283A" w:rsidRPr="00AA65FC">
        <w:rPr>
          <w:sz w:val="24"/>
          <w:szCs w:val="24"/>
        </w:rPr>
        <w:t xml:space="preserve"> forma de melhorar a qualid</w:t>
      </w:r>
      <w:r w:rsidR="008B283A">
        <w:rPr>
          <w:sz w:val="24"/>
          <w:szCs w:val="24"/>
        </w:rPr>
        <w:t>ade dos relatórios financeiros, ou até</w:t>
      </w:r>
      <w:r w:rsidR="008B283A" w:rsidRPr="00AA65FC">
        <w:rPr>
          <w:sz w:val="24"/>
          <w:szCs w:val="24"/>
        </w:rPr>
        <w:t xml:space="preserve"> diminuir o gerenciamento de resultados (</w:t>
      </w:r>
      <w:proofErr w:type="spellStart"/>
      <w:r w:rsidR="008B283A" w:rsidRPr="00AA65FC">
        <w:rPr>
          <w:sz w:val="24"/>
          <w:szCs w:val="24"/>
        </w:rPr>
        <w:t>Felo</w:t>
      </w:r>
      <w:proofErr w:type="spellEnd"/>
      <w:r w:rsidR="008B283A">
        <w:rPr>
          <w:sz w:val="24"/>
          <w:szCs w:val="24"/>
        </w:rPr>
        <w:t>,</w:t>
      </w:r>
      <w:r w:rsidR="00BB58F5">
        <w:rPr>
          <w:sz w:val="24"/>
          <w:szCs w:val="24"/>
        </w:rPr>
        <w:t xml:space="preserve"> </w:t>
      </w:r>
      <w:proofErr w:type="spellStart"/>
      <w:r w:rsidR="008B283A" w:rsidRPr="00232428">
        <w:rPr>
          <w:sz w:val="24"/>
          <w:szCs w:val="24"/>
          <w:shd w:val="clear" w:color="auto" w:fill="FFFFFF"/>
        </w:rPr>
        <w:t>Krishnamurthy</w:t>
      </w:r>
      <w:proofErr w:type="spellEnd"/>
      <w:r w:rsidR="008B283A" w:rsidRPr="00232428">
        <w:rPr>
          <w:sz w:val="24"/>
          <w:szCs w:val="24"/>
          <w:shd w:val="clear" w:color="auto" w:fill="FFFFFF"/>
        </w:rPr>
        <w:t xml:space="preserve"> e </w:t>
      </w:r>
      <w:proofErr w:type="spellStart"/>
      <w:r w:rsidR="008B283A" w:rsidRPr="00232428">
        <w:rPr>
          <w:sz w:val="24"/>
          <w:szCs w:val="24"/>
          <w:shd w:val="clear" w:color="auto" w:fill="FFFFFF"/>
        </w:rPr>
        <w:t>Solieri</w:t>
      </w:r>
      <w:proofErr w:type="spellEnd"/>
      <w:r w:rsidR="008B283A" w:rsidRPr="00AA65FC">
        <w:rPr>
          <w:sz w:val="24"/>
          <w:szCs w:val="24"/>
        </w:rPr>
        <w:t xml:space="preserve"> 2003; </w:t>
      </w:r>
      <w:proofErr w:type="spellStart"/>
      <w:r w:rsidR="008B283A" w:rsidRPr="00AA65FC">
        <w:rPr>
          <w:sz w:val="24"/>
          <w:szCs w:val="24"/>
        </w:rPr>
        <w:t>Méndez</w:t>
      </w:r>
      <w:proofErr w:type="spellEnd"/>
      <w:r w:rsidR="008B283A" w:rsidRPr="00AA65FC">
        <w:rPr>
          <w:sz w:val="24"/>
          <w:szCs w:val="24"/>
        </w:rPr>
        <w:t xml:space="preserve"> &amp; </w:t>
      </w:r>
      <w:proofErr w:type="spellStart"/>
      <w:r w:rsidR="008B283A" w:rsidRPr="00AA65FC">
        <w:rPr>
          <w:sz w:val="24"/>
          <w:szCs w:val="24"/>
        </w:rPr>
        <w:t>Gárcia</w:t>
      </w:r>
      <w:proofErr w:type="spellEnd"/>
      <w:r w:rsidR="008B283A" w:rsidRPr="00AA65FC">
        <w:rPr>
          <w:sz w:val="24"/>
          <w:szCs w:val="24"/>
        </w:rPr>
        <w:t xml:space="preserve">, 2007; </w:t>
      </w:r>
      <w:proofErr w:type="spellStart"/>
      <w:r w:rsidR="008B283A" w:rsidRPr="00AA65FC">
        <w:rPr>
          <w:sz w:val="24"/>
          <w:szCs w:val="24"/>
        </w:rPr>
        <w:t>Parsa</w:t>
      </w:r>
      <w:proofErr w:type="spellEnd"/>
      <w:r w:rsidR="008B283A">
        <w:rPr>
          <w:sz w:val="24"/>
          <w:szCs w:val="24"/>
        </w:rPr>
        <w:t>,</w:t>
      </w:r>
      <w:r w:rsidR="00BB58F5">
        <w:rPr>
          <w:sz w:val="24"/>
          <w:szCs w:val="24"/>
          <w:shd w:val="clear" w:color="auto" w:fill="FFFFFF"/>
        </w:rPr>
        <w:t xml:space="preserve"> </w:t>
      </w:r>
      <w:proofErr w:type="spellStart"/>
      <w:r w:rsidR="00BB58F5">
        <w:rPr>
          <w:sz w:val="24"/>
          <w:szCs w:val="24"/>
          <w:shd w:val="clear" w:color="auto" w:fill="FFFFFF"/>
        </w:rPr>
        <w:t>Parsa</w:t>
      </w:r>
      <w:proofErr w:type="spellEnd"/>
      <w:r w:rsidR="00BB58F5">
        <w:rPr>
          <w:sz w:val="24"/>
          <w:szCs w:val="24"/>
          <w:shd w:val="clear" w:color="auto" w:fill="FFFFFF"/>
        </w:rPr>
        <w:t xml:space="preserve">, Chong e </w:t>
      </w:r>
      <w:proofErr w:type="spellStart"/>
      <w:r w:rsidR="00BB58F5">
        <w:rPr>
          <w:sz w:val="24"/>
          <w:szCs w:val="24"/>
          <w:shd w:val="clear" w:color="auto" w:fill="FFFFFF"/>
        </w:rPr>
        <w:t>Isimoya</w:t>
      </w:r>
      <w:proofErr w:type="spellEnd"/>
      <w:r w:rsidR="00BB58F5">
        <w:rPr>
          <w:sz w:val="24"/>
          <w:szCs w:val="24"/>
          <w:shd w:val="clear" w:color="auto" w:fill="FFFFFF"/>
        </w:rPr>
        <w:t>,</w:t>
      </w:r>
      <w:r w:rsidR="008B283A" w:rsidRPr="00AA65FC">
        <w:rPr>
          <w:sz w:val="24"/>
          <w:szCs w:val="24"/>
        </w:rPr>
        <w:t xml:space="preserve"> 2007). </w:t>
      </w:r>
    </w:p>
    <w:p w14:paraId="067608E5" w14:textId="77382FB4" w:rsidR="008B283A" w:rsidRPr="00AA65FC" w:rsidRDefault="008B283A" w:rsidP="00BD2670">
      <w:pPr>
        <w:ind w:firstLine="708"/>
        <w:jc w:val="both"/>
        <w:rPr>
          <w:sz w:val="24"/>
          <w:szCs w:val="24"/>
        </w:rPr>
      </w:pPr>
      <w:r>
        <w:rPr>
          <w:sz w:val="24"/>
          <w:szCs w:val="24"/>
        </w:rPr>
        <w:t xml:space="preserve">Entretanto, ainda são escassas as evidências na literatura sobre o </w:t>
      </w:r>
      <w:r w:rsidR="00FF12A2">
        <w:rPr>
          <w:sz w:val="24"/>
          <w:szCs w:val="24"/>
        </w:rPr>
        <w:t>CA</w:t>
      </w:r>
      <w:r>
        <w:rPr>
          <w:sz w:val="24"/>
          <w:szCs w:val="24"/>
        </w:rPr>
        <w:t xml:space="preserve"> como mecanismo de governança corporativa, que possa exercer influência na assimetria informacional</w:t>
      </w:r>
      <w:r w:rsidRPr="00AA65FC">
        <w:rPr>
          <w:sz w:val="24"/>
          <w:szCs w:val="24"/>
        </w:rPr>
        <w:t xml:space="preserve">. Portanto, diante do exposto, apresenta-se a seguinte </w:t>
      </w:r>
      <w:r w:rsidRPr="00232428">
        <w:rPr>
          <w:sz w:val="24"/>
          <w:szCs w:val="24"/>
        </w:rPr>
        <w:t xml:space="preserve">questão de pesquisa: </w:t>
      </w:r>
      <w:r w:rsidRPr="00BD2670">
        <w:rPr>
          <w:sz w:val="24"/>
          <w:szCs w:val="24"/>
        </w:rPr>
        <w:t xml:space="preserve">Qual a influência do </w:t>
      </w:r>
      <w:r w:rsidR="00FF12A2">
        <w:rPr>
          <w:sz w:val="24"/>
          <w:szCs w:val="24"/>
        </w:rPr>
        <w:t>CA</w:t>
      </w:r>
      <w:r w:rsidRPr="00BD2670">
        <w:rPr>
          <w:sz w:val="24"/>
          <w:szCs w:val="24"/>
        </w:rPr>
        <w:t xml:space="preserve"> e de suas características de independência e </w:t>
      </w:r>
      <w:r w:rsidRPr="00BD2670">
        <w:rPr>
          <w:i/>
          <w:sz w:val="24"/>
          <w:szCs w:val="24"/>
        </w:rPr>
        <w:t>expertise</w:t>
      </w:r>
      <w:r w:rsidRPr="00BD2670">
        <w:rPr>
          <w:sz w:val="24"/>
          <w:szCs w:val="24"/>
        </w:rPr>
        <w:t xml:space="preserve"> na assimetria de informação?</w:t>
      </w:r>
      <w:r w:rsidRPr="00F31AF7">
        <w:rPr>
          <w:sz w:val="24"/>
          <w:szCs w:val="24"/>
        </w:rPr>
        <w:t xml:space="preserve"> Por conseguinte, o </w:t>
      </w:r>
      <w:r w:rsidRPr="00232428">
        <w:rPr>
          <w:sz w:val="24"/>
          <w:szCs w:val="24"/>
        </w:rPr>
        <w:t xml:space="preserve">objetivo </w:t>
      </w:r>
      <w:r w:rsidRPr="00F31AF7">
        <w:rPr>
          <w:sz w:val="24"/>
          <w:szCs w:val="24"/>
        </w:rPr>
        <w:t>da pesquisa</w:t>
      </w:r>
      <w:r w:rsidRPr="00AA65FC">
        <w:rPr>
          <w:b/>
          <w:sz w:val="24"/>
          <w:szCs w:val="24"/>
        </w:rPr>
        <w:t xml:space="preserve"> </w:t>
      </w:r>
      <w:r w:rsidRPr="00AA65FC">
        <w:rPr>
          <w:sz w:val="24"/>
          <w:szCs w:val="24"/>
        </w:rPr>
        <w:t xml:space="preserve">é analisar </w:t>
      </w:r>
      <w:r>
        <w:rPr>
          <w:sz w:val="24"/>
          <w:szCs w:val="24"/>
        </w:rPr>
        <w:t xml:space="preserve">a </w:t>
      </w:r>
      <w:r w:rsidRPr="00AA65FC">
        <w:rPr>
          <w:sz w:val="24"/>
          <w:szCs w:val="24"/>
        </w:rPr>
        <w:t xml:space="preserve">influência do </w:t>
      </w:r>
      <w:r w:rsidR="00FF12A2">
        <w:rPr>
          <w:sz w:val="24"/>
          <w:szCs w:val="24"/>
        </w:rPr>
        <w:t>CA</w:t>
      </w:r>
      <w:r w:rsidRPr="00AA65FC">
        <w:rPr>
          <w:sz w:val="24"/>
          <w:szCs w:val="24"/>
        </w:rPr>
        <w:t xml:space="preserve"> e de suas características de independência e </w:t>
      </w:r>
      <w:r w:rsidRPr="00AA65FC">
        <w:rPr>
          <w:i/>
          <w:sz w:val="24"/>
          <w:szCs w:val="24"/>
        </w:rPr>
        <w:t>expertise</w:t>
      </w:r>
      <w:r w:rsidRPr="00AA65FC">
        <w:rPr>
          <w:sz w:val="24"/>
          <w:szCs w:val="24"/>
        </w:rPr>
        <w:t xml:space="preserve"> na assimetria de informação de empresas brasileiras.</w:t>
      </w:r>
    </w:p>
    <w:p w14:paraId="067608E6" w14:textId="57EB3834" w:rsidR="008B283A" w:rsidRPr="00AA65FC" w:rsidRDefault="008B283A" w:rsidP="00BD2670">
      <w:pPr>
        <w:pStyle w:val="Pr-formataoHTML"/>
        <w:shd w:val="clear" w:color="auto" w:fill="FFFFFF"/>
        <w:tabs>
          <w:tab w:val="clear" w:pos="916"/>
          <w:tab w:val="left" w:pos="709"/>
        </w:tabs>
        <w:ind w:firstLine="708"/>
        <w:jc w:val="both"/>
        <w:rPr>
          <w:rFonts w:ascii="Times New Roman" w:hAnsi="Times New Roman" w:cs="Times New Roman"/>
          <w:sz w:val="24"/>
          <w:szCs w:val="24"/>
        </w:rPr>
      </w:pPr>
      <w:r w:rsidRPr="00AA65FC">
        <w:rPr>
          <w:rFonts w:ascii="Times New Roman" w:hAnsi="Times New Roman" w:cs="Times New Roman"/>
          <w:sz w:val="24"/>
          <w:szCs w:val="24"/>
        </w:rPr>
        <w:t xml:space="preserve">A presente pesquisa </w:t>
      </w:r>
      <w:r>
        <w:rPr>
          <w:rFonts w:ascii="Times New Roman" w:hAnsi="Times New Roman" w:cs="Times New Roman"/>
          <w:sz w:val="24"/>
          <w:szCs w:val="24"/>
        </w:rPr>
        <w:t xml:space="preserve">se </w:t>
      </w:r>
      <w:r w:rsidRPr="00AA65FC">
        <w:rPr>
          <w:rFonts w:ascii="Times New Roman" w:hAnsi="Times New Roman" w:cs="Times New Roman"/>
          <w:sz w:val="24"/>
          <w:szCs w:val="24"/>
        </w:rPr>
        <w:t xml:space="preserve">justifica </w:t>
      </w:r>
      <w:r>
        <w:rPr>
          <w:rFonts w:ascii="Times New Roman" w:hAnsi="Times New Roman" w:cs="Times New Roman"/>
          <w:sz w:val="24"/>
          <w:szCs w:val="24"/>
        </w:rPr>
        <w:t xml:space="preserve">ao considerar </w:t>
      </w:r>
      <w:proofErr w:type="spellStart"/>
      <w:r w:rsidRPr="00AA65FC">
        <w:rPr>
          <w:rFonts w:ascii="Times New Roman" w:hAnsi="Times New Roman" w:cs="Times New Roman"/>
          <w:sz w:val="24"/>
          <w:szCs w:val="24"/>
        </w:rPr>
        <w:t>Anglin</w:t>
      </w:r>
      <w:proofErr w:type="spellEnd"/>
      <w:r>
        <w:rPr>
          <w:rFonts w:ascii="Times New Roman" w:hAnsi="Times New Roman" w:cs="Times New Roman"/>
          <w:sz w:val="24"/>
          <w:szCs w:val="24"/>
        </w:rPr>
        <w:t xml:space="preserve">, </w:t>
      </w:r>
      <w:proofErr w:type="spellStart"/>
      <w:r w:rsidRPr="00232428">
        <w:rPr>
          <w:rFonts w:ascii="Times New Roman" w:hAnsi="Times New Roman" w:cs="Times New Roman"/>
          <w:sz w:val="24"/>
          <w:szCs w:val="24"/>
          <w:shd w:val="clear" w:color="auto" w:fill="FFFFFF"/>
        </w:rPr>
        <w:t>Edelstein</w:t>
      </w:r>
      <w:proofErr w:type="spellEnd"/>
      <w:r w:rsidRPr="00232428">
        <w:rPr>
          <w:rFonts w:ascii="Times New Roman" w:hAnsi="Times New Roman" w:cs="Times New Roman"/>
          <w:sz w:val="24"/>
          <w:szCs w:val="24"/>
          <w:shd w:val="clear" w:color="auto" w:fill="FFFFFF"/>
        </w:rPr>
        <w:t xml:space="preserve">, Gao e </w:t>
      </w:r>
      <w:proofErr w:type="spellStart"/>
      <w:r w:rsidRPr="00232428">
        <w:rPr>
          <w:rFonts w:ascii="Times New Roman" w:hAnsi="Times New Roman" w:cs="Times New Roman"/>
          <w:sz w:val="24"/>
          <w:szCs w:val="24"/>
          <w:shd w:val="clear" w:color="auto" w:fill="FFFFFF"/>
        </w:rPr>
        <w:t>Tsang</w:t>
      </w:r>
      <w:proofErr w:type="spellEnd"/>
      <w:r w:rsidRPr="00AA65FC">
        <w:rPr>
          <w:rFonts w:ascii="Times New Roman" w:hAnsi="Times New Roman" w:cs="Times New Roman"/>
          <w:sz w:val="24"/>
          <w:szCs w:val="24"/>
        </w:rPr>
        <w:t xml:space="preserve"> (2011)</w:t>
      </w:r>
      <w:r>
        <w:rPr>
          <w:rFonts w:ascii="Times New Roman" w:hAnsi="Times New Roman" w:cs="Times New Roman"/>
          <w:sz w:val="24"/>
          <w:szCs w:val="24"/>
        </w:rPr>
        <w:t xml:space="preserve"> quando menciona que</w:t>
      </w:r>
      <w:r w:rsidRPr="00AA65FC">
        <w:rPr>
          <w:rFonts w:ascii="Times New Roman" w:hAnsi="Times New Roman" w:cs="Times New Roman"/>
          <w:sz w:val="24"/>
          <w:szCs w:val="24"/>
        </w:rPr>
        <w:t xml:space="preserve"> o contexto de redução da assimetria de informação por órgãos da governança corporativa, beneficia tanto os acionistas por terem seus interesses assegurados, como também para a empresa como um todo, pois possibilita a agregação de recursos externos em decorrência de novos investidores. Nesse sentido, demonstra-se a relevância social em </w:t>
      </w:r>
      <w:r>
        <w:rPr>
          <w:rFonts w:ascii="Times New Roman" w:hAnsi="Times New Roman" w:cs="Times New Roman"/>
          <w:sz w:val="24"/>
          <w:szCs w:val="24"/>
        </w:rPr>
        <w:t>analisar a existência</w:t>
      </w:r>
      <w:r w:rsidRPr="00AA65FC">
        <w:rPr>
          <w:rFonts w:ascii="Times New Roman" w:hAnsi="Times New Roman" w:cs="Times New Roman"/>
          <w:sz w:val="24"/>
          <w:szCs w:val="24"/>
        </w:rPr>
        <w:t xml:space="preserve"> do </w:t>
      </w:r>
      <w:r w:rsidR="00FF12A2">
        <w:rPr>
          <w:rFonts w:ascii="Times New Roman" w:hAnsi="Times New Roman" w:cs="Times New Roman"/>
          <w:sz w:val="24"/>
          <w:szCs w:val="24"/>
        </w:rPr>
        <w:t>CA</w:t>
      </w:r>
      <w:r>
        <w:rPr>
          <w:rFonts w:ascii="Times New Roman" w:hAnsi="Times New Roman" w:cs="Times New Roman"/>
          <w:sz w:val="24"/>
          <w:szCs w:val="24"/>
        </w:rPr>
        <w:t xml:space="preserve"> e as características de independência e </w:t>
      </w:r>
      <w:r w:rsidRPr="00232428">
        <w:rPr>
          <w:rFonts w:ascii="Times New Roman" w:hAnsi="Times New Roman" w:cs="Times New Roman"/>
          <w:i/>
          <w:sz w:val="24"/>
          <w:szCs w:val="24"/>
        </w:rPr>
        <w:t>expertise</w:t>
      </w:r>
      <w:r>
        <w:rPr>
          <w:rFonts w:ascii="Times New Roman" w:hAnsi="Times New Roman" w:cs="Times New Roman"/>
          <w:sz w:val="24"/>
          <w:szCs w:val="24"/>
        </w:rPr>
        <w:t xml:space="preserve">, como fatores que podem minimizar </w:t>
      </w:r>
      <w:r w:rsidRPr="00AA65FC">
        <w:rPr>
          <w:rFonts w:ascii="Times New Roman" w:hAnsi="Times New Roman" w:cs="Times New Roman"/>
          <w:sz w:val="24"/>
          <w:szCs w:val="24"/>
        </w:rPr>
        <w:t xml:space="preserve">a assimetria de informação, contribuindo com a ampliação da literatura e realizando um processo construtivo com base em estudos que já iniciaram a exploração das características do </w:t>
      </w:r>
      <w:r w:rsidR="00FF12A2">
        <w:rPr>
          <w:rFonts w:ascii="Times New Roman" w:hAnsi="Times New Roman" w:cs="Times New Roman"/>
          <w:sz w:val="24"/>
          <w:szCs w:val="24"/>
        </w:rPr>
        <w:t>CA</w:t>
      </w:r>
      <w:r w:rsidRPr="00AA65FC">
        <w:rPr>
          <w:rFonts w:ascii="Times New Roman" w:hAnsi="Times New Roman" w:cs="Times New Roman"/>
          <w:sz w:val="24"/>
          <w:szCs w:val="24"/>
        </w:rPr>
        <w:t xml:space="preserve">. </w:t>
      </w:r>
    </w:p>
    <w:p w14:paraId="067608E7" w14:textId="77777777" w:rsidR="008B283A" w:rsidRPr="00AA65FC" w:rsidRDefault="008B283A" w:rsidP="00820D75">
      <w:pPr>
        <w:jc w:val="both"/>
        <w:rPr>
          <w:b/>
          <w:sz w:val="24"/>
          <w:szCs w:val="24"/>
        </w:rPr>
      </w:pPr>
    </w:p>
    <w:p w14:paraId="067608E8" w14:textId="5DEE0E41" w:rsidR="008B283A" w:rsidRPr="00AA65FC" w:rsidRDefault="008B283A" w:rsidP="00820D75">
      <w:pPr>
        <w:jc w:val="both"/>
        <w:rPr>
          <w:b/>
          <w:sz w:val="24"/>
          <w:szCs w:val="24"/>
        </w:rPr>
      </w:pPr>
      <w:r w:rsidRPr="00AA65FC">
        <w:rPr>
          <w:b/>
          <w:sz w:val="24"/>
          <w:szCs w:val="24"/>
        </w:rPr>
        <w:t xml:space="preserve">2 </w:t>
      </w:r>
      <w:bookmarkStart w:id="0" w:name="OLE_LINK10"/>
      <w:bookmarkStart w:id="1" w:name="OLE_LINK11"/>
      <w:r w:rsidR="00CB4AAE">
        <w:rPr>
          <w:b/>
          <w:sz w:val="24"/>
          <w:szCs w:val="24"/>
        </w:rPr>
        <w:t>Referencial Teórico</w:t>
      </w:r>
    </w:p>
    <w:bookmarkEnd w:id="0"/>
    <w:bookmarkEnd w:id="1"/>
    <w:p w14:paraId="067608E9" w14:textId="77777777" w:rsidR="008B283A" w:rsidRPr="00AA65FC" w:rsidRDefault="008B283A" w:rsidP="00820D75">
      <w:pPr>
        <w:jc w:val="both"/>
        <w:rPr>
          <w:b/>
          <w:sz w:val="24"/>
          <w:szCs w:val="24"/>
        </w:rPr>
      </w:pPr>
      <w:r w:rsidRPr="00AA65FC">
        <w:rPr>
          <w:b/>
          <w:sz w:val="24"/>
          <w:szCs w:val="24"/>
        </w:rPr>
        <w:t>2.1 Comitê de Auditoria</w:t>
      </w:r>
    </w:p>
    <w:p w14:paraId="067608EA" w14:textId="77777777" w:rsidR="008B283A" w:rsidRPr="003B07A1" w:rsidRDefault="008B283A" w:rsidP="00820D75">
      <w:pPr>
        <w:ind w:firstLine="708"/>
        <w:jc w:val="both"/>
        <w:rPr>
          <w:sz w:val="24"/>
          <w:szCs w:val="24"/>
        </w:rPr>
      </w:pPr>
      <w:r w:rsidRPr="000C17D6">
        <w:rPr>
          <w:sz w:val="24"/>
          <w:szCs w:val="24"/>
        </w:rPr>
        <w:t>Nos últimos anos, a governança corporativa tem recebido enorme atenção devido a uma série de falhas de governança de alto nível no início do século. Várias partes, incluindo a imprensa, os acionistas e os reguladores, estão pressionando por uma melhor governança para todas as empresas, tornando também esse assunto um grande foco de estudo para vários pesquisadores (</w:t>
      </w:r>
      <w:r>
        <w:rPr>
          <w:sz w:val="24"/>
          <w:szCs w:val="24"/>
          <w:shd w:val="clear" w:color="auto" w:fill="FFFFFF"/>
        </w:rPr>
        <w:t xml:space="preserve">Cai; Liu &amp; </w:t>
      </w:r>
      <w:proofErr w:type="spellStart"/>
      <w:r>
        <w:rPr>
          <w:sz w:val="24"/>
          <w:szCs w:val="24"/>
          <w:shd w:val="clear" w:color="auto" w:fill="FFFFFF"/>
        </w:rPr>
        <w:t>Qian</w:t>
      </w:r>
      <w:proofErr w:type="spellEnd"/>
      <w:r>
        <w:rPr>
          <w:sz w:val="24"/>
          <w:szCs w:val="24"/>
          <w:shd w:val="clear" w:color="auto" w:fill="FFFFFF"/>
        </w:rPr>
        <w:t>, 2008</w:t>
      </w:r>
      <w:r w:rsidRPr="000C17D6">
        <w:rPr>
          <w:sz w:val="24"/>
          <w:szCs w:val="24"/>
          <w:shd w:val="clear" w:color="auto" w:fill="FFFFFF"/>
        </w:rPr>
        <w:t>)</w:t>
      </w:r>
      <w:r>
        <w:rPr>
          <w:sz w:val="24"/>
          <w:szCs w:val="24"/>
          <w:shd w:val="clear" w:color="auto" w:fill="FFFFFF"/>
        </w:rPr>
        <w:t>.</w:t>
      </w:r>
      <w:r w:rsidRPr="003B07A1">
        <w:rPr>
          <w:sz w:val="24"/>
          <w:szCs w:val="24"/>
        </w:rPr>
        <w:t xml:space="preserve"> </w:t>
      </w:r>
    </w:p>
    <w:p w14:paraId="067608EB" w14:textId="77777777" w:rsidR="008B283A" w:rsidRPr="00AA65FC" w:rsidRDefault="008B283A" w:rsidP="00820D75">
      <w:pPr>
        <w:ind w:firstLine="720"/>
        <w:jc w:val="both"/>
        <w:rPr>
          <w:sz w:val="24"/>
          <w:szCs w:val="24"/>
        </w:rPr>
      </w:pPr>
      <w:r w:rsidRPr="00AA65FC">
        <w:rPr>
          <w:sz w:val="24"/>
          <w:szCs w:val="24"/>
        </w:rPr>
        <w:t>Podem ser encontradas ao redor do mundo inúmeras definições diferentes sobre a governança corporativa (</w:t>
      </w:r>
      <w:proofErr w:type="spellStart"/>
      <w:r w:rsidRPr="00AA65FC">
        <w:rPr>
          <w:sz w:val="24"/>
          <w:szCs w:val="24"/>
        </w:rPr>
        <w:t>Gillan</w:t>
      </w:r>
      <w:proofErr w:type="spellEnd"/>
      <w:r w:rsidRPr="00AA65FC">
        <w:rPr>
          <w:sz w:val="24"/>
          <w:szCs w:val="24"/>
        </w:rPr>
        <w:t>, 2006). Isso ocorre devido a diversos fatores sociais, econômicos e culturais que possam afetar esse mecanismo dentro da organização (La Porta</w:t>
      </w:r>
      <w:r>
        <w:rPr>
          <w:sz w:val="24"/>
          <w:szCs w:val="24"/>
        </w:rPr>
        <w:t xml:space="preserve">, </w:t>
      </w:r>
      <w:r w:rsidRPr="00232428">
        <w:rPr>
          <w:sz w:val="24"/>
          <w:szCs w:val="24"/>
          <w:shd w:val="clear" w:color="auto" w:fill="FFFFFF"/>
        </w:rPr>
        <w:lastRenderedPageBreak/>
        <w:t>Lopez</w:t>
      </w:r>
      <w:r w:rsidRPr="00232428">
        <w:rPr>
          <w:rFonts w:ascii="Cambria Math" w:hAnsi="Cambria Math" w:cs="Cambria Math"/>
          <w:sz w:val="24"/>
          <w:szCs w:val="24"/>
          <w:shd w:val="clear" w:color="auto" w:fill="FFFFFF"/>
        </w:rPr>
        <w:t>‐</w:t>
      </w:r>
      <w:r w:rsidRPr="00232428">
        <w:rPr>
          <w:sz w:val="24"/>
          <w:szCs w:val="24"/>
          <w:shd w:val="clear" w:color="auto" w:fill="FFFFFF"/>
        </w:rPr>
        <w:t>de</w:t>
      </w:r>
      <w:r w:rsidRPr="00232428">
        <w:rPr>
          <w:rFonts w:ascii="Cambria Math" w:hAnsi="Cambria Math" w:cs="Cambria Math"/>
          <w:sz w:val="24"/>
          <w:szCs w:val="24"/>
          <w:shd w:val="clear" w:color="auto" w:fill="FFFFFF"/>
        </w:rPr>
        <w:t>‐</w:t>
      </w:r>
      <w:proofErr w:type="spellStart"/>
      <w:r w:rsidRPr="00232428">
        <w:rPr>
          <w:sz w:val="24"/>
          <w:szCs w:val="24"/>
          <w:shd w:val="clear" w:color="auto" w:fill="FFFFFF"/>
        </w:rPr>
        <w:t>Silanes</w:t>
      </w:r>
      <w:proofErr w:type="spellEnd"/>
      <w:r w:rsidRPr="00232428">
        <w:rPr>
          <w:sz w:val="24"/>
          <w:szCs w:val="24"/>
          <w:shd w:val="clear" w:color="auto" w:fill="FFFFFF"/>
        </w:rPr>
        <w:t xml:space="preserve"> e </w:t>
      </w:r>
      <w:proofErr w:type="spellStart"/>
      <w:r w:rsidRPr="00232428">
        <w:rPr>
          <w:sz w:val="24"/>
          <w:szCs w:val="24"/>
          <w:shd w:val="clear" w:color="auto" w:fill="FFFFFF"/>
        </w:rPr>
        <w:t>Shleifer</w:t>
      </w:r>
      <w:proofErr w:type="spellEnd"/>
      <w:r>
        <w:rPr>
          <w:sz w:val="24"/>
          <w:szCs w:val="24"/>
        </w:rPr>
        <w:t>, 1999</w:t>
      </w:r>
      <w:r w:rsidRPr="00AA65FC">
        <w:rPr>
          <w:sz w:val="24"/>
          <w:szCs w:val="24"/>
        </w:rPr>
        <w:t>). De maneira geral, a governança corporativa pode ser definida como um mecanismo que garante o retorno dos investimentos financeiros, ou ainda como um sistema de leis, regras e fatores que controlam as operações da organização (</w:t>
      </w:r>
      <w:proofErr w:type="spellStart"/>
      <w:r w:rsidRPr="00AA65FC">
        <w:rPr>
          <w:sz w:val="24"/>
          <w:szCs w:val="24"/>
        </w:rPr>
        <w:t>Shleifer</w:t>
      </w:r>
      <w:proofErr w:type="spellEnd"/>
      <w:r w:rsidRPr="00AA65FC">
        <w:rPr>
          <w:sz w:val="24"/>
          <w:szCs w:val="24"/>
        </w:rPr>
        <w:t xml:space="preserve"> &amp; </w:t>
      </w:r>
      <w:proofErr w:type="spellStart"/>
      <w:r w:rsidRPr="00AA65FC">
        <w:rPr>
          <w:sz w:val="24"/>
          <w:szCs w:val="24"/>
        </w:rPr>
        <w:t>Vishny</w:t>
      </w:r>
      <w:proofErr w:type="spellEnd"/>
      <w:r w:rsidRPr="00AA65FC">
        <w:rPr>
          <w:sz w:val="24"/>
          <w:szCs w:val="24"/>
        </w:rPr>
        <w:t xml:space="preserve">, 1997; </w:t>
      </w:r>
      <w:proofErr w:type="spellStart"/>
      <w:r w:rsidRPr="00AA65FC">
        <w:rPr>
          <w:sz w:val="24"/>
          <w:szCs w:val="24"/>
        </w:rPr>
        <w:t>Gillan</w:t>
      </w:r>
      <w:proofErr w:type="spellEnd"/>
      <w:r w:rsidRPr="00AA65FC">
        <w:rPr>
          <w:sz w:val="24"/>
          <w:szCs w:val="24"/>
        </w:rPr>
        <w:t xml:space="preserve"> </w:t>
      </w:r>
      <w:r>
        <w:rPr>
          <w:sz w:val="24"/>
          <w:szCs w:val="24"/>
        </w:rPr>
        <w:t>&amp;</w:t>
      </w:r>
      <w:r w:rsidRPr="00AA65FC">
        <w:rPr>
          <w:sz w:val="24"/>
          <w:szCs w:val="24"/>
        </w:rPr>
        <w:t xml:space="preserve"> </w:t>
      </w:r>
      <w:proofErr w:type="spellStart"/>
      <w:r w:rsidRPr="00AA65FC">
        <w:rPr>
          <w:sz w:val="24"/>
          <w:szCs w:val="24"/>
        </w:rPr>
        <w:t>Starks</w:t>
      </w:r>
      <w:proofErr w:type="spellEnd"/>
      <w:r w:rsidRPr="00AA65FC">
        <w:rPr>
          <w:sz w:val="24"/>
          <w:szCs w:val="24"/>
        </w:rPr>
        <w:t>, 1998).</w:t>
      </w:r>
    </w:p>
    <w:p w14:paraId="067608EC" w14:textId="2BADB859" w:rsidR="008B283A" w:rsidRPr="00AA65FC" w:rsidRDefault="008B283A" w:rsidP="00A735E2">
      <w:pPr>
        <w:ind w:firstLine="709"/>
        <w:jc w:val="both"/>
        <w:rPr>
          <w:sz w:val="24"/>
          <w:szCs w:val="24"/>
        </w:rPr>
      </w:pPr>
      <w:r w:rsidRPr="00AA65FC">
        <w:rPr>
          <w:sz w:val="24"/>
          <w:szCs w:val="24"/>
        </w:rPr>
        <w:t>Cohen,</w:t>
      </w:r>
      <w:r>
        <w:rPr>
          <w:sz w:val="24"/>
          <w:szCs w:val="24"/>
        </w:rPr>
        <w:t xml:space="preserve"> Gaynor,</w:t>
      </w:r>
      <w:r w:rsidRPr="00AA65FC">
        <w:rPr>
          <w:sz w:val="24"/>
          <w:szCs w:val="24"/>
        </w:rPr>
        <w:t xml:space="preserve"> </w:t>
      </w:r>
      <w:proofErr w:type="spellStart"/>
      <w:r w:rsidRPr="00AA65FC">
        <w:rPr>
          <w:sz w:val="24"/>
          <w:szCs w:val="24"/>
        </w:rPr>
        <w:t>Krishnamoorthy</w:t>
      </w:r>
      <w:proofErr w:type="spellEnd"/>
      <w:r w:rsidRPr="00AA65FC">
        <w:rPr>
          <w:sz w:val="24"/>
          <w:szCs w:val="24"/>
        </w:rPr>
        <w:t xml:space="preserve"> e Wright (2007) afirmam que uma das funções mais relevantes da governança corporativa é garantir o processo da informação financeira da empresa. No entanto, ao observar a literatura, </w:t>
      </w:r>
      <w:r>
        <w:rPr>
          <w:sz w:val="24"/>
          <w:szCs w:val="24"/>
        </w:rPr>
        <w:t>verifica-se</w:t>
      </w:r>
      <w:r w:rsidRPr="00AA65FC">
        <w:rPr>
          <w:sz w:val="24"/>
          <w:szCs w:val="24"/>
        </w:rPr>
        <w:t xml:space="preserve"> que inúmeros autores encontraram uma relação entre as fraque</w:t>
      </w:r>
      <w:r>
        <w:rPr>
          <w:sz w:val="24"/>
          <w:szCs w:val="24"/>
        </w:rPr>
        <w:t>zas na governança corporativa e</w:t>
      </w:r>
      <w:r w:rsidRPr="00AA65FC">
        <w:rPr>
          <w:sz w:val="24"/>
          <w:szCs w:val="24"/>
        </w:rPr>
        <w:t xml:space="preserve"> redução da qualidade das demonstrações contábeis, </w:t>
      </w:r>
      <w:r>
        <w:rPr>
          <w:sz w:val="24"/>
          <w:szCs w:val="24"/>
        </w:rPr>
        <w:t xml:space="preserve">desse modo </w:t>
      </w:r>
      <w:r w:rsidRPr="00AA65FC">
        <w:rPr>
          <w:sz w:val="24"/>
          <w:szCs w:val="24"/>
        </w:rPr>
        <w:t>afetando as informações financeiras das organizações (</w:t>
      </w:r>
      <w:proofErr w:type="spellStart"/>
      <w:r w:rsidRPr="00AA65FC">
        <w:rPr>
          <w:sz w:val="24"/>
          <w:szCs w:val="24"/>
        </w:rPr>
        <w:t>Dechow</w:t>
      </w:r>
      <w:proofErr w:type="spellEnd"/>
      <w:r w:rsidRPr="00AA65FC">
        <w:rPr>
          <w:sz w:val="24"/>
          <w:szCs w:val="24"/>
        </w:rPr>
        <w:t xml:space="preserve">; </w:t>
      </w:r>
      <w:proofErr w:type="spellStart"/>
      <w:r w:rsidRPr="00AA65FC">
        <w:rPr>
          <w:sz w:val="24"/>
          <w:szCs w:val="24"/>
        </w:rPr>
        <w:t>Sloan</w:t>
      </w:r>
      <w:proofErr w:type="spellEnd"/>
      <w:r w:rsidRPr="00AA65FC">
        <w:rPr>
          <w:sz w:val="24"/>
          <w:szCs w:val="24"/>
        </w:rPr>
        <w:t xml:space="preserve"> &amp; </w:t>
      </w:r>
      <w:proofErr w:type="spellStart"/>
      <w:r w:rsidRPr="00AA65FC">
        <w:rPr>
          <w:sz w:val="24"/>
          <w:szCs w:val="24"/>
        </w:rPr>
        <w:t>Sweeney</w:t>
      </w:r>
      <w:proofErr w:type="spellEnd"/>
      <w:r w:rsidRPr="00AA65FC">
        <w:rPr>
          <w:sz w:val="24"/>
          <w:szCs w:val="24"/>
        </w:rPr>
        <w:t xml:space="preserve">, 1996; </w:t>
      </w:r>
      <w:proofErr w:type="spellStart"/>
      <w:r w:rsidRPr="00AA65FC">
        <w:rPr>
          <w:sz w:val="24"/>
          <w:szCs w:val="24"/>
        </w:rPr>
        <w:t>Mc</w:t>
      </w:r>
      <w:r>
        <w:rPr>
          <w:sz w:val="24"/>
          <w:szCs w:val="24"/>
        </w:rPr>
        <w:t>M</w:t>
      </w:r>
      <w:r w:rsidRPr="00AA65FC">
        <w:rPr>
          <w:sz w:val="24"/>
          <w:szCs w:val="24"/>
        </w:rPr>
        <w:t>ullen</w:t>
      </w:r>
      <w:proofErr w:type="spellEnd"/>
      <w:r w:rsidRPr="00AA65FC">
        <w:rPr>
          <w:sz w:val="24"/>
          <w:szCs w:val="24"/>
        </w:rPr>
        <w:t xml:space="preserve">, 1996; </w:t>
      </w:r>
      <w:proofErr w:type="spellStart"/>
      <w:r w:rsidRPr="00AA65FC">
        <w:rPr>
          <w:sz w:val="24"/>
          <w:szCs w:val="24"/>
        </w:rPr>
        <w:t>Carcello</w:t>
      </w:r>
      <w:proofErr w:type="spellEnd"/>
      <w:r w:rsidRPr="00AA65FC">
        <w:rPr>
          <w:sz w:val="24"/>
          <w:szCs w:val="24"/>
        </w:rPr>
        <w:t xml:space="preserve"> &amp; </w:t>
      </w:r>
      <w:proofErr w:type="spellStart"/>
      <w:r w:rsidRPr="00AA65FC">
        <w:rPr>
          <w:sz w:val="24"/>
          <w:szCs w:val="24"/>
        </w:rPr>
        <w:t>Neal</w:t>
      </w:r>
      <w:proofErr w:type="spellEnd"/>
      <w:r w:rsidRPr="00AA65FC">
        <w:rPr>
          <w:sz w:val="24"/>
          <w:szCs w:val="24"/>
        </w:rPr>
        <w:t>, 2000; Klein, 2002).</w:t>
      </w:r>
    </w:p>
    <w:p w14:paraId="067608ED" w14:textId="72685C4E" w:rsidR="008B283A" w:rsidRPr="00AA65FC" w:rsidRDefault="008B283A" w:rsidP="00A735E2">
      <w:pPr>
        <w:ind w:firstLine="709"/>
        <w:jc w:val="both"/>
        <w:rPr>
          <w:sz w:val="24"/>
          <w:szCs w:val="24"/>
        </w:rPr>
      </w:pPr>
      <w:r w:rsidRPr="00AA65FC">
        <w:rPr>
          <w:sz w:val="24"/>
          <w:szCs w:val="24"/>
        </w:rPr>
        <w:t xml:space="preserve">Diante disso, percebe-se a necessidade de melhorar os processos de governança corporativa afim de promover também a eficácia dos órgãos a ela ligados, como por exemplo, o </w:t>
      </w:r>
      <w:r w:rsidR="00FF12A2">
        <w:rPr>
          <w:sz w:val="24"/>
          <w:szCs w:val="24"/>
        </w:rPr>
        <w:t>CA</w:t>
      </w:r>
      <w:r w:rsidRPr="00AA65FC">
        <w:rPr>
          <w:sz w:val="24"/>
          <w:szCs w:val="24"/>
        </w:rPr>
        <w:t xml:space="preserve"> (Blue </w:t>
      </w:r>
      <w:proofErr w:type="spellStart"/>
      <w:r w:rsidRPr="00AA65FC">
        <w:rPr>
          <w:sz w:val="24"/>
          <w:szCs w:val="24"/>
        </w:rPr>
        <w:t>Ribbon</w:t>
      </w:r>
      <w:proofErr w:type="spellEnd"/>
      <w:r w:rsidRPr="00AA65FC">
        <w:rPr>
          <w:sz w:val="24"/>
          <w:szCs w:val="24"/>
        </w:rPr>
        <w:t xml:space="preserve"> </w:t>
      </w:r>
      <w:proofErr w:type="spellStart"/>
      <w:r w:rsidRPr="00AA65FC">
        <w:rPr>
          <w:sz w:val="24"/>
          <w:szCs w:val="24"/>
        </w:rPr>
        <w:t>Committee</w:t>
      </w:r>
      <w:proofErr w:type="spellEnd"/>
      <w:r w:rsidRPr="00AA65FC">
        <w:rPr>
          <w:sz w:val="24"/>
          <w:szCs w:val="24"/>
        </w:rPr>
        <w:t xml:space="preserve">, 1999; </w:t>
      </w:r>
      <w:proofErr w:type="spellStart"/>
      <w:r w:rsidRPr="00AA65FC">
        <w:rPr>
          <w:sz w:val="24"/>
          <w:szCs w:val="24"/>
        </w:rPr>
        <w:t>Sarbanes-Oxley</w:t>
      </w:r>
      <w:proofErr w:type="spellEnd"/>
      <w:r w:rsidRPr="00AA65FC">
        <w:rPr>
          <w:sz w:val="24"/>
          <w:szCs w:val="24"/>
        </w:rPr>
        <w:t xml:space="preserve"> </w:t>
      </w:r>
      <w:proofErr w:type="spellStart"/>
      <w:r w:rsidRPr="00AA65FC">
        <w:rPr>
          <w:sz w:val="24"/>
          <w:szCs w:val="24"/>
        </w:rPr>
        <w:t>Act</w:t>
      </w:r>
      <w:proofErr w:type="spellEnd"/>
      <w:r w:rsidRPr="00AA65FC">
        <w:rPr>
          <w:sz w:val="24"/>
          <w:szCs w:val="24"/>
        </w:rPr>
        <w:t xml:space="preserve">, 2002). O </w:t>
      </w:r>
      <w:r w:rsidR="00FF12A2">
        <w:rPr>
          <w:sz w:val="24"/>
          <w:szCs w:val="24"/>
        </w:rPr>
        <w:t>CA</w:t>
      </w:r>
      <w:r w:rsidRPr="00AA65FC">
        <w:rPr>
          <w:sz w:val="24"/>
          <w:szCs w:val="24"/>
        </w:rPr>
        <w:t xml:space="preserve"> é um órgão da governança corporativa, estabelecido e ligado ao conselho de administração, responsável por funções específicas, tais como a supervisão dos relatórios financeiros da empresa (</w:t>
      </w:r>
      <w:proofErr w:type="spellStart"/>
      <w:r w:rsidRPr="00AA65FC">
        <w:rPr>
          <w:sz w:val="24"/>
          <w:szCs w:val="24"/>
        </w:rPr>
        <w:t>Sarbanes-Oxley</w:t>
      </w:r>
      <w:proofErr w:type="spellEnd"/>
      <w:r w:rsidRPr="00AA65FC">
        <w:rPr>
          <w:sz w:val="24"/>
          <w:szCs w:val="24"/>
        </w:rPr>
        <w:t xml:space="preserve"> </w:t>
      </w:r>
      <w:proofErr w:type="spellStart"/>
      <w:r w:rsidRPr="00AA65FC">
        <w:rPr>
          <w:sz w:val="24"/>
          <w:szCs w:val="24"/>
        </w:rPr>
        <w:t>Act</w:t>
      </w:r>
      <w:proofErr w:type="spellEnd"/>
      <w:r w:rsidRPr="00AA65FC">
        <w:rPr>
          <w:sz w:val="24"/>
          <w:szCs w:val="24"/>
        </w:rPr>
        <w:t>, 2002; Santos, 2009).</w:t>
      </w:r>
    </w:p>
    <w:p w14:paraId="067608EE" w14:textId="69A8A180" w:rsidR="008B283A" w:rsidRDefault="008B283A" w:rsidP="00A735E2">
      <w:pPr>
        <w:ind w:firstLine="709"/>
        <w:jc w:val="both"/>
        <w:rPr>
          <w:sz w:val="24"/>
          <w:szCs w:val="24"/>
        </w:rPr>
      </w:pPr>
      <w:r w:rsidRPr="00AA65FC">
        <w:rPr>
          <w:sz w:val="24"/>
          <w:szCs w:val="24"/>
        </w:rPr>
        <w:t xml:space="preserve">De acordo com </w:t>
      </w:r>
      <w:proofErr w:type="spellStart"/>
      <w:r w:rsidRPr="00AA65FC">
        <w:rPr>
          <w:sz w:val="24"/>
          <w:szCs w:val="24"/>
        </w:rPr>
        <w:t>Méndez</w:t>
      </w:r>
      <w:proofErr w:type="spellEnd"/>
      <w:r w:rsidRPr="00AA65FC">
        <w:rPr>
          <w:sz w:val="24"/>
          <w:szCs w:val="24"/>
        </w:rPr>
        <w:t xml:space="preserve"> e Garcia (2007), o </w:t>
      </w:r>
      <w:r w:rsidR="00FF12A2">
        <w:rPr>
          <w:sz w:val="24"/>
          <w:szCs w:val="24"/>
        </w:rPr>
        <w:t>CA</w:t>
      </w:r>
      <w:r w:rsidRPr="00AA65FC">
        <w:rPr>
          <w:sz w:val="24"/>
          <w:szCs w:val="24"/>
        </w:rPr>
        <w:t xml:space="preserve"> pode ser definido como um órgão cujo o principal objetivo é garantir a confiabilidade das informações contábeis emitida pelas empresas. Segundo os autores, sua principal tarefa é avaliar os sistemas de auditoria interna da empresa, para salvaguardar a independência de auditores externos, e ainda supervisionar o controle dos processos de governança corporativa, afim de refletir uma transparência informacional e reduzir conflitos entre acionistas e gerentes. </w:t>
      </w:r>
    </w:p>
    <w:p w14:paraId="067608EF" w14:textId="6A7E37D3" w:rsidR="008B283A" w:rsidRPr="00EB323A" w:rsidRDefault="008B283A" w:rsidP="00A735E2">
      <w:pPr>
        <w:pStyle w:val="SemEspaamento"/>
        <w:ind w:firstLine="709"/>
        <w:rPr>
          <w:rFonts w:cs="Times New Roman"/>
        </w:rPr>
      </w:pPr>
      <w:r w:rsidRPr="00AA65FC">
        <w:rPr>
          <w:rFonts w:cs="Times New Roman"/>
        </w:rPr>
        <w:t xml:space="preserve">De acordo com </w:t>
      </w:r>
      <w:proofErr w:type="spellStart"/>
      <w:r w:rsidRPr="00AA65FC">
        <w:rPr>
          <w:rFonts w:cs="Times New Roman"/>
        </w:rPr>
        <w:t>Han</w:t>
      </w:r>
      <w:proofErr w:type="spellEnd"/>
      <w:r w:rsidRPr="00AA65FC">
        <w:rPr>
          <w:rFonts w:cs="Times New Roman"/>
        </w:rPr>
        <w:t xml:space="preserve"> et al. (2014), o </w:t>
      </w:r>
      <w:r w:rsidR="00FF12A2">
        <w:rPr>
          <w:rFonts w:cs="Times New Roman"/>
        </w:rPr>
        <w:t>CA</w:t>
      </w:r>
      <w:r w:rsidRPr="00AA65FC">
        <w:rPr>
          <w:rFonts w:cs="Times New Roman"/>
        </w:rPr>
        <w:t xml:space="preserve"> é percebido como um mecanismo de governanç</w:t>
      </w:r>
      <w:r>
        <w:rPr>
          <w:rFonts w:cs="Times New Roman"/>
        </w:rPr>
        <w:t xml:space="preserve">a que visa diminuir </w:t>
      </w:r>
      <w:r w:rsidRPr="00AA65FC">
        <w:rPr>
          <w:rFonts w:cs="Times New Roman"/>
        </w:rPr>
        <w:t xml:space="preserve">a assimetria de informação por meio de uma abordagem de monitoramento do comportamento dos </w:t>
      </w:r>
      <w:r>
        <w:rPr>
          <w:rFonts w:cs="Times New Roman"/>
        </w:rPr>
        <w:t>gestore</w:t>
      </w:r>
      <w:r w:rsidRPr="00AA65FC">
        <w:rPr>
          <w:rFonts w:cs="Times New Roman"/>
        </w:rPr>
        <w:t>s. Entretanto, para os autores,</w:t>
      </w:r>
      <w:r>
        <w:rPr>
          <w:rFonts w:cs="Times New Roman"/>
        </w:rPr>
        <w:t xml:space="preserve"> ainda existem</w:t>
      </w:r>
      <w:r w:rsidRPr="00AA65FC">
        <w:rPr>
          <w:rFonts w:cs="Times New Roman"/>
        </w:rPr>
        <w:t xml:space="preserve"> informações “escondidas” pela administração, </w:t>
      </w:r>
      <w:r>
        <w:rPr>
          <w:rFonts w:cs="Times New Roman"/>
        </w:rPr>
        <w:t xml:space="preserve">que </w:t>
      </w:r>
      <w:r w:rsidRPr="00AA65FC">
        <w:rPr>
          <w:rFonts w:cs="Times New Roman"/>
        </w:rPr>
        <w:t xml:space="preserve">nem sempre são facilmente detectadas pelo </w:t>
      </w:r>
      <w:r w:rsidR="00FF12A2">
        <w:rPr>
          <w:rFonts w:cs="Times New Roman"/>
        </w:rPr>
        <w:t>CA</w:t>
      </w:r>
      <w:r w:rsidRPr="00AA65FC">
        <w:rPr>
          <w:rFonts w:cs="Times New Roman"/>
        </w:rPr>
        <w:t xml:space="preserve"> e pelos diretos</w:t>
      </w:r>
      <w:r>
        <w:rPr>
          <w:rFonts w:cs="Times New Roman"/>
        </w:rPr>
        <w:t>, e dessa maneira muitas vezes o comitê não é capaz de diminuir essa assimetria informacional</w:t>
      </w:r>
      <w:r w:rsidRPr="00AA65FC">
        <w:rPr>
          <w:rFonts w:cs="Times New Roman"/>
        </w:rPr>
        <w:t xml:space="preserve">. </w:t>
      </w:r>
    </w:p>
    <w:p w14:paraId="067608F0" w14:textId="6C7EA153" w:rsidR="008B283A" w:rsidRPr="00AA65FC" w:rsidRDefault="008B283A" w:rsidP="00A735E2">
      <w:pPr>
        <w:ind w:firstLine="709"/>
        <w:jc w:val="both"/>
        <w:rPr>
          <w:sz w:val="24"/>
          <w:szCs w:val="24"/>
        </w:rPr>
      </w:pPr>
      <w:r w:rsidRPr="00AA65FC">
        <w:rPr>
          <w:sz w:val="24"/>
          <w:szCs w:val="24"/>
        </w:rPr>
        <w:t>Para executar essas tarefas de forma eficaz,</w:t>
      </w:r>
      <w:r>
        <w:rPr>
          <w:sz w:val="24"/>
          <w:szCs w:val="24"/>
        </w:rPr>
        <w:t xml:space="preserve"> e buscar minimizar a assimetria de informação, o </w:t>
      </w:r>
      <w:r w:rsidR="00FF12A2">
        <w:rPr>
          <w:sz w:val="24"/>
          <w:szCs w:val="24"/>
        </w:rPr>
        <w:t>CA</w:t>
      </w:r>
      <w:r>
        <w:rPr>
          <w:sz w:val="24"/>
          <w:szCs w:val="24"/>
        </w:rPr>
        <w:t xml:space="preserve"> deve monitorar</w:t>
      </w:r>
      <w:r w:rsidRPr="00AA65FC">
        <w:rPr>
          <w:sz w:val="24"/>
          <w:szCs w:val="24"/>
        </w:rPr>
        <w:t xml:space="preserve"> esses relatórios financeiros e</w:t>
      </w:r>
      <w:r>
        <w:rPr>
          <w:sz w:val="24"/>
          <w:szCs w:val="24"/>
        </w:rPr>
        <w:t xml:space="preserve"> os</w:t>
      </w:r>
      <w:r w:rsidRPr="00AA65FC">
        <w:rPr>
          <w:sz w:val="24"/>
          <w:szCs w:val="24"/>
        </w:rPr>
        <w:t xml:space="preserve"> processos de auditoria</w:t>
      </w:r>
      <w:r>
        <w:rPr>
          <w:sz w:val="24"/>
          <w:szCs w:val="24"/>
        </w:rPr>
        <w:t xml:space="preserve"> de forma eficaz e criteriosa</w:t>
      </w:r>
      <w:r w:rsidRPr="00AA65FC">
        <w:rPr>
          <w:sz w:val="24"/>
          <w:szCs w:val="24"/>
        </w:rPr>
        <w:t xml:space="preserve">, </w:t>
      </w:r>
      <w:r>
        <w:rPr>
          <w:sz w:val="24"/>
          <w:szCs w:val="24"/>
        </w:rPr>
        <w:t>trazendo a luz informações que muitas vezes podem estar sendo “omitidas”, reduzindo</w:t>
      </w:r>
      <w:r w:rsidRPr="00AA65FC">
        <w:rPr>
          <w:sz w:val="24"/>
          <w:szCs w:val="24"/>
        </w:rPr>
        <w:t xml:space="preserve"> assimetrias de informação entre os agentes internos e externos da empresa e consequentemente, mitiga</w:t>
      </w:r>
      <w:r>
        <w:rPr>
          <w:sz w:val="24"/>
          <w:szCs w:val="24"/>
        </w:rPr>
        <w:t>ndo</w:t>
      </w:r>
      <w:r w:rsidRPr="00AA65FC">
        <w:rPr>
          <w:sz w:val="24"/>
          <w:szCs w:val="24"/>
        </w:rPr>
        <w:t xml:space="preserve"> seus custos de agência (</w:t>
      </w:r>
      <w:proofErr w:type="spellStart"/>
      <w:r w:rsidRPr="00AA65FC">
        <w:rPr>
          <w:sz w:val="24"/>
          <w:szCs w:val="24"/>
        </w:rPr>
        <w:t>Méndez</w:t>
      </w:r>
      <w:proofErr w:type="spellEnd"/>
      <w:r w:rsidRPr="00AA65FC">
        <w:rPr>
          <w:sz w:val="24"/>
          <w:szCs w:val="24"/>
        </w:rPr>
        <w:t xml:space="preserve"> &amp; Garcia, 2007).</w:t>
      </w:r>
    </w:p>
    <w:p w14:paraId="067608F1" w14:textId="2FB3EDC3" w:rsidR="008B283A" w:rsidRPr="00AA65FC" w:rsidRDefault="008B283A" w:rsidP="00A735E2">
      <w:pPr>
        <w:ind w:firstLine="709"/>
        <w:jc w:val="both"/>
        <w:rPr>
          <w:sz w:val="24"/>
          <w:szCs w:val="24"/>
        </w:rPr>
      </w:pPr>
      <w:r w:rsidRPr="00AA65FC">
        <w:rPr>
          <w:sz w:val="24"/>
          <w:szCs w:val="24"/>
        </w:rPr>
        <w:t xml:space="preserve">Como já foi observado, o </w:t>
      </w:r>
      <w:r w:rsidR="00FF12A2">
        <w:rPr>
          <w:sz w:val="24"/>
          <w:szCs w:val="24"/>
        </w:rPr>
        <w:t>CA</w:t>
      </w:r>
      <w:r w:rsidRPr="00AA65FC">
        <w:rPr>
          <w:sz w:val="24"/>
          <w:szCs w:val="24"/>
        </w:rPr>
        <w:t xml:space="preserve"> pode reduzir a assimetria de informação das organizações (</w:t>
      </w:r>
      <w:proofErr w:type="spellStart"/>
      <w:r w:rsidRPr="00AA65FC">
        <w:rPr>
          <w:sz w:val="24"/>
          <w:szCs w:val="24"/>
        </w:rPr>
        <w:t>MCMullen</w:t>
      </w:r>
      <w:proofErr w:type="spellEnd"/>
      <w:r w:rsidRPr="00AA65FC">
        <w:rPr>
          <w:sz w:val="24"/>
          <w:szCs w:val="24"/>
        </w:rPr>
        <w:t>, 1996), protegendo seus investidores (</w:t>
      </w:r>
      <w:proofErr w:type="spellStart"/>
      <w:r w:rsidRPr="00AA65FC">
        <w:rPr>
          <w:sz w:val="24"/>
          <w:szCs w:val="24"/>
        </w:rPr>
        <w:t>M</w:t>
      </w:r>
      <w:r>
        <w:rPr>
          <w:sz w:val="24"/>
          <w:szCs w:val="24"/>
        </w:rPr>
        <w:t>c</w:t>
      </w:r>
      <w:r w:rsidRPr="00AA65FC">
        <w:rPr>
          <w:sz w:val="24"/>
          <w:szCs w:val="24"/>
        </w:rPr>
        <w:t>Daniel</w:t>
      </w:r>
      <w:proofErr w:type="spellEnd"/>
      <w:r>
        <w:rPr>
          <w:sz w:val="24"/>
          <w:szCs w:val="24"/>
        </w:rPr>
        <w:t xml:space="preserve">, </w:t>
      </w:r>
      <w:r w:rsidRPr="00232428">
        <w:rPr>
          <w:sz w:val="24"/>
          <w:szCs w:val="24"/>
        </w:rPr>
        <w:t xml:space="preserve">Martin &amp; </w:t>
      </w:r>
      <w:proofErr w:type="spellStart"/>
      <w:r w:rsidRPr="00232428">
        <w:rPr>
          <w:sz w:val="24"/>
          <w:szCs w:val="24"/>
        </w:rPr>
        <w:t>Maines</w:t>
      </w:r>
      <w:proofErr w:type="spellEnd"/>
      <w:r w:rsidRPr="00232428">
        <w:rPr>
          <w:sz w:val="24"/>
          <w:szCs w:val="24"/>
        </w:rPr>
        <w:t>,</w:t>
      </w:r>
      <w:r w:rsidRPr="00AA65FC">
        <w:rPr>
          <w:sz w:val="24"/>
          <w:szCs w:val="24"/>
        </w:rPr>
        <w:t xml:space="preserve"> 2002) e mantendo a qualidade dos controles e divulgações das informações financeiras (</w:t>
      </w:r>
      <w:proofErr w:type="spellStart"/>
      <w:r w:rsidRPr="00AA65FC">
        <w:rPr>
          <w:sz w:val="24"/>
          <w:szCs w:val="24"/>
        </w:rPr>
        <w:t>Andersson</w:t>
      </w:r>
      <w:proofErr w:type="spellEnd"/>
      <w:r w:rsidRPr="00AA65FC">
        <w:rPr>
          <w:sz w:val="24"/>
          <w:szCs w:val="24"/>
        </w:rPr>
        <w:t xml:space="preserve"> &amp; </w:t>
      </w:r>
      <w:proofErr w:type="spellStart"/>
      <w:r w:rsidRPr="00AA65FC">
        <w:rPr>
          <w:sz w:val="24"/>
          <w:szCs w:val="24"/>
        </w:rPr>
        <w:t>Daoud</w:t>
      </w:r>
      <w:proofErr w:type="spellEnd"/>
      <w:r w:rsidRPr="00AA65FC">
        <w:rPr>
          <w:sz w:val="24"/>
          <w:szCs w:val="24"/>
        </w:rPr>
        <w:t xml:space="preserve">, 2005). </w:t>
      </w:r>
      <w:r w:rsidRPr="00C137B1">
        <w:rPr>
          <w:sz w:val="24"/>
          <w:szCs w:val="24"/>
        </w:rPr>
        <w:t>Porém, no Brasil o IBG</w:t>
      </w:r>
      <w:r>
        <w:rPr>
          <w:sz w:val="24"/>
          <w:szCs w:val="24"/>
        </w:rPr>
        <w:t>C</w:t>
      </w:r>
      <w:r w:rsidRPr="00C137B1">
        <w:rPr>
          <w:sz w:val="24"/>
          <w:szCs w:val="24"/>
        </w:rPr>
        <w:t xml:space="preserve"> apenas </w:t>
      </w:r>
      <w:r>
        <w:rPr>
          <w:sz w:val="24"/>
          <w:szCs w:val="24"/>
        </w:rPr>
        <w:t>r</w:t>
      </w:r>
      <w:r w:rsidRPr="00C137B1">
        <w:rPr>
          <w:sz w:val="24"/>
          <w:szCs w:val="24"/>
        </w:rPr>
        <w:t>ecomenda</w:t>
      </w:r>
      <w:r>
        <w:rPr>
          <w:sz w:val="24"/>
          <w:szCs w:val="24"/>
        </w:rPr>
        <w:t xml:space="preserve"> a instituição do </w:t>
      </w:r>
      <w:r w:rsidR="00FF12A2">
        <w:rPr>
          <w:sz w:val="24"/>
          <w:szCs w:val="24"/>
        </w:rPr>
        <w:t>CA</w:t>
      </w:r>
      <w:r w:rsidRPr="00C137B1">
        <w:rPr>
          <w:sz w:val="24"/>
          <w:szCs w:val="24"/>
        </w:rPr>
        <w:t xml:space="preserve"> para analisar as demonstrações financeiras, promover a supervisão e a responsabilização da ár</w:t>
      </w:r>
      <w:r>
        <w:rPr>
          <w:sz w:val="24"/>
          <w:szCs w:val="24"/>
        </w:rPr>
        <w:t>ea financeira e</w:t>
      </w:r>
      <w:r w:rsidRPr="00C137B1">
        <w:rPr>
          <w:sz w:val="24"/>
          <w:szCs w:val="24"/>
        </w:rPr>
        <w:t xml:space="preserve"> garantir </w:t>
      </w:r>
      <w:r>
        <w:rPr>
          <w:sz w:val="24"/>
          <w:szCs w:val="24"/>
        </w:rPr>
        <w:t xml:space="preserve">a maior confiabilidade das informações. Observa-se assim que, mesmo o </w:t>
      </w:r>
      <w:r w:rsidR="00FF12A2">
        <w:rPr>
          <w:sz w:val="24"/>
          <w:szCs w:val="24"/>
        </w:rPr>
        <w:t>CA</w:t>
      </w:r>
      <w:r>
        <w:rPr>
          <w:sz w:val="24"/>
          <w:szCs w:val="24"/>
        </w:rPr>
        <w:t xml:space="preserve"> sendo um órgão de monitoramento importante para organização e seus acionistas, sua instituição não é algo obrigatório, as empresas podem optar em utilizar o </w:t>
      </w:r>
      <w:r w:rsidR="00FF12A2">
        <w:rPr>
          <w:sz w:val="24"/>
          <w:szCs w:val="24"/>
        </w:rPr>
        <w:t>CA</w:t>
      </w:r>
      <w:r>
        <w:rPr>
          <w:sz w:val="24"/>
          <w:szCs w:val="24"/>
        </w:rPr>
        <w:t xml:space="preserve"> ou não. Diante do exposto </w:t>
      </w:r>
      <w:r w:rsidRPr="00AA65FC">
        <w:rPr>
          <w:sz w:val="24"/>
          <w:szCs w:val="24"/>
        </w:rPr>
        <w:t>tem-se a primeira hipótese de pesquisa.</w:t>
      </w:r>
    </w:p>
    <w:p w14:paraId="067608F2" w14:textId="77777777" w:rsidR="008B283A" w:rsidRPr="00AA65FC" w:rsidRDefault="008B283A" w:rsidP="00820D75">
      <w:pPr>
        <w:ind w:firstLine="708"/>
        <w:jc w:val="both"/>
        <w:rPr>
          <w:sz w:val="24"/>
          <w:szCs w:val="24"/>
        </w:rPr>
      </w:pPr>
    </w:p>
    <w:p w14:paraId="067608F3" w14:textId="77777777" w:rsidR="008B283A" w:rsidRPr="00AA65FC" w:rsidRDefault="008B283A" w:rsidP="00820D75">
      <w:pPr>
        <w:ind w:firstLine="708"/>
        <w:jc w:val="both"/>
        <w:rPr>
          <w:b/>
          <w:i/>
          <w:sz w:val="24"/>
          <w:szCs w:val="24"/>
        </w:rPr>
      </w:pPr>
      <w:r w:rsidRPr="00AA65FC">
        <w:rPr>
          <w:b/>
          <w:sz w:val="24"/>
          <w:szCs w:val="24"/>
        </w:rPr>
        <w:t>H1 –</w:t>
      </w:r>
      <w:r w:rsidRPr="00AA65FC">
        <w:rPr>
          <w:i/>
          <w:sz w:val="24"/>
          <w:szCs w:val="24"/>
        </w:rPr>
        <w:t xml:space="preserve"> A presença de comitê de auditoria em empresas está negativamente relacionada a assimetria da informação.</w:t>
      </w:r>
    </w:p>
    <w:p w14:paraId="067608F4" w14:textId="77777777" w:rsidR="008B283A" w:rsidRPr="00AA65FC" w:rsidRDefault="008B283A" w:rsidP="00820D75">
      <w:pPr>
        <w:ind w:firstLine="708"/>
        <w:jc w:val="both"/>
        <w:rPr>
          <w:sz w:val="24"/>
          <w:szCs w:val="24"/>
        </w:rPr>
      </w:pPr>
    </w:p>
    <w:p w14:paraId="067608F5" w14:textId="1007D58C" w:rsidR="008B283A" w:rsidRDefault="008B283A" w:rsidP="00820D75">
      <w:pPr>
        <w:ind w:firstLine="708"/>
        <w:jc w:val="both"/>
        <w:rPr>
          <w:sz w:val="24"/>
          <w:szCs w:val="24"/>
        </w:rPr>
      </w:pPr>
      <w:r w:rsidRPr="00E876C1">
        <w:rPr>
          <w:sz w:val="24"/>
          <w:szCs w:val="24"/>
        </w:rPr>
        <w:t xml:space="preserve">Deste modo, pretende-se testar empiricamente em contexto brasileiro, se as empresas que possuem um </w:t>
      </w:r>
      <w:r w:rsidR="00FF12A2">
        <w:rPr>
          <w:sz w:val="24"/>
          <w:szCs w:val="24"/>
        </w:rPr>
        <w:t>CA</w:t>
      </w:r>
      <w:r w:rsidRPr="00E876C1">
        <w:rPr>
          <w:sz w:val="24"/>
          <w:szCs w:val="24"/>
        </w:rPr>
        <w:t xml:space="preserve"> como mecanismo de </w:t>
      </w:r>
      <w:r>
        <w:rPr>
          <w:sz w:val="24"/>
          <w:szCs w:val="24"/>
        </w:rPr>
        <w:t>governança corporativa</w:t>
      </w:r>
      <w:r w:rsidRPr="00E876C1">
        <w:rPr>
          <w:sz w:val="24"/>
          <w:szCs w:val="24"/>
        </w:rPr>
        <w:t xml:space="preserve">, tendem a possuir menor assimetria de informação nas negociações entre gestores e investidores. Portanto, tem-se que o monitoramento realizado por esse comitê, busca a melhoria na confiabilidade das informações da empresa, assim como também esclarece algumas informações que muitas vezes as empresas desejam que passem despercebidas. </w:t>
      </w:r>
    </w:p>
    <w:p w14:paraId="067608F6" w14:textId="71FAF3A9" w:rsidR="008B283A" w:rsidRPr="00AA65FC" w:rsidRDefault="008B283A" w:rsidP="00820D75">
      <w:pPr>
        <w:ind w:firstLine="708"/>
        <w:jc w:val="both"/>
        <w:rPr>
          <w:sz w:val="24"/>
          <w:szCs w:val="24"/>
        </w:rPr>
      </w:pPr>
      <w:r w:rsidRPr="00AA65FC">
        <w:rPr>
          <w:sz w:val="24"/>
          <w:szCs w:val="24"/>
        </w:rPr>
        <w:t xml:space="preserve">Todavia, para que o </w:t>
      </w:r>
      <w:r w:rsidR="00FF12A2">
        <w:rPr>
          <w:sz w:val="24"/>
          <w:szCs w:val="24"/>
        </w:rPr>
        <w:t>CA</w:t>
      </w:r>
      <w:r w:rsidRPr="00AA65FC">
        <w:rPr>
          <w:sz w:val="24"/>
          <w:szCs w:val="24"/>
        </w:rPr>
        <w:t xml:space="preserve"> consiga cumprir de maneira mais eficaz com suas obrigações dentro da empresa, é preciso observar algumas de suas características, entre elas a independência e a </w:t>
      </w:r>
      <w:r w:rsidRPr="00AA65FC">
        <w:rPr>
          <w:i/>
          <w:sz w:val="24"/>
          <w:szCs w:val="24"/>
        </w:rPr>
        <w:t>expertise</w:t>
      </w:r>
      <w:r w:rsidRPr="00AA65FC">
        <w:rPr>
          <w:sz w:val="24"/>
          <w:szCs w:val="24"/>
        </w:rPr>
        <w:t xml:space="preserve"> dos membros do comitê, que serão tratadas a seguir.</w:t>
      </w:r>
    </w:p>
    <w:p w14:paraId="067608F7" w14:textId="77777777" w:rsidR="008B283A" w:rsidRPr="00AA65FC" w:rsidRDefault="008B283A" w:rsidP="00820D75">
      <w:pPr>
        <w:jc w:val="both"/>
        <w:rPr>
          <w:b/>
          <w:bCs/>
          <w:sz w:val="24"/>
          <w:szCs w:val="24"/>
        </w:rPr>
      </w:pPr>
    </w:p>
    <w:p w14:paraId="067608F8" w14:textId="49DA9975" w:rsidR="008B283A" w:rsidRPr="00AA65FC" w:rsidRDefault="008B283A" w:rsidP="00820D75">
      <w:pPr>
        <w:jc w:val="both"/>
        <w:rPr>
          <w:b/>
          <w:bCs/>
          <w:sz w:val="24"/>
          <w:szCs w:val="24"/>
        </w:rPr>
      </w:pPr>
      <w:r w:rsidRPr="00AA65FC">
        <w:rPr>
          <w:b/>
          <w:bCs/>
          <w:sz w:val="24"/>
          <w:szCs w:val="24"/>
        </w:rPr>
        <w:t xml:space="preserve">2.2 </w:t>
      </w:r>
      <w:r w:rsidR="00A735E2">
        <w:rPr>
          <w:b/>
          <w:bCs/>
          <w:sz w:val="24"/>
          <w:szCs w:val="24"/>
        </w:rPr>
        <w:t>C</w:t>
      </w:r>
      <w:r w:rsidRPr="00AA65FC">
        <w:rPr>
          <w:b/>
          <w:bCs/>
          <w:sz w:val="24"/>
          <w:szCs w:val="24"/>
        </w:rPr>
        <w:t xml:space="preserve">aracterísticas do </w:t>
      </w:r>
      <w:r w:rsidR="00A735E2">
        <w:rPr>
          <w:b/>
          <w:bCs/>
          <w:sz w:val="24"/>
          <w:szCs w:val="24"/>
        </w:rPr>
        <w:t>C</w:t>
      </w:r>
      <w:r w:rsidRPr="00AA65FC">
        <w:rPr>
          <w:b/>
          <w:bCs/>
          <w:sz w:val="24"/>
          <w:szCs w:val="24"/>
        </w:rPr>
        <w:t xml:space="preserve">omitê de </w:t>
      </w:r>
      <w:r w:rsidR="00A735E2">
        <w:rPr>
          <w:b/>
          <w:bCs/>
          <w:sz w:val="24"/>
          <w:szCs w:val="24"/>
        </w:rPr>
        <w:t>A</w:t>
      </w:r>
      <w:r w:rsidRPr="00AA65FC">
        <w:rPr>
          <w:b/>
          <w:bCs/>
          <w:sz w:val="24"/>
          <w:szCs w:val="24"/>
        </w:rPr>
        <w:t xml:space="preserve">uditoria e a </w:t>
      </w:r>
      <w:r w:rsidR="00A735E2">
        <w:rPr>
          <w:b/>
          <w:bCs/>
          <w:sz w:val="24"/>
          <w:szCs w:val="24"/>
        </w:rPr>
        <w:t>A</w:t>
      </w:r>
      <w:r w:rsidRPr="00AA65FC">
        <w:rPr>
          <w:b/>
          <w:bCs/>
          <w:sz w:val="24"/>
          <w:szCs w:val="24"/>
        </w:rPr>
        <w:t>ssimetria d</w:t>
      </w:r>
      <w:r w:rsidR="00A735E2">
        <w:rPr>
          <w:b/>
          <w:bCs/>
          <w:sz w:val="24"/>
          <w:szCs w:val="24"/>
        </w:rPr>
        <w:t>e</w:t>
      </w:r>
      <w:r w:rsidRPr="00AA65FC">
        <w:rPr>
          <w:b/>
          <w:bCs/>
          <w:sz w:val="24"/>
          <w:szCs w:val="24"/>
        </w:rPr>
        <w:t xml:space="preserve"> </w:t>
      </w:r>
      <w:r w:rsidR="00A735E2">
        <w:rPr>
          <w:b/>
          <w:bCs/>
          <w:sz w:val="24"/>
          <w:szCs w:val="24"/>
        </w:rPr>
        <w:t>I</w:t>
      </w:r>
      <w:r w:rsidRPr="00AA65FC">
        <w:rPr>
          <w:b/>
          <w:bCs/>
          <w:sz w:val="24"/>
          <w:szCs w:val="24"/>
        </w:rPr>
        <w:t>nformação</w:t>
      </w:r>
    </w:p>
    <w:p w14:paraId="067608F9" w14:textId="43BD9655" w:rsidR="008B283A" w:rsidRPr="00AA65FC" w:rsidRDefault="00FF12A2" w:rsidP="00A735E2">
      <w:pPr>
        <w:ind w:firstLine="709"/>
        <w:jc w:val="both"/>
        <w:rPr>
          <w:bCs/>
          <w:sz w:val="24"/>
          <w:szCs w:val="24"/>
        </w:rPr>
      </w:pPr>
      <w:r>
        <w:rPr>
          <w:bCs/>
          <w:sz w:val="24"/>
          <w:szCs w:val="24"/>
        </w:rPr>
        <w:t>O</w:t>
      </w:r>
      <w:r w:rsidR="008B283A" w:rsidRPr="00AA65FC">
        <w:rPr>
          <w:bCs/>
          <w:sz w:val="24"/>
          <w:szCs w:val="24"/>
        </w:rPr>
        <w:t xml:space="preserve"> </w:t>
      </w:r>
      <w:r>
        <w:rPr>
          <w:bCs/>
          <w:sz w:val="24"/>
          <w:szCs w:val="24"/>
        </w:rPr>
        <w:t>CA</w:t>
      </w:r>
      <w:r w:rsidR="008B283A" w:rsidRPr="00AA65FC">
        <w:rPr>
          <w:bCs/>
          <w:sz w:val="24"/>
          <w:szCs w:val="24"/>
        </w:rPr>
        <w:t xml:space="preserve"> foi apenas sugerido como uma prática desejável para as organizações</w:t>
      </w:r>
      <w:r w:rsidR="008B283A">
        <w:rPr>
          <w:bCs/>
          <w:sz w:val="24"/>
          <w:szCs w:val="24"/>
        </w:rPr>
        <w:t>.</w:t>
      </w:r>
      <w:r w:rsidR="008B283A" w:rsidRPr="00AA65FC">
        <w:rPr>
          <w:bCs/>
          <w:sz w:val="24"/>
          <w:szCs w:val="24"/>
        </w:rPr>
        <w:t xml:space="preserve"> No entanto, com o passar do tempo e devido alguns escândalos por fraudes empresariais</w:t>
      </w:r>
      <w:r w:rsidR="008B283A">
        <w:rPr>
          <w:bCs/>
          <w:sz w:val="24"/>
          <w:szCs w:val="24"/>
        </w:rPr>
        <w:t>, em diversos países</w:t>
      </w:r>
      <w:r w:rsidR="008B283A" w:rsidRPr="00AA65FC">
        <w:rPr>
          <w:bCs/>
          <w:sz w:val="24"/>
          <w:szCs w:val="24"/>
        </w:rPr>
        <w:t xml:space="preserve"> a criação deste órgão passou a ser recomendada por órgãos</w:t>
      </w:r>
      <w:r w:rsidR="008B283A">
        <w:rPr>
          <w:bCs/>
          <w:sz w:val="24"/>
          <w:szCs w:val="24"/>
        </w:rPr>
        <w:t xml:space="preserve"> </w:t>
      </w:r>
      <w:r w:rsidR="008B283A" w:rsidRPr="00AA65FC">
        <w:rPr>
          <w:bCs/>
          <w:sz w:val="24"/>
          <w:szCs w:val="24"/>
        </w:rPr>
        <w:t>reguladores de forma compulsória</w:t>
      </w:r>
      <w:r w:rsidR="008B283A">
        <w:rPr>
          <w:bCs/>
          <w:sz w:val="24"/>
          <w:szCs w:val="24"/>
        </w:rPr>
        <w:t xml:space="preserve">. </w:t>
      </w:r>
      <w:r w:rsidR="008B283A" w:rsidRPr="00AA65FC">
        <w:rPr>
          <w:bCs/>
          <w:sz w:val="24"/>
          <w:szCs w:val="24"/>
        </w:rPr>
        <w:t xml:space="preserve">Além da implementação do </w:t>
      </w:r>
      <w:r>
        <w:rPr>
          <w:bCs/>
          <w:sz w:val="24"/>
          <w:szCs w:val="24"/>
        </w:rPr>
        <w:t>CA</w:t>
      </w:r>
      <w:r w:rsidR="008B283A" w:rsidRPr="00AA65FC">
        <w:rPr>
          <w:bCs/>
          <w:sz w:val="24"/>
          <w:szCs w:val="24"/>
        </w:rPr>
        <w:t>, vale destacar que o mesmo deve ser pelo menos, em sua maioria, constituído por membros independentes (Cunha et al. 2013).</w:t>
      </w:r>
    </w:p>
    <w:p w14:paraId="067608FA" w14:textId="65C07635" w:rsidR="008B283A" w:rsidRPr="00AA65FC" w:rsidRDefault="008B283A" w:rsidP="00A735E2">
      <w:pPr>
        <w:ind w:firstLine="709"/>
        <w:jc w:val="both"/>
        <w:rPr>
          <w:bCs/>
          <w:sz w:val="24"/>
          <w:szCs w:val="24"/>
        </w:rPr>
      </w:pPr>
      <w:r w:rsidRPr="00AA65FC">
        <w:rPr>
          <w:bCs/>
          <w:sz w:val="24"/>
          <w:szCs w:val="24"/>
        </w:rPr>
        <w:t xml:space="preserve">Os membros independentes não devem ter um relacionamento trabalhista direto ou indireto com a empresa na qual estão vinculados ao </w:t>
      </w:r>
      <w:r w:rsidR="00FF12A2">
        <w:rPr>
          <w:bCs/>
          <w:sz w:val="24"/>
          <w:szCs w:val="24"/>
        </w:rPr>
        <w:t>CA</w:t>
      </w:r>
      <w:r w:rsidRPr="00AA65FC">
        <w:rPr>
          <w:bCs/>
          <w:sz w:val="24"/>
          <w:szCs w:val="24"/>
        </w:rPr>
        <w:t xml:space="preserve">, não devem ser diretores de empresas que representem ser grandes acionistas, </w:t>
      </w:r>
      <w:r>
        <w:rPr>
          <w:bCs/>
          <w:sz w:val="24"/>
          <w:szCs w:val="24"/>
        </w:rPr>
        <w:t>nem</w:t>
      </w:r>
      <w:r w:rsidRPr="00AA65FC">
        <w:rPr>
          <w:bCs/>
          <w:sz w:val="24"/>
          <w:szCs w:val="24"/>
        </w:rPr>
        <w:t xml:space="preserve"> ter ocupado </w:t>
      </w:r>
      <w:r w:rsidR="002A65E3">
        <w:rPr>
          <w:bCs/>
          <w:sz w:val="24"/>
          <w:szCs w:val="24"/>
        </w:rPr>
        <w:t xml:space="preserve">alguma </w:t>
      </w:r>
      <w:r w:rsidRPr="00AA65FC">
        <w:rPr>
          <w:bCs/>
          <w:sz w:val="24"/>
          <w:szCs w:val="24"/>
        </w:rPr>
        <w:t>posição de importância em qualquer organização que esteja fortemente envolvida com recursos financeiros da atual organização, ou que receba grandes subsídios da mesma, nem devem ter nenhum relacionamento familiar próximo com outros membros do conselho executivo, ou de grandes acionistas, entre outros fatores inclusos em leis e regulamentos (</w:t>
      </w:r>
      <w:proofErr w:type="spellStart"/>
      <w:r w:rsidRPr="00AA65FC">
        <w:rPr>
          <w:bCs/>
          <w:sz w:val="24"/>
          <w:szCs w:val="24"/>
        </w:rPr>
        <w:t>Méndez</w:t>
      </w:r>
      <w:proofErr w:type="spellEnd"/>
      <w:r w:rsidRPr="00AA65FC">
        <w:rPr>
          <w:bCs/>
          <w:sz w:val="24"/>
          <w:szCs w:val="24"/>
        </w:rPr>
        <w:t xml:space="preserve"> &amp; Garcia, 2007).</w:t>
      </w:r>
    </w:p>
    <w:p w14:paraId="067608FB" w14:textId="2BA7A8AF" w:rsidR="008B283A" w:rsidRPr="00AA65FC" w:rsidRDefault="008B283A" w:rsidP="00A735E2">
      <w:pPr>
        <w:pStyle w:val="Pr-formataoHTML"/>
        <w:shd w:val="clear" w:color="auto" w:fill="FFFFFF"/>
        <w:ind w:firstLine="709"/>
        <w:jc w:val="both"/>
        <w:rPr>
          <w:rFonts w:ascii="Times New Roman" w:hAnsi="Times New Roman" w:cs="Times New Roman"/>
          <w:sz w:val="24"/>
          <w:szCs w:val="24"/>
          <w:lang w:val="pt-PT"/>
        </w:rPr>
      </w:pPr>
      <w:r w:rsidRPr="00AA65FC">
        <w:rPr>
          <w:rFonts w:ascii="Times New Roman" w:hAnsi="Times New Roman" w:cs="Times New Roman"/>
          <w:sz w:val="24"/>
          <w:szCs w:val="24"/>
          <w:lang w:val="pt-PT"/>
        </w:rPr>
        <w:t xml:space="preserve">Percebe-se que alguns relatórios como </w:t>
      </w:r>
      <w:r w:rsidRPr="00AA65FC">
        <w:rPr>
          <w:rFonts w:ascii="Times New Roman" w:hAnsi="Times New Roman" w:cs="Times New Roman"/>
          <w:i/>
          <w:sz w:val="24"/>
          <w:szCs w:val="24"/>
          <w:lang w:val="pt-PT"/>
        </w:rPr>
        <w:t>Cadbury Report</w:t>
      </w:r>
      <w:r w:rsidRPr="00AA65FC">
        <w:rPr>
          <w:rFonts w:ascii="Times New Roman" w:hAnsi="Times New Roman" w:cs="Times New Roman"/>
          <w:sz w:val="24"/>
          <w:szCs w:val="24"/>
          <w:lang w:val="pt-PT"/>
        </w:rPr>
        <w:t xml:space="preserve"> (1992) e o </w:t>
      </w:r>
      <w:r w:rsidRPr="00AA65FC">
        <w:rPr>
          <w:rFonts w:ascii="Times New Roman" w:hAnsi="Times New Roman" w:cs="Times New Roman"/>
          <w:i/>
          <w:sz w:val="24"/>
          <w:szCs w:val="24"/>
          <w:lang w:val="pt-PT"/>
        </w:rPr>
        <w:t>Financial Reporting Council</w:t>
      </w:r>
      <w:r w:rsidRPr="00AA65FC">
        <w:rPr>
          <w:rFonts w:ascii="Times New Roman" w:hAnsi="Times New Roman" w:cs="Times New Roman"/>
          <w:sz w:val="24"/>
          <w:szCs w:val="24"/>
          <w:lang w:val="pt-PT"/>
        </w:rPr>
        <w:t xml:space="preserve"> (2003) não especificam exatamente a proporção requerida de membros independentes para um </w:t>
      </w:r>
      <w:r w:rsidR="00FF12A2">
        <w:rPr>
          <w:rFonts w:ascii="Times New Roman" w:hAnsi="Times New Roman" w:cs="Times New Roman"/>
          <w:sz w:val="24"/>
          <w:szCs w:val="24"/>
          <w:lang w:val="pt-PT"/>
        </w:rPr>
        <w:t>CA</w:t>
      </w:r>
      <w:r w:rsidRPr="00AA65FC">
        <w:rPr>
          <w:rFonts w:ascii="Times New Roman" w:hAnsi="Times New Roman" w:cs="Times New Roman"/>
          <w:sz w:val="24"/>
          <w:szCs w:val="24"/>
          <w:lang w:val="pt-PT"/>
        </w:rPr>
        <w:t>. Porém no estudo realizado por Raghunandan</w:t>
      </w:r>
      <w:r>
        <w:rPr>
          <w:rFonts w:ascii="Times New Roman" w:hAnsi="Times New Roman" w:cs="Times New Roman"/>
          <w:sz w:val="24"/>
          <w:szCs w:val="24"/>
          <w:lang w:val="pt-PT"/>
        </w:rPr>
        <w:t xml:space="preserve">, </w:t>
      </w:r>
      <w:r w:rsidRPr="00232428">
        <w:rPr>
          <w:rFonts w:ascii="Times New Roman" w:hAnsi="Times New Roman" w:cs="Times New Roman"/>
          <w:sz w:val="24"/>
          <w:szCs w:val="24"/>
          <w:shd w:val="clear" w:color="auto" w:fill="FFFFFF"/>
        </w:rPr>
        <w:t xml:space="preserve">Rama e </w:t>
      </w:r>
      <w:proofErr w:type="spellStart"/>
      <w:r w:rsidRPr="00232428">
        <w:rPr>
          <w:rFonts w:ascii="Times New Roman" w:hAnsi="Times New Roman" w:cs="Times New Roman"/>
          <w:sz w:val="24"/>
          <w:szCs w:val="24"/>
          <w:shd w:val="clear" w:color="auto" w:fill="FFFFFF"/>
        </w:rPr>
        <w:t>Read</w:t>
      </w:r>
      <w:proofErr w:type="spellEnd"/>
      <w:r w:rsidRPr="00AA65FC">
        <w:rPr>
          <w:rFonts w:ascii="Times New Roman" w:hAnsi="Times New Roman" w:cs="Times New Roman"/>
          <w:sz w:val="24"/>
          <w:szCs w:val="24"/>
          <w:lang w:val="pt-PT"/>
        </w:rPr>
        <w:t xml:space="preserve"> (2001), os autores afirmam que grandes empresas que contém um </w:t>
      </w:r>
      <w:r w:rsidR="00FF12A2">
        <w:rPr>
          <w:rFonts w:ascii="Times New Roman" w:hAnsi="Times New Roman" w:cs="Times New Roman"/>
          <w:sz w:val="24"/>
          <w:szCs w:val="24"/>
          <w:lang w:val="pt-PT"/>
        </w:rPr>
        <w:t>CA</w:t>
      </w:r>
      <w:r w:rsidRPr="00AA65FC">
        <w:rPr>
          <w:rFonts w:ascii="Times New Roman" w:hAnsi="Times New Roman" w:cs="Times New Roman"/>
          <w:sz w:val="24"/>
          <w:szCs w:val="24"/>
          <w:lang w:val="pt-PT"/>
        </w:rPr>
        <w:t xml:space="preserve"> composto unicamente por membros independentes tendem a ser mais ativos e efetivos no seu desempenho e divulgação de informações de qualidade às partes interessadas.</w:t>
      </w:r>
    </w:p>
    <w:p w14:paraId="067608FC" w14:textId="4CA1A30E" w:rsidR="008B283A" w:rsidRPr="00AA65FC" w:rsidRDefault="008B283A" w:rsidP="00A735E2">
      <w:pPr>
        <w:ind w:firstLine="709"/>
        <w:jc w:val="both"/>
        <w:rPr>
          <w:bCs/>
          <w:sz w:val="24"/>
          <w:szCs w:val="24"/>
        </w:rPr>
      </w:pPr>
      <w:r w:rsidRPr="00AA65FC">
        <w:rPr>
          <w:bCs/>
          <w:sz w:val="24"/>
          <w:szCs w:val="24"/>
        </w:rPr>
        <w:t xml:space="preserve">Diante do exposto, acredita-se que a independência dos membros do </w:t>
      </w:r>
      <w:r w:rsidR="00FF12A2">
        <w:rPr>
          <w:bCs/>
          <w:sz w:val="24"/>
          <w:szCs w:val="24"/>
        </w:rPr>
        <w:t>CA</w:t>
      </w:r>
      <w:r w:rsidRPr="00AA65FC">
        <w:rPr>
          <w:bCs/>
          <w:sz w:val="24"/>
          <w:szCs w:val="24"/>
        </w:rPr>
        <w:t>, pode diminuir vieses e aumentar a qualidade das informações da empresa, reduzindo assim a assimetria de informações. Desse modo, apresenta-se a segunda hipótese de pesquisa:</w:t>
      </w:r>
    </w:p>
    <w:p w14:paraId="067608FD" w14:textId="77777777" w:rsidR="008B283A" w:rsidRPr="00AA65FC" w:rsidRDefault="008B283A" w:rsidP="00820D75">
      <w:pPr>
        <w:jc w:val="both"/>
        <w:rPr>
          <w:bCs/>
          <w:sz w:val="24"/>
          <w:szCs w:val="24"/>
        </w:rPr>
      </w:pPr>
    </w:p>
    <w:p w14:paraId="067608FE" w14:textId="77777777" w:rsidR="008B283A" w:rsidRPr="00AA65FC" w:rsidRDefault="008B283A" w:rsidP="00820D75">
      <w:pPr>
        <w:ind w:firstLine="708"/>
        <w:jc w:val="both"/>
        <w:rPr>
          <w:bCs/>
          <w:sz w:val="24"/>
          <w:szCs w:val="24"/>
        </w:rPr>
      </w:pPr>
      <w:r w:rsidRPr="00AA65FC">
        <w:rPr>
          <w:b/>
          <w:bCs/>
          <w:sz w:val="24"/>
          <w:szCs w:val="24"/>
        </w:rPr>
        <w:t>H2 -</w:t>
      </w:r>
      <w:r w:rsidRPr="00AA65FC">
        <w:rPr>
          <w:bCs/>
          <w:sz w:val="24"/>
          <w:szCs w:val="24"/>
        </w:rPr>
        <w:t xml:space="preserve"> </w:t>
      </w:r>
      <w:r w:rsidRPr="00AA65FC">
        <w:rPr>
          <w:bCs/>
          <w:i/>
          <w:sz w:val="24"/>
          <w:szCs w:val="24"/>
        </w:rPr>
        <w:t>A independência do comitê de auditoria está negativamente relacionada com a assimetria da informação.</w:t>
      </w:r>
    </w:p>
    <w:p w14:paraId="067608FF" w14:textId="77777777" w:rsidR="008B283A" w:rsidRDefault="008B283A" w:rsidP="00820D75">
      <w:pPr>
        <w:jc w:val="both"/>
        <w:rPr>
          <w:bCs/>
          <w:sz w:val="24"/>
          <w:szCs w:val="24"/>
        </w:rPr>
      </w:pPr>
    </w:p>
    <w:p w14:paraId="06760900" w14:textId="097DD9AE" w:rsidR="008B283A" w:rsidRPr="00AA65FC" w:rsidRDefault="008B283A" w:rsidP="002A65E3">
      <w:pPr>
        <w:ind w:firstLine="709"/>
        <w:jc w:val="both"/>
        <w:rPr>
          <w:bCs/>
          <w:sz w:val="24"/>
          <w:szCs w:val="24"/>
        </w:rPr>
      </w:pPr>
      <w:r>
        <w:rPr>
          <w:bCs/>
          <w:sz w:val="24"/>
          <w:szCs w:val="24"/>
        </w:rPr>
        <w:t xml:space="preserve">Devido a importância do </w:t>
      </w:r>
      <w:r w:rsidR="00FF12A2">
        <w:rPr>
          <w:bCs/>
          <w:sz w:val="24"/>
          <w:szCs w:val="24"/>
        </w:rPr>
        <w:t>CA</w:t>
      </w:r>
      <w:r>
        <w:rPr>
          <w:bCs/>
          <w:sz w:val="24"/>
          <w:szCs w:val="24"/>
        </w:rPr>
        <w:t xml:space="preserve"> para o processo de informações financeiras geradas pela empresa, e também sob a visão do IBGC (2009) de que os comitês de auditoria analisam e preparam diversas propostas para o conselho de administração,</w:t>
      </w:r>
      <w:r w:rsidRPr="00AA65FC">
        <w:rPr>
          <w:bCs/>
          <w:sz w:val="24"/>
          <w:szCs w:val="24"/>
        </w:rPr>
        <w:t xml:space="preserve"> </w:t>
      </w:r>
      <w:r>
        <w:rPr>
          <w:bCs/>
          <w:sz w:val="24"/>
          <w:szCs w:val="24"/>
        </w:rPr>
        <w:t>r</w:t>
      </w:r>
      <w:r w:rsidRPr="00AA65FC">
        <w:rPr>
          <w:bCs/>
          <w:sz w:val="24"/>
          <w:szCs w:val="24"/>
        </w:rPr>
        <w:t xml:space="preserve">essalta-se que além de membros independentes, os comitês devem ser formados por especialistas da área (contabilidade e/ou finanças), que tenha </w:t>
      </w:r>
      <w:r w:rsidRPr="00AA65FC">
        <w:rPr>
          <w:bCs/>
          <w:i/>
          <w:sz w:val="24"/>
          <w:szCs w:val="24"/>
        </w:rPr>
        <w:t>expertise</w:t>
      </w:r>
      <w:r w:rsidRPr="00AA65FC">
        <w:rPr>
          <w:bCs/>
          <w:sz w:val="24"/>
          <w:szCs w:val="24"/>
        </w:rPr>
        <w:t xml:space="preserve"> e </w:t>
      </w:r>
      <w:r>
        <w:rPr>
          <w:bCs/>
          <w:sz w:val="24"/>
          <w:szCs w:val="24"/>
        </w:rPr>
        <w:t>amplo</w:t>
      </w:r>
      <w:r w:rsidRPr="00AA65FC">
        <w:rPr>
          <w:bCs/>
          <w:sz w:val="24"/>
          <w:szCs w:val="24"/>
        </w:rPr>
        <w:t xml:space="preserve"> conhecimento para discutir sobre aspectos de sua responsabilidade.</w:t>
      </w:r>
    </w:p>
    <w:p w14:paraId="06760901" w14:textId="36660869" w:rsidR="008B283A" w:rsidRPr="00AA65FC" w:rsidRDefault="008B283A" w:rsidP="002A65E3">
      <w:pPr>
        <w:ind w:firstLine="709"/>
        <w:jc w:val="both"/>
        <w:rPr>
          <w:bCs/>
          <w:sz w:val="24"/>
          <w:szCs w:val="24"/>
        </w:rPr>
      </w:pPr>
      <w:r w:rsidRPr="00AA65FC">
        <w:rPr>
          <w:bCs/>
          <w:sz w:val="24"/>
          <w:szCs w:val="24"/>
        </w:rPr>
        <w:t xml:space="preserve">Diversos trabalhos constataram que a </w:t>
      </w:r>
      <w:r w:rsidRPr="00AA65FC">
        <w:rPr>
          <w:bCs/>
          <w:i/>
          <w:sz w:val="24"/>
          <w:szCs w:val="24"/>
        </w:rPr>
        <w:t>expertise</w:t>
      </w:r>
      <w:r w:rsidRPr="00AA65FC">
        <w:rPr>
          <w:bCs/>
          <w:sz w:val="24"/>
          <w:szCs w:val="24"/>
        </w:rPr>
        <w:t xml:space="preserve"> financeira dos membros do </w:t>
      </w:r>
      <w:r w:rsidR="00FF12A2">
        <w:rPr>
          <w:bCs/>
          <w:sz w:val="24"/>
          <w:szCs w:val="24"/>
        </w:rPr>
        <w:t>CA</w:t>
      </w:r>
      <w:r w:rsidRPr="00AA65FC">
        <w:rPr>
          <w:bCs/>
          <w:sz w:val="24"/>
          <w:szCs w:val="24"/>
        </w:rPr>
        <w:t xml:space="preserve"> está </w:t>
      </w:r>
      <w:r w:rsidR="002A65E3" w:rsidRPr="00AA65FC">
        <w:rPr>
          <w:bCs/>
          <w:sz w:val="24"/>
          <w:szCs w:val="24"/>
        </w:rPr>
        <w:t>associada</w:t>
      </w:r>
      <w:r w:rsidRPr="00AA65FC">
        <w:rPr>
          <w:bCs/>
          <w:sz w:val="24"/>
          <w:szCs w:val="24"/>
        </w:rPr>
        <w:t xml:space="preserve"> com o menor gerenciamento de resultados e maior qualidade das informações </w:t>
      </w:r>
      <w:r w:rsidRPr="00AA65FC">
        <w:rPr>
          <w:bCs/>
          <w:sz w:val="24"/>
          <w:szCs w:val="24"/>
        </w:rPr>
        <w:lastRenderedPageBreak/>
        <w:t>(</w:t>
      </w:r>
      <w:proofErr w:type="spellStart"/>
      <w:r w:rsidRPr="00AA65FC">
        <w:rPr>
          <w:bCs/>
          <w:sz w:val="24"/>
          <w:szCs w:val="24"/>
        </w:rPr>
        <w:t>Abbot</w:t>
      </w:r>
      <w:r>
        <w:rPr>
          <w:bCs/>
          <w:sz w:val="24"/>
          <w:szCs w:val="24"/>
        </w:rPr>
        <w:t>t</w:t>
      </w:r>
      <w:proofErr w:type="spellEnd"/>
      <w:r>
        <w:rPr>
          <w:bCs/>
          <w:sz w:val="24"/>
          <w:szCs w:val="24"/>
        </w:rPr>
        <w:t>,</w:t>
      </w:r>
      <w:r w:rsidRPr="00AA65FC">
        <w:rPr>
          <w:bCs/>
          <w:sz w:val="24"/>
          <w:szCs w:val="24"/>
        </w:rPr>
        <w:t xml:space="preserve"> Parker &amp; </w:t>
      </w:r>
      <w:proofErr w:type="spellStart"/>
      <w:r w:rsidRPr="00AA65FC">
        <w:rPr>
          <w:bCs/>
          <w:sz w:val="24"/>
          <w:szCs w:val="24"/>
        </w:rPr>
        <w:t>Peters</w:t>
      </w:r>
      <w:proofErr w:type="spellEnd"/>
      <w:r w:rsidRPr="00AA65FC">
        <w:rPr>
          <w:bCs/>
          <w:sz w:val="24"/>
          <w:szCs w:val="24"/>
        </w:rPr>
        <w:t xml:space="preserve">, 2004; </w:t>
      </w:r>
      <w:proofErr w:type="spellStart"/>
      <w:r w:rsidRPr="00AA65FC">
        <w:rPr>
          <w:bCs/>
          <w:sz w:val="24"/>
          <w:szCs w:val="24"/>
        </w:rPr>
        <w:t>Bedard</w:t>
      </w:r>
      <w:proofErr w:type="spellEnd"/>
      <w:r w:rsidRPr="00AA65FC">
        <w:rPr>
          <w:bCs/>
          <w:sz w:val="24"/>
          <w:szCs w:val="24"/>
        </w:rPr>
        <w:t xml:space="preserve">; </w:t>
      </w:r>
      <w:proofErr w:type="spellStart"/>
      <w:r w:rsidRPr="00AA65FC">
        <w:rPr>
          <w:bCs/>
          <w:sz w:val="24"/>
          <w:szCs w:val="24"/>
        </w:rPr>
        <w:t>Chtourou</w:t>
      </w:r>
      <w:proofErr w:type="spellEnd"/>
      <w:r w:rsidRPr="00AA65FC">
        <w:rPr>
          <w:bCs/>
          <w:sz w:val="24"/>
          <w:szCs w:val="24"/>
        </w:rPr>
        <w:t xml:space="preserve"> &amp; </w:t>
      </w:r>
      <w:proofErr w:type="spellStart"/>
      <w:r w:rsidRPr="00AA65FC">
        <w:rPr>
          <w:bCs/>
          <w:sz w:val="24"/>
          <w:szCs w:val="24"/>
        </w:rPr>
        <w:t>Courteau</w:t>
      </w:r>
      <w:proofErr w:type="spellEnd"/>
      <w:r w:rsidRPr="00AA65FC">
        <w:rPr>
          <w:bCs/>
          <w:sz w:val="24"/>
          <w:szCs w:val="24"/>
        </w:rPr>
        <w:t xml:space="preserve">, 2004). Nesse sentido, os autores destacam a importância do </w:t>
      </w:r>
      <w:r w:rsidR="00FF12A2">
        <w:rPr>
          <w:bCs/>
          <w:sz w:val="24"/>
          <w:szCs w:val="24"/>
        </w:rPr>
        <w:t>CA</w:t>
      </w:r>
      <w:r w:rsidRPr="00AA65FC">
        <w:rPr>
          <w:bCs/>
          <w:sz w:val="24"/>
          <w:szCs w:val="24"/>
        </w:rPr>
        <w:t xml:space="preserve"> com membros especializados em finanças e contabilidade para que haja uma melhoria nas informações geradas pela empresa.</w:t>
      </w:r>
    </w:p>
    <w:p w14:paraId="06760902" w14:textId="7C548D33" w:rsidR="008B283A" w:rsidRPr="00AA65FC" w:rsidRDefault="008B283A" w:rsidP="002A65E3">
      <w:pPr>
        <w:ind w:firstLine="709"/>
        <w:jc w:val="both"/>
        <w:rPr>
          <w:bCs/>
          <w:sz w:val="24"/>
          <w:szCs w:val="24"/>
        </w:rPr>
      </w:pPr>
      <w:r w:rsidRPr="00AA65FC">
        <w:rPr>
          <w:bCs/>
          <w:sz w:val="24"/>
          <w:szCs w:val="24"/>
        </w:rPr>
        <w:t xml:space="preserve">De acordo com o estudo realizado por </w:t>
      </w:r>
      <w:proofErr w:type="spellStart"/>
      <w:r w:rsidRPr="00AA65FC">
        <w:rPr>
          <w:bCs/>
          <w:sz w:val="24"/>
          <w:szCs w:val="24"/>
        </w:rPr>
        <w:t>Felo</w:t>
      </w:r>
      <w:proofErr w:type="spellEnd"/>
      <w:r w:rsidRPr="00AA65FC">
        <w:rPr>
          <w:bCs/>
          <w:sz w:val="24"/>
          <w:szCs w:val="24"/>
        </w:rPr>
        <w:t xml:space="preserve"> et al. (2003) seus resultados sugerem que </w:t>
      </w:r>
      <w:r w:rsidR="00F306B3" w:rsidRPr="00AA65FC">
        <w:rPr>
          <w:bCs/>
          <w:sz w:val="24"/>
          <w:szCs w:val="24"/>
        </w:rPr>
        <w:t xml:space="preserve">o conhecimento dos membros do </w:t>
      </w:r>
      <w:r w:rsidR="00FF12A2">
        <w:rPr>
          <w:bCs/>
          <w:sz w:val="24"/>
          <w:szCs w:val="24"/>
        </w:rPr>
        <w:t>CA</w:t>
      </w:r>
      <w:r w:rsidR="00F306B3" w:rsidRPr="00AA65FC">
        <w:rPr>
          <w:bCs/>
          <w:sz w:val="24"/>
          <w:szCs w:val="24"/>
        </w:rPr>
        <w:t xml:space="preserve"> pode</w:t>
      </w:r>
      <w:r w:rsidRPr="00AA65FC">
        <w:rPr>
          <w:bCs/>
          <w:sz w:val="24"/>
          <w:szCs w:val="24"/>
        </w:rPr>
        <w:t xml:space="preserve"> ter um impacto significativo na qualidade d</w:t>
      </w:r>
      <w:r>
        <w:rPr>
          <w:bCs/>
          <w:sz w:val="24"/>
          <w:szCs w:val="24"/>
        </w:rPr>
        <w:t>o</w:t>
      </w:r>
      <w:r w:rsidRPr="00AA65FC">
        <w:rPr>
          <w:bCs/>
          <w:sz w:val="24"/>
          <w:szCs w:val="24"/>
        </w:rPr>
        <w:t xml:space="preserve"> relatório financeiro de uma empresa percebido pelos analistas. </w:t>
      </w:r>
      <w:r>
        <w:rPr>
          <w:bCs/>
          <w:sz w:val="24"/>
          <w:szCs w:val="24"/>
        </w:rPr>
        <w:t>D</w:t>
      </w:r>
      <w:r w:rsidRPr="00AA65FC">
        <w:rPr>
          <w:bCs/>
          <w:sz w:val="24"/>
          <w:szCs w:val="24"/>
        </w:rPr>
        <w:t>evido a isso, empresas que desejam reduzir a assimetria de informação e o seu custo de capital poderiam estrutur</w:t>
      </w:r>
      <w:r>
        <w:rPr>
          <w:bCs/>
          <w:sz w:val="24"/>
          <w:szCs w:val="24"/>
        </w:rPr>
        <w:t>ar</w:t>
      </w:r>
      <w:r w:rsidRPr="00AA65FC">
        <w:rPr>
          <w:bCs/>
          <w:sz w:val="24"/>
          <w:szCs w:val="24"/>
        </w:rPr>
        <w:t xml:space="preserve"> adequadamente seus comitês de auditoria</w:t>
      </w:r>
      <w:r>
        <w:rPr>
          <w:bCs/>
          <w:sz w:val="24"/>
          <w:szCs w:val="24"/>
        </w:rPr>
        <w:t xml:space="preserve">, de forma que a composição do comitê contemple </w:t>
      </w:r>
      <w:r w:rsidRPr="00AA65FC">
        <w:rPr>
          <w:bCs/>
          <w:sz w:val="24"/>
          <w:szCs w:val="24"/>
        </w:rPr>
        <w:t xml:space="preserve">membros com </w:t>
      </w:r>
      <w:r w:rsidRPr="00AA65FC">
        <w:rPr>
          <w:bCs/>
          <w:i/>
          <w:sz w:val="24"/>
          <w:szCs w:val="24"/>
        </w:rPr>
        <w:t xml:space="preserve">expertise </w:t>
      </w:r>
      <w:r w:rsidRPr="00AA65FC">
        <w:rPr>
          <w:bCs/>
          <w:sz w:val="24"/>
          <w:szCs w:val="24"/>
        </w:rPr>
        <w:t xml:space="preserve">em áreas financeiras e contábeis em seu </w:t>
      </w:r>
      <w:r w:rsidR="00FF12A2">
        <w:rPr>
          <w:bCs/>
          <w:sz w:val="24"/>
          <w:szCs w:val="24"/>
        </w:rPr>
        <w:t>CA</w:t>
      </w:r>
      <w:r w:rsidRPr="00AA65FC">
        <w:rPr>
          <w:bCs/>
          <w:sz w:val="24"/>
          <w:szCs w:val="24"/>
        </w:rPr>
        <w:t>.</w:t>
      </w:r>
      <w:r>
        <w:rPr>
          <w:bCs/>
          <w:sz w:val="24"/>
          <w:szCs w:val="24"/>
        </w:rPr>
        <w:t xml:space="preserve"> D</w:t>
      </w:r>
      <w:r w:rsidRPr="00AA65FC">
        <w:rPr>
          <w:bCs/>
          <w:sz w:val="24"/>
          <w:szCs w:val="24"/>
        </w:rPr>
        <w:t xml:space="preserve">iante do exposto, e </w:t>
      </w:r>
      <w:r>
        <w:rPr>
          <w:bCs/>
          <w:sz w:val="24"/>
          <w:szCs w:val="24"/>
        </w:rPr>
        <w:t>ao considerar</w:t>
      </w:r>
      <w:r w:rsidRPr="00AA65FC">
        <w:rPr>
          <w:bCs/>
          <w:sz w:val="24"/>
          <w:szCs w:val="24"/>
        </w:rPr>
        <w:t xml:space="preserve"> que uma maior qualidade da informação contábil leva a uma menor assimetria de informação, tem-se a terceira hipótese de pesquisa:</w:t>
      </w:r>
    </w:p>
    <w:p w14:paraId="06760903" w14:textId="77777777" w:rsidR="008B283A" w:rsidRPr="00AA65FC" w:rsidRDefault="008B283A" w:rsidP="00820D75">
      <w:pPr>
        <w:jc w:val="both"/>
        <w:rPr>
          <w:bCs/>
          <w:sz w:val="24"/>
          <w:szCs w:val="24"/>
        </w:rPr>
      </w:pPr>
    </w:p>
    <w:p w14:paraId="06760904" w14:textId="77777777" w:rsidR="008B283A" w:rsidRPr="00AA65FC" w:rsidRDefault="008B283A" w:rsidP="00820D75">
      <w:pPr>
        <w:ind w:firstLine="708"/>
        <w:jc w:val="both"/>
        <w:rPr>
          <w:bCs/>
          <w:i/>
          <w:sz w:val="24"/>
          <w:szCs w:val="24"/>
        </w:rPr>
      </w:pPr>
      <w:r w:rsidRPr="00AA65FC">
        <w:rPr>
          <w:b/>
          <w:bCs/>
          <w:sz w:val="24"/>
          <w:szCs w:val="24"/>
        </w:rPr>
        <w:t>H3 –</w:t>
      </w:r>
      <w:r w:rsidRPr="00AA65FC">
        <w:rPr>
          <w:bCs/>
          <w:i/>
          <w:sz w:val="24"/>
          <w:szCs w:val="24"/>
        </w:rPr>
        <w:t xml:space="preserve"> A expertise contábil e financeira do comitê de auditoria está negativamente relacionada com a assimetria da informação.</w:t>
      </w:r>
    </w:p>
    <w:p w14:paraId="06760905" w14:textId="77777777" w:rsidR="008B283A" w:rsidRPr="00AA65FC" w:rsidRDefault="008B283A" w:rsidP="00820D75">
      <w:pPr>
        <w:ind w:firstLine="708"/>
        <w:jc w:val="both"/>
        <w:rPr>
          <w:sz w:val="24"/>
          <w:szCs w:val="24"/>
          <w:highlight w:val="magenta"/>
        </w:rPr>
      </w:pPr>
    </w:p>
    <w:p w14:paraId="06760906" w14:textId="2BA5E574" w:rsidR="008B283A" w:rsidRPr="00AA65FC" w:rsidRDefault="008B283A" w:rsidP="00820D75">
      <w:pPr>
        <w:jc w:val="both"/>
        <w:rPr>
          <w:b/>
          <w:sz w:val="24"/>
          <w:szCs w:val="24"/>
        </w:rPr>
      </w:pPr>
      <w:r w:rsidRPr="00AA65FC">
        <w:rPr>
          <w:b/>
          <w:sz w:val="24"/>
          <w:szCs w:val="24"/>
        </w:rPr>
        <w:t>3 P</w:t>
      </w:r>
      <w:r w:rsidR="007537D4">
        <w:rPr>
          <w:b/>
          <w:sz w:val="24"/>
          <w:szCs w:val="24"/>
        </w:rPr>
        <w:t xml:space="preserve">rocedimentos </w:t>
      </w:r>
      <w:r w:rsidRPr="00AA65FC">
        <w:rPr>
          <w:b/>
          <w:sz w:val="24"/>
          <w:szCs w:val="24"/>
        </w:rPr>
        <w:t>M</w:t>
      </w:r>
      <w:r w:rsidR="007537D4">
        <w:rPr>
          <w:b/>
          <w:sz w:val="24"/>
          <w:szCs w:val="24"/>
        </w:rPr>
        <w:t>etodológicos</w:t>
      </w:r>
    </w:p>
    <w:p w14:paraId="06760907" w14:textId="670B8BF9" w:rsidR="008B283A" w:rsidRPr="00AA65FC" w:rsidRDefault="008B283A" w:rsidP="00820D75">
      <w:pPr>
        <w:ind w:firstLine="708"/>
        <w:jc w:val="both"/>
        <w:rPr>
          <w:sz w:val="24"/>
          <w:szCs w:val="24"/>
        </w:rPr>
      </w:pPr>
      <w:r w:rsidRPr="00AA65FC">
        <w:rPr>
          <w:sz w:val="24"/>
          <w:szCs w:val="24"/>
        </w:rPr>
        <w:t>A população do estudo correspondeu às empresas listadas no índice IBRx100</w:t>
      </w:r>
      <w:r w:rsidR="00A85D65">
        <w:rPr>
          <w:sz w:val="24"/>
          <w:szCs w:val="24"/>
        </w:rPr>
        <w:t xml:space="preserve"> da</w:t>
      </w:r>
      <w:r w:rsidR="00A85D65" w:rsidRPr="00AA65FC">
        <w:rPr>
          <w:sz w:val="24"/>
          <w:szCs w:val="24"/>
        </w:rPr>
        <w:t xml:space="preserve"> </w:t>
      </w:r>
      <w:r w:rsidR="00A85D65">
        <w:rPr>
          <w:sz w:val="24"/>
          <w:szCs w:val="24"/>
        </w:rPr>
        <w:t>B3 (Brasil, Bolsa e Balcão)</w:t>
      </w:r>
      <w:r w:rsidRPr="00AA65FC">
        <w:rPr>
          <w:sz w:val="24"/>
          <w:szCs w:val="24"/>
        </w:rPr>
        <w:t>, devido a estas empresas demonstr</w:t>
      </w:r>
      <w:r>
        <w:rPr>
          <w:sz w:val="24"/>
          <w:szCs w:val="24"/>
        </w:rPr>
        <w:t>ar</w:t>
      </w:r>
      <w:r w:rsidRPr="00AA65FC">
        <w:rPr>
          <w:sz w:val="24"/>
          <w:szCs w:val="24"/>
        </w:rPr>
        <w:t xml:space="preserve">em as ações mais negociadas da bolsa, o que torna propício a investigação das mesmas. Desta população, foram excluídas as empresas que estavam à três desvios padrão </w:t>
      </w:r>
      <w:r w:rsidR="00A85D65">
        <w:rPr>
          <w:sz w:val="24"/>
          <w:szCs w:val="24"/>
        </w:rPr>
        <w:t>distantes</w:t>
      </w:r>
      <w:r w:rsidRPr="00AA65FC">
        <w:rPr>
          <w:sz w:val="24"/>
          <w:szCs w:val="24"/>
        </w:rPr>
        <w:t xml:space="preserve"> da média, considerados </w:t>
      </w:r>
      <w:proofErr w:type="spellStart"/>
      <w:r w:rsidRPr="00AA65FC">
        <w:rPr>
          <w:i/>
          <w:sz w:val="24"/>
          <w:szCs w:val="24"/>
        </w:rPr>
        <w:t>outliers</w:t>
      </w:r>
      <w:proofErr w:type="spellEnd"/>
      <w:r w:rsidRPr="00AA65FC">
        <w:rPr>
          <w:sz w:val="24"/>
          <w:szCs w:val="24"/>
        </w:rPr>
        <w:t xml:space="preserve">. </w:t>
      </w:r>
      <w:r w:rsidR="005160A5">
        <w:rPr>
          <w:sz w:val="24"/>
          <w:szCs w:val="24"/>
        </w:rPr>
        <w:t>Por fim</w:t>
      </w:r>
      <w:r w:rsidRPr="00AA65FC">
        <w:rPr>
          <w:sz w:val="24"/>
          <w:szCs w:val="24"/>
        </w:rPr>
        <w:t xml:space="preserve">, foram excluídas as empresas cujas informações sobre as variáveis não estavam disponíveis. </w:t>
      </w:r>
      <w:r>
        <w:rPr>
          <w:sz w:val="24"/>
          <w:szCs w:val="24"/>
        </w:rPr>
        <w:t>A amostra final correspondeu à 72 empresa</w:t>
      </w:r>
      <w:r w:rsidR="005160A5">
        <w:rPr>
          <w:sz w:val="24"/>
          <w:szCs w:val="24"/>
        </w:rPr>
        <w:t>.</w:t>
      </w:r>
    </w:p>
    <w:p w14:paraId="06760908" w14:textId="03D3A50C" w:rsidR="008B283A" w:rsidRPr="00AA65FC" w:rsidRDefault="008B283A" w:rsidP="00820D75">
      <w:pPr>
        <w:ind w:firstLine="708"/>
        <w:jc w:val="both"/>
        <w:rPr>
          <w:sz w:val="24"/>
          <w:szCs w:val="24"/>
        </w:rPr>
      </w:pPr>
      <w:r w:rsidRPr="00AA65FC">
        <w:rPr>
          <w:sz w:val="24"/>
          <w:szCs w:val="24"/>
        </w:rPr>
        <w:t xml:space="preserve">O período de análise correspondeu aos anos de 2012 a 2016. Assim, a amostra utilizada para identificar a influência do </w:t>
      </w:r>
      <w:r w:rsidR="00FF12A2">
        <w:rPr>
          <w:sz w:val="24"/>
          <w:szCs w:val="24"/>
        </w:rPr>
        <w:t>CA</w:t>
      </w:r>
      <w:r w:rsidRPr="00AA65FC">
        <w:rPr>
          <w:sz w:val="24"/>
          <w:szCs w:val="24"/>
        </w:rPr>
        <w:t xml:space="preserve"> na assimetria da informação (denominada de amostra 1), constituiu em 337 observações, referente a primeira parte da análise. Ademais, para analisar a influência das características de independência e </w:t>
      </w:r>
      <w:r w:rsidRPr="00AA65FC">
        <w:rPr>
          <w:i/>
          <w:sz w:val="24"/>
          <w:szCs w:val="24"/>
        </w:rPr>
        <w:t>expertise</w:t>
      </w:r>
      <w:r w:rsidRPr="00AA65FC">
        <w:rPr>
          <w:sz w:val="24"/>
          <w:szCs w:val="24"/>
        </w:rPr>
        <w:t xml:space="preserve"> do </w:t>
      </w:r>
      <w:r w:rsidR="00FF12A2">
        <w:rPr>
          <w:sz w:val="24"/>
          <w:szCs w:val="24"/>
        </w:rPr>
        <w:t>CA</w:t>
      </w:r>
      <w:r w:rsidRPr="00AA65FC">
        <w:rPr>
          <w:sz w:val="24"/>
          <w:szCs w:val="24"/>
        </w:rPr>
        <w:t xml:space="preserve"> na assimetria da informação, foram excluídas as empresas que não dispunham do </w:t>
      </w:r>
      <w:r w:rsidR="00FF12A2">
        <w:rPr>
          <w:sz w:val="24"/>
          <w:szCs w:val="24"/>
        </w:rPr>
        <w:t>CA</w:t>
      </w:r>
      <w:r w:rsidR="003B755E">
        <w:rPr>
          <w:sz w:val="24"/>
          <w:szCs w:val="24"/>
        </w:rPr>
        <w:t xml:space="preserve"> </w:t>
      </w:r>
      <w:r w:rsidRPr="00AA65FC">
        <w:rPr>
          <w:sz w:val="24"/>
          <w:szCs w:val="24"/>
        </w:rPr>
        <w:t>e desta forma, obteve-se 211 observações para a segunda parte da análise (denominada de amostra 2).</w:t>
      </w:r>
    </w:p>
    <w:p w14:paraId="06760909" w14:textId="77777777" w:rsidR="008B283A" w:rsidRPr="00AA1B46" w:rsidRDefault="008B283A" w:rsidP="00820D75">
      <w:pPr>
        <w:ind w:firstLine="708"/>
        <w:jc w:val="both"/>
        <w:rPr>
          <w:sz w:val="24"/>
          <w:szCs w:val="24"/>
        </w:rPr>
      </w:pPr>
      <w:r w:rsidRPr="00AA65FC">
        <w:rPr>
          <w:sz w:val="24"/>
          <w:szCs w:val="24"/>
        </w:rPr>
        <w:t xml:space="preserve">A coleta dos dados principal foi realizada por meio da base de dados </w:t>
      </w:r>
      <w:r w:rsidRPr="00AA65FC">
        <w:rPr>
          <w:i/>
          <w:sz w:val="24"/>
          <w:szCs w:val="24"/>
        </w:rPr>
        <w:t xml:space="preserve">Thomson Reuters </w:t>
      </w:r>
      <w:proofErr w:type="spellStart"/>
      <w:r w:rsidRPr="00AA65FC">
        <w:rPr>
          <w:i/>
          <w:sz w:val="24"/>
          <w:szCs w:val="24"/>
        </w:rPr>
        <w:t>Eikon</w:t>
      </w:r>
      <w:proofErr w:type="spellEnd"/>
      <w:r w:rsidRPr="00AA65FC">
        <w:rPr>
          <w:sz w:val="24"/>
          <w:szCs w:val="24"/>
        </w:rPr>
        <w:t>, sendo que as variáveis podem ser observadas por meio d</w:t>
      </w:r>
      <w:r>
        <w:rPr>
          <w:sz w:val="24"/>
          <w:szCs w:val="24"/>
        </w:rPr>
        <w:t xml:space="preserve">a </w:t>
      </w:r>
      <w:r w:rsidRPr="00AA1B46">
        <w:rPr>
          <w:sz w:val="24"/>
          <w:szCs w:val="24"/>
        </w:rPr>
        <w:t>Tabela 1.</w:t>
      </w:r>
    </w:p>
    <w:p w14:paraId="6AA477D8" w14:textId="77777777" w:rsidR="003B755E" w:rsidRPr="00AA1B46" w:rsidRDefault="003B755E" w:rsidP="00820D75">
      <w:pPr>
        <w:ind w:firstLine="709"/>
        <w:jc w:val="both"/>
        <w:rPr>
          <w:sz w:val="24"/>
          <w:szCs w:val="24"/>
        </w:rPr>
      </w:pPr>
    </w:p>
    <w:p w14:paraId="0676090B" w14:textId="79AF67E6" w:rsidR="008B283A" w:rsidRPr="00B72BF6" w:rsidRDefault="008B283A" w:rsidP="00820D75">
      <w:pPr>
        <w:jc w:val="both"/>
        <w:rPr>
          <w:b/>
        </w:rPr>
      </w:pPr>
      <w:r w:rsidRPr="00B72BF6">
        <w:rPr>
          <w:b/>
        </w:rPr>
        <w:t>Tabela 1</w:t>
      </w:r>
      <w:r w:rsidR="00B72BF6" w:rsidRPr="00B72BF6">
        <w:rPr>
          <w:b/>
        </w:rPr>
        <w:t xml:space="preserve"> - </w:t>
      </w:r>
      <w:r w:rsidRPr="00B72BF6">
        <w:rPr>
          <w:b/>
        </w:rPr>
        <w:t>Variáveis da pesquisa</w:t>
      </w:r>
    </w:p>
    <w:tbl>
      <w:tblPr>
        <w:tblStyle w:val="Tabelacomgrade"/>
        <w:tblW w:w="5004" w:type="pct"/>
        <w:tblLayout w:type="fixed"/>
        <w:tblLook w:val="04A0" w:firstRow="1" w:lastRow="0" w:firstColumn="1" w:lastColumn="0" w:noHBand="0" w:noVBand="1"/>
      </w:tblPr>
      <w:tblGrid>
        <w:gridCol w:w="1507"/>
        <w:gridCol w:w="3578"/>
        <w:gridCol w:w="2076"/>
        <w:gridCol w:w="1911"/>
      </w:tblGrid>
      <w:tr w:rsidR="008B283A" w:rsidRPr="00AA65FC" w14:paraId="06760910" w14:textId="77777777" w:rsidTr="00FF47EC">
        <w:trPr>
          <w:trHeight w:val="107"/>
        </w:trPr>
        <w:tc>
          <w:tcPr>
            <w:tcW w:w="831" w:type="pct"/>
            <w:tcBorders>
              <w:top w:val="single" w:sz="12" w:space="0" w:color="auto"/>
              <w:left w:val="nil"/>
            </w:tcBorders>
            <w:shd w:val="clear" w:color="auto" w:fill="auto"/>
            <w:vAlign w:val="center"/>
          </w:tcPr>
          <w:p w14:paraId="0676090C" w14:textId="77777777" w:rsidR="008B283A" w:rsidRPr="00AA65FC" w:rsidRDefault="008B283A" w:rsidP="00820D75">
            <w:pPr>
              <w:pStyle w:val="SemEspaamento"/>
              <w:jc w:val="center"/>
              <w:rPr>
                <w:rFonts w:cs="Times New Roman"/>
                <w:b/>
                <w:sz w:val="20"/>
                <w:szCs w:val="20"/>
              </w:rPr>
            </w:pPr>
            <w:proofErr w:type="spellStart"/>
            <w:r w:rsidRPr="00AA65FC">
              <w:rPr>
                <w:rFonts w:cs="Times New Roman"/>
                <w:b/>
                <w:sz w:val="20"/>
                <w:szCs w:val="20"/>
              </w:rPr>
              <w:t>Variável</w:t>
            </w:r>
            <w:proofErr w:type="spellEnd"/>
          </w:p>
        </w:tc>
        <w:tc>
          <w:tcPr>
            <w:tcW w:w="1972" w:type="pct"/>
            <w:tcBorders>
              <w:top w:val="single" w:sz="12" w:space="0" w:color="auto"/>
            </w:tcBorders>
            <w:shd w:val="clear" w:color="auto" w:fill="auto"/>
            <w:vAlign w:val="center"/>
          </w:tcPr>
          <w:p w14:paraId="0676090D" w14:textId="77777777" w:rsidR="008B283A" w:rsidRPr="00AA65FC" w:rsidRDefault="008B283A" w:rsidP="00820D75">
            <w:pPr>
              <w:pStyle w:val="SemEspaamento"/>
              <w:jc w:val="center"/>
              <w:rPr>
                <w:rFonts w:cs="Times New Roman"/>
                <w:b/>
                <w:sz w:val="20"/>
                <w:szCs w:val="20"/>
              </w:rPr>
            </w:pPr>
            <w:proofErr w:type="spellStart"/>
            <w:r w:rsidRPr="00AA65FC">
              <w:rPr>
                <w:rFonts w:cs="Times New Roman"/>
                <w:b/>
                <w:sz w:val="20"/>
                <w:szCs w:val="20"/>
              </w:rPr>
              <w:t>Descrição</w:t>
            </w:r>
            <w:proofErr w:type="spellEnd"/>
          </w:p>
        </w:tc>
        <w:tc>
          <w:tcPr>
            <w:tcW w:w="1144" w:type="pct"/>
            <w:tcBorders>
              <w:top w:val="single" w:sz="12" w:space="0" w:color="auto"/>
            </w:tcBorders>
            <w:vAlign w:val="center"/>
          </w:tcPr>
          <w:p w14:paraId="0676090E" w14:textId="77777777" w:rsidR="008B283A" w:rsidRPr="00AA65FC" w:rsidRDefault="008B283A" w:rsidP="00820D75">
            <w:pPr>
              <w:pStyle w:val="SemEspaamento"/>
              <w:jc w:val="center"/>
              <w:rPr>
                <w:rFonts w:cs="Times New Roman"/>
                <w:b/>
                <w:sz w:val="20"/>
                <w:szCs w:val="20"/>
              </w:rPr>
            </w:pPr>
            <w:proofErr w:type="spellStart"/>
            <w:r w:rsidRPr="00AA65FC">
              <w:rPr>
                <w:rFonts w:cs="Times New Roman"/>
                <w:b/>
                <w:sz w:val="20"/>
                <w:szCs w:val="20"/>
              </w:rPr>
              <w:t>Cálculo</w:t>
            </w:r>
            <w:proofErr w:type="spellEnd"/>
          </w:p>
        </w:tc>
        <w:tc>
          <w:tcPr>
            <w:tcW w:w="1052" w:type="pct"/>
            <w:tcBorders>
              <w:top w:val="single" w:sz="12" w:space="0" w:color="auto"/>
              <w:right w:val="nil"/>
            </w:tcBorders>
            <w:shd w:val="clear" w:color="auto" w:fill="auto"/>
            <w:vAlign w:val="center"/>
          </w:tcPr>
          <w:p w14:paraId="0676090F" w14:textId="77777777" w:rsidR="008B283A" w:rsidRPr="00AA65FC" w:rsidRDefault="008B283A" w:rsidP="00820D75">
            <w:pPr>
              <w:pStyle w:val="SemEspaamento"/>
              <w:jc w:val="center"/>
              <w:rPr>
                <w:rFonts w:cs="Times New Roman"/>
                <w:b/>
                <w:sz w:val="20"/>
                <w:szCs w:val="20"/>
              </w:rPr>
            </w:pPr>
            <w:proofErr w:type="spellStart"/>
            <w:r w:rsidRPr="00AA65FC">
              <w:rPr>
                <w:rFonts w:cs="Times New Roman"/>
                <w:b/>
                <w:sz w:val="20"/>
                <w:szCs w:val="20"/>
              </w:rPr>
              <w:t>Autores</w:t>
            </w:r>
            <w:proofErr w:type="spellEnd"/>
          </w:p>
        </w:tc>
      </w:tr>
      <w:tr w:rsidR="008B283A" w:rsidRPr="00AA65FC" w14:paraId="06760912" w14:textId="77777777" w:rsidTr="008B283A">
        <w:trPr>
          <w:trHeight w:val="20"/>
        </w:trPr>
        <w:tc>
          <w:tcPr>
            <w:tcW w:w="5000" w:type="pct"/>
            <w:gridSpan w:val="4"/>
            <w:tcBorders>
              <w:left w:val="nil"/>
              <w:right w:val="nil"/>
            </w:tcBorders>
          </w:tcPr>
          <w:p w14:paraId="06760911" w14:textId="6FA7F1BF" w:rsidR="008B283A" w:rsidRPr="008B283A" w:rsidRDefault="008B283A" w:rsidP="00820D75">
            <w:pPr>
              <w:pStyle w:val="SemEspaamento"/>
              <w:jc w:val="center"/>
              <w:rPr>
                <w:rFonts w:cs="Times New Roman"/>
                <w:b/>
                <w:sz w:val="20"/>
                <w:szCs w:val="20"/>
                <w:lang w:val="pt-BR"/>
              </w:rPr>
            </w:pPr>
            <w:r w:rsidRPr="008B283A">
              <w:rPr>
                <w:rFonts w:cs="Times New Roman"/>
                <w:b/>
                <w:sz w:val="20"/>
                <w:szCs w:val="20"/>
                <w:lang w:val="pt-BR"/>
              </w:rPr>
              <w:t>Variáve</w:t>
            </w:r>
            <w:r w:rsidR="00F306B3">
              <w:rPr>
                <w:rFonts w:cs="Times New Roman"/>
                <w:b/>
                <w:sz w:val="20"/>
                <w:szCs w:val="20"/>
                <w:lang w:val="pt-BR"/>
              </w:rPr>
              <w:t xml:space="preserve">is </w:t>
            </w:r>
            <w:r w:rsidRPr="008B283A">
              <w:rPr>
                <w:rFonts w:cs="Times New Roman"/>
                <w:b/>
                <w:sz w:val="20"/>
                <w:szCs w:val="20"/>
                <w:lang w:val="pt-BR"/>
              </w:rPr>
              <w:t>dependente</w:t>
            </w:r>
            <w:r w:rsidR="00F306B3">
              <w:rPr>
                <w:rFonts w:cs="Times New Roman"/>
                <w:b/>
                <w:sz w:val="20"/>
                <w:szCs w:val="20"/>
                <w:lang w:val="pt-BR"/>
              </w:rPr>
              <w:t>s</w:t>
            </w:r>
            <w:r w:rsidRPr="008B283A">
              <w:rPr>
                <w:rFonts w:cs="Times New Roman"/>
                <w:b/>
                <w:sz w:val="20"/>
                <w:szCs w:val="20"/>
                <w:lang w:val="pt-BR"/>
              </w:rPr>
              <w:t xml:space="preserve"> (Assimetria de informação)</w:t>
            </w:r>
          </w:p>
        </w:tc>
      </w:tr>
      <w:tr w:rsidR="008B283A" w:rsidRPr="00AA65FC" w14:paraId="06760917" w14:textId="77777777" w:rsidTr="008B283A">
        <w:trPr>
          <w:trHeight w:val="587"/>
        </w:trPr>
        <w:tc>
          <w:tcPr>
            <w:tcW w:w="831" w:type="pct"/>
            <w:tcBorders>
              <w:left w:val="nil"/>
            </w:tcBorders>
            <w:vAlign w:val="center"/>
          </w:tcPr>
          <w:p w14:paraId="06760913" w14:textId="77777777" w:rsidR="008B283A" w:rsidRPr="00AA65FC" w:rsidRDefault="008B283A" w:rsidP="00820D75">
            <w:pPr>
              <w:pStyle w:val="SemEspaamento"/>
              <w:jc w:val="center"/>
              <w:rPr>
                <w:rFonts w:cs="Times New Roman"/>
                <w:sz w:val="20"/>
                <w:szCs w:val="20"/>
                <w:vertAlign w:val="subscript"/>
              </w:rPr>
            </w:pPr>
            <w:proofErr w:type="spellStart"/>
            <w:r w:rsidRPr="00AA65FC">
              <w:rPr>
                <w:rFonts w:cs="Times New Roman"/>
                <w:iCs/>
                <w:sz w:val="20"/>
                <w:szCs w:val="20"/>
              </w:rPr>
              <w:t>SpreadAno</w:t>
            </w:r>
            <w:r w:rsidRPr="00AA65FC">
              <w:rPr>
                <w:rFonts w:cs="Times New Roman"/>
                <w:iCs/>
                <w:sz w:val="20"/>
                <w:szCs w:val="20"/>
                <w:vertAlign w:val="subscript"/>
              </w:rPr>
              <w:t>it</w:t>
            </w:r>
            <w:proofErr w:type="spellEnd"/>
          </w:p>
        </w:tc>
        <w:tc>
          <w:tcPr>
            <w:tcW w:w="1972" w:type="pct"/>
            <w:shd w:val="clear" w:color="auto" w:fill="auto"/>
            <w:vAlign w:val="center"/>
          </w:tcPr>
          <w:p w14:paraId="06760914" w14:textId="77777777" w:rsidR="008B283A" w:rsidRPr="008B283A" w:rsidRDefault="008B283A" w:rsidP="00820D75">
            <w:pPr>
              <w:pStyle w:val="SemEspaamento"/>
              <w:jc w:val="center"/>
              <w:rPr>
                <w:rFonts w:cs="Times New Roman"/>
                <w:sz w:val="20"/>
                <w:szCs w:val="20"/>
                <w:lang w:val="pt-BR"/>
              </w:rPr>
            </w:pPr>
            <w:proofErr w:type="spellStart"/>
            <w:r w:rsidRPr="008B283A">
              <w:rPr>
                <w:rFonts w:cs="Times New Roman"/>
                <w:i/>
                <w:sz w:val="20"/>
                <w:szCs w:val="20"/>
                <w:lang w:val="pt-BR"/>
              </w:rPr>
              <w:t>Bid-ask</w:t>
            </w:r>
            <w:proofErr w:type="spellEnd"/>
            <w:r w:rsidRPr="008B283A">
              <w:rPr>
                <w:rFonts w:cs="Times New Roman"/>
                <w:i/>
                <w:sz w:val="20"/>
                <w:szCs w:val="20"/>
                <w:lang w:val="pt-BR"/>
              </w:rPr>
              <w:t xml:space="preserve"> spread</w:t>
            </w:r>
            <w:r w:rsidRPr="008B283A">
              <w:rPr>
                <w:rFonts w:cs="Times New Roman"/>
                <w:sz w:val="20"/>
                <w:szCs w:val="20"/>
                <w:lang w:val="pt-BR"/>
              </w:rPr>
              <w:t xml:space="preserve"> calculado por meio da média diária de todo o exercício analisado</w:t>
            </w:r>
          </w:p>
        </w:tc>
        <w:tc>
          <w:tcPr>
            <w:tcW w:w="1144" w:type="pct"/>
            <w:vMerge w:val="restart"/>
            <w:vAlign w:val="center"/>
          </w:tcPr>
          <w:p w14:paraId="06760915" w14:textId="77777777" w:rsidR="008B283A" w:rsidRPr="00AA65FC" w:rsidRDefault="00C82D1C" w:rsidP="00820D75">
            <w:pPr>
              <w:pStyle w:val="SemEspaamento"/>
              <w:jc w:val="center"/>
              <w:rPr>
                <w:rFonts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(Ask-Bid)</m:t>
                    </m:r>
                  </m:num>
                  <m:den>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Ask+Bid</m:t>
                            </m:r>
                          </m:num>
                          <m:den>
                            <m:r>
                              <w:rPr>
                                <w:rFonts w:ascii="Cambria Math" w:hAnsi="Cambria Math" w:cs="Times New Roman"/>
                                <w:sz w:val="20"/>
                                <w:szCs w:val="20"/>
                              </w:rPr>
                              <m:t>2</m:t>
                            </m:r>
                          </m:den>
                        </m:f>
                      </m:e>
                    </m:d>
                  </m:den>
                </m:f>
              </m:oMath>
            </m:oMathPara>
          </w:p>
        </w:tc>
        <w:tc>
          <w:tcPr>
            <w:tcW w:w="1052" w:type="pct"/>
            <w:vMerge w:val="restart"/>
            <w:tcBorders>
              <w:right w:val="nil"/>
            </w:tcBorders>
            <w:vAlign w:val="center"/>
          </w:tcPr>
          <w:p w14:paraId="06760916" w14:textId="77777777" w:rsidR="008B283A" w:rsidRPr="008B283A" w:rsidRDefault="008B283A" w:rsidP="00820D75">
            <w:pPr>
              <w:pStyle w:val="SemEspaamento"/>
              <w:jc w:val="center"/>
              <w:rPr>
                <w:rFonts w:cs="Times New Roman"/>
                <w:sz w:val="20"/>
                <w:szCs w:val="20"/>
                <w:lang w:val="pt-BR"/>
              </w:rPr>
            </w:pPr>
            <w:r w:rsidRPr="008B283A">
              <w:rPr>
                <w:rFonts w:cs="Times New Roman"/>
                <w:sz w:val="20"/>
                <w:szCs w:val="20"/>
                <w:lang w:val="pt-BR"/>
              </w:rPr>
              <w:t xml:space="preserve">Jiang, </w:t>
            </w:r>
            <w:proofErr w:type="spellStart"/>
            <w:r w:rsidRPr="008B283A">
              <w:rPr>
                <w:rFonts w:cs="Times New Roman"/>
                <w:sz w:val="20"/>
                <w:szCs w:val="20"/>
                <w:lang w:val="pt-BR"/>
              </w:rPr>
              <w:t>Habib</w:t>
            </w:r>
            <w:proofErr w:type="spellEnd"/>
            <w:r w:rsidRPr="008B283A">
              <w:rPr>
                <w:rFonts w:cs="Times New Roman"/>
                <w:sz w:val="20"/>
                <w:szCs w:val="20"/>
                <w:lang w:val="pt-BR"/>
              </w:rPr>
              <w:t xml:space="preserve"> e Hu (2011); Rezende, Almeida e Lemes (2015).</w:t>
            </w:r>
          </w:p>
        </w:tc>
      </w:tr>
      <w:tr w:rsidR="008B283A" w:rsidRPr="00AA65FC" w14:paraId="0676091C" w14:textId="77777777" w:rsidTr="008B283A">
        <w:trPr>
          <w:trHeight w:val="414"/>
        </w:trPr>
        <w:tc>
          <w:tcPr>
            <w:tcW w:w="831" w:type="pct"/>
            <w:tcBorders>
              <w:left w:val="nil"/>
            </w:tcBorders>
            <w:vAlign w:val="center"/>
          </w:tcPr>
          <w:p w14:paraId="06760918" w14:textId="77777777" w:rsidR="008B283A" w:rsidRPr="00AA65FC" w:rsidRDefault="008B283A" w:rsidP="00820D75">
            <w:pPr>
              <w:pStyle w:val="SemEspaamento"/>
              <w:jc w:val="center"/>
              <w:rPr>
                <w:rFonts w:cs="Times New Roman"/>
                <w:bCs/>
                <w:sz w:val="20"/>
                <w:szCs w:val="20"/>
              </w:rPr>
            </w:pPr>
            <w:r w:rsidRPr="00AA65FC">
              <w:rPr>
                <w:rFonts w:cs="Times New Roman"/>
                <w:iCs/>
                <w:sz w:val="20"/>
                <w:szCs w:val="20"/>
              </w:rPr>
              <w:t>Spread3m</w:t>
            </w:r>
            <w:r w:rsidRPr="00AA65FC">
              <w:rPr>
                <w:rFonts w:cs="Times New Roman"/>
                <w:iCs/>
                <w:sz w:val="20"/>
                <w:szCs w:val="20"/>
                <w:vertAlign w:val="subscript"/>
              </w:rPr>
              <w:t>it</w:t>
            </w:r>
          </w:p>
        </w:tc>
        <w:tc>
          <w:tcPr>
            <w:tcW w:w="1972" w:type="pct"/>
            <w:shd w:val="clear" w:color="auto" w:fill="auto"/>
            <w:vAlign w:val="center"/>
          </w:tcPr>
          <w:p w14:paraId="06760919" w14:textId="77777777" w:rsidR="008B283A" w:rsidRPr="008B283A" w:rsidRDefault="008B283A" w:rsidP="00820D75">
            <w:pPr>
              <w:pStyle w:val="SemEspaamento"/>
              <w:jc w:val="center"/>
              <w:rPr>
                <w:rFonts w:cs="Times New Roman"/>
                <w:sz w:val="20"/>
                <w:szCs w:val="20"/>
                <w:lang w:val="pt-BR"/>
              </w:rPr>
            </w:pPr>
            <w:proofErr w:type="spellStart"/>
            <w:r w:rsidRPr="008B283A">
              <w:rPr>
                <w:rFonts w:cs="Times New Roman"/>
                <w:i/>
                <w:sz w:val="20"/>
                <w:szCs w:val="20"/>
                <w:lang w:val="pt-BR"/>
              </w:rPr>
              <w:t>Bid-ask</w:t>
            </w:r>
            <w:proofErr w:type="spellEnd"/>
            <w:r w:rsidRPr="008B283A">
              <w:rPr>
                <w:rFonts w:cs="Times New Roman"/>
                <w:i/>
                <w:sz w:val="20"/>
                <w:szCs w:val="20"/>
                <w:lang w:val="pt-BR"/>
              </w:rPr>
              <w:t xml:space="preserve"> spread</w:t>
            </w:r>
            <w:r w:rsidRPr="008B283A">
              <w:rPr>
                <w:rFonts w:cs="Times New Roman"/>
                <w:sz w:val="20"/>
                <w:szCs w:val="20"/>
                <w:lang w:val="pt-BR"/>
              </w:rPr>
              <w:t xml:space="preserve"> calculado por meio da média diária de até 3 meses posteriores ao exercício analisado</w:t>
            </w:r>
          </w:p>
        </w:tc>
        <w:tc>
          <w:tcPr>
            <w:tcW w:w="1144" w:type="pct"/>
            <w:vMerge/>
          </w:tcPr>
          <w:p w14:paraId="0676091A" w14:textId="77777777" w:rsidR="008B283A" w:rsidRPr="008B283A" w:rsidRDefault="008B283A" w:rsidP="00820D75">
            <w:pPr>
              <w:pStyle w:val="SemEspaamento"/>
              <w:jc w:val="center"/>
              <w:rPr>
                <w:rFonts w:cs="Times New Roman"/>
                <w:sz w:val="20"/>
                <w:szCs w:val="20"/>
                <w:lang w:val="pt-BR"/>
              </w:rPr>
            </w:pPr>
          </w:p>
        </w:tc>
        <w:tc>
          <w:tcPr>
            <w:tcW w:w="1052" w:type="pct"/>
            <w:vMerge/>
            <w:tcBorders>
              <w:right w:val="nil"/>
            </w:tcBorders>
            <w:vAlign w:val="center"/>
          </w:tcPr>
          <w:p w14:paraId="0676091B" w14:textId="77777777" w:rsidR="008B283A" w:rsidRPr="008B283A" w:rsidRDefault="008B283A" w:rsidP="00820D75">
            <w:pPr>
              <w:pStyle w:val="SemEspaamento"/>
              <w:jc w:val="center"/>
              <w:rPr>
                <w:rFonts w:cs="Times New Roman"/>
                <w:sz w:val="20"/>
                <w:szCs w:val="20"/>
                <w:lang w:val="pt-BR"/>
              </w:rPr>
            </w:pPr>
          </w:p>
        </w:tc>
      </w:tr>
      <w:tr w:rsidR="008B283A" w:rsidRPr="00AA65FC" w14:paraId="06760921" w14:textId="77777777" w:rsidTr="008B283A">
        <w:trPr>
          <w:trHeight w:val="523"/>
        </w:trPr>
        <w:tc>
          <w:tcPr>
            <w:tcW w:w="831" w:type="pct"/>
            <w:tcBorders>
              <w:left w:val="nil"/>
            </w:tcBorders>
            <w:vAlign w:val="center"/>
          </w:tcPr>
          <w:p w14:paraId="0676091D" w14:textId="77777777" w:rsidR="008B283A" w:rsidRPr="00AA65FC" w:rsidRDefault="008B283A" w:rsidP="00820D75">
            <w:pPr>
              <w:pStyle w:val="SemEspaamento"/>
              <w:jc w:val="center"/>
              <w:rPr>
                <w:rFonts w:cs="Times New Roman"/>
                <w:bCs/>
                <w:sz w:val="20"/>
                <w:szCs w:val="20"/>
              </w:rPr>
            </w:pPr>
            <w:r w:rsidRPr="00AA65FC">
              <w:rPr>
                <w:rFonts w:cs="Times New Roman"/>
                <w:iCs/>
                <w:sz w:val="20"/>
                <w:szCs w:val="20"/>
              </w:rPr>
              <w:t>Spread6m</w:t>
            </w:r>
            <w:r w:rsidRPr="00AA65FC">
              <w:rPr>
                <w:rFonts w:cs="Times New Roman"/>
                <w:iCs/>
                <w:sz w:val="20"/>
                <w:szCs w:val="20"/>
                <w:vertAlign w:val="subscript"/>
              </w:rPr>
              <w:t>it</w:t>
            </w:r>
          </w:p>
        </w:tc>
        <w:tc>
          <w:tcPr>
            <w:tcW w:w="1972" w:type="pct"/>
            <w:shd w:val="clear" w:color="auto" w:fill="auto"/>
            <w:vAlign w:val="center"/>
          </w:tcPr>
          <w:p w14:paraId="0676091E" w14:textId="77777777" w:rsidR="008B283A" w:rsidRPr="008B283A" w:rsidRDefault="008B283A" w:rsidP="00820D75">
            <w:pPr>
              <w:pStyle w:val="SemEspaamento"/>
              <w:jc w:val="center"/>
              <w:rPr>
                <w:rFonts w:cs="Times New Roman"/>
                <w:sz w:val="20"/>
                <w:szCs w:val="20"/>
                <w:lang w:val="pt-BR"/>
              </w:rPr>
            </w:pPr>
            <w:proofErr w:type="spellStart"/>
            <w:r w:rsidRPr="008B283A">
              <w:rPr>
                <w:rFonts w:cs="Times New Roman"/>
                <w:i/>
                <w:sz w:val="20"/>
                <w:szCs w:val="20"/>
                <w:lang w:val="pt-BR"/>
              </w:rPr>
              <w:t>Bid-ask</w:t>
            </w:r>
            <w:proofErr w:type="spellEnd"/>
            <w:r w:rsidRPr="008B283A">
              <w:rPr>
                <w:rFonts w:cs="Times New Roman"/>
                <w:i/>
                <w:sz w:val="20"/>
                <w:szCs w:val="20"/>
                <w:lang w:val="pt-BR"/>
              </w:rPr>
              <w:t xml:space="preserve"> spread</w:t>
            </w:r>
            <w:r w:rsidRPr="008B283A">
              <w:rPr>
                <w:rFonts w:cs="Times New Roman"/>
                <w:sz w:val="20"/>
                <w:szCs w:val="20"/>
                <w:lang w:val="pt-BR"/>
              </w:rPr>
              <w:t xml:space="preserve"> calculado por meio da média diária de até 6 meses posteriores ao exercício analisado</w:t>
            </w:r>
          </w:p>
        </w:tc>
        <w:tc>
          <w:tcPr>
            <w:tcW w:w="1144" w:type="pct"/>
            <w:vMerge/>
          </w:tcPr>
          <w:p w14:paraId="0676091F" w14:textId="77777777" w:rsidR="008B283A" w:rsidRPr="008B283A" w:rsidRDefault="008B283A" w:rsidP="00820D75">
            <w:pPr>
              <w:pStyle w:val="SemEspaamento"/>
              <w:jc w:val="center"/>
              <w:rPr>
                <w:rFonts w:cs="Times New Roman"/>
                <w:sz w:val="20"/>
                <w:szCs w:val="20"/>
                <w:lang w:val="pt-BR"/>
              </w:rPr>
            </w:pPr>
          </w:p>
        </w:tc>
        <w:tc>
          <w:tcPr>
            <w:tcW w:w="1052" w:type="pct"/>
            <w:vMerge/>
            <w:tcBorders>
              <w:right w:val="nil"/>
            </w:tcBorders>
            <w:vAlign w:val="center"/>
          </w:tcPr>
          <w:p w14:paraId="06760920" w14:textId="77777777" w:rsidR="008B283A" w:rsidRPr="008B283A" w:rsidRDefault="008B283A" w:rsidP="00820D75">
            <w:pPr>
              <w:pStyle w:val="SemEspaamento"/>
              <w:jc w:val="center"/>
              <w:rPr>
                <w:rFonts w:cs="Times New Roman"/>
                <w:sz w:val="20"/>
                <w:szCs w:val="20"/>
                <w:lang w:val="pt-BR"/>
              </w:rPr>
            </w:pPr>
          </w:p>
        </w:tc>
      </w:tr>
      <w:tr w:rsidR="008B283A" w:rsidRPr="00AA65FC" w14:paraId="06760923" w14:textId="77777777" w:rsidTr="008B283A">
        <w:trPr>
          <w:trHeight w:val="70"/>
        </w:trPr>
        <w:tc>
          <w:tcPr>
            <w:tcW w:w="5000" w:type="pct"/>
            <w:gridSpan w:val="4"/>
            <w:tcBorders>
              <w:top w:val="single" w:sz="4" w:space="0" w:color="auto"/>
              <w:left w:val="nil"/>
              <w:bottom w:val="single" w:sz="4" w:space="0" w:color="auto"/>
              <w:right w:val="nil"/>
            </w:tcBorders>
          </w:tcPr>
          <w:p w14:paraId="06760922" w14:textId="77777777" w:rsidR="008B283A" w:rsidRPr="00AA65FC" w:rsidRDefault="008B283A" w:rsidP="00820D75">
            <w:pPr>
              <w:pStyle w:val="SemEspaamento"/>
              <w:jc w:val="center"/>
              <w:rPr>
                <w:rFonts w:cs="Times New Roman"/>
                <w:b/>
                <w:sz w:val="20"/>
                <w:szCs w:val="20"/>
              </w:rPr>
            </w:pPr>
            <w:proofErr w:type="spellStart"/>
            <w:r w:rsidRPr="00AA65FC">
              <w:rPr>
                <w:rFonts w:cs="Times New Roman"/>
                <w:b/>
                <w:sz w:val="20"/>
                <w:szCs w:val="20"/>
              </w:rPr>
              <w:t>Variáveis</w:t>
            </w:r>
            <w:proofErr w:type="spellEnd"/>
            <w:r w:rsidRPr="00AA65FC">
              <w:rPr>
                <w:rFonts w:cs="Times New Roman"/>
                <w:b/>
                <w:sz w:val="20"/>
                <w:szCs w:val="20"/>
              </w:rPr>
              <w:t xml:space="preserve"> </w:t>
            </w:r>
            <w:proofErr w:type="spellStart"/>
            <w:r w:rsidRPr="00AA65FC">
              <w:rPr>
                <w:rFonts w:cs="Times New Roman"/>
                <w:b/>
                <w:sz w:val="20"/>
                <w:szCs w:val="20"/>
              </w:rPr>
              <w:t>independentes</w:t>
            </w:r>
            <w:proofErr w:type="spellEnd"/>
          </w:p>
        </w:tc>
      </w:tr>
      <w:tr w:rsidR="008B283A" w:rsidRPr="00AA65FC" w14:paraId="06760928" w14:textId="77777777" w:rsidTr="008B283A">
        <w:trPr>
          <w:trHeight w:val="561"/>
        </w:trPr>
        <w:tc>
          <w:tcPr>
            <w:tcW w:w="831" w:type="pct"/>
            <w:tcBorders>
              <w:top w:val="single" w:sz="4" w:space="0" w:color="auto"/>
              <w:left w:val="nil"/>
              <w:bottom w:val="single" w:sz="4" w:space="0" w:color="auto"/>
              <w:right w:val="single" w:sz="4" w:space="0" w:color="auto"/>
            </w:tcBorders>
            <w:vAlign w:val="center"/>
          </w:tcPr>
          <w:p w14:paraId="06760924" w14:textId="77777777" w:rsidR="008B283A" w:rsidRPr="00AA65FC" w:rsidRDefault="008B283A" w:rsidP="00820D75">
            <w:pPr>
              <w:pStyle w:val="SemEspaamento"/>
              <w:jc w:val="center"/>
              <w:rPr>
                <w:rFonts w:cs="Times New Roman"/>
                <w:sz w:val="20"/>
                <w:szCs w:val="20"/>
              </w:rPr>
            </w:pPr>
            <w:proofErr w:type="spellStart"/>
            <w:r w:rsidRPr="00AA65FC">
              <w:rPr>
                <w:rFonts w:cs="Times New Roman"/>
                <w:sz w:val="20"/>
                <w:szCs w:val="20"/>
              </w:rPr>
              <w:t>Comitê</w:t>
            </w:r>
            <w:proofErr w:type="spellEnd"/>
            <w:r w:rsidRPr="00AA65FC">
              <w:rPr>
                <w:rFonts w:cs="Times New Roman"/>
                <w:sz w:val="20"/>
                <w:szCs w:val="20"/>
              </w:rPr>
              <w:t xml:space="preserve"> de Auditoria (CA)</w:t>
            </w:r>
          </w:p>
        </w:tc>
        <w:tc>
          <w:tcPr>
            <w:tcW w:w="1972" w:type="pct"/>
            <w:tcBorders>
              <w:top w:val="single" w:sz="4" w:space="0" w:color="auto"/>
              <w:left w:val="single" w:sz="4" w:space="0" w:color="auto"/>
              <w:bottom w:val="single" w:sz="4" w:space="0" w:color="auto"/>
              <w:right w:val="single" w:sz="4" w:space="0" w:color="auto"/>
            </w:tcBorders>
            <w:vAlign w:val="center"/>
          </w:tcPr>
          <w:p w14:paraId="06760925" w14:textId="77777777" w:rsidR="008B283A" w:rsidRPr="008B283A" w:rsidRDefault="008B283A" w:rsidP="00820D75">
            <w:pPr>
              <w:pStyle w:val="SemEspaamento"/>
              <w:jc w:val="center"/>
              <w:rPr>
                <w:rFonts w:cs="Times New Roman"/>
                <w:sz w:val="20"/>
                <w:szCs w:val="20"/>
                <w:lang w:val="pt-BR"/>
              </w:rPr>
            </w:pPr>
            <w:r w:rsidRPr="008B283A">
              <w:rPr>
                <w:rFonts w:cs="Times New Roman"/>
                <w:sz w:val="20"/>
                <w:szCs w:val="20"/>
                <w:lang w:val="pt-BR"/>
              </w:rPr>
              <w:t>Mede se a empresa possui ou não um comitê de auditoria.</w:t>
            </w:r>
          </w:p>
        </w:tc>
        <w:tc>
          <w:tcPr>
            <w:tcW w:w="1144" w:type="pct"/>
            <w:tcBorders>
              <w:top w:val="single" w:sz="4" w:space="0" w:color="auto"/>
              <w:left w:val="single" w:sz="4" w:space="0" w:color="auto"/>
              <w:bottom w:val="single" w:sz="4" w:space="0" w:color="auto"/>
              <w:right w:val="single" w:sz="4" w:space="0" w:color="auto"/>
            </w:tcBorders>
            <w:vAlign w:val="center"/>
          </w:tcPr>
          <w:p w14:paraId="06760926" w14:textId="77777777" w:rsidR="008B283A" w:rsidRPr="008B283A" w:rsidRDefault="008B283A" w:rsidP="00820D75">
            <w:pPr>
              <w:pStyle w:val="SemEspaamento"/>
              <w:jc w:val="center"/>
              <w:rPr>
                <w:rFonts w:cs="Times New Roman"/>
                <w:sz w:val="20"/>
                <w:szCs w:val="20"/>
                <w:shd w:val="clear" w:color="auto" w:fill="FFFFFF"/>
                <w:lang w:val="pt-BR"/>
              </w:rPr>
            </w:pPr>
            <w:proofErr w:type="spellStart"/>
            <w:r w:rsidRPr="008B283A">
              <w:rPr>
                <w:rFonts w:cs="Times New Roman"/>
                <w:i/>
                <w:sz w:val="20"/>
                <w:szCs w:val="20"/>
                <w:shd w:val="clear" w:color="auto" w:fill="FFFFFF"/>
                <w:lang w:val="pt-BR"/>
              </w:rPr>
              <w:t>Dummy</w:t>
            </w:r>
            <w:proofErr w:type="spellEnd"/>
            <w:r w:rsidRPr="008B283A">
              <w:rPr>
                <w:rFonts w:cs="Times New Roman"/>
                <w:sz w:val="20"/>
                <w:szCs w:val="20"/>
                <w:shd w:val="clear" w:color="auto" w:fill="FFFFFF"/>
                <w:lang w:val="pt-BR"/>
              </w:rPr>
              <w:t>: 1 se a empresa têm CA, 0 se a empresa não tem CA.</w:t>
            </w:r>
          </w:p>
        </w:tc>
        <w:tc>
          <w:tcPr>
            <w:tcW w:w="1052" w:type="pct"/>
            <w:tcBorders>
              <w:top w:val="single" w:sz="4" w:space="0" w:color="auto"/>
              <w:left w:val="single" w:sz="4" w:space="0" w:color="auto"/>
              <w:bottom w:val="single" w:sz="4" w:space="0" w:color="auto"/>
              <w:right w:val="nil"/>
            </w:tcBorders>
            <w:shd w:val="clear" w:color="auto" w:fill="auto"/>
            <w:vAlign w:val="center"/>
          </w:tcPr>
          <w:p w14:paraId="06760927" w14:textId="77777777" w:rsidR="008B283A" w:rsidRPr="008B283A" w:rsidRDefault="008B283A" w:rsidP="00820D75">
            <w:pPr>
              <w:pStyle w:val="SemEspaamento"/>
              <w:jc w:val="center"/>
              <w:rPr>
                <w:rFonts w:eastAsia="Dotum" w:cs="Times New Roman"/>
                <w:sz w:val="20"/>
                <w:szCs w:val="20"/>
                <w:lang w:val="pt-BR"/>
              </w:rPr>
            </w:pPr>
            <w:r w:rsidRPr="008B283A">
              <w:rPr>
                <w:rFonts w:cs="Times New Roman"/>
                <w:sz w:val="20"/>
                <w:szCs w:val="20"/>
                <w:lang w:val="pt-BR"/>
              </w:rPr>
              <w:t xml:space="preserve">Cunha et al. (2013); Cunha, </w:t>
            </w:r>
            <w:proofErr w:type="spellStart"/>
            <w:r w:rsidRPr="008B283A">
              <w:rPr>
                <w:rFonts w:cs="Times New Roman"/>
                <w:sz w:val="20"/>
                <w:szCs w:val="20"/>
                <w:shd w:val="clear" w:color="auto" w:fill="FFFFFF"/>
                <w:lang w:val="pt-BR"/>
              </w:rPr>
              <w:t>Hillesheim</w:t>
            </w:r>
            <w:proofErr w:type="spellEnd"/>
            <w:r w:rsidRPr="008B283A">
              <w:rPr>
                <w:rFonts w:cs="Times New Roman"/>
                <w:sz w:val="20"/>
                <w:szCs w:val="20"/>
                <w:shd w:val="clear" w:color="auto" w:fill="FFFFFF"/>
                <w:lang w:val="pt-BR"/>
              </w:rPr>
              <w:t xml:space="preserve">, </w:t>
            </w:r>
            <w:proofErr w:type="spellStart"/>
            <w:r w:rsidRPr="008B283A">
              <w:rPr>
                <w:rFonts w:cs="Times New Roman"/>
                <w:sz w:val="20"/>
                <w:szCs w:val="20"/>
                <w:shd w:val="clear" w:color="auto" w:fill="FFFFFF"/>
                <w:lang w:val="pt-BR"/>
              </w:rPr>
              <w:t>Faveri</w:t>
            </w:r>
            <w:proofErr w:type="spellEnd"/>
            <w:r w:rsidRPr="008B283A">
              <w:rPr>
                <w:rFonts w:cs="Times New Roman"/>
                <w:sz w:val="20"/>
                <w:szCs w:val="20"/>
                <w:shd w:val="clear" w:color="auto" w:fill="FFFFFF"/>
                <w:lang w:val="pt-BR"/>
              </w:rPr>
              <w:t xml:space="preserve"> e Manoel Junior </w:t>
            </w:r>
            <w:r w:rsidRPr="008B283A">
              <w:rPr>
                <w:rFonts w:cs="Times New Roman"/>
                <w:sz w:val="20"/>
                <w:szCs w:val="20"/>
                <w:lang w:val="pt-BR"/>
              </w:rPr>
              <w:t xml:space="preserve">(2014); </w:t>
            </w:r>
            <w:r w:rsidRPr="008B283A">
              <w:rPr>
                <w:rFonts w:cs="Times New Roman"/>
                <w:sz w:val="20"/>
                <w:szCs w:val="20"/>
                <w:lang w:val="pt-BR"/>
              </w:rPr>
              <w:lastRenderedPageBreak/>
              <w:t>Santos,</w:t>
            </w:r>
            <w:r w:rsidRPr="008B283A">
              <w:rPr>
                <w:rFonts w:cs="Times New Roman"/>
                <w:sz w:val="20"/>
                <w:szCs w:val="20"/>
                <w:shd w:val="clear" w:color="auto" w:fill="FFFFFF"/>
                <w:lang w:val="pt-BR"/>
              </w:rPr>
              <w:t xml:space="preserve"> </w:t>
            </w:r>
            <w:proofErr w:type="spellStart"/>
            <w:r w:rsidRPr="008B283A">
              <w:rPr>
                <w:rFonts w:cs="Times New Roman"/>
                <w:sz w:val="20"/>
                <w:szCs w:val="20"/>
                <w:shd w:val="clear" w:color="auto" w:fill="FFFFFF"/>
                <w:lang w:val="pt-BR"/>
              </w:rPr>
              <w:t>Schmeider</w:t>
            </w:r>
            <w:proofErr w:type="spellEnd"/>
            <w:r w:rsidRPr="008B283A">
              <w:rPr>
                <w:rFonts w:cs="Times New Roman"/>
                <w:sz w:val="20"/>
                <w:szCs w:val="20"/>
                <w:shd w:val="clear" w:color="auto" w:fill="FFFFFF"/>
                <w:lang w:val="pt-BR"/>
              </w:rPr>
              <w:t xml:space="preserve"> e Cunha</w:t>
            </w:r>
            <w:r w:rsidRPr="008B283A">
              <w:rPr>
                <w:rFonts w:cs="Times New Roman"/>
                <w:sz w:val="20"/>
                <w:szCs w:val="20"/>
                <w:lang w:val="pt-BR"/>
              </w:rPr>
              <w:t xml:space="preserve"> (2017).</w:t>
            </w:r>
          </w:p>
        </w:tc>
      </w:tr>
      <w:tr w:rsidR="008B283A" w:rsidRPr="006E192B" w14:paraId="0676092D" w14:textId="77777777" w:rsidTr="008B283A">
        <w:trPr>
          <w:trHeight w:val="713"/>
        </w:trPr>
        <w:tc>
          <w:tcPr>
            <w:tcW w:w="831" w:type="pct"/>
            <w:tcBorders>
              <w:top w:val="single" w:sz="4" w:space="0" w:color="auto"/>
              <w:left w:val="nil"/>
              <w:bottom w:val="single" w:sz="4" w:space="0" w:color="auto"/>
              <w:right w:val="single" w:sz="4" w:space="0" w:color="auto"/>
            </w:tcBorders>
            <w:vAlign w:val="center"/>
          </w:tcPr>
          <w:p w14:paraId="06760929" w14:textId="77777777" w:rsidR="008B283A" w:rsidRPr="00AA65FC" w:rsidRDefault="008B283A" w:rsidP="00820D75">
            <w:pPr>
              <w:pStyle w:val="Tabelas"/>
              <w:jc w:val="center"/>
              <w:rPr>
                <w:rFonts w:cs="Times New Roman"/>
                <w:szCs w:val="20"/>
              </w:rPr>
            </w:pPr>
            <w:proofErr w:type="spellStart"/>
            <w:r w:rsidRPr="00AA65FC">
              <w:rPr>
                <w:rFonts w:cs="Times New Roman"/>
                <w:szCs w:val="20"/>
              </w:rPr>
              <w:lastRenderedPageBreak/>
              <w:t>Independência</w:t>
            </w:r>
            <w:proofErr w:type="spellEnd"/>
            <w:r w:rsidRPr="00AA65FC">
              <w:rPr>
                <w:rFonts w:cs="Times New Roman"/>
                <w:szCs w:val="20"/>
              </w:rPr>
              <w:t xml:space="preserve"> (IND)</w:t>
            </w:r>
          </w:p>
        </w:tc>
        <w:tc>
          <w:tcPr>
            <w:tcW w:w="1972" w:type="pct"/>
            <w:tcBorders>
              <w:top w:val="single" w:sz="4" w:space="0" w:color="auto"/>
              <w:left w:val="single" w:sz="4" w:space="0" w:color="auto"/>
              <w:bottom w:val="single" w:sz="4" w:space="0" w:color="auto"/>
              <w:right w:val="single" w:sz="4" w:space="0" w:color="auto"/>
            </w:tcBorders>
            <w:vAlign w:val="center"/>
          </w:tcPr>
          <w:p w14:paraId="0676092A" w14:textId="77777777" w:rsidR="008B283A" w:rsidRPr="00941E69" w:rsidRDefault="008B283A" w:rsidP="00820D75">
            <w:pPr>
              <w:pStyle w:val="Tabelas"/>
              <w:jc w:val="center"/>
              <w:rPr>
                <w:rFonts w:cs="Times New Roman"/>
                <w:highlight w:val="yellow"/>
                <w:lang w:val="pt-PT"/>
              </w:rPr>
            </w:pPr>
            <w:r w:rsidRPr="00AA65FC">
              <w:rPr>
                <w:rFonts w:cs="Times New Roman"/>
                <w:lang w:val="pt-PT"/>
              </w:rPr>
              <w:t xml:space="preserve">Mede se o comitê de auditoria </w:t>
            </w:r>
            <w:r w:rsidRPr="005D2585">
              <w:rPr>
                <w:rFonts w:cs="Times New Roman"/>
                <w:lang w:val="pt-PT"/>
              </w:rPr>
              <w:t xml:space="preserve">é </w:t>
            </w:r>
            <w:r>
              <w:rPr>
                <w:rFonts w:cs="Times New Roman"/>
                <w:lang w:val="pt-PT"/>
              </w:rPr>
              <w:t xml:space="preserve">constituído por </w:t>
            </w:r>
            <w:r w:rsidRPr="008B283A">
              <w:rPr>
                <w:lang w:val="pt-BR"/>
              </w:rPr>
              <w:t>membros externos, sem função executiva.</w:t>
            </w:r>
          </w:p>
        </w:tc>
        <w:tc>
          <w:tcPr>
            <w:tcW w:w="1144" w:type="pct"/>
            <w:tcBorders>
              <w:top w:val="single" w:sz="4" w:space="0" w:color="auto"/>
              <w:left w:val="single" w:sz="4" w:space="0" w:color="auto"/>
              <w:bottom w:val="single" w:sz="4" w:space="0" w:color="auto"/>
              <w:right w:val="single" w:sz="4" w:space="0" w:color="auto"/>
            </w:tcBorders>
            <w:vAlign w:val="center"/>
          </w:tcPr>
          <w:p w14:paraId="0676092B" w14:textId="77777777" w:rsidR="008B283A" w:rsidRPr="008B283A" w:rsidRDefault="008B283A" w:rsidP="00820D75">
            <w:pPr>
              <w:pStyle w:val="SemEspaamento"/>
              <w:jc w:val="center"/>
              <w:rPr>
                <w:rFonts w:eastAsia="Dotum" w:cs="Times New Roman"/>
                <w:sz w:val="20"/>
                <w:szCs w:val="20"/>
                <w:lang w:val="pt-BR"/>
              </w:rPr>
            </w:pPr>
            <w:proofErr w:type="spellStart"/>
            <w:r w:rsidRPr="008B283A">
              <w:rPr>
                <w:rFonts w:cs="Times New Roman"/>
                <w:i/>
                <w:sz w:val="20"/>
                <w:szCs w:val="20"/>
                <w:shd w:val="clear" w:color="auto" w:fill="FFFFFF"/>
                <w:lang w:val="pt-BR"/>
              </w:rPr>
              <w:t>Dummy</w:t>
            </w:r>
            <w:proofErr w:type="spellEnd"/>
            <w:r w:rsidRPr="008B283A">
              <w:rPr>
                <w:rFonts w:cs="Times New Roman"/>
                <w:sz w:val="20"/>
                <w:szCs w:val="20"/>
                <w:shd w:val="clear" w:color="auto" w:fill="FFFFFF"/>
                <w:lang w:val="pt-BR"/>
              </w:rPr>
              <w:t>: 1 se sim, 0 se não.</w:t>
            </w:r>
          </w:p>
        </w:tc>
        <w:tc>
          <w:tcPr>
            <w:tcW w:w="1052" w:type="pct"/>
            <w:tcBorders>
              <w:top w:val="single" w:sz="4" w:space="0" w:color="auto"/>
              <w:left w:val="single" w:sz="4" w:space="0" w:color="auto"/>
              <w:bottom w:val="single" w:sz="4" w:space="0" w:color="auto"/>
              <w:right w:val="nil"/>
            </w:tcBorders>
            <w:vAlign w:val="center"/>
          </w:tcPr>
          <w:p w14:paraId="0676092C" w14:textId="77777777" w:rsidR="008B283A" w:rsidRPr="00232428" w:rsidRDefault="008B283A" w:rsidP="00820D75">
            <w:pPr>
              <w:jc w:val="center"/>
            </w:pPr>
            <w:r w:rsidRPr="00232428">
              <w:t>Abbott et al. (2004); Lin, Li e Yang (2006)</w:t>
            </w:r>
          </w:p>
        </w:tc>
      </w:tr>
      <w:tr w:rsidR="008B283A" w:rsidRPr="00AA65FC" w14:paraId="06760932" w14:textId="77777777" w:rsidTr="008B283A">
        <w:trPr>
          <w:trHeight w:val="20"/>
        </w:trPr>
        <w:tc>
          <w:tcPr>
            <w:tcW w:w="831" w:type="pct"/>
            <w:tcBorders>
              <w:top w:val="single" w:sz="4" w:space="0" w:color="auto"/>
              <w:left w:val="nil"/>
              <w:bottom w:val="single" w:sz="4" w:space="0" w:color="auto"/>
              <w:right w:val="single" w:sz="4" w:space="0" w:color="auto"/>
            </w:tcBorders>
            <w:vAlign w:val="center"/>
          </w:tcPr>
          <w:p w14:paraId="0676092E" w14:textId="77777777" w:rsidR="008B283A" w:rsidRPr="00AA65FC" w:rsidRDefault="008B283A" w:rsidP="00820D75">
            <w:pPr>
              <w:pStyle w:val="Tabelas"/>
              <w:jc w:val="center"/>
              <w:rPr>
                <w:rFonts w:cs="Times New Roman"/>
                <w:i/>
                <w:szCs w:val="20"/>
              </w:rPr>
            </w:pPr>
            <w:r w:rsidRPr="00AA65FC">
              <w:rPr>
                <w:rFonts w:cs="Times New Roman"/>
                <w:i/>
                <w:szCs w:val="20"/>
              </w:rPr>
              <w:t xml:space="preserve">Expertise </w:t>
            </w:r>
            <w:r w:rsidRPr="00AA65FC">
              <w:rPr>
                <w:rFonts w:cs="Times New Roman"/>
                <w:szCs w:val="20"/>
              </w:rPr>
              <w:t>(EXP)</w:t>
            </w:r>
          </w:p>
        </w:tc>
        <w:tc>
          <w:tcPr>
            <w:tcW w:w="1972" w:type="pct"/>
            <w:tcBorders>
              <w:top w:val="single" w:sz="4" w:space="0" w:color="auto"/>
              <w:left w:val="single" w:sz="4" w:space="0" w:color="auto"/>
              <w:bottom w:val="single" w:sz="4" w:space="0" w:color="auto"/>
              <w:right w:val="single" w:sz="4" w:space="0" w:color="auto"/>
            </w:tcBorders>
            <w:vAlign w:val="center"/>
          </w:tcPr>
          <w:p w14:paraId="0676092F" w14:textId="77777777" w:rsidR="008B283A" w:rsidRPr="00AA65FC" w:rsidRDefault="008B283A" w:rsidP="00820D75">
            <w:pPr>
              <w:pStyle w:val="Tabelas"/>
              <w:jc w:val="center"/>
              <w:rPr>
                <w:rFonts w:eastAsia="Times New Roman" w:cs="Times New Roman"/>
                <w:szCs w:val="20"/>
                <w:lang w:val="pt-PT" w:eastAsia="pt-BR"/>
              </w:rPr>
            </w:pPr>
            <w:r w:rsidRPr="00AA65FC">
              <w:rPr>
                <w:rFonts w:eastAsia="Times New Roman" w:cs="Times New Roman"/>
                <w:szCs w:val="20"/>
                <w:lang w:val="pt-PT" w:eastAsia="pt-BR"/>
              </w:rPr>
              <w:t>Mede se o comitê de auditoria é formado por pelo menos um membro com especialidade financeira, conforme lei Sarbanes-Oxley</w:t>
            </w:r>
          </w:p>
        </w:tc>
        <w:tc>
          <w:tcPr>
            <w:tcW w:w="1144" w:type="pct"/>
            <w:tcBorders>
              <w:top w:val="single" w:sz="4" w:space="0" w:color="auto"/>
              <w:left w:val="single" w:sz="4" w:space="0" w:color="auto"/>
              <w:bottom w:val="single" w:sz="4" w:space="0" w:color="auto"/>
              <w:right w:val="single" w:sz="4" w:space="0" w:color="auto"/>
            </w:tcBorders>
            <w:vAlign w:val="center"/>
          </w:tcPr>
          <w:p w14:paraId="06760930" w14:textId="77777777" w:rsidR="008B283A" w:rsidRPr="008B283A" w:rsidRDefault="008B283A" w:rsidP="00820D75">
            <w:pPr>
              <w:pStyle w:val="SemEspaamento"/>
              <w:jc w:val="center"/>
              <w:rPr>
                <w:rFonts w:eastAsia="Dotum" w:cs="Times New Roman"/>
                <w:sz w:val="20"/>
                <w:szCs w:val="20"/>
                <w:lang w:val="pt-BR"/>
              </w:rPr>
            </w:pPr>
            <w:proofErr w:type="spellStart"/>
            <w:r w:rsidRPr="008B283A">
              <w:rPr>
                <w:rFonts w:cs="Times New Roman"/>
                <w:i/>
                <w:sz w:val="20"/>
                <w:szCs w:val="20"/>
                <w:shd w:val="clear" w:color="auto" w:fill="FFFFFF"/>
                <w:lang w:val="pt-BR"/>
              </w:rPr>
              <w:t>Dummy</w:t>
            </w:r>
            <w:proofErr w:type="spellEnd"/>
            <w:r w:rsidRPr="008B283A">
              <w:rPr>
                <w:rFonts w:cs="Times New Roman"/>
                <w:sz w:val="20"/>
                <w:szCs w:val="20"/>
                <w:shd w:val="clear" w:color="auto" w:fill="FFFFFF"/>
                <w:lang w:val="pt-BR"/>
              </w:rPr>
              <w:t>: 1 se sim, 0 se não.</w:t>
            </w:r>
          </w:p>
        </w:tc>
        <w:tc>
          <w:tcPr>
            <w:tcW w:w="1052" w:type="pct"/>
            <w:tcBorders>
              <w:top w:val="single" w:sz="4" w:space="0" w:color="auto"/>
              <w:left w:val="single" w:sz="4" w:space="0" w:color="auto"/>
              <w:bottom w:val="single" w:sz="4" w:space="0" w:color="auto"/>
              <w:right w:val="nil"/>
            </w:tcBorders>
            <w:vAlign w:val="center"/>
          </w:tcPr>
          <w:p w14:paraId="06760931" w14:textId="77777777" w:rsidR="008B283A" w:rsidRPr="00AA65FC" w:rsidRDefault="008B283A" w:rsidP="00820D75">
            <w:pPr>
              <w:jc w:val="center"/>
              <w:rPr>
                <w:rFonts w:eastAsia="Dotum"/>
              </w:rPr>
            </w:pPr>
            <w:r>
              <w:t xml:space="preserve">Abbott et al. (2004); Lin, Li e Yang (2006); </w:t>
            </w:r>
            <w:r w:rsidRPr="00B114FB">
              <w:t>Cunha et al. (2014); Santos et al. (2017)</w:t>
            </w:r>
            <w:r>
              <w:t>.</w:t>
            </w:r>
          </w:p>
        </w:tc>
      </w:tr>
      <w:tr w:rsidR="008B283A" w:rsidRPr="00AA65FC" w14:paraId="06760934" w14:textId="77777777" w:rsidTr="008B283A">
        <w:trPr>
          <w:trHeight w:val="244"/>
        </w:trPr>
        <w:tc>
          <w:tcPr>
            <w:tcW w:w="5000" w:type="pct"/>
            <w:gridSpan w:val="4"/>
            <w:tcBorders>
              <w:top w:val="single" w:sz="4" w:space="0" w:color="auto"/>
              <w:left w:val="nil"/>
              <w:bottom w:val="single" w:sz="4" w:space="0" w:color="auto"/>
              <w:right w:val="nil"/>
            </w:tcBorders>
            <w:vAlign w:val="center"/>
          </w:tcPr>
          <w:p w14:paraId="06760933" w14:textId="77777777" w:rsidR="008B283A" w:rsidRPr="00AA65FC" w:rsidRDefault="008B283A" w:rsidP="00820D75">
            <w:pPr>
              <w:pStyle w:val="SemEspaamento"/>
              <w:jc w:val="center"/>
              <w:rPr>
                <w:rFonts w:eastAsia="Dotum" w:cs="Times New Roman"/>
                <w:b/>
                <w:sz w:val="20"/>
                <w:szCs w:val="20"/>
              </w:rPr>
            </w:pPr>
            <w:proofErr w:type="spellStart"/>
            <w:r w:rsidRPr="00AA65FC">
              <w:rPr>
                <w:rFonts w:cs="Times New Roman"/>
                <w:b/>
                <w:sz w:val="20"/>
                <w:szCs w:val="20"/>
              </w:rPr>
              <w:t>Variáveis</w:t>
            </w:r>
            <w:proofErr w:type="spellEnd"/>
            <w:r w:rsidRPr="00AA65FC">
              <w:rPr>
                <w:rFonts w:cs="Times New Roman"/>
                <w:b/>
                <w:sz w:val="20"/>
                <w:szCs w:val="20"/>
              </w:rPr>
              <w:t xml:space="preserve"> </w:t>
            </w:r>
            <w:proofErr w:type="spellStart"/>
            <w:r w:rsidRPr="00AA65FC">
              <w:rPr>
                <w:rFonts w:cs="Times New Roman"/>
                <w:b/>
                <w:sz w:val="20"/>
                <w:szCs w:val="20"/>
              </w:rPr>
              <w:t>independentes</w:t>
            </w:r>
            <w:proofErr w:type="spellEnd"/>
            <w:r w:rsidRPr="00AA65FC">
              <w:rPr>
                <w:rFonts w:cs="Times New Roman"/>
                <w:b/>
                <w:sz w:val="20"/>
                <w:szCs w:val="20"/>
              </w:rPr>
              <w:t xml:space="preserve"> de </w:t>
            </w:r>
            <w:proofErr w:type="spellStart"/>
            <w:r w:rsidRPr="00AA65FC">
              <w:rPr>
                <w:rFonts w:cs="Times New Roman"/>
                <w:b/>
                <w:sz w:val="20"/>
                <w:szCs w:val="20"/>
              </w:rPr>
              <w:t>controle</w:t>
            </w:r>
            <w:proofErr w:type="spellEnd"/>
          </w:p>
        </w:tc>
      </w:tr>
      <w:tr w:rsidR="008B283A" w:rsidRPr="00AA65FC" w14:paraId="06760939" w14:textId="77777777" w:rsidTr="008B283A">
        <w:trPr>
          <w:trHeight w:val="427"/>
        </w:trPr>
        <w:tc>
          <w:tcPr>
            <w:tcW w:w="831" w:type="pct"/>
            <w:tcBorders>
              <w:top w:val="single" w:sz="4" w:space="0" w:color="auto"/>
              <w:left w:val="nil"/>
              <w:bottom w:val="single" w:sz="4" w:space="0" w:color="auto"/>
              <w:right w:val="single" w:sz="4" w:space="0" w:color="auto"/>
            </w:tcBorders>
            <w:vAlign w:val="center"/>
          </w:tcPr>
          <w:p w14:paraId="06760935" w14:textId="77777777" w:rsidR="008B283A" w:rsidRPr="00AA65FC" w:rsidRDefault="008B283A" w:rsidP="00820D75">
            <w:pPr>
              <w:pStyle w:val="SemEspaamento"/>
              <w:jc w:val="center"/>
              <w:rPr>
                <w:rFonts w:cs="Times New Roman"/>
                <w:sz w:val="20"/>
                <w:szCs w:val="20"/>
              </w:rPr>
            </w:pPr>
            <w:proofErr w:type="spellStart"/>
            <w:r w:rsidRPr="00AA65FC">
              <w:rPr>
                <w:rFonts w:cs="Times New Roman"/>
                <w:sz w:val="20"/>
                <w:szCs w:val="20"/>
              </w:rPr>
              <w:t>Tamanho</w:t>
            </w:r>
            <w:proofErr w:type="spellEnd"/>
            <w:r w:rsidRPr="00AA65FC">
              <w:rPr>
                <w:rFonts w:cs="Times New Roman"/>
                <w:sz w:val="20"/>
                <w:szCs w:val="20"/>
              </w:rPr>
              <w:t xml:space="preserve"> (TAM)</w:t>
            </w:r>
          </w:p>
        </w:tc>
        <w:tc>
          <w:tcPr>
            <w:tcW w:w="1972" w:type="pct"/>
            <w:tcBorders>
              <w:top w:val="single" w:sz="4" w:space="0" w:color="auto"/>
              <w:left w:val="single" w:sz="4" w:space="0" w:color="auto"/>
              <w:bottom w:val="single" w:sz="4" w:space="0" w:color="auto"/>
              <w:right w:val="single" w:sz="4" w:space="0" w:color="auto"/>
            </w:tcBorders>
            <w:vAlign w:val="center"/>
          </w:tcPr>
          <w:p w14:paraId="06760936" w14:textId="77777777" w:rsidR="008B283A" w:rsidRPr="008B283A" w:rsidRDefault="008B283A" w:rsidP="00820D75">
            <w:pPr>
              <w:pStyle w:val="SemEspaamento"/>
              <w:jc w:val="center"/>
              <w:rPr>
                <w:rFonts w:cs="Times New Roman"/>
                <w:sz w:val="20"/>
                <w:szCs w:val="20"/>
                <w:lang w:val="pt-BR"/>
              </w:rPr>
            </w:pPr>
            <w:r w:rsidRPr="008B283A">
              <w:rPr>
                <w:rFonts w:cs="Times New Roman"/>
                <w:sz w:val="20"/>
                <w:szCs w:val="20"/>
                <w:lang w:val="pt-BR"/>
              </w:rPr>
              <w:t xml:space="preserve">Tamanho da empresa representado pelo ativo total da empresa </w:t>
            </w:r>
            <w:proofErr w:type="spellStart"/>
            <w:r w:rsidRPr="008B283A">
              <w:rPr>
                <w:rFonts w:cs="Times New Roman"/>
                <w:sz w:val="20"/>
                <w:szCs w:val="20"/>
                <w:lang w:val="pt-BR"/>
              </w:rPr>
              <w:t>logaritmizado</w:t>
            </w:r>
            <w:proofErr w:type="spellEnd"/>
            <w:r w:rsidRPr="008B283A">
              <w:rPr>
                <w:rFonts w:cs="Times New Roman"/>
                <w:sz w:val="20"/>
                <w:szCs w:val="20"/>
                <w:lang w:val="pt-BR"/>
              </w:rPr>
              <w:t>.</w:t>
            </w:r>
          </w:p>
        </w:tc>
        <w:tc>
          <w:tcPr>
            <w:tcW w:w="1144" w:type="pct"/>
            <w:tcBorders>
              <w:top w:val="single" w:sz="4" w:space="0" w:color="auto"/>
              <w:left w:val="single" w:sz="4" w:space="0" w:color="auto"/>
              <w:bottom w:val="single" w:sz="4" w:space="0" w:color="auto"/>
              <w:right w:val="single" w:sz="4" w:space="0" w:color="auto"/>
            </w:tcBorders>
            <w:vAlign w:val="center"/>
          </w:tcPr>
          <w:p w14:paraId="06760937" w14:textId="77777777" w:rsidR="008B283A" w:rsidRPr="00AA65FC" w:rsidRDefault="008B283A" w:rsidP="00820D75">
            <w:pPr>
              <w:pStyle w:val="SemEspaamento"/>
              <w:jc w:val="center"/>
              <w:rPr>
                <w:rFonts w:cs="Times New Roman"/>
                <w:sz w:val="20"/>
                <w:szCs w:val="20"/>
              </w:rPr>
            </w:pPr>
            <w:r w:rsidRPr="00AA65FC">
              <w:rPr>
                <w:rFonts w:cs="Times New Roman"/>
                <w:sz w:val="20"/>
                <w:szCs w:val="20"/>
              </w:rPr>
              <w:t xml:space="preserve">LN do </w:t>
            </w:r>
            <w:proofErr w:type="spellStart"/>
            <w:r w:rsidRPr="00AA65FC">
              <w:rPr>
                <w:rFonts w:cs="Times New Roman"/>
                <w:sz w:val="20"/>
                <w:szCs w:val="20"/>
              </w:rPr>
              <w:t>Ativo</w:t>
            </w:r>
            <w:proofErr w:type="spellEnd"/>
            <w:r w:rsidRPr="00AA65FC">
              <w:rPr>
                <w:rFonts w:cs="Times New Roman"/>
                <w:sz w:val="20"/>
                <w:szCs w:val="20"/>
              </w:rPr>
              <w:t xml:space="preserve"> Total.</w:t>
            </w:r>
          </w:p>
        </w:tc>
        <w:tc>
          <w:tcPr>
            <w:tcW w:w="1052" w:type="pct"/>
            <w:tcBorders>
              <w:top w:val="single" w:sz="4" w:space="0" w:color="auto"/>
              <w:left w:val="single" w:sz="4" w:space="0" w:color="auto"/>
              <w:bottom w:val="single" w:sz="4" w:space="0" w:color="auto"/>
              <w:right w:val="nil"/>
            </w:tcBorders>
            <w:vAlign w:val="center"/>
          </w:tcPr>
          <w:p w14:paraId="06760938" w14:textId="77777777" w:rsidR="008B283A" w:rsidRPr="008B283A" w:rsidRDefault="008B283A" w:rsidP="00820D75">
            <w:pPr>
              <w:pStyle w:val="SemEspaamento"/>
              <w:jc w:val="center"/>
              <w:rPr>
                <w:rFonts w:cs="Times New Roman"/>
                <w:sz w:val="20"/>
                <w:szCs w:val="20"/>
                <w:lang w:val="pt-BR"/>
              </w:rPr>
            </w:pPr>
            <w:r w:rsidRPr="008B283A">
              <w:rPr>
                <w:rFonts w:cs="Times New Roman"/>
                <w:sz w:val="20"/>
                <w:szCs w:val="20"/>
                <w:lang w:val="pt-BR"/>
              </w:rPr>
              <w:t xml:space="preserve">Doyle, Ge e </w:t>
            </w:r>
            <w:proofErr w:type="spellStart"/>
            <w:r w:rsidRPr="008B283A">
              <w:rPr>
                <w:rFonts w:cs="Times New Roman"/>
                <w:sz w:val="20"/>
                <w:szCs w:val="20"/>
                <w:lang w:val="pt-BR"/>
              </w:rPr>
              <w:t>McVay</w:t>
            </w:r>
            <w:proofErr w:type="spellEnd"/>
            <w:r w:rsidRPr="008B283A">
              <w:rPr>
                <w:rFonts w:cs="Times New Roman"/>
                <w:sz w:val="20"/>
                <w:szCs w:val="20"/>
                <w:lang w:val="pt-BR"/>
              </w:rPr>
              <w:t xml:space="preserve"> (2007); Silva, Cunha e Teixeira (2017)</w:t>
            </w:r>
          </w:p>
        </w:tc>
      </w:tr>
      <w:tr w:rsidR="008B283A" w:rsidRPr="00AA65FC" w14:paraId="0676093E" w14:textId="77777777" w:rsidTr="008B283A">
        <w:trPr>
          <w:trHeight w:val="425"/>
        </w:trPr>
        <w:tc>
          <w:tcPr>
            <w:tcW w:w="831" w:type="pct"/>
            <w:tcBorders>
              <w:top w:val="single" w:sz="4" w:space="0" w:color="auto"/>
              <w:left w:val="nil"/>
              <w:bottom w:val="single" w:sz="4" w:space="0" w:color="auto"/>
              <w:right w:val="single" w:sz="4" w:space="0" w:color="auto"/>
            </w:tcBorders>
            <w:vAlign w:val="center"/>
          </w:tcPr>
          <w:p w14:paraId="0676093A" w14:textId="77777777" w:rsidR="008B283A" w:rsidRPr="008B283A" w:rsidRDefault="008B283A" w:rsidP="00820D75">
            <w:pPr>
              <w:pStyle w:val="SemEspaamento"/>
              <w:jc w:val="center"/>
              <w:rPr>
                <w:rFonts w:cs="Times New Roman"/>
                <w:sz w:val="20"/>
                <w:szCs w:val="20"/>
                <w:lang w:val="pt-BR"/>
              </w:rPr>
            </w:pPr>
            <w:r w:rsidRPr="008B283A">
              <w:rPr>
                <w:rFonts w:cs="Times New Roman"/>
                <w:sz w:val="20"/>
                <w:szCs w:val="20"/>
                <w:lang w:val="pt-BR"/>
              </w:rPr>
              <w:t>Rentabilidade do Patrimônio Líquido (ROE)</w:t>
            </w:r>
          </w:p>
        </w:tc>
        <w:tc>
          <w:tcPr>
            <w:tcW w:w="1972" w:type="pct"/>
            <w:tcBorders>
              <w:top w:val="single" w:sz="4" w:space="0" w:color="auto"/>
              <w:left w:val="single" w:sz="4" w:space="0" w:color="auto"/>
              <w:bottom w:val="single" w:sz="4" w:space="0" w:color="auto"/>
              <w:right w:val="single" w:sz="4" w:space="0" w:color="auto"/>
            </w:tcBorders>
            <w:vAlign w:val="center"/>
          </w:tcPr>
          <w:p w14:paraId="0676093B" w14:textId="77777777" w:rsidR="008B283A" w:rsidRPr="00AA65FC" w:rsidRDefault="008B283A" w:rsidP="00820D75">
            <w:pPr>
              <w:pStyle w:val="SemEspaamento"/>
              <w:jc w:val="center"/>
              <w:rPr>
                <w:rFonts w:cs="Times New Roman"/>
                <w:sz w:val="20"/>
                <w:szCs w:val="20"/>
              </w:rPr>
            </w:pPr>
            <w:proofErr w:type="spellStart"/>
            <w:r w:rsidRPr="00AA65FC">
              <w:rPr>
                <w:rFonts w:cs="Times New Roman"/>
                <w:sz w:val="20"/>
                <w:szCs w:val="20"/>
              </w:rPr>
              <w:t>Rentabilidade</w:t>
            </w:r>
            <w:proofErr w:type="spellEnd"/>
            <w:r w:rsidRPr="00AA65FC">
              <w:rPr>
                <w:rFonts w:cs="Times New Roman"/>
                <w:sz w:val="20"/>
                <w:szCs w:val="20"/>
              </w:rPr>
              <w:t xml:space="preserve"> do </w:t>
            </w:r>
            <w:proofErr w:type="spellStart"/>
            <w:r w:rsidRPr="00AA65FC">
              <w:rPr>
                <w:rFonts w:cs="Times New Roman"/>
                <w:sz w:val="20"/>
                <w:szCs w:val="20"/>
              </w:rPr>
              <w:t>Patrimônio</w:t>
            </w:r>
            <w:proofErr w:type="spellEnd"/>
            <w:r w:rsidRPr="00AA65FC">
              <w:rPr>
                <w:rFonts w:cs="Times New Roman"/>
                <w:sz w:val="20"/>
                <w:szCs w:val="20"/>
              </w:rPr>
              <w:t xml:space="preserve"> </w:t>
            </w:r>
            <w:proofErr w:type="spellStart"/>
            <w:r w:rsidRPr="00AA65FC">
              <w:rPr>
                <w:rFonts w:cs="Times New Roman"/>
                <w:sz w:val="20"/>
                <w:szCs w:val="20"/>
              </w:rPr>
              <w:t>Líquido</w:t>
            </w:r>
            <w:proofErr w:type="spellEnd"/>
          </w:p>
        </w:tc>
        <w:tc>
          <w:tcPr>
            <w:tcW w:w="1144" w:type="pct"/>
            <w:tcBorders>
              <w:top w:val="single" w:sz="4" w:space="0" w:color="auto"/>
              <w:left w:val="single" w:sz="4" w:space="0" w:color="auto"/>
              <w:bottom w:val="single" w:sz="4" w:space="0" w:color="auto"/>
              <w:right w:val="single" w:sz="4" w:space="0" w:color="auto"/>
            </w:tcBorders>
            <w:vAlign w:val="center"/>
          </w:tcPr>
          <w:p w14:paraId="0676093C" w14:textId="77777777" w:rsidR="008B283A" w:rsidRPr="00AA65FC" w:rsidRDefault="008B283A" w:rsidP="00820D75">
            <w:pPr>
              <w:pStyle w:val="SemEspaamento"/>
              <w:jc w:val="center"/>
              <w:rPr>
                <w:rFonts w:cs="Times New Roman"/>
                <w:sz w:val="20"/>
                <w:szCs w:val="20"/>
              </w:rPr>
            </w:pPr>
            <w:proofErr w:type="spellStart"/>
            <w:r w:rsidRPr="00AA65FC">
              <w:rPr>
                <w:rFonts w:cs="Times New Roman"/>
                <w:sz w:val="20"/>
                <w:szCs w:val="20"/>
              </w:rPr>
              <w:t>Lucro</w:t>
            </w:r>
            <w:proofErr w:type="spellEnd"/>
            <w:r w:rsidRPr="00AA65FC">
              <w:rPr>
                <w:rFonts w:cs="Times New Roman"/>
                <w:sz w:val="20"/>
                <w:szCs w:val="20"/>
              </w:rPr>
              <w:t xml:space="preserve"> </w:t>
            </w:r>
            <w:proofErr w:type="spellStart"/>
            <w:r w:rsidRPr="00AA65FC">
              <w:rPr>
                <w:rFonts w:cs="Times New Roman"/>
                <w:sz w:val="20"/>
                <w:szCs w:val="20"/>
              </w:rPr>
              <w:t>Líquido</w:t>
            </w:r>
            <w:proofErr w:type="spellEnd"/>
            <w:r w:rsidRPr="00AA65FC">
              <w:rPr>
                <w:rFonts w:cs="Times New Roman"/>
                <w:sz w:val="20"/>
                <w:szCs w:val="20"/>
              </w:rPr>
              <w:t xml:space="preserve"> / </w:t>
            </w:r>
            <w:proofErr w:type="spellStart"/>
            <w:r w:rsidRPr="00AA65FC">
              <w:rPr>
                <w:rFonts w:cs="Times New Roman"/>
                <w:sz w:val="20"/>
                <w:szCs w:val="20"/>
              </w:rPr>
              <w:t>Patrimônio</w:t>
            </w:r>
            <w:proofErr w:type="spellEnd"/>
            <w:r w:rsidRPr="00AA65FC">
              <w:rPr>
                <w:rFonts w:cs="Times New Roman"/>
                <w:sz w:val="20"/>
                <w:szCs w:val="20"/>
              </w:rPr>
              <w:t xml:space="preserve"> </w:t>
            </w:r>
            <w:proofErr w:type="spellStart"/>
            <w:r w:rsidRPr="00AA65FC">
              <w:rPr>
                <w:rFonts w:cs="Times New Roman"/>
                <w:sz w:val="20"/>
                <w:szCs w:val="20"/>
              </w:rPr>
              <w:t>Líquido</w:t>
            </w:r>
            <w:proofErr w:type="spellEnd"/>
          </w:p>
        </w:tc>
        <w:tc>
          <w:tcPr>
            <w:tcW w:w="1052" w:type="pct"/>
            <w:tcBorders>
              <w:top w:val="single" w:sz="4" w:space="0" w:color="auto"/>
              <w:left w:val="single" w:sz="4" w:space="0" w:color="auto"/>
              <w:bottom w:val="single" w:sz="4" w:space="0" w:color="auto"/>
              <w:right w:val="nil"/>
            </w:tcBorders>
            <w:vAlign w:val="center"/>
          </w:tcPr>
          <w:p w14:paraId="0676093D" w14:textId="77777777" w:rsidR="008B283A" w:rsidRPr="00AA65FC" w:rsidRDefault="008B283A" w:rsidP="00820D75">
            <w:pPr>
              <w:pStyle w:val="SemEspaamento"/>
              <w:jc w:val="center"/>
              <w:rPr>
                <w:rFonts w:cs="Times New Roman"/>
                <w:sz w:val="20"/>
                <w:szCs w:val="20"/>
              </w:rPr>
            </w:pPr>
            <w:r w:rsidRPr="008B283A">
              <w:rPr>
                <w:rFonts w:cs="Times New Roman"/>
                <w:sz w:val="20"/>
                <w:szCs w:val="20"/>
                <w:lang w:val="pt-BR"/>
              </w:rPr>
              <w:t xml:space="preserve">Doyle, et al. (2007); Silva et al. </w:t>
            </w:r>
            <w:r w:rsidRPr="00AA65FC">
              <w:rPr>
                <w:rFonts w:cs="Times New Roman"/>
                <w:sz w:val="20"/>
                <w:szCs w:val="20"/>
              </w:rPr>
              <w:t>(2017)</w:t>
            </w:r>
            <w:r>
              <w:rPr>
                <w:rFonts w:cs="Times New Roman"/>
                <w:sz w:val="20"/>
                <w:szCs w:val="20"/>
              </w:rPr>
              <w:t>.</w:t>
            </w:r>
          </w:p>
        </w:tc>
      </w:tr>
      <w:tr w:rsidR="008B283A" w:rsidRPr="00AA65FC" w14:paraId="06760943" w14:textId="77777777" w:rsidTr="00FF47EC">
        <w:trPr>
          <w:trHeight w:val="806"/>
        </w:trPr>
        <w:tc>
          <w:tcPr>
            <w:tcW w:w="831" w:type="pct"/>
            <w:tcBorders>
              <w:top w:val="single" w:sz="4" w:space="0" w:color="auto"/>
              <w:left w:val="nil"/>
              <w:bottom w:val="single" w:sz="12" w:space="0" w:color="auto"/>
              <w:right w:val="single" w:sz="4" w:space="0" w:color="auto"/>
            </w:tcBorders>
            <w:vAlign w:val="center"/>
          </w:tcPr>
          <w:p w14:paraId="0676093F" w14:textId="77777777" w:rsidR="008B283A" w:rsidRPr="00AA65FC" w:rsidRDefault="008B283A" w:rsidP="00820D75">
            <w:pPr>
              <w:pStyle w:val="SemEspaamento"/>
              <w:jc w:val="center"/>
              <w:rPr>
                <w:rFonts w:cs="Times New Roman"/>
                <w:sz w:val="20"/>
                <w:szCs w:val="20"/>
              </w:rPr>
            </w:pPr>
            <w:proofErr w:type="spellStart"/>
            <w:r w:rsidRPr="00AA65FC">
              <w:rPr>
                <w:rFonts w:cs="Times New Roman"/>
                <w:sz w:val="20"/>
                <w:szCs w:val="20"/>
              </w:rPr>
              <w:t>Endividamento</w:t>
            </w:r>
            <w:proofErr w:type="spellEnd"/>
            <w:r w:rsidRPr="00AA65FC">
              <w:rPr>
                <w:rFonts w:cs="Times New Roman"/>
                <w:sz w:val="20"/>
                <w:szCs w:val="20"/>
              </w:rPr>
              <w:t xml:space="preserve"> (END)</w:t>
            </w:r>
          </w:p>
        </w:tc>
        <w:tc>
          <w:tcPr>
            <w:tcW w:w="1972" w:type="pct"/>
            <w:tcBorders>
              <w:top w:val="single" w:sz="4" w:space="0" w:color="auto"/>
              <w:left w:val="single" w:sz="4" w:space="0" w:color="auto"/>
              <w:bottom w:val="single" w:sz="12" w:space="0" w:color="auto"/>
              <w:right w:val="single" w:sz="4" w:space="0" w:color="auto"/>
            </w:tcBorders>
            <w:vAlign w:val="center"/>
          </w:tcPr>
          <w:p w14:paraId="06760940" w14:textId="77777777" w:rsidR="008B283A" w:rsidRPr="008B283A" w:rsidRDefault="008B283A" w:rsidP="00820D75">
            <w:pPr>
              <w:pStyle w:val="SemEspaamento"/>
              <w:jc w:val="center"/>
              <w:rPr>
                <w:rFonts w:cs="Times New Roman"/>
                <w:sz w:val="20"/>
                <w:szCs w:val="20"/>
                <w:lang w:val="pt-BR"/>
              </w:rPr>
            </w:pPr>
            <w:r w:rsidRPr="008B283A">
              <w:rPr>
                <w:rFonts w:cs="Times New Roman"/>
                <w:sz w:val="20"/>
                <w:szCs w:val="20"/>
                <w:lang w:val="pt-BR"/>
              </w:rPr>
              <w:t>Endividamento da empresa, representado pela soma do passivo circulante, mais passivo não circulante, escalonado pelo ativo total da empresa.</w:t>
            </w:r>
          </w:p>
        </w:tc>
        <w:tc>
          <w:tcPr>
            <w:tcW w:w="1144" w:type="pct"/>
            <w:tcBorders>
              <w:top w:val="single" w:sz="4" w:space="0" w:color="auto"/>
              <w:left w:val="single" w:sz="4" w:space="0" w:color="auto"/>
              <w:bottom w:val="single" w:sz="12" w:space="0" w:color="auto"/>
              <w:right w:val="single" w:sz="4" w:space="0" w:color="auto"/>
            </w:tcBorders>
            <w:vAlign w:val="center"/>
          </w:tcPr>
          <w:p w14:paraId="06760941" w14:textId="77777777" w:rsidR="008B283A" w:rsidRPr="008B283A" w:rsidRDefault="008B283A" w:rsidP="00820D75">
            <w:pPr>
              <w:pStyle w:val="SemEspaamento"/>
              <w:jc w:val="center"/>
              <w:rPr>
                <w:rFonts w:cs="Times New Roman"/>
                <w:sz w:val="20"/>
                <w:szCs w:val="20"/>
                <w:lang w:val="pt-BR"/>
              </w:rPr>
            </w:pPr>
            <w:r w:rsidRPr="008B283A">
              <w:rPr>
                <w:rFonts w:cs="Times New Roman"/>
                <w:sz w:val="20"/>
                <w:szCs w:val="20"/>
                <w:lang w:val="pt-BR"/>
              </w:rPr>
              <w:t>(Passivo Circulante + Passivo Não Circulante) / Ativo total</w:t>
            </w:r>
          </w:p>
        </w:tc>
        <w:tc>
          <w:tcPr>
            <w:tcW w:w="1052" w:type="pct"/>
            <w:tcBorders>
              <w:top w:val="single" w:sz="4" w:space="0" w:color="auto"/>
              <w:left w:val="single" w:sz="4" w:space="0" w:color="auto"/>
              <w:bottom w:val="single" w:sz="12" w:space="0" w:color="auto"/>
              <w:right w:val="nil"/>
            </w:tcBorders>
            <w:vAlign w:val="center"/>
          </w:tcPr>
          <w:p w14:paraId="06760942" w14:textId="77777777" w:rsidR="008B283A" w:rsidRPr="00AA65FC" w:rsidRDefault="008B283A" w:rsidP="00820D75">
            <w:pPr>
              <w:pStyle w:val="SemEspaamento"/>
              <w:jc w:val="center"/>
              <w:rPr>
                <w:rFonts w:cs="Times New Roman"/>
                <w:sz w:val="20"/>
                <w:szCs w:val="20"/>
              </w:rPr>
            </w:pPr>
            <w:r w:rsidRPr="00232428">
              <w:rPr>
                <w:rFonts w:cs="Times New Roman"/>
                <w:sz w:val="20"/>
                <w:szCs w:val="20"/>
              </w:rPr>
              <w:t xml:space="preserve">Bushman, </w:t>
            </w:r>
            <w:r w:rsidRPr="00232428">
              <w:rPr>
                <w:rFonts w:cs="Times New Roman"/>
                <w:color w:val="222222"/>
                <w:sz w:val="20"/>
                <w:szCs w:val="20"/>
                <w:shd w:val="clear" w:color="auto" w:fill="FFFFFF"/>
              </w:rPr>
              <w:t xml:space="preserve">Chen, Engel e Smith, </w:t>
            </w:r>
            <w:r w:rsidRPr="00232428">
              <w:rPr>
                <w:rFonts w:cs="Times New Roman"/>
                <w:sz w:val="20"/>
                <w:szCs w:val="20"/>
              </w:rPr>
              <w:t xml:space="preserve">(2004); Silva et al. </w:t>
            </w:r>
            <w:r w:rsidRPr="00AA65FC">
              <w:rPr>
                <w:rFonts w:cs="Times New Roman"/>
                <w:sz w:val="20"/>
                <w:szCs w:val="20"/>
              </w:rPr>
              <w:t>(2017)</w:t>
            </w:r>
            <w:r>
              <w:rPr>
                <w:rFonts w:cs="Times New Roman"/>
                <w:sz w:val="20"/>
                <w:szCs w:val="20"/>
              </w:rPr>
              <w:t>.</w:t>
            </w:r>
          </w:p>
        </w:tc>
      </w:tr>
    </w:tbl>
    <w:p w14:paraId="06760944" w14:textId="77777777" w:rsidR="008B283A" w:rsidRPr="00AA65FC" w:rsidRDefault="008B283A" w:rsidP="00820D75">
      <w:pPr>
        <w:jc w:val="both"/>
      </w:pPr>
      <w:r w:rsidRPr="00AA65FC">
        <w:t xml:space="preserve">Fonte: Dados da pesquisa. </w:t>
      </w:r>
    </w:p>
    <w:p w14:paraId="06760945" w14:textId="77777777" w:rsidR="008B283A" w:rsidRPr="00AA65FC" w:rsidRDefault="008B283A" w:rsidP="00820D75">
      <w:pPr>
        <w:jc w:val="both"/>
        <w:rPr>
          <w:b/>
          <w:sz w:val="24"/>
          <w:szCs w:val="24"/>
        </w:rPr>
      </w:pPr>
    </w:p>
    <w:p w14:paraId="06760946" w14:textId="656532A7" w:rsidR="008B283A" w:rsidRDefault="008B283A" w:rsidP="00820D75">
      <w:pPr>
        <w:ind w:firstLine="708"/>
        <w:jc w:val="both"/>
        <w:rPr>
          <w:sz w:val="24"/>
          <w:szCs w:val="24"/>
        </w:rPr>
      </w:pPr>
      <w:r w:rsidRPr="00AA65FC">
        <w:rPr>
          <w:sz w:val="24"/>
          <w:szCs w:val="24"/>
        </w:rPr>
        <w:t xml:space="preserve">Para a análise da assimetria da informação, utilizou-se </w:t>
      </w:r>
      <w:r>
        <w:rPr>
          <w:sz w:val="24"/>
          <w:szCs w:val="24"/>
        </w:rPr>
        <w:t xml:space="preserve">como </w:t>
      </w:r>
      <w:r w:rsidRPr="00F77C8A">
        <w:rPr>
          <w:i/>
          <w:sz w:val="24"/>
          <w:szCs w:val="24"/>
        </w:rPr>
        <w:t>proxy</w:t>
      </w:r>
      <w:r>
        <w:rPr>
          <w:sz w:val="24"/>
          <w:szCs w:val="24"/>
        </w:rPr>
        <w:t xml:space="preserve"> o</w:t>
      </w:r>
      <w:r w:rsidRPr="00AA65FC">
        <w:rPr>
          <w:sz w:val="24"/>
          <w:szCs w:val="24"/>
        </w:rPr>
        <w:t xml:space="preserve"> </w:t>
      </w:r>
      <w:proofErr w:type="spellStart"/>
      <w:r w:rsidRPr="00AA65FC">
        <w:rPr>
          <w:i/>
          <w:sz w:val="24"/>
          <w:szCs w:val="24"/>
        </w:rPr>
        <w:t>Bid-ask</w:t>
      </w:r>
      <w:proofErr w:type="spellEnd"/>
      <w:r w:rsidRPr="00AA65FC">
        <w:rPr>
          <w:i/>
          <w:sz w:val="24"/>
          <w:szCs w:val="24"/>
        </w:rPr>
        <w:t xml:space="preserve"> spread</w:t>
      </w:r>
      <w:r>
        <w:rPr>
          <w:sz w:val="24"/>
          <w:szCs w:val="24"/>
        </w:rPr>
        <w:t xml:space="preserve"> que visa medir a informação assimétrica existente quando os compradores selecionam de maneira inadequada alguma ação no mercado. Desta forma, o </w:t>
      </w:r>
      <w:proofErr w:type="spellStart"/>
      <w:r w:rsidRPr="00F23208">
        <w:rPr>
          <w:i/>
          <w:sz w:val="24"/>
          <w:szCs w:val="24"/>
        </w:rPr>
        <w:t>bid-ask</w:t>
      </w:r>
      <w:proofErr w:type="spellEnd"/>
      <w:r w:rsidRPr="00F23208">
        <w:rPr>
          <w:i/>
          <w:sz w:val="24"/>
          <w:szCs w:val="24"/>
        </w:rPr>
        <w:t xml:space="preserve"> spread</w:t>
      </w:r>
      <w:r>
        <w:rPr>
          <w:sz w:val="24"/>
          <w:szCs w:val="24"/>
        </w:rPr>
        <w:t xml:space="preserve">, por suas medidas de </w:t>
      </w:r>
      <w:proofErr w:type="spellStart"/>
      <w:r w:rsidRPr="00F23208">
        <w:rPr>
          <w:i/>
          <w:sz w:val="24"/>
          <w:szCs w:val="24"/>
        </w:rPr>
        <w:t>bid</w:t>
      </w:r>
      <w:proofErr w:type="spellEnd"/>
      <w:r w:rsidRPr="00F23208">
        <w:rPr>
          <w:i/>
          <w:sz w:val="24"/>
          <w:szCs w:val="24"/>
        </w:rPr>
        <w:t xml:space="preserve"> </w:t>
      </w:r>
      <w:r>
        <w:rPr>
          <w:sz w:val="24"/>
          <w:szCs w:val="24"/>
        </w:rPr>
        <w:t xml:space="preserve">(melhor oferta de compra) e </w:t>
      </w:r>
      <w:proofErr w:type="spellStart"/>
      <w:r w:rsidRPr="00F23208">
        <w:rPr>
          <w:i/>
          <w:sz w:val="24"/>
          <w:szCs w:val="24"/>
        </w:rPr>
        <w:t>ask</w:t>
      </w:r>
      <w:proofErr w:type="spellEnd"/>
      <w:r>
        <w:rPr>
          <w:sz w:val="24"/>
          <w:szCs w:val="24"/>
        </w:rPr>
        <w:t xml:space="preserve"> (melhor oferta de venda), visa medir a assimetria de informação, sendo que, em mercados onde os compradores possuem informação simétrica comprariam e venderiam pelo mesmo valor, não existindo assim assimetria e o </w:t>
      </w:r>
      <w:proofErr w:type="spellStart"/>
      <w:r w:rsidRPr="00CA1D16">
        <w:rPr>
          <w:i/>
          <w:sz w:val="24"/>
          <w:szCs w:val="24"/>
        </w:rPr>
        <w:t>bid</w:t>
      </w:r>
      <w:proofErr w:type="spellEnd"/>
      <w:r w:rsidRPr="00CA1D16">
        <w:rPr>
          <w:i/>
          <w:sz w:val="24"/>
          <w:szCs w:val="24"/>
        </w:rPr>
        <w:t xml:space="preserve"> </w:t>
      </w:r>
      <w:proofErr w:type="spellStart"/>
      <w:r w:rsidRPr="00CA1D16">
        <w:rPr>
          <w:i/>
          <w:sz w:val="24"/>
          <w:szCs w:val="24"/>
        </w:rPr>
        <w:t>aks</w:t>
      </w:r>
      <w:proofErr w:type="spellEnd"/>
      <w:r w:rsidRPr="00CA1D16">
        <w:rPr>
          <w:i/>
          <w:sz w:val="24"/>
          <w:szCs w:val="24"/>
        </w:rPr>
        <w:t xml:space="preserve"> spread</w:t>
      </w:r>
      <w:r>
        <w:rPr>
          <w:sz w:val="24"/>
          <w:szCs w:val="24"/>
        </w:rPr>
        <w:t xml:space="preserve"> seria zero (</w:t>
      </w:r>
      <w:proofErr w:type="spellStart"/>
      <w:r>
        <w:rPr>
          <w:sz w:val="24"/>
          <w:szCs w:val="24"/>
        </w:rPr>
        <w:t>Yoon</w:t>
      </w:r>
      <w:proofErr w:type="spellEnd"/>
      <w:r>
        <w:rPr>
          <w:sz w:val="24"/>
          <w:szCs w:val="24"/>
        </w:rPr>
        <w:t xml:space="preserve">, </w:t>
      </w:r>
      <w:proofErr w:type="spellStart"/>
      <w:r>
        <w:rPr>
          <w:sz w:val="24"/>
          <w:szCs w:val="24"/>
        </w:rPr>
        <w:t>Zo</w:t>
      </w:r>
      <w:proofErr w:type="spellEnd"/>
      <w:r w:rsidR="00C519D8">
        <w:rPr>
          <w:sz w:val="24"/>
          <w:szCs w:val="24"/>
        </w:rPr>
        <w:t xml:space="preserve"> &amp;</w:t>
      </w:r>
      <w:r>
        <w:rPr>
          <w:sz w:val="24"/>
          <w:szCs w:val="24"/>
        </w:rPr>
        <w:t xml:space="preserve"> </w:t>
      </w:r>
      <w:proofErr w:type="spellStart"/>
      <w:r>
        <w:rPr>
          <w:sz w:val="24"/>
          <w:szCs w:val="24"/>
        </w:rPr>
        <w:t>Ciganek</w:t>
      </w:r>
      <w:proofErr w:type="spellEnd"/>
      <w:r>
        <w:rPr>
          <w:sz w:val="24"/>
          <w:szCs w:val="24"/>
        </w:rPr>
        <w:t xml:space="preserve">, 2011). </w:t>
      </w:r>
    </w:p>
    <w:p w14:paraId="06760947" w14:textId="77777777" w:rsidR="008B283A" w:rsidRDefault="008B283A" w:rsidP="00820D75">
      <w:pPr>
        <w:ind w:firstLine="708"/>
        <w:jc w:val="both"/>
        <w:rPr>
          <w:sz w:val="24"/>
          <w:szCs w:val="24"/>
        </w:rPr>
      </w:pPr>
      <w:r>
        <w:rPr>
          <w:sz w:val="24"/>
          <w:szCs w:val="24"/>
        </w:rPr>
        <w:t xml:space="preserve">Tem-se que o Brasil se configura em um cenário adequado para investigar o problema de seleção adversa, visto que estudos anteriores demonstraram a existência da mesma. Dessa forma, foi utilizada a medida de </w:t>
      </w:r>
      <w:proofErr w:type="spellStart"/>
      <w:r w:rsidRPr="00B12355">
        <w:rPr>
          <w:i/>
          <w:sz w:val="24"/>
          <w:szCs w:val="24"/>
        </w:rPr>
        <w:t>bid</w:t>
      </w:r>
      <w:proofErr w:type="spellEnd"/>
      <w:r w:rsidRPr="00B12355">
        <w:rPr>
          <w:i/>
          <w:sz w:val="24"/>
          <w:szCs w:val="24"/>
        </w:rPr>
        <w:t xml:space="preserve"> </w:t>
      </w:r>
      <w:proofErr w:type="spellStart"/>
      <w:r w:rsidRPr="00B12355">
        <w:rPr>
          <w:i/>
          <w:sz w:val="24"/>
          <w:szCs w:val="24"/>
        </w:rPr>
        <w:t>ask</w:t>
      </w:r>
      <w:proofErr w:type="spellEnd"/>
      <w:r w:rsidRPr="00B12355">
        <w:rPr>
          <w:i/>
          <w:sz w:val="24"/>
          <w:szCs w:val="24"/>
        </w:rPr>
        <w:t xml:space="preserve"> spread</w:t>
      </w:r>
      <w:r>
        <w:rPr>
          <w:sz w:val="24"/>
          <w:szCs w:val="24"/>
        </w:rPr>
        <w:t xml:space="preserve"> devido a estudos anteriores também a terem utilizado em cenário brasileiro, como o estudo de Marques (2016).</w:t>
      </w:r>
    </w:p>
    <w:p w14:paraId="06760948" w14:textId="567F7E5D" w:rsidR="008B283A" w:rsidRPr="00AA65FC" w:rsidRDefault="008B283A" w:rsidP="00820D75">
      <w:pPr>
        <w:ind w:firstLine="708"/>
        <w:jc w:val="both"/>
        <w:rPr>
          <w:sz w:val="24"/>
          <w:szCs w:val="24"/>
        </w:rPr>
      </w:pPr>
      <w:r>
        <w:rPr>
          <w:sz w:val="24"/>
          <w:szCs w:val="24"/>
        </w:rPr>
        <w:t>A</w:t>
      </w:r>
      <w:r w:rsidRPr="00AA65FC">
        <w:rPr>
          <w:sz w:val="24"/>
          <w:szCs w:val="24"/>
        </w:rPr>
        <w:t xml:space="preserve"> métrica </w:t>
      </w:r>
      <w:r>
        <w:rPr>
          <w:sz w:val="24"/>
          <w:szCs w:val="24"/>
        </w:rPr>
        <w:t xml:space="preserve">de assimetria informacional </w:t>
      </w:r>
      <w:r w:rsidRPr="00AA65FC">
        <w:rPr>
          <w:sz w:val="24"/>
          <w:szCs w:val="24"/>
        </w:rPr>
        <w:t>foi calculada diariamente para cada uma das empresas da amostra</w:t>
      </w:r>
      <w:r>
        <w:rPr>
          <w:sz w:val="24"/>
          <w:szCs w:val="24"/>
        </w:rPr>
        <w:t>. Após cálculo diário, realizou-se o cálculo de três formas diferentes, a primeira medida do</w:t>
      </w:r>
      <w:r w:rsidRPr="00AA65FC">
        <w:rPr>
          <w:sz w:val="24"/>
          <w:szCs w:val="24"/>
        </w:rPr>
        <w:t xml:space="preserve"> </w:t>
      </w:r>
      <w:r w:rsidRPr="00AA65FC">
        <w:rPr>
          <w:i/>
          <w:sz w:val="24"/>
          <w:szCs w:val="24"/>
        </w:rPr>
        <w:t>Spread</w:t>
      </w:r>
      <w:r w:rsidRPr="00AA65FC">
        <w:rPr>
          <w:sz w:val="24"/>
          <w:szCs w:val="24"/>
        </w:rPr>
        <w:t xml:space="preserve"> </w:t>
      </w:r>
      <w:r>
        <w:rPr>
          <w:sz w:val="24"/>
          <w:szCs w:val="24"/>
        </w:rPr>
        <w:t xml:space="preserve">foi calculada para </w:t>
      </w:r>
      <w:r w:rsidRPr="00AA65FC">
        <w:rPr>
          <w:sz w:val="24"/>
          <w:szCs w:val="24"/>
        </w:rPr>
        <w:t>o final do exercício analisado</w:t>
      </w:r>
      <w:r>
        <w:rPr>
          <w:sz w:val="24"/>
          <w:szCs w:val="24"/>
        </w:rPr>
        <w:t>. A segunda medida para os</w:t>
      </w:r>
      <w:r w:rsidRPr="00AA65FC">
        <w:rPr>
          <w:sz w:val="24"/>
          <w:szCs w:val="24"/>
        </w:rPr>
        <w:t xml:space="preserve"> três</w:t>
      </w:r>
      <w:r>
        <w:rPr>
          <w:sz w:val="24"/>
          <w:szCs w:val="24"/>
        </w:rPr>
        <w:t xml:space="preserve"> </w:t>
      </w:r>
      <w:r w:rsidRPr="00AA65FC">
        <w:rPr>
          <w:sz w:val="24"/>
          <w:szCs w:val="24"/>
        </w:rPr>
        <w:t>meses</w:t>
      </w:r>
      <w:r>
        <w:rPr>
          <w:sz w:val="24"/>
          <w:szCs w:val="24"/>
        </w:rPr>
        <w:t xml:space="preserve"> após </w:t>
      </w:r>
      <w:r w:rsidRPr="00AA65FC">
        <w:rPr>
          <w:sz w:val="24"/>
          <w:szCs w:val="24"/>
        </w:rPr>
        <w:t>o término do exercício</w:t>
      </w:r>
      <w:r>
        <w:rPr>
          <w:sz w:val="24"/>
          <w:szCs w:val="24"/>
        </w:rPr>
        <w:t xml:space="preserve"> </w:t>
      </w:r>
      <w:r w:rsidR="00B20E00">
        <w:rPr>
          <w:sz w:val="24"/>
          <w:szCs w:val="24"/>
        </w:rPr>
        <w:t>(12 meses do ano t</w:t>
      </w:r>
      <w:r w:rsidR="00BD7D9B">
        <w:rPr>
          <w:sz w:val="24"/>
          <w:szCs w:val="24"/>
        </w:rPr>
        <w:t xml:space="preserve">, </w:t>
      </w:r>
      <w:r w:rsidR="005648AC">
        <w:rPr>
          <w:sz w:val="24"/>
          <w:szCs w:val="24"/>
        </w:rPr>
        <w:t>somado à</w:t>
      </w:r>
      <w:r w:rsidR="00BD7D9B">
        <w:rPr>
          <w:sz w:val="24"/>
          <w:szCs w:val="24"/>
        </w:rPr>
        <w:t xml:space="preserve"> 3 meses do ano t+</w:t>
      </w:r>
      <w:proofErr w:type="gramStart"/>
      <w:r w:rsidR="00BD7D9B">
        <w:rPr>
          <w:sz w:val="24"/>
          <w:szCs w:val="24"/>
        </w:rPr>
        <w:t>1)</w:t>
      </w:r>
      <w:r>
        <w:rPr>
          <w:sz w:val="24"/>
          <w:szCs w:val="24"/>
        </w:rPr>
        <w:t>e</w:t>
      </w:r>
      <w:proofErr w:type="gramEnd"/>
      <w:r>
        <w:rPr>
          <w:sz w:val="24"/>
          <w:szCs w:val="24"/>
        </w:rPr>
        <w:t xml:space="preserve"> por fim, a última medida foi calculada até seis meses posteriores ao final do exercício</w:t>
      </w:r>
      <w:r w:rsidR="005648AC">
        <w:rPr>
          <w:sz w:val="24"/>
          <w:szCs w:val="24"/>
        </w:rPr>
        <w:t xml:space="preserve"> (12 meses do ano t, somado à 6 meses do ano t+1)</w:t>
      </w:r>
      <w:r>
        <w:rPr>
          <w:sz w:val="24"/>
          <w:szCs w:val="24"/>
        </w:rPr>
        <w:t>. Essas diferentes medidas foram utilizadas a fim de</w:t>
      </w:r>
      <w:r w:rsidRPr="00AA65FC">
        <w:rPr>
          <w:sz w:val="24"/>
          <w:szCs w:val="24"/>
        </w:rPr>
        <w:t xml:space="preserve"> </w:t>
      </w:r>
      <w:r>
        <w:rPr>
          <w:sz w:val="24"/>
          <w:szCs w:val="24"/>
        </w:rPr>
        <w:t>verificar a mudança</w:t>
      </w:r>
      <w:r w:rsidRPr="00AA65FC">
        <w:rPr>
          <w:sz w:val="24"/>
          <w:szCs w:val="24"/>
        </w:rPr>
        <w:t xml:space="preserve"> </w:t>
      </w:r>
      <w:r>
        <w:rPr>
          <w:sz w:val="24"/>
          <w:szCs w:val="24"/>
        </w:rPr>
        <w:t>n</w:t>
      </w:r>
      <w:r w:rsidRPr="00AA65FC">
        <w:rPr>
          <w:sz w:val="24"/>
          <w:szCs w:val="24"/>
        </w:rPr>
        <w:t>a assimetria informacional</w:t>
      </w:r>
      <w:r>
        <w:rPr>
          <w:sz w:val="24"/>
          <w:szCs w:val="24"/>
        </w:rPr>
        <w:t>,</w:t>
      </w:r>
      <w:r w:rsidRPr="00AA65FC">
        <w:rPr>
          <w:sz w:val="24"/>
          <w:szCs w:val="24"/>
        </w:rPr>
        <w:t xml:space="preserve"> nesse conjunto temporal.</w:t>
      </w:r>
    </w:p>
    <w:p w14:paraId="06760949" w14:textId="6FCB38A4" w:rsidR="008B283A" w:rsidRDefault="008B283A" w:rsidP="00820D75">
      <w:pPr>
        <w:ind w:firstLine="708"/>
        <w:jc w:val="both"/>
        <w:rPr>
          <w:i/>
          <w:sz w:val="24"/>
          <w:szCs w:val="24"/>
        </w:rPr>
      </w:pPr>
      <w:r>
        <w:rPr>
          <w:sz w:val="24"/>
          <w:szCs w:val="24"/>
        </w:rPr>
        <w:t xml:space="preserve">As </w:t>
      </w:r>
      <w:r w:rsidRPr="00AA65FC">
        <w:rPr>
          <w:sz w:val="24"/>
          <w:szCs w:val="24"/>
        </w:rPr>
        <w:t xml:space="preserve">variáveis </w:t>
      </w:r>
      <w:r>
        <w:rPr>
          <w:sz w:val="24"/>
          <w:szCs w:val="24"/>
        </w:rPr>
        <w:t>relacionadas ao</w:t>
      </w:r>
      <w:r w:rsidRPr="00AA65FC">
        <w:rPr>
          <w:sz w:val="24"/>
          <w:szCs w:val="24"/>
        </w:rPr>
        <w:t xml:space="preserve"> </w:t>
      </w:r>
      <w:r w:rsidR="00C43367">
        <w:rPr>
          <w:sz w:val="24"/>
          <w:szCs w:val="24"/>
        </w:rPr>
        <w:t>CA</w:t>
      </w:r>
      <w:r>
        <w:rPr>
          <w:sz w:val="24"/>
          <w:szCs w:val="24"/>
        </w:rPr>
        <w:t xml:space="preserve"> e as suas características, foram medidas por variável dicotômica, sendo 1 para as empresas que possuem comitê, que são independentes e que possuem </w:t>
      </w:r>
      <w:r w:rsidRPr="005405FD">
        <w:rPr>
          <w:i/>
          <w:sz w:val="24"/>
          <w:szCs w:val="24"/>
        </w:rPr>
        <w:t>expertise</w:t>
      </w:r>
      <w:r>
        <w:rPr>
          <w:sz w:val="24"/>
          <w:szCs w:val="24"/>
        </w:rPr>
        <w:t xml:space="preserve"> e 0 em caso contrário</w:t>
      </w:r>
      <w:r w:rsidRPr="00AA65FC">
        <w:rPr>
          <w:sz w:val="24"/>
          <w:szCs w:val="24"/>
        </w:rPr>
        <w:t>. Essas medidas e</w:t>
      </w:r>
      <w:r>
        <w:rPr>
          <w:sz w:val="24"/>
          <w:szCs w:val="24"/>
        </w:rPr>
        <w:t>s</w:t>
      </w:r>
      <w:r w:rsidRPr="00AA65FC">
        <w:rPr>
          <w:sz w:val="24"/>
          <w:szCs w:val="24"/>
        </w:rPr>
        <w:t xml:space="preserve">tão descritas no banco de dados da </w:t>
      </w:r>
      <w:r w:rsidRPr="00AA65FC">
        <w:rPr>
          <w:i/>
          <w:sz w:val="24"/>
          <w:szCs w:val="24"/>
        </w:rPr>
        <w:t xml:space="preserve">Thomson Reuters </w:t>
      </w:r>
      <w:proofErr w:type="spellStart"/>
      <w:r w:rsidRPr="00AA65FC">
        <w:rPr>
          <w:i/>
          <w:sz w:val="24"/>
          <w:szCs w:val="24"/>
        </w:rPr>
        <w:t>Eikon</w:t>
      </w:r>
      <w:proofErr w:type="spellEnd"/>
      <w:r w:rsidRPr="00AA65FC">
        <w:rPr>
          <w:sz w:val="24"/>
          <w:szCs w:val="24"/>
        </w:rPr>
        <w:t xml:space="preserve"> </w:t>
      </w:r>
      <w:r>
        <w:rPr>
          <w:sz w:val="24"/>
          <w:szCs w:val="24"/>
        </w:rPr>
        <w:t>como</w:t>
      </w:r>
      <w:r w:rsidRPr="00AA65FC">
        <w:rPr>
          <w:sz w:val="24"/>
          <w:szCs w:val="24"/>
        </w:rPr>
        <w:t xml:space="preserve"> “verdadeiro” ou “falso”, </w:t>
      </w:r>
      <w:r>
        <w:rPr>
          <w:sz w:val="24"/>
          <w:szCs w:val="24"/>
        </w:rPr>
        <w:t>por exemplo</w:t>
      </w:r>
      <w:r w:rsidRPr="00AA65FC">
        <w:rPr>
          <w:sz w:val="24"/>
          <w:szCs w:val="24"/>
        </w:rPr>
        <w:t xml:space="preserve">, se a empresa </w:t>
      </w:r>
      <w:r>
        <w:rPr>
          <w:sz w:val="24"/>
          <w:szCs w:val="24"/>
        </w:rPr>
        <w:t xml:space="preserve">possui </w:t>
      </w:r>
      <w:r w:rsidR="00C43367">
        <w:rPr>
          <w:sz w:val="24"/>
          <w:szCs w:val="24"/>
        </w:rPr>
        <w:t>CA</w:t>
      </w:r>
      <w:r>
        <w:rPr>
          <w:sz w:val="24"/>
          <w:szCs w:val="24"/>
        </w:rPr>
        <w:t xml:space="preserve">, logo, esse critério é considerado como “verdadeiro” para aquela empresa, da mesma forma ocorre para a independência e </w:t>
      </w:r>
      <w:r w:rsidRPr="001327DC">
        <w:rPr>
          <w:i/>
          <w:sz w:val="24"/>
          <w:szCs w:val="24"/>
        </w:rPr>
        <w:t>expertise.</w:t>
      </w:r>
    </w:p>
    <w:p w14:paraId="0676094A" w14:textId="70BA00DA" w:rsidR="008B283A" w:rsidRDefault="008B283A" w:rsidP="00820D75">
      <w:pPr>
        <w:ind w:firstLine="708"/>
        <w:jc w:val="both"/>
        <w:rPr>
          <w:sz w:val="24"/>
          <w:szCs w:val="24"/>
        </w:rPr>
      </w:pPr>
      <w:r>
        <w:rPr>
          <w:sz w:val="24"/>
          <w:szCs w:val="24"/>
        </w:rPr>
        <w:lastRenderedPageBreak/>
        <w:t xml:space="preserve">A variável de independência do </w:t>
      </w:r>
      <w:r w:rsidR="00C43367">
        <w:rPr>
          <w:sz w:val="24"/>
          <w:szCs w:val="24"/>
        </w:rPr>
        <w:t>CA</w:t>
      </w:r>
      <w:r>
        <w:rPr>
          <w:sz w:val="24"/>
          <w:szCs w:val="24"/>
        </w:rPr>
        <w:t xml:space="preserve"> mede se todos os membros do comitê são não-executivos. Essa medida foi utilizada anteriormente nos estudos de </w:t>
      </w:r>
      <w:proofErr w:type="spellStart"/>
      <w:r>
        <w:rPr>
          <w:sz w:val="24"/>
          <w:szCs w:val="24"/>
        </w:rPr>
        <w:t>Abbott</w:t>
      </w:r>
      <w:proofErr w:type="spellEnd"/>
      <w:r>
        <w:rPr>
          <w:sz w:val="24"/>
          <w:szCs w:val="24"/>
        </w:rPr>
        <w:t xml:space="preserve"> et al. (2004) e </w:t>
      </w:r>
      <w:proofErr w:type="spellStart"/>
      <w:r>
        <w:rPr>
          <w:sz w:val="24"/>
          <w:szCs w:val="24"/>
        </w:rPr>
        <w:t>Lin</w:t>
      </w:r>
      <w:proofErr w:type="spellEnd"/>
      <w:r>
        <w:rPr>
          <w:sz w:val="24"/>
          <w:szCs w:val="24"/>
        </w:rPr>
        <w:t xml:space="preserve"> et al. (2006), que relacionaram as características do </w:t>
      </w:r>
      <w:r w:rsidR="00C43367">
        <w:rPr>
          <w:sz w:val="24"/>
          <w:szCs w:val="24"/>
        </w:rPr>
        <w:t>CA</w:t>
      </w:r>
      <w:r>
        <w:rPr>
          <w:sz w:val="24"/>
          <w:szCs w:val="24"/>
        </w:rPr>
        <w:t xml:space="preserve"> com a qualidade das informações financeiras. No estudo de </w:t>
      </w:r>
      <w:proofErr w:type="spellStart"/>
      <w:r>
        <w:rPr>
          <w:sz w:val="24"/>
          <w:szCs w:val="24"/>
        </w:rPr>
        <w:t>Lin</w:t>
      </w:r>
      <w:proofErr w:type="spellEnd"/>
      <w:r>
        <w:rPr>
          <w:sz w:val="24"/>
          <w:szCs w:val="24"/>
        </w:rPr>
        <w:t xml:space="preserve"> et al. (2006) os autores compararam as medidas de independência, contrastando os resultados quando a independência era medida por uma variável dicotômica que representava se todos os membros do comitê eram independentes e por uma variável que representava o percentual de membros independentes no comitê. Entretanto, para ambas as variáveis, os resultados se mostraram semelhantes. </w:t>
      </w:r>
    </w:p>
    <w:p w14:paraId="0676094B" w14:textId="3E4374A9" w:rsidR="008B283A" w:rsidRDefault="008B283A" w:rsidP="00820D75">
      <w:pPr>
        <w:ind w:firstLine="708"/>
        <w:jc w:val="both"/>
        <w:rPr>
          <w:sz w:val="24"/>
          <w:szCs w:val="24"/>
        </w:rPr>
      </w:pPr>
      <w:r>
        <w:rPr>
          <w:sz w:val="24"/>
          <w:szCs w:val="24"/>
        </w:rPr>
        <w:t xml:space="preserve">Com base nesses estudos anteriores, optou-se por utilizar a definição de independência para o </w:t>
      </w:r>
      <w:r w:rsidR="00C43367">
        <w:rPr>
          <w:sz w:val="24"/>
          <w:szCs w:val="24"/>
        </w:rPr>
        <w:t>CA</w:t>
      </w:r>
      <w:r>
        <w:rPr>
          <w:sz w:val="24"/>
          <w:szCs w:val="24"/>
        </w:rPr>
        <w:t xml:space="preserve"> formado inteiramente por membros não-executivos. A </w:t>
      </w:r>
      <w:r w:rsidRPr="00140A01">
        <w:rPr>
          <w:i/>
          <w:sz w:val="24"/>
          <w:szCs w:val="24"/>
        </w:rPr>
        <w:t>expertise</w:t>
      </w:r>
      <w:r>
        <w:rPr>
          <w:sz w:val="24"/>
          <w:szCs w:val="24"/>
        </w:rPr>
        <w:t xml:space="preserve"> financeira, por sua vez, foi considerada quando pelo menos um membro do </w:t>
      </w:r>
      <w:r w:rsidR="00C43367">
        <w:rPr>
          <w:sz w:val="24"/>
          <w:szCs w:val="24"/>
        </w:rPr>
        <w:t>CA</w:t>
      </w:r>
      <w:r>
        <w:rPr>
          <w:sz w:val="24"/>
          <w:szCs w:val="24"/>
        </w:rPr>
        <w:t xml:space="preserve"> possui especialidade financeira, conforme definido pela Lei </w:t>
      </w:r>
      <w:proofErr w:type="spellStart"/>
      <w:r>
        <w:rPr>
          <w:sz w:val="24"/>
          <w:szCs w:val="24"/>
        </w:rPr>
        <w:t>Sarbanes-Oxley</w:t>
      </w:r>
      <w:proofErr w:type="spellEnd"/>
      <w:r>
        <w:rPr>
          <w:sz w:val="24"/>
          <w:szCs w:val="24"/>
        </w:rPr>
        <w:t xml:space="preserve">. De acordo com </w:t>
      </w:r>
      <w:proofErr w:type="spellStart"/>
      <w:r>
        <w:rPr>
          <w:sz w:val="24"/>
          <w:szCs w:val="24"/>
        </w:rPr>
        <w:t>DeZoort</w:t>
      </w:r>
      <w:proofErr w:type="spellEnd"/>
      <w:r>
        <w:rPr>
          <w:sz w:val="24"/>
          <w:szCs w:val="24"/>
        </w:rPr>
        <w:t xml:space="preserve"> e </w:t>
      </w:r>
      <w:proofErr w:type="spellStart"/>
      <w:r>
        <w:rPr>
          <w:sz w:val="24"/>
          <w:szCs w:val="24"/>
        </w:rPr>
        <w:t>Salteiro</w:t>
      </w:r>
      <w:proofErr w:type="spellEnd"/>
      <w:r>
        <w:rPr>
          <w:sz w:val="24"/>
          <w:szCs w:val="24"/>
        </w:rPr>
        <w:t xml:space="preserve"> (2001) o fato de existir pelo menos um membro no </w:t>
      </w:r>
      <w:r w:rsidR="00C43367">
        <w:rPr>
          <w:sz w:val="24"/>
          <w:szCs w:val="24"/>
        </w:rPr>
        <w:t>CA</w:t>
      </w:r>
      <w:r>
        <w:rPr>
          <w:sz w:val="24"/>
          <w:szCs w:val="24"/>
        </w:rPr>
        <w:t xml:space="preserve"> com conhecimento financeira, maximiza a probabilidade das distorções serem comunicadas ao comitê e corrigidas dentro de um tempo aceitável.</w:t>
      </w:r>
    </w:p>
    <w:p w14:paraId="197D453B" w14:textId="77777777" w:rsidR="00412A43" w:rsidRDefault="008B283A" w:rsidP="00412A43">
      <w:pPr>
        <w:ind w:firstLine="708"/>
        <w:jc w:val="both"/>
        <w:rPr>
          <w:sz w:val="24"/>
          <w:szCs w:val="24"/>
        </w:rPr>
      </w:pPr>
      <w:r w:rsidRPr="00AA65FC">
        <w:rPr>
          <w:sz w:val="24"/>
          <w:szCs w:val="24"/>
        </w:rPr>
        <w:t>Como variáveis de controle, utilizou-se o tamanho das empresas, pois de acordo com Silva e</w:t>
      </w:r>
      <w:r>
        <w:rPr>
          <w:sz w:val="24"/>
          <w:szCs w:val="24"/>
        </w:rPr>
        <w:t>t al.</w:t>
      </w:r>
      <w:r w:rsidRPr="00AA65FC">
        <w:rPr>
          <w:sz w:val="24"/>
          <w:szCs w:val="24"/>
        </w:rPr>
        <w:t xml:space="preserve"> (2017) o tamanho pode ser um fator de influência para que a empresa torne suas informações mais transparentes e assim influencie </w:t>
      </w:r>
      <w:r w:rsidR="00AD0484">
        <w:rPr>
          <w:sz w:val="24"/>
          <w:szCs w:val="24"/>
        </w:rPr>
        <w:t xml:space="preserve">negativamente </w:t>
      </w:r>
      <w:r w:rsidRPr="00AA65FC">
        <w:rPr>
          <w:sz w:val="24"/>
          <w:szCs w:val="24"/>
        </w:rPr>
        <w:t xml:space="preserve">na assimetria da informação. A medida de rentabilidade sobre o patrimônio líquido foi utilizada, pois ainda de acordo com Silva </w:t>
      </w:r>
      <w:r>
        <w:rPr>
          <w:sz w:val="24"/>
          <w:szCs w:val="24"/>
        </w:rPr>
        <w:t xml:space="preserve">et al. </w:t>
      </w:r>
      <w:r w:rsidRPr="00AA65FC">
        <w:rPr>
          <w:sz w:val="24"/>
          <w:szCs w:val="24"/>
        </w:rPr>
        <w:t>(2017), com o intuito de atraírem novos investidores as empresas devem apresentar maior rentabilidade e informações mais transparentes, e desta maneira, influenciando positivamente na assimetria de informação. Por fim, utilizou-se o endividamento, pois de acordo com Albanez &amp; Valle (2009), empresas mais endividadas tendem a diminuir a transparência de informações em seus relatórios e, portanto, isso influencia na maior assimetria entre informações de executivos</w:t>
      </w:r>
      <w:r>
        <w:rPr>
          <w:sz w:val="24"/>
          <w:szCs w:val="24"/>
        </w:rPr>
        <w:t>/gestores</w:t>
      </w:r>
      <w:r w:rsidRPr="00AA65FC">
        <w:rPr>
          <w:sz w:val="24"/>
          <w:szCs w:val="24"/>
        </w:rPr>
        <w:t xml:space="preserve"> e investidores.</w:t>
      </w:r>
    </w:p>
    <w:p w14:paraId="0676094F" w14:textId="0B09714D" w:rsidR="008B283A" w:rsidRPr="00AA65FC" w:rsidRDefault="00412A43" w:rsidP="00BE70E2">
      <w:pPr>
        <w:ind w:firstLine="708"/>
        <w:jc w:val="both"/>
        <w:rPr>
          <w:sz w:val="24"/>
          <w:szCs w:val="24"/>
        </w:rPr>
      </w:pPr>
      <w:r>
        <w:rPr>
          <w:sz w:val="24"/>
          <w:szCs w:val="24"/>
        </w:rPr>
        <w:t>A variáveis</w:t>
      </w:r>
      <w:r w:rsidR="00BE70E2">
        <w:rPr>
          <w:sz w:val="24"/>
          <w:szCs w:val="24"/>
        </w:rPr>
        <w:t xml:space="preserve"> expostas na Tabela 1</w:t>
      </w:r>
      <w:r>
        <w:rPr>
          <w:sz w:val="24"/>
          <w:szCs w:val="24"/>
        </w:rPr>
        <w:t xml:space="preserve"> </w:t>
      </w:r>
      <w:r w:rsidR="00BE70E2">
        <w:rPr>
          <w:sz w:val="24"/>
          <w:szCs w:val="24"/>
        </w:rPr>
        <w:t xml:space="preserve">foram tratadas por meio de </w:t>
      </w:r>
      <w:r w:rsidR="008B283A" w:rsidRPr="00AA65FC">
        <w:rPr>
          <w:sz w:val="24"/>
          <w:szCs w:val="24"/>
        </w:rPr>
        <w:t>procedimentos de estatística descritiva, a</w:t>
      </w:r>
      <w:r w:rsidR="00BE70E2">
        <w:rPr>
          <w:sz w:val="24"/>
          <w:szCs w:val="24"/>
        </w:rPr>
        <w:t xml:space="preserve"> </w:t>
      </w:r>
      <w:r w:rsidR="008B283A" w:rsidRPr="00AA65FC">
        <w:rPr>
          <w:sz w:val="24"/>
          <w:szCs w:val="24"/>
        </w:rPr>
        <w:t>fim de demonstrar a tendência das variáveis e posteriormente aplicou-se regressão linear</w:t>
      </w:r>
      <w:r w:rsidR="00BE70E2">
        <w:rPr>
          <w:sz w:val="24"/>
          <w:szCs w:val="24"/>
        </w:rPr>
        <w:t xml:space="preserve"> múltipla</w:t>
      </w:r>
      <w:r w:rsidR="00747D54">
        <w:rPr>
          <w:sz w:val="24"/>
          <w:szCs w:val="24"/>
        </w:rPr>
        <w:t xml:space="preserve"> (OLS)</w:t>
      </w:r>
      <w:r w:rsidR="00BE70E2">
        <w:rPr>
          <w:sz w:val="24"/>
          <w:szCs w:val="24"/>
        </w:rPr>
        <w:t xml:space="preserve"> por erros padrões</w:t>
      </w:r>
      <w:r w:rsidR="008B283A" w:rsidRPr="00AA65FC">
        <w:rPr>
          <w:sz w:val="24"/>
          <w:szCs w:val="24"/>
        </w:rPr>
        <w:t xml:space="preserve"> robus</w:t>
      </w:r>
      <w:r w:rsidR="00BE70E2">
        <w:rPr>
          <w:sz w:val="24"/>
          <w:szCs w:val="24"/>
        </w:rPr>
        <w:t>tos</w:t>
      </w:r>
      <w:r w:rsidR="00053F41">
        <w:rPr>
          <w:sz w:val="24"/>
          <w:szCs w:val="24"/>
        </w:rPr>
        <w:t xml:space="preserve"> e efeitos fixos de setor e ano</w:t>
      </w:r>
      <w:r w:rsidR="008B283A" w:rsidRPr="00AA65FC">
        <w:rPr>
          <w:sz w:val="24"/>
          <w:szCs w:val="24"/>
        </w:rPr>
        <w:t>, a</w:t>
      </w:r>
      <w:r w:rsidR="00BE70E2">
        <w:rPr>
          <w:sz w:val="24"/>
          <w:szCs w:val="24"/>
        </w:rPr>
        <w:t xml:space="preserve"> </w:t>
      </w:r>
      <w:r w:rsidR="008B283A" w:rsidRPr="00AA65FC">
        <w:rPr>
          <w:sz w:val="24"/>
          <w:szCs w:val="24"/>
        </w:rPr>
        <w:t xml:space="preserve">fim de demonstrar a relação do </w:t>
      </w:r>
      <w:r w:rsidR="00C43367">
        <w:rPr>
          <w:sz w:val="24"/>
          <w:szCs w:val="24"/>
        </w:rPr>
        <w:t>CA</w:t>
      </w:r>
      <w:r w:rsidR="008B283A" w:rsidRPr="00AA65FC">
        <w:rPr>
          <w:sz w:val="24"/>
          <w:szCs w:val="24"/>
        </w:rPr>
        <w:t xml:space="preserve"> com a assimetria de informação</w:t>
      </w:r>
      <w:r w:rsidR="00BE70E2">
        <w:rPr>
          <w:sz w:val="24"/>
          <w:szCs w:val="24"/>
        </w:rPr>
        <w:t xml:space="preserve">, e, em um segundo momento, a relação das características do </w:t>
      </w:r>
      <w:r w:rsidR="00C43367">
        <w:rPr>
          <w:sz w:val="24"/>
          <w:szCs w:val="24"/>
        </w:rPr>
        <w:t>CA</w:t>
      </w:r>
      <w:r w:rsidR="00BE70E2">
        <w:rPr>
          <w:sz w:val="24"/>
          <w:szCs w:val="24"/>
        </w:rPr>
        <w:t xml:space="preserve"> com a assimetria de informação</w:t>
      </w:r>
      <w:r w:rsidR="008B283A" w:rsidRPr="00AA65FC">
        <w:rPr>
          <w:sz w:val="24"/>
          <w:szCs w:val="24"/>
        </w:rPr>
        <w:t xml:space="preserve">. Ambos os procedimentos foram realizados pelo </w:t>
      </w:r>
      <w:r w:rsidR="008B283A" w:rsidRPr="00AA65FC">
        <w:rPr>
          <w:i/>
          <w:sz w:val="24"/>
          <w:szCs w:val="24"/>
        </w:rPr>
        <w:t>software</w:t>
      </w:r>
      <w:r w:rsidR="008B283A" w:rsidRPr="00AA65FC">
        <w:rPr>
          <w:sz w:val="24"/>
          <w:szCs w:val="24"/>
        </w:rPr>
        <w:t xml:space="preserve"> STATA versão 13. </w:t>
      </w:r>
    </w:p>
    <w:p w14:paraId="06760951" w14:textId="0FBAA0AE" w:rsidR="008B283A" w:rsidRDefault="00D34DC0" w:rsidP="00820D75">
      <w:pPr>
        <w:ind w:firstLine="708"/>
        <w:jc w:val="both"/>
        <w:rPr>
          <w:sz w:val="24"/>
          <w:szCs w:val="24"/>
        </w:rPr>
      </w:pPr>
      <w:r w:rsidRPr="00D34DC0">
        <w:rPr>
          <w:sz w:val="24"/>
          <w:szCs w:val="24"/>
        </w:rPr>
        <w:t xml:space="preserve">Foram rodadas três equações, uma para cada </w:t>
      </w:r>
      <w:r w:rsidR="00053F41">
        <w:rPr>
          <w:sz w:val="24"/>
          <w:szCs w:val="24"/>
        </w:rPr>
        <w:t xml:space="preserve">medida de </w:t>
      </w:r>
      <w:r w:rsidR="00053F41" w:rsidRPr="00053F41">
        <w:rPr>
          <w:i/>
          <w:sz w:val="24"/>
          <w:szCs w:val="24"/>
        </w:rPr>
        <w:t>Spread</w:t>
      </w:r>
      <w:r w:rsidRPr="00D34DC0">
        <w:rPr>
          <w:sz w:val="24"/>
          <w:szCs w:val="24"/>
        </w:rPr>
        <w:t xml:space="preserve"> (</w:t>
      </w:r>
      <w:r w:rsidR="00053F41">
        <w:rPr>
          <w:sz w:val="24"/>
          <w:szCs w:val="24"/>
        </w:rPr>
        <w:t>Tabela</w:t>
      </w:r>
      <w:r w:rsidRPr="00D34DC0">
        <w:rPr>
          <w:sz w:val="24"/>
          <w:szCs w:val="24"/>
        </w:rPr>
        <w:t xml:space="preserve"> 1), considerando </w:t>
      </w:r>
      <w:r w:rsidR="00053F41">
        <w:rPr>
          <w:sz w:val="24"/>
          <w:szCs w:val="24"/>
        </w:rPr>
        <w:t xml:space="preserve">o </w:t>
      </w:r>
      <w:r w:rsidR="00053F41" w:rsidRPr="00053F41">
        <w:rPr>
          <w:i/>
          <w:sz w:val="24"/>
          <w:szCs w:val="24"/>
        </w:rPr>
        <w:t>Spread</w:t>
      </w:r>
      <w:r w:rsidR="00053F41">
        <w:rPr>
          <w:sz w:val="24"/>
          <w:szCs w:val="24"/>
        </w:rPr>
        <w:t xml:space="preserve"> ano</w:t>
      </w:r>
      <w:r w:rsidRPr="00D34DC0">
        <w:rPr>
          <w:sz w:val="24"/>
          <w:szCs w:val="24"/>
        </w:rPr>
        <w:t xml:space="preserve"> (modelo 1)</w:t>
      </w:r>
      <w:r w:rsidR="00053F41">
        <w:rPr>
          <w:sz w:val="24"/>
          <w:szCs w:val="24"/>
        </w:rPr>
        <w:t xml:space="preserve">, o </w:t>
      </w:r>
      <w:r w:rsidR="00053F41" w:rsidRPr="00053F41">
        <w:rPr>
          <w:i/>
          <w:sz w:val="24"/>
          <w:szCs w:val="24"/>
        </w:rPr>
        <w:t>Spread</w:t>
      </w:r>
      <w:r w:rsidR="00053F41">
        <w:rPr>
          <w:sz w:val="24"/>
          <w:szCs w:val="24"/>
        </w:rPr>
        <w:t xml:space="preserve"> de 3 meses </w:t>
      </w:r>
      <w:r w:rsidRPr="00D34DC0">
        <w:rPr>
          <w:sz w:val="24"/>
          <w:szCs w:val="24"/>
        </w:rPr>
        <w:t>(modelo 2)</w:t>
      </w:r>
      <w:r w:rsidR="00053F41">
        <w:rPr>
          <w:sz w:val="24"/>
          <w:szCs w:val="24"/>
        </w:rPr>
        <w:t xml:space="preserve"> e </w:t>
      </w:r>
      <w:r w:rsidR="0067168D" w:rsidRPr="0067168D">
        <w:rPr>
          <w:i/>
          <w:sz w:val="24"/>
          <w:szCs w:val="24"/>
        </w:rPr>
        <w:t>Spread</w:t>
      </w:r>
      <w:r w:rsidR="0067168D">
        <w:rPr>
          <w:sz w:val="24"/>
          <w:szCs w:val="24"/>
        </w:rPr>
        <w:t xml:space="preserve"> de 6 meses (modelo 3)</w:t>
      </w:r>
      <w:r w:rsidRPr="00D34DC0">
        <w:rPr>
          <w:sz w:val="24"/>
          <w:szCs w:val="24"/>
        </w:rPr>
        <w:t>. A equação geral a partir da qual os três modelos foram derivados é a seguinte</w:t>
      </w:r>
      <w:r w:rsidR="0067168D">
        <w:rPr>
          <w:sz w:val="24"/>
          <w:szCs w:val="24"/>
        </w:rPr>
        <w:t>:</w:t>
      </w:r>
    </w:p>
    <w:p w14:paraId="05B2FA06" w14:textId="77777777" w:rsidR="0067168D" w:rsidRPr="00AA65FC" w:rsidRDefault="0067168D" w:rsidP="00820D75">
      <w:pPr>
        <w:ind w:firstLine="708"/>
        <w:jc w:val="both"/>
        <w:rPr>
          <w:sz w:val="24"/>
          <w:szCs w:val="24"/>
        </w:rPr>
      </w:pPr>
    </w:p>
    <w:p w14:paraId="06760952" w14:textId="7FA23D51" w:rsidR="008B283A" w:rsidRPr="00AA65FC" w:rsidRDefault="008B283A" w:rsidP="00820D75">
      <w:pPr>
        <w:ind w:firstLine="708"/>
        <w:jc w:val="center"/>
        <w:rPr>
          <w:rFonts w:eastAsiaTheme="minorEastAsia"/>
          <w:sz w:val="24"/>
          <w:szCs w:val="24"/>
        </w:rPr>
      </w:pPr>
      <m:oMathPara>
        <m:oMath>
          <m:r>
            <w:rPr>
              <w:rFonts w:ascii="Cambria Math" w:hAnsi="Cambria Math"/>
              <w:sz w:val="24"/>
              <w:szCs w:val="24"/>
            </w:rPr>
            <m:t xml:space="preserve">Spread=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CA+</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 xml:space="preserve">TAM+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 xml:space="preserve">ROE+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END</m:t>
          </m:r>
          <m:r>
            <m:rPr>
              <m:sty m:val="p"/>
            </m:rPr>
            <w:rPr>
              <w:rFonts w:ascii="Cambria Math" w:hAnsi="Cambria Math"/>
              <w:color w:val="000000" w:themeColor="text1"/>
            </w:rPr>
            <m:t>+∑</m:t>
          </m:r>
          <m:r>
            <w:rPr>
              <w:rFonts w:ascii="Cambria Math" w:hAnsi="Cambria Math"/>
              <w:color w:val="000000" w:themeColor="text1"/>
            </w:rPr>
            <m:t>Efeitos Fixo</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SETOR</m:t>
              </m:r>
            </m:sub>
          </m:sSub>
          <m:r>
            <m:rPr>
              <m:sty m:val="p"/>
            </m:rPr>
            <w:rPr>
              <w:rFonts w:ascii="Cambria Math" w:hAnsi="Cambria Math"/>
              <w:color w:val="000000" w:themeColor="text1"/>
            </w:rPr>
            <m:t>+∑</m:t>
          </m:r>
          <m:r>
            <w:rPr>
              <w:rFonts w:ascii="Cambria Math" w:hAnsi="Cambria Math"/>
              <w:color w:val="000000" w:themeColor="text1"/>
            </w:rPr>
            <m:t>Efeitos Fixo</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ANO</m:t>
              </m:r>
            </m:sub>
          </m:sSub>
          <m:r>
            <w:rPr>
              <w:rFonts w:ascii="Cambria Math" w:hAnsi="Cambria Math"/>
              <w:sz w:val="24"/>
              <w:szCs w:val="24"/>
            </w:rPr>
            <m:t>+ε</m:t>
          </m:r>
        </m:oMath>
      </m:oMathPara>
    </w:p>
    <w:p w14:paraId="06760958" w14:textId="2E666BC4" w:rsidR="008B283A" w:rsidRDefault="008B283A" w:rsidP="0067168D">
      <w:pPr>
        <w:ind w:firstLine="708"/>
        <w:jc w:val="right"/>
        <w:rPr>
          <w:b/>
          <w:sz w:val="24"/>
          <w:szCs w:val="24"/>
        </w:rPr>
      </w:pPr>
      <w:r w:rsidRPr="00AA65FC">
        <w:rPr>
          <w:rFonts w:eastAsiaTheme="minorEastAsia"/>
          <w:b/>
          <w:sz w:val="24"/>
          <w:szCs w:val="24"/>
        </w:rPr>
        <w:t>(1)</w:t>
      </w:r>
    </w:p>
    <w:p w14:paraId="61B097EB" w14:textId="3694F614" w:rsidR="00FE1AE1" w:rsidRDefault="009044C5" w:rsidP="00FE1AE1">
      <w:pPr>
        <w:ind w:firstLine="708"/>
        <w:jc w:val="both"/>
        <w:rPr>
          <w:sz w:val="24"/>
          <w:szCs w:val="24"/>
        </w:rPr>
      </w:pPr>
      <w:r w:rsidRPr="00FE1AE1">
        <w:rPr>
          <w:sz w:val="24"/>
          <w:szCs w:val="24"/>
        </w:rPr>
        <w:t xml:space="preserve">Para testar a influência das características do comitê (expertise e independência), excluiu-se da amostra inicial as empresas que não possuíam </w:t>
      </w:r>
      <w:r w:rsidR="00C43367">
        <w:rPr>
          <w:sz w:val="24"/>
          <w:szCs w:val="24"/>
        </w:rPr>
        <w:t>CA,</w:t>
      </w:r>
      <w:r w:rsidRPr="00FE1AE1">
        <w:rPr>
          <w:sz w:val="24"/>
          <w:szCs w:val="24"/>
        </w:rPr>
        <w:t xml:space="preserve"> para então rodar</w:t>
      </w:r>
      <w:r w:rsidR="00FE1AE1" w:rsidRPr="00FE1AE1">
        <w:rPr>
          <w:sz w:val="24"/>
          <w:szCs w:val="24"/>
        </w:rPr>
        <w:t xml:space="preserve"> outras três equações, novamente, uma para cada medida de Spread (Tabela 1), considerando o </w:t>
      </w:r>
      <w:r w:rsidR="00FE1AE1" w:rsidRPr="00FE1AE1">
        <w:rPr>
          <w:i/>
          <w:sz w:val="24"/>
          <w:szCs w:val="24"/>
        </w:rPr>
        <w:t>Spread</w:t>
      </w:r>
      <w:r w:rsidR="00FE1AE1" w:rsidRPr="00FE1AE1">
        <w:rPr>
          <w:sz w:val="24"/>
          <w:szCs w:val="24"/>
        </w:rPr>
        <w:t xml:space="preserve"> ano (modelo 4), o </w:t>
      </w:r>
      <w:r w:rsidR="00FE1AE1" w:rsidRPr="00FE1AE1">
        <w:rPr>
          <w:i/>
          <w:sz w:val="24"/>
          <w:szCs w:val="24"/>
        </w:rPr>
        <w:t>Spread</w:t>
      </w:r>
      <w:r w:rsidR="00FE1AE1" w:rsidRPr="00FE1AE1">
        <w:rPr>
          <w:sz w:val="24"/>
          <w:szCs w:val="24"/>
        </w:rPr>
        <w:t xml:space="preserve"> de 3 meses (modelo 5) e </w:t>
      </w:r>
      <w:r w:rsidR="00FE1AE1" w:rsidRPr="00FE1AE1">
        <w:rPr>
          <w:i/>
          <w:sz w:val="24"/>
          <w:szCs w:val="24"/>
        </w:rPr>
        <w:t>Spread</w:t>
      </w:r>
      <w:r w:rsidR="00FE1AE1" w:rsidRPr="00FE1AE1">
        <w:rPr>
          <w:sz w:val="24"/>
          <w:szCs w:val="24"/>
        </w:rPr>
        <w:t xml:space="preserve"> de 6 meses (modelo 6). A equação geral a partir da qual os três modelos foram derivados é a seguinte:</w:t>
      </w:r>
    </w:p>
    <w:p w14:paraId="02C2CD67" w14:textId="77777777" w:rsidR="00FE1AE1" w:rsidRDefault="00FE1AE1" w:rsidP="00FE1AE1">
      <w:pPr>
        <w:ind w:firstLine="708"/>
        <w:jc w:val="both"/>
        <w:rPr>
          <w:sz w:val="24"/>
          <w:szCs w:val="24"/>
        </w:rPr>
      </w:pPr>
    </w:p>
    <w:p w14:paraId="39714AB7" w14:textId="264929CE" w:rsidR="00FE1AE1" w:rsidRPr="00AA65FC" w:rsidRDefault="00FE1AE1" w:rsidP="00FE1AE1">
      <w:pPr>
        <w:ind w:firstLine="708"/>
        <w:jc w:val="center"/>
        <w:rPr>
          <w:rFonts w:eastAsiaTheme="minorEastAsia"/>
          <w:sz w:val="24"/>
          <w:szCs w:val="24"/>
        </w:rPr>
      </w:pPr>
      <m:oMathPara>
        <m:oMath>
          <m:r>
            <w:rPr>
              <w:rFonts w:ascii="Cambria Math" w:hAnsi="Cambria Math"/>
              <w:sz w:val="24"/>
              <w:szCs w:val="24"/>
            </w:rPr>
            <w:lastRenderedPageBreak/>
            <m:t xml:space="preserve">Spread=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IND+</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 xml:space="preserve">EXP+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 xml:space="preserve">TAM+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 xml:space="preserve">ROE+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END+</m:t>
          </m:r>
          <m:r>
            <m:rPr>
              <m:sty m:val="p"/>
            </m:rPr>
            <w:rPr>
              <w:rFonts w:ascii="Cambria Math" w:hAnsi="Cambria Math"/>
              <w:color w:val="000000" w:themeColor="text1"/>
            </w:rPr>
            <m:t>∑</m:t>
          </m:r>
          <m:r>
            <w:rPr>
              <w:rFonts w:ascii="Cambria Math" w:hAnsi="Cambria Math"/>
              <w:color w:val="000000" w:themeColor="text1"/>
            </w:rPr>
            <m:t>Efeitos Fixo</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SETOR</m:t>
              </m:r>
            </m:sub>
          </m:sSub>
          <m:r>
            <m:rPr>
              <m:sty m:val="p"/>
            </m:rPr>
            <w:rPr>
              <w:rFonts w:ascii="Cambria Math" w:hAnsi="Cambria Math"/>
              <w:color w:val="000000" w:themeColor="text1"/>
            </w:rPr>
            <m:t>+∑</m:t>
          </m:r>
          <m:r>
            <w:rPr>
              <w:rFonts w:ascii="Cambria Math" w:hAnsi="Cambria Math"/>
              <w:color w:val="000000" w:themeColor="text1"/>
            </w:rPr>
            <m:t>Efeitos Fixo</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ANO</m:t>
              </m:r>
            </m:sub>
          </m:sSub>
          <m:r>
            <w:rPr>
              <w:rFonts w:ascii="Cambria Math" w:hAnsi="Cambria Math"/>
              <w:sz w:val="24"/>
              <w:szCs w:val="24"/>
            </w:rPr>
            <m:t>+ε</m:t>
          </m:r>
        </m:oMath>
      </m:oMathPara>
    </w:p>
    <w:p w14:paraId="4A4C2120" w14:textId="1D968F7C" w:rsidR="00FE1AE1" w:rsidRPr="00AA65FC" w:rsidRDefault="00FE1AE1" w:rsidP="00FE1AE1">
      <w:pPr>
        <w:ind w:firstLine="708"/>
        <w:jc w:val="right"/>
        <w:rPr>
          <w:b/>
          <w:sz w:val="24"/>
          <w:szCs w:val="24"/>
        </w:rPr>
      </w:pPr>
      <w:r w:rsidRPr="00AA65FC">
        <w:rPr>
          <w:rFonts w:eastAsiaTheme="minorEastAsia"/>
          <w:b/>
          <w:sz w:val="24"/>
          <w:szCs w:val="24"/>
        </w:rPr>
        <w:t>(</w:t>
      </w:r>
      <w:r>
        <w:rPr>
          <w:rFonts w:eastAsiaTheme="minorEastAsia"/>
          <w:b/>
          <w:sz w:val="24"/>
          <w:szCs w:val="24"/>
        </w:rPr>
        <w:t>2</w:t>
      </w:r>
      <w:r w:rsidRPr="00AA65FC">
        <w:rPr>
          <w:rFonts w:eastAsiaTheme="minorEastAsia"/>
          <w:b/>
          <w:sz w:val="24"/>
          <w:szCs w:val="24"/>
        </w:rPr>
        <w:t>)</w:t>
      </w:r>
    </w:p>
    <w:p w14:paraId="6992A282" w14:textId="77777777" w:rsidR="00FE1AE1" w:rsidRDefault="00FE1AE1" w:rsidP="00FE1AE1">
      <w:pPr>
        <w:ind w:firstLine="708"/>
        <w:jc w:val="both"/>
        <w:rPr>
          <w:sz w:val="24"/>
          <w:szCs w:val="24"/>
        </w:rPr>
      </w:pPr>
    </w:p>
    <w:p w14:paraId="06760964" w14:textId="6D496037" w:rsidR="008B283A" w:rsidRDefault="008B283A" w:rsidP="00FE1AE1">
      <w:pPr>
        <w:ind w:firstLine="709"/>
        <w:jc w:val="both"/>
        <w:rPr>
          <w:sz w:val="24"/>
          <w:szCs w:val="24"/>
        </w:rPr>
      </w:pPr>
      <w:r>
        <w:rPr>
          <w:sz w:val="24"/>
          <w:szCs w:val="24"/>
        </w:rPr>
        <w:t xml:space="preserve">Antes de proceder a análise dos dados, foram testados os pressupostos dos modelos de regressão linear múltipla. Para corrigir o problema de </w:t>
      </w:r>
      <w:proofErr w:type="spellStart"/>
      <w:r>
        <w:rPr>
          <w:sz w:val="24"/>
          <w:szCs w:val="24"/>
        </w:rPr>
        <w:t>heterocedasticidade</w:t>
      </w:r>
      <w:proofErr w:type="spellEnd"/>
      <w:r>
        <w:rPr>
          <w:sz w:val="24"/>
          <w:szCs w:val="24"/>
        </w:rPr>
        <w:t xml:space="preserve">, utilizou-se de erros padrões robustos. A normalidade dos resíduos pode ser relaxada devido a quantidade de observações e os testes VIF e </w:t>
      </w:r>
      <w:proofErr w:type="spellStart"/>
      <w:r>
        <w:rPr>
          <w:sz w:val="24"/>
          <w:szCs w:val="24"/>
        </w:rPr>
        <w:t>Durbin</w:t>
      </w:r>
      <w:proofErr w:type="spellEnd"/>
      <w:r>
        <w:rPr>
          <w:sz w:val="24"/>
          <w:szCs w:val="24"/>
        </w:rPr>
        <w:t>-Watson, podem ser verificados nas tabelas de resultados.</w:t>
      </w:r>
    </w:p>
    <w:p w14:paraId="06760965" w14:textId="77777777" w:rsidR="008B283A" w:rsidRDefault="008B283A" w:rsidP="00820D75">
      <w:pPr>
        <w:jc w:val="both"/>
        <w:rPr>
          <w:sz w:val="24"/>
          <w:szCs w:val="24"/>
        </w:rPr>
      </w:pPr>
    </w:p>
    <w:p w14:paraId="06760966" w14:textId="2EB50C0B" w:rsidR="008B283A" w:rsidRPr="00AA65FC" w:rsidRDefault="008B283A" w:rsidP="00820D75">
      <w:pPr>
        <w:jc w:val="both"/>
        <w:rPr>
          <w:rFonts w:eastAsia="Calibri"/>
          <w:sz w:val="24"/>
          <w:szCs w:val="24"/>
        </w:rPr>
      </w:pPr>
      <w:r w:rsidRPr="00AA65FC">
        <w:rPr>
          <w:b/>
          <w:sz w:val="24"/>
          <w:szCs w:val="24"/>
        </w:rPr>
        <w:t xml:space="preserve">4 </w:t>
      </w:r>
      <w:r w:rsidR="00332F0B">
        <w:rPr>
          <w:b/>
          <w:sz w:val="24"/>
          <w:szCs w:val="24"/>
        </w:rPr>
        <w:t>Análise dos Resultados</w:t>
      </w:r>
    </w:p>
    <w:p w14:paraId="06760968" w14:textId="28AF2822" w:rsidR="008B283A" w:rsidRPr="00AA65FC" w:rsidRDefault="008B283A" w:rsidP="00820D75">
      <w:pPr>
        <w:autoSpaceDE w:val="0"/>
        <w:autoSpaceDN w:val="0"/>
        <w:adjustRightInd w:val="0"/>
        <w:ind w:firstLine="709"/>
        <w:jc w:val="both"/>
        <w:rPr>
          <w:rFonts w:eastAsia="Calibri"/>
          <w:sz w:val="24"/>
          <w:szCs w:val="24"/>
        </w:rPr>
      </w:pPr>
      <w:r w:rsidRPr="00AA65FC">
        <w:rPr>
          <w:sz w:val="24"/>
          <w:szCs w:val="24"/>
        </w:rPr>
        <w:t xml:space="preserve">Apresenta-se </w:t>
      </w:r>
      <w:r w:rsidRPr="00D12DF0">
        <w:rPr>
          <w:sz w:val="24"/>
          <w:szCs w:val="24"/>
        </w:rPr>
        <w:t xml:space="preserve">na Tabela 2, a análise descritiva das variáveis dependentes de assimetria de informação, </w:t>
      </w:r>
      <w:r w:rsidR="00C43367">
        <w:rPr>
          <w:sz w:val="24"/>
          <w:szCs w:val="24"/>
        </w:rPr>
        <w:t>CA</w:t>
      </w:r>
      <w:r w:rsidRPr="00AA65FC">
        <w:rPr>
          <w:sz w:val="24"/>
          <w:szCs w:val="24"/>
        </w:rPr>
        <w:t xml:space="preserve"> e as variáveis de controle, ressaltando-se que esta análise descritiva se refere tanto às empresas que possuem ou não o </w:t>
      </w:r>
      <w:r w:rsidR="00C43367">
        <w:rPr>
          <w:sz w:val="24"/>
          <w:szCs w:val="24"/>
        </w:rPr>
        <w:t>CA</w:t>
      </w:r>
      <w:r w:rsidRPr="00AA65FC">
        <w:rPr>
          <w:sz w:val="24"/>
          <w:szCs w:val="24"/>
        </w:rPr>
        <w:t>.</w:t>
      </w:r>
    </w:p>
    <w:p w14:paraId="06760969" w14:textId="77777777" w:rsidR="008B283A" w:rsidRPr="00AA65FC" w:rsidRDefault="008B283A" w:rsidP="00820D75">
      <w:pPr>
        <w:jc w:val="both"/>
        <w:rPr>
          <w:rFonts w:eastAsia="Calibri"/>
          <w:sz w:val="24"/>
          <w:szCs w:val="24"/>
        </w:rPr>
      </w:pPr>
    </w:p>
    <w:p w14:paraId="0676096A" w14:textId="1A29DF42" w:rsidR="008B283A" w:rsidRPr="00B72BF6" w:rsidRDefault="008B283A" w:rsidP="00820D75">
      <w:pPr>
        <w:jc w:val="both"/>
      </w:pPr>
      <w:r w:rsidRPr="00B72BF6">
        <w:rPr>
          <w:b/>
        </w:rPr>
        <w:t>Tabela 2</w:t>
      </w:r>
      <w:r w:rsidR="00B72BF6" w:rsidRPr="00B72BF6">
        <w:rPr>
          <w:b/>
        </w:rPr>
        <w:t xml:space="preserve"> - </w:t>
      </w:r>
      <w:r w:rsidRPr="00B72BF6">
        <w:rPr>
          <w:b/>
        </w:rPr>
        <w:t>Análise descritiva das variáveis do modelo</w:t>
      </w:r>
    </w:p>
    <w:tbl>
      <w:tblPr>
        <w:tblStyle w:val="Tabelacomgrade1"/>
        <w:tblW w:w="5000" w:type="pct"/>
        <w:tblBorders>
          <w:left w:val="none" w:sz="0" w:space="0" w:color="auto"/>
          <w:right w:val="none" w:sz="0" w:space="0" w:color="auto"/>
        </w:tblBorders>
        <w:tblLook w:val="04A0" w:firstRow="1" w:lastRow="0" w:firstColumn="1" w:lastColumn="0" w:noHBand="0" w:noVBand="1"/>
      </w:tblPr>
      <w:tblGrid>
        <w:gridCol w:w="1834"/>
        <w:gridCol w:w="1659"/>
        <w:gridCol w:w="2210"/>
        <w:gridCol w:w="1730"/>
        <w:gridCol w:w="1632"/>
      </w:tblGrid>
      <w:tr w:rsidR="008B283A" w:rsidRPr="00AA65FC" w14:paraId="06760970" w14:textId="77777777" w:rsidTr="008B6EAF">
        <w:trPr>
          <w:trHeight w:hRule="exact" w:val="284"/>
        </w:trPr>
        <w:tc>
          <w:tcPr>
            <w:tcW w:w="1012" w:type="pct"/>
            <w:tcBorders>
              <w:top w:val="single" w:sz="12" w:space="0" w:color="auto"/>
              <w:bottom w:val="single" w:sz="12" w:space="0" w:color="auto"/>
            </w:tcBorders>
            <w:shd w:val="clear" w:color="auto" w:fill="auto"/>
            <w:vAlign w:val="center"/>
          </w:tcPr>
          <w:p w14:paraId="0676096B" w14:textId="77777777" w:rsidR="008B283A" w:rsidRPr="00AA65FC" w:rsidRDefault="008B283A" w:rsidP="00820D75">
            <w:pPr>
              <w:jc w:val="center"/>
              <w:rPr>
                <w:b/>
              </w:rPr>
            </w:pPr>
            <w:r w:rsidRPr="00AA65FC">
              <w:rPr>
                <w:b/>
              </w:rPr>
              <w:t>Variáveis</w:t>
            </w:r>
          </w:p>
        </w:tc>
        <w:tc>
          <w:tcPr>
            <w:tcW w:w="915" w:type="pct"/>
            <w:tcBorders>
              <w:top w:val="single" w:sz="12" w:space="0" w:color="auto"/>
              <w:bottom w:val="single" w:sz="12" w:space="0" w:color="auto"/>
            </w:tcBorders>
            <w:shd w:val="clear" w:color="auto" w:fill="auto"/>
            <w:vAlign w:val="center"/>
          </w:tcPr>
          <w:p w14:paraId="0676096C" w14:textId="77777777" w:rsidR="008B283A" w:rsidRPr="00AA65FC" w:rsidRDefault="008B283A" w:rsidP="00820D75">
            <w:pPr>
              <w:jc w:val="center"/>
              <w:rPr>
                <w:b/>
              </w:rPr>
            </w:pPr>
            <w:r w:rsidRPr="00AA65FC">
              <w:rPr>
                <w:b/>
              </w:rPr>
              <w:t>Mínimo</w:t>
            </w:r>
          </w:p>
        </w:tc>
        <w:tc>
          <w:tcPr>
            <w:tcW w:w="1219" w:type="pct"/>
            <w:tcBorders>
              <w:top w:val="single" w:sz="12" w:space="0" w:color="auto"/>
              <w:bottom w:val="single" w:sz="12" w:space="0" w:color="auto"/>
            </w:tcBorders>
            <w:shd w:val="clear" w:color="auto" w:fill="auto"/>
            <w:vAlign w:val="center"/>
          </w:tcPr>
          <w:p w14:paraId="0676096D" w14:textId="77777777" w:rsidR="008B283A" w:rsidRPr="00AA65FC" w:rsidRDefault="008B283A" w:rsidP="00820D75">
            <w:pPr>
              <w:jc w:val="center"/>
              <w:rPr>
                <w:b/>
              </w:rPr>
            </w:pPr>
            <w:r w:rsidRPr="00AA65FC">
              <w:rPr>
                <w:b/>
              </w:rPr>
              <w:t>Máximo</w:t>
            </w:r>
          </w:p>
        </w:tc>
        <w:tc>
          <w:tcPr>
            <w:tcW w:w="954" w:type="pct"/>
            <w:tcBorders>
              <w:top w:val="single" w:sz="12" w:space="0" w:color="auto"/>
              <w:bottom w:val="single" w:sz="12" w:space="0" w:color="auto"/>
            </w:tcBorders>
            <w:shd w:val="clear" w:color="auto" w:fill="auto"/>
            <w:vAlign w:val="center"/>
          </w:tcPr>
          <w:p w14:paraId="0676096E" w14:textId="77777777" w:rsidR="008B283A" w:rsidRPr="00AA65FC" w:rsidRDefault="008B283A" w:rsidP="00820D75">
            <w:pPr>
              <w:jc w:val="center"/>
              <w:rPr>
                <w:b/>
              </w:rPr>
            </w:pPr>
            <w:r w:rsidRPr="00AA65FC">
              <w:rPr>
                <w:b/>
              </w:rPr>
              <w:t>Média</w:t>
            </w:r>
          </w:p>
        </w:tc>
        <w:tc>
          <w:tcPr>
            <w:tcW w:w="900" w:type="pct"/>
            <w:tcBorders>
              <w:top w:val="single" w:sz="12" w:space="0" w:color="auto"/>
              <w:bottom w:val="single" w:sz="12" w:space="0" w:color="auto"/>
            </w:tcBorders>
            <w:shd w:val="clear" w:color="auto" w:fill="auto"/>
            <w:vAlign w:val="center"/>
          </w:tcPr>
          <w:p w14:paraId="0676096F" w14:textId="77777777" w:rsidR="008B283A" w:rsidRPr="00AA65FC" w:rsidRDefault="008B283A" w:rsidP="00820D75">
            <w:pPr>
              <w:jc w:val="center"/>
              <w:rPr>
                <w:b/>
              </w:rPr>
            </w:pPr>
            <w:r w:rsidRPr="00AA65FC">
              <w:rPr>
                <w:b/>
              </w:rPr>
              <w:t>Desvio-Padrão</w:t>
            </w:r>
          </w:p>
        </w:tc>
      </w:tr>
      <w:tr w:rsidR="008B283A" w:rsidRPr="00AA65FC" w14:paraId="06760977" w14:textId="77777777" w:rsidTr="008B6EAF">
        <w:trPr>
          <w:trHeight w:hRule="exact" w:val="284"/>
        </w:trPr>
        <w:tc>
          <w:tcPr>
            <w:tcW w:w="1012" w:type="pct"/>
            <w:tcBorders>
              <w:top w:val="single" w:sz="12" w:space="0" w:color="auto"/>
              <w:bottom w:val="single" w:sz="4" w:space="0" w:color="auto"/>
            </w:tcBorders>
          </w:tcPr>
          <w:p w14:paraId="06760971" w14:textId="77777777" w:rsidR="008B283A" w:rsidRPr="00AA65FC" w:rsidRDefault="008B283A" w:rsidP="00820D75">
            <w:pPr>
              <w:rPr>
                <w:bCs/>
              </w:rPr>
            </w:pPr>
            <w:proofErr w:type="spellStart"/>
            <w:r w:rsidRPr="00AA65FC">
              <w:rPr>
                <w:bCs/>
              </w:rPr>
              <w:t>SpreadAno</w:t>
            </w:r>
            <w:proofErr w:type="spellEnd"/>
          </w:p>
          <w:p w14:paraId="06760972" w14:textId="77777777" w:rsidR="008B283A" w:rsidRPr="00AA65FC" w:rsidRDefault="008B283A" w:rsidP="00820D75">
            <w:pPr>
              <w:rPr>
                <w:vertAlign w:val="subscript"/>
              </w:rPr>
            </w:pPr>
          </w:p>
        </w:tc>
        <w:tc>
          <w:tcPr>
            <w:tcW w:w="915" w:type="pct"/>
            <w:tcBorders>
              <w:top w:val="single" w:sz="12" w:space="0" w:color="auto"/>
              <w:bottom w:val="single" w:sz="4" w:space="0" w:color="auto"/>
            </w:tcBorders>
            <w:vAlign w:val="center"/>
          </w:tcPr>
          <w:p w14:paraId="06760973" w14:textId="77777777" w:rsidR="008B283A" w:rsidRPr="00AA65FC" w:rsidRDefault="008B283A" w:rsidP="00820D75">
            <w:pPr>
              <w:jc w:val="center"/>
            </w:pPr>
            <w:r w:rsidRPr="00AA65FC">
              <w:t>0,0003</w:t>
            </w:r>
          </w:p>
        </w:tc>
        <w:tc>
          <w:tcPr>
            <w:tcW w:w="1219" w:type="pct"/>
            <w:tcBorders>
              <w:top w:val="single" w:sz="12" w:space="0" w:color="auto"/>
              <w:bottom w:val="single" w:sz="4" w:space="0" w:color="auto"/>
            </w:tcBorders>
            <w:vAlign w:val="center"/>
          </w:tcPr>
          <w:p w14:paraId="06760974" w14:textId="77777777" w:rsidR="008B283A" w:rsidRPr="00AA65FC" w:rsidRDefault="008B283A" w:rsidP="00820D75">
            <w:pPr>
              <w:jc w:val="center"/>
            </w:pPr>
            <w:r w:rsidRPr="00AA65FC">
              <w:t>0,0145</w:t>
            </w:r>
          </w:p>
        </w:tc>
        <w:tc>
          <w:tcPr>
            <w:tcW w:w="954" w:type="pct"/>
            <w:tcBorders>
              <w:top w:val="single" w:sz="12" w:space="0" w:color="auto"/>
              <w:bottom w:val="single" w:sz="4" w:space="0" w:color="auto"/>
            </w:tcBorders>
            <w:vAlign w:val="center"/>
          </w:tcPr>
          <w:p w14:paraId="06760975" w14:textId="77777777" w:rsidR="008B283A" w:rsidRPr="00AA65FC" w:rsidRDefault="008B283A" w:rsidP="00820D75">
            <w:pPr>
              <w:jc w:val="center"/>
            </w:pPr>
            <w:r w:rsidRPr="00AA65FC">
              <w:t>0,0045</w:t>
            </w:r>
          </w:p>
        </w:tc>
        <w:tc>
          <w:tcPr>
            <w:tcW w:w="900" w:type="pct"/>
            <w:tcBorders>
              <w:top w:val="single" w:sz="12" w:space="0" w:color="auto"/>
              <w:bottom w:val="single" w:sz="4" w:space="0" w:color="auto"/>
            </w:tcBorders>
            <w:vAlign w:val="center"/>
          </w:tcPr>
          <w:p w14:paraId="06760976" w14:textId="77777777" w:rsidR="008B283A" w:rsidRPr="00AA65FC" w:rsidRDefault="008B283A" w:rsidP="00820D75">
            <w:pPr>
              <w:jc w:val="center"/>
            </w:pPr>
            <w:r w:rsidRPr="00AA65FC">
              <w:t xml:space="preserve">0,0030  </w:t>
            </w:r>
          </w:p>
        </w:tc>
      </w:tr>
      <w:tr w:rsidR="008B283A" w:rsidRPr="00AA65FC" w14:paraId="0676097E" w14:textId="77777777" w:rsidTr="008B6EAF">
        <w:trPr>
          <w:trHeight w:hRule="exact" w:val="284"/>
        </w:trPr>
        <w:tc>
          <w:tcPr>
            <w:tcW w:w="1012" w:type="pct"/>
            <w:tcBorders>
              <w:top w:val="single" w:sz="4" w:space="0" w:color="auto"/>
              <w:bottom w:val="single" w:sz="4" w:space="0" w:color="auto"/>
            </w:tcBorders>
          </w:tcPr>
          <w:p w14:paraId="06760978" w14:textId="77777777" w:rsidR="008B283A" w:rsidRPr="00AA65FC" w:rsidRDefault="008B283A" w:rsidP="00820D75">
            <w:pPr>
              <w:rPr>
                <w:bCs/>
              </w:rPr>
            </w:pPr>
            <w:r w:rsidRPr="00AA65FC">
              <w:rPr>
                <w:bCs/>
              </w:rPr>
              <w:t>Spread3m</w:t>
            </w:r>
          </w:p>
          <w:p w14:paraId="06760979" w14:textId="77777777" w:rsidR="008B283A" w:rsidRPr="00AA65FC" w:rsidRDefault="008B283A" w:rsidP="00820D75">
            <w:pPr>
              <w:rPr>
                <w:bCs/>
              </w:rPr>
            </w:pPr>
            <w:r w:rsidRPr="00AA65FC">
              <w:rPr>
                <w:bCs/>
              </w:rPr>
              <w:t>RS</w:t>
            </w:r>
          </w:p>
        </w:tc>
        <w:tc>
          <w:tcPr>
            <w:tcW w:w="915" w:type="pct"/>
            <w:tcBorders>
              <w:top w:val="single" w:sz="4" w:space="0" w:color="auto"/>
              <w:bottom w:val="single" w:sz="4" w:space="0" w:color="auto"/>
            </w:tcBorders>
            <w:vAlign w:val="center"/>
          </w:tcPr>
          <w:p w14:paraId="0676097A" w14:textId="77777777" w:rsidR="008B283A" w:rsidRPr="00AA65FC" w:rsidRDefault="008B283A" w:rsidP="00820D75">
            <w:pPr>
              <w:jc w:val="center"/>
              <w:rPr>
                <w:color w:val="000000"/>
              </w:rPr>
            </w:pPr>
            <w:r w:rsidRPr="00AA65FC">
              <w:t xml:space="preserve">0,0007   </w:t>
            </w:r>
          </w:p>
        </w:tc>
        <w:tc>
          <w:tcPr>
            <w:tcW w:w="1219" w:type="pct"/>
            <w:tcBorders>
              <w:top w:val="single" w:sz="4" w:space="0" w:color="auto"/>
              <w:bottom w:val="single" w:sz="4" w:space="0" w:color="auto"/>
            </w:tcBorders>
            <w:vAlign w:val="center"/>
          </w:tcPr>
          <w:p w14:paraId="0676097B" w14:textId="77777777" w:rsidR="008B283A" w:rsidRPr="00AA65FC" w:rsidRDefault="008B283A" w:rsidP="00820D75">
            <w:pPr>
              <w:jc w:val="center"/>
              <w:rPr>
                <w:color w:val="000000"/>
              </w:rPr>
            </w:pPr>
            <w:r w:rsidRPr="00AA65FC">
              <w:t>0,0126</w:t>
            </w:r>
          </w:p>
        </w:tc>
        <w:tc>
          <w:tcPr>
            <w:tcW w:w="954" w:type="pct"/>
            <w:tcBorders>
              <w:top w:val="single" w:sz="4" w:space="0" w:color="auto"/>
              <w:bottom w:val="single" w:sz="4" w:space="0" w:color="auto"/>
            </w:tcBorders>
            <w:vAlign w:val="center"/>
          </w:tcPr>
          <w:p w14:paraId="0676097C" w14:textId="77777777" w:rsidR="008B283A" w:rsidRPr="00AA65FC" w:rsidRDefault="008B283A" w:rsidP="00820D75">
            <w:pPr>
              <w:jc w:val="center"/>
              <w:rPr>
                <w:color w:val="000000"/>
              </w:rPr>
            </w:pPr>
            <w:r w:rsidRPr="00AA65FC">
              <w:t xml:space="preserve">0,0035   </w:t>
            </w:r>
          </w:p>
        </w:tc>
        <w:tc>
          <w:tcPr>
            <w:tcW w:w="900" w:type="pct"/>
            <w:tcBorders>
              <w:top w:val="single" w:sz="4" w:space="0" w:color="auto"/>
              <w:bottom w:val="single" w:sz="4" w:space="0" w:color="auto"/>
            </w:tcBorders>
            <w:vAlign w:val="center"/>
          </w:tcPr>
          <w:p w14:paraId="0676097D" w14:textId="77777777" w:rsidR="008B283A" w:rsidRPr="00AA65FC" w:rsidRDefault="008B283A" w:rsidP="00820D75">
            <w:pPr>
              <w:jc w:val="center"/>
              <w:rPr>
                <w:color w:val="000000"/>
              </w:rPr>
            </w:pPr>
            <w:r w:rsidRPr="00AA65FC">
              <w:t>0,0017</w:t>
            </w:r>
          </w:p>
        </w:tc>
      </w:tr>
      <w:tr w:rsidR="008B283A" w:rsidRPr="00AA65FC" w14:paraId="06760985" w14:textId="77777777" w:rsidTr="008B6EAF">
        <w:trPr>
          <w:trHeight w:hRule="exact" w:val="284"/>
        </w:trPr>
        <w:tc>
          <w:tcPr>
            <w:tcW w:w="1012" w:type="pct"/>
            <w:tcBorders>
              <w:top w:val="single" w:sz="4" w:space="0" w:color="auto"/>
              <w:bottom w:val="single" w:sz="4" w:space="0" w:color="auto"/>
            </w:tcBorders>
          </w:tcPr>
          <w:p w14:paraId="0676097F" w14:textId="77777777" w:rsidR="008B283A" w:rsidRPr="00AA65FC" w:rsidRDefault="008B283A" w:rsidP="00820D75">
            <w:pPr>
              <w:rPr>
                <w:bCs/>
              </w:rPr>
            </w:pPr>
            <w:r w:rsidRPr="00AA65FC">
              <w:rPr>
                <w:bCs/>
              </w:rPr>
              <w:t>Spread6m</w:t>
            </w:r>
          </w:p>
          <w:p w14:paraId="06760980" w14:textId="77777777" w:rsidR="008B283A" w:rsidRPr="00AA65FC" w:rsidRDefault="008B283A" w:rsidP="00820D75">
            <w:pPr>
              <w:rPr>
                <w:bCs/>
              </w:rPr>
            </w:pPr>
            <w:r w:rsidRPr="00AA65FC">
              <w:rPr>
                <w:bCs/>
              </w:rPr>
              <w:t>R</w:t>
            </w:r>
          </w:p>
        </w:tc>
        <w:tc>
          <w:tcPr>
            <w:tcW w:w="915" w:type="pct"/>
            <w:tcBorders>
              <w:top w:val="single" w:sz="4" w:space="0" w:color="auto"/>
              <w:bottom w:val="single" w:sz="4" w:space="0" w:color="auto"/>
            </w:tcBorders>
            <w:vAlign w:val="center"/>
          </w:tcPr>
          <w:p w14:paraId="06760981" w14:textId="77777777" w:rsidR="008B283A" w:rsidRPr="00AA65FC" w:rsidRDefault="008B283A" w:rsidP="00820D75">
            <w:pPr>
              <w:jc w:val="center"/>
              <w:rPr>
                <w:color w:val="000000"/>
              </w:rPr>
            </w:pPr>
            <w:r w:rsidRPr="00AA65FC">
              <w:t xml:space="preserve">0,0009   </w:t>
            </w:r>
          </w:p>
        </w:tc>
        <w:tc>
          <w:tcPr>
            <w:tcW w:w="1219" w:type="pct"/>
            <w:tcBorders>
              <w:top w:val="single" w:sz="4" w:space="0" w:color="auto"/>
              <w:bottom w:val="single" w:sz="4" w:space="0" w:color="auto"/>
            </w:tcBorders>
            <w:vAlign w:val="center"/>
          </w:tcPr>
          <w:p w14:paraId="06760982" w14:textId="77777777" w:rsidR="008B283A" w:rsidRPr="00AA65FC" w:rsidRDefault="008B283A" w:rsidP="00820D75">
            <w:pPr>
              <w:jc w:val="center"/>
              <w:rPr>
                <w:color w:val="000000"/>
              </w:rPr>
            </w:pPr>
            <w:r w:rsidRPr="00AA65FC">
              <w:t>0,0100</w:t>
            </w:r>
          </w:p>
        </w:tc>
        <w:tc>
          <w:tcPr>
            <w:tcW w:w="954" w:type="pct"/>
            <w:tcBorders>
              <w:top w:val="single" w:sz="4" w:space="0" w:color="auto"/>
              <w:bottom w:val="single" w:sz="4" w:space="0" w:color="auto"/>
            </w:tcBorders>
            <w:vAlign w:val="center"/>
          </w:tcPr>
          <w:p w14:paraId="06760983" w14:textId="77777777" w:rsidR="008B283A" w:rsidRPr="00AA65FC" w:rsidRDefault="008B283A" w:rsidP="00820D75">
            <w:pPr>
              <w:jc w:val="center"/>
              <w:rPr>
                <w:color w:val="000000"/>
              </w:rPr>
            </w:pPr>
            <w:r w:rsidRPr="00AA65FC">
              <w:t xml:space="preserve">0,0033   </w:t>
            </w:r>
          </w:p>
        </w:tc>
        <w:tc>
          <w:tcPr>
            <w:tcW w:w="900" w:type="pct"/>
            <w:tcBorders>
              <w:top w:val="single" w:sz="4" w:space="0" w:color="auto"/>
              <w:bottom w:val="single" w:sz="4" w:space="0" w:color="auto"/>
            </w:tcBorders>
            <w:vAlign w:val="center"/>
          </w:tcPr>
          <w:p w14:paraId="06760984" w14:textId="77777777" w:rsidR="008B283A" w:rsidRPr="00AA65FC" w:rsidRDefault="008B283A" w:rsidP="00820D75">
            <w:pPr>
              <w:jc w:val="center"/>
              <w:rPr>
                <w:color w:val="000000"/>
              </w:rPr>
            </w:pPr>
            <w:r w:rsidRPr="00AA65FC">
              <w:t xml:space="preserve">0,0014         </w:t>
            </w:r>
          </w:p>
        </w:tc>
      </w:tr>
      <w:tr w:rsidR="008B283A" w:rsidRPr="00AA65FC" w14:paraId="0676098B" w14:textId="77777777" w:rsidTr="008B6EAF">
        <w:trPr>
          <w:trHeight w:hRule="exact" w:val="284"/>
        </w:trPr>
        <w:tc>
          <w:tcPr>
            <w:tcW w:w="1012" w:type="pct"/>
            <w:tcBorders>
              <w:top w:val="single" w:sz="4" w:space="0" w:color="auto"/>
              <w:bottom w:val="single" w:sz="4" w:space="0" w:color="auto"/>
            </w:tcBorders>
          </w:tcPr>
          <w:p w14:paraId="06760986" w14:textId="77777777" w:rsidR="008B283A" w:rsidRPr="00AA65FC" w:rsidRDefault="008B283A" w:rsidP="00820D75">
            <w:pPr>
              <w:rPr>
                <w:bCs/>
              </w:rPr>
            </w:pPr>
            <w:r w:rsidRPr="00AA65FC">
              <w:rPr>
                <w:bCs/>
              </w:rPr>
              <w:t>CA</w:t>
            </w:r>
          </w:p>
        </w:tc>
        <w:tc>
          <w:tcPr>
            <w:tcW w:w="915" w:type="pct"/>
            <w:tcBorders>
              <w:top w:val="single" w:sz="4" w:space="0" w:color="auto"/>
              <w:bottom w:val="single" w:sz="4" w:space="0" w:color="auto"/>
            </w:tcBorders>
            <w:vAlign w:val="center"/>
          </w:tcPr>
          <w:p w14:paraId="06760987" w14:textId="77777777" w:rsidR="008B283A" w:rsidRPr="00AA65FC" w:rsidRDefault="008B283A" w:rsidP="00820D75">
            <w:pPr>
              <w:jc w:val="center"/>
            </w:pPr>
            <w:r w:rsidRPr="00AA65FC">
              <w:t>0,0000</w:t>
            </w:r>
          </w:p>
        </w:tc>
        <w:tc>
          <w:tcPr>
            <w:tcW w:w="1219" w:type="pct"/>
            <w:tcBorders>
              <w:top w:val="single" w:sz="4" w:space="0" w:color="auto"/>
              <w:bottom w:val="single" w:sz="4" w:space="0" w:color="auto"/>
            </w:tcBorders>
            <w:vAlign w:val="center"/>
          </w:tcPr>
          <w:p w14:paraId="06760988" w14:textId="77777777" w:rsidR="008B283A" w:rsidRPr="00AA65FC" w:rsidRDefault="008B283A" w:rsidP="00820D75">
            <w:pPr>
              <w:jc w:val="center"/>
            </w:pPr>
            <w:r w:rsidRPr="00AA65FC">
              <w:t>1,0000</w:t>
            </w:r>
          </w:p>
        </w:tc>
        <w:tc>
          <w:tcPr>
            <w:tcW w:w="954" w:type="pct"/>
            <w:tcBorders>
              <w:top w:val="single" w:sz="4" w:space="0" w:color="auto"/>
              <w:bottom w:val="single" w:sz="4" w:space="0" w:color="auto"/>
            </w:tcBorders>
            <w:vAlign w:val="center"/>
          </w:tcPr>
          <w:p w14:paraId="06760989" w14:textId="77777777" w:rsidR="008B283A" w:rsidRPr="00AA65FC" w:rsidRDefault="008B283A" w:rsidP="00820D75">
            <w:pPr>
              <w:jc w:val="center"/>
            </w:pPr>
            <w:r w:rsidRPr="00AA65FC">
              <w:t>0,6261</w:t>
            </w:r>
          </w:p>
        </w:tc>
        <w:tc>
          <w:tcPr>
            <w:tcW w:w="900" w:type="pct"/>
            <w:tcBorders>
              <w:top w:val="single" w:sz="4" w:space="0" w:color="auto"/>
              <w:bottom w:val="single" w:sz="4" w:space="0" w:color="auto"/>
            </w:tcBorders>
            <w:vAlign w:val="center"/>
          </w:tcPr>
          <w:p w14:paraId="0676098A" w14:textId="77777777" w:rsidR="008B283A" w:rsidRPr="00AA65FC" w:rsidRDefault="008B283A" w:rsidP="00820D75">
            <w:pPr>
              <w:jc w:val="center"/>
            </w:pPr>
            <w:r w:rsidRPr="00AA65FC">
              <w:t>0,4845</w:t>
            </w:r>
          </w:p>
        </w:tc>
      </w:tr>
      <w:tr w:rsidR="008B283A" w:rsidRPr="00AA65FC" w14:paraId="06760991" w14:textId="77777777" w:rsidTr="008B6EAF">
        <w:trPr>
          <w:trHeight w:hRule="exact" w:val="284"/>
        </w:trPr>
        <w:tc>
          <w:tcPr>
            <w:tcW w:w="1012" w:type="pct"/>
            <w:tcBorders>
              <w:top w:val="single" w:sz="4" w:space="0" w:color="auto"/>
              <w:bottom w:val="single" w:sz="4" w:space="0" w:color="auto"/>
            </w:tcBorders>
          </w:tcPr>
          <w:p w14:paraId="0676098C" w14:textId="77777777" w:rsidR="008B283A" w:rsidRPr="00AA65FC" w:rsidRDefault="008B283A" w:rsidP="00820D75">
            <w:pPr>
              <w:rPr>
                <w:vertAlign w:val="subscript"/>
              </w:rPr>
            </w:pPr>
            <w:r w:rsidRPr="00AA65FC">
              <w:rPr>
                <w:bCs/>
              </w:rPr>
              <w:t>TAM</w:t>
            </w:r>
          </w:p>
        </w:tc>
        <w:tc>
          <w:tcPr>
            <w:tcW w:w="915" w:type="pct"/>
            <w:tcBorders>
              <w:top w:val="single" w:sz="4" w:space="0" w:color="auto"/>
              <w:bottom w:val="single" w:sz="4" w:space="0" w:color="auto"/>
            </w:tcBorders>
            <w:vAlign w:val="center"/>
          </w:tcPr>
          <w:p w14:paraId="0676098D" w14:textId="77777777" w:rsidR="008B283A" w:rsidRPr="00AA65FC" w:rsidRDefault="008B283A" w:rsidP="00820D75">
            <w:pPr>
              <w:jc w:val="center"/>
            </w:pPr>
            <w:r w:rsidRPr="00AA65FC">
              <w:t xml:space="preserve">19,5258   </w:t>
            </w:r>
          </w:p>
        </w:tc>
        <w:tc>
          <w:tcPr>
            <w:tcW w:w="1219" w:type="pct"/>
            <w:tcBorders>
              <w:top w:val="single" w:sz="4" w:space="0" w:color="auto"/>
              <w:bottom w:val="single" w:sz="4" w:space="0" w:color="auto"/>
            </w:tcBorders>
            <w:vAlign w:val="center"/>
          </w:tcPr>
          <w:p w14:paraId="0676098E" w14:textId="77777777" w:rsidR="008B283A" w:rsidRPr="00AA65FC" w:rsidRDefault="008B283A" w:rsidP="00820D75">
            <w:pPr>
              <w:jc w:val="center"/>
            </w:pPr>
            <w:r w:rsidRPr="00AA65FC">
              <w:t>26,9333</w:t>
            </w:r>
          </w:p>
        </w:tc>
        <w:tc>
          <w:tcPr>
            <w:tcW w:w="954" w:type="pct"/>
            <w:tcBorders>
              <w:top w:val="single" w:sz="4" w:space="0" w:color="auto"/>
              <w:bottom w:val="single" w:sz="4" w:space="0" w:color="auto"/>
            </w:tcBorders>
            <w:vAlign w:val="center"/>
          </w:tcPr>
          <w:p w14:paraId="0676098F" w14:textId="77777777" w:rsidR="008B283A" w:rsidRPr="00AA65FC" w:rsidRDefault="008B283A" w:rsidP="00820D75">
            <w:pPr>
              <w:jc w:val="center"/>
            </w:pPr>
            <w:r w:rsidRPr="00AA65FC">
              <w:t xml:space="preserve">22,6777    </w:t>
            </w:r>
          </w:p>
        </w:tc>
        <w:tc>
          <w:tcPr>
            <w:tcW w:w="900" w:type="pct"/>
            <w:tcBorders>
              <w:top w:val="single" w:sz="4" w:space="0" w:color="auto"/>
              <w:bottom w:val="single" w:sz="4" w:space="0" w:color="auto"/>
            </w:tcBorders>
            <w:vAlign w:val="center"/>
          </w:tcPr>
          <w:p w14:paraId="06760990" w14:textId="77777777" w:rsidR="008B283A" w:rsidRPr="00AA65FC" w:rsidRDefault="008B283A" w:rsidP="00820D75">
            <w:pPr>
              <w:jc w:val="center"/>
            </w:pPr>
            <w:r w:rsidRPr="00AA65FC">
              <w:t>1,4328</w:t>
            </w:r>
          </w:p>
        </w:tc>
      </w:tr>
      <w:tr w:rsidR="008B283A" w:rsidRPr="00AA65FC" w14:paraId="06760997" w14:textId="77777777" w:rsidTr="008B6EAF">
        <w:trPr>
          <w:trHeight w:hRule="exact" w:val="284"/>
        </w:trPr>
        <w:tc>
          <w:tcPr>
            <w:tcW w:w="1012" w:type="pct"/>
            <w:tcBorders>
              <w:top w:val="single" w:sz="4" w:space="0" w:color="auto"/>
              <w:bottom w:val="single" w:sz="4" w:space="0" w:color="auto"/>
            </w:tcBorders>
          </w:tcPr>
          <w:p w14:paraId="06760992" w14:textId="77777777" w:rsidR="008B283A" w:rsidRPr="00AA65FC" w:rsidRDefault="008B283A" w:rsidP="00820D75">
            <w:r w:rsidRPr="00AA65FC">
              <w:t>ROE</w:t>
            </w:r>
          </w:p>
        </w:tc>
        <w:tc>
          <w:tcPr>
            <w:tcW w:w="915" w:type="pct"/>
            <w:tcBorders>
              <w:top w:val="single" w:sz="4" w:space="0" w:color="auto"/>
              <w:bottom w:val="single" w:sz="4" w:space="0" w:color="auto"/>
            </w:tcBorders>
            <w:vAlign w:val="center"/>
          </w:tcPr>
          <w:p w14:paraId="06760993" w14:textId="77777777" w:rsidR="008B283A" w:rsidRPr="00AA65FC" w:rsidRDefault="008B283A" w:rsidP="00820D75">
            <w:pPr>
              <w:jc w:val="center"/>
            </w:pPr>
            <w:r w:rsidRPr="00AA65FC">
              <w:t xml:space="preserve">-0,4473   </w:t>
            </w:r>
          </w:p>
        </w:tc>
        <w:tc>
          <w:tcPr>
            <w:tcW w:w="1219" w:type="pct"/>
            <w:tcBorders>
              <w:top w:val="single" w:sz="4" w:space="0" w:color="auto"/>
              <w:bottom w:val="single" w:sz="4" w:space="0" w:color="auto"/>
            </w:tcBorders>
            <w:vAlign w:val="center"/>
          </w:tcPr>
          <w:p w14:paraId="06760994" w14:textId="77777777" w:rsidR="008B283A" w:rsidRPr="00AA65FC" w:rsidRDefault="008B283A" w:rsidP="00820D75">
            <w:pPr>
              <w:jc w:val="center"/>
            </w:pPr>
            <w:r w:rsidRPr="00AA65FC">
              <w:t>1,1847</w:t>
            </w:r>
          </w:p>
        </w:tc>
        <w:tc>
          <w:tcPr>
            <w:tcW w:w="954" w:type="pct"/>
            <w:tcBorders>
              <w:top w:val="single" w:sz="4" w:space="0" w:color="auto"/>
              <w:bottom w:val="single" w:sz="4" w:space="0" w:color="auto"/>
            </w:tcBorders>
            <w:vAlign w:val="center"/>
          </w:tcPr>
          <w:p w14:paraId="06760995" w14:textId="77777777" w:rsidR="008B283A" w:rsidRPr="00AA65FC" w:rsidRDefault="008B283A" w:rsidP="00820D75">
            <w:pPr>
              <w:jc w:val="center"/>
            </w:pPr>
            <w:r w:rsidRPr="00AA65FC">
              <w:t>0,2064</w:t>
            </w:r>
          </w:p>
        </w:tc>
        <w:tc>
          <w:tcPr>
            <w:tcW w:w="900" w:type="pct"/>
            <w:tcBorders>
              <w:top w:val="single" w:sz="4" w:space="0" w:color="auto"/>
              <w:bottom w:val="single" w:sz="4" w:space="0" w:color="auto"/>
            </w:tcBorders>
            <w:vAlign w:val="center"/>
          </w:tcPr>
          <w:p w14:paraId="06760996" w14:textId="77777777" w:rsidR="008B283A" w:rsidRPr="00AA65FC" w:rsidRDefault="008B283A" w:rsidP="00820D75">
            <w:pPr>
              <w:jc w:val="center"/>
            </w:pPr>
            <w:r w:rsidRPr="00AA65FC">
              <w:t>0,1901</w:t>
            </w:r>
          </w:p>
        </w:tc>
      </w:tr>
      <w:tr w:rsidR="008B283A" w:rsidRPr="00AA65FC" w14:paraId="0676099D" w14:textId="77777777" w:rsidTr="008B6EAF">
        <w:trPr>
          <w:trHeight w:hRule="exact" w:val="284"/>
        </w:trPr>
        <w:tc>
          <w:tcPr>
            <w:tcW w:w="1012" w:type="pct"/>
            <w:tcBorders>
              <w:top w:val="single" w:sz="4" w:space="0" w:color="auto"/>
              <w:bottom w:val="single" w:sz="18" w:space="0" w:color="auto"/>
            </w:tcBorders>
          </w:tcPr>
          <w:p w14:paraId="06760998" w14:textId="77777777" w:rsidR="008B283A" w:rsidRPr="00AA65FC" w:rsidRDefault="008B283A" w:rsidP="00820D75">
            <w:r w:rsidRPr="00AA65FC">
              <w:t>END</w:t>
            </w:r>
          </w:p>
        </w:tc>
        <w:tc>
          <w:tcPr>
            <w:tcW w:w="915" w:type="pct"/>
            <w:tcBorders>
              <w:top w:val="single" w:sz="4" w:space="0" w:color="auto"/>
              <w:bottom w:val="single" w:sz="12" w:space="0" w:color="auto"/>
            </w:tcBorders>
            <w:vAlign w:val="center"/>
          </w:tcPr>
          <w:p w14:paraId="06760999" w14:textId="77777777" w:rsidR="008B283A" w:rsidRPr="00AA65FC" w:rsidRDefault="008B283A" w:rsidP="00820D75">
            <w:pPr>
              <w:jc w:val="center"/>
              <w:rPr>
                <w:color w:val="000000"/>
              </w:rPr>
            </w:pPr>
            <w:r w:rsidRPr="00AA65FC">
              <w:t xml:space="preserve">0,1567  </w:t>
            </w:r>
          </w:p>
        </w:tc>
        <w:tc>
          <w:tcPr>
            <w:tcW w:w="1219" w:type="pct"/>
            <w:tcBorders>
              <w:top w:val="single" w:sz="4" w:space="0" w:color="auto"/>
              <w:bottom w:val="single" w:sz="12" w:space="0" w:color="auto"/>
            </w:tcBorders>
            <w:vAlign w:val="center"/>
          </w:tcPr>
          <w:p w14:paraId="0676099A" w14:textId="77777777" w:rsidR="008B283A" w:rsidRPr="00AA65FC" w:rsidRDefault="008B283A" w:rsidP="00820D75">
            <w:pPr>
              <w:jc w:val="center"/>
            </w:pPr>
            <w:r w:rsidRPr="00AA65FC">
              <w:t>1,0519</w:t>
            </w:r>
          </w:p>
        </w:tc>
        <w:tc>
          <w:tcPr>
            <w:tcW w:w="954" w:type="pct"/>
            <w:tcBorders>
              <w:top w:val="single" w:sz="4" w:space="0" w:color="auto"/>
              <w:bottom w:val="single" w:sz="12" w:space="0" w:color="auto"/>
            </w:tcBorders>
            <w:vAlign w:val="center"/>
          </w:tcPr>
          <w:p w14:paraId="0676099B" w14:textId="77777777" w:rsidR="008B283A" w:rsidRPr="00AA65FC" w:rsidRDefault="008B283A" w:rsidP="00820D75">
            <w:pPr>
              <w:jc w:val="center"/>
            </w:pPr>
            <w:r w:rsidRPr="00AA65FC">
              <w:t xml:space="preserve">0,5960    </w:t>
            </w:r>
          </w:p>
        </w:tc>
        <w:tc>
          <w:tcPr>
            <w:tcW w:w="900" w:type="pct"/>
            <w:tcBorders>
              <w:top w:val="single" w:sz="4" w:space="0" w:color="auto"/>
              <w:bottom w:val="single" w:sz="12" w:space="0" w:color="auto"/>
            </w:tcBorders>
            <w:vAlign w:val="center"/>
          </w:tcPr>
          <w:p w14:paraId="0676099C" w14:textId="77777777" w:rsidR="008B283A" w:rsidRPr="00AA65FC" w:rsidRDefault="008B283A" w:rsidP="00820D75">
            <w:pPr>
              <w:jc w:val="center"/>
            </w:pPr>
            <w:r w:rsidRPr="00AA65FC">
              <w:t>0,2011</w:t>
            </w:r>
          </w:p>
        </w:tc>
      </w:tr>
    </w:tbl>
    <w:p w14:paraId="0676099E" w14:textId="77777777" w:rsidR="008B283A" w:rsidRDefault="008B283A" w:rsidP="00820D75">
      <w:pPr>
        <w:autoSpaceDE w:val="0"/>
        <w:autoSpaceDN w:val="0"/>
        <w:adjustRightInd w:val="0"/>
        <w:jc w:val="both"/>
      </w:pPr>
      <w:r>
        <w:t>Obs.: CA: Comitê de auditoria, TAM: Tamanho, ROE: Rentabilidade sobre o patrimônio líquido, END: Endividamento.</w:t>
      </w:r>
    </w:p>
    <w:p w14:paraId="0676099F" w14:textId="77777777" w:rsidR="008B283A" w:rsidRPr="00AA65FC" w:rsidRDefault="008B283A" w:rsidP="00820D75">
      <w:pPr>
        <w:autoSpaceDE w:val="0"/>
        <w:autoSpaceDN w:val="0"/>
        <w:adjustRightInd w:val="0"/>
        <w:jc w:val="both"/>
      </w:pPr>
      <w:r w:rsidRPr="00AA65FC">
        <w:t>Fonte: Dados da pesquisa.</w:t>
      </w:r>
    </w:p>
    <w:p w14:paraId="067609A0" w14:textId="77777777" w:rsidR="008B283A" w:rsidRPr="00AA65FC" w:rsidRDefault="008B283A" w:rsidP="00820D75">
      <w:pPr>
        <w:autoSpaceDE w:val="0"/>
        <w:autoSpaceDN w:val="0"/>
        <w:adjustRightInd w:val="0"/>
        <w:jc w:val="both"/>
      </w:pPr>
    </w:p>
    <w:p w14:paraId="067609A1" w14:textId="7F66915F" w:rsidR="008B283A" w:rsidRPr="00AA65FC" w:rsidRDefault="008B283A" w:rsidP="00332F0B">
      <w:pPr>
        <w:autoSpaceDE w:val="0"/>
        <w:autoSpaceDN w:val="0"/>
        <w:adjustRightInd w:val="0"/>
        <w:ind w:firstLine="709"/>
        <w:jc w:val="both"/>
        <w:rPr>
          <w:sz w:val="24"/>
          <w:szCs w:val="24"/>
        </w:rPr>
      </w:pPr>
      <w:r w:rsidRPr="00AA65FC">
        <w:rPr>
          <w:sz w:val="24"/>
          <w:szCs w:val="24"/>
        </w:rPr>
        <w:t>Observa-se que a média das variáveis de assimetria da informação é maior ao final do exercício (0</w:t>
      </w:r>
      <w:r w:rsidR="004D1550">
        <w:rPr>
          <w:sz w:val="24"/>
          <w:szCs w:val="24"/>
        </w:rPr>
        <w:t>,</w:t>
      </w:r>
      <w:r w:rsidRPr="00AA65FC">
        <w:rPr>
          <w:sz w:val="24"/>
          <w:szCs w:val="24"/>
        </w:rPr>
        <w:t>0045) do que a média de assimetria da informação nos períodos de três (0</w:t>
      </w:r>
      <w:r w:rsidR="004D1550">
        <w:rPr>
          <w:sz w:val="24"/>
          <w:szCs w:val="24"/>
        </w:rPr>
        <w:t>,</w:t>
      </w:r>
      <w:r w:rsidRPr="00AA65FC">
        <w:rPr>
          <w:sz w:val="24"/>
          <w:szCs w:val="24"/>
        </w:rPr>
        <w:t>0035) e seis meses após o exercício (0</w:t>
      </w:r>
      <w:r w:rsidR="004D1550">
        <w:rPr>
          <w:sz w:val="24"/>
          <w:szCs w:val="24"/>
        </w:rPr>
        <w:t>,</w:t>
      </w:r>
      <w:r w:rsidRPr="00AA65FC">
        <w:rPr>
          <w:sz w:val="24"/>
          <w:szCs w:val="24"/>
        </w:rPr>
        <w:t>0033). Assim, sugere-se que a assimetria da informação é reduzida em meses posteriores ao término de um período, o que pode ser decorrente do fato de que em períodos posteriores as empresas divulgam suas demonstrações contábeis e outros relatórios aos usuários externos, contendo diversas informações</w:t>
      </w:r>
      <w:r>
        <w:rPr>
          <w:sz w:val="24"/>
          <w:szCs w:val="24"/>
        </w:rPr>
        <w:t>, o que pode ser um dos fatores capazes de minimizar a assimetria de informação nesse período temporal.</w:t>
      </w:r>
    </w:p>
    <w:p w14:paraId="067609A3" w14:textId="7BB29EBE" w:rsidR="008B283A" w:rsidRPr="00AA65FC" w:rsidRDefault="008B283A" w:rsidP="00332F0B">
      <w:pPr>
        <w:autoSpaceDE w:val="0"/>
        <w:autoSpaceDN w:val="0"/>
        <w:adjustRightInd w:val="0"/>
        <w:ind w:firstLine="709"/>
        <w:jc w:val="both"/>
        <w:rPr>
          <w:sz w:val="24"/>
          <w:szCs w:val="24"/>
        </w:rPr>
      </w:pPr>
      <w:r w:rsidRPr="00AA65FC">
        <w:rPr>
          <w:sz w:val="24"/>
          <w:szCs w:val="24"/>
        </w:rPr>
        <w:t xml:space="preserve">Com relação a variável de </w:t>
      </w:r>
      <w:r w:rsidR="00472D25">
        <w:rPr>
          <w:sz w:val="24"/>
          <w:szCs w:val="24"/>
        </w:rPr>
        <w:t>CA</w:t>
      </w:r>
      <w:r w:rsidRPr="00AA65FC">
        <w:rPr>
          <w:sz w:val="24"/>
          <w:szCs w:val="24"/>
        </w:rPr>
        <w:t xml:space="preserve">, observa-se mediante a média (0,6261) que mais da metade das empresas da amostra possuíam </w:t>
      </w:r>
      <w:r w:rsidR="00472D25">
        <w:rPr>
          <w:sz w:val="24"/>
          <w:szCs w:val="24"/>
        </w:rPr>
        <w:t>CA</w:t>
      </w:r>
      <w:r w:rsidRPr="00AA65FC">
        <w:rPr>
          <w:sz w:val="24"/>
          <w:szCs w:val="24"/>
        </w:rPr>
        <w:t xml:space="preserve"> e que, em contrapartida, as empresas restantes não possuíam </w:t>
      </w:r>
      <w:r w:rsidR="00C43367">
        <w:rPr>
          <w:sz w:val="24"/>
          <w:szCs w:val="24"/>
        </w:rPr>
        <w:t>CA</w:t>
      </w:r>
      <w:r w:rsidRPr="00AA65FC">
        <w:rPr>
          <w:sz w:val="24"/>
          <w:szCs w:val="24"/>
        </w:rPr>
        <w:t xml:space="preserve"> como mecanismo de governança corporativa. </w:t>
      </w:r>
    </w:p>
    <w:p w14:paraId="067609A4" w14:textId="0C955733" w:rsidR="008B283A" w:rsidRPr="000C3613" w:rsidRDefault="008B283A" w:rsidP="00332F0B">
      <w:pPr>
        <w:autoSpaceDE w:val="0"/>
        <w:autoSpaceDN w:val="0"/>
        <w:adjustRightInd w:val="0"/>
        <w:ind w:firstLine="709"/>
        <w:jc w:val="both"/>
        <w:rPr>
          <w:sz w:val="24"/>
          <w:szCs w:val="24"/>
        </w:rPr>
      </w:pPr>
      <w:r w:rsidRPr="00AA65FC">
        <w:rPr>
          <w:sz w:val="24"/>
          <w:szCs w:val="24"/>
        </w:rPr>
        <w:t xml:space="preserve">Com relação </w:t>
      </w:r>
      <w:r w:rsidR="00472D25">
        <w:rPr>
          <w:sz w:val="24"/>
          <w:szCs w:val="24"/>
        </w:rPr>
        <w:t>ao ROE</w:t>
      </w:r>
      <w:r w:rsidRPr="00AA65FC">
        <w:rPr>
          <w:sz w:val="24"/>
          <w:szCs w:val="24"/>
        </w:rPr>
        <w:t xml:space="preserve">, observa-se que em média as empresas </w:t>
      </w:r>
      <w:r>
        <w:rPr>
          <w:sz w:val="24"/>
          <w:szCs w:val="24"/>
        </w:rPr>
        <w:t>apresentam-se</w:t>
      </w:r>
      <w:r w:rsidRPr="00AA65FC">
        <w:rPr>
          <w:sz w:val="24"/>
          <w:szCs w:val="24"/>
        </w:rPr>
        <w:t xml:space="preserve"> rentáveis (0,2064), todavia, algumas empresas apresentaram rentabilidade negativa, o que representa que não estão conseguindo gerar lucros com relação ao seu capital próprio. Ademais, observa-se que as empresas possuem endividamento médio de 0</w:t>
      </w:r>
      <w:r w:rsidR="00CF1ED7">
        <w:rPr>
          <w:sz w:val="24"/>
          <w:szCs w:val="24"/>
        </w:rPr>
        <w:t>,</w:t>
      </w:r>
      <w:r w:rsidRPr="00AA65FC">
        <w:rPr>
          <w:sz w:val="24"/>
          <w:szCs w:val="24"/>
        </w:rPr>
        <w:t xml:space="preserve">5960, o que representa que mais da metade do seu ativo total é proveniente de capital de terceiros. </w:t>
      </w:r>
    </w:p>
    <w:p w14:paraId="067609A5" w14:textId="4ED89C24" w:rsidR="008B283A" w:rsidRPr="00AA65FC" w:rsidRDefault="008B283A" w:rsidP="00332F0B">
      <w:pPr>
        <w:autoSpaceDE w:val="0"/>
        <w:autoSpaceDN w:val="0"/>
        <w:adjustRightInd w:val="0"/>
        <w:ind w:firstLine="709"/>
        <w:jc w:val="both"/>
        <w:rPr>
          <w:rFonts w:eastAsia="Calibri"/>
          <w:sz w:val="24"/>
          <w:szCs w:val="24"/>
        </w:rPr>
      </w:pPr>
      <w:r>
        <w:rPr>
          <w:sz w:val="24"/>
          <w:szCs w:val="24"/>
        </w:rPr>
        <w:t>Apresenta</w:t>
      </w:r>
      <w:r w:rsidRPr="000C3613">
        <w:rPr>
          <w:sz w:val="24"/>
          <w:szCs w:val="24"/>
        </w:rPr>
        <w:t xml:space="preserve">-se na Tabela 3 os resultados acerca da influência do </w:t>
      </w:r>
      <w:r w:rsidR="00C43367">
        <w:rPr>
          <w:sz w:val="24"/>
          <w:szCs w:val="24"/>
        </w:rPr>
        <w:t>CA</w:t>
      </w:r>
      <w:r w:rsidRPr="000C3613">
        <w:rPr>
          <w:sz w:val="24"/>
          <w:szCs w:val="24"/>
        </w:rPr>
        <w:t xml:space="preserve"> na assimetria de informação, que se</w:t>
      </w:r>
      <w:r w:rsidRPr="00AA65FC">
        <w:rPr>
          <w:sz w:val="24"/>
          <w:szCs w:val="24"/>
        </w:rPr>
        <w:t xml:space="preserve"> configura no foco da primeira hipótese. </w:t>
      </w:r>
    </w:p>
    <w:p w14:paraId="067609A6" w14:textId="77777777" w:rsidR="008B283A" w:rsidRPr="00AA65FC" w:rsidRDefault="008B283A" w:rsidP="00820D75">
      <w:pPr>
        <w:ind w:firstLine="709"/>
        <w:jc w:val="both"/>
        <w:rPr>
          <w:rFonts w:eastAsia="Calibri"/>
          <w:sz w:val="24"/>
          <w:szCs w:val="24"/>
        </w:rPr>
      </w:pPr>
    </w:p>
    <w:p w14:paraId="067609A7" w14:textId="24BA4F2A" w:rsidR="008B283A" w:rsidRPr="00B72BF6" w:rsidRDefault="008B283A" w:rsidP="00820D75">
      <w:pPr>
        <w:keepNext/>
        <w:jc w:val="both"/>
        <w:rPr>
          <w:rFonts w:eastAsia="Calibri"/>
          <w:b/>
          <w:iCs/>
        </w:rPr>
      </w:pPr>
      <w:r w:rsidRPr="00B72BF6">
        <w:rPr>
          <w:rFonts w:eastAsia="Calibri"/>
          <w:b/>
          <w:iCs/>
        </w:rPr>
        <w:lastRenderedPageBreak/>
        <w:t xml:space="preserve">Tabela 3 </w:t>
      </w:r>
      <w:r w:rsidR="00B72BF6" w:rsidRPr="00B72BF6">
        <w:rPr>
          <w:rFonts w:eastAsia="Calibri"/>
          <w:b/>
          <w:iCs/>
        </w:rPr>
        <w:t xml:space="preserve">- </w:t>
      </w:r>
      <w:r w:rsidR="00817C96" w:rsidRPr="00B72BF6">
        <w:rPr>
          <w:rFonts w:eastAsia="Calibri"/>
          <w:b/>
          <w:iCs/>
          <w:noProof/>
        </w:rPr>
        <w:t>Influência do Comitê de Auditoria na Assimetria de Informação</w:t>
      </w:r>
    </w:p>
    <w:tbl>
      <w:tblPr>
        <w:tblW w:w="9093" w:type="dxa"/>
        <w:tblCellMar>
          <w:left w:w="70" w:type="dxa"/>
          <w:right w:w="70" w:type="dxa"/>
        </w:tblCellMar>
        <w:tblLook w:val="04A0" w:firstRow="1" w:lastRow="0" w:firstColumn="1" w:lastColumn="0" w:noHBand="0" w:noVBand="1"/>
      </w:tblPr>
      <w:tblGrid>
        <w:gridCol w:w="1038"/>
        <w:gridCol w:w="1384"/>
        <w:gridCol w:w="1385"/>
        <w:gridCol w:w="1412"/>
        <w:gridCol w:w="1375"/>
        <w:gridCol w:w="1331"/>
        <w:gridCol w:w="1168"/>
      </w:tblGrid>
      <w:tr w:rsidR="008B283A" w:rsidRPr="00AA65FC" w14:paraId="067609AF" w14:textId="77777777" w:rsidTr="00171F65">
        <w:trPr>
          <w:trHeight w:val="274"/>
        </w:trPr>
        <w:tc>
          <w:tcPr>
            <w:tcW w:w="1038" w:type="dxa"/>
            <w:vMerge w:val="restart"/>
            <w:tcBorders>
              <w:top w:val="single" w:sz="18" w:space="0" w:color="auto"/>
              <w:bottom w:val="single" w:sz="4" w:space="0" w:color="auto"/>
              <w:right w:val="single" w:sz="4" w:space="0" w:color="auto"/>
            </w:tcBorders>
            <w:shd w:val="clear" w:color="auto" w:fill="auto"/>
            <w:noWrap/>
            <w:vAlign w:val="center"/>
            <w:hideMark/>
          </w:tcPr>
          <w:p w14:paraId="067609A8" w14:textId="77777777" w:rsidR="008B283A" w:rsidRPr="00AA65FC" w:rsidRDefault="008B283A" w:rsidP="00820D75">
            <w:pPr>
              <w:jc w:val="center"/>
              <w:rPr>
                <w:color w:val="000000"/>
              </w:rPr>
            </w:pPr>
            <w:r w:rsidRPr="00AA65FC">
              <w:rPr>
                <w:color w:val="000000"/>
              </w:rPr>
              <w:t>Variáveis</w:t>
            </w:r>
          </w:p>
        </w:tc>
        <w:tc>
          <w:tcPr>
            <w:tcW w:w="2769" w:type="dxa"/>
            <w:gridSpan w:val="2"/>
            <w:tcBorders>
              <w:top w:val="single" w:sz="18" w:space="0" w:color="auto"/>
              <w:left w:val="single" w:sz="4" w:space="0" w:color="auto"/>
              <w:bottom w:val="single" w:sz="4" w:space="0" w:color="auto"/>
              <w:right w:val="single" w:sz="4" w:space="0" w:color="auto"/>
            </w:tcBorders>
            <w:shd w:val="clear" w:color="auto" w:fill="auto"/>
            <w:noWrap/>
            <w:vAlign w:val="bottom"/>
            <w:hideMark/>
          </w:tcPr>
          <w:p w14:paraId="067609A9" w14:textId="77777777" w:rsidR="008B283A" w:rsidRPr="00AA65FC" w:rsidRDefault="008B283A" w:rsidP="00820D75">
            <w:pPr>
              <w:jc w:val="center"/>
              <w:rPr>
                <w:color w:val="000000"/>
              </w:rPr>
            </w:pPr>
            <w:proofErr w:type="spellStart"/>
            <w:r w:rsidRPr="00AA65FC">
              <w:rPr>
                <w:color w:val="000000"/>
              </w:rPr>
              <w:t>SpreadAno</w:t>
            </w:r>
            <w:proofErr w:type="spellEnd"/>
          </w:p>
          <w:p w14:paraId="067609AA" w14:textId="60E17A8E" w:rsidR="008B283A" w:rsidRPr="00AA65FC" w:rsidRDefault="008B283A" w:rsidP="00820D75">
            <w:pPr>
              <w:jc w:val="center"/>
              <w:rPr>
                <w:color w:val="000000"/>
              </w:rPr>
            </w:pPr>
            <w:r w:rsidRPr="00AA65FC">
              <w:rPr>
                <w:color w:val="000000"/>
              </w:rPr>
              <w:t>(</w:t>
            </w:r>
            <w:proofErr w:type="gramStart"/>
            <w:r w:rsidR="00171F65">
              <w:rPr>
                <w:color w:val="000000"/>
              </w:rPr>
              <w:t>modelo</w:t>
            </w:r>
            <w:proofErr w:type="gramEnd"/>
            <w:r w:rsidRPr="00AA65FC">
              <w:rPr>
                <w:color w:val="000000"/>
              </w:rPr>
              <w:t xml:space="preserve"> 1)</w:t>
            </w:r>
          </w:p>
        </w:tc>
        <w:tc>
          <w:tcPr>
            <w:tcW w:w="2787" w:type="dxa"/>
            <w:gridSpan w:val="2"/>
            <w:tcBorders>
              <w:top w:val="single" w:sz="18" w:space="0" w:color="auto"/>
              <w:left w:val="single" w:sz="4" w:space="0" w:color="auto"/>
              <w:bottom w:val="single" w:sz="4" w:space="0" w:color="auto"/>
              <w:right w:val="single" w:sz="4" w:space="0" w:color="auto"/>
            </w:tcBorders>
            <w:shd w:val="clear" w:color="auto" w:fill="auto"/>
            <w:noWrap/>
            <w:vAlign w:val="bottom"/>
            <w:hideMark/>
          </w:tcPr>
          <w:p w14:paraId="067609AB" w14:textId="77777777" w:rsidR="008B283A" w:rsidRPr="00AA65FC" w:rsidRDefault="008B283A" w:rsidP="00820D75">
            <w:pPr>
              <w:jc w:val="center"/>
              <w:rPr>
                <w:color w:val="000000"/>
              </w:rPr>
            </w:pPr>
            <w:r w:rsidRPr="00AA65FC">
              <w:rPr>
                <w:color w:val="000000"/>
              </w:rPr>
              <w:t>Spread3m</w:t>
            </w:r>
          </w:p>
          <w:p w14:paraId="067609AC" w14:textId="2DADE9E0" w:rsidR="008B283A" w:rsidRPr="00AA65FC" w:rsidRDefault="008B283A" w:rsidP="00820D75">
            <w:pPr>
              <w:jc w:val="center"/>
              <w:rPr>
                <w:color w:val="000000"/>
              </w:rPr>
            </w:pPr>
            <w:r w:rsidRPr="00AA65FC">
              <w:rPr>
                <w:color w:val="000000"/>
              </w:rPr>
              <w:t>(</w:t>
            </w:r>
            <w:proofErr w:type="gramStart"/>
            <w:r w:rsidR="00171F65">
              <w:rPr>
                <w:color w:val="000000"/>
              </w:rPr>
              <w:t>model</w:t>
            </w:r>
            <w:r w:rsidRPr="00AA65FC">
              <w:rPr>
                <w:color w:val="000000"/>
              </w:rPr>
              <w:t>o</w:t>
            </w:r>
            <w:proofErr w:type="gramEnd"/>
            <w:r w:rsidRPr="00AA65FC">
              <w:rPr>
                <w:color w:val="000000"/>
              </w:rPr>
              <w:t xml:space="preserve"> 2)</w:t>
            </w:r>
          </w:p>
        </w:tc>
        <w:tc>
          <w:tcPr>
            <w:tcW w:w="2499" w:type="dxa"/>
            <w:gridSpan w:val="2"/>
            <w:tcBorders>
              <w:top w:val="single" w:sz="18" w:space="0" w:color="auto"/>
              <w:left w:val="single" w:sz="4" w:space="0" w:color="auto"/>
              <w:bottom w:val="single" w:sz="4" w:space="0" w:color="auto"/>
            </w:tcBorders>
            <w:shd w:val="clear" w:color="auto" w:fill="auto"/>
            <w:noWrap/>
            <w:vAlign w:val="bottom"/>
            <w:hideMark/>
          </w:tcPr>
          <w:p w14:paraId="067609AD" w14:textId="77777777" w:rsidR="008B283A" w:rsidRPr="00AA65FC" w:rsidRDefault="008B283A" w:rsidP="00820D75">
            <w:pPr>
              <w:jc w:val="center"/>
              <w:rPr>
                <w:color w:val="000000"/>
              </w:rPr>
            </w:pPr>
            <w:r w:rsidRPr="00AA65FC">
              <w:rPr>
                <w:color w:val="000000"/>
              </w:rPr>
              <w:t>Spread6m</w:t>
            </w:r>
          </w:p>
          <w:p w14:paraId="067609AE" w14:textId="50A7806C" w:rsidR="008B283A" w:rsidRPr="00AA65FC" w:rsidRDefault="008B283A" w:rsidP="00820D75">
            <w:pPr>
              <w:jc w:val="center"/>
              <w:rPr>
                <w:color w:val="000000"/>
              </w:rPr>
            </w:pPr>
            <w:r w:rsidRPr="00AA65FC">
              <w:rPr>
                <w:color w:val="000000"/>
              </w:rPr>
              <w:t>(</w:t>
            </w:r>
            <w:proofErr w:type="gramStart"/>
            <w:r w:rsidR="00171F65">
              <w:rPr>
                <w:color w:val="000000"/>
              </w:rPr>
              <w:t>modelo</w:t>
            </w:r>
            <w:proofErr w:type="gramEnd"/>
            <w:r w:rsidRPr="00AA65FC">
              <w:rPr>
                <w:color w:val="000000"/>
              </w:rPr>
              <w:t xml:space="preserve"> 3)</w:t>
            </w:r>
          </w:p>
        </w:tc>
      </w:tr>
      <w:tr w:rsidR="008B283A" w:rsidRPr="00AA65FC" w14:paraId="067609B7" w14:textId="77777777" w:rsidTr="00171F65">
        <w:trPr>
          <w:trHeight w:val="274"/>
        </w:trPr>
        <w:tc>
          <w:tcPr>
            <w:tcW w:w="1038" w:type="dxa"/>
            <w:vMerge/>
            <w:tcBorders>
              <w:top w:val="single" w:sz="4" w:space="0" w:color="auto"/>
              <w:bottom w:val="single" w:sz="4" w:space="0" w:color="auto"/>
              <w:right w:val="single" w:sz="4" w:space="0" w:color="auto"/>
            </w:tcBorders>
            <w:vAlign w:val="center"/>
            <w:hideMark/>
          </w:tcPr>
          <w:p w14:paraId="067609B0" w14:textId="77777777" w:rsidR="008B283A" w:rsidRPr="00AA65FC" w:rsidRDefault="008B283A" w:rsidP="00820D75">
            <w:pPr>
              <w:rPr>
                <w:color w:val="000000"/>
              </w:rPr>
            </w:pPr>
          </w:p>
        </w:tc>
        <w:tc>
          <w:tcPr>
            <w:tcW w:w="13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9B1" w14:textId="77777777" w:rsidR="008B283A" w:rsidRPr="00AA65FC" w:rsidRDefault="008B283A" w:rsidP="00820D75">
            <w:pPr>
              <w:jc w:val="center"/>
              <w:rPr>
                <w:color w:val="000000"/>
              </w:rPr>
            </w:pPr>
            <w:proofErr w:type="spellStart"/>
            <w:r w:rsidRPr="00AA65FC">
              <w:rPr>
                <w:color w:val="000000"/>
              </w:rPr>
              <w:t>Coef</w:t>
            </w:r>
            <w:proofErr w:type="spellEnd"/>
            <w:r w:rsidRPr="00AA65FC">
              <w:rPr>
                <w:color w:val="000000"/>
              </w:rPr>
              <w:t>.</w:t>
            </w:r>
          </w:p>
        </w:tc>
        <w:tc>
          <w:tcPr>
            <w:tcW w:w="13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9B2" w14:textId="77777777" w:rsidR="008B283A" w:rsidRPr="00AA65FC" w:rsidRDefault="008B283A" w:rsidP="00820D75">
            <w:pPr>
              <w:jc w:val="center"/>
              <w:rPr>
                <w:color w:val="000000"/>
              </w:rPr>
            </w:pPr>
            <w:proofErr w:type="spellStart"/>
            <w:r w:rsidRPr="00AA65FC">
              <w:rPr>
                <w:color w:val="000000"/>
              </w:rPr>
              <w:t>Sig</w:t>
            </w:r>
            <w:proofErr w:type="spellEnd"/>
            <w:r w:rsidRPr="00AA65FC">
              <w:rPr>
                <w:color w:val="000000"/>
              </w:rPr>
              <w:t>.</w:t>
            </w:r>
          </w:p>
        </w:tc>
        <w:tc>
          <w:tcPr>
            <w:tcW w:w="1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9B3" w14:textId="77777777" w:rsidR="008B283A" w:rsidRPr="00AA65FC" w:rsidRDefault="008B283A" w:rsidP="00820D75">
            <w:pPr>
              <w:jc w:val="center"/>
              <w:rPr>
                <w:color w:val="000000"/>
              </w:rPr>
            </w:pPr>
            <w:proofErr w:type="spellStart"/>
            <w:r w:rsidRPr="00AA65FC">
              <w:rPr>
                <w:color w:val="000000"/>
              </w:rPr>
              <w:t>Coef</w:t>
            </w:r>
            <w:proofErr w:type="spellEnd"/>
            <w:r w:rsidRPr="00AA65FC">
              <w:rPr>
                <w:color w:val="000000"/>
              </w:rPr>
              <w:t>.</w:t>
            </w:r>
          </w:p>
        </w:tc>
        <w:tc>
          <w:tcPr>
            <w:tcW w:w="13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9B4" w14:textId="77777777" w:rsidR="008B283A" w:rsidRPr="00AA65FC" w:rsidRDefault="008B283A" w:rsidP="00820D75">
            <w:pPr>
              <w:jc w:val="center"/>
              <w:rPr>
                <w:color w:val="000000"/>
              </w:rPr>
            </w:pPr>
            <w:proofErr w:type="spellStart"/>
            <w:r w:rsidRPr="00AA65FC">
              <w:rPr>
                <w:color w:val="000000"/>
              </w:rPr>
              <w:t>Sig</w:t>
            </w:r>
            <w:proofErr w:type="spellEnd"/>
            <w:r w:rsidRPr="00AA65FC">
              <w:rPr>
                <w:color w:val="000000"/>
              </w:rPr>
              <w:t>.</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9B5" w14:textId="77777777" w:rsidR="008B283A" w:rsidRPr="00AA65FC" w:rsidRDefault="008B283A" w:rsidP="00820D75">
            <w:pPr>
              <w:jc w:val="center"/>
              <w:rPr>
                <w:color w:val="000000"/>
              </w:rPr>
            </w:pPr>
            <w:proofErr w:type="spellStart"/>
            <w:r w:rsidRPr="00AA65FC">
              <w:rPr>
                <w:color w:val="000000"/>
              </w:rPr>
              <w:t>Coef</w:t>
            </w:r>
            <w:proofErr w:type="spellEnd"/>
            <w:r w:rsidRPr="00AA65FC">
              <w:rPr>
                <w:color w:val="000000"/>
              </w:rPr>
              <w:t>.</w:t>
            </w:r>
          </w:p>
        </w:tc>
        <w:tc>
          <w:tcPr>
            <w:tcW w:w="1167" w:type="dxa"/>
            <w:tcBorders>
              <w:top w:val="single" w:sz="4" w:space="0" w:color="auto"/>
              <w:left w:val="single" w:sz="4" w:space="0" w:color="auto"/>
              <w:bottom w:val="single" w:sz="4" w:space="0" w:color="auto"/>
            </w:tcBorders>
            <w:shd w:val="clear" w:color="auto" w:fill="auto"/>
            <w:noWrap/>
            <w:vAlign w:val="bottom"/>
            <w:hideMark/>
          </w:tcPr>
          <w:p w14:paraId="067609B6" w14:textId="77777777" w:rsidR="008B283A" w:rsidRPr="00AA65FC" w:rsidRDefault="008B283A" w:rsidP="00820D75">
            <w:pPr>
              <w:jc w:val="center"/>
              <w:rPr>
                <w:color w:val="000000"/>
              </w:rPr>
            </w:pPr>
            <w:proofErr w:type="spellStart"/>
            <w:r w:rsidRPr="00AA65FC">
              <w:rPr>
                <w:color w:val="000000"/>
              </w:rPr>
              <w:t>Sig</w:t>
            </w:r>
            <w:proofErr w:type="spellEnd"/>
            <w:r w:rsidRPr="00AA65FC">
              <w:rPr>
                <w:color w:val="000000"/>
              </w:rPr>
              <w:t>.</w:t>
            </w:r>
          </w:p>
        </w:tc>
      </w:tr>
      <w:tr w:rsidR="008B283A" w:rsidRPr="00AA65FC" w14:paraId="067609BF" w14:textId="77777777" w:rsidTr="00171F65">
        <w:trPr>
          <w:trHeight w:val="21"/>
        </w:trPr>
        <w:tc>
          <w:tcPr>
            <w:tcW w:w="1038" w:type="dxa"/>
            <w:tcBorders>
              <w:top w:val="single" w:sz="4" w:space="0" w:color="auto"/>
              <w:bottom w:val="single" w:sz="4" w:space="0" w:color="auto"/>
              <w:right w:val="single" w:sz="4" w:space="0" w:color="auto"/>
            </w:tcBorders>
            <w:shd w:val="clear" w:color="auto" w:fill="auto"/>
            <w:noWrap/>
            <w:vAlign w:val="bottom"/>
            <w:hideMark/>
          </w:tcPr>
          <w:p w14:paraId="067609B8" w14:textId="77777777" w:rsidR="008B283A" w:rsidRPr="00AA65FC" w:rsidRDefault="008B283A" w:rsidP="00820D75">
            <w:pPr>
              <w:rPr>
                <w:color w:val="000000"/>
              </w:rPr>
            </w:pPr>
            <w:r w:rsidRPr="00AA65FC">
              <w:rPr>
                <w:color w:val="000000"/>
              </w:rPr>
              <w:t>CA</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067609B9" w14:textId="77777777" w:rsidR="008B283A" w:rsidRPr="00AA65FC" w:rsidRDefault="008B283A" w:rsidP="00820D75">
            <w:pPr>
              <w:jc w:val="center"/>
              <w:rPr>
                <w:color w:val="000000"/>
              </w:rPr>
            </w:pPr>
            <w:r w:rsidRPr="00AA65FC">
              <w:rPr>
                <w:color w:val="000000"/>
              </w:rPr>
              <w:t xml:space="preserve">   0,0002486</w:t>
            </w:r>
          </w:p>
        </w:tc>
        <w:tc>
          <w:tcPr>
            <w:tcW w:w="1385" w:type="dxa"/>
            <w:tcBorders>
              <w:top w:val="single" w:sz="4" w:space="0" w:color="auto"/>
              <w:left w:val="nil"/>
              <w:bottom w:val="single" w:sz="4" w:space="0" w:color="auto"/>
              <w:right w:val="single" w:sz="4" w:space="0" w:color="auto"/>
            </w:tcBorders>
            <w:shd w:val="clear" w:color="auto" w:fill="auto"/>
            <w:noWrap/>
            <w:vAlign w:val="bottom"/>
            <w:hideMark/>
          </w:tcPr>
          <w:p w14:paraId="067609BA" w14:textId="77777777" w:rsidR="008B283A" w:rsidRPr="00AA65FC" w:rsidRDefault="008B283A" w:rsidP="00820D75">
            <w:pPr>
              <w:jc w:val="center"/>
              <w:rPr>
                <w:color w:val="000000"/>
              </w:rPr>
            </w:pPr>
            <w:r w:rsidRPr="00AA65FC">
              <w:rPr>
                <w:color w:val="000000"/>
              </w:rPr>
              <w:t>0,496</w:t>
            </w:r>
          </w:p>
        </w:tc>
        <w:tc>
          <w:tcPr>
            <w:tcW w:w="1412" w:type="dxa"/>
            <w:tcBorders>
              <w:top w:val="single" w:sz="4" w:space="0" w:color="auto"/>
              <w:left w:val="nil"/>
              <w:bottom w:val="single" w:sz="4" w:space="0" w:color="auto"/>
              <w:right w:val="single" w:sz="4" w:space="0" w:color="auto"/>
            </w:tcBorders>
            <w:shd w:val="clear" w:color="auto" w:fill="auto"/>
            <w:noWrap/>
            <w:vAlign w:val="bottom"/>
            <w:hideMark/>
          </w:tcPr>
          <w:p w14:paraId="067609BB" w14:textId="77777777" w:rsidR="008B283A" w:rsidRPr="00AA65FC" w:rsidRDefault="008B283A" w:rsidP="00820D75">
            <w:pPr>
              <w:jc w:val="center"/>
              <w:rPr>
                <w:color w:val="000000"/>
              </w:rPr>
            </w:pPr>
            <w:r w:rsidRPr="00AA65FC">
              <w:rPr>
                <w:color w:val="000000"/>
              </w:rPr>
              <w:t xml:space="preserve">  0,0000818</w:t>
            </w:r>
          </w:p>
        </w:tc>
        <w:tc>
          <w:tcPr>
            <w:tcW w:w="1375" w:type="dxa"/>
            <w:tcBorders>
              <w:top w:val="single" w:sz="4" w:space="0" w:color="auto"/>
              <w:left w:val="nil"/>
              <w:bottom w:val="single" w:sz="4" w:space="0" w:color="auto"/>
              <w:right w:val="single" w:sz="4" w:space="0" w:color="auto"/>
            </w:tcBorders>
            <w:shd w:val="clear" w:color="auto" w:fill="auto"/>
            <w:noWrap/>
            <w:vAlign w:val="bottom"/>
            <w:hideMark/>
          </w:tcPr>
          <w:p w14:paraId="067609BC" w14:textId="77777777" w:rsidR="008B283A" w:rsidRPr="00AA65FC" w:rsidRDefault="008B283A" w:rsidP="00820D75">
            <w:pPr>
              <w:jc w:val="center"/>
              <w:rPr>
                <w:color w:val="000000"/>
              </w:rPr>
            </w:pPr>
            <w:r w:rsidRPr="00AA65FC">
              <w:rPr>
                <w:color w:val="000000"/>
              </w:rPr>
              <w:t>0.670</w:t>
            </w:r>
          </w:p>
        </w:tc>
        <w:tc>
          <w:tcPr>
            <w:tcW w:w="1331" w:type="dxa"/>
            <w:tcBorders>
              <w:top w:val="single" w:sz="4" w:space="0" w:color="auto"/>
              <w:left w:val="nil"/>
              <w:bottom w:val="single" w:sz="4" w:space="0" w:color="auto"/>
              <w:right w:val="single" w:sz="4" w:space="0" w:color="auto"/>
            </w:tcBorders>
            <w:shd w:val="clear" w:color="auto" w:fill="auto"/>
            <w:noWrap/>
            <w:vAlign w:val="bottom"/>
            <w:hideMark/>
          </w:tcPr>
          <w:p w14:paraId="067609BD" w14:textId="77777777" w:rsidR="008B283A" w:rsidRPr="00AA65FC" w:rsidRDefault="008B283A" w:rsidP="00820D75">
            <w:pPr>
              <w:jc w:val="center"/>
              <w:rPr>
                <w:color w:val="000000"/>
              </w:rPr>
            </w:pPr>
            <w:r w:rsidRPr="00AA65FC">
              <w:rPr>
                <w:color w:val="000000"/>
              </w:rPr>
              <w:t xml:space="preserve">  0,0000475</w:t>
            </w:r>
          </w:p>
        </w:tc>
        <w:tc>
          <w:tcPr>
            <w:tcW w:w="1167" w:type="dxa"/>
            <w:tcBorders>
              <w:top w:val="single" w:sz="4" w:space="0" w:color="auto"/>
              <w:left w:val="single" w:sz="4" w:space="0" w:color="auto"/>
              <w:bottom w:val="single" w:sz="2" w:space="0" w:color="auto"/>
            </w:tcBorders>
            <w:shd w:val="clear" w:color="auto" w:fill="auto"/>
            <w:noWrap/>
            <w:vAlign w:val="bottom"/>
            <w:hideMark/>
          </w:tcPr>
          <w:p w14:paraId="067609BE" w14:textId="77777777" w:rsidR="008B283A" w:rsidRPr="00AA65FC" w:rsidRDefault="008B283A" w:rsidP="00820D75">
            <w:pPr>
              <w:jc w:val="center"/>
              <w:rPr>
                <w:color w:val="000000"/>
              </w:rPr>
            </w:pPr>
            <w:r w:rsidRPr="00AA65FC">
              <w:rPr>
                <w:color w:val="000000"/>
              </w:rPr>
              <w:t>0,779</w:t>
            </w:r>
          </w:p>
        </w:tc>
      </w:tr>
      <w:tr w:rsidR="008B283A" w:rsidRPr="00AA65FC" w14:paraId="067609C7" w14:textId="77777777" w:rsidTr="008B283A">
        <w:trPr>
          <w:trHeight w:val="47"/>
        </w:trPr>
        <w:tc>
          <w:tcPr>
            <w:tcW w:w="1038" w:type="dxa"/>
            <w:tcBorders>
              <w:top w:val="nil"/>
              <w:bottom w:val="single" w:sz="4" w:space="0" w:color="auto"/>
              <w:right w:val="single" w:sz="4" w:space="0" w:color="auto"/>
            </w:tcBorders>
            <w:shd w:val="clear" w:color="auto" w:fill="auto"/>
            <w:noWrap/>
            <w:vAlign w:val="bottom"/>
            <w:hideMark/>
          </w:tcPr>
          <w:p w14:paraId="067609C0" w14:textId="77777777" w:rsidR="008B283A" w:rsidRPr="00AA65FC" w:rsidRDefault="008B283A" w:rsidP="00820D75">
            <w:pPr>
              <w:rPr>
                <w:color w:val="000000"/>
              </w:rPr>
            </w:pPr>
            <w:r w:rsidRPr="00AA65FC">
              <w:rPr>
                <w:color w:val="000000"/>
              </w:rPr>
              <w:t>TAM</w:t>
            </w:r>
          </w:p>
        </w:tc>
        <w:tc>
          <w:tcPr>
            <w:tcW w:w="1384" w:type="dxa"/>
            <w:tcBorders>
              <w:top w:val="nil"/>
              <w:left w:val="nil"/>
              <w:bottom w:val="single" w:sz="4" w:space="0" w:color="auto"/>
              <w:right w:val="single" w:sz="4" w:space="0" w:color="auto"/>
            </w:tcBorders>
            <w:shd w:val="clear" w:color="auto" w:fill="E7E6E6" w:themeFill="background2"/>
            <w:noWrap/>
            <w:vAlign w:val="bottom"/>
            <w:hideMark/>
          </w:tcPr>
          <w:p w14:paraId="067609C1" w14:textId="77777777" w:rsidR="008B283A" w:rsidRPr="00AA65FC" w:rsidRDefault="008B283A" w:rsidP="00820D75">
            <w:pPr>
              <w:jc w:val="center"/>
              <w:rPr>
                <w:color w:val="000000"/>
              </w:rPr>
            </w:pPr>
            <w:r w:rsidRPr="00AA65FC">
              <w:rPr>
                <w:color w:val="000000"/>
              </w:rPr>
              <w:t>-0,0007781</w:t>
            </w:r>
          </w:p>
        </w:tc>
        <w:tc>
          <w:tcPr>
            <w:tcW w:w="1385" w:type="dxa"/>
            <w:tcBorders>
              <w:top w:val="nil"/>
              <w:left w:val="nil"/>
              <w:bottom w:val="single" w:sz="4" w:space="0" w:color="auto"/>
              <w:right w:val="single" w:sz="4" w:space="0" w:color="auto"/>
            </w:tcBorders>
            <w:shd w:val="clear" w:color="auto" w:fill="E7E6E6" w:themeFill="background2"/>
            <w:noWrap/>
            <w:vAlign w:val="bottom"/>
            <w:hideMark/>
          </w:tcPr>
          <w:p w14:paraId="067609C2" w14:textId="77777777" w:rsidR="008B283A" w:rsidRPr="00AA65FC" w:rsidRDefault="008B283A" w:rsidP="00820D75">
            <w:pPr>
              <w:jc w:val="center"/>
              <w:rPr>
                <w:color w:val="000000"/>
              </w:rPr>
            </w:pPr>
            <w:r w:rsidRPr="00AA65FC">
              <w:rPr>
                <w:color w:val="000000"/>
              </w:rPr>
              <w:t>0,000*</w:t>
            </w:r>
          </w:p>
        </w:tc>
        <w:tc>
          <w:tcPr>
            <w:tcW w:w="1412" w:type="dxa"/>
            <w:tcBorders>
              <w:top w:val="nil"/>
              <w:left w:val="nil"/>
              <w:bottom w:val="single" w:sz="4" w:space="0" w:color="auto"/>
              <w:right w:val="single" w:sz="4" w:space="0" w:color="auto"/>
            </w:tcBorders>
            <w:shd w:val="clear" w:color="auto" w:fill="E7E6E6" w:themeFill="background2"/>
            <w:noWrap/>
            <w:vAlign w:val="bottom"/>
            <w:hideMark/>
          </w:tcPr>
          <w:p w14:paraId="067609C3" w14:textId="77777777" w:rsidR="008B283A" w:rsidRPr="00AA65FC" w:rsidRDefault="008B283A" w:rsidP="00820D75">
            <w:pPr>
              <w:jc w:val="center"/>
              <w:rPr>
                <w:color w:val="000000"/>
              </w:rPr>
            </w:pPr>
            <w:r w:rsidRPr="00AA65FC">
              <w:rPr>
                <w:color w:val="000000"/>
              </w:rPr>
              <w:t>-0,0006076</w:t>
            </w:r>
          </w:p>
        </w:tc>
        <w:tc>
          <w:tcPr>
            <w:tcW w:w="1375" w:type="dxa"/>
            <w:tcBorders>
              <w:top w:val="nil"/>
              <w:left w:val="nil"/>
              <w:bottom w:val="single" w:sz="4" w:space="0" w:color="auto"/>
              <w:right w:val="single" w:sz="4" w:space="0" w:color="auto"/>
            </w:tcBorders>
            <w:shd w:val="clear" w:color="auto" w:fill="E7E6E6" w:themeFill="background2"/>
            <w:noWrap/>
            <w:vAlign w:val="bottom"/>
            <w:hideMark/>
          </w:tcPr>
          <w:p w14:paraId="067609C4" w14:textId="77777777" w:rsidR="008B283A" w:rsidRPr="00AA65FC" w:rsidRDefault="008B283A" w:rsidP="00820D75">
            <w:pPr>
              <w:jc w:val="center"/>
              <w:rPr>
                <w:color w:val="000000"/>
              </w:rPr>
            </w:pPr>
            <w:r w:rsidRPr="00AA65FC">
              <w:rPr>
                <w:color w:val="000000"/>
              </w:rPr>
              <w:t>0.000*</w:t>
            </w:r>
          </w:p>
        </w:tc>
        <w:tc>
          <w:tcPr>
            <w:tcW w:w="1331" w:type="dxa"/>
            <w:tcBorders>
              <w:top w:val="nil"/>
              <w:left w:val="nil"/>
              <w:bottom w:val="single" w:sz="4" w:space="0" w:color="auto"/>
              <w:right w:val="single" w:sz="2" w:space="0" w:color="auto"/>
            </w:tcBorders>
            <w:shd w:val="clear" w:color="auto" w:fill="E7E6E6" w:themeFill="background2"/>
            <w:noWrap/>
            <w:vAlign w:val="bottom"/>
            <w:hideMark/>
          </w:tcPr>
          <w:p w14:paraId="067609C5" w14:textId="77777777" w:rsidR="008B283A" w:rsidRPr="00AA65FC" w:rsidRDefault="008B283A" w:rsidP="00820D75">
            <w:pPr>
              <w:jc w:val="center"/>
              <w:rPr>
                <w:color w:val="000000"/>
              </w:rPr>
            </w:pPr>
            <w:r w:rsidRPr="00AA65FC">
              <w:rPr>
                <w:color w:val="000000"/>
              </w:rPr>
              <w:t>-0,0005243</w:t>
            </w:r>
          </w:p>
        </w:tc>
        <w:tc>
          <w:tcPr>
            <w:tcW w:w="1167" w:type="dxa"/>
            <w:tcBorders>
              <w:top w:val="single" w:sz="2" w:space="0" w:color="auto"/>
              <w:left w:val="single" w:sz="2" w:space="0" w:color="auto"/>
              <w:bottom w:val="single" w:sz="2" w:space="0" w:color="auto"/>
            </w:tcBorders>
            <w:shd w:val="clear" w:color="auto" w:fill="E7E6E6" w:themeFill="background2"/>
            <w:noWrap/>
            <w:vAlign w:val="bottom"/>
            <w:hideMark/>
          </w:tcPr>
          <w:p w14:paraId="067609C6" w14:textId="77777777" w:rsidR="008B283A" w:rsidRPr="00AA65FC" w:rsidRDefault="008B283A" w:rsidP="00820D75">
            <w:pPr>
              <w:jc w:val="center"/>
              <w:rPr>
                <w:color w:val="000000"/>
              </w:rPr>
            </w:pPr>
            <w:r w:rsidRPr="00AA65FC">
              <w:rPr>
                <w:color w:val="000000"/>
              </w:rPr>
              <w:t>0,000*</w:t>
            </w:r>
          </w:p>
        </w:tc>
      </w:tr>
      <w:tr w:rsidR="008B283A" w:rsidRPr="00AA65FC" w14:paraId="067609CF" w14:textId="77777777" w:rsidTr="008B283A">
        <w:trPr>
          <w:trHeight w:val="47"/>
        </w:trPr>
        <w:tc>
          <w:tcPr>
            <w:tcW w:w="1038" w:type="dxa"/>
            <w:tcBorders>
              <w:top w:val="nil"/>
              <w:bottom w:val="single" w:sz="4" w:space="0" w:color="auto"/>
              <w:right w:val="single" w:sz="4" w:space="0" w:color="auto"/>
            </w:tcBorders>
            <w:shd w:val="clear" w:color="auto" w:fill="auto"/>
            <w:noWrap/>
            <w:vAlign w:val="bottom"/>
            <w:hideMark/>
          </w:tcPr>
          <w:p w14:paraId="067609C8" w14:textId="77777777" w:rsidR="008B283A" w:rsidRPr="00AA65FC" w:rsidRDefault="008B283A" w:rsidP="00820D75">
            <w:pPr>
              <w:rPr>
                <w:color w:val="000000"/>
              </w:rPr>
            </w:pPr>
            <w:r w:rsidRPr="00AA65FC">
              <w:rPr>
                <w:color w:val="000000"/>
              </w:rPr>
              <w:t>ROE</w:t>
            </w:r>
          </w:p>
        </w:tc>
        <w:tc>
          <w:tcPr>
            <w:tcW w:w="1384" w:type="dxa"/>
            <w:tcBorders>
              <w:top w:val="nil"/>
              <w:left w:val="nil"/>
              <w:bottom w:val="single" w:sz="4" w:space="0" w:color="auto"/>
              <w:right w:val="single" w:sz="4" w:space="0" w:color="auto"/>
            </w:tcBorders>
            <w:shd w:val="clear" w:color="auto" w:fill="auto"/>
            <w:noWrap/>
            <w:vAlign w:val="bottom"/>
            <w:hideMark/>
          </w:tcPr>
          <w:p w14:paraId="067609C9" w14:textId="77777777" w:rsidR="008B283A" w:rsidRPr="00AA65FC" w:rsidRDefault="008B283A" w:rsidP="00820D75">
            <w:pPr>
              <w:jc w:val="center"/>
              <w:rPr>
                <w:color w:val="000000"/>
              </w:rPr>
            </w:pPr>
            <w:r w:rsidRPr="00AA65FC">
              <w:rPr>
                <w:color w:val="000000"/>
              </w:rPr>
              <w:t>-0,0017524</w:t>
            </w:r>
          </w:p>
        </w:tc>
        <w:tc>
          <w:tcPr>
            <w:tcW w:w="1385" w:type="dxa"/>
            <w:tcBorders>
              <w:top w:val="nil"/>
              <w:left w:val="nil"/>
              <w:bottom w:val="single" w:sz="4" w:space="0" w:color="auto"/>
              <w:right w:val="single" w:sz="4" w:space="0" w:color="auto"/>
            </w:tcBorders>
            <w:shd w:val="clear" w:color="auto" w:fill="auto"/>
            <w:noWrap/>
            <w:vAlign w:val="bottom"/>
            <w:hideMark/>
          </w:tcPr>
          <w:p w14:paraId="067609CA" w14:textId="77777777" w:rsidR="008B283A" w:rsidRPr="00AA65FC" w:rsidRDefault="008B283A" w:rsidP="00820D75">
            <w:pPr>
              <w:jc w:val="center"/>
              <w:rPr>
                <w:color w:val="000000"/>
              </w:rPr>
            </w:pPr>
            <w:r w:rsidRPr="00AA65FC">
              <w:rPr>
                <w:color w:val="000000"/>
              </w:rPr>
              <w:t>0,122</w:t>
            </w:r>
          </w:p>
        </w:tc>
        <w:tc>
          <w:tcPr>
            <w:tcW w:w="1412" w:type="dxa"/>
            <w:tcBorders>
              <w:top w:val="nil"/>
              <w:left w:val="nil"/>
              <w:bottom w:val="single" w:sz="4" w:space="0" w:color="auto"/>
              <w:right w:val="single" w:sz="4" w:space="0" w:color="auto"/>
            </w:tcBorders>
            <w:shd w:val="clear" w:color="auto" w:fill="E7E6E6" w:themeFill="background2"/>
            <w:noWrap/>
            <w:vAlign w:val="bottom"/>
            <w:hideMark/>
          </w:tcPr>
          <w:p w14:paraId="067609CB" w14:textId="77777777" w:rsidR="008B283A" w:rsidRPr="00AA65FC" w:rsidRDefault="008B283A" w:rsidP="00820D75">
            <w:pPr>
              <w:jc w:val="center"/>
              <w:rPr>
                <w:color w:val="000000"/>
              </w:rPr>
            </w:pPr>
            <w:r w:rsidRPr="00AA65FC">
              <w:rPr>
                <w:color w:val="000000"/>
              </w:rPr>
              <w:t>-0,0018661</w:t>
            </w:r>
          </w:p>
        </w:tc>
        <w:tc>
          <w:tcPr>
            <w:tcW w:w="1375" w:type="dxa"/>
            <w:tcBorders>
              <w:top w:val="nil"/>
              <w:left w:val="nil"/>
              <w:bottom w:val="single" w:sz="4" w:space="0" w:color="auto"/>
              <w:right w:val="single" w:sz="4" w:space="0" w:color="auto"/>
            </w:tcBorders>
            <w:shd w:val="clear" w:color="auto" w:fill="E7E6E6" w:themeFill="background2"/>
            <w:noWrap/>
            <w:vAlign w:val="bottom"/>
            <w:hideMark/>
          </w:tcPr>
          <w:p w14:paraId="067609CC" w14:textId="77777777" w:rsidR="008B283A" w:rsidRPr="00AA65FC" w:rsidRDefault="008B283A" w:rsidP="00820D75">
            <w:pPr>
              <w:jc w:val="center"/>
              <w:rPr>
                <w:color w:val="000000"/>
              </w:rPr>
            </w:pPr>
            <w:r w:rsidRPr="00AA65FC">
              <w:rPr>
                <w:color w:val="000000"/>
              </w:rPr>
              <w:t>0.000*</w:t>
            </w:r>
          </w:p>
        </w:tc>
        <w:tc>
          <w:tcPr>
            <w:tcW w:w="1331" w:type="dxa"/>
            <w:tcBorders>
              <w:top w:val="nil"/>
              <w:left w:val="nil"/>
              <w:bottom w:val="single" w:sz="4" w:space="0" w:color="auto"/>
              <w:right w:val="single" w:sz="2" w:space="0" w:color="auto"/>
            </w:tcBorders>
            <w:shd w:val="clear" w:color="auto" w:fill="E7E6E6" w:themeFill="background2"/>
            <w:noWrap/>
            <w:vAlign w:val="bottom"/>
            <w:hideMark/>
          </w:tcPr>
          <w:p w14:paraId="067609CD" w14:textId="77777777" w:rsidR="008B283A" w:rsidRPr="00AA65FC" w:rsidRDefault="008B283A" w:rsidP="00820D75">
            <w:pPr>
              <w:jc w:val="center"/>
              <w:rPr>
                <w:color w:val="000000"/>
              </w:rPr>
            </w:pPr>
            <w:r w:rsidRPr="00AA65FC">
              <w:rPr>
                <w:color w:val="000000"/>
              </w:rPr>
              <w:t>-0,0016886</w:t>
            </w:r>
          </w:p>
        </w:tc>
        <w:tc>
          <w:tcPr>
            <w:tcW w:w="1167" w:type="dxa"/>
            <w:tcBorders>
              <w:top w:val="single" w:sz="2" w:space="0" w:color="auto"/>
              <w:left w:val="single" w:sz="2" w:space="0" w:color="auto"/>
              <w:bottom w:val="single" w:sz="2" w:space="0" w:color="auto"/>
            </w:tcBorders>
            <w:shd w:val="clear" w:color="auto" w:fill="E7E6E6" w:themeFill="background2"/>
            <w:noWrap/>
            <w:vAlign w:val="bottom"/>
            <w:hideMark/>
          </w:tcPr>
          <w:p w14:paraId="067609CE" w14:textId="77777777" w:rsidR="008B283A" w:rsidRPr="00AA65FC" w:rsidRDefault="008B283A" w:rsidP="00820D75">
            <w:pPr>
              <w:jc w:val="center"/>
              <w:rPr>
                <w:color w:val="000000"/>
              </w:rPr>
            </w:pPr>
            <w:r w:rsidRPr="00AA65FC">
              <w:rPr>
                <w:color w:val="000000"/>
              </w:rPr>
              <w:t>0,000*</w:t>
            </w:r>
          </w:p>
        </w:tc>
      </w:tr>
      <w:tr w:rsidR="008B283A" w:rsidRPr="00AA65FC" w14:paraId="067609D7" w14:textId="77777777" w:rsidTr="008B283A">
        <w:trPr>
          <w:trHeight w:val="47"/>
        </w:trPr>
        <w:tc>
          <w:tcPr>
            <w:tcW w:w="1038" w:type="dxa"/>
            <w:tcBorders>
              <w:top w:val="nil"/>
              <w:bottom w:val="single" w:sz="4" w:space="0" w:color="auto"/>
              <w:right w:val="single" w:sz="4" w:space="0" w:color="auto"/>
            </w:tcBorders>
            <w:shd w:val="clear" w:color="auto" w:fill="auto"/>
            <w:noWrap/>
            <w:vAlign w:val="bottom"/>
            <w:hideMark/>
          </w:tcPr>
          <w:p w14:paraId="067609D0" w14:textId="77777777" w:rsidR="008B283A" w:rsidRPr="00AA65FC" w:rsidRDefault="008B283A" w:rsidP="00820D75">
            <w:pPr>
              <w:rPr>
                <w:color w:val="000000"/>
              </w:rPr>
            </w:pPr>
            <w:r w:rsidRPr="00AA65FC">
              <w:rPr>
                <w:color w:val="000000"/>
              </w:rPr>
              <w:t>END</w:t>
            </w:r>
          </w:p>
        </w:tc>
        <w:tc>
          <w:tcPr>
            <w:tcW w:w="1384" w:type="dxa"/>
            <w:tcBorders>
              <w:top w:val="nil"/>
              <w:left w:val="nil"/>
              <w:bottom w:val="single" w:sz="4" w:space="0" w:color="auto"/>
              <w:right w:val="single" w:sz="4" w:space="0" w:color="auto"/>
            </w:tcBorders>
            <w:shd w:val="clear" w:color="auto" w:fill="E7E6E6" w:themeFill="background2"/>
            <w:noWrap/>
            <w:vAlign w:val="bottom"/>
            <w:hideMark/>
          </w:tcPr>
          <w:p w14:paraId="067609D1" w14:textId="77777777" w:rsidR="008B283A" w:rsidRPr="00AA65FC" w:rsidRDefault="008B283A" w:rsidP="00820D75">
            <w:pPr>
              <w:jc w:val="center"/>
              <w:rPr>
                <w:color w:val="000000"/>
              </w:rPr>
            </w:pPr>
            <w:r w:rsidRPr="00AA65FC">
              <w:rPr>
                <w:color w:val="000000"/>
              </w:rPr>
              <w:t>0,0019006</w:t>
            </w:r>
          </w:p>
        </w:tc>
        <w:tc>
          <w:tcPr>
            <w:tcW w:w="1385" w:type="dxa"/>
            <w:tcBorders>
              <w:top w:val="nil"/>
              <w:left w:val="nil"/>
              <w:bottom w:val="single" w:sz="4" w:space="0" w:color="auto"/>
              <w:right w:val="single" w:sz="4" w:space="0" w:color="auto"/>
            </w:tcBorders>
            <w:shd w:val="clear" w:color="auto" w:fill="E7E6E6" w:themeFill="background2"/>
            <w:noWrap/>
            <w:vAlign w:val="bottom"/>
            <w:hideMark/>
          </w:tcPr>
          <w:p w14:paraId="067609D2" w14:textId="77777777" w:rsidR="008B283A" w:rsidRPr="00AA65FC" w:rsidRDefault="008B283A" w:rsidP="00820D75">
            <w:pPr>
              <w:jc w:val="center"/>
              <w:rPr>
                <w:color w:val="000000"/>
              </w:rPr>
            </w:pPr>
            <w:r w:rsidRPr="00AA65FC">
              <w:rPr>
                <w:color w:val="000000"/>
              </w:rPr>
              <w:t>0,031*</w:t>
            </w:r>
          </w:p>
        </w:tc>
        <w:tc>
          <w:tcPr>
            <w:tcW w:w="1412" w:type="dxa"/>
            <w:tcBorders>
              <w:top w:val="nil"/>
              <w:left w:val="nil"/>
              <w:bottom w:val="single" w:sz="4" w:space="0" w:color="auto"/>
              <w:right w:val="single" w:sz="4" w:space="0" w:color="auto"/>
            </w:tcBorders>
            <w:shd w:val="clear" w:color="auto" w:fill="E7E6E6" w:themeFill="background2"/>
            <w:noWrap/>
            <w:vAlign w:val="bottom"/>
            <w:hideMark/>
          </w:tcPr>
          <w:p w14:paraId="067609D3" w14:textId="77777777" w:rsidR="008B283A" w:rsidRPr="00AA65FC" w:rsidRDefault="008B283A" w:rsidP="00820D75">
            <w:pPr>
              <w:jc w:val="center"/>
              <w:rPr>
                <w:color w:val="000000"/>
              </w:rPr>
            </w:pPr>
            <w:r w:rsidRPr="00AA65FC">
              <w:rPr>
                <w:color w:val="000000"/>
              </w:rPr>
              <w:t xml:space="preserve">  0,0023348</w:t>
            </w:r>
          </w:p>
        </w:tc>
        <w:tc>
          <w:tcPr>
            <w:tcW w:w="1375" w:type="dxa"/>
            <w:tcBorders>
              <w:top w:val="nil"/>
              <w:left w:val="nil"/>
              <w:bottom w:val="single" w:sz="4" w:space="0" w:color="auto"/>
              <w:right w:val="single" w:sz="4" w:space="0" w:color="auto"/>
            </w:tcBorders>
            <w:shd w:val="clear" w:color="auto" w:fill="E7E6E6" w:themeFill="background2"/>
            <w:noWrap/>
            <w:vAlign w:val="bottom"/>
            <w:hideMark/>
          </w:tcPr>
          <w:p w14:paraId="067609D4" w14:textId="77777777" w:rsidR="008B283A" w:rsidRPr="00AA65FC" w:rsidRDefault="008B283A" w:rsidP="00820D75">
            <w:pPr>
              <w:jc w:val="center"/>
              <w:rPr>
                <w:color w:val="000000"/>
              </w:rPr>
            </w:pPr>
            <w:r w:rsidRPr="00AA65FC">
              <w:rPr>
                <w:color w:val="000000"/>
              </w:rPr>
              <w:t>0.000*</w:t>
            </w:r>
          </w:p>
        </w:tc>
        <w:tc>
          <w:tcPr>
            <w:tcW w:w="1331" w:type="dxa"/>
            <w:tcBorders>
              <w:top w:val="nil"/>
              <w:left w:val="nil"/>
              <w:bottom w:val="single" w:sz="4" w:space="0" w:color="auto"/>
              <w:right w:val="single" w:sz="2" w:space="0" w:color="auto"/>
            </w:tcBorders>
            <w:shd w:val="clear" w:color="auto" w:fill="E7E6E6" w:themeFill="background2"/>
            <w:noWrap/>
            <w:vAlign w:val="bottom"/>
            <w:hideMark/>
          </w:tcPr>
          <w:p w14:paraId="067609D5" w14:textId="77777777" w:rsidR="008B283A" w:rsidRPr="00AA65FC" w:rsidRDefault="008B283A" w:rsidP="00820D75">
            <w:pPr>
              <w:jc w:val="center"/>
              <w:rPr>
                <w:color w:val="000000"/>
              </w:rPr>
            </w:pPr>
            <w:r w:rsidRPr="00AA65FC">
              <w:rPr>
                <w:color w:val="000000"/>
              </w:rPr>
              <w:t xml:space="preserve">  0,0019263</w:t>
            </w:r>
          </w:p>
        </w:tc>
        <w:tc>
          <w:tcPr>
            <w:tcW w:w="1167" w:type="dxa"/>
            <w:tcBorders>
              <w:top w:val="single" w:sz="2" w:space="0" w:color="auto"/>
              <w:left w:val="single" w:sz="2" w:space="0" w:color="auto"/>
              <w:bottom w:val="single" w:sz="4" w:space="0" w:color="auto"/>
            </w:tcBorders>
            <w:shd w:val="clear" w:color="auto" w:fill="E7E6E6" w:themeFill="background2"/>
            <w:noWrap/>
            <w:vAlign w:val="bottom"/>
            <w:hideMark/>
          </w:tcPr>
          <w:p w14:paraId="067609D6" w14:textId="77777777" w:rsidR="008B283A" w:rsidRPr="00AA65FC" w:rsidRDefault="008B283A" w:rsidP="00820D75">
            <w:pPr>
              <w:jc w:val="center"/>
              <w:rPr>
                <w:color w:val="000000"/>
              </w:rPr>
            </w:pPr>
            <w:r w:rsidRPr="00AA65FC">
              <w:rPr>
                <w:color w:val="000000"/>
              </w:rPr>
              <w:t>0,000*</w:t>
            </w:r>
          </w:p>
        </w:tc>
      </w:tr>
      <w:tr w:rsidR="008B283A" w:rsidRPr="00AA65FC" w14:paraId="067609DF" w14:textId="77777777" w:rsidTr="00171F65">
        <w:trPr>
          <w:trHeight w:val="47"/>
        </w:trPr>
        <w:tc>
          <w:tcPr>
            <w:tcW w:w="1038" w:type="dxa"/>
            <w:tcBorders>
              <w:top w:val="single" w:sz="4" w:space="0" w:color="auto"/>
              <w:bottom w:val="single" w:sz="4" w:space="0" w:color="auto"/>
              <w:right w:val="single" w:sz="4" w:space="0" w:color="auto"/>
            </w:tcBorders>
            <w:shd w:val="clear" w:color="auto" w:fill="auto"/>
            <w:noWrap/>
            <w:vAlign w:val="bottom"/>
          </w:tcPr>
          <w:p w14:paraId="067609D8" w14:textId="77777777" w:rsidR="008B283A" w:rsidRPr="00AA65FC" w:rsidRDefault="008B283A" w:rsidP="00820D75">
            <w:pPr>
              <w:rPr>
                <w:color w:val="000000"/>
              </w:rPr>
            </w:pPr>
            <w:r w:rsidRPr="00AA65FC">
              <w:rPr>
                <w:color w:val="000000"/>
              </w:rPr>
              <w:t>Const.</w:t>
            </w:r>
          </w:p>
        </w:tc>
        <w:tc>
          <w:tcPr>
            <w:tcW w:w="1384" w:type="dxa"/>
            <w:tcBorders>
              <w:top w:val="single" w:sz="4" w:space="0" w:color="auto"/>
              <w:left w:val="nil"/>
              <w:bottom w:val="single" w:sz="4" w:space="0" w:color="auto"/>
              <w:right w:val="single" w:sz="4" w:space="0" w:color="auto"/>
            </w:tcBorders>
            <w:shd w:val="clear" w:color="auto" w:fill="E7E6E6" w:themeFill="background2"/>
            <w:noWrap/>
            <w:vAlign w:val="bottom"/>
          </w:tcPr>
          <w:p w14:paraId="067609D9" w14:textId="77777777" w:rsidR="008B283A" w:rsidRPr="00AA65FC" w:rsidRDefault="008B283A" w:rsidP="00820D75">
            <w:pPr>
              <w:jc w:val="center"/>
              <w:rPr>
                <w:color w:val="000000"/>
              </w:rPr>
            </w:pPr>
            <w:r w:rsidRPr="00AA65FC">
              <w:rPr>
                <w:color w:val="000000"/>
              </w:rPr>
              <w:t>0,0204749</w:t>
            </w:r>
          </w:p>
        </w:tc>
        <w:tc>
          <w:tcPr>
            <w:tcW w:w="1385" w:type="dxa"/>
            <w:tcBorders>
              <w:top w:val="single" w:sz="4" w:space="0" w:color="auto"/>
              <w:left w:val="nil"/>
              <w:bottom w:val="single" w:sz="4" w:space="0" w:color="auto"/>
              <w:right w:val="single" w:sz="4" w:space="0" w:color="auto"/>
            </w:tcBorders>
            <w:shd w:val="clear" w:color="auto" w:fill="E7E6E6" w:themeFill="background2"/>
            <w:noWrap/>
            <w:vAlign w:val="bottom"/>
          </w:tcPr>
          <w:p w14:paraId="067609DA" w14:textId="77777777" w:rsidR="008B283A" w:rsidRPr="00AA65FC" w:rsidRDefault="008B283A" w:rsidP="00820D75">
            <w:pPr>
              <w:jc w:val="center"/>
              <w:rPr>
                <w:color w:val="000000"/>
              </w:rPr>
            </w:pPr>
            <w:r w:rsidRPr="00AA65FC">
              <w:rPr>
                <w:color w:val="000000"/>
              </w:rPr>
              <w:t>0,000*</w:t>
            </w:r>
          </w:p>
        </w:tc>
        <w:tc>
          <w:tcPr>
            <w:tcW w:w="1412" w:type="dxa"/>
            <w:tcBorders>
              <w:top w:val="single" w:sz="4" w:space="0" w:color="auto"/>
              <w:left w:val="nil"/>
              <w:bottom w:val="single" w:sz="4" w:space="0" w:color="auto"/>
              <w:right w:val="single" w:sz="4" w:space="0" w:color="auto"/>
            </w:tcBorders>
            <w:shd w:val="clear" w:color="auto" w:fill="E7E6E6" w:themeFill="background2"/>
            <w:noWrap/>
            <w:vAlign w:val="bottom"/>
          </w:tcPr>
          <w:p w14:paraId="067609DB" w14:textId="77777777" w:rsidR="008B283A" w:rsidRPr="00AA65FC" w:rsidRDefault="008B283A" w:rsidP="00820D75">
            <w:pPr>
              <w:jc w:val="center"/>
              <w:rPr>
                <w:color w:val="000000"/>
              </w:rPr>
            </w:pPr>
            <w:r w:rsidRPr="00AA65FC">
              <w:rPr>
                <w:color w:val="000000"/>
              </w:rPr>
              <w:t>0,0160101</w:t>
            </w:r>
          </w:p>
        </w:tc>
        <w:tc>
          <w:tcPr>
            <w:tcW w:w="1375" w:type="dxa"/>
            <w:tcBorders>
              <w:top w:val="single" w:sz="4" w:space="0" w:color="auto"/>
              <w:left w:val="nil"/>
              <w:bottom w:val="single" w:sz="4" w:space="0" w:color="auto"/>
              <w:right w:val="single" w:sz="4" w:space="0" w:color="auto"/>
            </w:tcBorders>
            <w:shd w:val="clear" w:color="auto" w:fill="E7E6E6" w:themeFill="background2"/>
            <w:noWrap/>
            <w:vAlign w:val="bottom"/>
          </w:tcPr>
          <w:p w14:paraId="067609DC" w14:textId="77777777" w:rsidR="008B283A" w:rsidRPr="00AA65FC" w:rsidRDefault="008B283A" w:rsidP="00820D75">
            <w:pPr>
              <w:jc w:val="center"/>
              <w:rPr>
                <w:color w:val="000000"/>
              </w:rPr>
            </w:pPr>
            <w:r w:rsidRPr="00AA65FC">
              <w:rPr>
                <w:color w:val="000000"/>
              </w:rPr>
              <w:t xml:space="preserve">0.000* </w:t>
            </w:r>
          </w:p>
        </w:tc>
        <w:tc>
          <w:tcPr>
            <w:tcW w:w="1331" w:type="dxa"/>
            <w:tcBorders>
              <w:top w:val="single" w:sz="4" w:space="0" w:color="auto"/>
              <w:left w:val="nil"/>
              <w:bottom w:val="single" w:sz="4" w:space="0" w:color="auto"/>
              <w:right w:val="single" w:sz="2" w:space="0" w:color="auto"/>
            </w:tcBorders>
            <w:shd w:val="clear" w:color="auto" w:fill="E7E6E6" w:themeFill="background2"/>
            <w:noWrap/>
            <w:vAlign w:val="bottom"/>
          </w:tcPr>
          <w:p w14:paraId="067609DD" w14:textId="77777777" w:rsidR="008B283A" w:rsidRPr="00AA65FC" w:rsidRDefault="008B283A" w:rsidP="00820D75">
            <w:pPr>
              <w:jc w:val="center"/>
              <w:rPr>
                <w:color w:val="000000"/>
              </w:rPr>
            </w:pPr>
            <w:r w:rsidRPr="00AA65FC">
              <w:rPr>
                <w:color w:val="000000"/>
              </w:rPr>
              <w:t>0,0144777</w:t>
            </w:r>
          </w:p>
        </w:tc>
        <w:tc>
          <w:tcPr>
            <w:tcW w:w="1167" w:type="dxa"/>
            <w:tcBorders>
              <w:top w:val="single" w:sz="4" w:space="0" w:color="auto"/>
              <w:left w:val="single" w:sz="2" w:space="0" w:color="auto"/>
              <w:bottom w:val="single" w:sz="4" w:space="0" w:color="auto"/>
            </w:tcBorders>
            <w:shd w:val="clear" w:color="auto" w:fill="E7E6E6" w:themeFill="background2"/>
            <w:noWrap/>
            <w:vAlign w:val="bottom"/>
          </w:tcPr>
          <w:p w14:paraId="067609DE" w14:textId="77777777" w:rsidR="008B283A" w:rsidRPr="00AA65FC" w:rsidRDefault="008B283A" w:rsidP="00820D75">
            <w:pPr>
              <w:jc w:val="center"/>
              <w:rPr>
                <w:color w:val="000000"/>
              </w:rPr>
            </w:pPr>
            <w:r w:rsidRPr="00AA65FC">
              <w:rPr>
                <w:color w:val="000000"/>
              </w:rPr>
              <w:t>0,000*</w:t>
            </w:r>
          </w:p>
        </w:tc>
      </w:tr>
      <w:tr w:rsidR="008B283A" w:rsidRPr="00AA65FC" w14:paraId="067609E4" w14:textId="77777777" w:rsidTr="00171F65">
        <w:trPr>
          <w:trHeight w:val="27"/>
        </w:trPr>
        <w:tc>
          <w:tcPr>
            <w:tcW w:w="1038" w:type="dxa"/>
            <w:tcBorders>
              <w:top w:val="single" w:sz="4" w:space="0" w:color="auto"/>
              <w:bottom w:val="single" w:sz="4" w:space="0" w:color="auto"/>
              <w:right w:val="single" w:sz="4" w:space="0" w:color="auto"/>
            </w:tcBorders>
            <w:shd w:val="clear" w:color="auto" w:fill="auto"/>
            <w:noWrap/>
            <w:vAlign w:val="bottom"/>
            <w:hideMark/>
          </w:tcPr>
          <w:p w14:paraId="067609E0" w14:textId="77777777" w:rsidR="008B283A" w:rsidRPr="00AA65FC" w:rsidRDefault="008B283A" w:rsidP="00820D75">
            <w:pPr>
              <w:rPr>
                <w:color w:val="000000"/>
              </w:rPr>
            </w:pPr>
            <w:r w:rsidRPr="00AA65FC">
              <w:rPr>
                <w:color w:val="000000"/>
              </w:rPr>
              <w:t>R²</w:t>
            </w:r>
          </w:p>
        </w:tc>
        <w:tc>
          <w:tcPr>
            <w:tcW w:w="276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9E1" w14:textId="77777777" w:rsidR="008B283A" w:rsidRPr="00AA65FC" w:rsidRDefault="008B283A" w:rsidP="00820D75">
            <w:pPr>
              <w:jc w:val="center"/>
              <w:rPr>
                <w:color w:val="000000"/>
              </w:rPr>
            </w:pPr>
            <w:r w:rsidRPr="00AA65FC">
              <w:rPr>
                <w:color w:val="000000"/>
              </w:rPr>
              <w:t>0,2881</w:t>
            </w:r>
          </w:p>
        </w:tc>
        <w:tc>
          <w:tcPr>
            <w:tcW w:w="27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9E2" w14:textId="77777777" w:rsidR="008B283A" w:rsidRPr="00AA65FC" w:rsidRDefault="008B283A" w:rsidP="00820D75">
            <w:pPr>
              <w:jc w:val="center"/>
              <w:rPr>
                <w:color w:val="000000"/>
              </w:rPr>
            </w:pPr>
            <w:r w:rsidRPr="00AA65FC">
              <w:rPr>
                <w:color w:val="000000"/>
              </w:rPr>
              <w:t>0.4304</w:t>
            </w:r>
          </w:p>
        </w:tc>
        <w:tc>
          <w:tcPr>
            <w:tcW w:w="2499" w:type="dxa"/>
            <w:gridSpan w:val="2"/>
            <w:tcBorders>
              <w:top w:val="single" w:sz="4" w:space="0" w:color="auto"/>
              <w:left w:val="single" w:sz="4" w:space="0" w:color="auto"/>
              <w:bottom w:val="single" w:sz="4" w:space="0" w:color="auto"/>
            </w:tcBorders>
            <w:shd w:val="clear" w:color="auto" w:fill="auto"/>
            <w:noWrap/>
            <w:vAlign w:val="bottom"/>
            <w:hideMark/>
          </w:tcPr>
          <w:p w14:paraId="067609E3" w14:textId="77777777" w:rsidR="008B283A" w:rsidRPr="00AA65FC" w:rsidRDefault="008B283A" w:rsidP="00820D75">
            <w:pPr>
              <w:jc w:val="center"/>
              <w:rPr>
                <w:color w:val="000000"/>
              </w:rPr>
            </w:pPr>
            <w:r w:rsidRPr="00AA65FC">
              <w:rPr>
                <w:color w:val="000000"/>
              </w:rPr>
              <w:t>0,3685</w:t>
            </w:r>
          </w:p>
        </w:tc>
      </w:tr>
      <w:tr w:rsidR="008B283A" w:rsidRPr="00AA65FC" w14:paraId="067609E9" w14:textId="77777777" w:rsidTr="00171F65">
        <w:trPr>
          <w:trHeight w:val="27"/>
        </w:trPr>
        <w:tc>
          <w:tcPr>
            <w:tcW w:w="1038" w:type="dxa"/>
            <w:tcBorders>
              <w:top w:val="single" w:sz="4" w:space="0" w:color="auto"/>
              <w:bottom w:val="single" w:sz="4" w:space="0" w:color="auto"/>
              <w:right w:val="single" w:sz="4" w:space="0" w:color="auto"/>
            </w:tcBorders>
            <w:shd w:val="clear" w:color="auto" w:fill="auto"/>
            <w:noWrap/>
            <w:vAlign w:val="bottom"/>
            <w:hideMark/>
          </w:tcPr>
          <w:p w14:paraId="067609E5" w14:textId="77777777" w:rsidR="008B283A" w:rsidRPr="00AA65FC" w:rsidRDefault="008B283A" w:rsidP="00820D75">
            <w:pPr>
              <w:rPr>
                <w:color w:val="000000"/>
              </w:rPr>
            </w:pPr>
            <w:proofErr w:type="spellStart"/>
            <w:r w:rsidRPr="00AA65FC">
              <w:rPr>
                <w:color w:val="000000"/>
              </w:rPr>
              <w:t>Sig</w:t>
            </w:r>
            <w:proofErr w:type="spellEnd"/>
          </w:p>
        </w:tc>
        <w:tc>
          <w:tcPr>
            <w:tcW w:w="276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9E6" w14:textId="77777777" w:rsidR="008B283A" w:rsidRPr="00AA65FC" w:rsidRDefault="008B283A" w:rsidP="00820D75">
            <w:pPr>
              <w:jc w:val="center"/>
              <w:rPr>
                <w:color w:val="000000"/>
              </w:rPr>
            </w:pPr>
            <w:r w:rsidRPr="00AA65FC">
              <w:rPr>
                <w:color w:val="000000"/>
              </w:rPr>
              <w:t>0,0000*</w:t>
            </w:r>
          </w:p>
        </w:tc>
        <w:tc>
          <w:tcPr>
            <w:tcW w:w="27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9E7" w14:textId="77777777" w:rsidR="008B283A" w:rsidRPr="00AA65FC" w:rsidRDefault="008B283A" w:rsidP="00820D75">
            <w:pPr>
              <w:jc w:val="center"/>
              <w:rPr>
                <w:color w:val="000000"/>
              </w:rPr>
            </w:pPr>
            <w:r w:rsidRPr="00AA65FC">
              <w:rPr>
                <w:color w:val="000000"/>
              </w:rPr>
              <w:t>0.0000*</w:t>
            </w:r>
          </w:p>
        </w:tc>
        <w:tc>
          <w:tcPr>
            <w:tcW w:w="2499" w:type="dxa"/>
            <w:gridSpan w:val="2"/>
            <w:tcBorders>
              <w:top w:val="single" w:sz="4" w:space="0" w:color="auto"/>
              <w:left w:val="single" w:sz="4" w:space="0" w:color="auto"/>
              <w:bottom w:val="single" w:sz="4" w:space="0" w:color="auto"/>
            </w:tcBorders>
            <w:shd w:val="clear" w:color="auto" w:fill="auto"/>
            <w:noWrap/>
            <w:vAlign w:val="bottom"/>
            <w:hideMark/>
          </w:tcPr>
          <w:p w14:paraId="067609E8" w14:textId="77777777" w:rsidR="008B283A" w:rsidRPr="00AA65FC" w:rsidRDefault="008B283A" w:rsidP="00820D75">
            <w:pPr>
              <w:jc w:val="center"/>
              <w:rPr>
                <w:color w:val="000000"/>
              </w:rPr>
            </w:pPr>
            <w:r w:rsidRPr="00AA65FC">
              <w:rPr>
                <w:color w:val="000000"/>
              </w:rPr>
              <w:t>0,0000*</w:t>
            </w:r>
          </w:p>
        </w:tc>
      </w:tr>
      <w:tr w:rsidR="008B283A" w:rsidRPr="00AA65FC" w14:paraId="067609EE" w14:textId="77777777" w:rsidTr="00171F65">
        <w:trPr>
          <w:trHeight w:val="27"/>
        </w:trPr>
        <w:tc>
          <w:tcPr>
            <w:tcW w:w="1038" w:type="dxa"/>
            <w:tcBorders>
              <w:top w:val="single" w:sz="4" w:space="0" w:color="auto"/>
              <w:bottom w:val="single" w:sz="4" w:space="0" w:color="auto"/>
              <w:right w:val="single" w:sz="4" w:space="0" w:color="auto"/>
            </w:tcBorders>
            <w:shd w:val="clear" w:color="auto" w:fill="auto"/>
            <w:noWrap/>
            <w:vAlign w:val="bottom"/>
          </w:tcPr>
          <w:p w14:paraId="067609EA" w14:textId="77777777" w:rsidR="008B283A" w:rsidRPr="00AA65FC" w:rsidRDefault="008B283A" w:rsidP="00820D75">
            <w:pPr>
              <w:rPr>
                <w:color w:val="000000"/>
              </w:rPr>
            </w:pPr>
            <w:r w:rsidRPr="00AA65FC">
              <w:rPr>
                <w:color w:val="000000"/>
              </w:rPr>
              <w:t>DW</w:t>
            </w:r>
          </w:p>
        </w:tc>
        <w:tc>
          <w:tcPr>
            <w:tcW w:w="2769"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67609EB" w14:textId="77777777" w:rsidR="008B283A" w:rsidRPr="00AA65FC" w:rsidRDefault="008B283A" w:rsidP="00820D75">
            <w:pPr>
              <w:jc w:val="center"/>
              <w:rPr>
                <w:color w:val="000000"/>
              </w:rPr>
            </w:pPr>
            <w:r w:rsidRPr="00AA65FC">
              <w:rPr>
                <w:color w:val="000000"/>
              </w:rPr>
              <w:t>1,8724</w:t>
            </w:r>
          </w:p>
        </w:tc>
        <w:tc>
          <w:tcPr>
            <w:tcW w:w="27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67609EC" w14:textId="77777777" w:rsidR="008B283A" w:rsidRPr="00AA65FC" w:rsidRDefault="008B283A" w:rsidP="00820D75">
            <w:pPr>
              <w:jc w:val="center"/>
              <w:rPr>
                <w:color w:val="000000"/>
              </w:rPr>
            </w:pPr>
            <w:r w:rsidRPr="00AA65FC">
              <w:rPr>
                <w:color w:val="000000"/>
              </w:rPr>
              <w:t>2,0494</w:t>
            </w:r>
          </w:p>
        </w:tc>
        <w:tc>
          <w:tcPr>
            <w:tcW w:w="2499" w:type="dxa"/>
            <w:gridSpan w:val="2"/>
            <w:tcBorders>
              <w:top w:val="single" w:sz="4" w:space="0" w:color="auto"/>
              <w:left w:val="single" w:sz="4" w:space="0" w:color="auto"/>
              <w:bottom w:val="single" w:sz="4" w:space="0" w:color="auto"/>
            </w:tcBorders>
            <w:shd w:val="clear" w:color="auto" w:fill="auto"/>
            <w:noWrap/>
            <w:vAlign w:val="bottom"/>
          </w:tcPr>
          <w:p w14:paraId="067609ED" w14:textId="77777777" w:rsidR="008B283A" w:rsidRPr="00AA65FC" w:rsidRDefault="008B283A" w:rsidP="00820D75">
            <w:pPr>
              <w:jc w:val="center"/>
              <w:rPr>
                <w:color w:val="000000"/>
              </w:rPr>
            </w:pPr>
            <w:r w:rsidRPr="00AA65FC">
              <w:rPr>
                <w:color w:val="000000"/>
              </w:rPr>
              <w:t>1,9309</w:t>
            </w:r>
          </w:p>
        </w:tc>
      </w:tr>
      <w:tr w:rsidR="008B283A" w:rsidRPr="00AA65FC" w14:paraId="067609F3" w14:textId="77777777" w:rsidTr="00171F65">
        <w:trPr>
          <w:trHeight w:val="27"/>
        </w:trPr>
        <w:tc>
          <w:tcPr>
            <w:tcW w:w="1038" w:type="dxa"/>
            <w:tcBorders>
              <w:top w:val="single" w:sz="4" w:space="0" w:color="auto"/>
              <w:bottom w:val="single" w:sz="4" w:space="0" w:color="auto"/>
              <w:right w:val="single" w:sz="4" w:space="0" w:color="auto"/>
            </w:tcBorders>
            <w:shd w:val="clear" w:color="auto" w:fill="auto"/>
            <w:noWrap/>
            <w:vAlign w:val="bottom"/>
            <w:hideMark/>
          </w:tcPr>
          <w:p w14:paraId="067609EF" w14:textId="77777777" w:rsidR="008B283A" w:rsidRPr="00AA65FC" w:rsidRDefault="008B283A" w:rsidP="00820D75">
            <w:pPr>
              <w:rPr>
                <w:color w:val="000000"/>
              </w:rPr>
            </w:pPr>
            <w:r w:rsidRPr="00AA65FC">
              <w:rPr>
                <w:color w:val="000000"/>
              </w:rPr>
              <w:t>VIF</w:t>
            </w:r>
          </w:p>
        </w:tc>
        <w:tc>
          <w:tcPr>
            <w:tcW w:w="276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9F0" w14:textId="77777777" w:rsidR="008B283A" w:rsidRPr="00AA65FC" w:rsidRDefault="008B283A" w:rsidP="00820D75">
            <w:pPr>
              <w:jc w:val="center"/>
              <w:rPr>
                <w:color w:val="000000"/>
              </w:rPr>
            </w:pPr>
            <w:r w:rsidRPr="00AA65FC">
              <w:rPr>
                <w:color w:val="000000"/>
              </w:rPr>
              <w:t>1,64</w:t>
            </w:r>
          </w:p>
        </w:tc>
        <w:tc>
          <w:tcPr>
            <w:tcW w:w="27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9F1" w14:textId="77777777" w:rsidR="008B283A" w:rsidRPr="00AA65FC" w:rsidRDefault="008B283A" w:rsidP="00820D75">
            <w:pPr>
              <w:jc w:val="center"/>
              <w:rPr>
                <w:color w:val="000000"/>
              </w:rPr>
            </w:pPr>
            <w:r w:rsidRPr="00AA65FC">
              <w:rPr>
                <w:color w:val="000000"/>
              </w:rPr>
              <w:t>1.64</w:t>
            </w:r>
          </w:p>
        </w:tc>
        <w:tc>
          <w:tcPr>
            <w:tcW w:w="2499" w:type="dxa"/>
            <w:gridSpan w:val="2"/>
            <w:tcBorders>
              <w:top w:val="single" w:sz="4" w:space="0" w:color="auto"/>
              <w:left w:val="single" w:sz="4" w:space="0" w:color="auto"/>
              <w:bottom w:val="single" w:sz="4" w:space="0" w:color="auto"/>
            </w:tcBorders>
            <w:shd w:val="clear" w:color="auto" w:fill="auto"/>
            <w:noWrap/>
            <w:vAlign w:val="bottom"/>
            <w:hideMark/>
          </w:tcPr>
          <w:p w14:paraId="067609F2" w14:textId="77777777" w:rsidR="008B283A" w:rsidRPr="00AA65FC" w:rsidRDefault="008B283A" w:rsidP="00820D75">
            <w:pPr>
              <w:jc w:val="center"/>
              <w:rPr>
                <w:color w:val="000000"/>
              </w:rPr>
            </w:pPr>
            <w:r w:rsidRPr="00AA65FC">
              <w:rPr>
                <w:color w:val="000000"/>
              </w:rPr>
              <w:t>1,64</w:t>
            </w:r>
          </w:p>
        </w:tc>
      </w:tr>
      <w:tr w:rsidR="008B283A" w:rsidRPr="00AA65FC" w14:paraId="067609F8" w14:textId="77777777" w:rsidTr="00171F65">
        <w:trPr>
          <w:trHeight w:val="27"/>
        </w:trPr>
        <w:tc>
          <w:tcPr>
            <w:tcW w:w="1038" w:type="dxa"/>
            <w:tcBorders>
              <w:top w:val="single" w:sz="4" w:space="0" w:color="auto"/>
              <w:bottom w:val="single" w:sz="18" w:space="0" w:color="auto"/>
              <w:right w:val="single" w:sz="4" w:space="0" w:color="auto"/>
            </w:tcBorders>
            <w:shd w:val="clear" w:color="auto" w:fill="auto"/>
            <w:noWrap/>
            <w:vAlign w:val="bottom"/>
            <w:hideMark/>
          </w:tcPr>
          <w:p w14:paraId="067609F4" w14:textId="77777777" w:rsidR="008B283A" w:rsidRPr="00AA65FC" w:rsidRDefault="008B283A" w:rsidP="00820D75">
            <w:pPr>
              <w:rPr>
                <w:color w:val="000000"/>
              </w:rPr>
            </w:pPr>
            <w:r w:rsidRPr="00AA65FC">
              <w:rPr>
                <w:color w:val="000000"/>
              </w:rPr>
              <w:t>Obs.</w:t>
            </w:r>
          </w:p>
        </w:tc>
        <w:tc>
          <w:tcPr>
            <w:tcW w:w="2769" w:type="dxa"/>
            <w:gridSpan w:val="2"/>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067609F5" w14:textId="77777777" w:rsidR="008B283A" w:rsidRPr="00AA65FC" w:rsidRDefault="008B283A" w:rsidP="00820D75">
            <w:pPr>
              <w:jc w:val="center"/>
              <w:rPr>
                <w:color w:val="000000"/>
              </w:rPr>
            </w:pPr>
            <w:r w:rsidRPr="00AA65FC">
              <w:rPr>
                <w:color w:val="000000"/>
              </w:rPr>
              <w:t>337</w:t>
            </w:r>
          </w:p>
        </w:tc>
        <w:tc>
          <w:tcPr>
            <w:tcW w:w="2787" w:type="dxa"/>
            <w:gridSpan w:val="2"/>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067609F6" w14:textId="77777777" w:rsidR="008B283A" w:rsidRPr="00AA65FC" w:rsidRDefault="008B283A" w:rsidP="00820D75">
            <w:pPr>
              <w:jc w:val="center"/>
              <w:rPr>
                <w:color w:val="000000"/>
              </w:rPr>
            </w:pPr>
            <w:r w:rsidRPr="00AA65FC">
              <w:rPr>
                <w:color w:val="000000"/>
              </w:rPr>
              <w:t>337</w:t>
            </w:r>
          </w:p>
        </w:tc>
        <w:tc>
          <w:tcPr>
            <w:tcW w:w="2499" w:type="dxa"/>
            <w:gridSpan w:val="2"/>
            <w:tcBorders>
              <w:top w:val="single" w:sz="4" w:space="0" w:color="auto"/>
              <w:left w:val="single" w:sz="4" w:space="0" w:color="auto"/>
              <w:bottom w:val="single" w:sz="18" w:space="0" w:color="auto"/>
            </w:tcBorders>
            <w:shd w:val="clear" w:color="auto" w:fill="auto"/>
            <w:noWrap/>
            <w:vAlign w:val="bottom"/>
            <w:hideMark/>
          </w:tcPr>
          <w:p w14:paraId="067609F7" w14:textId="77777777" w:rsidR="008B283A" w:rsidRPr="00AA65FC" w:rsidRDefault="008B283A" w:rsidP="00820D75">
            <w:pPr>
              <w:jc w:val="center"/>
              <w:rPr>
                <w:color w:val="000000"/>
              </w:rPr>
            </w:pPr>
            <w:r w:rsidRPr="00AA65FC">
              <w:rPr>
                <w:color w:val="000000"/>
              </w:rPr>
              <w:t>337</w:t>
            </w:r>
          </w:p>
        </w:tc>
      </w:tr>
    </w:tbl>
    <w:p w14:paraId="067609F9" w14:textId="77777777" w:rsidR="008B283A" w:rsidRPr="00AA65FC" w:rsidRDefault="008B283A" w:rsidP="00820D75">
      <w:pPr>
        <w:jc w:val="both"/>
        <w:rPr>
          <w:sz w:val="16"/>
          <w:szCs w:val="16"/>
        </w:rPr>
      </w:pPr>
      <w:r w:rsidRPr="00AA65FC">
        <w:t xml:space="preserve">*Significância ao nível de 5%, **Significância ao nível de 10%. Legenda: CA: comitê de auditoria; TAM: tamanho da empresa; ROE: rentabilidade do patrimônio líquido da empresa; END: endividamento da empresa; </w:t>
      </w:r>
      <w:proofErr w:type="spellStart"/>
      <w:r w:rsidRPr="00AA65FC">
        <w:t>Const</w:t>
      </w:r>
      <w:proofErr w:type="spellEnd"/>
      <w:r w:rsidRPr="00AA65FC">
        <w:t xml:space="preserve">: Constante; </w:t>
      </w:r>
      <w:proofErr w:type="spellStart"/>
      <w:r w:rsidRPr="00AA65FC">
        <w:t>Sig</w:t>
      </w:r>
      <w:proofErr w:type="spellEnd"/>
      <w:r w:rsidRPr="00AA65FC">
        <w:t xml:space="preserve">: significância do modelo; DW: teste </w:t>
      </w:r>
      <w:proofErr w:type="spellStart"/>
      <w:r w:rsidRPr="00AA65FC">
        <w:t>Durbin</w:t>
      </w:r>
      <w:proofErr w:type="spellEnd"/>
      <w:r w:rsidRPr="00AA65FC">
        <w:t xml:space="preserve"> Watson; VIF: fator de inflação de variância; </w:t>
      </w:r>
      <w:proofErr w:type="spellStart"/>
      <w:r w:rsidRPr="00AA65FC">
        <w:t>Obs</w:t>
      </w:r>
      <w:proofErr w:type="spellEnd"/>
      <w:r w:rsidRPr="00AA65FC">
        <w:t>: observações.</w:t>
      </w:r>
    </w:p>
    <w:p w14:paraId="067609FA" w14:textId="0086A564" w:rsidR="008B283A" w:rsidRDefault="008B283A" w:rsidP="00820D75">
      <w:pPr>
        <w:jc w:val="both"/>
        <w:rPr>
          <w:rFonts w:eastAsia="Calibri"/>
        </w:rPr>
      </w:pPr>
      <w:r w:rsidRPr="00AA65FC">
        <w:rPr>
          <w:rFonts w:eastAsia="Calibri"/>
        </w:rPr>
        <w:t>Fonte: Dados da pesquisa.</w:t>
      </w:r>
    </w:p>
    <w:p w14:paraId="48839D35" w14:textId="77777777" w:rsidR="00332F0B" w:rsidRPr="00AA65FC" w:rsidRDefault="00332F0B" w:rsidP="00820D75">
      <w:pPr>
        <w:jc w:val="both"/>
        <w:rPr>
          <w:rFonts w:eastAsia="Calibri"/>
        </w:rPr>
      </w:pPr>
    </w:p>
    <w:p w14:paraId="55236FB5" w14:textId="6A968DA4" w:rsidR="00C1225D" w:rsidRPr="00AA65FC" w:rsidRDefault="00C1225D" w:rsidP="00C1225D">
      <w:pPr>
        <w:pStyle w:val="SemEspaamento"/>
        <w:ind w:firstLine="709"/>
        <w:rPr>
          <w:rFonts w:cs="Times New Roman"/>
        </w:rPr>
      </w:pPr>
      <w:r w:rsidRPr="00AA65FC">
        <w:rPr>
          <w:rFonts w:cs="Times New Roman"/>
        </w:rPr>
        <w:t xml:space="preserve">Com relação </w:t>
      </w:r>
      <w:r w:rsidR="00C43367">
        <w:rPr>
          <w:rFonts w:cs="Times New Roman"/>
        </w:rPr>
        <w:t>a</w:t>
      </w:r>
      <w:r w:rsidRPr="00AA65FC">
        <w:rPr>
          <w:rFonts w:cs="Times New Roman"/>
        </w:rPr>
        <w:t xml:space="preserve"> variável </w:t>
      </w:r>
      <w:r w:rsidR="00C43367">
        <w:rPr>
          <w:rFonts w:cs="Times New Roman"/>
        </w:rPr>
        <w:t>de CA</w:t>
      </w:r>
      <w:r w:rsidRPr="00AA65FC">
        <w:rPr>
          <w:rFonts w:cs="Times New Roman"/>
        </w:rPr>
        <w:t xml:space="preserve">, observa-se que não houve relação significativa entre a existência de </w:t>
      </w:r>
      <w:r w:rsidR="00C43367">
        <w:rPr>
          <w:rFonts w:cs="Times New Roman"/>
        </w:rPr>
        <w:t>CA</w:t>
      </w:r>
      <w:r w:rsidRPr="00AA65FC">
        <w:rPr>
          <w:rFonts w:cs="Times New Roman"/>
        </w:rPr>
        <w:t xml:space="preserve"> nas empresas e a assimetria informacional. Desta forma, os resultados apresentam-se insuficientes e, portanto, rejeita-se a H1 e aceita-se a H0, por entender que empresas com </w:t>
      </w:r>
      <w:r w:rsidR="00C43367">
        <w:rPr>
          <w:rFonts w:cs="Times New Roman"/>
        </w:rPr>
        <w:t>CA</w:t>
      </w:r>
      <w:r w:rsidRPr="00AA65FC">
        <w:rPr>
          <w:rFonts w:cs="Times New Roman"/>
        </w:rPr>
        <w:t xml:space="preserve"> não apresentam menor assimetria de informação em relação às que não possuem tal comitê. Essas evidências podem ser entendidas mediante o estudo de </w:t>
      </w:r>
      <w:proofErr w:type="spellStart"/>
      <w:r w:rsidRPr="00AA65FC">
        <w:rPr>
          <w:rFonts w:cs="Times New Roman"/>
        </w:rPr>
        <w:t>Han</w:t>
      </w:r>
      <w:proofErr w:type="spellEnd"/>
      <w:r w:rsidRPr="00AA65FC">
        <w:rPr>
          <w:rFonts w:cs="Times New Roman"/>
        </w:rPr>
        <w:t xml:space="preserve"> et al. (2014), cujas suposições sobre o </w:t>
      </w:r>
      <w:r w:rsidR="00C43367">
        <w:rPr>
          <w:rFonts w:cs="Times New Roman"/>
        </w:rPr>
        <w:t>CA</w:t>
      </w:r>
      <w:r w:rsidRPr="00AA65FC">
        <w:rPr>
          <w:rFonts w:cs="Times New Roman"/>
        </w:rPr>
        <w:t xml:space="preserve"> refletem no fato de que as informações “escondidas” pela administração, nem sempre são facilmente detectadas pelo </w:t>
      </w:r>
      <w:r w:rsidR="00C43367">
        <w:rPr>
          <w:rFonts w:cs="Times New Roman"/>
        </w:rPr>
        <w:t>CA</w:t>
      </w:r>
      <w:r>
        <w:rPr>
          <w:rFonts w:cs="Times New Roman"/>
        </w:rPr>
        <w:t>.</w:t>
      </w:r>
    </w:p>
    <w:p w14:paraId="4B816369" w14:textId="41A071AD" w:rsidR="00C1225D" w:rsidRPr="00AA65FC" w:rsidRDefault="00C1225D" w:rsidP="00C1225D">
      <w:pPr>
        <w:pStyle w:val="SemEspaamento"/>
        <w:ind w:firstLine="709"/>
        <w:rPr>
          <w:rFonts w:cs="Times New Roman"/>
        </w:rPr>
      </w:pPr>
      <w:r w:rsidRPr="00AA65FC">
        <w:rPr>
          <w:rFonts w:cs="Times New Roman"/>
        </w:rPr>
        <w:t xml:space="preserve">De acordo com </w:t>
      </w:r>
      <w:proofErr w:type="spellStart"/>
      <w:r w:rsidRPr="00AA65FC">
        <w:rPr>
          <w:rFonts w:cs="Times New Roman"/>
        </w:rPr>
        <w:t>Han</w:t>
      </w:r>
      <w:proofErr w:type="spellEnd"/>
      <w:r w:rsidRPr="00AA65FC">
        <w:rPr>
          <w:rFonts w:cs="Times New Roman"/>
        </w:rPr>
        <w:t xml:space="preserve"> et al. (2014), o </w:t>
      </w:r>
      <w:r w:rsidR="00C43367">
        <w:rPr>
          <w:rFonts w:cs="Times New Roman"/>
        </w:rPr>
        <w:t>CA</w:t>
      </w:r>
      <w:r w:rsidRPr="00AA65FC">
        <w:rPr>
          <w:rFonts w:cs="Times New Roman"/>
        </w:rPr>
        <w:t xml:space="preserve"> é percebido como um mecanismo de governança que visa afetar negativamente a assimetria de informação por meio de uma abordagem de monitoramento do comportamento dos </w:t>
      </w:r>
      <w:r>
        <w:rPr>
          <w:rFonts w:cs="Times New Roman"/>
        </w:rPr>
        <w:t>gestores</w:t>
      </w:r>
      <w:r w:rsidRPr="00AA65FC">
        <w:rPr>
          <w:rFonts w:cs="Times New Roman"/>
        </w:rPr>
        <w:t xml:space="preserve">. Entretanto, para os autores, tanto o </w:t>
      </w:r>
      <w:r w:rsidR="00C43367">
        <w:rPr>
          <w:rFonts w:cs="Times New Roman"/>
        </w:rPr>
        <w:t>CA</w:t>
      </w:r>
      <w:r w:rsidRPr="00AA65FC">
        <w:rPr>
          <w:rFonts w:cs="Times New Roman"/>
        </w:rPr>
        <w:t xml:space="preserve"> quanto os diretores, podem não ser capazes de evitar a assimetria de informações existentes entre os</w:t>
      </w:r>
      <w:r>
        <w:rPr>
          <w:rFonts w:cs="Times New Roman"/>
        </w:rPr>
        <w:t xml:space="preserve"> gestores</w:t>
      </w:r>
      <w:r w:rsidRPr="00AA65FC">
        <w:rPr>
          <w:rFonts w:cs="Times New Roman"/>
        </w:rPr>
        <w:t xml:space="preserve"> e investidores, ou ainda, não conseguem evitar as possíveis perdas dos investidores devido a</w:t>
      </w:r>
      <w:r>
        <w:rPr>
          <w:rFonts w:cs="Times New Roman"/>
        </w:rPr>
        <w:t>s</w:t>
      </w:r>
      <w:r w:rsidRPr="00AA65FC">
        <w:rPr>
          <w:rFonts w:cs="Times New Roman"/>
        </w:rPr>
        <w:t xml:space="preserve"> divulgações infiéis.</w:t>
      </w:r>
    </w:p>
    <w:p w14:paraId="0C81C35B" w14:textId="0ABD7664" w:rsidR="00C1225D" w:rsidRPr="00AA65FC" w:rsidRDefault="00C1225D" w:rsidP="00C1225D">
      <w:pPr>
        <w:pStyle w:val="SemEspaamento"/>
        <w:ind w:firstLine="709"/>
        <w:rPr>
          <w:rFonts w:cs="Times New Roman"/>
        </w:rPr>
      </w:pPr>
      <w:r>
        <w:rPr>
          <w:rFonts w:cs="Times New Roman"/>
        </w:rPr>
        <w:t>Com relação a</w:t>
      </w:r>
      <w:r w:rsidR="008B283A" w:rsidRPr="00AA65FC">
        <w:rPr>
          <w:rFonts w:cs="Times New Roman"/>
        </w:rPr>
        <w:t xml:space="preserve"> variável tamanho, </w:t>
      </w:r>
      <w:r>
        <w:rPr>
          <w:rFonts w:cs="Times New Roman"/>
        </w:rPr>
        <w:t xml:space="preserve">observa-se </w:t>
      </w:r>
      <w:r w:rsidR="008B283A" w:rsidRPr="00AA65FC">
        <w:rPr>
          <w:rFonts w:cs="Times New Roman"/>
        </w:rPr>
        <w:t>apresenta</w:t>
      </w:r>
      <w:r w:rsidRPr="00AA65FC">
        <w:rPr>
          <w:rFonts w:cs="Times New Roman"/>
        </w:rPr>
        <w:t xml:space="preserve">-se insuficientes e, portanto, rejeita-se a H1 e aceita-se a H0, por entender que empresas com </w:t>
      </w:r>
      <w:r w:rsidR="00C43367">
        <w:rPr>
          <w:rFonts w:cs="Times New Roman"/>
        </w:rPr>
        <w:t>CA</w:t>
      </w:r>
      <w:r w:rsidRPr="00AA65FC">
        <w:rPr>
          <w:rFonts w:cs="Times New Roman"/>
        </w:rPr>
        <w:t xml:space="preserve"> não apresentam menor assimetria de informação em relação às que não possuem tal comitê. Essas evidências podem ser entendidas mediante o estudo de </w:t>
      </w:r>
      <w:proofErr w:type="spellStart"/>
      <w:r w:rsidRPr="00AA65FC">
        <w:rPr>
          <w:rFonts w:cs="Times New Roman"/>
        </w:rPr>
        <w:t>Han</w:t>
      </w:r>
      <w:proofErr w:type="spellEnd"/>
      <w:r w:rsidRPr="00AA65FC">
        <w:rPr>
          <w:rFonts w:cs="Times New Roman"/>
        </w:rPr>
        <w:t xml:space="preserve"> et al. (2014), cujas suposições sobre o </w:t>
      </w:r>
      <w:r w:rsidR="00C43367">
        <w:rPr>
          <w:rFonts w:cs="Times New Roman"/>
        </w:rPr>
        <w:t>CA</w:t>
      </w:r>
      <w:r w:rsidRPr="00AA65FC">
        <w:rPr>
          <w:rFonts w:cs="Times New Roman"/>
        </w:rPr>
        <w:t xml:space="preserve"> refletem no fato de que as informações “escondidas” pela administração, nem sempre são facilmente detectadas pelo </w:t>
      </w:r>
      <w:r w:rsidR="00C43367">
        <w:rPr>
          <w:rFonts w:cs="Times New Roman"/>
        </w:rPr>
        <w:t>CA</w:t>
      </w:r>
      <w:r>
        <w:rPr>
          <w:rFonts w:cs="Times New Roman"/>
        </w:rPr>
        <w:t>.</w:t>
      </w:r>
    </w:p>
    <w:p w14:paraId="6930303B" w14:textId="06E1F6EC" w:rsidR="00C1225D" w:rsidRPr="00AA65FC" w:rsidRDefault="00C1225D" w:rsidP="00C1225D">
      <w:pPr>
        <w:pStyle w:val="SemEspaamento"/>
        <w:ind w:firstLine="709"/>
        <w:rPr>
          <w:rFonts w:cs="Times New Roman"/>
        </w:rPr>
      </w:pPr>
      <w:r w:rsidRPr="00AA65FC">
        <w:rPr>
          <w:rFonts w:cs="Times New Roman"/>
        </w:rPr>
        <w:t xml:space="preserve">De acordo com </w:t>
      </w:r>
      <w:proofErr w:type="spellStart"/>
      <w:r w:rsidRPr="00AA65FC">
        <w:rPr>
          <w:rFonts w:cs="Times New Roman"/>
        </w:rPr>
        <w:t>Han</w:t>
      </w:r>
      <w:proofErr w:type="spellEnd"/>
      <w:r w:rsidRPr="00AA65FC">
        <w:rPr>
          <w:rFonts w:cs="Times New Roman"/>
        </w:rPr>
        <w:t xml:space="preserve"> et al. (2014), o </w:t>
      </w:r>
      <w:r w:rsidR="00C43367">
        <w:rPr>
          <w:rFonts w:cs="Times New Roman"/>
        </w:rPr>
        <w:t>CA</w:t>
      </w:r>
      <w:r w:rsidRPr="00AA65FC">
        <w:rPr>
          <w:rFonts w:cs="Times New Roman"/>
        </w:rPr>
        <w:t xml:space="preserve"> é percebido como um mecanismo de governança que visa afetar negativamente a assimetria de informação por meio de uma abordagem de monitoramento do comportamento dos </w:t>
      </w:r>
      <w:r>
        <w:rPr>
          <w:rFonts w:cs="Times New Roman"/>
        </w:rPr>
        <w:t>gestores</w:t>
      </w:r>
      <w:r w:rsidRPr="00AA65FC">
        <w:rPr>
          <w:rFonts w:cs="Times New Roman"/>
        </w:rPr>
        <w:t xml:space="preserve">. Entretanto, para os autores, tanto o </w:t>
      </w:r>
      <w:r w:rsidR="00C43367">
        <w:rPr>
          <w:rFonts w:cs="Times New Roman"/>
        </w:rPr>
        <w:t>CA</w:t>
      </w:r>
      <w:r w:rsidRPr="00AA65FC">
        <w:rPr>
          <w:rFonts w:cs="Times New Roman"/>
        </w:rPr>
        <w:t xml:space="preserve"> quanto os diretores, podem não ser capazes de evitar a assimetria de informações existentes entre os</w:t>
      </w:r>
      <w:r>
        <w:rPr>
          <w:rFonts w:cs="Times New Roman"/>
        </w:rPr>
        <w:t xml:space="preserve"> gestores</w:t>
      </w:r>
      <w:r w:rsidRPr="00AA65FC">
        <w:rPr>
          <w:rFonts w:cs="Times New Roman"/>
        </w:rPr>
        <w:t xml:space="preserve"> e investidores, ou ainda, não conseguem evitar as possíveis perdas dos investidores devido a</w:t>
      </w:r>
      <w:r>
        <w:rPr>
          <w:rFonts w:cs="Times New Roman"/>
        </w:rPr>
        <w:t>s</w:t>
      </w:r>
      <w:r w:rsidRPr="00AA65FC">
        <w:rPr>
          <w:rFonts w:cs="Times New Roman"/>
        </w:rPr>
        <w:t xml:space="preserve"> divulgações infiéis.</w:t>
      </w:r>
    </w:p>
    <w:p w14:paraId="067609FC" w14:textId="6965ABDF" w:rsidR="008B283A" w:rsidRPr="00AA65FC" w:rsidRDefault="00C1225D" w:rsidP="00332F0B">
      <w:pPr>
        <w:pStyle w:val="SemEspaamento"/>
        <w:ind w:firstLine="709"/>
        <w:rPr>
          <w:rFonts w:cs="Times New Roman"/>
        </w:rPr>
      </w:pPr>
      <w:r>
        <w:rPr>
          <w:rFonts w:cs="Times New Roman"/>
        </w:rPr>
        <w:t>Com relação a</w:t>
      </w:r>
      <w:r w:rsidR="008B283A" w:rsidRPr="00AA65FC">
        <w:rPr>
          <w:rFonts w:cs="Times New Roman"/>
        </w:rPr>
        <w:t xml:space="preserve"> variável tamanho</w:t>
      </w:r>
      <w:r w:rsidR="00950346">
        <w:rPr>
          <w:rFonts w:cs="Times New Roman"/>
        </w:rPr>
        <w:t xml:space="preserve"> (TAM)</w:t>
      </w:r>
      <w:r w:rsidR="008B283A" w:rsidRPr="00AA65FC">
        <w:rPr>
          <w:rFonts w:cs="Times New Roman"/>
        </w:rPr>
        <w:t xml:space="preserve">, </w:t>
      </w:r>
      <w:r>
        <w:rPr>
          <w:rFonts w:cs="Times New Roman"/>
        </w:rPr>
        <w:t xml:space="preserve">observa-se </w:t>
      </w:r>
      <w:r w:rsidR="00C362B0">
        <w:rPr>
          <w:rFonts w:cs="Times New Roman"/>
        </w:rPr>
        <w:t xml:space="preserve">a relação </w:t>
      </w:r>
      <w:r w:rsidR="008B283A" w:rsidRPr="00AA65FC">
        <w:rPr>
          <w:rFonts w:cs="Times New Roman"/>
        </w:rPr>
        <w:t xml:space="preserve">negativa </w:t>
      </w:r>
      <w:r w:rsidR="00C362B0">
        <w:rPr>
          <w:rFonts w:cs="Times New Roman"/>
        </w:rPr>
        <w:t>com a</w:t>
      </w:r>
      <w:r w:rsidR="008B283A" w:rsidRPr="00AA65FC">
        <w:rPr>
          <w:rFonts w:cs="Times New Roman"/>
        </w:rPr>
        <w:t xml:space="preserve"> assimetria da informação para as três equações, ou seja, para os três períodos de análise. Assim, sugere-se </w:t>
      </w:r>
      <w:r w:rsidR="008B283A">
        <w:rPr>
          <w:rFonts w:cs="Times New Roman"/>
        </w:rPr>
        <w:t xml:space="preserve">que </w:t>
      </w:r>
      <w:r w:rsidR="008B283A" w:rsidRPr="00AA65FC">
        <w:rPr>
          <w:rFonts w:cs="Times New Roman"/>
        </w:rPr>
        <w:t xml:space="preserve">o tamanho da empresa e assimetria da informação estão inversamente relacionados. Tais </w:t>
      </w:r>
      <w:r w:rsidR="008B283A" w:rsidRPr="00AA65FC">
        <w:rPr>
          <w:rFonts w:cs="Times New Roman"/>
        </w:rPr>
        <w:lastRenderedPageBreak/>
        <w:t>resultados corroboram com os achados de Silva e</w:t>
      </w:r>
      <w:r w:rsidR="008B283A">
        <w:rPr>
          <w:rFonts w:cs="Times New Roman"/>
        </w:rPr>
        <w:t>t al.</w:t>
      </w:r>
      <w:r w:rsidR="008B283A" w:rsidRPr="00AA65FC">
        <w:rPr>
          <w:rFonts w:cs="Times New Roman"/>
        </w:rPr>
        <w:t xml:space="preserve"> (2017), que sugerem que empresas maiores possuem maior transparência de informações, por apresentarem mecanismos mais robustos e assim, podem demonstrar menor assimetria de informação.</w:t>
      </w:r>
    </w:p>
    <w:p w14:paraId="067609FD" w14:textId="17527CEC" w:rsidR="008B283A" w:rsidRPr="00AA65FC" w:rsidRDefault="008B283A" w:rsidP="00332F0B">
      <w:pPr>
        <w:autoSpaceDE w:val="0"/>
        <w:autoSpaceDN w:val="0"/>
        <w:adjustRightInd w:val="0"/>
        <w:ind w:firstLine="709"/>
        <w:jc w:val="both"/>
        <w:rPr>
          <w:sz w:val="24"/>
          <w:szCs w:val="24"/>
        </w:rPr>
      </w:pPr>
      <w:r w:rsidRPr="00AA65FC">
        <w:rPr>
          <w:sz w:val="24"/>
          <w:szCs w:val="24"/>
        </w:rPr>
        <w:t xml:space="preserve">A rentabilidade </w:t>
      </w:r>
      <w:r w:rsidR="00497127">
        <w:rPr>
          <w:sz w:val="24"/>
          <w:szCs w:val="24"/>
        </w:rPr>
        <w:t>sobre</w:t>
      </w:r>
      <w:r w:rsidRPr="00AA65FC">
        <w:rPr>
          <w:sz w:val="24"/>
          <w:szCs w:val="24"/>
        </w:rPr>
        <w:t xml:space="preserve"> patrimônio líquido (ROE), apresentou-se significativa para </w:t>
      </w:r>
      <w:r w:rsidR="00950346">
        <w:rPr>
          <w:sz w:val="24"/>
          <w:szCs w:val="24"/>
        </w:rPr>
        <w:t>os modelos</w:t>
      </w:r>
      <w:r w:rsidRPr="00AA65FC">
        <w:rPr>
          <w:sz w:val="24"/>
          <w:szCs w:val="24"/>
        </w:rPr>
        <w:t xml:space="preserve"> 2 e 3</w:t>
      </w:r>
      <w:r w:rsidR="00497127">
        <w:rPr>
          <w:sz w:val="24"/>
          <w:szCs w:val="24"/>
        </w:rPr>
        <w:t>, s</w:t>
      </w:r>
      <w:r w:rsidR="00950346">
        <w:rPr>
          <w:sz w:val="24"/>
          <w:szCs w:val="24"/>
        </w:rPr>
        <w:t>ugerindo a</w:t>
      </w:r>
      <w:r w:rsidRPr="00AA65FC">
        <w:rPr>
          <w:sz w:val="24"/>
          <w:szCs w:val="24"/>
        </w:rPr>
        <w:t>ssim,</w:t>
      </w:r>
      <w:r w:rsidR="00950346">
        <w:rPr>
          <w:sz w:val="24"/>
          <w:szCs w:val="24"/>
        </w:rPr>
        <w:t xml:space="preserve"> que </w:t>
      </w:r>
      <w:r w:rsidRPr="00AA65FC">
        <w:rPr>
          <w:sz w:val="24"/>
          <w:szCs w:val="24"/>
        </w:rPr>
        <w:t xml:space="preserve">empresas com maior rentabilidade refletem em menor assimetria informacional em períodos posteriores ao final do exercício, ou empresas com menor rentabilidade refletem em maior assimetria. Estes resultados corroboram com os de Silva </w:t>
      </w:r>
      <w:r>
        <w:rPr>
          <w:sz w:val="24"/>
          <w:szCs w:val="24"/>
        </w:rPr>
        <w:t>et al.</w:t>
      </w:r>
      <w:r w:rsidRPr="00AA65FC">
        <w:rPr>
          <w:sz w:val="24"/>
          <w:szCs w:val="24"/>
        </w:rPr>
        <w:t xml:space="preserve"> (2017), que sugerem a busca por novos investimentos como possível justificativa, sendo que</w:t>
      </w:r>
      <w:r w:rsidR="00497127">
        <w:rPr>
          <w:sz w:val="24"/>
          <w:szCs w:val="24"/>
        </w:rPr>
        <w:t xml:space="preserve"> </w:t>
      </w:r>
      <w:r w:rsidRPr="00AA65FC">
        <w:rPr>
          <w:sz w:val="24"/>
          <w:szCs w:val="24"/>
        </w:rPr>
        <w:t>para atrair investidores é necessário que empresas apresentem rentabilidade sobre seu capital e maior transparência de informações, assim, menor assimetria informacional.</w:t>
      </w:r>
    </w:p>
    <w:p w14:paraId="1825CC6F" w14:textId="63363FBC" w:rsidR="006448DB" w:rsidRDefault="00332F0B" w:rsidP="00332F0B">
      <w:pPr>
        <w:pStyle w:val="SemEspaamento"/>
        <w:ind w:firstLine="709"/>
        <w:rPr>
          <w:rFonts w:cs="Times New Roman"/>
        </w:rPr>
      </w:pPr>
      <w:r>
        <w:rPr>
          <w:rFonts w:cs="Times New Roman"/>
        </w:rPr>
        <w:t>A</w:t>
      </w:r>
      <w:r w:rsidR="008B283A" w:rsidRPr="00AA65FC">
        <w:rPr>
          <w:rFonts w:cs="Times New Roman"/>
        </w:rPr>
        <w:t xml:space="preserve">lém disso, a variável de endividamento demonstrou-se estatisticamente significativa para </w:t>
      </w:r>
      <w:r w:rsidR="00497127">
        <w:rPr>
          <w:rFonts w:cs="Times New Roman"/>
        </w:rPr>
        <w:t>os 3 modelos</w:t>
      </w:r>
      <w:r w:rsidR="008B283A" w:rsidRPr="00AA65FC">
        <w:rPr>
          <w:rFonts w:cs="Times New Roman"/>
        </w:rPr>
        <w:t xml:space="preserve">. Assim, empresas com maior endividamento estão </w:t>
      </w:r>
      <w:r w:rsidR="00497127">
        <w:rPr>
          <w:rFonts w:cs="Times New Roman"/>
        </w:rPr>
        <w:t xml:space="preserve">positivamente </w:t>
      </w:r>
      <w:r w:rsidR="008B283A" w:rsidRPr="00AA65FC">
        <w:rPr>
          <w:rFonts w:cs="Times New Roman"/>
        </w:rPr>
        <w:t xml:space="preserve">relacionadas à assimetria informacional, o que vai de encontro aos resultados obtidos por Albanez e Valle (2009), que encontraram relação negativa entre o endividamento das empresas e a assimetria informacional. </w:t>
      </w:r>
    </w:p>
    <w:p w14:paraId="067609FE" w14:textId="04A26618" w:rsidR="008B283A" w:rsidRPr="00AA65FC" w:rsidRDefault="008B283A" w:rsidP="006448DB">
      <w:pPr>
        <w:pStyle w:val="SemEspaamento"/>
        <w:ind w:firstLine="709"/>
        <w:rPr>
          <w:rFonts w:cs="Times New Roman"/>
        </w:rPr>
      </w:pPr>
      <w:r w:rsidRPr="00AA65FC">
        <w:rPr>
          <w:rFonts w:cs="Times New Roman"/>
        </w:rPr>
        <w:t xml:space="preserve">Entretanto, </w:t>
      </w:r>
      <w:r w:rsidR="006448DB">
        <w:rPr>
          <w:rFonts w:cs="Times New Roman"/>
        </w:rPr>
        <w:t>Albanez e Valle (2009)</w:t>
      </w:r>
      <w:r w:rsidRPr="00AA65FC">
        <w:rPr>
          <w:rFonts w:cs="Times New Roman"/>
        </w:rPr>
        <w:t xml:space="preserve"> destacam que seus resultados são contrários ao explicado pela teoria de </w:t>
      </w:r>
      <w:proofErr w:type="spellStart"/>
      <w:r w:rsidRPr="00AA65FC">
        <w:rPr>
          <w:rFonts w:cs="Times New Roman"/>
          <w:i/>
        </w:rPr>
        <w:t>pecking</w:t>
      </w:r>
      <w:proofErr w:type="spellEnd"/>
      <w:r w:rsidRPr="00AA65FC">
        <w:rPr>
          <w:rFonts w:cs="Times New Roman"/>
          <w:i/>
        </w:rPr>
        <w:t xml:space="preserve"> </w:t>
      </w:r>
      <w:proofErr w:type="spellStart"/>
      <w:r w:rsidRPr="00AA65FC">
        <w:rPr>
          <w:rFonts w:cs="Times New Roman"/>
          <w:i/>
        </w:rPr>
        <w:t>order</w:t>
      </w:r>
      <w:proofErr w:type="spellEnd"/>
      <w:r w:rsidRPr="00AA65FC">
        <w:rPr>
          <w:rFonts w:cs="Times New Roman"/>
        </w:rPr>
        <w:t xml:space="preserve">. Portanto, os resultados dessa investigação podem ser explicados por esta teoria, considerando que empresas com maior assimetria de informação possuem maior dificuldade de captar recursos por meio da emissão de ações, por apresentarem maior assimetria e assim não serem capazes de atrair investidores potenciais. </w:t>
      </w:r>
      <w:r>
        <w:rPr>
          <w:rFonts w:cs="Times New Roman"/>
        </w:rPr>
        <w:t>Dessa forma</w:t>
      </w:r>
      <w:r w:rsidRPr="00AA65FC">
        <w:rPr>
          <w:rFonts w:cs="Times New Roman"/>
        </w:rPr>
        <w:t xml:space="preserve">, essas empresas acabam buscando por recursos por meio de capital de terceiros, bancos e credores, e assim, tornam-se mais endividadas.   </w:t>
      </w:r>
    </w:p>
    <w:p w14:paraId="06760A04" w14:textId="04D8FE10" w:rsidR="008B283A" w:rsidRDefault="008B283A" w:rsidP="0077447F">
      <w:pPr>
        <w:autoSpaceDE w:val="0"/>
        <w:autoSpaceDN w:val="0"/>
        <w:adjustRightInd w:val="0"/>
        <w:ind w:firstLine="709"/>
        <w:jc w:val="both"/>
        <w:rPr>
          <w:rFonts w:eastAsia="Calibri"/>
          <w:sz w:val="24"/>
          <w:szCs w:val="24"/>
        </w:rPr>
      </w:pPr>
      <w:r>
        <w:rPr>
          <w:rFonts w:eastAsia="Calibri"/>
          <w:sz w:val="24"/>
          <w:szCs w:val="24"/>
        </w:rPr>
        <w:t>A</w:t>
      </w:r>
      <w:r w:rsidRPr="00AA65FC">
        <w:rPr>
          <w:rFonts w:eastAsia="Calibri"/>
          <w:sz w:val="24"/>
          <w:szCs w:val="24"/>
        </w:rPr>
        <w:t xml:space="preserve"> segunda parte da análise visa testar a H2 e H3, acerca da influência das características de independência e </w:t>
      </w:r>
      <w:r w:rsidRPr="00AA65FC">
        <w:rPr>
          <w:rFonts w:eastAsia="Calibri"/>
          <w:i/>
          <w:sz w:val="24"/>
          <w:szCs w:val="24"/>
        </w:rPr>
        <w:t>expertise</w:t>
      </w:r>
      <w:r w:rsidRPr="00AA65FC">
        <w:rPr>
          <w:rFonts w:eastAsia="Calibri"/>
          <w:sz w:val="24"/>
          <w:szCs w:val="24"/>
        </w:rPr>
        <w:t xml:space="preserve"> dos </w:t>
      </w:r>
      <w:r w:rsidRPr="00870580">
        <w:rPr>
          <w:rFonts w:eastAsia="Calibri"/>
          <w:sz w:val="24"/>
          <w:szCs w:val="24"/>
        </w:rPr>
        <w:t xml:space="preserve">membros do </w:t>
      </w:r>
      <w:r w:rsidR="00497127">
        <w:rPr>
          <w:rFonts w:eastAsia="Calibri"/>
          <w:sz w:val="24"/>
          <w:szCs w:val="24"/>
        </w:rPr>
        <w:t>CA</w:t>
      </w:r>
      <w:r w:rsidRPr="00870580">
        <w:rPr>
          <w:rFonts w:eastAsia="Calibri"/>
          <w:sz w:val="24"/>
          <w:szCs w:val="24"/>
        </w:rPr>
        <w:t xml:space="preserve"> na assimetria informacional. Inicialmente, apresenta-se mediante a Tabela 4, a análise descritiva das variáveis utilizadas.</w:t>
      </w:r>
    </w:p>
    <w:p w14:paraId="06760A05" w14:textId="77777777" w:rsidR="008B283A" w:rsidRPr="00870580" w:rsidRDefault="008B283A" w:rsidP="00820D75">
      <w:pPr>
        <w:autoSpaceDE w:val="0"/>
        <w:autoSpaceDN w:val="0"/>
        <w:adjustRightInd w:val="0"/>
        <w:jc w:val="both"/>
        <w:rPr>
          <w:rFonts w:eastAsia="Calibri"/>
          <w:sz w:val="24"/>
          <w:szCs w:val="24"/>
        </w:rPr>
      </w:pPr>
    </w:p>
    <w:p w14:paraId="06760A06" w14:textId="237B816C" w:rsidR="008B283A" w:rsidRPr="00B72BF6" w:rsidRDefault="008B283A" w:rsidP="00820D75">
      <w:pPr>
        <w:jc w:val="both"/>
        <w:rPr>
          <w:b/>
        </w:rPr>
      </w:pPr>
      <w:r w:rsidRPr="00B72BF6">
        <w:rPr>
          <w:b/>
        </w:rPr>
        <w:t xml:space="preserve">Tabela 4 </w:t>
      </w:r>
      <w:r w:rsidR="00B72BF6" w:rsidRPr="00B72BF6">
        <w:rPr>
          <w:b/>
        </w:rPr>
        <w:t xml:space="preserve">- </w:t>
      </w:r>
      <w:r w:rsidRPr="00B72BF6">
        <w:rPr>
          <w:b/>
        </w:rPr>
        <w:t xml:space="preserve">Análise </w:t>
      </w:r>
      <w:r w:rsidR="0054303F" w:rsidRPr="00B72BF6">
        <w:rPr>
          <w:b/>
        </w:rPr>
        <w:t>D</w:t>
      </w:r>
      <w:r w:rsidRPr="00B72BF6">
        <w:rPr>
          <w:b/>
        </w:rPr>
        <w:t xml:space="preserve">escritiva das </w:t>
      </w:r>
      <w:r w:rsidR="0054303F" w:rsidRPr="00B72BF6">
        <w:rPr>
          <w:b/>
        </w:rPr>
        <w:t>V</w:t>
      </w:r>
      <w:r w:rsidRPr="00B72BF6">
        <w:rPr>
          <w:b/>
        </w:rPr>
        <w:t xml:space="preserve">ariáveis do </w:t>
      </w:r>
      <w:r w:rsidR="0054303F" w:rsidRPr="00B72BF6">
        <w:rPr>
          <w:b/>
        </w:rPr>
        <w:t>M</w:t>
      </w:r>
      <w:r w:rsidRPr="00B72BF6">
        <w:rPr>
          <w:b/>
        </w:rPr>
        <w:t>odelo</w:t>
      </w:r>
    </w:p>
    <w:tbl>
      <w:tblPr>
        <w:tblStyle w:val="Tabelacomgrade1"/>
        <w:tblW w:w="5000" w:type="pct"/>
        <w:tblBorders>
          <w:left w:val="none" w:sz="0" w:space="0" w:color="auto"/>
          <w:right w:val="none" w:sz="0" w:space="0" w:color="auto"/>
        </w:tblBorders>
        <w:tblLook w:val="04A0" w:firstRow="1" w:lastRow="0" w:firstColumn="1" w:lastColumn="0" w:noHBand="0" w:noVBand="1"/>
      </w:tblPr>
      <w:tblGrid>
        <w:gridCol w:w="1834"/>
        <w:gridCol w:w="1659"/>
        <w:gridCol w:w="2210"/>
        <w:gridCol w:w="1730"/>
        <w:gridCol w:w="1632"/>
      </w:tblGrid>
      <w:tr w:rsidR="008B283A" w:rsidRPr="00870580" w14:paraId="06760A0C" w14:textId="77777777" w:rsidTr="008B6EAF">
        <w:trPr>
          <w:trHeight w:hRule="exact" w:val="284"/>
        </w:trPr>
        <w:tc>
          <w:tcPr>
            <w:tcW w:w="1012" w:type="pct"/>
            <w:tcBorders>
              <w:top w:val="single" w:sz="12" w:space="0" w:color="auto"/>
              <w:bottom w:val="single" w:sz="12" w:space="0" w:color="auto"/>
            </w:tcBorders>
            <w:shd w:val="clear" w:color="auto" w:fill="auto"/>
            <w:vAlign w:val="center"/>
          </w:tcPr>
          <w:p w14:paraId="06760A07" w14:textId="77777777" w:rsidR="008B283A" w:rsidRPr="00870580" w:rsidRDefault="008B283A" w:rsidP="00820D75">
            <w:pPr>
              <w:jc w:val="center"/>
              <w:rPr>
                <w:b/>
              </w:rPr>
            </w:pPr>
            <w:r w:rsidRPr="00870580">
              <w:rPr>
                <w:b/>
              </w:rPr>
              <w:t>Variáveis</w:t>
            </w:r>
          </w:p>
        </w:tc>
        <w:tc>
          <w:tcPr>
            <w:tcW w:w="915" w:type="pct"/>
            <w:tcBorders>
              <w:top w:val="single" w:sz="12" w:space="0" w:color="auto"/>
              <w:bottom w:val="single" w:sz="12" w:space="0" w:color="auto"/>
            </w:tcBorders>
            <w:shd w:val="clear" w:color="auto" w:fill="auto"/>
            <w:vAlign w:val="center"/>
          </w:tcPr>
          <w:p w14:paraId="06760A08" w14:textId="77777777" w:rsidR="008B283A" w:rsidRPr="00870580" w:rsidRDefault="008B283A" w:rsidP="00820D75">
            <w:pPr>
              <w:jc w:val="center"/>
              <w:rPr>
                <w:b/>
              </w:rPr>
            </w:pPr>
            <w:r w:rsidRPr="00870580">
              <w:rPr>
                <w:b/>
              </w:rPr>
              <w:t>Mínimo</w:t>
            </w:r>
          </w:p>
        </w:tc>
        <w:tc>
          <w:tcPr>
            <w:tcW w:w="1219" w:type="pct"/>
            <w:tcBorders>
              <w:top w:val="single" w:sz="12" w:space="0" w:color="auto"/>
              <w:bottom w:val="single" w:sz="12" w:space="0" w:color="auto"/>
            </w:tcBorders>
            <w:shd w:val="clear" w:color="auto" w:fill="auto"/>
            <w:vAlign w:val="center"/>
          </w:tcPr>
          <w:p w14:paraId="06760A09" w14:textId="77777777" w:rsidR="008B283A" w:rsidRPr="00870580" w:rsidRDefault="008B283A" w:rsidP="00820D75">
            <w:pPr>
              <w:jc w:val="center"/>
              <w:rPr>
                <w:b/>
              </w:rPr>
            </w:pPr>
            <w:r w:rsidRPr="00870580">
              <w:rPr>
                <w:b/>
              </w:rPr>
              <w:t>Máximo</w:t>
            </w:r>
          </w:p>
        </w:tc>
        <w:tc>
          <w:tcPr>
            <w:tcW w:w="954" w:type="pct"/>
            <w:tcBorders>
              <w:top w:val="single" w:sz="12" w:space="0" w:color="auto"/>
              <w:bottom w:val="single" w:sz="12" w:space="0" w:color="auto"/>
            </w:tcBorders>
            <w:shd w:val="clear" w:color="auto" w:fill="auto"/>
            <w:vAlign w:val="center"/>
          </w:tcPr>
          <w:p w14:paraId="06760A0A" w14:textId="77777777" w:rsidR="008B283A" w:rsidRPr="00870580" w:rsidRDefault="008B283A" w:rsidP="00820D75">
            <w:pPr>
              <w:jc w:val="center"/>
              <w:rPr>
                <w:b/>
              </w:rPr>
            </w:pPr>
            <w:r w:rsidRPr="00870580">
              <w:rPr>
                <w:b/>
              </w:rPr>
              <w:t>Média</w:t>
            </w:r>
          </w:p>
        </w:tc>
        <w:tc>
          <w:tcPr>
            <w:tcW w:w="900" w:type="pct"/>
            <w:tcBorders>
              <w:top w:val="single" w:sz="12" w:space="0" w:color="auto"/>
              <w:bottom w:val="single" w:sz="12" w:space="0" w:color="auto"/>
            </w:tcBorders>
            <w:shd w:val="clear" w:color="auto" w:fill="auto"/>
            <w:vAlign w:val="center"/>
          </w:tcPr>
          <w:p w14:paraId="06760A0B" w14:textId="77777777" w:rsidR="008B283A" w:rsidRPr="00870580" w:rsidRDefault="008B283A" w:rsidP="00820D75">
            <w:pPr>
              <w:jc w:val="center"/>
              <w:rPr>
                <w:b/>
              </w:rPr>
            </w:pPr>
            <w:r w:rsidRPr="00870580">
              <w:rPr>
                <w:b/>
              </w:rPr>
              <w:t>Desvio-Padrão</w:t>
            </w:r>
          </w:p>
        </w:tc>
      </w:tr>
      <w:tr w:rsidR="008B283A" w:rsidRPr="00870580" w14:paraId="06760A13" w14:textId="77777777" w:rsidTr="008B6EAF">
        <w:trPr>
          <w:trHeight w:hRule="exact" w:val="284"/>
        </w:trPr>
        <w:tc>
          <w:tcPr>
            <w:tcW w:w="1012" w:type="pct"/>
            <w:tcBorders>
              <w:top w:val="single" w:sz="12" w:space="0" w:color="auto"/>
              <w:bottom w:val="single" w:sz="4" w:space="0" w:color="auto"/>
            </w:tcBorders>
          </w:tcPr>
          <w:p w14:paraId="06760A0D" w14:textId="77777777" w:rsidR="008B283A" w:rsidRPr="00870580" w:rsidRDefault="008B283A" w:rsidP="00820D75">
            <w:pPr>
              <w:rPr>
                <w:bCs/>
              </w:rPr>
            </w:pPr>
            <w:proofErr w:type="spellStart"/>
            <w:r w:rsidRPr="00870580">
              <w:rPr>
                <w:bCs/>
              </w:rPr>
              <w:t>SpreadAno</w:t>
            </w:r>
            <w:proofErr w:type="spellEnd"/>
          </w:p>
          <w:p w14:paraId="06760A0E" w14:textId="77777777" w:rsidR="008B283A" w:rsidRPr="00870580" w:rsidRDefault="008B283A" w:rsidP="00820D75">
            <w:pPr>
              <w:rPr>
                <w:vertAlign w:val="subscript"/>
              </w:rPr>
            </w:pPr>
          </w:p>
        </w:tc>
        <w:tc>
          <w:tcPr>
            <w:tcW w:w="915" w:type="pct"/>
            <w:tcBorders>
              <w:top w:val="single" w:sz="12" w:space="0" w:color="auto"/>
              <w:bottom w:val="single" w:sz="4" w:space="0" w:color="auto"/>
            </w:tcBorders>
            <w:vAlign w:val="center"/>
          </w:tcPr>
          <w:p w14:paraId="06760A0F" w14:textId="77777777" w:rsidR="008B283A" w:rsidRPr="00870580" w:rsidRDefault="008B283A" w:rsidP="00820D75">
            <w:pPr>
              <w:jc w:val="center"/>
            </w:pPr>
            <w:r w:rsidRPr="00870580">
              <w:t xml:space="preserve">0,0011    </w:t>
            </w:r>
          </w:p>
        </w:tc>
        <w:tc>
          <w:tcPr>
            <w:tcW w:w="1219" w:type="pct"/>
            <w:tcBorders>
              <w:top w:val="single" w:sz="12" w:space="0" w:color="auto"/>
              <w:bottom w:val="single" w:sz="4" w:space="0" w:color="auto"/>
            </w:tcBorders>
            <w:vAlign w:val="center"/>
          </w:tcPr>
          <w:p w14:paraId="06760A10" w14:textId="77777777" w:rsidR="008B283A" w:rsidRPr="00870580" w:rsidRDefault="008B283A" w:rsidP="00820D75">
            <w:pPr>
              <w:jc w:val="center"/>
            </w:pPr>
            <w:r w:rsidRPr="00870580">
              <w:t>0,0141</w:t>
            </w:r>
          </w:p>
        </w:tc>
        <w:tc>
          <w:tcPr>
            <w:tcW w:w="954" w:type="pct"/>
            <w:tcBorders>
              <w:top w:val="single" w:sz="12" w:space="0" w:color="auto"/>
              <w:bottom w:val="single" w:sz="4" w:space="0" w:color="auto"/>
            </w:tcBorders>
            <w:vAlign w:val="center"/>
          </w:tcPr>
          <w:p w14:paraId="06760A11" w14:textId="77777777" w:rsidR="008B283A" w:rsidRPr="00870580" w:rsidRDefault="008B283A" w:rsidP="00820D75">
            <w:pPr>
              <w:jc w:val="center"/>
            </w:pPr>
            <w:r w:rsidRPr="00870580">
              <w:rPr>
                <w:lang w:val="en-US"/>
              </w:rPr>
              <w:t xml:space="preserve">0,0046    </w:t>
            </w:r>
          </w:p>
        </w:tc>
        <w:tc>
          <w:tcPr>
            <w:tcW w:w="900" w:type="pct"/>
            <w:tcBorders>
              <w:top w:val="single" w:sz="12" w:space="0" w:color="auto"/>
              <w:bottom w:val="single" w:sz="4" w:space="0" w:color="auto"/>
            </w:tcBorders>
            <w:vAlign w:val="center"/>
          </w:tcPr>
          <w:p w14:paraId="06760A12" w14:textId="77777777" w:rsidR="008B283A" w:rsidRPr="00870580" w:rsidRDefault="008B283A" w:rsidP="00820D75">
            <w:pPr>
              <w:jc w:val="center"/>
            </w:pPr>
            <w:r w:rsidRPr="00870580">
              <w:t xml:space="preserve">0,0031    </w:t>
            </w:r>
          </w:p>
        </w:tc>
      </w:tr>
      <w:tr w:rsidR="008B283A" w:rsidRPr="00870580" w14:paraId="06760A1A" w14:textId="77777777" w:rsidTr="008B6EAF">
        <w:trPr>
          <w:trHeight w:hRule="exact" w:val="284"/>
        </w:trPr>
        <w:tc>
          <w:tcPr>
            <w:tcW w:w="1012" w:type="pct"/>
            <w:tcBorders>
              <w:top w:val="single" w:sz="4" w:space="0" w:color="auto"/>
              <w:bottom w:val="single" w:sz="4" w:space="0" w:color="auto"/>
            </w:tcBorders>
          </w:tcPr>
          <w:p w14:paraId="06760A14" w14:textId="77777777" w:rsidR="008B283A" w:rsidRPr="00870580" w:rsidRDefault="008B283A" w:rsidP="00820D75">
            <w:pPr>
              <w:rPr>
                <w:bCs/>
              </w:rPr>
            </w:pPr>
            <w:r w:rsidRPr="00870580">
              <w:rPr>
                <w:bCs/>
              </w:rPr>
              <w:t>Spread3m</w:t>
            </w:r>
          </w:p>
          <w:p w14:paraId="06760A15" w14:textId="77777777" w:rsidR="008B283A" w:rsidRPr="00870580" w:rsidRDefault="008B283A" w:rsidP="00820D75">
            <w:pPr>
              <w:rPr>
                <w:bCs/>
              </w:rPr>
            </w:pPr>
            <w:r w:rsidRPr="00870580">
              <w:rPr>
                <w:bCs/>
              </w:rPr>
              <w:t>RS</w:t>
            </w:r>
          </w:p>
        </w:tc>
        <w:tc>
          <w:tcPr>
            <w:tcW w:w="915" w:type="pct"/>
            <w:tcBorders>
              <w:top w:val="single" w:sz="4" w:space="0" w:color="auto"/>
              <w:bottom w:val="single" w:sz="4" w:space="0" w:color="auto"/>
            </w:tcBorders>
            <w:vAlign w:val="center"/>
          </w:tcPr>
          <w:p w14:paraId="06760A16" w14:textId="77777777" w:rsidR="008B283A" w:rsidRPr="00870580" w:rsidRDefault="008B283A" w:rsidP="00820D75">
            <w:pPr>
              <w:jc w:val="center"/>
              <w:rPr>
                <w:color w:val="000000"/>
              </w:rPr>
            </w:pPr>
            <w:r w:rsidRPr="00870580">
              <w:t xml:space="preserve">0,0007   </w:t>
            </w:r>
          </w:p>
        </w:tc>
        <w:tc>
          <w:tcPr>
            <w:tcW w:w="1219" w:type="pct"/>
            <w:tcBorders>
              <w:top w:val="single" w:sz="4" w:space="0" w:color="auto"/>
              <w:bottom w:val="single" w:sz="4" w:space="0" w:color="auto"/>
            </w:tcBorders>
            <w:vAlign w:val="center"/>
          </w:tcPr>
          <w:p w14:paraId="06760A17" w14:textId="77777777" w:rsidR="008B283A" w:rsidRPr="00870580" w:rsidRDefault="008B283A" w:rsidP="00820D75">
            <w:pPr>
              <w:jc w:val="center"/>
              <w:rPr>
                <w:color w:val="000000"/>
              </w:rPr>
            </w:pPr>
            <w:r w:rsidRPr="00870580">
              <w:t>0,0126</w:t>
            </w:r>
          </w:p>
        </w:tc>
        <w:tc>
          <w:tcPr>
            <w:tcW w:w="954" w:type="pct"/>
            <w:tcBorders>
              <w:top w:val="single" w:sz="4" w:space="0" w:color="auto"/>
              <w:bottom w:val="single" w:sz="4" w:space="0" w:color="auto"/>
            </w:tcBorders>
            <w:vAlign w:val="center"/>
          </w:tcPr>
          <w:p w14:paraId="06760A18" w14:textId="77777777" w:rsidR="008B283A" w:rsidRPr="00870580" w:rsidRDefault="008B283A" w:rsidP="00820D75">
            <w:pPr>
              <w:jc w:val="center"/>
              <w:rPr>
                <w:color w:val="000000"/>
              </w:rPr>
            </w:pPr>
            <w:r w:rsidRPr="00870580">
              <w:rPr>
                <w:lang w:val="en-US"/>
              </w:rPr>
              <w:t xml:space="preserve">0,0034    </w:t>
            </w:r>
          </w:p>
        </w:tc>
        <w:tc>
          <w:tcPr>
            <w:tcW w:w="900" w:type="pct"/>
            <w:tcBorders>
              <w:top w:val="single" w:sz="4" w:space="0" w:color="auto"/>
              <w:bottom w:val="single" w:sz="4" w:space="0" w:color="auto"/>
            </w:tcBorders>
            <w:vAlign w:val="center"/>
          </w:tcPr>
          <w:p w14:paraId="06760A19" w14:textId="77777777" w:rsidR="008B283A" w:rsidRPr="00870580" w:rsidRDefault="008B283A" w:rsidP="00820D75">
            <w:pPr>
              <w:jc w:val="center"/>
              <w:rPr>
                <w:color w:val="000000"/>
              </w:rPr>
            </w:pPr>
            <w:r w:rsidRPr="00870580">
              <w:t xml:space="preserve">0,0016   </w:t>
            </w:r>
          </w:p>
        </w:tc>
      </w:tr>
      <w:tr w:rsidR="008B283A" w:rsidRPr="00870580" w14:paraId="06760A21" w14:textId="77777777" w:rsidTr="008B6EAF">
        <w:trPr>
          <w:trHeight w:hRule="exact" w:val="284"/>
        </w:trPr>
        <w:tc>
          <w:tcPr>
            <w:tcW w:w="1012" w:type="pct"/>
            <w:tcBorders>
              <w:top w:val="single" w:sz="4" w:space="0" w:color="auto"/>
              <w:bottom w:val="single" w:sz="4" w:space="0" w:color="auto"/>
            </w:tcBorders>
          </w:tcPr>
          <w:p w14:paraId="06760A1B" w14:textId="77777777" w:rsidR="008B283A" w:rsidRPr="00870580" w:rsidRDefault="008B283A" w:rsidP="00820D75">
            <w:pPr>
              <w:rPr>
                <w:bCs/>
              </w:rPr>
            </w:pPr>
            <w:r w:rsidRPr="00870580">
              <w:rPr>
                <w:bCs/>
              </w:rPr>
              <w:t>Spread6m</w:t>
            </w:r>
          </w:p>
          <w:p w14:paraId="06760A1C" w14:textId="77777777" w:rsidR="008B283A" w:rsidRPr="00870580" w:rsidRDefault="008B283A" w:rsidP="00820D75">
            <w:pPr>
              <w:rPr>
                <w:bCs/>
              </w:rPr>
            </w:pPr>
            <w:r w:rsidRPr="00870580">
              <w:rPr>
                <w:bCs/>
              </w:rPr>
              <w:t>R</w:t>
            </w:r>
          </w:p>
        </w:tc>
        <w:tc>
          <w:tcPr>
            <w:tcW w:w="915" w:type="pct"/>
            <w:tcBorders>
              <w:top w:val="single" w:sz="4" w:space="0" w:color="auto"/>
              <w:bottom w:val="single" w:sz="4" w:space="0" w:color="auto"/>
            </w:tcBorders>
            <w:vAlign w:val="center"/>
          </w:tcPr>
          <w:p w14:paraId="06760A1D" w14:textId="77777777" w:rsidR="008B283A" w:rsidRPr="00870580" w:rsidRDefault="008B283A" w:rsidP="00820D75">
            <w:pPr>
              <w:jc w:val="center"/>
              <w:rPr>
                <w:color w:val="000000"/>
              </w:rPr>
            </w:pPr>
            <w:r w:rsidRPr="00870580">
              <w:t xml:space="preserve">0,0009   </w:t>
            </w:r>
          </w:p>
        </w:tc>
        <w:tc>
          <w:tcPr>
            <w:tcW w:w="1219" w:type="pct"/>
            <w:tcBorders>
              <w:top w:val="single" w:sz="4" w:space="0" w:color="auto"/>
              <w:bottom w:val="single" w:sz="4" w:space="0" w:color="auto"/>
            </w:tcBorders>
            <w:vAlign w:val="center"/>
          </w:tcPr>
          <w:p w14:paraId="06760A1E" w14:textId="77777777" w:rsidR="008B283A" w:rsidRPr="00870580" w:rsidRDefault="008B283A" w:rsidP="00820D75">
            <w:pPr>
              <w:jc w:val="center"/>
              <w:rPr>
                <w:color w:val="000000"/>
              </w:rPr>
            </w:pPr>
            <w:r w:rsidRPr="00870580">
              <w:t>0,0084</w:t>
            </w:r>
          </w:p>
        </w:tc>
        <w:tc>
          <w:tcPr>
            <w:tcW w:w="954" w:type="pct"/>
            <w:tcBorders>
              <w:top w:val="single" w:sz="4" w:space="0" w:color="auto"/>
              <w:bottom w:val="single" w:sz="4" w:space="0" w:color="auto"/>
            </w:tcBorders>
            <w:vAlign w:val="center"/>
          </w:tcPr>
          <w:p w14:paraId="06760A1F" w14:textId="77777777" w:rsidR="008B283A" w:rsidRPr="00870580" w:rsidRDefault="008B283A" w:rsidP="00820D75">
            <w:pPr>
              <w:jc w:val="center"/>
              <w:rPr>
                <w:color w:val="000000"/>
              </w:rPr>
            </w:pPr>
            <w:r w:rsidRPr="00870580">
              <w:rPr>
                <w:lang w:val="en-US"/>
              </w:rPr>
              <w:t xml:space="preserve">0,0033    </w:t>
            </w:r>
          </w:p>
        </w:tc>
        <w:tc>
          <w:tcPr>
            <w:tcW w:w="900" w:type="pct"/>
            <w:tcBorders>
              <w:top w:val="single" w:sz="4" w:space="0" w:color="auto"/>
              <w:bottom w:val="single" w:sz="4" w:space="0" w:color="auto"/>
            </w:tcBorders>
            <w:vAlign w:val="center"/>
          </w:tcPr>
          <w:p w14:paraId="06760A20" w14:textId="77777777" w:rsidR="008B283A" w:rsidRPr="00870580" w:rsidRDefault="008B283A" w:rsidP="00820D75">
            <w:pPr>
              <w:jc w:val="center"/>
              <w:rPr>
                <w:color w:val="000000"/>
              </w:rPr>
            </w:pPr>
            <w:r w:rsidRPr="00870580">
              <w:t xml:space="preserve">0,0013   </w:t>
            </w:r>
          </w:p>
        </w:tc>
      </w:tr>
      <w:tr w:rsidR="008B283A" w:rsidRPr="00870580" w14:paraId="06760A27" w14:textId="77777777" w:rsidTr="008B6EAF">
        <w:trPr>
          <w:trHeight w:hRule="exact" w:val="284"/>
        </w:trPr>
        <w:tc>
          <w:tcPr>
            <w:tcW w:w="1012" w:type="pct"/>
            <w:tcBorders>
              <w:top w:val="single" w:sz="4" w:space="0" w:color="auto"/>
              <w:bottom w:val="single" w:sz="4" w:space="0" w:color="auto"/>
            </w:tcBorders>
          </w:tcPr>
          <w:p w14:paraId="06760A22" w14:textId="77777777" w:rsidR="008B283A" w:rsidRPr="00870580" w:rsidRDefault="008B283A" w:rsidP="00820D75">
            <w:pPr>
              <w:rPr>
                <w:bCs/>
              </w:rPr>
            </w:pPr>
            <w:r w:rsidRPr="00870580">
              <w:rPr>
                <w:bCs/>
              </w:rPr>
              <w:t>IND</w:t>
            </w:r>
          </w:p>
        </w:tc>
        <w:tc>
          <w:tcPr>
            <w:tcW w:w="915" w:type="pct"/>
            <w:tcBorders>
              <w:top w:val="single" w:sz="4" w:space="0" w:color="auto"/>
              <w:bottom w:val="single" w:sz="4" w:space="0" w:color="auto"/>
            </w:tcBorders>
            <w:vAlign w:val="center"/>
          </w:tcPr>
          <w:p w14:paraId="06760A23" w14:textId="77777777" w:rsidR="008B283A" w:rsidRPr="00870580" w:rsidRDefault="008B283A" w:rsidP="00820D75">
            <w:pPr>
              <w:jc w:val="center"/>
              <w:rPr>
                <w:color w:val="000000"/>
              </w:rPr>
            </w:pPr>
            <w:r w:rsidRPr="00870580">
              <w:rPr>
                <w:rFonts w:eastAsia="Calibri"/>
              </w:rPr>
              <w:t>0,0000</w:t>
            </w:r>
          </w:p>
        </w:tc>
        <w:tc>
          <w:tcPr>
            <w:tcW w:w="1219" w:type="pct"/>
            <w:tcBorders>
              <w:top w:val="single" w:sz="4" w:space="0" w:color="auto"/>
              <w:bottom w:val="single" w:sz="4" w:space="0" w:color="auto"/>
            </w:tcBorders>
            <w:vAlign w:val="center"/>
          </w:tcPr>
          <w:p w14:paraId="06760A24" w14:textId="77777777" w:rsidR="008B283A" w:rsidRPr="00870580" w:rsidRDefault="008B283A" w:rsidP="00820D75">
            <w:pPr>
              <w:jc w:val="center"/>
              <w:rPr>
                <w:color w:val="000000"/>
              </w:rPr>
            </w:pPr>
            <w:r w:rsidRPr="00870580">
              <w:rPr>
                <w:rFonts w:eastAsia="Calibri"/>
              </w:rPr>
              <w:t>1,0000</w:t>
            </w:r>
          </w:p>
        </w:tc>
        <w:tc>
          <w:tcPr>
            <w:tcW w:w="954" w:type="pct"/>
            <w:tcBorders>
              <w:top w:val="single" w:sz="4" w:space="0" w:color="auto"/>
              <w:bottom w:val="single" w:sz="4" w:space="0" w:color="auto"/>
            </w:tcBorders>
            <w:vAlign w:val="center"/>
          </w:tcPr>
          <w:p w14:paraId="06760A25" w14:textId="77777777" w:rsidR="008B283A" w:rsidRPr="00870580" w:rsidRDefault="008B283A" w:rsidP="00820D75">
            <w:pPr>
              <w:jc w:val="center"/>
              <w:rPr>
                <w:color w:val="000000"/>
              </w:rPr>
            </w:pPr>
            <w:r w:rsidRPr="00870580">
              <w:t xml:space="preserve">0,7393    </w:t>
            </w:r>
          </w:p>
        </w:tc>
        <w:tc>
          <w:tcPr>
            <w:tcW w:w="900" w:type="pct"/>
            <w:tcBorders>
              <w:top w:val="single" w:sz="4" w:space="0" w:color="auto"/>
              <w:bottom w:val="single" w:sz="4" w:space="0" w:color="auto"/>
            </w:tcBorders>
            <w:vAlign w:val="center"/>
          </w:tcPr>
          <w:p w14:paraId="06760A26" w14:textId="77777777" w:rsidR="008B283A" w:rsidRPr="00870580" w:rsidRDefault="008B283A" w:rsidP="00820D75">
            <w:pPr>
              <w:jc w:val="center"/>
              <w:rPr>
                <w:color w:val="000000"/>
              </w:rPr>
            </w:pPr>
            <w:r w:rsidRPr="00870580">
              <w:t xml:space="preserve">0,4400          </w:t>
            </w:r>
          </w:p>
        </w:tc>
      </w:tr>
      <w:tr w:rsidR="008B283A" w:rsidRPr="00870580" w14:paraId="06760A2D" w14:textId="77777777" w:rsidTr="008B6EAF">
        <w:trPr>
          <w:trHeight w:hRule="exact" w:val="284"/>
        </w:trPr>
        <w:tc>
          <w:tcPr>
            <w:tcW w:w="1012" w:type="pct"/>
            <w:tcBorders>
              <w:top w:val="single" w:sz="4" w:space="0" w:color="auto"/>
              <w:bottom w:val="single" w:sz="4" w:space="0" w:color="auto"/>
            </w:tcBorders>
          </w:tcPr>
          <w:p w14:paraId="06760A28" w14:textId="77777777" w:rsidR="008B283A" w:rsidRPr="00870580" w:rsidRDefault="008B283A" w:rsidP="00820D75">
            <w:pPr>
              <w:rPr>
                <w:bCs/>
              </w:rPr>
            </w:pPr>
            <w:r w:rsidRPr="00870580">
              <w:rPr>
                <w:bCs/>
              </w:rPr>
              <w:t>EXP</w:t>
            </w:r>
          </w:p>
        </w:tc>
        <w:tc>
          <w:tcPr>
            <w:tcW w:w="915" w:type="pct"/>
            <w:tcBorders>
              <w:top w:val="single" w:sz="4" w:space="0" w:color="auto"/>
              <w:bottom w:val="single" w:sz="4" w:space="0" w:color="auto"/>
            </w:tcBorders>
            <w:vAlign w:val="center"/>
          </w:tcPr>
          <w:p w14:paraId="06760A29" w14:textId="77777777" w:rsidR="008B283A" w:rsidRPr="00870580" w:rsidRDefault="008B283A" w:rsidP="00820D75">
            <w:pPr>
              <w:jc w:val="center"/>
              <w:rPr>
                <w:rFonts w:eastAsia="Calibri"/>
              </w:rPr>
            </w:pPr>
            <w:r w:rsidRPr="00870580">
              <w:rPr>
                <w:rFonts w:eastAsia="Calibri"/>
              </w:rPr>
              <w:t>0,0000</w:t>
            </w:r>
          </w:p>
        </w:tc>
        <w:tc>
          <w:tcPr>
            <w:tcW w:w="1219" w:type="pct"/>
            <w:tcBorders>
              <w:top w:val="single" w:sz="4" w:space="0" w:color="auto"/>
              <w:bottom w:val="single" w:sz="4" w:space="0" w:color="auto"/>
            </w:tcBorders>
            <w:vAlign w:val="center"/>
          </w:tcPr>
          <w:p w14:paraId="06760A2A" w14:textId="77777777" w:rsidR="008B283A" w:rsidRPr="00870580" w:rsidRDefault="008B283A" w:rsidP="00820D75">
            <w:pPr>
              <w:jc w:val="center"/>
              <w:rPr>
                <w:rFonts w:eastAsia="Calibri"/>
              </w:rPr>
            </w:pPr>
            <w:r w:rsidRPr="00870580">
              <w:rPr>
                <w:rFonts w:eastAsia="Calibri"/>
              </w:rPr>
              <w:t>1,0000</w:t>
            </w:r>
          </w:p>
        </w:tc>
        <w:tc>
          <w:tcPr>
            <w:tcW w:w="954" w:type="pct"/>
            <w:tcBorders>
              <w:top w:val="single" w:sz="4" w:space="0" w:color="auto"/>
              <w:bottom w:val="single" w:sz="4" w:space="0" w:color="auto"/>
            </w:tcBorders>
            <w:vAlign w:val="center"/>
          </w:tcPr>
          <w:p w14:paraId="06760A2B" w14:textId="77777777" w:rsidR="008B283A" w:rsidRPr="00870580" w:rsidRDefault="008B283A" w:rsidP="00820D75">
            <w:pPr>
              <w:jc w:val="center"/>
            </w:pPr>
            <w:r w:rsidRPr="00870580">
              <w:t xml:space="preserve">0,3080    </w:t>
            </w:r>
          </w:p>
        </w:tc>
        <w:tc>
          <w:tcPr>
            <w:tcW w:w="900" w:type="pct"/>
            <w:tcBorders>
              <w:top w:val="single" w:sz="4" w:space="0" w:color="auto"/>
              <w:bottom w:val="single" w:sz="4" w:space="0" w:color="auto"/>
            </w:tcBorders>
            <w:vAlign w:val="center"/>
          </w:tcPr>
          <w:p w14:paraId="06760A2C" w14:textId="77777777" w:rsidR="008B283A" w:rsidRPr="00870580" w:rsidRDefault="008B283A" w:rsidP="00820D75">
            <w:pPr>
              <w:jc w:val="center"/>
              <w:rPr>
                <w:rFonts w:eastAsia="Calibri"/>
              </w:rPr>
            </w:pPr>
            <w:r w:rsidRPr="00870580">
              <w:t xml:space="preserve">0,4627         </w:t>
            </w:r>
          </w:p>
        </w:tc>
      </w:tr>
      <w:tr w:rsidR="008B283A" w:rsidRPr="00870580" w14:paraId="06760A33" w14:textId="77777777" w:rsidTr="008B6EAF">
        <w:trPr>
          <w:trHeight w:hRule="exact" w:val="284"/>
        </w:trPr>
        <w:tc>
          <w:tcPr>
            <w:tcW w:w="1012" w:type="pct"/>
            <w:tcBorders>
              <w:top w:val="single" w:sz="4" w:space="0" w:color="auto"/>
              <w:bottom w:val="single" w:sz="4" w:space="0" w:color="auto"/>
            </w:tcBorders>
          </w:tcPr>
          <w:p w14:paraId="06760A2E" w14:textId="77777777" w:rsidR="008B283A" w:rsidRPr="00870580" w:rsidRDefault="008B283A" w:rsidP="00820D75">
            <w:pPr>
              <w:rPr>
                <w:vertAlign w:val="subscript"/>
              </w:rPr>
            </w:pPr>
            <w:r w:rsidRPr="00870580">
              <w:rPr>
                <w:bCs/>
              </w:rPr>
              <w:t>TAM</w:t>
            </w:r>
          </w:p>
        </w:tc>
        <w:tc>
          <w:tcPr>
            <w:tcW w:w="915" w:type="pct"/>
            <w:tcBorders>
              <w:top w:val="single" w:sz="4" w:space="0" w:color="auto"/>
              <w:bottom w:val="single" w:sz="4" w:space="0" w:color="auto"/>
            </w:tcBorders>
            <w:vAlign w:val="center"/>
          </w:tcPr>
          <w:p w14:paraId="06760A2F" w14:textId="77777777" w:rsidR="008B283A" w:rsidRPr="00870580" w:rsidRDefault="008B283A" w:rsidP="00820D75">
            <w:pPr>
              <w:jc w:val="center"/>
            </w:pPr>
            <w:r w:rsidRPr="00870580">
              <w:rPr>
                <w:lang w:val="en-US"/>
              </w:rPr>
              <w:t xml:space="preserve">19,5258    </w:t>
            </w:r>
          </w:p>
        </w:tc>
        <w:tc>
          <w:tcPr>
            <w:tcW w:w="1219" w:type="pct"/>
            <w:tcBorders>
              <w:top w:val="single" w:sz="4" w:space="0" w:color="auto"/>
              <w:bottom w:val="single" w:sz="4" w:space="0" w:color="auto"/>
            </w:tcBorders>
            <w:vAlign w:val="center"/>
          </w:tcPr>
          <w:p w14:paraId="06760A30" w14:textId="77777777" w:rsidR="008B283A" w:rsidRPr="00870580" w:rsidRDefault="008B283A" w:rsidP="00820D75">
            <w:pPr>
              <w:jc w:val="center"/>
            </w:pPr>
            <w:r w:rsidRPr="00870580">
              <w:t>26,9333</w:t>
            </w:r>
          </w:p>
        </w:tc>
        <w:tc>
          <w:tcPr>
            <w:tcW w:w="954" w:type="pct"/>
            <w:tcBorders>
              <w:top w:val="single" w:sz="4" w:space="0" w:color="auto"/>
              <w:bottom w:val="single" w:sz="4" w:space="0" w:color="auto"/>
            </w:tcBorders>
            <w:vAlign w:val="center"/>
          </w:tcPr>
          <w:p w14:paraId="06760A31" w14:textId="77777777" w:rsidR="008B283A" w:rsidRPr="00870580" w:rsidRDefault="008B283A" w:rsidP="00820D75">
            <w:pPr>
              <w:jc w:val="center"/>
            </w:pPr>
            <w:r w:rsidRPr="00870580">
              <w:t xml:space="preserve">22,743    </w:t>
            </w:r>
          </w:p>
        </w:tc>
        <w:tc>
          <w:tcPr>
            <w:tcW w:w="900" w:type="pct"/>
            <w:tcBorders>
              <w:top w:val="single" w:sz="4" w:space="0" w:color="auto"/>
              <w:bottom w:val="single" w:sz="4" w:space="0" w:color="auto"/>
            </w:tcBorders>
            <w:vAlign w:val="center"/>
          </w:tcPr>
          <w:p w14:paraId="06760A32" w14:textId="77777777" w:rsidR="008B283A" w:rsidRPr="00870580" w:rsidRDefault="008B283A" w:rsidP="00820D75">
            <w:pPr>
              <w:jc w:val="center"/>
            </w:pPr>
            <w:r w:rsidRPr="00870580">
              <w:t xml:space="preserve">1,5703   </w:t>
            </w:r>
          </w:p>
        </w:tc>
      </w:tr>
      <w:tr w:rsidR="008B283A" w:rsidRPr="00870580" w14:paraId="06760A39" w14:textId="77777777" w:rsidTr="008B6EAF">
        <w:trPr>
          <w:trHeight w:hRule="exact" w:val="284"/>
        </w:trPr>
        <w:tc>
          <w:tcPr>
            <w:tcW w:w="1012" w:type="pct"/>
            <w:tcBorders>
              <w:top w:val="single" w:sz="4" w:space="0" w:color="auto"/>
              <w:bottom w:val="single" w:sz="4" w:space="0" w:color="auto"/>
            </w:tcBorders>
          </w:tcPr>
          <w:p w14:paraId="06760A34" w14:textId="77777777" w:rsidR="008B283A" w:rsidRPr="00870580" w:rsidRDefault="008B283A" w:rsidP="00820D75">
            <w:r w:rsidRPr="00870580">
              <w:t>ROE</w:t>
            </w:r>
          </w:p>
        </w:tc>
        <w:tc>
          <w:tcPr>
            <w:tcW w:w="915" w:type="pct"/>
            <w:tcBorders>
              <w:top w:val="single" w:sz="4" w:space="0" w:color="auto"/>
              <w:bottom w:val="single" w:sz="4" w:space="0" w:color="auto"/>
            </w:tcBorders>
            <w:vAlign w:val="center"/>
          </w:tcPr>
          <w:p w14:paraId="06760A35" w14:textId="77777777" w:rsidR="008B283A" w:rsidRPr="00870580" w:rsidRDefault="008B283A" w:rsidP="00820D75">
            <w:pPr>
              <w:jc w:val="center"/>
            </w:pPr>
            <w:r w:rsidRPr="00870580">
              <w:t xml:space="preserve">-0,4473   </w:t>
            </w:r>
          </w:p>
        </w:tc>
        <w:tc>
          <w:tcPr>
            <w:tcW w:w="1219" w:type="pct"/>
            <w:tcBorders>
              <w:top w:val="single" w:sz="4" w:space="0" w:color="auto"/>
              <w:bottom w:val="single" w:sz="4" w:space="0" w:color="auto"/>
            </w:tcBorders>
            <w:vAlign w:val="center"/>
          </w:tcPr>
          <w:p w14:paraId="06760A36" w14:textId="77777777" w:rsidR="008B283A" w:rsidRPr="00870580" w:rsidRDefault="008B283A" w:rsidP="00820D75">
            <w:pPr>
              <w:jc w:val="center"/>
            </w:pPr>
            <w:r w:rsidRPr="00870580">
              <w:t>1,1847</w:t>
            </w:r>
          </w:p>
        </w:tc>
        <w:tc>
          <w:tcPr>
            <w:tcW w:w="954" w:type="pct"/>
            <w:tcBorders>
              <w:top w:val="single" w:sz="4" w:space="0" w:color="auto"/>
              <w:bottom w:val="single" w:sz="4" w:space="0" w:color="auto"/>
            </w:tcBorders>
            <w:vAlign w:val="center"/>
          </w:tcPr>
          <w:p w14:paraId="06760A37" w14:textId="77777777" w:rsidR="008B283A" w:rsidRPr="00870580" w:rsidRDefault="008B283A" w:rsidP="00820D75">
            <w:pPr>
              <w:jc w:val="center"/>
            </w:pPr>
            <w:r w:rsidRPr="00870580">
              <w:t xml:space="preserve">0,2174    </w:t>
            </w:r>
          </w:p>
        </w:tc>
        <w:tc>
          <w:tcPr>
            <w:tcW w:w="900" w:type="pct"/>
            <w:tcBorders>
              <w:top w:val="single" w:sz="4" w:space="0" w:color="auto"/>
              <w:bottom w:val="single" w:sz="4" w:space="0" w:color="auto"/>
            </w:tcBorders>
            <w:vAlign w:val="center"/>
          </w:tcPr>
          <w:p w14:paraId="06760A38" w14:textId="77777777" w:rsidR="008B283A" w:rsidRPr="00870580" w:rsidRDefault="008B283A" w:rsidP="00820D75">
            <w:pPr>
              <w:jc w:val="center"/>
            </w:pPr>
            <w:r w:rsidRPr="00870580">
              <w:t xml:space="preserve">0,2096  </w:t>
            </w:r>
          </w:p>
        </w:tc>
      </w:tr>
      <w:tr w:rsidR="008B283A" w:rsidRPr="00870580" w14:paraId="06760A3F" w14:textId="77777777" w:rsidTr="008B6EAF">
        <w:trPr>
          <w:trHeight w:hRule="exact" w:val="284"/>
        </w:trPr>
        <w:tc>
          <w:tcPr>
            <w:tcW w:w="1012" w:type="pct"/>
            <w:tcBorders>
              <w:top w:val="single" w:sz="4" w:space="0" w:color="auto"/>
              <w:bottom w:val="single" w:sz="18" w:space="0" w:color="auto"/>
            </w:tcBorders>
          </w:tcPr>
          <w:p w14:paraId="06760A3A" w14:textId="77777777" w:rsidR="008B283A" w:rsidRPr="00870580" w:rsidRDefault="008B283A" w:rsidP="00820D75">
            <w:r w:rsidRPr="00870580">
              <w:t>END</w:t>
            </w:r>
          </w:p>
        </w:tc>
        <w:tc>
          <w:tcPr>
            <w:tcW w:w="915" w:type="pct"/>
            <w:tcBorders>
              <w:top w:val="single" w:sz="4" w:space="0" w:color="auto"/>
              <w:bottom w:val="single" w:sz="12" w:space="0" w:color="auto"/>
            </w:tcBorders>
            <w:vAlign w:val="center"/>
          </w:tcPr>
          <w:p w14:paraId="06760A3B" w14:textId="77777777" w:rsidR="008B283A" w:rsidRPr="00870580" w:rsidRDefault="008B283A" w:rsidP="00820D75">
            <w:pPr>
              <w:jc w:val="center"/>
              <w:rPr>
                <w:color w:val="000000"/>
              </w:rPr>
            </w:pPr>
            <w:r w:rsidRPr="00870580">
              <w:rPr>
                <w:lang w:val="en-US"/>
              </w:rPr>
              <w:t xml:space="preserve">0,1600   </w:t>
            </w:r>
          </w:p>
        </w:tc>
        <w:tc>
          <w:tcPr>
            <w:tcW w:w="1219" w:type="pct"/>
            <w:tcBorders>
              <w:top w:val="single" w:sz="4" w:space="0" w:color="auto"/>
              <w:bottom w:val="single" w:sz="12" w:space="0" w:color="auto"/>
            </w:tcBorders>
            <w:vAlign w:val="center"/>
          </w:tcPr>
          <w:p w14:paraId="06760A3C" w14:textId="77777777" w:rsidR="008B283A" w:rsidRPr="00870580" w:rsidRDefault="008B283A" w:rsidP="00820D75">
            <w:pPr>
              <w:jc w:val="center"/>
            </w:pPr>
            <w:r w:rsidRPr="00870580">
              <w:t>1,0519</w:t>
            </w:r>
          </w:p>
        </w:tc>
        <w:tc>
          <w:tcPr>
            <w:tcW w:w="954" w:type="pct"/>
            <w:tcBorders>
              <w:top w:val="single" w:sz="4" w:space="0" w:color="auto"/>
              <w:bottom w:val="single" w:sz="12" w:space="0" w:color="auto"/>
            </w:tcBorders>
            <w:vAlign w:val="center"/>
          </w:tcPr>
          <w:p w14:paraId="06760A3D" w14:textId="77777777" w:rsidR="008B283A" w:rsidRPr="00870580" w:rsidRDefault="008B283A" w:rsidP="00820D75">
            <w:pPr>
              <w:jc w:val="center"/>
            </w:pPr>
            <w:r w:rsidRPr="00870580">
              <w:rPr>
                <w:lang w:val="en-US"/>
              </w:rPr>
              <w:t xml:space="preserve">0,6190    </w:t>
            </w:r>
          </w:p>
        </w:tc>
        <w:tc>
          <w:tcPr>
            <w:tcW w:w="900" w:type="pct"/>
            <w:tcBorders>
              <w:top w:val="single" w:sz="4" w:space="0" w:color="auto"/>
              <w:bottom w:val="single" w:sz="12" w:space="0" w:color="auto"/>
            </w:tcBorders>
            <w:vAlign w:val="center"/>
          </w:tcPr>
          <w:p w14:paraId="06760A3E" w14:textId="77777777" w:rsidR="008B283A" w:rsidRPr="00870580" w:rsidRDefault="008B283A" w:rsidP="00820D75">
            <w:pPr>
              <w:jc w:val="center"/>
            </w:pPr>
            <w:r w:rsidRPr="00870580">
              <w:t xml:space="preserve">0,1966   </w:t>
            </w:r>
          </w:p>
        </w:tc>
      </w:tr>
    </w:tbl>
    <w:p w14:paraId="06760A40" w14:textId="77777777" w:rsidR="008B283A" w:rsidRPr="00870580" w:rsidRDefault="008B283A" w:rsidP="00820D75">
      <w:pPr>
        <w:autoSpaceDE w:val="0"/>
        <w:autoSpaceDN w:val="0"/>
        <w:adjustRightInd w:val="0"/>
        <w:jc w:val="both"/>
      </w:pPr>
      <w:r w:rsidRPr="00870580">
        <w:t>Fonte: Dados da pesquisa.</w:t>
      </w:r>
    </w:p>
    <w:p w14:paraId="06760A41" w14:textId="77777777" w:rsidR="008B283A" w:rsidRPr="00870580" w:rsidRDefault="008B283A" w:rsidP="00820D75">
      <w:pPr>
        <w:autoSpaceDE w:val="0"/>
        <w:autoSpaceDN w:val="0"/>
        <w:adjustRightInd w:val="0"/>
        <w:ind w:firstLine="708"/>
        <w:jc w:val="both"/>
        <w:rPr>
          <w:sz w:val="24"/>
          <w:szCs w:val="24"/>
        </w:rPr>
      </w:pPr>
    </w:p>
    <w:p w14:paraId="06760A42" w14:textId="517278F3" w:rsidR="008B283A" w:rsidRPr="00AA65FC" w:rsidRDefault="00497127" w:rsidP="00820D75">
      <w:pPr>
        <w:tabs>
          <w:tab w:val="left" w:pos="5529"/>
        </w:tabs>
        <w:autoSpaceDE w:val="0"/>
        <w:autoSpaceDN w:val="0"/>
        <w:adjustRightInd w:val="0"/>
        <w:ind w:firstLine="708"/>
        <w:jc w:val="both"/>
        <w:rPr>
          <w:sz w:val="24"/>
          <w:szCs w:val="24"/>
        </w:rPr>
      </w:pPr>
      <w:r>
        <w:rPr>
          <w:sz w:val="24"/>
          <w:szCs w:val="24"/>
        </w:rPr>
        <w:t>Observa</w:t>
      </w:r>
      <w:r w:rsidR="008B283A" w:rsidRPr="00870580">
        <w:rPr>
          <w:sz w:val="24"/>
          <w:szCs w:val="24"/>
        </w:rPr>
        <w:t>-se na Tabela 4</w:t>
      </w:r>
      <w:r>
        <w:rPr>
          <w:sz w:val="24"/>
          <w:szCs w:val="24"/>
        </w:rPr>
        <w:t xml:space="preserve"> </w:t>
      </w:r>
      <w:r w:rsidR="008B283A" w:rsidRPr="00AA65FC">
        <w:rPr>
          <w:sz w:val="24"/>
          <w:szCs w:val="24"/>
        </w:rPr>
        <w:t xml:space="preserve">que a assimetria se reduz consideravelmente desde o final do período até 6 meses após o final do período. Tal resultado, assim como o demonstrado pela média destas variáveis, pode ser decorrente de que nos meses após o final do período, a empresa é responsável por divulgar relatórios e demais informações, o que possivelmente reduz a assimetria de informação entre </w:t>
      </w:r>
      <w:r w:rsidR="008B283A">
        <w:rPr>
          <w:sz w:val="24"/>
          <w:szCs w:val="24"/>
        </w:rPr>
        <w:t xml:space="preserve">gestores </w:t>
      </w:r>
      <w:r w:rsidR="008B283A" w:rsidRPr="00AA65FC">
        <w:rPr>
          <w:sz w:val="24"/>
          <w:szCs w:val="24"/>
        </w:rPr>
        <w:t xml:space="preserve">e investidores nestes períodos subsequentes. </w:t>
      </w:r>
    </w:p>
    <w:p w14:paraId="06760A43" w14:textId="384A6502" w:rsidR="008B283A" w:rsidRPr="00AA65FC" w:rsidRDefault="008B283A" w:rsidP="003D3B3A">
      <w:pPr>
        <w:autoSpaceDE w:val="0"/>
        <w:autoSpaceDN w:val="0"/>
        <w:adjustRightInd w:val="0"/>
        <w:ind w:firstLine="709"/>
        <w:jc w:val="both"/>
        <w:rPr>
          <w:sz w:val="24"/>
          <w:szCs w:val="24"/>
        </w:rPr>
      </w:pPr>
      <w:r w:rsidRPr="00AA65FC">
        <w:rPr>
          <w:sz w:val="24"/>
          <w:szCs w:val="24"/>
        </w:rPr>
        <w:t xml:space="preserve">Com relação às variáveis independentes de independência e </w:t>
      </w:r>
      <w:r w:rsidRPr="00AA65FC">
        <w:rPr>
          <w:i/>
          <w:sz w:val="24"/>
          <w:szCs w:val="24"/>
        </w:rPr>
        <w:t>expertise</w:t>
      </w:r>
      <w:r w:rsidRPr="00AA65FC">
        <w:rPr>
          <w:sz w:val="24"/>
          <w:szCs w:val="24"/>
        </w:rPr>
        <w:t xml:space="preserve">, observa-se mediante a média, que a independência dos membros do </w:t>
      </w:r>
      <w:r w:rsidR="00C43367">
        <w:rPr>
          <w:sz w:val="24"/>
          <w:szCs w:val="24"/>
        </w:rPr>
        <w:t>CA</w:t>
      </w:r>
      <w:r w:rsidRPr="00AA65FC">
        <w:rPr>
          <w:sz w:val="24"/>
          <w:szCs w:val="24"/>
        </w:rPr>
        <w:t xml:space="preserve"> esteve presente em mais da metade </w:t>
      </w:r>
      <w:r w:rsidRPr="00AA65FC">
        <w:rPr>
          <w:sz w:val="24"/>
          <w:szCs w:val="24"/>
        </w:rPr>
        <w:lastRenderedPageBreak/>
        <w:t>das empresas (0</w:t>
      </w:r>
      <w:r w:rsidR="00497127">
        <w:rPr>
          <w:sz w:val="24"/>
          <w:szCs w:val="24"/>
        </w:rPr>
        <w:t>,</w:t>
      </w:r>
      <w:r w:rsidRPr="00AA65FC">
        <w:rPr>
          <w:sz w:val="24"/>
          <w:szCs w:val="24"/>
        </w:rPr>
        <w:t xml:space="preserve">7393), ao contrário da </w:t>
      </w:r>
      <w:r w:rsidRPr="00AA65FC">
        <w:rPr>
          <w:i/>
          <w:sz w:val="24"/>
          <w:szCs w:val="24"/>
        </w:rPr>
        <w:t>expertise</w:t>
      </w:r>
      <w:r w:rsidRPr="00AA65FC">
        <w:rPr>
          <w:sz w:val="24"/>
          <w:szCs w:val="24"/>
        </w:rPr>
        <w:t xml:space="preserve"> dos membros do comitê, que esteve presente em menos da metade das empresas (0</w:t>
      </w:r>
      <w:r w:rsidR="00497127">
        <w:rPr>
          <w:sz w:val="24"/>
          <w:szCs w:val="24"/>
        </w:rPr>
        <w:t>,</w:t>
      </w:r>
      <w:r w:rsidRPr="00AA65FC">
        <w:rPr>
          <w:sz w:val="24"/>
          <w:szCs w:val="24"/>
        </w:rPr>
        <w:t xml:space="preserve">3080). </w:t>
      </w:r>
    </w:p>
    <w:p w14:paraId="06760A44" w14:textId="3411A81D" w:rsidR="008B283A" w:rsidRPr="00AA65FC" w:rsidRDefault="008B283A" w:rsidP="00820D75">
      <w:pPr>
        <w:autoSpaceDE w:val="0"/>
        <w:autoSpaceDN w:val="0"/>
        <w:adjustRightInd w:val="0"/>
        <w:ind w:firstLine="720"/>
        <w:jc w:val="both"/>
        <w:rPr>
          <w:sz w:val="24"/>
          <w:szCs w:val="24"/>
        </w:rPr>
      </w:pPr>
      <w:r w:rsidRPr="00AA65FC">
        <w:rPr>
          <w:sz w:val="24"/>
          <w:szCs w:val="24"/>
        </w:rPr>
        <w:t xml:space="preserve">No que concerne as variáveis de controle, nota-se que em média, as empresas possuíam </w:t>
      </w:r>
      <w:r w:rsidR="00497127">
        <w:rPr>
          <w:sz w:val="24"/>
          <w:szCs w:val="24"/>
        </w:rPr>
        <w:t>ROE</w:t>
      </w:r>
      <w:r w:rsidRPr="00AA65FC">
        <w:rPr>
          <w:sz w:val="24"/>
          <w:szCs w:val="24"/>
        </w:rPr>
        <w:t xml:space="preserve"> de 0,2174, portanto, mostraram</w:t>
      </w:r>
      <w:bookmarkStart w:id="2" w:name="_GoBack"/>
      <w:bookmarkEnd w:id="2"/>
      <w:r w:rsidRPr="00AA65FC">
        <w:rPr>
          <w:sz w:val="24"/>
          <w:szCs w:val="24"/>
        </w:rPr>
        <w:t xml:space="preserve">-se rentáveis. Além disso, as empresas possuíam mais da metade do seu ativo total pertencente à capital de terceiros (0,6190). Observa-se, </w:t>
      </w:r>
      <w:r w:rsidRPr="00D87717">
        <w:rPr>
          <w:sz w:val="24"/>
          <w:szCs w:val="24"/>
        </w:rPr>
        <w:t xml:space="preserve">comparavelmente às empresas analisadas pela amostra anterior, que empresas que possuem </w:t>
      </w:r>
      <w:r w:rsidR="00497127">
        <w:rPr>
          <w:sz w:val="24"/>
          <w:szCs w:val="24"/>
        </w:rPr>
        <w:t>CA</w:t>
      </w:r>
      <w:r w:rsidRPr="00D87717">
        <w:rPr>
          <w:sz w:val="24"/>
          <w:szCs w:val="24"/>
        </w:rPr>
        <w:t xml:space="preserve"> se mostraram ligeiramente mais rentáveis</w:t>
      </w:r>
      <w:r w:rsidRPr="00AA65FC">
        <w:rPr>
          <w:sz w:val="24"/>
          <w:szCs w:val="24"/>
        </w:rPr>
        <w:t xml:space="preserve"> (de 0,2064 para 0,2174), mais endividadas (de 0,5960 para 0,6190) e maiores (de 22,6777 para 22,743). </w:t>
      </w:r>
    </w:p>
    <w:p w14:paraId="06760A45" w14:textId="585513C2" w:rsidR="008B283A" w:rsidRPr="00AA65FC" w:rsidRDefault="008B283A" w:rsidP="003D3B3A">
      <w:pPr>
        <w:autoSpaceDE w:val="0"/>
        <w:autoSpaceDN w:val="0"/>
        <w:adjustRightInd w:val="0"/>
        <w:ind w:firstLine="709"/>
        <w:jc w:val="both"/>
        <w:rPr>
          <w:b/>
          <w:sz w:val="24"/>
          <w:szCs w:val="24"/>
        </w:rPr>
      </w:pPr>
      <w:r w:rsidRPr="00D87717">
        <w:rPr>
          <w:sz w:val="24"/>
          <w:szCs w:val="24"/>
        </w:rPr>
        <w:t>Na Tabela 5, apresentam</w:t>
      </w:r>
      <w:r w:rsidRPr="00AA65FC">
        <w:rPr>
          <w:sz w:val="24"/>
          <w:szCs w:val="24"/>
        </w:rPr>
        <w:t xml:space="preserve">-se os resultados acerca da influência das características de independência e </w:t>
      </w:r>
      <w:r w:rsidRPr="00AA65FC">
        <w:rPr>
          <w:i/>
          <w:sz w:val="24"/>
          <w:szCs w:val="24"/>
        </w:rPr>
        <w:t>expertise</w:t>
      </w:r>
      <w:r w:rsidRPr="00AA65FC">
        <w:rPr>
          <w:sz w:val="24"/>
          <w:szCs w:val="24"/>
        </w:rPr>
        <w:t xml:space="preserve"> dos membros do </w:t>
      </w:r>
      <w:r w:rsidR="00C43367">
        <w:rPr>
          <w:sz w:val="24"/>
          <w:szCs w:val="24"/>
        </w:rPr>
        <w:t>CA</w:t>
      </w:r>
      <w:r w:rsidRPr="00AA65FC">
        <w:rPr>
          <w:sz w:val="24"/>
          <w:szCs w:val="24"/>
        </w:rPr>
        <w:t xml:space="preserve"> na assimetria de informação, que se configura no foco da segunda e terceira hipótese de pesquisa. </w:t>
      </w:r>
    </w:p>
    <w:p w14:paraId="06760A46" w14:textId="77777777" w:rsidR="008B283A" w:rsidRPr="00AA65FC" w:rsidRDefault="008B283A" w:rsidP="00820D75">
      <w:pPr>
        <w:ind w:firstLine="709"/>
        <w:jc w:val="both"/>
        <w:rPr>
          <w:rFonts w:eastAsia="Calibri"/>
          <w:sz w:val="24"/>
          <w:szCs w:val="24"/>
        </w:rPr>
      </w:pPr>
    </w:p>
    <w:p w14:paraId="06760A47" w14:textId="3AF65CB1" w:rsidR="008B283A" w:rsidRPr="00B72BF6" w:rsidRDefault="008B283A" w:rsidP="00820D75">
      <w:pPr>
        <w:keepNext/>
        <w:jc w:val="both"/>
        <w:rPr>
          <w:rFonts w:eastAsia="Calibri"/>
          <w:b/>
          <w:iCs/>
          <w:noProof/>
        </w:rPr>
      </w:pPr>
      <w:r w:rsidRPr="00B72BF6">
        <w:rPr>
          <w:rFonts w:eastAsia="Calibri"/>
          <w:b/>
          <w:iCs/>
        </w:rPr>
        <w:t>Tabela 5</w:t>
      </w:r>
      <w:r w:rsidR="00B72BF6" w:rsidRPr="00B72BF6">
        <w:rPr>
          <w:rFonts w:eastAsia="Calibri"/>
          <w:b/>
          <w:iCs/>
          <w:noProof/>
        </w:rPr>
        <w:t xml:space="preserve"> - </w:t>
      </w:r>
      <w:r w:rsidR="0072769B" w:rsidRPr="00B72BF6">
        <w:rPr>
          <w:rFonts w:eastAsia="Calibri"/>
          <w:b/>
          <w:iCs/>
          <w:noProof/>
        </w:rPr>
        <w:t>Influência das Características do Comitê de Auditoria na Assimetria de Informação</w:t>
      </w:r>
    </w:p>
    <w:tbl>
      <w:tblPr>
        <w:tblW w:w="9246" w:type="dxa"/>
        <w:tblCellMar>
          <w:left w:w="70" w:type="dxa"/>
          <w:right w:w="70" w:type="dxa"/>
        </w:tblCellMar>
        <w:tblLook w:val="04A0" w:firstRow="1" w:lastRow="0" w:firstColumn="1" w:lastColumn="0" w:noHBand="0" w:noVBand="1"/>
      </w:tblPr>
      <w:tblGrid>
        <w:gridCol w:w="1056"/>
        <w:gridCol w:w="1407"/>
        <w:gridCol w:w="1408"/>
        <w:gridCol w:w="1436"/>
        <w:gridCol w:w="1398"/>
        <w:gridCol w:w="1354"/>
        <w:gridCol w:w="1187"/>
      </w:tblGrid>
      <w:tr w:rsidR="008B283A" w:rsidRPr="00AA65FC" w14:paraId="06760A4F" w14:textId="77777777" w:rsidTr="008B6EAF">
        <w:trPr>
          <w:trHeight w:val="20"/>
        </w:trPr>
        <w:tc>
          <w:tcPr>
            <w:tcW w:w="1056" w:type="dxa"/>
            <w:vMerge w:val="restart"/>
            <w:tcBorders>
              <w:top w:val="single" w:sz="18" w:space="0" w:color="auto"/>
              <w:bottom w:val="single" w:sz="4" w:space="0" w:color="auto"/>
              <w:right w:val="single" w:sz="4" w:space="0" w:color="auto"/>
            </w:tcBorders>
            <w:shd w:val="clear" w:color="auto" w:fill="auto"/>
            <w:noWrap/>
            <w:vAlign w:val="center"/>
            <w:hideMark/>
          </w:tcPr>
          <w:p w14:paraId="06760A48" w14:textId="77777777" w:rsidR="008B283A" w:rsidRPr="00AA65FC" w:rsidRDefault="008B283A" w:rsidP="00820D75">
            <w:pPr>
              <w:jc w:val="center"/>
              <w:rPr>
                <w:color w:val="000000"/>
              </w:rPr>
            </w:pPr>
            <w:r w:rsidRPr="00AA65FC">
              <w:rPr>
                <w:color w:val="000000"/>
              </w:rPr>
              <w:t>Variáveis</w:t>
            </w:r>
          </w:p>
        </w:tc>
        <w:tc>
          <w:tcPr>
            <w:tcW w:w="2815" w:type="dxa"/>
            <w:gridSpan w:val="2"/>
            <w:tcBorders>
              <w:top w:val="single" w:sz="18" w:space="0" w:color="auto"/>
              <w:left w:val="single" w:sz="4" w:space="0" w:color="auto"/>
              <w:bottom w:val="single" w:sz="4" w:space="0" w:color="auto"/>
              <w:right w:val="single" w:sz="4" w:space="0" w:color="auto"/>
            </w:tcBorders>
            <w:shd w:val="clear" w:color="auto" w:fill="auto"/>
            <w:noWrap/>
            <w:vAlign w:val="bottom"/>
            <w:hideMark/>
          </w:tcPr>
          <w:p w14:paraId="06760A49" w14:textId="77777777" w:rsidR="008B283A" w:rsidRPr="00AA65FC" w:rsidRDefault="008B283A" w:rsidP="00820D75">
            <w:pPr>
              <w:jc w:val="center"/>
              <w:rPr>
                <w:color w:val="000000"/>
              </w:rPr>
            </w:pPr>
            <w:proofErr w:type="spellStart"/>
            <w:r w:rsidRPr="00AA65FC">
              <w:rPr>
                <w:color w:val="000000"/>
              </w:rPr>
              <w:t>SpreadAno</w:t>
            </w:r>
            <w:proofErr w:type="spellEnd"/>
          </w:p>
          <w:p w14:paraId="06760A4A" w14:textId="2E4A3F0A" w:rsidR="008B283A" w:rsidRPr="00AA65FC" w:rsidRDefault="008B283A" w:rsidP="00820D75">
            <w:pPr>
              <w:jc w:val="center"/>
              <w:rPr>
                <w:color w:val="000000"/>
              </w:rPr>
            </w:pPr>
            <w:r w:rsidRPr="00AA65FC">
              <w:rPr>
                <w:color w:val="000000"/>
              </w:rPr>
              <w:t>(</w:t>
            </w:r>
            <w:proofErr w:type="gramStart"/>
            <w:r w:rsidR="008B6EAF">
              <w:rPr>
                <w:color w:val="000000"/>
              </w:rPr>
              <w:t>modelo</w:t>
            </w:r>
            <w:proofErr w:type="gramEnd"/>
            <w:r w:rsidRPr="00AA65FC">
              <w:rPr>
                <w:color w:val="000000"/>
              </w:rPr>
              <w:t xml:space="preserve"> 4)</w:t>
            </w:r>
          </w:p>
        </w:tc>
        <w:tc>
          <w:tcPr>
            <w:tcW w:w="2834" w:type="dxa"/>
            <w:gridSpan w:val="2"/>
            <w:tcBorders>
              <w:top w:val="single" w:sz="18" w:space="0" w:color="auto"/>
              <w:left w:val="single" w:sz="4" w:space="0" w:color="auto"/>
              <w:bottom w:val="single" w:sz="4" w:space="0" w:color="auto"/>
              <w:right w:val="single" w:sz="4" w:space="0" w:color="auto"/>
            </w:tcBorders>
            <w:shd w:val="clear" w:color="auto" w:fill="auto"/>
            <w:noWrap/>
            <w:vAlign w:val="bottom"/>
            <w:hideMark/>
          </w:tcPr>
          <w:p w14:paraId="06760A4B" w14:textId="77777777" w:rsidR="008B283A" w:rsidRPr="00AA65FC" w:rsidRDefault="008B283A" w:rsidP="00820D75">
            <w:pPr>
              <w:jc w:val="center"/>
              <w:rPr>
                <w:color w:val="000000"/>
              </w:rPr>
            </w:pPr>
            <w:r w:rsidRPr="00AA65FC">
              <w:rPr>
                <w:color w:val="000000"/>
              </w:rPr>
              <w:t>Spread3m</w:t>
            </w:r>
          </w:p>
          <w:p w14:paraId="06760A4C" w14:textId="00767D04" w:rsidR="008B283A" w:rsidRPr="00AA65FC" w:rsidRDefault="008B283A" w:rsidP="00820D75">
            <w:pPr>
              <w:jc w:val="center"/>
              <w:rPr>
                <w:color w:val="000000"/>
              </w:rPr>
            </w:pPr>
            <w:r w:rsidRPr="00AA65FC">
              <w:rPr>
                <w:color w:val="000000"/>
              </w:rPr>
              <w:t>(</w:t>
            </w:r>
            <w:proofErr w:type="gramStart"/>
            <w:r w:rsidR="008B6EAF">
              <w:rPr>
                <w:color w:val="000000"/>
              </w:rPr>
              <w:t>modelo</w:t>
            </w:r>
            <w:proofErr w:type="gramEnd"/>
            <w:r w:rsidRPr="00AA65FC">
              <w:rPr>
                <w:color w:val="000000"/>
              </w:rPr>
              <w:t xml:space="preserve"> 5)</w:t>
            </w:r>
          </w:p>
        </w:tc>
        <w:tc>
          <w:tcPr>
            <w:tcW w:w="2541" w:type="dxa"/>
            <w:gridSpan w:val="2"/>
            <w:tcBorders>
              <w:top w:val="single" w:sz="18" w:space="0" w:color="auto"/>
              <w:left w:val="single" w:sz="4" w:space="0" w:color="auto"/>
              <w:bottom w:val="single" w:sz="4" w:space="0" w:color="auto"/>
            </w:tcBorders>
            <w:shd w:val="clear" w:color="auto" w:fill="auto"/>
            <w:noWrap/>
            <w:vAlign w:val="bottom"/>
            <w:hideMark/>
          </w:tcPr>
          <w:p w14:paraId="06760A4D" w14:textId="77777777" w:rsidR="008B283A" w:rsidRPr="00AA65FC" w:rsidRDefault="008B283A" w:rsidP="00820D75">
            <w:pPr>
              <w:jc w:val="center"/>
              <w:rPr>
                <w:color w:val="000000"/>
              </w:rPr>
            </w:pPr>
            <w:r w:rsidRPr="00AA65FC">
              <w:rPr>
                <w:color w:val="000000"/>
              </w:rPr>
              <w:t>Spread6m</w:t>
            </w:r>
          </w:p>
          <w:p w14:paraId="06760A4E" w14:textId="32CBBBD8" w:rsidR="008B283A" w:rsidRPr="00AA65FC" w:rsidRDefault="008B283A" w:rsidP="00820D75">
            <w:pPr>
              <w:jc w:val="center"/>
              <w:rPr>
                <w:color w:val="000000"/>
              </w:rPr>
            </w:pPr>
            <w:r w:rsidRPr="00AA65FC">
              <w:rPr>
                <w:color w:val="000000"/>
              </w:rPr>
              <w:t>(</w:t>
            </w:r>
            <w:proofErr w:type="gramStart"/>
            <w:r w:rsidR="008B6EAF">
              <w:rPr>
                <w:color w:val="000000"/>
              </w:rPr>
              <w:t>modelo</w:t>
            </w:r>
            <w:proofErr w:type="gramEnd"/>
            <w:r w:rsidRPr="00AA65FC">
              <w:rPr>
                <w:color w:val="000000"/>
              </w:rPr>
              <w:t xml:space="preserve"> 6)</w:t>
            </w:r>
          </w:p>
        </w:tc>
      </w:tr>
      <w:tr w:rsidR="008B283A" w:rsidRPr="00AA65FC" w14:paraId="06760A57" w14:textId="77777777" w:rsidTr="008B6EAF">
        <w:trPr>
          <w:trHeight w:val="20"/>
        </w:trPr>
        <w:tc>
          <w:tcPr>
            <w:tcW w:w="1056" w:type="dxa"/>
            <w:vMerge/>
            <w:tcBorders>
              <w:top w:val="single" w:sz="4" w:space="0" w:color="auto"/>
              <w:bottom w:val="single" w:sz="4" w:space="0" w:color="auto"/>
              <w:right w:val="single" w:sz="4" w:space="0" w:color="auto"/>
            </w:tcBorders>
            <w:vAlign w:val="center"/>
            <w:hideMark/>
          </w:tcPr>
          <w:p w14:paraId="06760A50" w14:textId="77777777" w:rsidR="008B283A" w:rsidRPr="00AA65FC" w:rsidRDefault="008B283A" w:rsidP="00820D75">
            <w:pPr>
              <w:rPr>
                <w:color w:val="000000"/>
              </w:rPr>
            </w:pPr>
          </w:p>
        </w:tc>
        <w:tc>
          <w:tcPr>
            <w:tcW w:w="1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A51" w14:textId="77777777" w:rsidR="008B283A" w:rsidRPr="00AA65FC" w:rsidRDefault="008B283A" w:rsidP="00820D75">
            <w:pPr>
              <w:jc w:val="center"/>
              <w:rPr>
                <w:color w:val="000000"/>
              </w:rPr>
            </w:pPr>
            <w:proofErr w:type="spellStart"/>
            <w:r w:rsidRPr="00AA65FC">
              <w:rPr>
                <w:color w:val="000000"/>
              </w:rPr>
              <w:t>Coef</w:t>
            </w:r>
            <w:proofErr w:type="spellEnd"/>
            <w:r w:rsidRPr="00AA65FC">
              <w:rPr>
                <w:color w:val="000000"/>
              </w:rPr>
              <w:t>.</w:t>
            </w:r>
          </w:p>
        </w:tc>
        <w:tc>
          <w:tcPr>
            <w:tcW w:w="1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A52" w14:textId="77777777" w:rsidR="008B283A" w:rsidRPr="00AA65FC" w:rsidRDefault="008B283A" w:rsidP="00820D75">
            <w:pPr>
              <w:jc w:val="center"/>
              <w:rPr>
                <w:color w:val="000000"/>
              </w:rPr>
            </w:pPr>
            <w:proofErr w:type="spellStart"/>
            <w:r w:rsidRPr="00AA65FC">
              <w:rPr>
                <w:color w:val="000000"/>
              </w:rPr>
              <w:t>Sig</w:t>
            </w:r>
            <w:proofErr w:type="spellEnd"/>
            <w:r w:rsidRPr="00AA65FC">
              <w:rPr>
                <w:color w:val="000000"/>
              </w:rPr>
              <w:t>.</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A53" w14:textId="77777777" w:rsidR="008B283A" w:rsidRPr="00AA65FC" w:rsidRDefault="008B283A" w:rsidP="00820D75">
            <w:pPr>
              <w:jc w:val="center"/>
              <w:rPr>
                <w:color w:val="000000"/>
              </w:rPr>
            </w:pPr>
            <w:proofErr w:type="spellStart"/>
            <w:r w:rsidRPr="00AA65FC">
              <w:rPr>
                <w:color w:val="000000"/>
              </w:rPr>
              <w:t>Coef</w:t>
            </w:r>
            <w:proofErr w:type="spellEnd"/>
            <w:r w:rsidRPr="00AA65FC">
              <w:rPr>
                <w:color w:val="000000"/>
              </w:rPr>
              <w:t>.</w:t>
            </w:r>
          </w:p>
        </w:tc>
        <w:tc>
          <w:tcPr>
            <w:tcW w:w="1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A54" w14:textId="77777777" w:rsidR="008B283A" w:rsidRPr="00AA65FC" w:rsidRDefault="008B283A" w:rsidP="00820D75">
            <w:pPr>
              <w:jc w:val="center"/>
              <w:rPr>
                <w:color w:val="000000"/>
              </w:rPr>
            </w:pPr>
            <w:proofErr w:type="spellStart"/>
            <w:r w:rsidRPr="00AA65FC">
              <w:rPr>
                <w:color w:val="000000"/>
              </w:rPr>
              <w:t>Sig</w:t>
            </w:r>
            <w:proofErr w:type="spellEnd"/>
            <w:r w:rsidRPr="00AA65FC">
              <w:rPr>
                <w:color w:val="000000"/>
              </w:rPr>
              <w:t>.</w:t>
            </w:r>
          </w:p>
        </w:tc>
        <w:tc>
          <w:tcPr>
            <w:tcW w:w="13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A55" w14:textId="77777777" w:rsidR="008B283A" w:rsidRPr="00AA65FC" w:rsidRDefault="008B283A" w:rsidP="00820D75">
            <w:pPr>
              <w:jc w:val="center"/>
              <w:rPr>
                <w:color w:val="000000"/>
              </w:rPr>
            </w:pPr>
            <w:proofErr w:type="spellStart"/>
            <w:r w:rsidRPr="00AA65FC">
              <w:rPr>
                <w:color w:val="000000"/>
              </w:rPr>
              <w:t>Coef</w:t>
            </w:r>
            <w:proofErr w:type="spellEnd"/>
            <w:r w:rsidRPr="00AA65FC">
              <w:rPr>
                <w:color w:val="000000"/>
              </w:rPr>
              <w:t>.</w:t>
            </w:r>
          </w:p>
        </w:tc>
        <w:tc>
          <w:tcPr>
            <w:tcW w:w="1187" w:type="dxa"/>
            <w:tcBorders>
              <w:top w:val="single" w:sz="4" w:space="0" w:color="auto"/>
              <w:left w:val="single" w:sz="4" w:space="0" w:color="auto"/>
              <w:bottom w:val="single" w:sz="4" w:space="0" w:color="auto"/>
            </w:tcBorders>
            <w:shd w:val="clear" w:color="auto" w:fill="auto"/>
            <w:noWrap/>
            <w:vAlign w:val="bottom"/>
            <w:hideMark/>
          </w:tcPr>
          <w:p w14:paraId="06760A56" w14:textId="77777777" w:rsidR="008B283A" w:rsidRPr="00AA65FC" w:rsidRDefault="008B283A" w:rsidP="00820D75">
            <w:pPr>
              <w:jc w:val="center"/>
              <w:rPr>
                <w:color w:val="000000"/>
              </w:rPr>
            </w:pPr>
            <w:proofErr w:type="spellStart"/>
            <w:r w:rsidRPr="00AA65FC">
              <w:rPr>
                <w:color w:val="000000"/>
              </w:rPr>
              <w:t>Sig</w:t>
            </w:r>
            <w:proofErr w:type="spellEnd"/>
            <w:r w:rsidRPr="00AA65FC">
              <w:rPr>
                <w:color w:val="000000"/>
              </w:rPr>
              <w:t>.</w:t>
            </w:r>
          </w:p>
        </w:tc>
      </w:tr>
      <w:tr w:rsidR="008B283A" w:rsidRPr="00AA65FC" w14:paraId="06760A5F" w14:textId="77777777" w:rsidTr="008B6EAF">
        <w:trPr>
          <w:trHeight w:val="21"/>
        </w:trPr>
        <w:tc>
          <w:tcPr>
            <w:tcW w:w="1056" w:type="dxa"/>
            <w:tcBorders>
              <w:top w:val="single" w:sz="4" w:space="0" w:color="auto"/>
              <w:bottom w:val="single" w:sz="4" w:space="0" w:color="auto"/>
              <w:right w:val="single" w:sz="4" w:space="0" w:color="auto"/>
            </w:tcBorders>
            <w:shd w:val="clear" w:color="auto" w:fill="auto"/>
            <w:noWrap/>
            <w:vAlign w:val="bottom"/>
            <w:hideMark/>
          </w:tcPr>
          <w:p w14:paraId="06760A58" w14:textId="77777777" w:rsidR="008B283A" w:rsidRPr="00AA65FC" w:rsidRDefault="008B283A" w:rsidP="00820D75">
            <w:pPr>
              <w:rPr>
                <w:color w:val="000000"/>
              </w:rPr>
            </w:pPr>
            <w:r w:rsidRPr="00AA65FC">
              <w:rPr>
                <w:color w:val="000000"/>
              </w:rPr>
              <w:t>IND</w:t>
            </w:r>
          </w:p>
        </w:tc>
        <w:tc>
          <w:tcPr>
            <w:tcW w:w="1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A59" w14:textId="77777777" w:rsidR="008B283A" w:rsidRPr="00AA65FC" w:rsidRDefault="008B283A" w:rsidP="00820D75">
            <w:pPr>
              <w:jc w:val="center"/>
              <w:rPr>
                <w:color w:val="000000"/>
              </w:rPr>
            </w:pPr>
            <w:r w:rsidRPr="00AA65FC">
              <w:rPr>
                <w:color w:val="000000"/>
              </w:rPr>
              <w:t>-0,0001</w:t>
            </w:r>
          </w:p>
        </w:tc>
        <w:tc>
          <w:tcPr>
            <w:tcW w:w="1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A5A" w14:textId="77777777" w:rsidR="008B283A" w:rsidRPr="00AA65FC" w:rsidRDefault="008B283A" w:rsidP="00820D75">
            <w:pPr>
              <w:jc w:val="center"/>
              <w:rPr>
                <w:color w:val="000000"/>
              </w:rPr>
            </w:pPr>
            <w:r w:rsidRPr="00AA65FC">
              <w:rPr>
                <w:color w:val="000000"/>
              </w:rPr>
              <w:t>0.815</w:t>
            </w:r>
          </w:p>
        </w:tc>
        <w:tc>
          <w:tcPr>
            <w:tcW w:w="14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A5B" w14:textId="77777777" w:rsidR="008B283A" w:rsidRPr="00AA65FC" w:rsidRDefault="008B283A" w:rsidP="00820D75">
            <w:pPr>
              <w:jc w:val="center"/>
              <w:rPr>
                <w:color w:val="000000"/>
              </w:rPr>
            </w:pPr>
            <w:r w:rsidRPr="00AA65FC">
              <w:rPr>
                <w:color w:val="000000"/>
              </w:rPr>
              <w:t>0,0000</w:t>
            </w:r>
          </w:p>
        </w:tc>
        <w:tc>
          <w:tcPr>
            <w:tcW w:w="1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A5C" w14:textId="77777777" w:rsidR="008B283A" w:rsidRPr="00AA65FC" w:rsidRDefault="008B283A" w:rsidP="00820D75">
            <w:pPr>
              <w:jc w:val="center"/>
              <w:rPr>
                <w:color w:val="000000"/>
              </w:rPr>
            </w:pPr>
            <w:r w:rsidRPr="00AA65FC">
              <w:rPr>
                <w:color w:val="000000"/>
              </w:rPr>
              <w:t>0.933</w:t>
            </w:r>
          </w:p>
        </w:tc>
        <w:tc>
          <w:tcPr>
            <w:tcW w:w="13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A5D" w14:textId="77777777" w:rsidR="008B283A" w:rsidRPr="00AA65FC" w:rsidRDefault="008B283A" w:rsidP="00820D75">
            <w:pPr>
              <w:jc w:val="center"/>
              <w:rPr>
                <w:color w:val="000000"/>
              </w:rPr>
            </w:pPr>
            <w:r w:rsidRPr="00AA65FC">
              <w:rPr>
                <w:color w:val="000000"/>
              </w:rPr>
              <w:t>-0,0000</w:t>
            </w:r>
          </w:p>
        </w:tc>
        <w:tc>
          <w:tcPr>
            <w:tcW w:w="1187" w:type="dxa"/>
            <w:tcBorders>
              <w:top w:val="single" w:sz="4" w:space="0" w:color="auto"/>
              <w:left w:val="single" w:sz="4" w:space="0" w:color="auto"/>
              <w:bottom w:val="single" w:sz="4" w:space="0" w:color="auto"/>
            </w:tcBorders>
            <w:shd w:val="clear" w:color="auto" w:fill="auto"/>
            <w:noWrap/>
            <w:vAlign w:val="bottom"/>
            <w:hideMark/>
          </w:tcPr>
          <w:p w14:paraId="06760A5E" w14:textId="77777777" w:rsidR="008B283A" w:rsidRPr="00AA65FC" w:rsidRDefault="008B283A" w:rsidP="00820D75">
            <w:pPr>
              <w:jc w:val="center"/>
              <w:rPr>
                <w:color w:val="000000"/>
              </w:rPr>
            </w:pPr>
            <w:r w:rsidRPr="00AA65FC">
              <w:rPr>
                <w:color w:val="000000"/>
              </w:rPr>
              <w:t xml:space="preserve">0.775  </w:t>
            </w:r>
          </w:p>
        </w:tc>
      </w:tr>
      <w:tr w:rsidR="008B283A" w:rsidRPr="00AA65FC" w14:paraId="06760A67" w14:textId="77777777" w:rsidTr="008B6EAF">
        <w:trPr>
          <w:trHeight w:val="47"/>
        </w:trPr>
        <w:tc>
          <w:tcPr>
            <w:tcW w:w="1056" w:type="dxa"/>
            <w:tcBorders>
              <w:top w:val="single" w:sz="4" w:space="0" w:color="auto"/>
              <w:bottom w:val="single" w:sz="4" w:space="0" w:color="auto"/>
              <w:right w:val="single" w:sz="4" w:space="0" w:color="auto"/>
            </w:tcBorders>
            <w:shd w:val="clear" w:color="auto" w:fill="auto"/>
            <w:noWrap/>
            <w:vAlign w:val="bottom"/>
          </w:tcPr>
          <w:p w14:paraId="06760A60" w14:textId="77777777" w:rsidR="008B283A" w:rsidRPr="00AA65FC" w:rsidRDefault="008B283A" w:rsidP="00820D75">
            <w:pPr>
              <w:rPr>
                <w:color w:val="000000"/>
              </w:rPr>
            </w:pPr>
            <w:r w:rsidRPr="00AA65FC">
              <w:rPr>
                <w:color w:val="000000"/>
              </w:rPr>
              <w:t>EXP</w:t>
            </w:r>
          </w:p>
        </w:tc>
        <w:tc>
          <w:tcPr>
            <w:tcW w:w="14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760A61" w14:textId="77777777" w:rsidR="008B283A" w:rsidRPr="00AA65FC" w:rsidRDefault="008B283A" w:rsidP="00820D75">
            <w:pPr>
              <w:jc w:val="center"/>
              <w:rPr>
                <w:color w:val="000000"/>
              </w:rPr>
            </w:pPr>
            <w:r w:rsidRPr="00AA65FC">
              <w:rPr>
                <w:color w:val="000000"/>
              </w:rPr>
              <w:t>-0,0005</w:t>
            </w:r>
          </w:p>
        </w:tc>
        <w:tc>
          <w:tcPr>
            <w:tcW w:w="14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760A62" w14:textId="77777777" w:rsidR="008B283A" w:rsidRPr="00AA65FC" w:rsidRDefault="008B283A" w:rsidP="00820D75">
            <w:pPr>
              <w:jc w:val="center"/>
              <w:rPr>
                <w:color w:val="000000"/>
              </w:rPr>
            </w:pPr>
            <w:r w:rsidRPr="00AA65FC">
              <w:rPr>
                <w:color w:val="000000"/>
              </w:rPr>
              <w:t>0.145</w:t>
            </w:r>
          </w:p>
        </w:tc>
        <w:tc>
          <w:tcPr>
            <w:tcW w:w="1436"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tcPr>
          <w:p w14:paraId="06760A63" w14:textId="77777777" w:rsidR="008B283A" w:rsidRPr="00AA65FC" w:rsidRDefault="008B283A" w:rsidP="00820D75">
            <w:pPr>
              <w:jc w:val="center"/>
              <w:rPr>
                <w:color w:val="000000"/>
              </w:rPr>
            </w:pPr>
            <w:r w:rsidRPr="00AA65FC">
              <w:rPr>
                <w:color w:val="000000"/>
              </w:rPr>
              <w:t>-0,0004</w:t>
            </w:r>
          </w:p>
        </w:tc>
        <w:tc>
          <w:tcPr>
            <w:tcW w:w="1398"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tcPr>
          <w:p w14:paraId="06760A64" w14:textId="77777777" w:rsidR="008B283A" w:rsidRPr="00AA65FC" w:rsidRDefault="008B283A" w:rsidP="00820D75">
            <w:pPr>
              <w:jc w:val="center"/>
              <w:rPr>
                <w:color w:val="000000"/>
              </w:rPr>
            </w:pPr>
            <w:r w:rsidRPr="00AA65FC">
              <w:rPr>
                <w:color w:val="000000"/>
              </w:rPr>
              <w:t>0.042*</w:t>
            </w:r>
          </w:p>
        </w:tc>
        <w:tc>
          <w:tcPr>
            <w:tcW w:w="1354"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tcPr>
          <w:p w14:paraId="06760A65" w14:textId="77777777" w:rsidR="008B283A" w:rsidRPr="00AA65FC" w:rsidRDefault="008B283A" w:rsidP="00820D75">
            <w:pPr>
              <w:jc w:val="center"/>
              <w:rPr>
                <w:color w:val="000000"/>
              </w:rPr>
            </w:pPr>
            <w:r w:rsidRPr="00AA65FC">
              <w:rPr>
                <w:color w:val="000000"/>
              </w:rPr>
              <w:t>-0,0003</w:t>
            </w:r>
          </w:p>
        </w:tc>
        <w:tc>
          <w:tcPr>
            <w:tcW w:w="1187" w:type="dxa"/>
            <w:tcBorders>
              <w:top w:val="single" w:sz="4" w:space="0" w:color="auto"/>
              <w:left w:val="single" w:sz="4" w:space="0" w:color="auto"/>
              <w:bottom w:val="single" w:sz="4" w:space="0" w:color="auto"/>
            </w:tcBorders>
            <w:shd w:val="clear" w:color="auto" w:fill="E7E6E6" w:themeFill="background2"/>
            <w:noWrap/>
            <w:vAlign w:val="bottom"/>
          </w:tcPr>
          <w:p w14:paraId="06760A66" w14:textId="77777777" w:rsidR="008B283A" w:rsidRPr="00AA65FC" w:rsidRDefault="008B283A" w:rsidP="00820D75">
            <w:pPr>
              <w:jc w:val="center"/>
              <w:rPr>
                <w:color w:val="000000"/>
              </w:rPr>
            </w:pPr>
            <w:r w:rsidRPr="00AA65FC">
              <w:rPr>
                <w:color w:val="000000"/>
              </w:rPr>
              <w:t>0.025*</w:t>
            </w:r>
          </w:p>
        </w:tc>
      </w:tr>
      <w:tr w:rsidR="008B283A" w:rsidRPr="00AA65FC" w14:paraId="06760A6F" w14:textId="77777777" w:rsidTr="008B6EAF">
        <w:trPr>
          <w:trHeight w:val="47"/>
        </w:trPr>
        <w:tc>
          <w:tcPr>
            <w:tcW w:w="1056" w:type="dxa"/>
            <w:tcBorders>
              <w:top w:val="single" w:sz="4" w:space="0" w:color="auto"/>
              <w:bottom w:val="single" w:sz="4" w:space="0" w:color="auto"/>
              <w:right w:val="single" w:sz="4" w:space="0" w:color="auto"/>
            </w:tcBorders>
            <w:shd w:val="clear" w:color="auto" w:fill="auto"/>
            <w:noWrap/>
            <w:vAlign w:val="bottom"/>
            <w:hideMark/>
          </w:tcPr>
          <w:p w14:paraId="06760A68" w14:textId="77777777" w:rsidR="008B283A" w:rsidRPr="00AA65FC" w:rsidRDefault="008B283A" w:rsidP="00820D75">
            <w:pPr>
              <w:rPr>
                <w:color w:val="000000"/>
              </w:rPr>
            </w:pPr>
            <w:r w:rsidRPr="00AA65FC">
              <w:rPr>
                <w:color w:val="000000"/>
              </w:rPr>
              <w:t>TAM</w:t>
            </w:r>
          </w:p>
        </w:tc>
        <w:tc>
          <w:tcPr>
            <w:tcW w:w="1407"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6760A69" w14:textId="77777777" w:rsidR="008B283A" w:rsidRPr="00AA65FC" w:rsidRDefault="008B283A" w:rsidP="00820D75">
            <w:pPr>
              <w:jc w:val="center"/>
              <w:rPr>
                <w:color w:val="000000"/>
              </w:rPr>
            </w:pPr>
            <w:r w:rsidRPr="00AA65FC">
              <w:rPr>
                <w:color w:val="000000"/>
              </w:rPr>
              <w:t>-0,0009</w:t>
            </w:r>
          </w:p>
        </w:tc>
        <w:tc>
          <w:tcPr>
            <w:tcW w:w="1408"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6760A6A" w14:textId="77777777" w:rsidR="008B283A" w:rsidRPr="00AA65FC" w:rsidRDefault="008B283A" w:rsidP="00820D75">
            <w:pPr>
              <w:jc w:val="center"/>
              <w:rPr>
                <w:color w:val="000000"/>
              </w:rPr>
            </w:pPr>
            <w:r w:rsidRPr="00AA65FC">
              <w:rPr>
                <w:color w:val="000000"/>
              </w:rPr>
              <w:t>0.000*</w:t>
            </w:r>
          </w:p>
        </w:tc>
        <w:tc>
          <w:tcPr>
            <w:tcW w:w="1436"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6760A6B" w14:textId="77777777" w:rsidR="008B283A" w:rsidRPr="00AA65FC" w:rsidRDefault="008B283A" w:rsidP="00820D75">
            <w:pPr>
              <w:jc w:val="center"/>
              <w:rPr>
                <w:color w:val="000000"/>
              </w:rPr>
            </w:pPr>
            <w:r w:rsidRPr="00AA65FC">
              <w:rPr>
                <w:color w:val="000000"/>
              </w:rPr>
              <w:t>-0,0006</w:t>
            </w:r>
          </w:p>
        </w:tc>
        <w:tc>
          <w:tcPr>
            <w:tcW w:w="1398"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6760A6C" w14:textId="77777777" w:rsidR="008B283A" w:rsidRPr="00AA65FC" w:rsidRDefault="008B283A" w:rsidP="00820D75">
            <w:pPr>
              <w:jc w:val="center"/>
              <w:rPr>
                <w:color w:val="000000"/>
              </w:rPr>
            </w:pPr>
            <w:r w:rsidRPr="00AA65FC">
              <w:rPr>
                <w:color w:val="000000"/>
              </w:rPr>
              <w:t>0.000*</w:t>
            </w:r>
          </w:p>
        </w:tc>
        <w:tc>
          <w:tcPr>
            <w:tcW w:w="1354"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6760A6D" w14:textId="77777777" w:rsidR="008B283A" w:rsidRPr="00AA65FC" w:rsidRDefault="008B283A" w:rsidP="00820D75">
            <w:pPr>
              <w:jc w:val="center"/>
              <w:rPr>
                <w:color w:val="000000"/>
              </w:rPr>
            </w:pPr>
            <w:r w:rsidRPr="00AA65FC">
              <w:rPr>
                <w:color w:val="000000"/>
              </w:rPr>
              <w:t>-0,0005</w:t>
            </w:r>
          </w:p>
        </w:tc>
        <w:tc>
          <w:tcPr>
            <w:tcW w:w="1187" w:type="dxa"/>
            <w:tcBorders>
              <w:top w:val="single" w:sz="4" w:space="0" w:color="auto"/>
              <w:left w:val="single" w:sz="4" w:space="0" w:color="auto"/>
              <w:bottom w:val="single" w:sz="4" w:space="0" w:color="auto"/>
            </w:tcBorders>
            <w:shd w:val="clear" w:color="auto" w:fill="E7E6E6" w:themeFill="background2"/>
            <w:noWrap/>
            <w:vAlign w:val="bottom"/>
            <w:hideMark/>
          </w:tcPr>
          <w:p w14:paraId="06760A6E" w14:textId="77777777" w:rsidR="008B283A" w:rsidRPr="00AA65FC" w:rsidRDefault="008B283A" w:rsidP="00820D75">
            <w:pPr>
              <w:jc w:val="center"/>
              <w:rPr>
                <w:color w:val="000000"/>
              </w:rPr>
            </w:pPr>
            <w:r w:rsidRPr="00AA65FC">
              <w:rPr>
                <w:color w:val="000000"/>
              </w:rPr>
              <w:t>0.000*</w:t>
            </w:r>
          </w:p>
        </w:tc>
      </w:tr>
      <w:tr w:rsidR="008B283A" w:rsidRPr="00AA65FC" w14:paraId="06760A77" w14:textId="77777777" w:rsidTr="008B6EAF">
        <w:trPr>
          <w:trHeight w:val="47"/>
        </w:trPr>
        <w:tc>
          <w:tcPr>
            <w:tcW w:w="1056" w:type="dxa"/>
            <w:tcBorders>
              <w:top w:val="single" w:sz="4" w:space="0" w:color="auto"/>
              <w:bottom w:val="single" w:sz="4" w:space="0" w:color="auto"/>
              <w:right w:val="single" w:sz="4" w:space="0" w:color="auto"/>
            </w:tcBorders>
            <w:shd w:val="clear" w:color="auto" w:fill="auto"/>
            <w:noWrap/>
            <w:vAlign w:val="bottom"/>
            <w:hideMark/>
          </w:tcPr>
          <w:p w14:paraId="06760A70" w14:textId="77777777" w:rsidR="008B283A" w:rsidRPr="00AA65FC" w:rsidRDefault="008B283A" w:rsidP="00820D75">
            <w:pPr>
              <w:rPr>
                <w:color w:val="000000"/>
              </w:rPr>
            </w:pPr>
            <w:r w:rsidRPr="00AA65FC">
              <w:rPr>
                <w:color w:val="000000"/>
              </w:rPr>
              <w:t>ROE</w:t>
            </w:r>
          </w:p>
        </w:tc>
        <w:tc>
          <w:tcPr>
            <w:tcW w:w="1407"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6760A71" w14:textId="77777777" w:rsidR="008B283A" w:rsidRPr="00AA65FC" w:rsidRDefault="008B283A" w:rsidP="00820D75">
            <w:pPr>
              <w:jc w:val="center"/>
              <w:rPr>
                <w:color w:val="000000"/>
              </w:rPr>
            </w:pPr>
            <w:r w:rsidRPr="00AA65FC">
              <w:rPr>
                <w:color w:val="000000"/>
              </w:rPr>
              <w:t>-0,0028</w:t>
            </w:r>
          </w:p>
        </w:tc>
        <w:tc>
          <w:tcPr>
            <w:tcW w:w="1408"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6760A72" w14:textId="77777777" w:rsidR="008B283A" w:rsidRPr="00AA65FC" w:rsidRDefault="008B283A" w:rsidP="00820D75">
            <w:pPr>
              <w:jc w:val="center"/>
              <w:rPr>
                <w:color w:val="000000"/>
              </w:rPr>
            </w:pPr>
            <w:r w:rsidRPr="00AA65FC">
              <w:rPr>
                <w:color w:val="000000"/>
              </w:rPr>
              <w:t>0.002*</w:t>
            </w:r>
          </w:p>
        </w:tc>
        <w:tc>
          <w:tcPr>
            <w:tcW w:w="1436"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6760A73" w14:textId="77777777" w:rsidR="008B283A" w:rsidRPr="00AA65FC" w:rsidRDefault="008B283A" w:rsidP="00820D75">
            <w:pPr>
              <w:jc w:val="center"/>
              <w:rPr>
                <w:color w:val="000000"/>
              </w:rPr>
            </w:pPr>
            <w:r w:rsidRPr="00AA65FC">
              <w:rPr>
                <w:color w:val="000000"/>
              </w:rPr>
              <w:t>-0,0020</w:t>
            </w:r>
          </w:p>
        </w:tc>
        <w:tc>
          <w:tcPr>
            <w:tcW w:w="1398"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6760A74" w14:textId="77777777" w:rsidR="008B283A" w:rsidRPr="00AA65FC" w:rsidRDefault="008B283A" w:rsidP="00820D75">
            <w:pPr>
              <w:jc w:val="center"/>
              <w:rPr>
                <w:color w:val="000000"/>
              </w:rPr>
            </w:pPr>
            <w:r w:rsidRPr="00AA65FC">
              <w:rPr>
                <w:color w:val="000000"/>
              </w:rPr>
              <w:t>0.000*</w:t>
            </w:r>
          </w:p>
        </w:tc>
        <w:tc>
          <w:tcPr>
            <w:tcW w:w="1354"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6760A75" w14:textId="77777777" w:rsidR="008B283A" w:rsidRPr="00AA65FC" w:rsidRDefault="008B283A" w:rsidP="00820D75">
            <w:pPr>
              <w:jc w:val="center"/>
              <w:rPr>
                <w:color w:val="000000"/>
              </w:rPr>
            </w:pPr>
            <w:r w:rsidRPr="00AA65FC">
              <w:rPr>
                <w:color w:val="000000"/>
              </w:rPr>
              <w:t>-0,0019</w:t>
            </w:r>
          </w:p>
        </w:tc>
        <w:tc>
          <w:tcPr>
            <w:tcW w:w="1187" w:type="dxa"/>
            <w:tcBorders>
              <w:top w:val="single" w:sz="4" w:space="0" w:color="auto"/>
              <w:left w:val="single" w:sz="4" w:space="0" w:color="auto"/>
              <w:bottom w:val="single" w:sz="4" w:space="0" w:color="auto"/>
            </w:tcBorders>
            <w:shd w:val="clear" w:color="auto" w:fill="E7E6E6" w:themeFill="background2"/>
            <w:noWrap/>
            <w:vAlign w:val="bottom"/>
            <w:hideMark/>
          </w:tcPr>
          <w:p w14:paraId="06760A76" w14:textId="77777777" w:rsidR="008B283A" w:rsidRPr="00AA65FC" w:rsidRDefault="008B283A" w:rsidP="00820D75">
            <w:pPr>
              <w:jc w:val="center"/>
              <w:rPr>
                <w:color w:val="000000"/>
              </w:rPr>
            </w:pPr>
            <w:r w:rsidRPr="00AA65FC">
              <w:rPr>
                <w:color w:val="000000"/>
              </w:rPr>
              <w:t>0.000*</w:t>
            </w:r>
          </w:p>
        </w:tc>
      </w:tr>
      <w:tr w:rsidR="008B283A" w:rsidRPr="00AA65FC" w14:paraId="06760A7F" w14:textId="77777777" w:rsidTr="008B6EAF">
        <w:trPr>
          <w:trHeight w:val="47"/>
        </w:trPr>
        <w:tc>
          <w:tcPr>
            <w:tcW w:w="1056" w:type="dxa"/>
            <w:tcBorders>
              <w:top w:val="single" w:sz="4" w:space="0" w:color="auto"/>
              <w:bottom w:val="single" w:sz="4" w:space="0" w:color="auto"/>
              <w:right w:val="single" w:sz="4" w:space="0" w:color="auto"/>
            </w:tcBorders>
            <w:shd w:val="clear" w:color="auto" w:fill="auto"/>
            <w:noWrap/>
            <w:vAlign w:val="bottom"/>
            <w:hideMark/>
          </w:tcPr>
          <w:p w14:paraId="06760A78" w14:textId="77777777" w:rsidR="008B283A" w:rsidRPr="00AA65FC" w:rsidRDefault="008B283A" w:rsidP="00820D75">
            <w:pPr>
              <w:rPr>
                <w:color w:val="000000"/>
              </w:rPr>
            </w:pPr>
            <w:r w:rsidRPr="00AA65FC">
              <w:rPr>
                <w:color w:val="000000"/>
              </w:rPr>
              <w:t>END</w:t>
            </w:r>
          </w:p>
        </w:tc>
        <w:tc>
          <w:tcPr>
            <w:tcW w:w="1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A79" w14:textId="77777777" w:rsidR="008B283A" w:rsidRPr="00AA65FC" w:rsidRDefault="008B283A" w:rsidP="00820D75">
            <w:pPr>
              <w:jc w:val="center"/>
              <w:rPr>
                <w:color w:val="000000"/>
              </w:rPr>
            </w:pPr>
            <w:r w:rsidRPr="00AA65FC">
              <w:rPr>
                <w:color w:val="000000"/>
              </w:rPr>
              <w:t>0,0003</w:t>
            </w:r>
          </w:p>
        </w:tc>
        <w:tc>
          <w:tcPr>
            <w:tcW w:w="14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A7A" w14:textId="77777777" w:rsidR="008B283A" w:rsidRPr="00AA65FC" w:rsidRDefault="008B283A" w:rsidP="00820D75">
            <w:pPr>
              <w:jc w:val="center"/>
              <w:rPr>
                <w:color w:val="000000"/>
              </w:rPr>
            </w:pPr>
            <w:r w:rsidRPr="00AA65FC">
              <w:rPr>
                <w:color w:val="000000"/>
              </w:rPr>
              <w:t>0.807</w:t>
            </w:r>
          </w:p>
        </w:tc>
        <w:tc>
          <w:tcPr>
            <w:tcW w:w="1436"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6760A7B" w14:textId="77777777" w:rsidR="008B283A" w:rsidRPr="00AA65FC" w:rsidRDefault="008B283A" w:rsidP="00820D75">
            <w:pPr>
              <w:jc w:val="center"/>
              <w:rPr>
                <w:color w:val="000000"/>
              </w:rPr>
            </w:pPr>
            <w:r w:rsidRPr="00AA65FC">
              <w:rPr>
                <w:color w:val="000000"/>
              </w:rPr>
              <w:t>0,0014</w:t>
            </w:r>
          </w:p>
        </w:tc>
        <w:tc>
          <w:tcPr>
            <w:tcW w:w="1398"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6760A7C" w14:textId="77777777" w:rsidR="008B283A" w:rsidRPr="00AA65FC" w:rsidRDefault="008B283A" w:rsidP="00820D75">
            <w:pPr>
              <w:jc w:val="center"/>
              <w:rPr>
                <w:color w:val="000000"/>
              </w:rPr>
            </w:pPr>
            <w:r w:rsidRPr="00AA65FC">
              <w:rPr>
                <w:color w:val="000000"/>
              </w:rPr>
              <w:t>0.019*</w:t>
            </w:r>
          </w:p>
        </w:tc>
        <w:tc>
          <w:tcPr>
            <w:tcW w:w="1354"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06760A7D" w14:textId="77777777" w:rsidR="008B283A" w:rsidRPr="00AA65FC" w:rsidRDefault="008B283A" w:rsidP="00820D75">
            <w:pPr>
              <w:jc w:val="center"/>
              <w:rPr>
                <w:color w:val="000000"/>
              </w:rPr>
            </w:pPr>
            <w:r w:rsidRPr="00AA65FC">
              <w:rPr>
                <w:color w:val="000000"/>
              </w:rPr>
              <w:t>0,0014</w:t>
            </w:r>
          </w:p>
        </w:tc>
        <w:tc>
          <w:tcPr>
            <w:tcW w:w="1187" w:type="dxa"/>
            <w:tcBorders>
              <w:top w:val="single" w:sz="4" w:space="0" w:color="auto"/>
              <w:left w:val="single" w:sz="4" w:space="0" w:color="auto"/>
              <w:bottom w:val="single" w:sz="4" w:space="0" w:color="auto"/>
            </w:tcBorders>
            <w:shd w:val="clear" w:color="auto" w:fill="E7E6E6" w:themeFill="background2"/>
            <w:noWrap/>
            <w:vAlign w:val="bottom"/>
            <w:hideMark/>
          </w:tcPr>
          <w:p w14:paraId="06760A7E" w14:textId="77777777" w:rsidR="008B283A" w:rsidRPr="00AA65FC" w:rsidRDefault="008B283A" w:rsidP="00820D75">
            <w:pPr>
              <w:jc w:val="center"/>
              <w:rPr>
                <w:color w:val="000000"/>
              </w:rPr>
            </w:pPr>
            <w:r w:rsidRPr="00AA65FC">
              <w:rPr>
                <w:color w:val="000000"/>
              </w:rPr>
              <w:t>0.005*</w:t>
            </w:r>
          </w:p>
        </w:tc>
      </w:tr>
      <w:tr w:rsidR="008B283A" w:rsidRPr="00AA65FC" w14:paraId="06760A87" w14:textId="77777777" w:rsidTr="008B6EAF">
        <w:trPr>
          <w:trHeight w:val="47"/>
        </w:trPr>
        <w:tc>
          <w:tcPr>
            <w:tcW w:w="1056" w:type="dxa"/>
            <w:tcBorders>
              <w:top w:val="single" w:sz="4" w:space="0" w:color="auto"/>
              <w:bottom w:val="single" w:sz="4" w:space="0" w:color="auto"/>
              <w:right w:val="single" w:sz="4" w:space="0" w:color="auto"/>
            </w:tcBorders>
            <w:shd w:val="clear" w:color="auto" w:fill="auto"/>
            <w:noWrap/>
            <w:vAlign w:val="bottom"/>
          </w:tcPr>
          <w:p w14:paraId="06760A80" w14:textId="77777777" w:rsidR="008B283A" w:rsidRPr="00AA65FC" w:rsidRDefault="008B283A" w:rsidP="00820D75">
            <w:pPr>
              <w:rPr>
                <w:color w:val="000000"/>
              </w:rPr>
            </w:pPr>
            <w:r w:rsidRPr="00AA65FC">
              <w:rPr>
                <w:color w:val="000000"/>
              </w:rPr>
              <w:t>Const.</w:t>
            </w:r>
          </w:p>
        </w:tc>
        <w:tc>
          <w:tcPr>
            <w:tcW w:w="1407"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tcPr>
          <w:p w14:paraId="06760A81" w14:textId="77777777" w:rsidR="008B283A" w:rsidRPr="00AA65FC" w:rsidRDefault="008B283A" w:rsidP="00820D75">
            <w:pPr>
              <w:jc w:val="center"/>
              <w:rPr>
                <w:color w:val="000000"/>
              </w:rPr>
            </w:pPr>
            <w:r w:rsidRPr="00AA65FC">
              <w:rPr>
                <w:color w:val="000000"/>
              </w:rPr>
              <w:t>0,0248</w:t>
            </w:r>
          </w:p>
        </w:tc>
        <w:tc>
          <w:tcPr>
            <w:tcW w:w="1408"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tcPr>
          <w:p w14:paraId="06760A82" w14:textId="77777777" w:rsidR="008B283A" w:rsidRPr="00AA65FC" w:rsidRDefault="008B283A" w:rsidP="00820D75">
            <w:pPr>
              <w:jc w:val="center"/>
              <w:rPr>
                <w:color w:val="000000"/>
              </w:rPr>
            </w:pPr>
            <w:r w:rsidRPr="00AA65FC">
              <w:rPr>
                <w:color w:val="000000"/>
              </w:rPr>
              <w:t>0.000*</w:t>
            </w:r>
          </w:p>
        </w:tc>
        <w:tc>
          <w:tcPr>
            <w:tcW w:w="1436"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tcPr>
          <w:p w14:paraId="06760A83" w14:textId="77777777" w:rsidR="008B283A" w:rsidRPr="00AA65FC" w:rsidRDefault="008B283A" w:rsidP="00820D75">
            <w:pPr>
              <w:jc w:val="center"/>
              <w:rPr>
                <w:color w:val="000000"/>
              </w:rPr>
            </w:pPr>
            <w:r w:rsidRPr="00AA65FC">
              <w:rPr>
                <w:color w:val="000000"/>
              </w:rPr>
              <w:t>0,0172</w:t>
            </w:r>
          </w:p>
        </w:tc>
        <w:tc>
          <w:tcPr>
            <w:tcW w:w="1398"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tcPr>
          <w:p w14:paraId="06760A84" w14:textId="77777777" w:rsidR="008B283A" w:rsidRPr="00AA65FC" w:rsidRDefault="008B283A" w:rsidP="00820D75">
            <w:pPr>
              <w:jc w:val="center"/>
              <w:rPr>
                <w:color w:val="000000"/>
              </w:rPr>
            </w:pPr>
            <w:r w:rsidRPr="00AA65FC">
              <w:rPr>
                <w:color w:val="000000"/>
              </w:rPr>
              <w:t>0.000*</w:t>
            </w:r>
          </w:p>
        </w:tc>
        <w:tc>
          <w:tcPr>
            <w:tcW w:w="1354"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tcPr>
          <w:p w14:paraId="06760A85" w14:textId="77777777" w:rsidR="008B283A" w:rsidRPr="00AA65FC" w:rsidRDefault="008B283A" w:rsidP="00820D75">
            <w:pPr>
              <w:jc w:val="center"/>
              <w:rPr>
                <w:color w:val="000000"/>
              </w:rPr>
            </w:pPr>
            <w:r w:rsidRPr="00AA65FC">
              <w:rPr>
                <w:color w:val="000000"/>
              </w:rPr>
              <w:t>0,0153</w:t>
            </w:r>
          </w:p>
        </w:tc>
        <w:tc>
          <w:tcPr>
            <w:tcW w:w="1187" w:type="dxa"/>
            <w:tcBorders>
              <w:top w:val="single" w:sz="4" w:space="0" w:color="auto"/>
              <w:left w:val="single" w:sz="4" w:space="0" w:color="auto"/>
              <w:bottom w:val="single" w:sz="4" w:space="0" w:color="auto"/>
            </w:tcBorders>
            <w:shd w:val="clear" w:color="auto" w:fill="E7E6E6" w:themeFill="background2"/>
            <w:noWrap/>
            <w:vAlign w:val="bottom"/>
          </w:tcPr>
          <w:p w14:paraId="06760A86" w14:textId="77777777" w:rsidR="008B283A" w:rsidRPr="00AA65FC" w:rsidRDefault="008B283A" w:rsidP="00820D75">
            <w:pPr>
              <w:jc w:val="center"/>
              <w:rPr>
                <w:color w:val="000000"/>
              </w:rPr>
            </w:pPr>
            <w:r w:rsidRPr="00AA65FC">
              <w:rPr>
                <w:color w:val="000000"/>
              </w:rPr>
              <w:t>0.000*</w:t>
            </w:r>
          </w:p>
        </w:tc>
      </w:tr>
      <w:tr w:rsidR="008B283A" w:rsidRPr="00AA65FC" w14:paraId="06760A8C" w14:textId="77777777" w:rsidTr="008B6EAF">
        <w:trPr>
          <w:trHeight w:val="27"/>
        </w:trPr>
        <w:tc>
          <w:tcPr>
            <w:tcW w:w="1056" w:type="dxa"/>
            <w:tcBorders>
              <w:top w:val="single" w:sz="4" w:space="0" w:color="auto"/>
              <w:bottom w:val="single" w:sz="4" w:space="0" w:color="auto"/>
              <w:right w:val="single" w:sz="4" w:space="0" w:color="auto"/>
            </w:tcBorders>
            <w:shd w:val="clear" w:color="auto" w:fill="auto"/>
            <w:noWrap/>
            <w:vAlign w:val="bottom"/>
            <w:hideMark/>
          </w:tcPr>
          <w:p w14:paraId="06760A88" w14:textId="77777777" w:rsidR="008B283A" w:rsidRPr="00AA65FC" w:rsidRDefault="008B283A" w:rsidP="00820D75">
            <w:pPr>
              <w:rPr>
                <w:color w:val="000000"/>
              </w:rPr>
            </w:pPr>
            <w:r w:rsidRPr="00AA65FC">
              <w:rPr>
                <w:color w:val="000000"/>
              </w:rPr>
              <w:t>R²</w:t>
            </w:r>
          </w:p>
        </w:tc>
        <w:tc>
          <w:tcPr>
            <w:tcW w:w="28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A89" w14:textId="77777777" w:rsidR="008B283A" w:rsidRPr="00AA65FC" w:rsidRDefault="008B283A" w:rsidP="00820D75">
            <w:pPr>
              <w:jc w:val="center"/>
              <w:rPr>
                <w:color w:val="000000"/>
              </w:rPr>
            </w:pPr>
            <w:r w:rsidRPr="00AA65FC">
              <w:rPr>
                <w:color w:val="000000"/>
              </w:rPr>
              <w:t>0.3476</w:t>
            </w:r>
          </w:p>
        </w:tc>
        <w:tc>
          <w:tcPr>
            <w:tcW w:w="28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A8A" w14:textId="77777777" w:rsidR="008B283A" w:rsidRPr="00AA65FC" w:rsidRDefault="008B283A" w:rsidP="00820D75">
            <w:pPr>
              <w:jc w:val="center"/>
              <w:rPr>
                <w:color w:val="000000"/>
              </w:rPr>
            </w:pPr>
            <w:r w:rsidRPr="00AA65FC">
              <w:rPr>
                <w:color w:val="000000"/>
              </w:rPr>
              <w:t>0.4799</w:t>
            </w:r>
          </w:p>
        </w:tc>
        <w:tc>
          <w:tcPr>
            <w:tcW w:w="2541" w:type="dxa"/>
            <w:gridSpan w:val="2"/>
            <w:tcBorders>
              <w:top w:val="single" w:sz="4" w:space="0" w:color="auto"/>
              <w:left w:val="single" w:sz="4" w:space="0" w:color="auto"/>
              <w:bottom w:val="single" w:sz="4" w:space="0" w:color="auto"/>
            </w:tcBorders>
            <w:shd w:val="clear" w:color="auto" w:fill="auto"/>
            <w:noWrap/>
            <w:vAlign w:val="bottom"/>
            <w:hideMark/>
          </w:tcPr>
          <w:p w14:paraId="06760A8B" w14:textId="77777777" w:rsidR="008B283A" w:rsidRPr="00AA65FC" w:rsidRDefault="008B283A" w:rsidP="00820D75">
            <w:pPr>
              <w:jc w:val="center"/>
              <w:rPr>
                <w:color w:val="000000"/>
              </w:rPr>
            </w:pPr>
            <w:r w:rsidRPr="00AA65FC">
              <w:rPr>
                <w:color w:val="000000"/>
              </w:rPr>
              <w:t>0.4563</w:t>
            </w:r>
          </w:p>
        </w:tc>
      </w:tr>
      <w:tr w:rsidR="008B283A" w:rsidRPr="00AA65FC" w14:paraId="06760A91" w14:textId="77777777" w:rsidTr="008B6EAF">
        <w:trPr>
          <w:trHeight w:val="27"/>
        </w:trPr>
        <w:tc>
          <w:tcPr>
            <w:tcW w:w="1056" w:type="dxa"/>
            <w:tcBorders>
              <w:top w:val="single" w:sz="4" w:space="0" w:color="auto"/>
              <w:bottom w:val="single" w:sz="4" w:space="0" w:color="auto"/>
              <w:right w:val="single" w:sz="4" w:space="0" w:color="auto"/>
            </w:tcBorders>
            <w:shd w:val="clear" w:color="auto" w:fill="auto"/>
            <w:noWrap/>
            <w:vAlign w:val="bottom"/>
            <w:hideMark/>
          </w:tcPr>
          <w:p w14:paraId="06760A8D" w14:textId="77777777" w:rsidR="008B283A" w:rsidRPr="00AA65FC" w:rsidRDefault="008B283A" w:rsidP="00820D75">
            <w:pPr>
              <w:rPr>
                <w:color w:val="000000"/>
              </w:rPr>
            </w:pPr>
            <w:proofErr w:type="spellStart"/>
            <w:r w:rsidRPr="00AA65FC">
              <w:rPr>
                <w:color w:val="000000"/>
              </w:rPr>
              <w:t>Sig</w:t>
            </w:r>
            <w:proofErr w:type="spellEnd"/>
          </w:p>
        </w:tc>
        <w:tc>
          <w:tcPr>
            <w:tcW w:w="28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A8E" w14:textId="77777777" w:rsidR="008B283A" w:rsidRPr="00AA65FC" w:rsidRDefault="008B283A" w:rsidP="00820D75">
            <w:pPr>
              <w:jc w:val="center"/>
              <w:rPr>
                <w:color w:val="000000"/>
              </w:rPr>
            </w:pPr>
            <w:r w:rsidRPr="00AA65FC">
              <w:rPr>
                <w:color w:val="000000"/>
              </w:rPr>
              <w:t>0.0000*</w:t>
            </w:r>
          </w:p>
        </w:tc>
        <w:tc>
          <w:tcPr>
            <w:tcW w:w="28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A8F" w14:textId="77777777" w:rsidR="008B283A" w:rsidRPr="00AA65FC" w:rsidRDefault="008B283A" w:rsidP="00820D75">
            <w:pPr>
              <w:jc w:val="center"/>
              <w:rPr>
                <w:color w:val="000000"/>
              </w:rPr>
            </w:pPr>
            <w:r w:rsidRPr="00AA65FC">
              <w:rPr>
                <w:color w:val="000000"/>
              </w:rPr>
              <w:t>0.0000*</w:t>
            </w:r>
          </w:p>
        </w:tc>
        <w:tc>
          <w:tcPr>
            <w:tcW w:w="2541" w:type="dxa"/>
            <w:gridSpan w:val="2"/>
            <w:tcBorders>
              <w:top w:val="single" w:sz="4" w:space="0" w:color="auto"/>
              <w:left w:val="single" w:sz="4" w:space="0" w:color="auto"/>
              <w:bottom w:val="single" w:sz="4" w:space="0" w:color="auto"/>
            </w:tcBorders>
            <w:shd w:val="clear" w:color="auto" w:fill="auto"/>
            <w:noWrap/>
            <w:vAlign w:val="bottom"/>
            <w:hideMark/>
          </w:tcPr>
          <w:p w14:paraId="06760A90" w14:textId="77777777" w:rsidR="008B283A" w:rsidRPr="00AA65FC" w:rsidRDefault="008B283A" w:rsidP="00820D75">
            <w:pPr>
              <w:jc w:val="center"/>
              <w:rPr>
                <w:color w:val="000000"/>
              </w:rPr>
            </w:pPr>
            <w:r w:rsidRPr="00AA65FC">
              <w:rPr>
                <w:color w:val="000000"/>
              </w:rPr>
              <w:t>0.0000*</w:t>
            </w:r>
          </w:p>
        </w:tc>
      </w:tr>
      <w:tr w:rsidR="008B283A" w:rsidRPr="00AA65FC" w14:paraId="06760A96" w14:textId="77777777" w:rsidTr="008B6EAF">
        <w:trPr>
          <w:trHeight w:val="27"/>
        </w:trPr>
        <w:tc>
          <w:tcPr>
            <w:tcW w:w="1056" w:type="dxa"/>
            <w:tcBorders>
              <w:top w:val="single" w:sz="4" w:space="0" w:color="auto"/>
              <w:bottom w:val="single" w:sz="4" w:space="0" w:color="auto"/>
              <w:right w:val="single" w:sz="4" w:space="0" w:color="auto"/>
            </w:tcBorders>
            <w:shd w:val="clear" w:color="auto" w:fill="auto"/>
            <w:noWrap/>
            <w:vAlign w:val="bottom"/>
          </w:tcPr>
          <w:p w14:paraId="06760A92" w14:textId="77777777" w:rsidR="008B283A" w:rsidRPr="00AA65FC" w:rsidRDefault="008B283A" w:rsidP="00820D75">
            <w:pPr>
              <w:rPr>
                <w:color w:val="000000"/>
              </w:rPr>
            </w:pPr>
            <w:r w:rsidRPr="00AA65FC">
              <w:rPr>
                <w:color w:val="000000"/>
              </w:rPr>
              <w:t>DW</w:t>
            </w:r>
          </w:p>
        </w:tc>
        <w:tc>
          <w:tcPr>
            <w:tcW w:w="28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6760A93" w14:textId="77777777" w:rsidR="008B283A" w:rsidRPr="00AA65FC" w:rsidRDefault="008B283A" w:rsidP="00820D75">
            <w:pPr>
              <w:jc w:val="center"/>
              <w:rPr>
                <w:color w:val="000000"/>
              </w:rPr>
            </w:pPr>
            <w:r w:rsidRPr="00AA65FC">
              <w:rPr>
                <w:color w:val="000000"/>
              </w:rPr>
              <w:t>1.72</w:t>
            </w:r>
          </w:p>
        </w:tc>
        <w:tc>
          <w:tcPr>
            <w:tcW w:w="28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6760A94" w14:textId="77777777" w:rsidR="008B283A" w:rsidRPr="00AA65FC" w:rsidRDefault="008B283A" w:rsidP="00820D75">
            <w:pPr>
              <w:jc w:val="center"/>
              <w:rPr>
                <w:color w:val="000000"/>
              </w:rPr>
            </w:pPr>
            <w:r w:rsidRPr="00AA65FC">
              <w:rPr>
                <w:color w:val="000000"/>
              </w:rPr>
              <w:t>2.13</w:t>
            </w:r>
          </w:p>
        </w:tc>
        <w:tc>
          <w:tcPr>
            <w:tcW w:w="2541" w:type="dxa"/>
            <w:gridSpan w:val="2"/>
            <w:tcBorders>
              <w:top w:val="single" w:sz="4" w:space="0" w:color="auto"/>
              <w:left w:val="single" w:sz="4" w:space="0" w:color="auto"/>
              <w:bottom w:val="single" w:sz="4" w:space="0" w:color="auto"/>
            </w:tcBorders>
            <w:shd w:val="clear" w:color="auto" w:fill="auto"/>
            <w:noWrap/>
            <w:vAlign w:val="bottom"/>
          </w:tcPr>
          <w:p w14:paraId="06760A95" w14:textId="77777777" w:rsidR="008B283A" w:rsidRPr="00AA65FC" w:rsidRDefault="008B283A" w:rsidP="00820D75">
            <w:pPr>
              <w:jc w:val="center"/>
              <w:rPr>
                <w:color w:val="000000"/>
              </w:rPr>
            </w:pPr>
            <w:r w:rsidRPr="00AA65FC">
              <w:rPr>
                <w:color w:val="000000"/>
              </w:rPr>
              <w:t>2.01</w:t>
            </w:r>
          </w:p>
        </w:tc>
      </w:tr>
      <w:tr w:rsidR="008B283A" w:rsidRPr="00AA65FC" w14:paraId="06760A9B" w14:textId="77777777" w:rsidTr="008B6EAF">
        <w:trPr>
          <w:trHeight w:val="27"/>
        </w:trPr>
        <w:tc>
          <w:tcPr>
            <w:tcW w:w="1056" w:type="dxa"/>
            <w:tcBorders>
              <w:top w:val="single" w:sz="4" w:space="0" w:color="auto"/>
              <w:bottom w:val="single" w:sz="4" w:space="0" w:color="auto"/>
              <w:right w:val="single" w:sz="4" w:space="0" w:color="auto"/>
            </w:tcBorders>
            <w:shd w:val="clear" w:color="auto" w:fill="auto"/>
            <w:noWrap/>
            <w:vAlign w:val="bottom"/>
            <w:hideMark/>
          </w:tcPr>
          <w:p w14:paraId="06760A97" w14:textId="77777777" w:rsidR="008B283A" w:rsidRPr="00AA65FC" w:rsidRDefault="008B283A" w:rsidP="00820D75">
            <w:pPr>
              <w:rPr>
                <w:color w:val="000000"/>
              </w:rPr>
            </w:pPr>
            <w:r w:rsidRPr="00AA65FC">
              <w:rPr>
                <w:color w:val="000000"/>
              </w:rPr>
              <w:t>VIF</w:t>
            </w:r>
          </w:p>
        </w:tc>
        <w:tc>
          <w:tcPr>
            <w:tcW w:w="28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A98" w14:textId="77777777" w:rsidR="008B283A" w:rsidRPr="00AA65FC" w:rsidRDefault="008B283A" w:rsidP="00820D75">
            <w:pPr>
              <w:jc w:val="center"/>
              <w:rPr>
                <w:color w:val="000000"/>
              </w:rPr>
            </w:pPr>
            <w:r w:rsidRPr="00AA65FC">
              <w:rPr>
                <w:color w:val="000000"/>
              </w:rPr>
              <w:t>1.82</w:t>
            </w:r>
          </w:p>
        </w:tc>
        <w:tc>
          <w:tcPr>
            <w:tcW w:w="28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60A99" w14:textId="77777777" w:rsidR="008B283A" w:rsidRPr="00AA65FC" w:rsidRDefault="008B283A" w:rsidP="00820D75">
            <w:pPr>
              <w:jc w:val="center"/>
              <w:rPr>
                <w:color w:val="000000"/>
              </w:rPr>
            </w:pPr>
            <w:r w:rsidRPr="00AA65FC">
              <w:rPr>
                <w:color w:val="000000"/>
              </w:rPr>
              <w:t>1.82</w:t>
            </w:r>
          </w:p>
        </w:tc>
        <w:tc>
          <w:tcPr>
            <w:tcW w:w="2541" w:type="dxa"/>
            <w:gridSpan w:val="2"/>
            <w:tcBorders>
              <w:top w:val="single" w:sz="4" w:space="0" w:color="auto"/>
              <w:left w:val="single" w:sz="4" w:space="0" w:color="auto"/>
              <w:bottom w:val="single" w:sz="4" w:space="0" w:color="auto"/>
            </w:tcBorders>
            <w:shd w:val="clear" w:color="auto" w:fill="auto"/>
            <w:noWrap/>
            <w:vAlign w:val="bottom"/>
            <w:hideMark/>
          </w:tcPr>
          <w:p w14:paraId="06760A9A" w14:textId="77777777" w:rsidR="008B283A" w:rsidRPr="00AA65FC" w:rsidRDefault="008B283A" w:rsidP="00820D75">
            <w:pPr>
              <w:jc w:val="center"/>
              <w:rPr>
                <w:color w:val="000000"/>
              </w:rPr>
            </w:pPr>
            <w:r w:rsidRPr="00AA65FC">
              <w:rPr>
                <w:color w:val="000000"/>
              </w:rPr>
              <w:t>1.82</w:t>
            </w:r>
          </w:p>
        </w:tc>
      </w:tr>
      <w:tr w:rsidR="008B283A" w:rsidRPr="00AA65FC" w14:paraId="06760AA0" w14:textId="77777777" w:rsidTr="008B6EAF">
        <w:trPr>
          <w:trHeight w:val="27"/>
        </w:trPr>
        <w:tc>
          <w:tcPr>
            <w:tcW w:w="1056" w:type="dxa"/>
            <w:tcBorders>
              <w:top w:val="single" w:sz="4" w:space="0" w:color="auto"/>
              <w:bottom w:val="single" w:sz="18" w:space="0" w:color="auto"/>
              <w:right w:val="single" w:sz="4" w:space="0" w:color="auto"/>
            </w:tcBorders>
            <w:shd w:val="clear" w:color="auto" w:fill="auto"/>
            <w:noWrap/>
            <w:vAlign w:val="bottom"/>
            <w:hideMark/>
          </w:tcPr>
          <w:p w14:paraId="06760A9C" w14:textId="77777777" w:rsidR="008B283A" w:rsidRPr="00AA65FC" w:rsidRDefault="008B283A" w:rsidP="00820D75">
            <w:pPr>
              <w:rPr>
                <w:color w:val="000000"/>
              </w:rPr>
            </w:pPr>
            <w:r w:rsidRPr="00AA65FC">
              <w:rPr>
                <w:color w:val="000000"/>
              </w:rPr>
              <w:t>Obs.</w:t>
            </w:r>
          </w:p>
        </w:tc>
        <w:tc>
          <w:tcPr>
            <w:tcW w:w="2815" w:type="dxa"/>
            <w:gridSpan w:val="2"/>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06760A9D" w14:textId="77777777" w:rsidR="008B283A" w:rsidRPr="00AA65FC" w:rsidRDefault="008B283A" w:rsidP="00820D75">
            <w:pPr>
              <w:jc w:val="center"/>
              <w:rPr>
                <w:color w:val="000000"/>
              </w:rPr>
            </w:pPr>
            <w:r w:rsidRPr="00AA65FC">
              <w:rPr>
                <w:color w:val="000000"/>
              </w:rPr>
              <w:t>211</w:t>
            </w:r>
          </w:p>
        </w:tc>
        <w:tc>
          <w:tcPr>
            <w:tcW w:w="2834" w:type="dxa"/>
            <w:gridSpan w:val="2"/>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06760A9E" w14:textId="77777777" w:rsidR="008B283A" w:rsidRPr="00AA65FC" w:rsidRDefault="008B283A" w:rsidP="00820D75">
            <w:pPr>
              <w:jc w:val="center"/>
              <w:rPr>
                <w:color w:val="000000"/>
              </w:rPr>
            </w:pPr>
            <w:r w:rsidRPr="00AA65FC">
              <w:rPr>
                <w:color w:val="000000"/>
              </w:rPr>
              <w:t>211</w:t>
            </w:r>
          </w:p>
        </w:tc>
        <w:tc>
          <w:tcPr>
            <w:tcW w:w="2541" w:type="dxa"/>
            <w:gridSpan w:val="2"/>
            <w:tcBorders>
              <w:top w:val="single" w:sz="4" w:space="0" w:color="auto"/>
              <w:left w:val="single" w:sz="4" w:space="0" w:color="auto"/>
              <w:bottom w:val="single" w:sz="18" w:space="0" w:color="auto"/>
            </w:tcBorders>
            <w:shd w:val="clear" w:color="auto" w:fill="auto"/>
            <w:noWrap/>
            <w:vAlign w:val="bottom"/>
            <w:hideMark/>
          </w:tcPr>
          <w:p w14:paraId="06760A9F" w14:textId="77777777" w:rsidR="008B283A" w:rsidRPr="00AA65FC" w:rsidRDefault="008B283A" w:rsidP="00820D75">
            <w:pPr>
              <w:jc w:val="center"/>
              <w:rPr>
                <w:color w:val="000000"/>
              </w:rPr>
            </w:pPr>
            <w:r w:rsidRPr="00AA65FC">
              <w:rPr>
                <w:color w:val="000000"/>
              </w:rPr>
              <w:t>211</w:t>
            </w:r>
          </w:p>
        </w:tc>
      </w:tr>
    </w:tbl>
    <w:p w14:paraId="06760AA1" w14:textId="77777777" w:rsidR="008B283A" w:rsidRPr="00AA65FC" w:rsidRDefault="008B283A" w:rsidP="00820D75">
      <w:pPr>
        <w:jc w:val="both"/>
        <w:rPr>
          <w:sz w:val="16"/>
          <w:szCs w:val="16"/>
        </w:rPr>
      </w:pPr>
      <w:r w:rsidRPr="00AA65FC">
        <w:t xml:space="preserve">*Significância ao nível de 5%, **Significância ao nível de 10%. Legenda: CA: comitê de auditoria; TAM: tamanho da empresa; ROE: rentabilidade do patrimônio líquido da empresa; END: endividamento da empresa; </w:t>
      </w:r>
      <w:proofErr w:type="spellStart"/>
      <w:r w:rsidRPr="00AA65FC">
        <w:t>Const</w:t>
      </w:r>
      <w:proofErr w:type="spellEnd"/>
      <w:r w:rsidRPr="00AA65FC">
        <w:t xml:space="preserve">: Constante; </w:t>
      </w:r>
      <w:proofErr w:type="spellStart"/>
      <w:r w:rsidRPr="00AA65FC">
        <w:t>Sig</w:t>
      </w:r>
      <w:proofErr w:type="spellEnd"/>
      <w:r w:rsidRPr="00AA65FC">
        <w:t xml:space="preserve">: significância do modelo; DW: teste </w:t>
      </w:r>
      <w:proofErr w:type="spellStart"/>
      <w:r w:rsidRPr="00AA65FC">
        <w:t>Durbin</w:t>
      </w:r>
      <w:proofErr w:type="spellEnd"/>
      <w:r w:rsidRPr="00AA65FC">
        <w:t xml:space="preserve"> Watson; VIF: fator de inflação de variância; </w:t>
      </w:r>
      <w:proofErr w:type="spellStart"/>
      <w:r w:rsidRPr="00AA65FC">
        <w:t>Obs</w:t>
      </w:r>
      <w:proofErr w:type="spellEnd"/>
      <w:r w:rsidRPr="00AA65FC">
        <w:t>: observações.</w:t>
      </w:r>
    </w:p>
    <w:p w14:paraId="06760AA2" w14:textId="596FA40F" w:rsidR="008B283A" w:rsidRDefault="008B283A" w:rsidP="00820D75">
      <w:pPr>
        <w:jc w:val="both"/>
        <w:rPr>
          <w:rFonts w:eastAsia="Calibri"/>
        </w:rPr>
      </w:pPr>
      <w:r w:rsidRPr="00AA65FC">
        <w:rPr>
          <w:rFonts w:eastAsia="Calibri"/>
        </w:rPr>
        <w:t>Fonte: Dados da pesquisa.</w:t>
      </w:r>
    </w:p>
    <w:p w14:paraId="2AF5CA70" w14:textId="77777777" w:rsidR="00FF47EC" w:rsidRPr="00AA65FC" w:rsidRDefault="00FF47EC" w:rsidP="00820D75">
      <w:pPr>
        <w:jc w:val="both"/>
        <w:rPr>
          <w:rFonts w:eastAsia="Calibri"/>
        </w:rPr>
      </w:pPr>
    </w:p>
    <w:p w14:paraId="06760AA3" w14:textId="4D9777A4" w:rsidR="008B283A" w:rsidRPr="00AA65FC" w:rsidRDefault="008B283A" w:rsidP="00820D75">
      <w:pPr>
        <w:pStyle w:val="SemEspaamento"/>
        <w:ind w:firstLine="708"/>
        <w:rPr>
          <w:rFonts w:cs="Times New Roman"/>
        </w:rPr>
      </w:pPr>
      <w:r w:rsidRPr="00AA65FC">
        <w:rPr>
          <w:rFonts w:cs="Times New Roman"/>
        </w:rPr>
        <w:t xml:space="preserve">Com relação a variável de independência dos membros do </w:t>
      </w:r>
      <w:r w:rsidR="00497127">
        <w:rPr>
          <w:rFonts w:cs="Times New Roman"/>
        </w:rPr>
        <w:t>CA</w:t>
      </w:r>
      <w:r w:rsidRPr="00AA65FC">
        <w:rPr>
          <w:rFonts w:cs="Times New Roman"/>
        </w:rPr>
        <w:t xml:space="preserve">, observa-se que para as três variáveis de assimetria informacional não houve significância estatística, o que gera evidências insuficientes para qualquer conclusão. Desta forma, H2 é rejeitada, aceitando-se assim a H0, que sugere que a independência não </w:t>
      </w:r>
      <w:r w:rsidR="00497127">
        <w:rPr>
          <w:rFonts w:cs="Times New Roman"/>
        </w:rPr>
        <w:t>se mostrou</w:t>
      </w:r>
      <w:r w:rsidRPr="00AA65FC">
        <w:rPr>
          <w:rFonts w:cs="Times New Roman"/>
        </w:rPr>
        <w:t xml:space="preserve"> uma característica que influencia a assimetria da informação entre </w:t>
      </w:r>
      <w:r>
        <w:rPr>
          <w:rFonts w:cs="Times New Roman"/>
        </w:rPr>
        <w:t>gestores</w:t>
      </w:r>
      <w:r w:rsidRPr="00AA65FC">
        <w:rPr>
          <w:rFonts w:cs="Times New Roman"/>
        </w:rPr>
        <w:t xml:space="preserve"> e investidores, nesta amostra de empresas</w:t>
      </w:r>
      <w:r w:rsidR="00497127">
        <w:rPr>
          <w:rFonts w:cs="Times New Roman"/>
        </w:rPr>
        <w:t>.</w:t>
      </w:r>
    </w:p>
    <w:p w14:paraId="06760AA4" w14:textId="548235CD" w:rsidR="008B283A" w:rsidRPr="00AA65FC" w:rsidRDefault="008B283A" w:rsidP="00820D75">
      <w:pPr>
        <w:pStyle w:val="SemEspaamento"/>
        <w:ind w:firstLine="708"/>
        <w:rPr>
          <w:rFonts w:cs="Times New Roman"/>
        </w:rPr>
      </w:pPr>
      <w:r w:rsidRPr="00AA65FC">
        <w:rPr>
          <w:rFonts w:cs="Times New Roman"/>
        </w:rPr>
        <w:t xml:space="preserve">Para a variável de </w:t>
      </w:r>
      <w:r w:rsidRPr="00AA65FC">
        <w:rPr>
          <w:rFonts w:cs="Times New Roman"/>
          <w:i/>
        </w:rPr>
        <w:t>expertise</w:t>
      </w:r>
      <w:r w:rsidRPr="00AA65FC">
        <w:rPr>
          <w:rFonts w:cs="Times New Roman"/>
        </w:rPr>
        <w:t xml:space="preserve"> dos membros do </w:t>
      </w:r>
      <w:r w:rsidR="00FD20C7">
        <w:rPr>
          <w:rFonts w:cs="Times New Roman"/>
        </w:rPr>
        <w:t>CA</w:t>
      </w:r>
      <w:r w:rsidRPr="00AA65FC">
        <w:rPr>
          <w:rFonts w:cs="Times New Roman"/>
        </w:rPr>
        <w:t xml:space="preserve">, observa-se significância estatística a nível de 5% para as variáveis de assimetria informacional medidas após três e seis meses ao término do período. Assim, esses resultados sugerem que a </w:t>
      </w:r>
      <w:r w:rsidRPr="00AA65FC">
        <w:rPr>
          <w:rFonts w:cs="Times New Roman"/>
          <w:i/>
        </w:rPr>
        <w:t>expertise</w:t>
      </w:r>
      <w:r w:rsidRPr="00AA65FC">
        <w:rPr>
          <w:rFonts w:cs="Times New Roman"/>
        </w:rPr>
        <w:t xml:space="preserve"> financeira dos membros do </w:t>
      </w:r>
      <w:r w:rsidR="00497127">
        <w:rPr>
          <w:rFonts w:cs="Times New Roman"/>
        </w:rPr>
        <w:t>CA</w:t>
      </w:r>
      <w:r w:rsidRPr="00AA65FC">
        <w:rPr>
          <w:rFonts w:cs="Times New Roman"/>
        </w:rPr>
        <w:t xml:space="preserve"> influencia negativamente na assimetria da informação em períodos subsequentes ao término do período. Portanto, aceita-se H3, inferindo assim, que empresas que possuem pelo menos um membro no </w:t>
      </w:r>
      <w:r w:rsidR="00FD20C7">
        <w:rPr>
          <w:rFonts w:cs="Times New Roman"/>
        </w:rPr>
        <w:t>CA</w:t>
      </w:r>
      <w:r w:rsidRPr="00AA65FC">
        <w:rPr>
          <w:rFonts w:cs="Times New Roman"/>
        </w:rPr>
        <w:t xml:space="preserve"> com </w:t>
      </w:r>
      <w:r w:rsidRPr="00AA65FC">
        <w:rPr>
          <w:rFonts w:cs="Times New Roman"/>
          <w:i/>
        </w:rPr>
        <w:t>expertise</w:t>
      </w:r>
      <w:r w:rsidRPr="00AA65FC">
        <w:rPr>
          <w:rFonts w:cs="Times New Roman"/>
        </w:rPr>
        <w:t xml:space="preserve"> financeira, possuem menor assimetria de informação.</w:t>
      </w:r>
    </w:p>
    <w:p w14:paraId="06760AA5" w14:textId="67BDFD66" w:rsidR="008B283A" w:rsidRDefault="008B283A" w:rsidP="00820D75">
      <w:pPr>
        <w:pStyle w:val="SemEspaamento"/>
        <w:ind w:firstLine="708"/>
        <w:rPr>
          <w:rFonts w:cs="Times New Roman"/>
        </w:rPr>
      </w:pPr>
      <w:r w:rsidRPr="00AA65FC">
        <w:rPr>
          <w:rFonts w:eastAsia="Times New Roman" w:cs="Times New Roman"/>
          <w:bCs/>
          <w:szCs w:val="24"/>
        </w:rPr>
        <w:t xml:space="preserve">Essa evidência vai ao encontro dos preceitos teóricos acerca da assimetria da informação abordados na pesquisa de </w:t>
      </w:r>
      <w:proofErr w:type="spellStart"/>
      <w:r w:rsidRPr="00AA65FC">
        <w:rPr>
          <w:rFonts w:eastAsia="Times New Roman" w:cs="Times New Roman"/>
          <w:bCs/>
          <w:szCs w:val="24"/>
        </w:rPr>
        <w:t>Felo</w:t>
      </w:r>
      <w:proofErr w:type="spellEnd"/>
      <w:r w:rsidRPr="00AA65FC">
        <w:rPr>
          <w:rFonts w:eastAsia="Times New Roman" w:cs="Times New Roman"/>
          <w:bCs/>
          <w:szCs w:val="24"/>
        </w:rPr>
        <w:t xml:space="preserve"> et al. (2003). Os autores evidenciaram que o conhecimento dos membros do </w:t>
      </w:r>
      <w:r w:rsidR="00FD20C7">
        <w:rPr>
          <w:rFonts w:eastAsia="Times New Roman" w:cs="Times New Roman"/>
          <w:bCs/>
          <w:szCs w:val="24"/>
        </w:rPr>
        <w:t>CA</w:t>
      </w:r>
      <w:r w:rsidRPr="00AA65FC">
        <w:rPr>
          <w:rFonts w:eastAsia="Times New Roman" w:cs="Times New Roman"/>
          <w:bCs/>
          <w:szCs w:val="24"/>
        </w:rPr>
        <w:t xml:space="preserve"> gera um impacto significativo na qualidade dos relatórios financeiros. Uma possível justificativa teórica desse resultado é a diminuição da assimetria da informação, e, para </w:t>
      </w:r>
      <w:r w:rsidRPr="00AA65FC">
        <w:rPr>
          <w:rFonts w:eastAsia="Times New Roman" w:cs="Times New Roman"/>
          <w:bCs/>
          <w:szCs w:val="24"/>
        </w:rPr>
        <w:lastRenderedPageBreak/>
        <w:t xml:space="preserve">que a assimetria seja minimizada, os autores sugerem que sejam incluídos membros com </w:t>
      </w:r>
      <w:r w:rsidRPr="00AA65FC">
        <w:rPr>
          <w:rFonts w:eastAsia="Times New Roman" w:cs="Times New Roman"/>
          <w:bCs/>
          <w:i/>
          <w:szCs w:val="24"/>
        </w:rPr>
        <w:t>expertise</w:t>
      </w:r>
      <w:r w:rsidRPr="00AA65FC">
        <w:rPr>
          <w:rFonts w:eastAsia="Times New Roman" w:cs="Times New Roman"/>
          <w:bCs/>
          <w:szCs w:val="24"/>
        </w:rPr>
        <w:t xml:space="preserve"> em áreas financeiras e de contabilidade nos comitês de auditoria. </w:t>
      </w:r>
    </w:p>
    <w:p w14:paraId="06760AA6" w14:textId="126D2348" w:rsidR="008B283A" w:rsidRPr="00AA65FC" w:rsidRDefault="00FF47EC" w:rsidP="00820D75">
      <w:pPr>
        <w:pStyle w:val="SemEspaamento"/>
        <w:ind w:firstLine="708"/>
        <w:rPr>
          <w:rFonts w:eastAsia="Times New Roman" w:cs="Times New Roman"/>
          <w:bCs/>
          <w:szCs w:val="24"/>
        </w:rPr>
      </w:pPr>
      <w:r>
        <w:rPr>
          <w:rFonts w:cs="Times New Roman"/>
        </w:rPr>
        <w:t>E</w:t>
      </w:r>
      <w:r w:rsidR="008B283A">
        <w:rPr>
          <w:rFonts w:cs="Times New Roman"/>
        </w:rPr>
        <w:t xml:space="preserve">ntende-se que </w:t>
      </w:r>
      <w:r w:rsidR="008B283A" w:rsidRPr="00AA65FC">
        <w:rPr>
          <w:rFonts w:cs="Times New Roman"/>
        </w:rPr>
        <w:t>os resultados desse estudo geram evidências</w:t>
      </w:r>
      <w:r>
        <w:rPr>
          <w:rFonts w:cs="Times New Roman"/>
        </w:rPr>
        <w:t xml:space="preserve"> </w:t>
      </w:r>
      <w:r w:rsidR="008B283A" w:rsidRPr="00AA65FC">
        <w:rPr>
          <w:rFonts w:cs="Times New Roman"/>
        </w:rPr>
        <w:t xml:space="preserve">para a literatura, considerando que pesquisas anteriores investigaram a </w:t>
      </w:r>
      <w:r w:rsidR="008B283A" w:rsidRPr="00AA65FC">
        <w:rPr>
          <w:rFonts w:cs="Times New Roman"/>
          <w:i/>
        </w:rPr>
        <w:t>expertise</w:t>
      </w:r>
      <w:r w:rsidR="008B283A" w:rsidRPr="00AA65FC">
        <w:rPr>
          <w:rFonts w:cs="Times New Roman"/>
        </w:rPr>
        <w:t xml:space="preserve"> financeira ou contábil dos membros do </w:t>
      </w:r>
      <w:r w:rsidR="00FD20C7">
        <w:rPr>
          <w:rFonts w:cs="Times New Roman"/>
        </w:rPr>
        <w:t>CA</w:t>
      </w:r>
      <w:r w:rsidR="008B283A" w:rsidRPr="00AA65FC">
        <w:rPr>
          <w:rFonts w:cs="Times New Roman"/>
        </w:rPr>
        <w:t xml:space="preserve"> como forma de minimizar o gerenciamento de resultados e melhorar a qualidade da informação contábil das empresas (</w:t>
      </w:r>
      <w:proofErr w:type="spellStart"/>
      <w:r w:rsidR="008B283A" w:rsidRPr="00AA65FC">
        <w:rPr>
          <w:rFonts w:cs="Times New Roman"/>
        </w:rPr>
        <w:t>Felo</w:t>
      </w:r>
      <w:proofErr w:type="spellEnd"/>
      <w:r w:rsidR="008B283A" w:rsidRPr="00AA65FC">
        <w:rPr>
          <w:rFonts w:cs="Times New Roman"/>
        </w:rPr>
        <w:t xml:space="preserve"> et al. 2003; </w:t>
      </w:r>
      <w:r w:rsidR="008B283A" w:rsidRPr="00AA65FC">
        <w:rPr>
          <w:rFonts w:eastAsia="Times New Roman" w:cs="Times New Roman"/>
          <w:bCs/>
          <w:szCs w:val="24"/>
        </w:rPr>
        <w:t>Abbot</w:t>
      </w:r>
      <w:r w:rsidR="008B283A">
        <w:rPr>
          <w:rFonts w:eastAsia="Times New Roman" w:cs="Times New Roman"/>
          <w:bCs/>
          <w:szCs w:val="24"/>
        </w:rPr>
        <w:t xml:space="preserve"> et al.</w:t>
      </w:r>
      <w:r w:rsidR="008B283A" w:rsidRPr="00AA65FC">
        <w:rPr>
          <w:rFonts w:eastAsia="Times New Roman" w:cs="Times New Roman"/>
          <w:bCs/>
          <w:szCs w:val="24"/>
        </w:rPr>
        <w:t xml:space="preserve">, 2004; </w:t>
      </w:r>
      <w:proofErr w:type="spellStart"/>
      <w:r w:rsidR="008B283A" w:rsidRPr="00AA65FC">
        <w:rPr>
          <w:rFonts w:eastAsia="Times New Roman" w:cs="Times New Roman"/>
          <w:bCs/>
          <w:szCs w:val="24"/>
        </w:rPr>
        <w:t>B</w:t>
      </w:r>
      <w:r w:rsidR="008B283A">
        <w:rPr>
          <w:rFonts w:eastAsia="Times New Roman" w:cs="Times New Roman"/>
          <w:bCs/>
          <w:szCs w:val="24"/>
        </w:rPr>
        <w:t>e</w:t>
      </w:r>
      <w:r w:rsidR="008B283A" w:rsidRPr="00AA65FC">
        <w:rPr>
          <w:rFonts w:eastAsia="Times New Roman" w:cs="Times New Roman"/>
          <w:bCs/>
          <w:szCs w:val="24"/>
        </w:rPr>
        <w:t>dard</w:t>
      </w:r>
      <w:proofErr w:type="spellEnd"/>
      <w:r w:rsidR="008B283A" w:rsidRPr="00AA65FC">
        <w:rPr>
          <w:rFonts w:eastAsia="Times New Roman" w:cs="Times New Roman"/>
          <w:bCs/>
          <w:szCs w:val="24"/>
        </w:rPr>
        <w:t xml:space="preserve">; </w:t>
      </w:r>
      <w:proofErr w:type="spellStart"/>
      <w:r w:rsidR="008B283A" w:rsidRPr="00AA65FC">
        <w:rPr>
          <w:rFonts w:eastAsia="Times New Roman" w:cs="Times New Roman"/>
          <w:bCs/>
          <w:szCs w:val="24"/>
        </w:rPr>
        <w:t>Chtourou</w:t>
      </w:r>
      <w:proofErr w:type="spellEnd"/>
      <w:r w:rsidR="008B283A" w:rsidRPr="00AA65FC">
        <w:rPr>
          <w:rFonts w:eastAsia="Times New Roman" w:cs="Times New Roman"/>
          <w:bCs/>
          <w:szCs w:val="24"/>
        </w:rPr>
        <w:t xml:space="preserve"> &amp; </w:t>
      </w:r>
      <w:proofErr w:type="spellStart"/>
      <w:r w:rsidR="008B283A" w:rsidRPr="00AA65FC">
        <w:rPr>
          <w:rFonts w:eastAsia="Times New Roman" w:cs="Times New Roman"/>
          <w:bCs/>
          <w:szCs w:val="24"/>
        </w:rPr>
        <w:t>Courteau</w:t>
      </w:r>
      <w:proofErr w:type="spellEnd"/>
      <w:r w:rsidR="008B283A" w:rsidRPr="00AA65FC">
        <w:rPr>
          <w:rFonts w:eastAsia="Times New Roman" w:cs="Times New Roman"/>
          <w:bCs/>
          <w:szCs w:val="24"/>
        </w:rPr>
        <w:t xml:space="preserve">, 2004) e na presente pesquisa foi observado que também reduz a assimetria da informação entre </w:t>
      </w:r>
      <w:r w:rsidR="008B283A">
        <w:rPr>
          <w:rFonts w:eastAsia="Times New Roman" w:cs="Times New Roman"/>
          <w:bCs/>
          <w:szCs w:val="24"/>
        </w:rPr>
        <w:t>gestores</w:t>
      </w:r>
      <w:r w:rsidR="008B283A" w:rsidRPr="00AA65FC">
        <w:rPr>
          <w:rFonts w:eastAsia="Times New Roman" w:cs="Times New Roman"/>
          <w:bCs/>
          <w:szCs w:val="24"/>
        </w:rPr>
        <w:t xml:space="preserve"> e </w:t>
      </w:r>
      <w:r w:rsidR="008B283A">
        <w:rPr>
          <w:rFonts w:eastAsia="Times New Roman" w:cs="Times New Roman"/>
          <w:bCs/>
          <w:szCs w:val="24"/>
        </w:rPr>
        <w:t>investidores</w:t>
      </w:r>
      <w:r w:rsidR="008B283A" w:rsidRPr="00AA65FC">
        <w:rPr>
          <w:rFonts w:eastAsia="Times New Roman" w:cs="Times New Roman"/>
          <w:bCs/>
          <w:szCs w:val="24"/>
        </w:rPr>
        <w:t xml:space="preserve"> </w:t>
      </w:r>
      <w:r w:rsidR="008B283A">
        <w:rPr>
          <w:rFonts w:eastAsia="Times New Roman" w:cs="Times New Roman"/>
          <w:bCs/>
          <w:szCs w:val="24"/>
        </w:rPr>
        <w:t>no</w:t>
      </w:r>
      <w:r w:rsidR="008B283A" w:rsidRPr="00AA65FC">
        <w:rPr>
          <w:rFonts w:eastAsia="Times New Roman" w:cs="Times New Roman"/>
          <w:bCs/>
          <w:szCs w:val="24"/>
        </w:rPr>
        <w:t xml:space="preserve"> c</w:t>
      </w:r>
      <w:r w:rsidR="008B283A">
        <w:rPr>
          <w:rFonts w:eastAsia="Times New Roman" w:cs="Times New Roman"/>
          <w:bCs/>
          <w:szCs w:val="24"/>
        </w:rPr>
        <w:t>ontexto</w:t>
      </w:r>
      <w:r w:rsidR="008B283A" w:rsidRPr="00AA65FC">
        <w:rPr>
          <w:rFonts w:eastAsia="Times New Roman" w:cs="Times New Roman"/>
          <w:bCs/>
          <w:szCs w:val="24"/>
        </w:rPr>
        <w:t xml:space="preserve"> brasileiro.</w:t>
      </w:r>
    </w:p>
    <w:p w14:paraId="06760AA7" w14:textId="741F8E33" w:rsidR="008B283A" w:rsidRPr="00AA65FC" w:rsidRDefault="008B283A" w:rsidP="00B20E00">
      <w:pPr>
        <w:pStyle w:val="SemEspaamento"/>
        <w:ind w:firstLine="708"/>
        <w:rPr>
          <w:rFonts w:eastAsia="Times New Roman" w:cs="Times New Roman"/>
          <w:bCs/>
        </w:rPr>
      </w:pPr>
      <w:r w:rsidRPr="00AA65FC">
        <w:rPr>
          <w:rFonts w:eastAsia="Times New Roman" w:cs="Times New Roman"/>
          <w:bCs/>
          <w:szCs w:val="24"/>
        </w:rPr>
        <w:t xml:space="preserve">Outros autores concentraram sua atenção em investigar se </w:t>
      </w:r>
      <w:r>
        <w:rPr>
          <w:rFonts w:eastAsia="Times New Roman" w:cs="Times New Roman"/>
          <w:bCs/>
          <w:szCs w:val="24"/>
        </w:rPr>
        <w:t xml:space="preserve">a </w:t>
      </w:r>
      <w:r w:rsidRPr="00AA65FC">
        <w:rPr>
          <w:rFonts w:eastAsia="Times New Roman" w:cs="Times New Roman"/>
          <w:bCs/>
          <w:i/>
          <w:szCs w:val="24"/>
        </w:rPr>
        <w:t>expertise</w:t>
      </w:r>
      <w:r w:rsidRPr="00AA65FC">
        <w:rPr>
          <w:rFonts w:eastAsia="Times New Roman" w:cs="Times New Roman"/>
          <w:bCs/>
          <w:szCs w:val="24"/>
        </w:rPr>
        <w:t xml:space="preserve"> do </w:t>
      </w:r>
      <w:r w:rsidR="00FD20C7">
        <w:rPr>
          <w:rFonts w:eastAsia="Times New Roman" w:cs="Times New Roman"/>
          <w:bCs/>
          <w:szCs w:val="24"/>
        </w:rPr>
        <w:t xml:space="preserve">CA </w:t>
      </w:r>
      <w:r>
        <w:rPr>
          <w:rFonts w:eastAsia="Times New Roman" w:cs="Times New Roman"/>
          <w:bCs/>
          <w:szCs w:val="24"/>
        </w:rPr>
        <w:t>se constitui numa característica</w:t>
      </w:r>
      <w:r w:rsidRPr="00AA65FC">
        <w:rPr>
          <w:rFonts w:eastAsia="Times New Roman" w:cs="Times New Roman"/>
          <w:bCs/>
          <w:szCs w:val="24"/>
        </w:rPr>
        <w:t xml:space="preserve"> responsável por melhorar a eficácia da auditoria de maneira geral (</w:t>
      </w:r>
      <w:proofErr w:type="spellStart"/>
      <w:r w:rsidRPr="00AA65FC">
        <w:rPr>
          <w:rFonts w:eastAsia="Times New Roman" w:cs="Times New Roman"/>
          <w:bCs/>
          <w:szCs w:val="24"/>
        </w:rPr>
        <w:t>Gendron</w:t>
      </w:r>
      <w:proofErr w:type="spellEnd"/>
      <w:r w:rsidRPr="00AA65FC">
        <w:rPr>
          <w:rFonts w:eastAsia="Times New Roman" w:cs="Times New Roman"/>
          <w:bCs/>
          <w:szCs w:val="24"/>
        </w:rPr>
        <w:t xml:space="preserve"> &amp; </w:t>
      </w:r>
      <w:proofErr w:type="spellStart"/>
      <w:r w:rsidRPr="00AA65FC">
        <w:rPr>
          <w:rFonts w:eastAsia="Times New Roman" w:cs="Times New Roman"/>
          <w:bCs/>
          <w:szCs w:val="24"/>
        </w:rPr>
        <w:t>Bédard</w:t>
      </w:r>
      <w:proofErr w:type="spellEnd"/>
      <w:r w:rsidRPr="00AA65FC">
        <w:rPr>
          <w:rFonts w:eastAsia="Times New Roman" w:cs="Times New Roman"/>
          <w:bCs/>
          <w:szCs w:val="24"/>
        </w:rPr>
        <w:t xml:space="preserve">, 2006). Portanto, </w:t>
      </w:r>
      <w:r w:rsidRPr="00AA65FC">
        <w:rPr>
          <w:rFonts w:eastAsia="Times New Roman" w:cs="Times New Roman"/>
          <w:bCs/>
        </w:rPr>
        <w:t xml:space="preserve">a principal contribuição das evidências empíricas obtidas por este estudo, está relacionada a sugestão de que inserir pelo menos um membro com </w:t>
      </w:r>
      <w:r w:rsidRPr="00AA65FC">
        <w:rPr>
          <w:rFonts w:eastAsia="Times New Roman" w:cs="Times New Roman"/>
          <w:bCs/>
          <w:i/>
        </w:rPr>
        <w:t>expertise</w:t>
      </w:r>
      <w:r w:rsidRPr="00AA65FC">
        <w:rPr>
          <w:rFonts w:eastAsia="Times New Roman" w:cs="Times New Roman"/>
          <w:bCs/>
        </w:rPr>
        <w:t xml:space="preserve"> financeira no comitê</w:t>
      </w:r>
      <w:r>
        <w:rPr>
          <w:rFonts w:eastAsia="Times New Roman" w:cs="Times New Roman"/>
          <w:bCs/>
        </w:rPr>
        <w:t>, diante de que</w:t>
      </w:r>
      <w:r w:rsidRPr="00AA65FC">
        <w:rPr>
          <w:rFonts w:eastAsia="Times New Roman" w:cs="Times New Roman"/>
          <w:bCs/>
        </w:rPr>
        <w:t xml:space="preserve"> pode gerar benefícios para as empresas que vão além da melhor qualidade dos relatórios e da minimização no gerenciamento de resultados, pois podem reduzir também a assimetria informacional. </w:t>
      </w:r>
    </w:p>
    <w:p w14:paraId="06760AA8" w14:textId="633C7113" w:rsidR="008B283A" w:rsidRPr="00AA65FC" w:rsidRDefault="008B283A" w:rsidP="00820D75">
      <w:pPr>
        <w:pStyle w:val="SemEspaamento"/>
        <w:ind w:firstLine="708"/>
        <w:rPr>
          <w:rFonts w:eastAsia="Times New Roman" w:cs="Times New Roman"/>
          <w:bCs/>
        </w:rPr>
      </w:pPr>
      <w:r w:rsidRPr="00AA65FC">
        <w:rPr>
          <w:rFonts w:eastAsia="Times New Roman" w:cs="Times New Roman"/>
          <w:bCs/>
        </w:rPr>
        <w:t>Além disso, os indícios deste estudo são de relevância em contexto brasileiro, pois de acordo com Santos</w:t>
      </w:r>
      <w:r>
        <w:rPr>
          <w:rFonts w:eastAsia="Times New Roman" w:cs="Times New Roman"/>
          <w:bCs/>
        </w:rPr>
        <w:t xml:space="preserve"> et al. </w:t>
      </w:r>
      <w:r w:rsidRPr="00AA65FC">
        <w:rPr>
          <w:rFonts w:eastAsia="Times New Roman" w:cs="Times New Roman"/>
          <w:bCs/>
        </w:rPr>
        <w:t xml:space="preserve">(2017), a criação do </w:t>
      </w:r>
      <w:r w:rsidR="00FD20C7">
        <w:rPr>
          <w:rFonts w:eastAsia="Times New Roman" w:cs="Times New Roman"/>
          <w:bCs/>
        </w:rPr>
        <w:t>CA</w:t>
      </w:r>
      <w:r w:rsidRPr="00AA65FC">
        <w:rPr>
          <w:rFonts w:eastAsia="Times New Roman" w:cs="Times New Roman"/>
          <w:bCs/>
        </w:rPr>
        <w:t xml:space="preserve"> ainda não se configura em uma prática institucionalizada nas empresas inseridas nesse cenário e, ainda se manifesta de diferentes maneiras entre as organizações. Sendo assim, a evidência deste estudo pode nortear as empresas ao estruturarem seus comitês de auditoria, principalmente no que concerne à inserção de membro com </w:t>
      </w:r>
      <w:r w:rsidRPr="00AA65FC">
        <w:rPr>
          <w:rFonts w:eastAsia="Times New Roman" w:cs="Times New Roman"/>
          <w:bCs/>
          <w:i/>
        </w:rPr>
        <w:t xml:space="preserve">expertise </w:t>
      </w:r>
      <w:r w:rsidRPr="00AA65FC">
        <w:rPr>
          <w:rFonts w:eastAsia="Times New Roman" w:cs="Times New Roman"/>
          <w:bCs/>
        </w:rPr>
        <w:t xml:space="preserve">na área financeira. </w:t>
      </w:r>
    </w:p>
    <w:p w14:paraId="06760AA9" w14:textId="5E9698D1" w:rsidR="008B283A" w:rsidRPr="00AA65FC" w:rsidRDefault="008B283A" w:rsidP="00820D75">
      <w:pPr>
        <w:pStyle w:val="Default"/>
        <w:ind w:firstLine="708"/>
        <w:jc w:val="both"/>
      </w:pPr>
      <w:r w:rsidRPr="00AA65FC">
        <w:rPr>
          <w:rFonts w:eastAsia="Times New Roman"/>
          <w:bCs/>
        </w:rPr>
        <w:t>C</w:t>
      </w:r>
      <w:r w:rsidRPr="00AA65FC">
        <w:t xml:space="preserve">om relação as variáveis de controle, os resultados demonstraram-se semelhantes aos vistos na primeira parte desta análise. Portanto, observa-se de maneira sintética, que o tamanho da empresa, demonstrou-se negativamente e significativamente relacionado à assimetria da informação nas 3 equações. Assim como a rentabilidade do patrimônio líquido, que também se mostrou relacionada negativamente e significativamente à assimetria da informação nas 3 equações. Por fim, o endividamento da empresa demonstrou-se positivamente e estatisticamente relacionado à assimetria da informação </w:t>
      </w:r>
      <w:r w:rsidR="00497127">
        <w:t>nos modelos</w:t>
      </w:r>
      <w:r w:rsidRPr="00AA65FC">
        <w:t xml:space="preserve"> 5 e 6. </w:t>
      </w:r>
    </w:p>
    <w:p w14:paraId="06760AAC" w14:textId="77777777" w:rsidR="008B283A" w:rsidRPr="00AA65FC" w:rsidRDefault="008B283A" w:rsidP="00820D75">
      <w:pPr>
        <w:jc w:val="both"/>
        <w:rPr>
          <w:b/>
          <w:sz w:val="24"/>
          <w:szCs w:val="24"/>
        </w:rPr>
      </w:pPr>
    </w:p>
    <w:p w14:paraId="06760AAD" w14:textId="188009B5" w:rsidR="008B283A" w:rsidRPr="00AA65FC" w:rsidRDefault="008B283A" w:rsidP="00820D75">
      <w:pPr>
        <w:jc w:val="both"/>
        <w:rPr>
          <w:b/>
          <w:sz w:val="24"/>
          <w:szCs w:val="24"/>
        </w:rPr>
      </w:pPr>
      <w:r w:rsidRPr="00AA65FC">
        <w:rPr>
          <w:b/>
          <w:sz w:val="24"/>
          <w:szCs w:val="24"/>
        </w:rPr>
        <w:t xml:space="preserve">5 </w:t>
      </w:r>
      <w:r>
        <w:rPr>
          <w:b/>
          <w:sz w:val="24"/>
          <w:szCs w:val="24"/>
        </w:rPr>
        <w:t>C</w:t>
      </w:r>
      <w:r w:rsidR="00A321C8">
        <w:rPr>
          <w:b/>
          <w:sz w:val="24"/>
          <w:szCs w:val="24"/>
        </w:rPr>
        <w:t>onclusões</w:t>
      </w:r>
    </w:p>
    <w:p w14:paraId="06760AAF" w14:textId="7B7E6349" w:rsidR="008B283A" w:rsidRPr="00AA65FC" w:rsidRDefault="008B283A" w:rsidP="003D3B3A">
      <w:pPr>
        <w:ind w:firstLine="709"/>
        <w:jc w:val="both"/>
        <w:rPr>
          <w:sz w:val="24"/>
          <w:szCs w:val="24"/>
        </w:rPr>
      </w:pPr>
      <w:r w:rsidRPr="00AA65FC">
        <w:rPr>
          <w:sz w:val="24"/>
          <w:szCs w:val="24"/>
        </w:rPr>
        <w:t xml:space="preserve">Os resultados </w:t>
      </w:r>
      <w:r w:rsidR="00497127">
        <w:rPr>
          <w:sz w:val="24"/>
          <w:szCs w:val="24"/>
        </w:rPr>
        <w:t xml:space="preserve">desta pesquisa </w:t>
      </w:r>
      <w:r w:rsidRPr="00AA65FC">
        <w:rPr>
          <w:sz w:val="24"/>
          <w:szCs w:val="24"/>
        </w:rPr>
        <w:t xml:space="preserve">revelaram que havia assimetria informacional entre </w:t>
      </w:r>
      <w:r>
        <w:rPr>
          <w:sz w:val="24"/>
          <w:szCs w:val="24"/>
        </w:rPr>
        <w:t>gestores</w:t>
      </w:r>
      <w:r w:rsidRPr="00AA65FC">
        <w:rPr>
          <w:sz w:val="24"/>
          <w:szCs w:val="24"/>
        </w:rPr>
        <w:t xml:space="preserve"> e </w:t>
      </w:r>
      <w:r>
        <w:rPr>
          <w:sz w:val="24"/>
          <w:szCs w:val="24"/>
        </w:rPr>
        <w:t>investidores</w:t>
      </w:r>
      <w:r w:rsidRPr="00AA65FC">
        <w:rPr>
          <w:sz w:val="24"/>
          <w:szCs w:val="24"/>
        </w:rPr>
        <w:t xml:space="preserve"> no período e nas empresas analisadas, denotando maior assimetria no término d</w:t>
      </w:r>
      <w:r w:rsidR="00497127">
        <w:rPr>
          <w:sz w:val="24"/>
          <w:szCs w:val="24"/>
        </w:rPr>
        <w:t>e um</w:t>
      </w:r>
      <w:r w:rsidRPr="00AA65FC">
        <w:rPr>
          <w:sz w:val="24"/>
          <w:szCs w:val="24"/>
        </w:rPr>
        <w:t xml:space="preserve"> período</w:t>
      </w:r>
      <w:r w:rsidR="00497127">
        <w:rPr>
          <w:sz w:val="24"/>
          <w:szCs w:val="24"/>
        </w:rPr>
        <w:t xml:space="preserve"> (12 meses)</w:t>
      </w:r>
      <w:r w:rsidRPr="00AA65FC">
        <w:rPr>
          <w:sz w:val="24"/>
          <w:szCs w:val="24"/>
        </w:rPr>
        <w:t xml:space="preserve">, sendo que a assimetria diminuiu gradativamente nos períodos subsequentes </w:t>
      </w:r>
      <w:r w:rsidR="00497127">
        <w:rPr>
          <w:sz w:val="24"/>
          <w:szCs w:val="24"/>
        </w:rPr>
        <w:t>(</w:t>
      </w:r>
      <w:r w:rsidRPr="00AA65FC">
        <w:rPr>
          <w:sz w:val="24"/>
          <w:szCs w:val="24"/>
        </w:rPr>
        <w:t>três e seis meses posteriores ao final de cada ano</w:t>
      </w:r>
      <w:r w:rsidR="00497127">
        <w:rPr>
          <w:sz w:val="24"/>
          <w:szCs w:val="24"/>
        </w:rPr>
        <w:t>)</w:t>
      </w:r>
      <w:r w:rsidRPr="00AA65FC">
        <w:rPr>
          <w:sz w:val="24"/>
          <w:szCs w:val="24"/>
        </w:rPr>
        <w:t xml:space="preserve">. Além disso, os resultados revelaram que a maioria das empresas possuía </w:t>
      </w:r>
      <w:r w:rsidR="00FD20C7">
        <w:rPr>
          <w:sz w:val="24"/>
          <w:szCs w:val="24"/>
        </w:rPr>
        <w:t>CA</w:t>
      </w:r>
      <w:r w:rsidRPr="00AA65FC">
        <w:rPr>
          <w:sz w:val="24"/>
          <w:szCs w:val="24"/>
        </w:rPr>
        <w:t xml:space="preserve"> e, que este, era inteiramente composto por membros não executivos. Ademais, uma minoria de empresas continha </w:t>
      </w:r>
      <w:r w:rsidR="00FD20C7">
        <w:rPr>
          <w:sz w:val="24"/>
          <w:szCs w:val="24"/>
        </w:rPr>
        <w:t xml:space="preserve">CA </w:t>
      </w:r>
      <w:r w:rsidRPr="00AA65FC">
        <w:rPr>
          <w:sz w:val="24"/>
          <w:szCs w:val="24"/>
        </w:rPr>
        <w:t xml:space="preserve">que tivesse pelo menos um membro com </w:t>
      </w:r>
      <w:r w:rsidRPr="00AA65FC">
        <w:rPr>
          <w:i/>
          <w:sz w:val="24"/>
          <w:szCs w:val="24"/>
        </w:rPr>
        <w:t>expertise</w:t>
      </w:r>
      <w:r w:rsidRPr="00AA65FC">
        <w:rPr>
          <w:sz w:val="24"/>
          <w:szCs w:val="24"/>
        </w:rPr>
        <w:t xml:space="preserve"> financeira.</w:t>
      </w:r>
    </w:p>
    <w:p w14:paraId="06760AB0" w14:textId="501ACD95" w:rsidR="008B283A" w:rsidRPr="00AA65FC" w:rsidRDefault="008B283A" w:rsidP="00820D75">
      <w:pPr>
        <w:ind w:firstLine="720"/>
        <w:jc w:val="both"/>
        <w:rPr>
          <w:sz w:val="24"/>
          <w:szCs w:val="24"/>
        </w:rPr>
      </w:pPr>
      <w:r w:rsidRPr="00AA65FC">
        <w:rPr>
          <w:sz w:val="24"/>
          <w:szCs w:val="24"/>
        </w:rPr>
        <w:t xml:space="preserve">Com relação </w:t>
      </w:r>
      <w:r w:rsidR="00472D25">
        <w:rPr>
          <w:sz w:val="24"/>
          <w:szCs w:val="24"/>
        </w:rPr>
        <w:t>a primeira hipótese</w:t>
      </w:r>
      <w:r w:rsidRPr="00AA65FC">
        <w:rPr>
          <w:sz w:val="24"/>
          <w:szCs w:val="24"/>
        </w:rPr>
        <w:t xml:space="preserve"> propost</w:t>
      </w:r>
      <w:r w:rsidR="00472D25">
        <w:rPr>
          <w:sz w:val="24"/>
          <w:szCs w:val="24"/>
        </w:rPr>
        <w:t>a</w:t>
      </w:r>
      <w:r w:rsidRPr="00AA65FC">
        <w:rPr>
          <w:sz w:val="24"/>
          <w:szCs w:val="24"/>
        </w:rPr>
        <w:t xml:space="preserve">, os resultados demonstraram que não houve relação significativa entre </w:t>
      </w:r>
      <w:r w:rsidR="00FD20C7">
        <w:rPr>
          <w:sz w:val="24"/>
          <w:szCs w:val="24"/>
        </w:rPr>
        <w:t>CA</w:t>
      </w:r>
      <w:r w:rsidRPr="00AA65FC">
        <w:rPr>
          <w:sz w:val="24"/>
          <w:szCs w:val="24"/>
        </w:rPr>
        <w:t xml:space="preserve"> e a assimetria de informação. Tal resultado vai de encontro a literatura, que sugere que os mecanismos de governança, como por exemplo o </w:t>
      </w:r>
      <w:r w:rsidR="00FD20C7">
        <w:rPr>
          <w:sz w:val="24"/>
          <w:szCs w:val="24"/>
        </w:rPr>
        <w:t>CA</w:t>
      </w:r>
      <w:r w:rsidR="00472D25">
        <w:rPr>
          <w:sz w:val="24"/>
          <w:szCs w:val="24"/>
        </w:rPr>
        <w:t>,</w:t>
      </w:r>
      <w:r w:rsidRPr="00AA65FC">
        <w:rPr>
          <w:sz w:val="24"/>
          <w:szCs w:val="24"/>
        </w:rPr>
        <w:t xml:space="preserve"> podem estar negativamente relacionados à assimetria informacional. Portanto, pauta-se na justificativa de </w:t>
      </w:r>
      <w:proofErr w:type="spellStart"/>
      <w:r w:rsidRPr="00AA65FC">
        <w:rPr>
          <w:sz w:val="24"/>
          <w:szCs w:val="24"/>
        </w:rPr>
        <w:t>Han</w:t>
      </w:r>
      <w:proofErr w:type="spellEnd"/>
      <w:r w:rsidRPr="00AA65FC">
        <w:rPr>
          <w:sz w:val="24"/>
          <w:szCs w:val="24"/>
        </w:rPr>
        <w:t xml:space="preserve"> et al. (2014) para também justificar os resultados deste estudo, por entender que as informações ocultadas pela administração, nem sempre são facilmente identificadas pelo </w:t>
      </w:r>
      <w:r w:rsidR="00FD20C7">
        <w:rPr>
          <w:sz w:val="24"/>
          <w:szCs w:val="24"/>
        </w:rPr>
        <w:t>CA</w:t>
      </w:r>
      <w:r w:rsidRPr="00AA65FC">
        <w:rPr>
          <w:sz w:val="24"/>
          <w:szCs w:val="24"/>
        </w:rPr>
        <w:t xml:space="preserve"> e que, portanto, a assimetria da informação não necessariamente é minimizada pela existência do comitê.</w:t>
      </w:r>
    </w:p>
    <w:p w14:paraId="06760AB1" w14:textId="6E2762D0" w:rsidR="008B283A" w:rsidRPr="00AA65FC" w:rsidRDefault="008B283A" w:rsidP="00820D75">
      <w:pPr>
        <w:ind w:firstLine="720"/>
        <w:jc w:val="both"/>
        <w:rPr>
          <w:sz w:val="24"/>
          <w:szCs w:val="24"/>
        </w:rPr>
      </w:pPr>
      <w:r w:rsidRPr="00AA65FC">
        <w:rPr>
          <w:sz w:val="24"/>
          <w:szCs w:val="24"/>
        </w:rPr>
        <w:lastRenderedPageBreak/>
        <w:t>Baseando-se na revisão da literatura, propôs-se c</w:t>
      </w:r>
      <w:r w:rsidR="00472D25">
        <w:rPr>
          <w:sz w:val="24"/>
          <w:szCs w:val="24"/>
        </w:rPr>
        <w:t>omo segunda e terceira hipótese</w:t>
      </w:r>
      <w:r w:rsidRPr="00AA65FC">
        <w:rPr>
          <w:sz w:val="24"/>
          <w:szCs w:val="24"/>
        </w:rPr>
        <w:t xml:space="preserve">, que as características de independência e </w:t>
      </w:r>
      <w:r w:rsidRPr="00AA65FC">
        <w:rPr>
          <w:i/>
          <w:sz w:val="24"/>
          <w:szCs w:val="24"/>
        </w:rPr>
        <w:t>expertise</w:t>
      </w:r>
      <w:r w:rsidRPr="00AA65FC">
        <w:rPr>
          <w:sz w:val="24"/>
          <w:szCs w:val="24"/>
        </w:rPr>
        <w:t xml:space="preserve"> podem ser fatores capazes de reduzir a assimetria de informação entre executivos e investidores. Os resultados deste estudo comprovaram empiricamente o proposto com relação a </w:t>
      </w:r>
      <w:r w:rsidRPr="00AA65FC">
        <w:rPr>
          <w:i/>
          <w:sz w:val="24"/>
          <w:szCs w:val="24"/>
        </w:rPr>
        <w:t>expertise</w:t>
      </w:r>
      <w:r w:rsidRPr="00AA65FC">
        <w:rPr>
          <w:sz w:val="24"/>
          <w:szCs w:val="24"/>
        </w:rPr>
        <w:t xml:space="preserve"> financeira de pelo menos um membro do </w:t>
      </w:r>
      <w:r w:rsidR="00FD20C7">
        <w:rPr>
          <w:sz w:val="24"/>
          <w:szCs w:val="24"/>
        </w:rPr>
        <w:t>CA</w:t>
      </w:r>
      <w:r w:rsidRPr="00AA65FC">
        <w:rPr>
          <w:sz w:val="24"/>
          <w:szCs w:val="24"/>
        </w:rPr>
        <w:t xml:space="preserve">, que se mostrou positivamente e significativamente relacionada com a assimetria de informação em 3 e 6 meses após o término do período. </w:t>
      </w:r>
    </w:p>
    <w:p w14:paraId="06760AB4" w14:textId="2C379C9E" w:rsidR="008B283A" w:rsidRPr="00AA65FC" w:rsidRDefault="008B283A" w:rsidP="003D3B3A">
      <w:pPr>
        <w:pStyle w:val="SemEspaamento"/>
        <w:ind w:firstLine="709"/>
        <w:rPr>
          <w:rFonts w:cs="Times New Roman"/>
          <w:szCs w:val="24"/>
        </w:rPr>
      </w:pPr>
      <w:r w:rsidRPr="00AA65FC">
        <w:rPr>
          <w:rFonts w:cs="Times New Roman"/>
        </w:rPr>
        <w:t>Ressalta-se, por fim, que e</w:t>
      </w:r>
      <w:r w:rsidRPr="00AA65FC">
        <w:rPr>
          <w:rFonts w:cs="Times New Roman"/>
          <w:szCs w:val="24"/>
        </w:rPr>
        <w:t xml:space="preserve">sta investigação apresentou algumas limitações. Inicialmente, obteve-se evidência de um grupo específico de empresas (IBRx100), sendo que, por mais que a escolha desse grupo seja justificada pelo destaque em ações negociadas na bolsa de valores e por isso essas empresas foram propícias à investigação, ainda assim, é um fator que limitou o número de empresas na amostra. Além disso, utilizou-se apenas de uma medida para cada característica do </w:t>
      </w:r>
      <w:r w:rsidR="00FD20C7">
        <w:rPr>
          <w:rFonts w:cs="Times New Roman"/>
          <w:szCs w:val="24"/>
        </w:rPr>
        <w:t>CA</w:t>
      </w:r>
      <w:r w:rsidRPr="00AA65FC">
        <w:rPr>
          <w:rFonts w:cs="Times New Roman"/>
          <w:szCs w:val="24"/>
        </w:rPr>
        <w:t>, sobre o comitê ser formado exclusivamente por membros não executivos (independência) e sobre o comitê possuir pelo menos um membro com especialização financeira (</w:t>
      </w:r>
      <w:r w:rsidRPr="00AA65FC">
        <w:rPr>
          <w:rFonts w:cs="Times New Roman"/>
          <w:i/>
          <w:szCs w:val="24"/>
        </w:rPr>
        <w:t>expertise</w:t>
      </w:r>
      <w:r w:rsidRPr="00AA65FC">
        <w:rPr>
          <w:rFonts w:cs="Times New Roman"/>
          <w:szCs w:val="24"/>
        </w:rPr>
        <w:t xml:space="preserve">). </w:t>
      </w:r>
    </w:p>
    <w:p w14:paraId="06760AB5" w14:textId="318D85C8" w:rsidR="008B283A" w:rsidRPr="00820D75" w:rsidRDefault="008B283A" w:rsidP="00820D75">
      <w:pPr>
        <w:ind w:firstLine="720"/>
        <w:jc w:val="both"/>
        <w:rPr>
          <w:sz w:val="24"/>
          <w:szCs w:val="24"/>
        </w:rPr>
      </w:pPr>
      <w:r w:rsidRPr="00AA65FC">
        <w:rPr>
          <w:sz w:val="24"/>
          <w:szCs w:val="24"/>
        </w:rPr>
        <w:t xml:space="preserve">Portanto, com base nessas limitações, sugere-se para pesquisas futuras, investigar com maior profundidade e em um </w:t>
      </w:r>
      <w:r>
        <w:rPr>
          <w:sz w:val="24"/>
          <w:szCs w:val="24"/>
        </w:rPr>
        <w:t>número</w:t>
      </w:r>
      <w:r w:rsidRPr="00AA65FC">
        <w:rPr>
          <w:sz w:val="24"/>
          <w:szCs w:val="24"/>
        </w:rPr>
        <w:t xml:space="preserve"> maior de empresas se a existência do </w:t>
      </w:r>
      <w:r w:rsidR="00FD20C7">
        <w:rPr>
          <w:sz w:val="24"/>
          <w:szCs w:val="24"/>
        </w:rPr>
        <w:t>CA</w:t>
      </w:r>
      <w:r w:rsidRPr="00AA65FC">
        <w:rPr>
          <w:sz w:val="24"/>
          <w:szCs w:val="24"/>
        </w:rPr>
        <w:t xml:space="preserve"> e a característica de independência dos membros, podem ser fatores responsáveis por diminuir a assimetria informacional, considerando que possam haver outros fatores que influenciam nesta relação. Ademais, sugere-se investigar outras características como tamanho e quantidade de reuniões do </w:t>
      </w:r>
      <w:r w:rsidR="00FD20C7">
        <w:rPr>
          <w:sz w:val="24"/>
          <w:szCs w:val="24"/>
        </w:rPr>
        <w:t>CA</w:t>
      </w:r>
      <w:r w:rsidRPr="00AA65FC">
        <w:rPr>
          <w:sz w:val="24"/>
          <w:szCs w:val="24"/>
        </w:rPr>
        <w:t xml:space="preserve"> e sua relação com a assimetria informacional.</w:t>
      </w:r>
    </w:p>
    <w:p w14:paraId="06760AB6" w14:textId="77777777" w:rsidR="008B283A" w:rsidRPr="00AA65FC" w:rsidRDefault="008B283A" w:rsidP="00820D75">
      <w:pPr>
        <w:jc w:val="both"/>
        <w:rPr>
          <w:rFonts w:eastAsia="Courier New"/>
          <w:sz w:val="24"/>
          <w:szCs w:val="24"/>
        </w:rPr>
      </w:pPr>
    </w:p>
    <w:p w14:paraId="06760AB7" w14:textId="1779446A" w:rsidR="008B283A" w:rsidRPr="00B25959" w:rsidRDefault="008B283A" w:rsidP="00820D75">
      <w:pPr>
        <w:jc w:val="both"/>
        <w:rPr>
          <w:b/>
          <w:sz w:val="24"/>
          <w:szCs w:val="24"/>
          <w:lang w:val="en-US"/>
        </w:rPr>
      </w:pPr>
      <w:proofErr w:type="spellStart"/>
      <w:r w:rsidRPr="00B25959">
        <w:rPr>
          <w:b/>
          <w:sz w:val="24"/>
          <w:szCs w:val="24"/>
          <w:lang w:val="en-US"/>
        </w:rPr>
        <w:t>R</w:t>
      </w:r>
      <w:r w:rsidR="00E406DC">
        <w:rPr>
          <w:b/>
          <w:sz w:val="24"/>
          <w:szCs w:val="24"/>
          <w:lang w:val="en-US"/>
        </w:rPr>
        <w:t>eferências</w:t>
      </w:r>
      <w:proofErr w:type="spellEnd"/>
    </w:p>
    <w:p w14:paraId="06760AB9" w14:textId="77A68D7B" w:rsidR="008B283A" w:rsidRPr="003D3B3A" w:rsidRDefault="008B283A" w:rsidP="003D3B3A">
      <w:pPr>
        <w:ind w:left="284" w:hanging="284"/>
        <w:jc w:val="both"/>
        <w:rPr>
          <w:sz w:val="24"/>
          <w:szCs w:val="24"/>
          <w:lang w:val="en-US"/>
        </w:rPr>
      </w:pPr>
      <w:r w:rsidRPr="00B25959">
        <w:rPr>
          <w:sz w:val="24"/>
          <w:szCs w:val="24"/>
          <w:lang w:val="en-US"/>
        </w:rPr>
        <w:t xml:space="preserve">Abbott, L. J., Parker, S., &amp; Peters, G. F. (2004). Audit committee characteristics and restatements. </w:t>
      </w:r>
      <w:r w:rsidRPr="00B25959">
        <w:rPr>
          <w:i/>
          <w:sz w:val="24"/>
          <w:szCs w:val="24"/>
          <w:lang w:val="en-US"/>
        </w:rPr>
        <w:t>Auditing: A Journal of Practice &amp; Theory</w:t>
      </w:r>
      <w:r w:rsidRPr="00B25959">
        <w:rPr>
          <w:sz w:val="24"/>
          <w:szCs w:val="24"/>
          <w:lang w:val="en-US"/>
        </w:rPr>
        <w:t>, 23(1), 69-87.</w:t>
      </w:r>
    </w:p>
    <w:p w14:paraId="06760ABB" w14:textId="6B51A02D" w:rsidR="006C350F" w:rsidRPr="00B72BF6" w:rsidRDefault="008B283A" w:rsidP="003D3B3A">
      <w:pPr>
        <w:ind w:left="284" w:hanging="284"/>
        <w:jc w:val="both"/>
        <w:rPr>
          <w:sz w:val="24"/>
          <w:szCs w:val="24"/>
          <w:shd w:val="clear" w:color="auto" w:fill="FFFFFF"/>
        </w:rPr>
      </w:pPr>
      <w:proofErr w:type="spellStart"/>
      <w:r w:rsidRPr="00B25959">
        <w:rPr>
          <w:sz w:val="24"/>
          <w:szCs w:val="24"/>
          <w:shd w:val="clear" w:color="auto" w:fill="FFFFFF"/>
          <w:lang w:val="en-US"/>
        </w:rPr>
        <w:t>Albanez</w:t>
      </w:r>
      <w:proofErr w:type="spellEnd"/>
      <w:r w:rsidRPr="00B25959">
        <w:rPr>
          <w:sz w:val="24"/>
          <w:szCs w:val="24"/>
          <w:shd w:val="clear" w:color="auto" w:fill="FFFFFF"/>
          <w:lang w:val="en-US"/>
        </w:rPr>
        <w:t xml:space="preserve">, T., &amp; Valle, M. R. D. (2009). </w:t>
      </w:r>
      <w:r w:rsidRPr="00B25959">
        <w:rPr>
          <w:sz w:val="24"/>
          <w:szCs w:val="24"/>
          <w:shd w:val="clear" w:color="auto" w:fill="FFFFFF"/>
        </w:rPr>
        <w:t>Impactos da assimetria de informação na estrutura de capital de empresas brasileiras abertas. </w:t>
      </w:r>
      <w:r w:rsidRPr="00B72BF6">
        <w:rPr>
          <w:i/>
          <w:iCs/>
          <w:sz w:val="24"/>
          <w:szCs w:val="24"/>
          <w:shd w:val="clear" w:color="auto" w:fill="FFFFFF"/>
        </w:rPr>
        <w:t>Revista Contabilidade &amp; Finanças-USP</w:t>
      </w:r>
      <w:r w:rsidRPr="00B72BF6">
        <w:rPr>
          <w:sz w:val="24"/>
          <w:szCs w:val="24"/>
          <w:shd w:val="clear" w:color="auto" w:fill="FFFFFF"/>
        </w:rPr>
        <w:t>, </w:t>
      </w:r>
      <w:r w:rsidRPr="00B72BF6">
        <w:rPr>
          <w:i/>
          <w:iCs/>
          <w:sz w:val="24"/>
          <w:szCs w:val="24"/>
          <w:shd w:val="clear" w:color="auto" w:fill="FFFFFF"/>
        </w:rPr>
        <w:t>20</w:t>
      </w:r>
      <w:r w:rsidRPr="00B72BF6">
        <w:rPr>
          <w:sz w:val="24"/>
          <w:szCs w:val="24"/>
          <w:shd w:val="clear" w:color="auto" w:fill="FFFFFF"/>
        </w:rPr>
        <w:t>(51), 6-27.</w:t>
      </w:r>
    </w:p>
    <w:p w14:paraId="06760ABD" w14:textId="59DD44CB" w:rsidR="008B283A" w:rsidRPr="00B25959" w:rsidRDefault="006C350F" w:rsidP="003D3B3A">
      <w:pPr>
        <w:ind w:left="284" w:hanging="284"/>
        <w:jc w:val="both"/>
        <w:rPr>
          <w:sz w:val="24"/>
          <w:szCs w:val="24"/>
          <w:shd w:val="clear" w:color="auto" w:fill="FFFFFF"/>
          <w:lang w:val="en-US"/>
        </w:rPr>
      </w:pPr>
      <w:r w:rsidRPr="006C350F">
        <w:rPr>
          <w:sz w:val="24"/>
          <w:szCs w:val="24"/>
          <w:shd w:val="clear" w:color="auto" w:fill="FFFFFF"/>
        </w:rPr>
        <w:t xml:space="preserve">Alvares, E., Giacometti, C., &amp; </w:t>
      </w:r>
      <w:proofErr w:type="spellStart"/>
      <w:r w:rsidRPr="006C350F">
        <w:rPr>
          <w:sz w:val="24"/>
          <w:szCs w:val="24"/>
          <w:shd w:val="clear" w:color="auto" w:fill="FFFFFF"/>
        </w:rPr>
        <w:t>Gusso</w:t>
      </w:r>
      <w:proofErr w:type="spellEnd"/>
      <w:r w:rsidRPr="006C350F">
        <w:rPr>
          <w:sz w:val="24"/>
          <w:szCs w:val="24"/>
          <w:shd w:val="clear" w:color="auto" w:fill="FFFFFF"/>
        </w:rPr>
        <w:t xml:space="preserve">, E. (2008). </w:t>
      </w:r>
      <w:r w:rsidRPr="006C350F">
        <w:rPr>
          <w:i/>
          <w:sz w:val="24"/>
          <w:szCs w:val="24"/>
          <w:shd w:val="clear" w:color="auto" w:fill="FFFFFF"/>
        </w:rPr>
        <w:t>Governança corporativa: um modelo brasileiro</w:t>
      </w:r>
      <w:r w:rsidRPr="006C350F">
        <w:rPr>
          <w:sz w:val="24"/>
          <w:szCs w:val="24"/>
          <w:shd w:val="clear" w:color="auto" w:fill="FFFFFF"/>
        </w:rPr>
        <w:t xml:space="preserve">. </w:t>
      </w:r>
      <w:r w:rsidRPr="006C350F">
        <w:rPr>
          <w:sz w:val="24"/>
          <w:szCs w:val="24"/>
          <w:shd w:val="clear" w:color="auto" w:fill="FFFFFF"/>
          <w:lang w:val="en-US"/>
        </w:rPr>
        <w:t>Elsevier.</w:t>
      </w:r>
    </w:p>
    <w:p w14:paraId="06760ABF" w14:textId="4BD73856" w:rsidR="008B283A" w:rsidRPr="00B25959" w:rsidRDefault="008B283A" w:rsidP="003D3B3A">
      <w:pPr>
        <w:ind w:left="284" w:hanging="284"/>
        <w:jc w:val="both"/>
        <w:rPr>
          <w:sz w:val="24"/>
          <w:szCs w:val="24"/>
          <w:shd w:val="clear" w:color="auto" w:fill="FFFFFF"/>
          <w:lang w:val="en-US"/>
        </w:rPr>
      </w:pPr>
      <w:proofErr w:type="spellStart"/>
      <w:r w:rsidRPr="00B25959">
        <w:rPr>
          <w:sz w:val="24"/>
          <w:szCs w:val="24"/>
          <w:shd w:val="clear" w:color="auto" w:fill="FFFFFF"/>
          <w:lang w:val="en-US"/>
        </w:rPr>
        <w:t>Andersson</w:t>
      </w:r>
      <w:proofErr w:type="spellEnd"/>
      <w:r w:rsidRPr="00B25959">
        <w:rPr>
          <w:sz w:val="24"/>
          <w:szCs w:val="24"/>
          <w:shd w:val="clear" w:color="auto" w:fill="FFFFFF"/>
          <w:lang w:val="en-US"/>
        </w:rPr>
        <w:t xml:space="preserve">, M., &amp; </w:t>
      </w:r>
      <w:proofErr w:type="spellStart"/>
      <w:r w:rsidRPr="00B25959">
        <w:rPr>
          <w:sz w:val="24"/>
          <w:szCs w:val="24"/>
          <w:shd w:val="clear" w:color="auto" w:fill="FFFFFF"/>
          <w:lang w:val="en-US"/>
        </w:rPr>
        <w:t>Daoud</w:t>
      </w:r>
      <w:proofErr w:type="spellEnd"/>
      <w:r w:rsidRPr="00B25959">
        <w:rPr>
          <w:sz w:val="24"/>
          <w:szCs w:val="24"/>
          <w:shd w:val="clear" w:color="auto" w:fill="FFFFFF"/>
          <w:lang w:val="en-US"/>
        </w:rPr>
        <w:t xml:space="preserve">, M. (2005). </w:t>
      </w:r>
      <w:r w:rsidRPr="00B25959">
        <w:rPr>
          <w:i/>
          <w:sz w:val="24"/>
          <w:szCs w:val="24"/>
          <w:shd w:val="clear" w:color="auto" w:fill="FFFFFF"/>
          <w:lang w:val="en-US"/>
        </w:rPr>
        <w:t>Corporate governance disclosure:</w:t>
      </w:r>
      <w:r w:rsidRPr="00B25959">
        <w:rPr>
          <w:sz w:val="24"/>
          <w:szCs w:val="24"/>
          <w:shd w:val="clear" w:color="auto" w:fill="FFFFFF"/>
          <w:lang w:val="en-US"/>
        </w:rPr>
        <w:t xml:space="preserve"> by Swedish listed corporations, 1-78.</w:t>
      </w:r>
    </w:p>
    <w:p w14:paraId="06760AC1" w14:textId="74204FBF" w:rsidR="008B283A" w:rsidRPr="00B25959" w:rsidRDefault="008B283A" w:rsidP="003D3B3A">
      <w:pPr>
        <w:ind w:left="284" w:hanging="284"/>
        <w:jc w:val="both"/>
        <w:rPr>
          <w:sz w:val="24"/>
          <w:szCs w:val="24"/>
          <w:shd w:val="clear" w:color="auto" w:fill="FFFFFF"/>
          <w:lang w:val="en-US"/>
        </w:rPr>
      </w:pPr>
      <w:proofErr w:type="spellStart"/>
      <w:r w:rsidRPr="00B25959">
        <w:rPr>
          <w:sz w:val="24"/>
          <w:szCs w:val="24"/>
          <w:shd w:val="clear" w:color="auto" w:fill="FFFFFF"/>
          <w:lang w:val="en-US"/>
        </w:rPr>
        <w:t>Anglin</w:t>
      </w:r>
      <w:proofErr w:type="spellEnd"/>
      <w:r w:rsidRPr="00B25959">
        <w:rPr>
          <w:sz w:val="24"/>
          <w:szCs w:val="24"/>
          <w:shd w:val="clear" w:color="auto" w:fill="FFFFFF"/>
          <w:lang w:val="en-US"/>
        </w:rPr>
        <w:t xml:space="preserve">, P., Edelstein, R., </w:t>
      </w:r>
      <w:proofErr w:type="spellStart"/>
      <w:proofErr w:type="gramStart"/>
      <w:r w:rsidRPr="00B25959">
        <w:rPr>
          <w:sz w:val="24"/>
          <w:szCs w:val="24"/>
          <w:shd w:val="clear" w:color="auto" w:fill="FFFFFF"/>
          <w:lang w:val="en-US"/>
        </w:rPr>
        <w:t>Gao</w:t>
      </w:r>
      <w:proofErr w:type="spellEnd"/>
      <w:proofErr w:type="gramEnd"/>
      <w:r w:rsidRPr="00B25959">
        <w:rPr>
          <w:sz w:val="24"/>
          <w:szCs w:val="24"/>
          <w:shd w:val="clear" w:color="auto" w:fill="FFFFFF"/>
          <w:lang w:val="en-US"/>
        </w:rPr>
        <w:t>, Y., &amp; Tsang, D. (2011). How does corporate governance affect the quality of investor information? The curious case of REITs. </w:t>
      </w:r>
      <w:r w:rsidRPr="00B25959">
        <w:rPr>
          <w:i/>
          <w:iCs/>
          <w:sz w:val="24"/>
          <w:szCs w:val="24"/>
          <w:shd w:val="clear" w:color="auto" w:fill="FFFFFF"/>
          <w:lang w:val="en-US"/>
        </w:rPr>
        <w:t>Journal of Real Estate Research</w:t>
      </w:r>
      <w:r w:rsidRPr="00B25959">
        <w:rPr>
          <w:sz w:val="24"/>
          <w:szCs w:val="24"/>
          <w:shd w:val="clear" w:color="auto" w:fill="FFFFFF"/>
          <w:lang w:val="en-US"/>
        </w:rPr>
        <w:t>, </w:t>
      </w:r>
      <w:r w:rsidRPr="00B25959">
        <w:rPr>
          <w:i/>
          <w:iCs/>
          <w:sz w:val="24"/>
          <w:szCs w:val="24"/>
          <w:shd w:val="clear" w:color="auto" w:fill="FFFFFF"/>
          <w:lang w:val="en-US"/>
        </w:rPr>
        <w:t>33</w:t>
      </w:r>
      <w:r w:rsidRPr="00B25959">
        <w:rPr>
          <w:sz w:val="24"/>
          <w:szCs w:val="24"/>
          <w:shd w:val="clear" w:color="auto" w:fill="FFFFFF"/>
          <w:lang w:val="en-US"/>
        </w:rPr>
        <w:t>(1), 1-23.</w:t>
      </w:r>
    </w:p>
    <w:p w14:paraId="06760AC3" w14:textId="1072C4FD" w:rsidR="008B283A" w:rsidRPr="00B25959" w:rsidRDefault="008B283A" w:rsidP="003D3B3A">
      <w:pPr>
        <w:ind w:left="284" w:hanging="284"/>
        <w:jc w:val="both"/>
        <w:rPr>
          <w:sz w:val="24"/>
          <w:szCs w:val="24"/>
          <w:shd w:val="clear" w:color="auto" w:fill="FFFFFF"/>
          <w:lang w:val="en-US"/>
        </w:rPr>
      </w:pPr>
      <w:proofErr w:type="spellStart"/>
      <w:r w:rsidRPr="00B25959">
        <w:rPr>
          <w:sz w:val="24"/>
          <w:szCs w:val="24"/>
          <w:shd w:val="clear" w:color="auto" w:fill="FFFFFF"/>
          <w:lang w:val="en-US"/>
        </w:rPr>
        <w:t>Bedard</w:t>
      </w:r>
      <w:proofErr w:type="spellEnd"/>
      <w:r w:rsidRPr="00B25959">
        <w:rPr>
          <w:sz w:val="24"/>
          <w:szCs w:val="24"/>
          <w:shd w:val="clear" w:color="auto" w:fill="FFFFFF"/>
          <w:lang w:val="en-US"/>
        </w:rPr>
        <w:t xml:space="preserve">, J., </w:t>
      </w:r>
      <w:proofErr w:type="spellStart"/>
      <w:r w:rsidRPr="00B25959">
        <w:rPr>
          <w:sz w:val="24"/>
          <w:szCs w:val="24"/>
          <w:shd w:val="clear" w:color="auto" w:fill="FFFFFF"/>
          <w:lang w:val="en-US"/>
        </w:rPr>
        <w:t>Chtourou</w:t>
      </w:r>
      <w:proofErr w:type="spellEnd"/>
      <w:r w:rsidRPr="00B25959">
        <w:rPr>
          <w:sz w:val="24"/>
          <w:szCs w:val="24"/>
          <w:shd w:val="clear" w:color="auto" w:fill="FFFFFF"/>
          <w:lang w:val="en-US"/>
        </w:rPr>
        <w:t xml:space="preserve">, S. M., &amp; </w:t>
      </w:r>
      <w:proofErr w:type="spellStart"/>
      <w:r w:rsidRPr="00B25959">
        <w:rPr>
          <w:sz w:val="24"/>
          <w:szCs w:val="24"/>
          <w:shd w:val="clear" w:color="auto" w:fill="FFFFFF"/>
          <w:lang w:val="en-US"/>
        </w:rPr>
        <w:t>Courteau</w:t>
      </w:r>
      <w:proofErr w:type="spellEnd"/>
      <w:r w:rsidRPr="00B25959">
        <w:rPr>
          <w:sz w:val="24"/>
          <w:szCs w:val="24"/>
          <w:shd w:val="clear" w:color="auto" w:fill="FFFFFF"/>
          <w:lang w:val="en-US"/>
        </w:rPr>
        <w:t xml:space="preserve">, L. (2004). The effect of audit committee expertise, independence, and activity on aggressive earnings management. </w:t>
      </w:r>
      <w:r w:rsidRPr="00B25959">
        <w:rPr>
          <w:i/>
          <w:sz w:val="24"/>
          <w:szCs w:val="24"/>
          <w:shd w:val="clear" w:color="auto" w:fill="FFFFFF"/>
          <w:lang w:val="en-US"/>
        </w:rPr>
        <w:t>Auditing: A Journal of Practice &amp; Theory</w:t>
      </w:r>
      <w:r w:rsidRPr="00B25959">
        <w:rPr>
          <w:sz w:val="24"/>
          <w:szCs w:val="24"/>
          <w:shd w:val="clear" w:color="auto" w:fill="FFFFFF"/>
          <w:lang w:val="en-US"/>
        </w:rPr>
        <w:t>, 23(2), 13-35.</w:t>
      </w:r>
    </w:p>
    <w:p w14:paraId="06760AC5" w14:textId="3E5BD505" w:rsidR="008B283A" w:rsidRPr="003D3B3A" w:rsidRDefault="008B283A" w:rsidP="003D3B3A">
      <w:pPr>
        <w:ind w:left="284" w:hanging="284"/>
        <w:jc w:val="both"/>
        <w:rPr>
          <w:i/>
          <w:sz w:val="24"/>
          <w:szCs w:val="24"/>
          <w:shd w:val="clear" w:color="auto" w:fill="FFFFFF"/>
          <w:lang w:val="en-US"/>
        </w:rPr>
      </w:pPr>
      <w:proofErr w:type="spellStart"/>
      <w:r w:rsidRPr="00B25959">
        <w:rPr>
          <w:sz w:val="24"/>
          <w:szCs w:val="24"/>
          <w:shd w:val="clear" w:color="auto" w:fill="FFFFFF"/>
          <w:lang w:val="en-US"/>
        </w:rPr>
        <w:t>Berle</w:t>
      </w:r>
      <w:proofErr w:type="spellEnd"/>
      <w:r w:rsidRPr="00B25959">
        <w:rPr>
          <w:sz w:val="24"/>
          <w:szCs w:val="24"/>
          <w:shd w:val="clear" w:color="auto" w:fill="FFFFFF"/>
          <w:lang w:val="en-US"/>
        </w:rPr>
        <w:t xml:space="preserve">, A., &amp; Means, G. (1932). Private property and the modern corporation. </w:t>
      </w:r>
      <w:r w:rsidRPr="00B25959">
        <w:rPr>
          <w:i/>
          <w:sz w:val="24"/>
          <w:szCs w:val="24"/>
          <w:shd w:val="clear" w:color="auto" w:fill="FFFFFF"/>
          <w:lang w:val="en-US"/>
        </w:rPr>
        <w:t>New York: Mac-</w:t>
      </w:r>
      <w:proofErr w:type="spellStart"/>
      <w:r w:rsidRPr="00B25959">
        <w:rPr>
          <w:i/>
          <w:sz w:val="24"/>
          <w:szCs w:val="24"/>
          <w:shd w:val="clear" w:color="auto" w:fill="FFFFFF"/>
          <w:lang w:val="en-US"/>
        </w:rPr>
        <w:t>millan</w:t>
      </w:r>
      <w:proofErr w:type="spellEnd"/>
      <w:r w:rsidRPr="00B25959">
        <w:rPr>
          <w:i/>
          <w:sz w:val="24"/>
          <w:szCs w:val="24"/>
          <w:shd w:val="clear" w:color="auto" w:fill="FFFFFF"/>
          <w:lang w:val="en-US"/>
        </w:rPr>
        <w:t>.</w:t>
      </w:r>
    </w:p>
    <w:p w14:paraId="06760AC7" w14:textId="2F04A9C4" w:rsidR="008B283A" w:rsidRPr="00B25959" w:rsidRDefault="008B283A" w:rsidP="003D3B3A">
      <w:pPr>
        <w:tabs>
          <w:tab w:val="left" w:pos="1515"/>
        </w:tabs>
        <w:ind w:left="284" w:hanging="284"/>
        <w:jc w:val="both"/>
        <w:rPr>
          <w:sz w:val="24"/>
          <w:szCs w:val="24"/>
          <w:shd w:val="clear" w:color="auto" w:fill="FFFFFF"/>
          <w:lang w:val="en-US"/>
        </w:rPr>
      </w:pPr>
      <w:r w:rsidRPr="00B25959">
        <w:rPr>
          <w:sz w:val="24"/>
          <w:szCs w:val="24"/>
          <w:shd w:val="clear" w:color="auto" w:fill="FFFFFF"/>
          <w:lang w:val="en-US"/>
        </w:rPr>
        <w:t>Blue Ribbon Committee on Improving the Effectiveness of Corporate Audit Committees. (1999). Report and recommendations of the Blue Ribbon Committee on improving the effectiveness of corporate audit committees. </w:t>
      </w:r>
      <w:r w:rsidRPr="00B25959">
        <w:rPr>
          <w:i/>
          <w:iCs/>
          <w:sz w:val="24"/>
          <w:szCs w:val="24"/>
          <w:shd w:val="clear" w:color="auto" w:fill="FFFFFF"/>
          <w:lang w:val="en-US"/>
        </w:rPr>
        <w:t>The Business Lawyer</w:t>
      </w:r>
      <w:r w:rsidRPr="00B25959">
        <w:rPr>
          <w:sz w:val="24"/>
          <w:szCs w:val="24"/>
          <w:shd w:val="clear" w:color="auto" w:fill="FFFFFF"/>
          <w:lang w:val="en-US"/>
        </w:rPr>
        <w:t>, 1067-1095.</w:t>
      </w:r>
    </w:p>
    <w:p w14:paraId="06760AC9" w14:textId="15C7BBFE" w:rsidR="008B283A" w:rsidRPr="00B25959" w:rsidRDefault="008B283A" w:rsidP="00831887">
      <w:pPr>
        <w:ind w:left="284" w:hanging="284"/>
        <w:jc w:val="both"/>
        <w:rPr>
          <w:sz w:val="24"/>
          <w:szCs w:val="24"/>
          <w:shd w:val="clear" w:color="auto" w:fill="FFFFFF"/>
          <w:lang w:val="en-US"/>
        </w:rPr>
      </w:pPr>
      <w:r w:rsidRPr="00B25959">
        <w:rPr>
          <w:sz w:val="24"/>
          <w:szCs w:val="24"/>
          <w:shd w:val="clear" w:color="auto" w:fill="FFFFFF"/>
          <w:lang w:val="en-US"/>
        </w:rPr>
        <w:t>Bushman, R., Chen, Q., Engel, E., &amp; Smith, A. (2004). Financial accounting information, organizational complexity and corporate governance systems. </w:t>
      </w:r>
      <w:r w:rsidRPr="00B25959">
        <w:rPr>
          <w:i/>
          <w:iCs/>
          <w:sz w:val="24"/>
          <w:szCs w:val="24"/>
          <w:shd w:val="clear" w:color="auto" w:fill="FFFFFF"/>
          <w:lang w:val="en-US"/>
        </w:rPr>
        <w:t>Journal of Accounting and Economics</w:t>
      </w:r>
      <w:r w:rsidRPr="00B25959">
        <w:rPr>
          <w:sz w:val="24"/>
          <w:szCs w:val="24"/>
          <w:shd w:val="clear" w:color="auto" w:fill="FFFFFF"/>
          <w:lang w:val="en-US"/>
        </w:rPr>
        <w:t>, </w:t>
      </w:r>
      <w:r w:rsidRPr="00B25959">
        <w:rPr>
          <w:i/>
          <w:iCs/>
          <w:sz w:val="24"/>
          <w:szCs w:val="24"/>
          <w:shd w:val="clear" w:color="auto" w:fill="FFFFFF"/>
          <w:lang w:val="en-US"/>
        </w:rPr>
        <w:t>37</w:t>
      </w:r>
      <w:r w:rsidRPr="00B25959">
        <w:rPr>
          <w:sz w:val="24"/>
          <w:szCs w:val="24"/>
          <w:shd w:val="clear" w:color="auto" w:fill="FFFFFF"/>
          <w:lang w:val="en-US"/>
        </w:rPr>
        <w:t>(2), 167-201.</w:t>
      </w:r>
    </w:p>
    <w:p w14:paraId="06760ACB" w14:textId="78812FED" w:rsidR="008B283A" w:rsidRPr="00B25959" w:rsidRDefault="008B283A" w:rsidP="00831887">
      <w:pPr>
        <w:autoSpaceDE w:val="0"/>
        <w:autoSpaceDN w:val="0"/>
        <w:adjustRightInd w:val="0"/>
        <w:ind w:left="284" w:hanging="284"/>
        <w:rPr>
          <w:sz w:val="24"/>
          <w:szCs w:val="24"/>
          <w:lang w:val="en-US"/>
        </w:rPr>
      </w:pPr>
      <w:r w:rsidRPr="00B25959">
        <w:rPr>
          <w:sz w:val="24"/>
          <w:szCs w:val="24"/>
          <w:lang w:val="en-US"/>
        </w:rPr>
        <w:lastRenderedPageBreak/>
        <w:t xml:space="preserve">Cadbury Report (1992), </w:t>
      </w:r>
      <w:r w:rsidRPr="00B25959">
        <w:rPr>
          <w:i/>
          <w:sz w:val="24"/>
          <w:szCs w:val="24"/>
          <w:lang w:val="en-US"/>
        </w:rPr>
        <w:t>Report of the Committee on the Financial Aspects of Corporate Governance</w:t>
      </w:r>
      <w:r w:rsidRPr="00B25959">
        <w:rPr>
          <w:sz w:val="24"/>
          <w:szCs w:val="24"/>
          <w:lang w:val="en-US"/>
        </w:rPr>
        <w:t>, Gee &amp; Co, London.</w:t>
      </w:r>
    </w:p>
    <w:p w14:paraId="06760ACD" w14:textId="2606CD0D" w:rsidR="008B283A" w:rsidRPr="00B25959" w:rsidRDefault="008B283A" w:rsidP="00831887">
      <w:pPr>
        <w:autoSpaceDE w:val="0"/>
        <w:autoSpaceDN w:val="0"/>
        <w:adjustRightInd w:val="0"/>
        <w:ind w:left="284" w:hanging="284"/>
        <w:rPr>
          <w:sz w:val="24"/>
          <w:szCs w:val="24"/>
          <w:lang w:val="en-US"/>
        </w:rPr>
      </w:pPr>
      <w:proofErr w:type="spellStart"/>
      <w:proofErr w:type="gramStart"/>
      <w:r w:rsidRPr="00B25959">
        <w:rPr>
          <w:sz w:val="24"/>
          <w:szCs w:val="24"/>
          <w:lang w:val="en-US"/>
        </w:rPr>
        <w:t>Cai</w:t>
      </w:r>
      <w:proofErr w:type="spellEnd"/>
      <w:proofErr w:type="gramEnd"/>
      <w:r w:rsidRPr="00B25959">
        <w:rPr>
          <w:sz w:val="24"/>
          <w:szCs w:val="24"/>
          <w:lang w:val="en-US"/>
        </w:rPr>
        <w:t xml:space="preserve">, J., </w:t>
      </w:r>
      <w:proofErr w:type="spellStart"/>
      <w:r w:rsidRPr="00B25959">
        <w:rPr>
          <w:sz w:val="24"/>
          <w:szCs w:val="24"/>
          <w:lang w:val="en-US"/>
        </w:rPr>
        <w:t>Qian</w:t>
      </w:r>
      <w:proofErr w:type="spellEnd"/>
      <w:r w:rsidRPr="00B25959">
        <w:rPr>
          <w:sz w:val="24"/>
          <w:szCs w:val="24"/>
          <w:lang w:val="en-US"/>
        </w:rPr>
        <w:t xml:space="preserve">, Y., &amp; Liu, Y. (2008). Information asymmetry and corporate governance, </w:t>
      </w:r>
      <w:r w:rsidRPr="00B25959">
        <w:rPr>
          <w:i/>
          <w:sz w:val="24"/>
          <w:szCs w:val="24"/>
          <w:lang w:val="en-US"/>
        </w:rPr>
        <w:t>Drexel College of Business Research Papers, 2</w:t>
      </w:r>
      <w:r w:rsidRPr="00B25959">
        <w:rPr>
          <w:sz w:val="24"/>
          <w:szCs w:val="24"/>
          <w:lang w:val="en-US"/>
        </w:rPr>
        <w:t>.</w:t>
      </w:r>
    </w:p>
    <w:p w14:paraId="06760ACF" w14:textId="7E89B9D4" w:rsidR="008B283A" w:rsidRPr="00B25959" w:rsidRDefault="008B283A" w:rsidP="00831887">
      <w:pPr>
        <w:ind w:left="284" w:hanging="284"/>
        <w:jc w:val="both"/>
        <w:rPr>
          <w:sz w:val="24"/>
          <w:szCs w:val="24"/>
          <w:shd w:val="clear" w:color="auto" w:fill="FFFFFF"/>
          <w:lang w:val="en-US"/>
        </w:rPr>
      </w:pPr>
      <w:proofErr w:type="spellStart"/>
      <w:r w:rsidRPr="00B25959">
        <w:rPr>
          <w:sz w:val="24"/>
          <w:szCs w:val="24"/>
          <w:shd w:val="clear" w:color="auto" w:fill="FFFFFF"/>
          <w:lang w:val="en-US"/>
        </w:rPr>
        <w:t>Carcello</w:t>
      </w:r>
      <w:proofErr w:type="spellEnd"/>
      <w:r w:rsidRPr="00B25959">
        <w:rPr>
          <w:sz w:val="24"/>
          <w:szCs w:val="24"/>
          <w:shd w:val="clear" w:color="auto" w:fill="FFFFFF"/>
          <w:lang w:val="en-US"/>
        </w:rPr>
        <w:t>, J. V., &amp; Neal, T. L. (2000). Audit committee composition and auditor reporting. </w:t>
      </w:r>
      <w:r w:rsidRPr="00B25959">
        <w:rPr>
          <w:i/>
          <w:iCs/>
          <w:sz w:val="24"/>
          <w:szCs w:val="24"/>
          <w:shd w:val="clear" w:color="auto" w:fill="FFFFFF"/>
          <w:lang w:val="en-US"/>
        </w:rPr>
        <w:t>The Accounting Review</w:t>
      </w:r>
      <w:r w:rsidRPr="00B25959">
        <w:rPr>
          <w:sz w:val="24"/>
          <w:szCs w:val="24"/>
          <w:shd w:val="clear" w:color="auto" w:fill="FFFFFF"/>
          <w:lang w:val="en-US"/>
        </w:rPr>
        <w:t>, </w:t>
      </w:r>
      <w:r w:rsidRPr="00B25959">
        <w:rPr>
          <w:i/>
          <w:iCs/>
          <w:sz w:val="24"/>
          <w:szCs w:val="24"/>
          <w:shd w:val="clear" w:color="auto" w:fill="FFFFFF"/>
          <w:lang w:val="en-US"/>
        </w:rPr>
        <w:t>75</w:t>
      </w:r>
      <w:r w:rsidRPr="00B25959">
        <w:rPr>
          <w:sz w:val="24"/>
          <w:szCs w:val="24"/>
          <w:shd w:val="clear" w:color="auto" w:fill="FFFFFF"/>
          <w:lang w:val="en-US"/>
        </w:rPr>
        <w:t>(4), 453-467.</w:t>
      </w:r>
    </w:p>
    <w:p w14:paraId="06760AD1" w14:textId="7C681A17" w:rsidR="008B283A" w:rsidRPr="00B25959" w:rsidRDefault="008B283A" w:rsidP="00831887">
      <w:pPr>
        <w:ind w:left="284" w:hanging="284"/>
        <w:jc w:val="both"/>
        <w:rPr>
          <w:sz w:val="24"/>
          <w:szCs w:val="24"/>
          <w:shd w:val="clear" w:color="auto" w:fill="FFFFFF"/>
          <w:lang w:val="en-US"/>
        </w:rPr>
      </w:pPr>
      <w:r w:rsidRPr="00E406DC">
        <w:rPr>
          <w:sz w:val="23"/>
          <w:szCs w:val="23"/>
          <w:shd w:val="clear" w:color="auto" w:fill="FFFFFF"/>
          <w:lang w:val="en-US"/>
        </w:rPr>
        <w:t xml:space="preserve">Cohen, J., Gaynor, L. M., </w:t>
      </w:r>
      <w:proofErr w:type="spellStart"/>
      <w:r w:rsidRPr="00E406DC">
        <w:rPr>
          <w:sz w:val="23"/>
          <w:szCs w:val="23"/>
          <w:shd w:val="clear" w:color="auto" w:fill="FFFFFF"/>
          <w:lang w:val="en-US"/>
        </w:rPr>
        <w:t>Krishnamoorthy</w:t>
      </w:r>
      <w:proofErr w:type="spellEnd"/>
      <w:r w:rsidRPr="00E406DC">
        <w:rPr>
          <w:sz w:val="23"/>
          <w:szCs w:val="23"/>
          <w:shd w:val="clear" w:color="auto" w:fill="FFFFFF"/>
          <w:lang w:val="en-US"/>
        </w:rPr>
        <w:t>, G., &amp; Wright, A. M. (2007). Auditor communications with the audit committee and the board of directors: Policy recommendations and opportunities for future research</w:t>
      </w:r>
      <w:r w:rsidRPr="00B25959">
        <w:rPr>
          <w:sz w:val="24"/>
          <w:szCs w:val="24"/>
          <w:shd w:val="clear" w:color="auto" w:fill="FFFFFF"/>
          <w:lang w:val="en-US"/>
        </w:rPr>
        <w:t>. </w:t>
      </w:r>
      <w:r w:rsidRPr="00B25959">
        <w:rPr>
          <w:i/>
          <w:iCs/>
          <w:sz w:val="24"/>
          <w:szCs w:val="24"/>
          <w:shd w:val="clear" w:color="auto" w:fill="FFFFFF"/>
          <w:lang w:val="en-US"/>
        </w:rPr>
        <w:t>Accounting Horizons</w:t>
      </w:r>
      <w:r w:rsidRPr="00B25959">
        <w:rPr>
          <w:sz w:val="24"/>
          <w:szCs w:val="24"/>
          <w:shd w:val="clear" w:color="auto" w:fill="FFFFFF"/>
          <w:lang w:val="en-US"/>
        </w:rPr>
        <w:t>, </w:t>
      </w:r>
      <w:r w:rsidRPr="00B25959">
        <w:rPr>
          <w:i/>
          <w:iCs/>
          <w:sz w:val="24"/>
          <w:szCs w:val="24"/>
          <w:shd w:val="clear" w:color="auto" w:fill="FFFFFF"/>
          <w:lang w:val="en-US"/>
        </w:rPr>
        <w:t>21</w:t>
      </w:r>
      <w:r w:rsidRPr="00B25959">
        <w:rPr>
          <w:sz w:val="24"/>
          <w:szCs w:val="24"/>
          <w:shd w:val="clear" w:color="auto" w:fill="FFFFFF"/>
          <w:lang w:val="en-US"/>
        </w:rPr>
        <w:t>(2), 165-187.</w:t>
      </w:r>
    </w:p>
    <w:p w14:paraId="06760AD3" w14:textId="0CD22BDF" w:rsidR="008B283A" w:rsidRPr="00B25959" w:rsidRDefault="008B283A" w:rsidP="00831887">
      <w:pPr>
        <w:ind w:left="284" w:hanging="284"/>
        <w:jc w:val="both"/>
        <w:rPr>
          <w:sz w:val="24"/>
          <w:szCs w:val="24"/>
          <w:shd w:val="clear" w:color="auto" w:fill="FFFFFF"/>
        </w:rPr>
      </w:pPr>
      <w:r w:rsidRPr="00B25959">
        <w:rPr>
          <w:sz w:val="24"/>
          <w:szCs w:val="24"/>
          <w:shd w:val="clear" w:color="auto" w:fill="FFFFFF"/>
          <w:lang w:val="en-US"/>
        </w:rPr>
        <w:t xml:space="preserve">Cunha, P. R., </w:t>
      </w:r>
      <w:proofErr w:type="spellStart"/>
      <w:r w:rsidRPr="00B25959">
        <w:rPr>
          <w:sz w:val="24"/>
          <w:szCs w:val="24"/>
          <w:shd w:val="clear" w:color="auto" w:fill="FFFFFF"/>
          <w:lang w:val="en-US"/>
        </w:rPr>
        <w:t>Hillesheim</w:t>
      </w:r>
      <w:proofErr w:type="spellEnd"/>
      <w:r w:rsidRPr="00B25959">
        <w:rPr>
          <w:sz w:val="24"/>
          <w:szCs w:val="24"/>
          <w:shd w:val="clear" w:color="auto" w:fill="FFFFFF"/>
          <w:lang w:val="en-US"/>
        </w:rPr>
        <w:t xml:space="preserve">, T., de </w:t>
      </w:r>
      <w:proofErr w:type="spellStart"/>
      <w:r w:rsidRPr="00B25959">
        <w:rPr>
          <w:sz w:val="24"/>
          <w:szCs w:val="24"/>
          <w:shd w:val="clear" w:color="auto" w:fill="FFFFFF"/>
          <w:lang w:val="en-US"/>
        </w:rPr>
        <w:t>Faveri</w:t>
      </w:r>
      <w:proofErr w:type="spellEnd"/>
      <w:r w:rsidRPr="00B25959">
        <w:rPr>
          <w:sz w:val="24"/>
          <w:szCs w:val="24"/>
          <w:shd w:val="clear" w:color="auto" w:fill="FFFFFF"/>
          <w:lang w:val="en-US"/>
        </w:rPr>
        <w:t xml:space="preserve">, D. B., &amp; Junior, M. M. R. (2014). </w:t>
      </w:r>
      <w:r w:rsidRPr="00B25959">
        <w:rPr>
          <w:sz w:val="24"/>
          <w:szCs w:val="24"/>
          <w:shd w:val="clear" w:color="auto" w:fill="FFFFFF"/>
        </w:rPr>
        <w:t xml:space="preserve">Características do comitê de auditoria e o gerenciamento de resultados: um estudo nas empresas listadas na BM&amp;FBOVESPA. </w:t>
      </w:r>
      <w:r w:rsidRPr="00B25959">
        <w:rPr>
          <w:i/>
          <w:sz w:val="24"/>
          <w:szCs w:val="24"/>
          <w:shd w:val="clear" w:color="auto" w:fill="FFFFFF"/>
        </w:rPr>
        <w:t>Revista de Contabilidade e Organizações</w:t>
      </w:r>
      <w:r w:rsidRPr="00B25959">
        <w:rPr>
          <w:sz w:val="24"/>
          <w:szCs w:val="24"/>
          <w:shd w:val="clear" w:color="auto" w:fill="FFFFFF"/>
        </w:rPr>
        <w:t xml:space="preserve">, </w:t>
      </w:r>
      <w:r w:rsidRPr="00B25959">
        <w:rPr>
          <w:i/>
          <w:sz w:val="24"/>
          <w:szCs w:val="24"/>
          <w:shd w:val="clear" w:color="auto" w:fill="FFFFFF"/>
        </w:rPr>
        <w:t>8</w:t>
      </w:r>
      <w:r w:rsidRPr="00B25959">
        <w:rPr>
          <w:sz w:val="24"/>
          <w:szCs w:val="24"/>
          <w:shd w:val="clear" w:color="auto" w:fill="FFFFFF"/>
        </w:rPr>
        <w:t>(22), 15-25.</w:t>
      </w:r>
    </w:p>
    <w:p w14:paraId="06760AD5" w14:textId="2F02575B" w:rsidR="008B283A" w:rsidRPr="00472D25" w:rsidRDefault="008B283A" w:rsidP="00831887">
      <w:pPr>
        <w:ind w:left="284" w:hanging="284"/>
        <w:jc w:val="both"/>
        <w:rPr>
          <w:sz w:val="24"/>
          <w:szCs w:val="24"/>
          <w:shd w:val="clear" w:color="auto" w:fill="FFFFFF"/>
        </w:rPr>
      </w:pPr>
      <w:r w:rsidRPr="00B25959">
        <w:rPr>
          <w:sz w:val="24"/>
          <w:szCs w:val="24"/>
          <w:shd w:val="clear" w:color="auto" w:fill="FFFFFF"/>
        </w:rPr>
        <w:t>C</w:t>
      </w:r>
      <w:r w:rsidRPr="00472D25">
        <w:rPr>
          <w:sz w:val="24"/>
          <w:szCs w:val="24"/>
          <w:shd w:val="clear" w:color="auto" w:fill="FFFFFF"/>
        </w:rPr>
        <w:t xml:space="preserve">unha, P. R., </w:t>
      </w:r>
      <w:proofErr w:type="spellStart"/>
      <w:r w:rsidRPr="00472D25">
        <w:rPr>
          <w:sz w:val="24"/>
          <w:szCs w:val="24"/>
          <w:shd w:val="clear" w:color="auto" w:fill="FFFFFF"/>
        </w:rPr>
        <w:t>Sant'ana</w:t>
      </w:r>
      <w:proofErr w:type="spellEnd"/>
      <w:r w:rsidRPr="00472D25">
        <w:rPr>
          <w:sz w:val="24"/>
          <w:szCs w:val="24"/>
          <w:shd w:val="clear" w:color="auto" w:fill="FFFFFF"/>
        </w:rPr>
        <w:t xml:space="preserve">, S. V., </w:t>
      </w:r>
      <w:proofErr w:type="spellStart"/>
      <w:r w:rsidRPr="00472D25">
        <w:rPr>
          <w:sz w:val="24"/>
          <w:szCs w:val="24"/>
          <w:shd w:val="clear" w:color="auto" w:fill="FFFFFF"/>
        </w:rPr>
        <w:t>Theis</w:t>
      </w:r>
      <w:proofErr w:type="spellEnd"/>
      <w:r w:rsidRPr="00472D25">
        <w:rPr>
          <w:sz w:val="24"/>
          <w:szCs w:val="24"/>
          <w:shd w:val="clear" w:color="auto" w:fill="FFFFFF"/>
        </w:rPr>
        <w:t xml:space="preserve">, M. B., &amp; </w:t>
      </w:r>
      <w:proofErr w:type="spellStart"/>
      <w:r w:rsidRPr="00472D25">
        <w:rPr>
          <w:sz w:val="24"/>
          <w:szCs w:val="24"/>
          <w:shd w:val="clear" w:color="auto" w:fill="FFFFFF"/>
        </w:rPr>
        <w:t>Krespi</w:t>
      </w:r>
      <w:proofErr w:type="spellEnd"/>
      <w:r w:rsidRPr="00472D25">
        <w:rPr>
          <w:sz w:val="24"/>
          <w:szCs w:val="24"/>
          <w:shd w:val="clear" w:color="auto" w:fill="FFFFFF"/>
        </w:rPr>
        <w:t>, N. T. (2013). Características do comitê de auditoria e os reflexos no gerenciamento de resultados nas empresas listadas na BM&amp;FBOVESPA. </w:t>
      </w:r>
      <w:r w:rsidRPr="00472D25">
        <w:rPr>
          <w:i/>
          <w:iCs/>
          <w:sz w:val="24"/>
          <w:szCs w:val="24"/>
          <w:shd w:val="clear" w:color="auto" w:fill="FFFFFF"/>
        </w:rPr>
        <w:t>Revista de Contabilidade do Mestrado em Ciências Contábeis da UERJ</w:t>
      </w:r>
      <w:r w:rsidRPr="00472D25">
        <w:rPr>
          <w:sz w:val="24"/>
          <w:szCs w:val="24"/>
          <w:shd w:val="clear" w:color="auto" w:fill="FFFFFF"/>
        </w:rPr>
        <w:t>, </w:t>
      </w:r>
      <w:r w:rsidRPr="00472D25">
        <w:rPr>
          <w:i/>
          <w:iCs/>
          <w:sz w:val="24"/>
          <w:szCs w:val="24"/>
          <w:shd w:val="clear" w:color="auto" w:fill="FFFFFF"/>
        </w:rPr>
        <w:t>18</w:t>
      </w:r>
      <w:r w:rsidRPr="00472D25">
        <w:rPr>
          <w:sz w:val="24"/>
          <w:szCs w:val="24"/>
          <w:shd w:val="clear" w:color="auto" w:fill="FFFFFF"/>
        </w:rPr>
        <w:t>(3), 02-19.</w:t>
      </w:r>
    </w:p>
    <w:p w14:paraId="06760AD7" w14:textId="14799402" w:rsidR="008B283A" w:rsidRPr="00B25959" w:rsidRDefault="008B283A" w:rsidP="00831887">
      <w:pPr>
        <w:ind w:left="284" w:hanging="284"/>
        <w:jc w:val="both"/>
        <w:rPr>
          <w:sz w:val="24"/>
          <w:szCs w:val="24"/>
          <w:shd w:val="clear" w:color="auto" w:fill="FFFFFF"/>
          <w:lang w:val="en-US"/>
        </w:rPr>
      </w:pPr>
      <w:proofErr w:type="spellStart"/>
      <w:r w:rsidRPr="00B25959">
        <w:rPr>
          <w:sz w:val="24"/>
          <w:szCs w:val="24"/>
          <w:shd w:val="clear" w:color="auto" w:fill="FFFFFF"/>
          <w:lang w:val="en-US"/>
        </w:rPr>
        <w:t>Dechow</w:t>
      </w:r>
      <w:proofErr w:type="spellEnd"/>
      <w:r w:rsidRPr="00B25959">
        <w:rPr>
          <w:sz w:val="24"/>
          <w:szCs w:val="24"/>
          <w:shd w:val="clear" w:color="auto" w:fill="FFFFFF"/>
          <w:lang w:val="en-US"/>
        </w:rPr>
        <w:t>, P. M., Sloan, R. G., &amp; Sweeney, A. P. (1996). Causes and consequences of earnings manipulation: An analysis of firms subject to enforcement actions by the SEC. </w:t>
      </w:r>
      <w:r w:rsidRPr="00B25959">
        <w:rPr>
          <w:i/>
          <w:iCs/>
          <w:sz w:val="24"/>
          <w:szCs w:val="24"/>
          <w:shd w:val="clear" w:color="auto" w:fill="FFFFFF"/>
          <w:lang w:val="en-US"/>
        </w:rPr>
        <w:t>Contemporary accounting research</w:t>
      </w:r>
      <w:r w:rsidRPr="00B25959">
        <w:rPr>
          <w:sz w:val="24"/>
          <w:szCs w:val="24"/>
          <w:shd w:val="clear" w:color="auto" w:fill="FFFFFF"/>
          <w:lang w:val="en-US"/>
        </w:rPr>
        <w:t>, </w:t>
      </w:r>
      <w:r w:rsidRPr="00B25959">
        <w:rPr>
          <w:i/>
          <w:iCs/>
          <w:sz w:val="24"/>
          <w:szCs w:val="24"/>
          <w:shd w:val="clear" w:color="auto" w:fill="FFFFFF"/>
          <w:lang w:val="en-US"/>
        </w:rPr>
        <w:t>13</w:t>
      </w:r>
      <w:r w:rsidRPr="00B25959">
        <w:rPr>
          <w:sz w:val="24"/>
          <w:szCs w:val="24"/>
          <w:shd w:val="clear" w:color="auto" w:fill="FFFFFF"/>
          <w:lang w:val="en-US"/>
        </w:rPr>
        <w:t>(1), 1-36.</w:t>
      </w:r>
    </w:p>
    <w:p w14:paraId="06760AD9" w14:textId="6048F463" w:rsidR="008B283A" w:rsidRPr="00B25959" w:rsidRDefault="008B283A" w:rsidP="00831887">
      <w:pPr>
        <w:ind w:left="284" w:hanging="284"/>
        <w:jc w:val="both"/>
        <w:rPr>
          <w:sz w:val="24"/>
          <w:szCs w:val="24"/>
          <w:shd w:val="clear" w:color="auto" w:fill="FFFFFF"/>
          <w:lang w:val="en-US"/>
        </w:rPr>
      </w:pPr>
      <w:proofErr w:type="spellStart"/>
      <w:r w:rsidRPr="00B25959">
        <w:rPr>
          <w:sz w:val="24"/>
          <w:szCs w:val="24"/>
          <w:shd w:val="clear" w:color="auto" w:fill="FFFFFF"/>
          <w:lang w:val="en-US"/>
        </w:rPr>
        <w:t>DeFond</w:t>
      </w:r>
      <w:proofErr w:type="spellEnd"/>
      <w:r w:rsidRPr="00B25959">
        <w:rPr>
          <w:sz w:val="24"/>
          <w:szCs w:val="24"/>
          <w:shd w:val="clear" w:color="auto" w:fill="FFFFFF"/>
          <w:lang w:val="en-US"/>
        </w:rPr>
        <w:t xml:space="preserve">, M. L., </w:t>
      </w:r>
      <w:proofErr w:type="spellStart"/>
      <w:r w:rsidRPr="00B25959">
        <w:rPr>
          <w:sz w:val="24"/>
          <w:szCs w:val="24"/>
          <w:shd w:val="clear" w:color="auto" w:fill="FFFFFF"/>
          <w:lang w:val="en-US"/>
        </w:rPr>
        <w:t>Hann</w:t>
      </w:r>
      <w:proofErr w:type="spellEnd"/>
      <w:r w:rsidRPr="00B25959">
        <w:rPr>
          <w:sz w:val="24"/>
          <w:szCs w:val="24"/>
          <w:shd w:val="clear" w:color="auto" w:fill="FFFFFF"/>
          <w:lang w:val="en-US"/>
        </w:rPr>
        <w:t>, R. N., &amp; Hu, X. (2005). Does the market value financial expertise on audit committees of boards of directors</w:t>
      </w:r>
      <w:proofErr w:type="gramStart"/>
      <w:r w:rsidRPr="00B25959">
        <w:rPr>
          <w:sz w:val="24"/>
          <w:szCs w:val="24"/>
          <w:shd w:val="clear" w:color="auto" w:fill="FFFFFF"/>
          <w:lang w:val="en-US"/>
        </w:rPr>
        <w:t>?.</w:t>
      </w:r>
      <w:proofErr w:type="gramEnd"/>
      <w:r w:rsidRPr="00B25959">
        <w:rPr>
          <w:sz w:val="24"/>
          <w:szCs w:val="24"/>
          <w:shd w:val="clear" w:color="auto" w:fill="FFFFFF"/>
          <w:lang w:val="en-US"/>
        </w:rPr>
        <w:t xml:space="preserve"> </w:t>
      </w:r>
      <w:r w:rsidRPr="00B25959">
        <w:rPr>
          <w:i/>
          <w:sz w:val="24"/>
          <w:szCs w:val="24"/>
          <w:shd w:val="clear" w:color="auto" w:fill="FFFFFF"/>
          <w:lang w:val="en-US"/>
        </w:rPr>
        <w:t>Journal of accounting research, 43</w:t>
      </w:r>
      <w:r w:rsidRPr="00B25959">
        <w:rPr>
          <w:sz w:val="24"/>
          <w:szCs w:val="24"/>
          <w:shd w:val="clear" w:color="auto" w:fill="FFFFFF"/>
          <w:lang w:val="en-US"/>
        </w:rPr>
        <w:t>(2), 153-193.</w:t>
      </w:r>
    </w:p>
    <w:p w14:paraId="06760ADB" w14:textId="2D79A16E" w:rsidR="008B283A" w:rsidRPr="00B25959" w:rsidRDefault="008B283A" w:rsidP="008346B9">
      <w:pPr>
        <w:ind w:left="284" w:hanging="284"/>
        <w:jc w:val="both"/>
        <w:rPr>
          <w:sz w:val="24"/>
          <w:szCs w:val="24"/>
          <w:shd w:val="clear" w:color="auto" w:fill="FFFFFF"/>
          <w:lang w:val="en-US"/>
        </w:rPr>
      </w:pPr>
      <w:proofErr w:type="spellStart"/>
      <w:r w:rsidRPr="005D2585">
        <w:rPr>
          <w:sz w:val="24"/>
          <w:szCs w:val="24"/>
          <w:shd w:val="clear" w:color="auto" w:fill="FFFFFF"/>
          <w:lang w:val="en-US"/>
        </w:rPr>
        <w:t>DeZoort</w:t>
      </w:r>
      <w:proofErr w:type="spellEnd"/>
      <w:r w:rsidRPr="005D2585">
        <w:rPr>
          <w:sz w:val="24"/>
          <w:szCs w:val="24"/>
          <w:shd w:val="clear" w:color="auto" w:fill="FFFFFF"/>
          <w:lang w:val="en-US"/>
        </w:rPr>
        <w:t xml:space="preserve">, F. T., &amp; </w:t>
      </w:r>
      <w:proofErr w:type="spellStart"/>
      <w:r w:rsidRPr="005D2585">
        <w:rPr>
          <w:sz w:val="24"/>
          <w:szCs w:val="24"/>
          <w:shd w:val="clear" w:color="auto" w:fill="FFFFFF"/>
          <w:lang w:val="en-US"/>
        </w:rPr>
        <w:t>Salterio</w:t>
      </w:r>
      <w:proofErr w:type="spellEnd"/>
      <w:r w:rsidRPr="005D2585">
        <w:rPr>
          <w:sz w:val="24"/>
          <w:szCs w:val="24"/>
          <w:shd w:val="clear" w:color="auto" w:fill="FFFFFF"/>
          <w:lang w:val="en-US"/>
        </w:rPr>
        <w:t xml:space="preserve">, S. E. (2001). </w:t>
      </w:r>
      <w:r w:rsidRPr="00B25959">
        <w:rPr>
          <w:sz w:val="24"/>
          <w:szCs w:val="24"/>
          <w:shd w:val="clear" w:color="auto" w:fill="FFFFFF"/>
          <w:lang w:val="en-US"/>
        </w:rPr>
        <w:t>The effects of corporate governance experience and financial-reporting and audit knowledge on audit committee members' judgments. </w:t>
      </w:r>
      <w:r w:rsidRPr="00B25959">
        <w:rPr>
          <w:i/>
          <w:iCs/>
          <w:sz w:val="24"/>
          <w:szCs w:val="24"/>
          <w:shd w:val="clear" w:color="auto" w:fill="FFFFFF"/>
          <w:lang w:val="en-US"/>
        </w:rPr>
        <w:t>Auditing: A Journal of Practice &amp; Theory</w:t>
      </w:r>
      <w:r w:rsidRPr="00B25959">
        <w:rPr>
          <w:sz w:val="24"/>
          <w:szCs w:val="24"/>
          <w:shd w:val="clear" w:color="auto" w:fill="FFFFFF"/>
          <w:lang w:val="en-US"/>
        </w:rPr>
        <w:t>, </w:t>
      </w:r>
      <w:r w:rsidRPr="00B25959">
        <w:rPr>
          <w:i/>
          <w:iCs/>
          <w:sz w:val="24"/>
          <w:szCs w:val="24"/>
          <w:shd w:val="clear" w:color="auto" w:fill="FFFFFF"/>
          <w:lang w:val="en-US"/>
        </w:rPr>
        <w:t>20</w:t>
      </w:r>
      <w:r w:rsidRPr="00B25959">
        <w:rPr>
          <w:sz w:val="24"/>
          <w:szCs w:val="24"/>
          <w:shd w:val="clear" w:color="auto" w:fill="FFFFFF"/>
          <w:lang w:val="en-US"/>
        </w:rPr>
        <w:t>(2), 31-47.</w:t>
      </w:r>
    </w:p>
    <w:p w14:paraId="06760ADD" w14:textId="6DB9C27E" w:rsidR="008B283A" w:rsidRPr="00B25959" w:rsidRDefault="008B283A" w:rsidP="008346B9">
      <w:pPr>
        <w:ind w:left="284" w:hanging="284"/>
        <w:jc w:val="both"/>
        <w:rPr>
          <w:sz w:val="24"/>
          <w:szCs w:val="24"/>
          <w:shd w:val="clear" w:color="auto" w:fill="FFFFFF"/>
          <w:lang w:val="en-US"/>
        </w:rPr>
      </w:pPr>
      <w:proofErr w:type="spellStart"/>
      <w:r w:rsidRPr="00472D25">
        <w:rPr>
          <w:sz w:val="23"/>
          <w:szCs w:val="23"/>
          <w:shd w:val="clear" w:color="auto" w:fill="FFFFFF"/>
          <w:lang w:val="en-US"/>
        </w:rPr>
        <w:t>DeZoort</w:t>
      </w:r>
      <w:proofErr w:type="spellEnd"/>
      <w:r w:rsidRPr="00472D25">
        <w:rPr>
          <w:sz w:val="23"/>
          <w:szCs w:val="23"/>
          <w:shd w:val="clear" w:color="auto" w:fill="FFFFFF"/>
          <w:lang w:val="en-US"/>
        </w:rPr>
        <w:t xml:space="preserve">, F. T., </w:t>
      </w:r>
      <w:proofErr w:type="spellStart"/>
      <w:r w:rsidRPr="00472D25">
        <w:rPr>
          <w:sz w:val="23"/>
          <w:szCs w:val="23"/>
          <w:shd w:val="clear" w:color="auto" w:fill="FFFFFF"/>
          <w:lang w:val="en-US"/>
        </w:rPr>
        <w:t>Hermanson</w:t>
      </w:r>
      <w:proofErr w:type="spellEnd"/>
      <w:r w:rsidRPr="00472D25">
        <w:rPr>
          <w:sz w:val="23"/>
          <w:szCs w:val="23"/>
          <w:shd w:val="clear" w:color="auto" w:fill="FFFFFF"/>
          <w:lang w:val="en-US"/>
        </w:rPr>
        <w:t xml:space="preserve">, D. R., </w:t>
      </w:r>
      <w:proofErr w:type="spellStart"/>
      <w:r w:rsidRPr="00472D25">
        <w:rPr>
          <w:sz w:val="23"/>
          <w:szCs w:val="23"/>
          <w:shd w:val="clear" w:color="auto" w:fill="FFFFFF"/>
          <w:lang w:val="en-US"/>
        </w:rPr>
        <w:t>Archambeault</w:t>
      </w:r>
      <w:proofErr w:type="spellEnd"/>
      <w:r w:rsidRPr="00472D25">
        <w:rPr>
          <w:sz w:val="23"/>
          <w:szCs w:val="23"/>
          <w:shd w:val="clear" w:color="auto" w:fill="FFFFFF"/>
          <w:lang w:val="en-US"/>
        </w:rPr>
        <w:t xml:space="preserve">, D. S., &amp; Reed, S. A. (2002). Audit committee effectiveness: A synthesis of the empirical audit committee literature. </w:t>
      </w:r>
      <w:r w:rsidRPr="00472D25">
        <w:rPr>
          <w:i/>
          <w:sz w:val="23"/>
          <w:szCs w:val="23"/>
          <w:shd w:val="clear" w:color="auto" w:fill="FFFFFF"/>
          <w:lang w:val="en-US"/>
        </w:rPr>
        <w:t>Audit Committee Effectiveness:</w:t>
      </w:r>
      <w:r w:rsidRPr="00B25959">
        <w:rPr>
          <w:i/>
          <w:sz w:val="24"/>
          <w:szCs w:val="24"/>
          <w:shd w:val="clear" w:color="auto" w:fill="FFFFFF"/>
          <w:lang w:val="en-US"/>
        </w:rPr>
        <w:t xml:space="preserve"> A Synthesis of the Empirical Audit Committee Literature</w:t>
      </w:r>
      <w:r w:rsidRPr="00B25959">
        <w:rPr>
          <w:sz w:val="24"/>
          <w:szCs w:val="24"/>
          <w:shd w:val="clear" w:color="auto" w:fill="FFFFFF"/>
          <w:lang w:val="en-US"/>
        </w:rPr>
        <w:t xml:space="preserve">, </w:t>
      </w:r>
      <w:r w:rsidRPr="00B25959">
        <w:rPr>
          <w:i/>
          <w:sz w:val="24"/>
          <w:szCs w:val="24"/>
          <w:shd w:val="clear" w:color="auto" w:fill="FFFFFF"/>
          <w:lang w:val="en-US"/>
        </w:rPr>
        <w:t>21</w:t>
      </w:r>
      <w:r w:rsidRPr="00B25959">
        <w:rPr>
          <w:sz w:val="24"/>
          <w:szCs w:val="24"/>
          <w:shd w:val="clear" w:color="auto" w:fill="FFFFFF"/>
          <w:lang w:val="en-US"/>
        </w:rPr>
        <w:t>, 38-75.</w:t>
      </w:r>
    </w:p>
    <w:p w14:paraId="06760ADF" w14:textId="3C806955" w:rsidR="008B283A" w:rsidRPr="00B25959" w:rsidRDefault="008B283A" w:rsidP="008346B9">
      <w:pPr>
        <w:ind w:left="284" w:hanging="284"/>
        <w:jc w:val="both"/>
        <w:rPr>
          <w:sz w:val="24"/>
          <w:szCs w:val="24"/>
          <w:shd w:val="clear" w:color="auto" w:fill="FFFFFF"/>
          <w:lang w:val="en-US"/>
        </w:rPr>
      </w:pPr>
      <w:r w:rsidRPr="00B25959">
        <w:rPr>
          <w:sz w:val="24"/>
          <w:szCs w:val="24"/>
          <w:shd w:val="clear" w:color="auto" w:fill="FFFFFF"/>
          <w:lang w:val="en-US"/>
        </w:rPr>
        <w:t xml:space="preserve">Doyle, J. T., </w:t>
      </w:r>
      <w:proofErr w:type="spellStart"/>
      <w:r w:rsidRPr="00B25959">
        <w:rPr>
          <w:sz w:val="24"/>
          <w:szCs w:val="24"/>
          <w:shd w:val="clear" w:color="auto" w:fill="FFFFFF"/>
          <w:lang w:val="en-US"/>
        </w:rPr>
        <w:t>Ge</w:t>
      </w:r>
      <w:proofErr w:type="spellEnd"/>
      <w:r w:rsidRPr="00B25959">
        <w:rPr>
          <w:sz w:val="24"/>
          <w:szCs w:val="24"/>
          <w:shd w:val="clear" w:color="auto" w:fill="FFFFFF"/>
          <w:lang w:val="en-US"/>
        </w:rPr>
        <w:t xml:space="preserve">, W., &amp; </w:t>
      </w:r>
      <w:proofErr w:type="spellStart"/>
      <w:r w:rsidRPr="00B25959">
        <w:rPr>
          <w:sz w:val="24"/>
          <w:szCs w:val="24"/>
          <w:shd w:val="clear" w:color="auto" w:fill="FFFFFF"/>
          <w:lang w:val="en-US"/>
        </w:rPr>
        <w:t>McVay</w:t>
      </w:r>
      <w:proofErr w:type="spellEnd"/>
      <w:r w:rsidRPr="00B25959">
        <w:rPr>
          <w:sz w:val="24"/>
          <w:szCs w:val="24"/>
          <w:shd w:val="clear" w:color="auto" w:fill="FFFFFF"/>
          <w:lang w:val="en-US"/>
        </w:rPr>
        <w:t>, S. (2007). Accruals quality and internal control over financial reporting. </w:t>
      </w:r>
      <w:r w:rsidRPr="00B25959">
        <w:rPr>
          <w:i/>
          <w:iCs/>
          <w:sz w:val="24"/>
          <w:szCs w:val="24"/>
          <w:shd w:val="clear" w:color="auto" w:fill="FFFFFF"/>
          <w:lang w:val="en-US"/>
        </w:rPr>
        <w:t>The Accounting Review</w:t>
      </w:r>
      <w:r w:rsidRPr="00B25959">
        <w:rPr>
          <w:sz w:val="24"/>
          <w:szCs w:val="24"/>
          <w:shd w:val="clear" w:color="auto" w:fill="FFFFFF"/>
          <w:lang w:val="en-US"/>
        </w:rPr>
        <w:t>, </w:t>
      </w:r>
      <w:r w:rsidRPr="00B25959">
        <w:rPr>
          <w:i/>
          <w:iCs/>
          <w:sz w:val="24"/>
          <w:szCs w:val="24"/>
          <w:shd w:val="clear" w:color="auto" w:fill="FFFFFF"/>
          <w:lang w:val="en-US"/>
        </w:rPr>
        <w:t>82</w:t>
      </w:r>
      <w:r w:rsidRPr="00B25959">
        <w:rPr>
          <w:sz w:val="24"/>
          <w:szCs w:val="24"/>
          <w:shd w:val="clear" w:color="auto" w:fill="FFFFFF"/>
          <w:lang w:val="en-US"/>
        </w:rPr>
        <w:t>(5), 1141-1170.</w:t>
      </w:r>
    </w:p>
    <w:p w14:paraId="06760AE1" w14:textId="6CF50BDE" w:rsidR="008B283A" w:rsidRPr="008346B9" w:rsidRDefault="008B283A" w:rsidP="008346B9">
      <w:pPr>
        <w:ind w:left="284" w:hanging="284"/>
        <w:jc w:val="both"/>
        <w:rPr>
          <w:i/>
          <w:sz w:val="24"/>
          <w:szCs w:val="24"/>
          <w:shd w:val="clear" w:color="auto" w:fill="FFFFFF"/>
          <w:lang w:val="en-US"/>
        </w:rPr>
      </w:pPr>
      <w:proofErr w:type="spellStart"/>
      <w:r w:rsidRPr="00B25959">
        <w:rPr>
          <w:sz w:val="24"/>
          <w:szCs w:val="24"/>
          <w:shd w:val="clear" w:color="auto" w:fill="FFFFFF"/>
          <w:lang w:val="en-US"/>
        </w:rPr>
        <w:t>Felo</w:t>
      </w:r>
      <w:proofErr w:type="spellEnd"/>
      <w:r w:rsidRPr="00B25959">
        <w:rPr>
          <w:sz w:val="24"/>
          <w:szCs w:val="24"/>
          <w:shd w:val="clear" w:color="auto" w:fill="FFFFFF"/>
          <w:lang w:val="en-US"/>
        </w:rPr>
        <w:t xml:space="preserve">, A. J., Krishnamurthy, S., &amp; </w:t>
      </w:r>
      <w:proofErr w:type="spellStart"/>
      <w:r w:rsidRPr="00B25959">
        <w:rPr>
          <w:sz w:val="24"/>
          <w:szCs w:val="24"/>
          <w:shd w:val="clear" w:color="auto" w:fill="FFFFFF"/>
          <w:lang w:val="en-US"/>
        </w:rPr>
        <w:t>Solieri</w:t>
      </w:r>
      <w:proofErr w:type="spellEnd"/>
      <w:r w:rsidRPr="00B25959">
        <w:rPr>
          <w:sz w:val="24"/>
          <w:szCs w:val="24"/>
          <w:shd w:val="clear" w:color="auto" w:fill="FFFFFF"/>
          <w:lang w:val="en-US"/>
        </w:rPr>
        <w:t xml:space="preserve">, S. A. (2003). Audit committee characteristics and the perceived quality of financial reporting: an empirical analysis. </w:t>
      </w:r>
      <w:r w:rsidRPr="00B25959">
        <w:rPr>
          <w:i/>
          <w:sz w:val="24"/>
          <w:szCs w:val="24"/>
          <w:shd w:val="clear" w:color="auto" w:fill="FFFFFF"/>
          <w:lang w:val="en-US"/>
        </w:rPr>
        <w:t>HCBE college presentations, 686</w:t>
      </w:r>
      <w:r w:rsidRPr="00B25959">
        <w:rPr>
          <w:sz w:val="24"/>
          <w:szCs w:val="24"/>
          <w:shd w:val="clear" w:color="auto" w:fill="FFFFFF"/>
          <w:lang w:val="en-US"/>
        </w:rPr>
        <w:t>, 1-40</w:t>
      </w:r>
      <w:r w:rsidRPr="00B25959">
        <w:rPr>
          <w:i/>
          <w:sz w:val="24"/>
          <w:szCs w:val="24"/>
          <w:shd w:val="clear" w:color="auto" w:fill="FFFFFF"/>
          <w:lang w:val="en-US"/>
        </w:rPr>
        <w:t>.</w:t>
      </w:r>
    </w:p>
    <w:p w14:paraId="06760AE3" w14:textId="60C321E8" w:rsidR="008B283A" w:rsidRPr="00B25959" w:rsidRDefault="008B283A" w:rsidP="00AB1A5A">
      <w:pPr>
        <w:autoSpaceDE w:val="0"/>
        <w:autoSpaceDN w:val="0"/>
        <w:adjustRightInd w:val="0"/>
        <w:ind w:left="284" w:hanging="284"/>
        <w:jc w:val="both"/>
        <w:rPr>
          <w:sz w:val="24"/>
          <w:szCs w:val="24"/>
          <w:lang w:val="en-US"/>
        </w:rPr>
      </w:pPr>
      <w:r w:rsidRPr="00B25959">
        <w:rPr>
          <w:sz w:val="24"/>
          <w:szCs w:val="24"/>
          <w:lang w:val="en-US"/>
        </w:rPr>
        <w:t xml:space="preserve">Financial Reporting Council (2003), The Combined Code on Corporate Governance, </w:t>
      </w:r>
      <w:r w:rsidRPr="00B25959">
        <w:rPr>
          <w:i/>
          <w:sz w:val="24"/>
          <w:szCs w:val="24"/>
          <w:lang w:val="en-US"/>
        </w:rPr>
        <w:t xml:space="preserve">Financial Reporting Council, </w:t>
      </w:r>
      <w:proofErr w:type="gramStart"/>
      <w:r w:rsidRPr="00B25959">
        <w:rPr>
          <w:i/>
          <w:sz w:val="24"/>
          <w:szCs w:val="24"/>
          <w:lang w:val="en-US"/>
        </w:rPr>
        <w:t>London</w:t>
      </w:r>
      <w:proofErr w:type="gramEnd"/>
      <w:r w:rsidRPr="00B25959">
        <w:rPr>
          <w:sz w:val="24"/>
          <w:szCs w:val="24"/>
          <w:lang w:val="en-US"/>
        </w:rPr>
        <w:t>.</w:t>
      </w:r>
    </w:p>
    <w:p w14:paraId="06760AE5" w14:textId="7211A9AD" w:rsidR="008B283A" w:rsidRPr="00B25959" w:rsidRDefault="008B283A" w:rsidP="00AB1A5A">
      <w:pPr>
        <w:ind w:left="284" w:hanging="284"/>
        <w:jc w:val="both"/>
        <w:rPr>
          <w:sz w:val="24"/>
          <w:szCs w:val="24"/>
          <w:shd w:val="clear" w:color="auto" w:fill="FFFFFF"/>
          <w:lang w:val="en-US"/>
        </w:rPr>
      </w:pPr>
      <w:proofErr w:type="spellStart"/>
      <w:r w:rsidRPr="00B25959">
        <w:rPr>
          <w:sz w:val="24"/>
          <w:szCs w:val="24"/>
          <w:shd w:val="clear" w:color="auto" w:fill="FFFFFF"/>
          <w:lang w:val="en-US"/>
        </w:rPr>
        <w:t>Gendron</w:t>
      </w:r>
      <w:proofErr w:type="spellEnd"/>
      <w:r w:rsidRPr="00B25959">
        <w:rPr>
          <w:sz w:val="24"/>
          <w:szCs w:val="24"/>
          <w:shd w:val="clear" w:color="auto" w:fill="FFFFFF"/>
          <w:lang w:val="en-US"/>
        </w:rPr>
        <w:t xml:space="preserve">, Y., &amp; </w:t>
      </w:r>
      <w:proofErr w:type="spellStart"/>
      <w:r w:rsidRPr="00B25959">
        <w:rPr>
          <w:sz w:val="24"/>
          <w:szCs w:val="24"/>
          <w:shd w:val="clear" w:color="auto" w:fill="FFFFFF"/>
          <w:lang w:val="en-US"/>
        </w:rPr>
        <w:t>Bédard</w:t>
      </w:r>
      <w:proofErr w:type="spellEnd"/>
      <w:r w:rsidRPr="00B25959">
        <w:rPr>
          <w:sz w:val="24"/>
          <w:szCs w:val="24"/>
          <w:shd w:val="clear" w:color="auto" w:fill="FFFFFF"/>
          <w:lang w:val="en-US"/>
        </w:rPr>
        <w:t>, J. (2006). On the constitution of audit committee effectiveness. </w:t>
      </w:r>
      <w:r w:rsidRPr="00B25959">
        <w:rPr>
          <w:i/>
          <w:iCs/>
          <w:sz w:val="24"/>
          <w:szCs w:val="24"/>
          <w:shd w:val="clear" w:color="auto" w:fill="FFFFFF"/>
          <w:lang w:val="en-US"/>
        </w:rPr>
        <w:t>Accounting, Organizations and Society</w:t>
      </w:r>
      <w:r w:rsidRPr="00B25959">
        <w:rPr>
          <w:sz w:val="24"/>
          <w:szCs w:val="24"/>
          <w:shd w:val="clear" w:color="auto" w:fill="FFFFFF"/>
          <w:lang w:val="en-US"/>
        </w:rPr>
        <w:t>, </w:t>
      </w:r>
      <w:r w:rsidRPr="00B25959">
        <w:rPr>
          <w:i/>
          <w:iCs/>
          <w:sz w:val="24"/>
          <w:szCs w:val="24"/>
          <w:shd w:val="clear" w:color="auto" w:fill="FFFFFF"/>
          <w:lang w:val="en-US"/>
        </w:rPr>
        <w:t>31</w:t>
      </w:r>
      <w:r w:rsidRPr="00B25959">
        <w:rPr>
          <w:sz w:val="24"/>
          <w:szCs w:val="24"/>
          <w:shd w:val="clear" w:color="auto" w:fill="FFFFFF"/>
          <w:lang w:val="en-US"/>
        </w:rPr>
        <w:t>(3), 211-239.</w:t>
      </w:r>
    </w:p>
    <w:p w14:paraId="06760AE7" w14:textId="6556252A" w:rsidR="008B283A" w:rsidRPr="00B25959" w:rsidRDefault="008B283A" w:rsidP="00AB1A5A">
      <w:pPr>
        <w:ind w:left="284" w:hanging="284"/>
        <w:jc w:val="both"/>
        <w:rPr>
          <w:sz w:val="24"/>
          <w:szCs w:val="24"/>
          <w:shd w:val="clear" w:color="auto" w:fill="FFFFFF"/>
          <w:lang w:val="en-US"/>
        </w:rPr>
      </w:pPr>
      <w:proofErr w:type="spellStart"/>
      <w:r w:rsidRPr="00B25959">
        <w:rPr>
          <w:sz w:val="24"/>
          <w:szCs w:val="24"/>
          <w:shd w:val="clear" w:color="auto" w:fill="FFFFFF"/>
          <w:lang w:val="en-US"/>
        </w:rPr>
        <w:t>Gillan</w:t>
      </w:r>
      <w:proofErr w:type="spellEnd"/>
      <w:r w:rsidRPr="00B25959">
        <w:rPr>
          <w:sz w:val="24"/>
          <w:szCs w:val="24"/>
          <w:shd w:val="clear" w:color="auto" w:fill="FFFFFF"/>
          <w:lang w:val="en-US"/>
        </w:rPr>
        <w:t>, S. L. (2006). Recent developments in corporate governance: An overview. </w:t>
      </w:r>
      <w:r w:rsidRPr="00B25959">
        <w:rPr>
          <w:i/>
          <w:iCs/>
          <w:sz w:val="24"/>
          <w:szCs w:val="24"/>
          <w:shd w:val="clear" w:color="auto" w:fill="FFFFFF"/>
          <w:lang w:val="en-US"/>
        </w:rPr>
        <w:t>Journal of corporate finance</w:t>
      </w:r>
      <w:r w:rsidRPr="00B25959">
        <w:rPr>
          <w:sz w:val="24"/>
          <w:szCs w:val="24"/>
          <w:shd w:val="clear" w:color="auto" w:fill="FFFFFF"/>
          <w:lang w:val="en-US"/>
        </w:rPr>
        <w:t>, </w:t>
      </w:r>
      <w:r w:rsidRPr="00B25959">
        <w:rPr>
          <w:i/>
          <w:iCs/>
          <w:sz w:val="24"/>
          <w:szCs w:val="24"/>
          <w:shd w:val="clear" w:color="auto" w:fill="FFFFFF"/>
          <w:lang w:val="en-US"/>
        </w:rPr>
        <w:t>12</w:t>
      </w:r>
      <w:r w:rsidRPr="00B25959">
        <w:rPr>
          <w:sz w:val="24"/>
          <w:szCs w:val="24"/>
          <w:shd w:val="clear" w:color="auto" w:fill="FFFFFF"/>
          <w:lang w:val="en-US"/>
        </w:rPr>
        <w:t>(3), 381-402.</w:t>
      </w:r>
    </w:p>
    <w:p w14:paraId="06760AE9" w14:textId="289E0E96" w:rsidR="008B283A" w:rsidRPr="00B25959" w:rsidRDefault="008B283A" w:rsidP="00AB1A5A">
      <w:pPr>
        <w:ind w:left="284" w:hanging="284"/>
        <w:jc w:val="both"/>
        <w:rPr>
          <w:sz w:val="24"/>
          <w:szCs w:val="24"/>
          <w:shd w:val="clear" w:color="auto" w:fill="FFFFFF"/>
          <w:lang w:val="en-US"/>
        </w:rPr>
      </w:pPr>
      <w:proofErr w:type="spellStart"/>
      <w:r w:rsidRPr="00B25959">
        <w:rPr>
          <w:sz w:val="24"/>
          <w:szCs w:val="24"/>
          <w:shd w:val="clear" w:color="auto" w:fill="FFFFFF"/>
          <w:lang w:val="en-US"/>
        </w:rPr>
        <w:t>Gillan</w:t>
      </w:r>
      <w:proofErr w:type="spellEnd"/>
      <w:r w:rsidRPr="00B25959">
        <w:rPr>
          <w:sz w:val="24"/>
          <w:szCs w:val="24"/>
          <w:shd w:val="clear" w:color="auto" w:fill="FFFFFF"/>
          <w:lang w:val="en-US"/>
        </w:rPr>
        <w:t xml:space="preserve">, S., &amp; Starks, L. T. (1998). A survey of shareholder activism: Motivation and empirical evidence. </w:t>
      </w:r>
      <w:r w:rsidRPr="00B25959">
        <w:rPr>
          <w:i/>
          <w:sz w:val="24"/>
          <w:szCs w:val="24"/>
          <w:shd w:val="clear" w:color="auto" w:fill="FFFFFF"/>
          <w:lang w:val="en-US"/>
        </w:rPr>
        <w:t>Contemporary Finance Digest, (</w:t>
      </w:r>
      <w:proofErr w:type="gramStart"/>
      <w:r w:rsidRPr="00B25959">
        <w:rPr>
          <w:i/>
          <w:sz w:val="24"/>
          <w:szCs w:val="24"/>
          <w:shd w:val="clear" w:color="auto" w:fill="FFFFFF"/>
          <w:lang w:val="en-US"/>
        </w:rPr>
        <w:t>Autumn</w:t>
      </w:r>
      <w:proofErr w:type="gramEnd"/>
      <w:r w:rsidRPr="00B25959">
        <w:rPr>
          <w:i/>
          <w:sz w:val="24"/>
          <w:szCs w:val="24"/>
          <w:shd w:val="clear" w:color="auto" w:fill="FFFFFF"/>
          <w:lang w:val="en-US"/>
        </w:rPr>
        <w:t xml:space="preserve"> 1998) 2</w:t>
      </w:r>
      <w:r w:rsidRPr="00B25959">
        <w:rPr>
          <w:sz w:val="24"/>
          <w:szCs w:val="24"/>
          <w:shd w:val="clear" w:color="auto" w:fill="FFFFFF"/>
          <w:lang w:val="en-US"/>
        </w:rPr>
        <w:t xml:space="preserve"> (3), 10-34.</w:t>
      </w:r>
    </w:p>
    <w:p w14:paraId="06760AEB" w14:textId="0B21C4DF" w:rsidR="008B283A" w:rsidRPr="00B25959" w:rsidRDefault="008B283A" w:rsidP="00AB1A5A">
      <w:pPr>
        <w:ind w:left="284" w:hanging="284"/>
        <w:jc w:val="both"/>
        <w:rPr>
          <w:sz w:val="24"/>
          <w:szCs w:val="24"/>
          <w:lang w:val="en-US"/>
        </w:rPr>
      </w:pPr>
      <w:r w:rsidRPr="00B25959">
        <w:rPr>
          <w:sz w:val="24"/>
          <w:szCs w:val="24"/>
          <w:lang w:val="en-US"/>
        </w:rPr>
        <w:t xml:space="preserve">Han, S. H.; Kim, M.; Lee, D.H., &amp; Lee D.H. (2014).  Information asymmetry, corporate governance, and shareholder wealth: Evidence from unfaithful disclosures of Korean listed firms. </w:t>
      </w:r>
      <w:r w:rsidRPr="00B25959">
        <w:rPr>
          <w:i/>
          <w:sz w:val="24"/>
          <w:szCs w:val="24"/>
          <w:lang w:val="en-US"/>
        </w:rPr>
        <w:t>Asia</w:t>
      </w:r>
      <w:r w:rsidRPr="00B25959">
        <w:rPr>
          <w:rFonts w:ascii="Cambria Math" w:hAnsi="Cambria Math" w:cs="Cambria Math"/>
          <w:i/>
          <w:sz w:val="24"/>
          <w:szCs w:val="24"/>
          <w:lang w:val="en-US"/>
        </w:rPr>
        <w:t>‐</w:t>
      </w:r>
      <w:r w:rsidRPr="00B25959">
        <w:rPr>
          <w:i/>
          <w:sz w:val="24"/>
          <w:szCs w:val="24"/>
          <w:lang w:val="en-US"/>
        </w:rPr>
        <w:t>Pacific Journal of Financial Studies</w:t>
      </w:r>
      <w:r w:rsidRPr="00B25959">
        <w:rPr>
          <w:sz w:val="24"/>
          <w:szCs w:val="24"/>
          <w:lang w:val="en-US"/>
        </w:rPr>
        <w:t>, 43(5), 690-720.</w:t>
      </w:r>
    </w:p>
    <w:p w14:paraId="06760AED" w14:textId="10BDB84D" w:rsidR="008B283A" w:rsidRPr="00B25959" w:rsidRDefault="008B283A" w:rsidP="00AB1A5A">
      <w:pPr>
        <w:ind w:left="284" w:hanging="284"/>
        <w:jc w:val="both"/>
        <w:rPr>
          <w:sz w:val="24"/>
          <w:szCs w:val="24"/>
        </w:rPr>
      </w:pPr>
      <w:r w:rsidRPr="00B25959">
        <w:rPr>
          <w:sz w:val="24"/>
          <w:szCs w:val="24"/>
          <w:lang w:val="en-US"/>
        </w:rPr>
        <w:t xml:space="preserve">Healy, P. M., &amp; </w:t>
      </w:r>
      <w:proofErr w:type="spellStart"/>
      <w:r w:rsidRPr="00B25959">
        <w:rPr>
          <w:sz w:val="24"/>
          <w:szCs w:val="24"/>
          <w:lang w:val="en-US"/>
        </w:rPr>
        <w:t>Wahlen</w:t>
      </w:r>
      <w:proofErr w:type="spellEnd"/>
      <w:r w:rsidRPr="00B25959">
        <w:rPr>
          <w:sz w:val="24"/>
          <w:szCs w:val="24"/>
          <w:lang w:val="en-US"/>
        </w:rPr>
        <w:t xml:space="preserve">, J. M. (1999). A review of the earnings management literature and its implications for standard setting. </w:t>
      </w:r>
      <w:proofErr w:type="spellStart"/>
      <w:r w:rsidRPr="00B25959">
        <w:rPr>
          <w:i/>
          <w:sz w:val="24"/>
          <w:szCs w:val="24"/>
        </w:rPr>
        <w:t>Accounting</w:t>
      </w:r>
      <w:proofErr w:type="spellEnd"/>
      <w:r w:rsidRPr="00B25959">
        <w:rPr>
          <w:i/>
          <w:sz w:val="24"/>
          <w:szCs w:val="24"/>
        </w:rPr>
        <w:t xml:space="preserve"> </w:t>
      </w:r>
      <w:proofErr w:type="spellStart"/>
      <w:r w:rsidRPr="00B25959">
        <w:rPr>
          <w:i/>
          <w:sz w:val="24"/>
          <w:szCs w:val="24"/>
        </w:rPr>
        <w:t>horizons</w:t>
      </w:r>
      <w:proofErr w:type="spellEnd"/>
      <w:r w:rsidRPr="00B25959">
        <w:rPr>
          <w:i/>
          <w:sz w:val="24"/>
          <w:szCs w:val="24"/>
        </w:rPr>
        <w:t>, 13</w:t>
      </w:r>
      <w:r w:rsidRPr="00B25959">
        <w:rPr>
          <w:sz w:val="24"/>
          <w:szCs w:val="24"/>
        </w:rPr>
        <w:t>(4), 365-383.</w:t>
      </w:r>
    </w:p>
    <w:p w14:paraId="06760AEF" w14:textId="1F678D86" w:rsidR="008B283A" w:rsidRPr="00CF2A32" w:rsidRDefault="008B283A" w:rsidP="00AB1A5A">
      <w:pPr>
        <w:ind w:left="284" w:hanging="284"/>
        <w:jc w:val="both"/>
        <w:rPr>
          <w:i/>
          <w:sz w:val="24"/>
          <w:szCs w:val="24"/>
          <w:lang w:val="en-US"/>
        </w:rPr>
      </w:pPr>
      <w:r w:rsidRPr="00B25959">
        <w:rPr>
          <w:sz w:val="24"/>
          <w:szCs w:val="24"/>
        </w:rPr>
        <w:lastRenderedPageBreak/>
        <w:t xml:space="preserve">Instituto Brasileiro de Governança Corporativa. (2009) </w:t>
      </w:r>
      <w:r w:rsidRPr="00B25959">
        <w:rPr>
          <w:i/>
          <w:sz w:val="24"/>
          <w:szCs w:val="24"/>
        </w:rPr>
        <w:t>Código das melhores práticas de governança corporativa</w:t>
      </w:r>
      <w:r w:rsidRPr="00B25959">
        <w:rPr>
          <w:sz w:val="24"/>
          <w:szCs w:val="24"/>
        </w:rPr>
        <w:t xml:space="preserve">. </w:t>
      </w:r>
      <w:r w:rsidRPr="00CF2A32">
        <w:rPr>
          <w:sz w:val="24"/>
          <w:szCs w:val="24"/>
          <w:lang w:val="en-US"/>
        </w:rPr>
        <w:t>4. ed. São Paulo</w:t>
      </w:r>
      <w:r w:rsidRPr="00CF2A32">
        <w:rPr>
          <w:i/>
          <w:sz w:val="24"/>
          <w:szCs w:val="24"/>
          <w:lang w:val="en-US"/>
        </w:rPr>
        <w:t>: IBGC.</w:t>
      </w:r>
    </w:p>
    <w:p w14:paraId="06760AF1" w14:textId="21FABC0B" w:rsidR="008B283A" w:rsidRPr="00AB1A5A" w:rsidRDefault="008B283A" w:rsidP="00AB1A5A">
      <w:pPr>
        <w:ind w:left="284" w:hanging="284"/>
        <w:jc w:val="both"/>
        <w:rPr>
          <w:sz w:val="24"/>
          <w:szCs w:val="24"/>
          <w:lang w:val="en-US"/>
        </w:rPr>
      </w:pPr>
      <w:r w:rsidRPr="00B25959">
        <w:rPr>
          <w:sz w:val="24"/>
          <w:szCs w:val="24"/>
          <w:lang w:val="en-US"/>
        </w:rPr>
        <w:t xml:space="preserve">Jensen, M. C., &amp; </w:t>
      </w:r>
      <w:proofErr w:type="spellStart"/>
      <w:r w:rsidRPr="00B25959">
        <w:rPr>
          <w:sz w:val="24"/>
          <w:szCs w:val="24"/>
          <w:lang w:val="en-US"/>
        </w:rPr>
        <w:t>Meckling</w:t>
      </w:r>
      <w:proofErr w:type="spellEnd"/>
      <w:r w:rsidRPr="00B25959">
        <w:rPr>
          <w:sz w:val="24"/>
          <w:szCs w:val="24"/>
          <w:lang w:val="en-US"/>
        </w:rPr>
        <w:t xml:space="preserve">, W. H. (1976). Theory of the firm: Managerial behavior, agency costs and ownership structure. </w:t>
      </w:r>
      <w:r w:rsidRPr="00B25959">
        <w:rPr>
          <w:i/>
          <w:sz w:val="24"/>
          <w:szCs w:val="24"/>
          <w:lang w:val="en-US"/>
        </w:rPr>
        <w:t>Journal of financial economics, 3</w:t>
      </w:r>
      <w:r w:rsidRPr="00B25959">
        <w:rPr>
          <w:sz w:val="24"/>
          <w:szCs w:val="24"/>
          <w:lang w:val="en-US"/>
        </w:rPr>
        <w:t>(4), 305-360.</w:t>
      </w:r>
    </w:p>
    <w:p w14:paraId="06760AF3" w14:textId="2EFEDA98" w:rsidR="008B283A" w:rsidRPr="00AB1A5A" w:rsidRDefault="008B283A" w:rsidP="00AB1A5A">
      <w:pPr>
        <w:ind w:left="284" w:hanging="284"/>
        <w:jc w:val="both"/>
        <w:rPr>
          <w:sz w:val="24"/>
          <w:szCs w:val="24"/>
          <w:shd w:val="clear" w:color="auto" w:fill="FFFFFF"/>
          <w:lang w:val="en-US"/>
        </w:rPr>
      </w:pPr>
      <w:r w:rsidRPr="00B25959">
        <w:rPr>
          <w:sz w:val="24"/>
          <w:szCs w:val="24"/>
          <w:shd w:val="clear" w:color="auto" w:fill="FFFFFF"/>
          <w:lang w:val="en-US"/>
        </w:rPr>
        <w:t>Jiang, H., Habib, A., &amp; Hu, B. (2011). Ownership concentration, voluntary disclosures and information asymmetry in New Zealand. </w:t>
      </w:r>
      <w:r w:rsidRPr="00B25959">
        <w:rPr>
          <w:i/>
          <w:iCs/>
          <w:sz w:val="24"/>
          <w:szCs w:val="24"/>
          <w:shd w:val="clear" w:color="auto" w:fill="FFFFFF"/>
          <w:lang w:val="en-US"/>
        </w:rPr>
        <w:t>The British Accounting Review</w:t>
      </w:r>
      <w:r w:rsidRPr="00B25959">
        <w:rPr>
          <w:sz w:val="24"/>
          <w:szCs w:val="24"/>
          <w:shd w:val="clear" w:color="auto" w:fill="FFFFFF"/>
          <w:lang w:val="en-US"/>
        </w:rPr>
        <w:t>, </w:t>
      </w:r>
      <w:r w:rsidRPr="00B25959">
        <w:rPr>
          <w:i/>
          <w:iCs/>
          <w:sz w:val="24"/>
          <w:szCs w:val="24"/>
          <w:shd w:val="clear" w:color="auto" w:fill="FFFFFF"/>
          <w:lang w:val="en-US"/>
        </w:rPr>
        <w:t>43</w:t>
      </w:r>
      <w:r w:rsidRPr="00B25959">
        <w:rPr>
          <w:sz w:val="24"/>
          <w:szCs w:val="24"/>
          <w:shd w:val="clear" w:color="auto" w:fill="FFFFFF"/>
          <w:lang w:val="en-US"/>
        </w:rPr>
        <w:t>(1), 39-53.</w:t>
      </w:r>
    </w:p>
    <w:p w14:paraId="06760AF5" w14:textId="230B2120" w:rsidR="008B283A" w:rsidRPr="00B25959" w:rsidRDefault="008B283A" w:rsidP="00AB1A5A">
      <w:pPr>
        <w:ind w:left="284" w:hanging="284"/>
        <w:jc w:val="both"/>
        <w:rPr>
          <w:sz w:val="24"/>
          <w:szCs w:val="24"/>
          <w:lang w:val="en-US"/>
        </w:rPr>
      </w:pPr>
      <w:proofErr w:type="spellStart"/>
      <w:r w:rsidRPr="00B25959">
        <w:rPr>
          <w:sz w:val="24"/>
          <w:szCs w:val="24"/>
          <w:lang w:val="en-US"/>
        </w:rPr>
        <w:t>Jiraporn</w:t>
      </w:r>
      <w:proofErr w:type="spellEnd"/>
      <w:r w:rsidRPr="00B25959">
        <w:rPr>
          <w:sz w:val="24"/>
          <w:szCs w:val="24"/>
          <w:lang w:val="en-US"/>
        </w:rPr>
        <w:t xml:space="preserve">, P. M. Singh, E C. Lee. </w:t>
      </w:r>
      <w:r w:rsidRPr="00B25959">
        <w:rPr>
          <w:sz w:val="24"/>
          <w:szCs w:val="24"/>
        </w:rPr>
        <w:t xml:space="preserve">(2009). Governança corporativa ineficaz: ocupação Diretor, membros do conselho do comitê. </w:t>
      </w:r>
      <w:r w:rsidRPr="00B25959">
        <w:rPr>
          <w:i/>
          <w:sz w:val="24"/>
          <w:szCs w:val="24"/>
          <w:lang w:val="en-US"/>
        </w:rPr>
        <w:t>Journal of Banking &amp; Finance, 33</w:t>
      </w:r>
      <w:r w:rsidRPr="00B25959">
        <w:rPr>
          <w:sz w:val="24"/>
          <w:szCs w:val="24"/>
          <w:lang w:val="en-US"/>
        </w:rPr>
        <w:t>, 819-828.</w:t>
      </w:r>
    </w:p>
    <w:p w14:paraId="06760AF7" w14:textId="0CDD0305" w:rsidR="008B283A" w:rsidRPr="00B25959" w:rsidRDefault="008B283A" w:rsidP="00AB1A5A">
      <w:pPr>
        <w:ind w:left="284" w:hanging="284"/>
        <w:jc w:val="both"/>
        <w:rPr>
          <w:sz w:val="24"/>
          <w:szCs w:val="24"/>
          <w:shd w:val="clear" w:color="auto" w:fill="FFFFFF"/>
          <w:lang w:val="en-US"/>
        </w:rPr>
      </w:pPr>
      <w:proofErr w:type="spellStart"/>
      <w:r w:rsidRPr="00B25959">
        <w:rPr>
          <w:sz w:val="24"/>
          <w:szCs w:val="24"/>
          <w:shd w:val="clear" w:color="auto" w:fill="FFFFFF"/>
          <w:lang w:val="en-US"/>
        </w:rPr>
        <w:t>Kanagaretnam</w:t>
      </w:r>
      <w:proofErr w:type="spellEnd"/>
      <w:r w:rsidRPr="00B25959">
        <w:rPr>
          <w:sz w:val="24"/>
          <w:szCs w:val="24"/>
          <w:shd w:val="clear" w:color="auto" w:fill="FFFFFF"/>
          <w:lang w:val="en-US"/>
        </w:rPr>
        <w:t>, K., Lobo, G. J., &amp; Whalen, D. J. (2007). Does good corporate governance reduce information asymmetry around quarterly earnings announcements</w:t>
      </w:r>
      <w:proofErr w:type="gramStart"/>
      <w:r w:rsidRPr="00B25959">
        <w:rPr>
          <w:sz w:val="24"/>
          <w:szCs w:val="24"/>
          <w:shd w:val="clear" w:color="auto" w:fill="FFFFFF"/>
          <w:lang w:val="en-US"/>
        </w:rPr>
        <w:t>?.</w:t>
      </w:r>
      <w:proofErr w:type="gramEnd"/>
      <w:r w:rsidRPr="00B25959">
        <w:rPr>
          <w:sz w:val="24"/>
          <w:szCs w:val="24"/>
          <w:shd w:val="clear" w:color="auto" w:fill="FFFFFF"/>
          <w:lang w:val="en-US"/>
        </w:rPr>
        <w:t> </w:t>
      </w:r>
      <w:r w:rsidRPr="00B25959">
        <w:rPr>
          <w:i/>
          <w:iCs/>
          <w:sz w:val="24"/>
          <w:szCs w:val="24"/>
          <w:shd w:val="clear" w:color="auto" w:fill="FFFFFF"/>
          <w:lang w:val="en-US"/>
        </w:rPr>
        <w:t>Journal of Accounting and Public Policy</w:t>
      </w:r>
      <w:r w:rsidRPr="00B25959">
        <w:rPr>
          <w:sz w:val="24"/>
          <w:szCs w:val="24"/>
          <w:shd w:val="clear" w:color="auto" w:fill="FFFFFF"/>
          <w:lang w:val="en-US"/>
        </w:rPr>
        <w:t>, </w:t>
      </w:r>
      <w:r w:rsidRPr="00B25959">
        <w:rPr>
          <w:i/>
          <w:iCs/>
          <w:sz w:val="24"/>
          <w:szCs w:val="24"/>
          <w:shd w:val="clear" w:color="auto" w:fill="FFFFFF"/>
          <w:lang w:val="en-US"/>
        </w:rPr>
        <w:t>26</w:t>
      </w:r>
      <w:r w:rsidRPr="00B25959">
        <w:rPr>
          <w:sz w:val="24"/>
          <w:szCs w:val="24"/>
          <w:shd w:val="clear" w:color="auto" w:fill="FFFFFF"/>
          <w:lang w:val="en-US"/>
        </w:rPr>
        <w:t>(4), 497-522.</w:t>
      </w:r>
    </w:p>
    <w:p w14:paraId="06760AF9" w14:textId="2825F64E" w:rsidR="008B283A" w:rsidRPr="00B25959" w:rsidRDefault="008B283A" w:rsidP="00AB1A5A">
      <w:pPr>
        <w:ind w:left="284" w:hanging="284"/>
        <w:jc w:val="both"/>
        <w:rPr>
          <w:sz w:val="24"/>
          <w:szCs w:val="24"/>
          <w:shd w:val="clear" w:color="auto" w:fill="FFFFFF"/>
          <w:lang w:val="en-US"/>
        </w:rPr>
      </w:pPr>
      <w:r w:rsidRPr="00B25959">
        <w:rPr>
          <w:sz w:val="24"/>
          <w:szCs w:val="24"/>
          <w:shd w:val="clear" w:color="auto" w:fill="FFFFFF"/>
          <w:lang w:val="en-US"/>
        </w:rPr>
        <w:t>Klein, A. (2002). Audit committee, board of director characteristics, and earnings management. </w:t>
      </w:r>
      <w:r w:rsidRPr="00B25959">
        <w:rPr>
          <w:i/>
          <w:iCs/>
          <w:sz w:val="24"/>
          <w:szCs w:val="24"/>
          <w:shd w:val="clear" w:color="auto" w:fill="FFFFFF"/>
          <w:lang w:val="en-US"/>
        </w:rPr>
        <w:t>Journal of accounting and economics</w:t>
      </w:r>
      <w:r w:rsidRPr="00B25959">
        <w:rPr>
          <w:sz w:val="24"/>
          <w:szCs w:val="24"/>
          <w:shd w:val="clear" w:color="auto" w:fill="FFFFFF"/>
          <w:lang w:val="en-US"/>
        </w:rPr>
        <w:t>, </w:t>
      </w:r>
      <w:r w:rsidRPr="00B25959">
        <w:rPr>
          <w:i/>
          <w:iCs/>
          <w:sz w:val="24"/>
          <w:szCs w:val="24"/>
          <w:shd w:val="clear" w:color="auto" w:fill="FFFFFF"/>
          <w:lang w:val="en-US"/>
        </w:rPr>
        <w:t>33</w:t>
      </w:r>
      <w:r w:rsidRPr="00B25959">
        <w:rPr>
          <w:sz w:val="24"/>
          <w:szCs w:val="24"/>
          <w:shd w:val="clear" w:color="auto" w:fill="FFFFFF"/>
          <w:lang w:val="en-US"/>
        </w:rPr>
        <w:t>(3), 375-400.</w:t>
      </w:r>
    </w:p>
    <w:p w14:paraId="06760AFB" w14:textId="10EA07E6" w:rsidR="008B283A" w:rsidRPr="00AB1A5A" w:rsidRDefault="008B283A" w:rsidP="00AB1A5A">
      <w:pPr>
        <w:ind w:left="284" w:hanging="284"/>
        <w:jc w:val="both"/>
        <w:rPr>
          <w:sz w:val="24"/>
          <w:szCs w:val="24"/>
          <w:shd w:val="clear" w:color="auto" w:fill="FFFFFF"/>
          <w:lang w:val="en-US"/>
        </w:rPr>
      </w:pPr>
      <w:r w:rsidRPr="00B25959">
        <w:rPr>
          <w:sz w:val="24"/>
          <w:szCs w:val="24"/>
          <w:shd w:val="clear" w:color="auto" w:fill="FFFFFF"/>
          <w:lang w:val="en-US"/>
        </w:rPr>
        <w:t xml:space="preserve">La </w:t>
      </w:r>
      <w:proofErr w:type="spellStart"/>
      <w:r w:rsidRPr="00B25959">
        <w:rPr>
          <w:sz w:val="24"/>
          <w:szCs w:val="24"/>
          <w:shd w:val="clear" w:color="auto" w:fill="FFFFFF"/>
          <w:lang w:val="en-US"/>
        </w:rPr>
        <w:t>Porta</w:t>
      </w:r>
      <w:proofErr w:type="spellEnd"/>
      <w:r w:rsidRPr="00B25959">
        <w:rPr>
          <w:sz w:val="24"/>
          <w:szCs w:val="24"/>
          <w:shd w:val="clear" w:color="auto" w:fill="FFFFFF"/>
          <w:lang w:val="en-US"/>
        </w:rPr>
        <w:t>, R., Lopez</w:t>
      </w:r>
      <w:r w:rsidRPr="00B25959">
        <w:rPr>
          <w:rFonts w:ascii="Cambria Math" w:hAnsi="Cambria Math" w:cs="Cambria Math"/>
          <w:sz w:val="24"/>
          <w:szCs w:val="24"/>
          <w:shd w:val="clear" w:color="auto" w:fill="FFFFFF"/>
          <w:lang w:val="en-US"/>
        </w:rPr>
        <w:t>‐</w:t>
      </w:r>
      <w:r w:rsidRPr="00B25959">
        <w:rPr>
          <w:sz w:val="24"/>
          <w:szCs w:val="24"/>
          <w:shd w:val="clear" w:color="auto" w:fill="FFFFFF"/>
          <w:lang w:val="en-US"/>
        </w:rPr>
        <w:t>de</w:t>
      </w:r>
      <w:r w:rsidRPr="00B25959">
        <w:rPr>
          <w:rFonts w:ascii="Cambria Math" w:hAnsi="Cambria Math" w:cs="Cambria Math"/>
          <w:sz w:val="24"/>
          <w:szCs w:val="24"/>
          <w:shd w:val="clear" w:color="auto" w:fill="FFFFFF"/>
          <w:lang w:val="en-US"/>
        </w:rPr>
        <w:t>‐</w:t>
      </w:r>
      <w:proofErr w:type="spellStart"/>
      <w:r w:rsidRPr="00B25959">
        <w:rPr>
          <w:sz w:val="24"/>
          <w:szCs w:val="24"/>
          <w:shd w:val="clear" w:color="auto" w:fill="FFFFFF"/>
          <w:lang w:val="en-US"/>
        </w:rPr>
        <w:t>Silanes</w:t>
      </w:r>
      <w:proofErr w:type="spellEnd"/>
      <w:r w:rsidRPr="00B25959">
        <w:rPr>
          <w:sz w:val="24"/>
          <w:szCs w:val="24"/>
          <w:shd w:val="clear" w:color="auto" w:fill="FFFFFF"/>
          <w:lang w:val="en-US"/>
        </w:rPr>
        <w:t xml:space="preserve">, F., &amp; </w:t>
      </w:r>
      <w:proofErr w:type="spellStart"/>
      <w:r w:rsidRPr="00B25959">
        <w:rPr>
          <w:sz w:val="24"/>
          <w:szCs w:val="24"/>
          <w:shd w:val="clear" w:color="auto" w:fill="FFFFFF"/>
          <w:lang w:val="en-US"/>
        </w:rPr>
        <w:t>Shleifer</w:t>
      </w:r>
      <w:proofErr w:type="spellEnd"/>
      <w:r w:rsidRPr="00B25959">
        <w:rPr>
          <w:sz w:val="24"/>
          <w:szCs w:val="24"/>
          <w:shd w:val="clear" w:color="auto" w:fill="FFFFFF"/>
          <w:lang w:val="en-US"/>
        </w:rPr>
        <w:t>, A. (1999). Corporate ownership around the world. </w:t>
      </w:r>
      <w:r w:rsidRPr="00B25959">
        <w:rPr>
          <w:i/>
          <w:iCs/>
          <w:sz w:val="24"/>
          <w:szCs w:val="24"/>
          <w:shd w:val="clear" w:color="auto" w:fill="FFFFFF"/>
          <w:lang w:val="en-US"/>
        </w:rPr>
        <w:t>The journal of finance</w:t>
      </w:r>
      <w:r w:rsidRPr="00B25959">
        <w:rPr>
          <w:sz w:val="24"/>
          <w:szCs w:val="24"/>
          <w:shd w:val="clear" w:color="auto" w:fill="FFFFFF"/>
          <w:lang w:val="en-US"/>
        </w:rPr>
        <w:t>, </w:t>
      </w:r>
      <w:r w:rsidRPr="00B25959">
        <w:rPr>
          <w:i/>
          <w:iCs/>
          <w:sz w:val="24"/>
          <w:szCs w:val="24"/>
          <w:shd w:val="clear" w:color="auto" w:fill="FFFFFF"/>
          <w:lang w:val="en-US"/>
        </w:rPr>
        <w:t>54</w:t>
      </w:r>
      <w:r w:rsidRPr="00B25959">
        <w:rPr>
          <w:sz w:val="24"/>
          <w:szCs w:val="24"/>
          <w:shd w:val="clear" w:color="auto" w:fill="FFFFFF"/>
          <w:lang w:val="en-US"/>
        </w:rPr>
        <w:t>(2), 471-517.</w:t>
      </w:r>
    </w:p>
    <w:p w14:paraId="06760AFD" w14:textId="4683159E" w:rsidR="008B283A" w:rsidRPr="00B25959" w:rsidRDefault="008B283A" w:rsidP="00AB1A5A">
      <w:pPr>
        <w:ind w:left="284" w:hanging="284"/>
        <w:jc w:val="both"/>
        <w:rPr>
          <w:sz w:val="24"/>
          <w:szCs w:val="24"/>
        </w:rPr>
      </w:pPr>
      <w:r w:rsidRPr="00B25959">
        <w:rPr>
          <w:sz w:val="24"/>
          <w:szCs w:val="24"/>
          <w:shd w:val="clear" w:color="auto" w:fill="FFFFFF"/>
          <w:lang w:val="en-US"/>
        </w:rPr>
        <w:t>Lin, J. W., Li, J. F., &amp; Yang, J. S. (2006). The effect of audit committee performance on earnings quality. </w:t>
      </w:r>
      <w:proofErr w:type="spellStart"/>
      <w:r w:rsidRPr="00B25959">
        <w:rPr>
          <w:i/>
          <w:iCs/>
          <w:sz w:val="24"/>
          <w:szCs w:val="24"/>
          <w:shd w:val="clear" w:color="auto" w:fill="FFFFFF"/>
        </w:rPr>
        <w:t>Managerial</w:t>
      </w:r>
      <w:proofErr w:type="spellEnd"/>
      <w:r w:rsidRPr="00B25959">
        <w:rPr>
          <w:i/>
          <w:iCs/>
          <w:sz w:val="24"/>
          <w:szCs w:val="24"/>
          <w:shd w:val="clear" w:color="auto" w:fill="FFFFFF"/>
        </w:rPr>
        <w:t xml:space="preserve"> </w:t>
      </w:r>
      <w:proofErr w:type="spellStart"/>
      <w:r w:rsidRPr="00B25959">
        <w:rPr>
          <w:i/>
          <w:iCs/>
          <w:sz w:val="24"/>
          <w:szCs w:val="24"/>
          <w:shd w:val="clear" w:color="auto" w:fill="FFFFFF"/>
        </w:rPr>
        <w:t>Auditing</w:t>
      </w:r>
      <w:proofErr w:type="spellEnd"/>
      <w:r w:rsidRPr="00B25959">
        <w:rPr>
          <w:i/>
          <w:iCs/>
          <w:sz w:val="24"/>
          <w:szCs w:val="24"/>
          <w:shd w:val="clear" w:color="auto" w:fill="FFFFFF"/>
        </w:rPr>
        <w:t xml:space="preserve"> </w:t>
      </w:r>
      <w:proofErr w:type="spellStart"/>
      <w:r w:rsidRPr="00B25959">
        <w:rPr>
          <w:i/>
          <w:iCs/>
          <w:sz w:val="24"/>
          <w:szCs w:val="24"/>
          <w:shd w:val="clear" w:color="auto" w:fill="FFFFFF"/>
        </w:rPr>
        <w:t>Journal</w:t>
      </w:r>
      <w:proofErr w:type="spellEnd"/>
      <w:r w:rsidRPr="00B25959">
        <w:rPr>
          <w:sz w:val="24"/>
          <w:szCs w:val="24"/>
          <w:shd w:val="clear" w:color="auto" w:fill="FFFFFF"/>
        </w:rPr>
        <w:t>, </w:t>
      </w:r>
      <w:r w:rsidRPr="00B25959">
        <w:rPr>
          <w:i/>
          <w:iCs/>
          <w:sz w:val="24"/>
          <w:szCs w:val="24"/>
          <w:shd w:val="clear" w:color="auto" w:fill="FFFFFF"/>
        </w:rPr>
        <w:t>21</w:t>
      </w:r>
      <w:r w:rsidRPr="00B25959">
        <w:rPr>
          <w:sz w:val="24"/>
          <w:szCs w:val="24"/>
          <w:shd w:val="clear" w:color="auto" w:fill="FFFFFF"/>
        </w:rPr>
        <w:t>(9), 921-933.</w:t>
      </w:r>
    </w:p>
    <w:p w14:paraId="06760AFF" w14:textId="4902F446" w:rsidR="008B283A" w:rsidRPr="00B25959" w:rsidRDefault="008B283A" w:rsidP="00AB1A5A">
      <w:pPr>
        <w:ind w:left="284" w:hanging="284"/>
        <w:jc w:val="both"/>
        <w:rPr>
          <w:sz w:val="24"/>
          <w:szCs w:val="24"/>
        </w:rPr>
      </w:pPr>
      <w:r w:rsidRPr="00B25959">
        <w:rPr>
          <w:sz w:val="24"/>
          <w:szCs w:val="24"/>
        </w:rPr>
        <w:t xml:space="preserve">Marques, L. (2016). </w:t>
      </w:r>
      <w:r w:rsidRPr="00B25959">
        <w:rPr>
          <w:i/>
          <w:sz w:val="24"/>
          <w:szCs w:val="24"/>
        </w:rPr>
        <w:t>Assimetria de informação e qualidade da auditoria independente.</w:t>
      </w:r>
      <w:r w:rsidRPr="00B25959">
        <w:rPr>
          <w:sz w:val="24"/>
          <w:szCs w:val="24"/>
        </w:rPr>
        <w:t xml:space="preserve"> 126 f. (Dissertação de mestrado) – Programa de </w:t>
      </w:r>
      <w:r w:rsidR="00AB1A5A" w:rsidRPr="00B25959">
        <w:rPr>
          <w:sz w:val="24"/>
          <w:szCs w:val="24"/>
        </w:rPr>
        <w:t>Pós</w:t>
      </w:r>
      <w:r w:rsidR="00AB1A5A">
        <w:rPr>
          <w:sz w:val="24"/>
          <w:szCs w:val="24"/>
        </w:rPr>
        <w:t>-Graduação</w:t>
      </w:r>
      <w:r w:rsidRPr="00B25959">
        <w:rPr>
          <w:sz w:val="24"/>
          <w:szCs w:val="24"/>
        </w:rPr>
        <w:t xml:space="preserve"> em Ciências Contábeis, Universidade Regional de Blumenau, Brasil.</w:t>
      </w:r>
    </w:p>
    <w:p w14:paraId="06760B01" w14:textId="74D478D0" w:rsidR="008B283A" w:rsidRPr="00B25959" w:rsidRDefault="008B283A" w:rsidP="00AB1A5A">
      <w:pPr>
        <w:ind w:left="284" w:hanging="284"/>
        <w:jc w:val="both"/>
        <w:rPr>
          <w:sz w:val="24"/>
          <w:szCs w:val="24"/>
        </w:rPr>
      </w:pPr>
      <w:r w:rsidRPr="00B25959">
        <w:rPr>
          <w:sz w:val="24"/>
          <w:szCs w:val="24"/>
        </w:rPr>
        <w:t xml:space="preserve">Martins, O. S., &amp; Paulo, E. (2014). Assimetria de informação na negociação de ações, características econômico-financeiras e governança corporativa no mercado acionário brasileiro. </w:t>
      </w:r>
      <w:r w:rsidRPr="00B25959">
        <w:rPr>
          <w:i/>
          <w:sz w:val="24"/>
          <w:szCs w:val="24"/>
        </w:rPr>
        <w:t>Revista Contabilidade &amp; Finanças, 25</w:t>
      </w:r>
      <w:r w:rsidRPr="00B25959">
        <w:rPr>
          <w:sz w:val="24"/>
          <w:szCs w:val="24"/>
        </w:rPr>
        <w:t>(64), 33-45.</w:t>
      </w:r>
    </w:p>
    <w:p w14:paraId="06760B03" w14:textId="41BB19D8" w:rsidR="008B283A" w:rsidRPr="00B25959" w:rsidRDefault="008B283A" w:rsidP="00AB1A5A">
      <w:pPr>
        <w:ind w:left="284" w:hanging="284"/>
        <w:jc w:val="both"/>
        <w:rPr>
          <w:sz w:val="24"/>
          <w:szCs w:val="24"/>
          <w:lang w:val="en-US"/>
        </w:rPr>
      </w:pPr>
      <w:proofErr w:type="spellStart"/>
      <w:r w:rsidRPr="00B25959">
        <w:rPr>
          <w:sz w:val="24"/>
          <w:szCs w:val="24"/>
        </w:rPr>
        <w:t>McDaniel</w:t>
      </w:r>
      <w:proofErr w:type="spellEnd"/>
      <w:r w:rsidRPr="00B25959">
        <w:rPr>
          <w:sz w:val="24"/>
          <w:szCs w:val="24"/>
        </w:rPr>
        <w:t xml:space="preserve">, L., Martin, R.D. </w:t>
      </w:r>
      <w:proofErr w:type="spellStart"/>
      <w:r w:rsidRPr="00B25959">
        <w:rPr>
          <w:sz w:val="24"/>
          <w:szCs w:val="24"/>
        </w:rPr>
        <w:t>and</w:t>
      </w:r>
      <w:proofErr w:type="spellEnd"/>
      <w:r w:rsidRPr="00B25959">
        <w:rPr>
          <w:sz w:val="24"/>
          <w:szCs w:val="24"/>
        </w:rPr>
        <w:t xml:space="preserve"> </w:t>
      </w:r>
      <w:proofErr w:type="spellStart"/>
      <w:r w:rsidRPr="00B25959">
        <w:rPr>
          <w:sz w:val="24"/>
          <w:szCs w:val="24"/>
        </w:rPr>
        <w:t>Maines</w:t>
      </w:r>
      <w:proofErr w:type="spellEnd"/>
      <w:r w:rsidRPr="00B25959">
        <w:rPr>
          <w:sz w:val="24"/>
          <w:szCs w:val="24"/>
        </w:rPr>
        <w:t xml:space="preserve">, L.A. (2002). </w:t>
      </w:r>
      <w:r w:rsidRPr="00B25959">
        <w:rPr>
          <w:i/>
          <w:sz w:val="24"/>
          <w:szCs w:val="24"/>
          <w:lang w:val="en-US"/>
        </w:rPr>
        <w:t>Evaluating financial reporting quality: the effects of financial expertise versus financial literacy</w:t>
      </w:r>
      <w:r w:rsidRPr="00B25959">
        <w:rPr>
          <w:sz w:val="24"/>
          <w:szCs w:val="24"/>
          <w:lang w:val="en-US"/>
        </w:rPr>
        <w:t xml:space="preserve">. Accounting Review, </w:t>
      </w:r>
      <w:r w:rsidRPr="00B25959">
        <w:rPr>
          <w:i/>
          <w:sz w:val="24"/>
          <w:szCs w:val="24"/>
          <w:lang w:val="en-US"/>
        </w:rPr>
        <w:t>77</w:t>
      </w:r>
      <w:r w:rsidRPr="00B25959">
        <w:rPr>
          <w:sz w:val="24"/>
          <w:szCs w:val="24"/>
          <w:lang w:val="en-US"/>
        </w:rPr>
        <w:t>, 139-67.</w:t>
      </w:r>
    </w:p>
    <w:p w14:paraId="06760B05" w14:textId="16315064" w:rsidR="008B283A" w:rsidRPr="00B25959" w:rsidRDefault="008B283A" w:rsidP="00AB1A5A">
      <w:pPr>
        <w:ind w:left="284" w:hanging="284"/>
        <w:jc w:val="both"/>
        <w:rPr>
          <w:sz w:val="24"/>
          <w:szCs w:val="24"/>
          <w:shd w:val="clear" w:color="auto" w:fill="FFFFFF"/>
          <w:lang w:val="en-US"/>
        </w:rPr>
      </w:pPr>
      <w:r w:rsidRPr="00B25959">
        <w:rPr>
          <w:sz w:val="24"/>
          <w:szCs w:val="24"/>
          <w:shd w:val="clear" w:color="auto" w:fill="FFFFFF"/>
          <w:lang w:val="en-US"/>
        </w:rPr>
        <w:t>McMullen, D. A. (1996). Audit committee performance: An investigation of the consequences associated with audit committees. </w:t>
      </w:r>
      <w:r w:rsidRPr="00B25959">
        <w:rPr>
          <w:i/>
          <w:iCs/>
          <w:sz w:val="24"/>
          <w:szCs w:val="24"/>
          <w:shd w:val="clear" w:color="auto" w:fill="FFFFFF"/>
          <w:lang w:val="en-US"/>
        </w:rPr>
        <w:t>Auditing</w:t>
      </w:r>
      <w:r w:rsidRPr="00B25959">
        <w:rPr>
          <w:sz w:val="24"/>
          <w:szCs w:val="24"/>
          <w:shd w:val="clear" w:color="auto" w:fill="FFFFFF"/>
          <w:lang w:val="en-US"/>
        </w:rPr>
        <w:t>, </w:t>
      </w:r>
      <w:r w:rsidRPr="00B25959">
        <w:rPr>
          <w:i/>
          <w:iCs/>
          <w:sz w:val="24"/>
          <w:szCs w:val="24"/>
          <w:shd w:val="clear" w:color="auto" w:fill="FFFFFF"/>
          <w:lang w:val="en-US"/>
        </w:rPr>
        <w:t>15</w:t>
      </w:r>
      <w:r w:rsidRPr="00B25959">
        <w:rPr>
          <w:sz w:val="24"/>
          <w:szCs w:val="24"/>
          <w:shd w:val="clear" w:color="auto" w:fill="FFFFFF"/>
          <w:lang w:val="en-US"/>
        </w:rPr>
        <w:t>(1), 87-103.</w:t>
      </w:r>
    </w:p>
    <w:p w14:paraId="06760B07" w14:textId="2508C757" w:rsidR="008B283A" w:rsidRPr="00B25959" w:rsidRDefault="008B283A" w:rsidP="00AB1A5A">
      <w:pPr>
        <w:ind w:left="284" w:hanging="284"/>
        <w:jc w:val="both"/>
        <w:rPr>
          <w:sz w:val="24"/>
          <w:szCs w:val="24"/>
          <w:shd w:val="clear" w:color="auto" w:fill="FFFFFF"/>
          <w:lang w:val="en-US"/>
        </w:rPr>
      </w:pPr>
      <w:r w:rsidRPr="00B25959">
        <w:rPr>
          <w:sz w:val="24"/>
          <w:szCs w:val="24"/>
          <w:shd w:val="clear" w:color="auto" w:fill="FFFFFF"/>
          <w:lang w:val="en-US"/>
        </w:rPr>
        <w:t xml:space="preserve">Méndez, C. F., &amp; </w:t>
      </w:r>
      <w:proofErr w:type="spellStart"/>
      <w:r w:rsidRPr="00B25959">
        <w:rPr>
          <w:sz w:val="24"/>
          <w:szCs w:val="24"/>
          <w:shd w:val="clear" w:color="auto" w:fill="FFFFFF"/>
          <w:lang w:val="en-US"/>
        </w:rPr>
        <w:t>García</w:t>
      </w:r>
      <w:proofErr w:type="spellEnd"/>
      <w:r w:rsidRPr="00B25959">
        <w:rPr>
          <w:sz w:val="24"/>
          <w:szCs w:val="24"/>
          <w:shd w:val="clear" w:color="auto" w:fill="FFFFFF"/>
          <w:lang w:val="en-US"/>
        </w:rPr>
        <w:t>, R. A. (2007). The effects of ownership structure and board composition on the audit committee meeting frequency: Spanish evidence. </w:t>
      </w:r>
      <w:r w:rsidRPr="00B25959">
        <w:rPr>
          <w:i/>
          <w:iCs/>
          <w:sz w:val="24"/>
          <w:szCs w:val="24"/>
          <w:shd w:val="clear" w:color="auto" w:fill="FFFFFF"/>
          <w:lang w:val="en-US"/>
        </w:rPr>
        <w:t>Corporate Governance: An International Review</w:t>
      </w:r>
      <w:r w:rsidRPr="00B25959">
        <w:rPr>
          <w:sz w:val="24"/>
          <w:szCs w:val="24"/>
          <w:shd w:val="clear" w:color="auto" w:fill="FFFFFF"/>
          <w:lang w:val="en-US"/>
        </w:rPr>
        <w:t>, </w:t>
      </w:r>
      <w:r w:rsidRPr="00B25959">
        <w:rPr>
          <w:i/>
          <w:iCs/>
          <w:sz w:val="24"/>
          <w:szCs w:val="24"/>
          <w:shd w:val="clear" w:color="auto" w:fill="FFFFFF"/>
          <w:lang w:val="en-US"/>
        </w:rPr>
        <w:t>15</w:t>
      </w:r>
      <w:r w:rsidRPr="00B25959">
        <w:rPr>
          <w:sz w:val="24"/>
          <w:szCs w:val="24"/>
          <w:shd w:val="clear" w:color="auto" w:fill="FFFFFF"/>
          <w:lang w:val="en-US"/>
        </w:rPr>
        <w:t>(5), 909-922.</w:t>
      </w:r>
    </w:p>
    <w:p w14:paraId="06760B09" w14:textId="716262CB" w:rsidR="008B283A" w:rsidRPr="00B25959" w:rsidRDefault="008B283A" w:rsidP="00AB1A5A">
      <w:pPr>
        <w:ind w:left="284" w:hanging="284"/>
        <w:jc w:val="both"/>
        <w:rPr>
          <w:sz w:val="24"/>
          <w:szCs w:val="24"/>
          <w:shd w:val="clear" w:color="auto" w:fill="FFFFFF"/>
          <w:lang w:val="en-US"/>
        </w:rPr>
      </w:pPr>
      <w:proofErr w:type="spellStart"/>
      <w:r w:rsidRPr="00B25959">
        <w:rPr>
          <w:sz w:val="24"/>
          <w:szCs w:val="24"/>
          <w:shd w:val="clear" w:color="auto" w:fill="FFFFFF"/>
          <w:lang w:val="en-US"/>
        </w:rPr>
        <w:t>Parsa</w:t>
      </w:r>
      <w:proofErr w:type="spellEnd"/>
      <w:r w:rsidRPr="00B25959">
        <w:rPr>
          <w:sz w:val="24"/>
          <w:szCs w:val="24"/>
          <w:shd w:val="clear" w:color="auto" w:fill="FFFFFF"/>
          <w:lang w:val="en-US"/>
        </w:rPr>
        <w:t xml:space="preserve">, S., Chong, G., &amp; </w:t>
      </w:r>
      <w:proofErr w:type="spellStart"/>
      <w:r w:rsidRPr="00B25959">
        <w:rPr>
          <w:sz w:val="24"/>
          <w:szCs w:val="24"/>
          <w:shd w:val="clear" w:color="auto" w:fill="FFFFFF"/>
          <w:lang w:val="en-US"/>
        </w:rPr>
        <w:t>Isimoya</w:t>
      </w:r>
      <w:proofErr w:type="spellEnd"/>
      <w:r w:rsidRPr="00B25959">
        <w:rPr>
          <w:sz w:val="24"/>
          <w:szCs w:val="24"/>
          <w:shd w:val="clear" w:color="auto" w:fill="FFFFFF"/>
          <w:lang w:val="en-US"/>
        </w:rPr>
        <w:t>, E. (2007). Disclosure of governance information by small and medium-sized companies. </w:t>
      </w:r>
      <w:r w:rsidRPr="00B25959">
        <w:rPr>
          <w:i/>
          <w:iCs/>
          <w:sz w:val="24"/>
          <w:szCs w:val="24"/>
          <w:shd w:val="clear" w:color="auto" w:fill="FFFFFF"/>
          <w:lang w:val="en-US"/>
        </w:rPr>
        <w:t>Corporate Governance: The international journal of business in society</w:t>
      </w:r>
      <w:r w:rsidRPr="00B25959">
        <w:rPr>
          <w:sz w:val="24"/>
          <w:szCs w:val="24"/>
          <w:shd w:val="clear" w:color="auto" w:fill="FFFFFF"/>
          <w:lang w:val="en-US"/>
        </w:rPr>
        <w:t>, </w:t>
      </w:r>
      <w:r w:rsidRPr="00B25959">
        <w:rPr>
          <w:i/>
          <w:iCs/>
          <w:sz w:val="24"/>
          <w:szCs w:val="24"/>
          <w:shd w:val="clear" w:color="auto" w:fill="FFFFFF"/>
          <w:lang w:val="en-US"/>
        </w:rPr>
        <w:t>7</w:t>
      </w:r>
      <w:r w:rsidRPr="00B25959">
        <w:rPr>
          <w:sz w:val="24"/>
          <w:szCs w:val="24"/>
          <w:shd w:val="clear" w:color="auto" w:fill="FFFFFF"/>
          <w:lang w:val="en-US"/>
        </w:rPr>
        <w:t>(5), 635-648.</w:t>
      </w:r>
    </w:p>
    <w:p w14:paraId="06760B0B" w14:textId="451637CA" w:rsidR="008B283A" w:rsidRPr="00B25959" w:rsidRDefault="008B283A" w:rsidP="00AB1A5A">
      <w:pPr>
        <w:ind w:left="284" w:hanging="284"/>
        <w:jc w:val="both"/>
        <w:rPr>
          <w:sz w:val="24"/>
          <w:szCs w:val="24"/>
          <w:shd w:val="clear" w:color="auto" w:fill="FFFFFF"/>
        </w:rPr>
      </w:pPr>
      <w:r w:rsidRPr="00B25959">
        <w:rPr>
          <w:sz w:val="24"/>
          <w:szCs w:val="24"/>
          <w:shd w:val="clear" w:color="auto" w:fill="FFFFFF"/>
          <w:lang w:val="en-US"/>
        </w:rPr>
        <w:t>Paulo, E. (2007). </w:t>
      </w:r>
      <w:r w:rsidRPr="00B25959">
        <w:rPr>
          <w:i/>
          <w:iCs/>
          <w:sz w:val="24"/>
          <w:szCs w:val="24"/>
          <w:shd w:val="clear" w:color="auto" w:fill="FFFFFF"/>
        </w:rPr>
        <w:t>Manipulação das informações contábeis: uma análise teórica e empírica sobre os modelos operacionais de detecção de gerenciamento de resultados</w:t>
      </w:r>
      <w:r w:rsidRPr="00B25959">
        <w:rPr>
          <w:sz w:val="24"/>
          <w:szCs w:val="24"/>
          <w:shd w:val="clear" w:color="auto" w:fill="FFFFFF"/>
        </w:rPr>
        <w:t>. Tese de Doutorado, Universidade de São Paulo, São Paulo, SP, Brasil.</w:t>
      </w:r>
    </w:p>
    <w:p w14:paraId="06760B0D" w14:textId="41E7CFF7" w:rsidR="008B283A" w:rsidRPr="00B25959" w:rsidRDefault="008B283A" w:rsidP="00AB1A5A">
      <w:pPr>
        <w:ind w:left="284" w:hanging="284"/>
        <w:jc w:val="both"/>
        <w:rPr>
          <w:sz w:val="24"/>
          <w:szCs w:val="24"/>
          <w:shd w:val="clear" w:color="auto" w:fill="FFFFFF"/>
        </w:rPr>
      </w:pPr>
      <w:proofErr w:type="spellStart"/>
      <w:r w:rsidRPr="00B25959">
        <w:rPr>
          <w:sz w:val="24"/>
          <w:szCs w:val="24"/>
          <w:shd w:val="clear" w:color="auto" w:fill="FFFFFF"/>
          <w:lang w:val="en-US"/>
        </w:rPr>
        <w:t>Raghunandan</w:t>
      </w:r>
      <w:proofErr w:type="spellEnd"/>
      <w:r w:rsidRPr="00B25959">
        <w:rPr>
          <w:sz w:val="24"/>
          <w:szCs w:val="24"/>
          <w:shd w:val="clear" w:color="auto" w:fill="FFFFFF"/>
          <w:lang w:val="en-US"/>
        </w:rPr>
        <w:t xml:space="preserve">, K., Rama, D. V., &amp; Read, W. J. (2001). Audit committee </w:t>
      </w:r>
      <w:proofErr w:type="spellStart"/>
      <w:r w:rsidRPr="00B25959">
        <w:rPr>
          <w:sz w:val="24"/>
          <w:szCs w:val="24"/>
          <w:shd w:val="clear" w:color="auto" w:fill="FFFFFF"/>
          <w:lang w:val="en-US"/>
        </w:rPr>
        <w:t>composition</w:t>
      </w:r>
      <w:proofErr w:type="gramStart"/>
      <w:r w:rsidRPr="00B25959">
        <w:rPr>
          <w:sz w:val="24"/>
          <w:szCs w:val="24"/>
          <w:shd w:val="clear" w:color="auto" w:fill="FFFFFF"/>
          <w:lang w:val="en-US"/>
        </w:rPr>
        <w:t>,“</w:t>
      </w:r>
      <w:proofErr w:type="gramEnd"/>
      <w:r w:rsidRPr="00B25959">
        <w:rPr>
          <w:sz w:val="24"/>
          <w:szCs w:val="24"/>
          <w:shd w:val="clear" w:color="auto" w:fill="FFFFFF"/>
          <w:lang w:val="en-US"/>
        </w:rPr>
        <w:t>gray</w:t>
      </w:r>
      <w:proofErr w:type="spellEnd"/>
      <w:r w:rsidRPr="00B25959">
        <w:rPr>
          <w:sz w:val="24"/>
          <w:szCs w:val="24"/>
          <w:shd w:val="clear" w:color="auto" w:fill="FFFFFF"/>
          <w:lang w:val="en-US"/>
        </w:rPr>
        <w:t xml:space="preserve"> directors,” and interaction with internal auditing. </w:t>
      </w:r>
      <w:proofErr w:type="spellStart"/>
      <w:r w:rsidRPr="00B25959">
        <w:rPr>
          <w:i/>
          <w:iCs/>
          <w:sz w:val="24"/>
          <w:szCs w:val="24"/>
          <w:shd w:val="clear" w:color="auto" w:fill="FFFFFF"/>
        </w:rPr>
        <w:t>Accounting</w:t>
      </w:r>
      <w:proofErr w:type="spellEnd"/>
      <w:r w:rsidRPr="00B25959">
        <w:rPr>
          <w:i/>
          <w:iCs/>
          <w:sz w:val="24"/>
          <w:szCs w:val="24"/>
          <w:shd w:val="clear" w:color="auto" w:fill="FFFFFF"/>
        </w:rPr>
        <w:t xml:space="preserve"> </w:t>
      </w:r>
      <w:proofErr w:type="spellStart"/>
      <w:r w:rsidRPr="00B25959">
        <w:rPr>
          <w:i/>
          <w:iCs/>
          <w:sz w:val="24"/>
          <w:szCs w:val="24"/>
          <w:shd w:val="clear" w:color="auto" w:fill="FFFFFF"/>
        </w:rPr>
        <w:t>Horizons</w:t>
      </w:r>
      <w:proofErr w:type="spellEnd"/>
      <w:r w:rsidRPr="00B25959">
        <w:rPr>
          <w:sz w:val="24"/>
          <w:szCs w:val="24"/>
          <w:shd w:val="clear" w:color="auto" w:fill="FFFFFF"/>
        </w:rPr>
        <w:t>, </w:t>
      </w:r>
      <w:r w:rsidRPr="00B25959">
        <w:rPr>
          <w:i/>
          <w:iCs/>
          <w:sz w:val="24"/>
          <w:szCs w:val="24"/>
          <w:shd w:val="clear" w:color="auto" w:fill="FFFFFF"/>
        </w:rPr>
        <w:t>15</w:t>
      </w:r>
      <w:r w:rsidRPr="00B25959">
        <w:rPr>
          <w:sz w:val="24"/>
          <w:szCs w:val="24"/>
          <w:shd w:val="clear" w:color="auto" w:fill="FFFFFF"/>
        </w:rPr>
        <w:t>(2), 105-118.</w:t>
      </w:r>
    </w:p>
    <w:p w14:paraId="06760B0F" w14:textId="32F74B0F" w:rsidR="008B283A" w:rsidRPr="00B25959" w:rsidRDefault="008B283A" w:rsidP="00AB1A5A">
      <w:pPr>
        <w:ind w:left="284" w:hanging="284"/>
        <w:jc w:val="both"/>
        <w:rPr>
          <w:sz w:val="24"/>
          <w:szCs w:val="24"/>
          <w:shd w:val="clear" w:color="auto" w:fill="FFFFFF"/>
        </w:rPr>
      </w:pPr>
      <w:r w:rsidRPr="00B25959">
        <w:rPr>
          <w:sz w:val="24"/>
          <w:szCs w:val="24"/>
          <w:shd w:val="clear" w:color="auto" w:fill="FFFFFF"/>
        </w:rPr>
        <w:t>Rezende, C. V., Almeida, N. S., &amp; Lemes, S. (2015). Impacto das IFRS na assimetria de informação evidenciada no mercado de capitais brasileiro. </w:t>
      </w:r>
      <w:r w:rsidRPr="00B25959">
        <w:rPr>
          <w:i/>
          <w:iCs/>
          <w:sz w:val="24"/>
          <w:szCs w:val="24"/>
          <w:shd w:val="clear" w:color="auto" w:fill="FFFFFF"/>
        </w:rPr>
        <w:t>Revista de Contabilidade e Organizações</w:t>
      </w:r>
      <w:r w:rsidRPr="00B25959">
        <w:rPr>
          <w:sz w:val="24"/>
          <w:szCs w:val="24"/>
          <w:shd w:val="clear" w:color="auto" w:fill="FFFFFF"/>
        </w:rPr>
        <w:t>, </w:t>
      </w:r>
      <w:r w:rsidRPr="00B25959">
        <w:rPr>
          <w:i/>
          <w:iCs/>
          <w:sz w:val="24"/>
          <w:szCs w:val="24"/>
          <w:shd w:val="clear" w:color="auto" w:fill="FFFFFF"/>
        </w:rPr>
        <w:t>9</w:t>
      </w:r>
      <w:r w:rsidRPr="00B25959">
        <w:rPr>
          <w:sz w:val="24"/>
          <w:szCs w:val="24"/>
          <w:shd w:val="clear" w:color="auto" w:fill="FFFFFF"/>
        </w:rPr>
        <w:t>(24), 18-30.</w:t>
      </w:r>
    </w:p>
    <w:p w14:paraId="06760B11" w14:textId="6B9055ED" w:rsidR="008B283A" w:rsidRPr="00B25959" w:rsidRDefault="008B283A" w:rsidP="00AB1A5A">
      <w:pPr>
        <w:ind w:left="284" w:hanging="284"/>
        <w:jc w:val="both"/>
        <w:rPr>
          <w:sz w:val="24"/>
          <w:szCs w:val="24"/>
          <w:shd w:val="clear" w:color="auto" w:fill="FFFFFF"/>
        </w:rPr>
      </w:pPr>
      <w:r w:rsidRPr="00B25959">
        <w:rPr>
          <w:sz w:val="24"/>
          <w:szCs w:val="24"/>
          <w:shd w:val="clear" w:color="auto" w:fill="FFFFFF"/>
        </w:rPr>
        <w:t>Santos, A. G. D. (2009). </w:t>
      </w:r>
      <w:r w:rsidRPr="00B25959">
        <w:rPr>
          <w:i/>
          <w:iCs/>
          <w:sz w:val="24"/>
          <w:szCs w:val="24"/>
          <w:shd w:val="clear" w:color="auto" w:fill="FFFFFF"/>
        </w:rPr>
        <w:t>Comitê de auditoria: uma análise baseada na divulgação das informações de empresas brasileiras</w:t>
      </w:r>
      <w:r w:rsidRPr="00B25959">
        <w:rPr>
          <w:sz w:val="24"/>
          <w:szCs w:val="24"/>
          <w:shd w:val="clear" w:color="auto" w:fill="FFFFFF"/>
        </w:rPr>
        <w:t>. Tese de Doutorado, Universidade de São Paulo, São Paulo, SP, Brasil.</w:t>
      </w:r>
    </w:p>
    <w:p w14:paraId="06760B13" w14:textId="19B8CD68" w:rsidR="008B283A" w:rsidRPr="00B25959" w:rsidRDefault="008B283A" w:rsidP="00AB1A5A">
      <w:pPr>
        <w:ind w:left="284" w:hanging="284"/>
        <w:jc w:val="both"/>
        <w:rPr>
          <w:sz w:val="24"/>
          <w:szCs w:val="24"/>
          <w:shd w:val="clear" w:color="auto" w:fill="FFFFFF"/>
        </w:rPr>
      </w:pPr>
      <w:r w:rsidRPr="00B25959">
        <w:rPr>
          <w:sz w:val="24"/>
          <w:szCs w:val="24"/>
          <w:shd w:val="clear" w:color="auto" w:fill="FFFFFF"/>
        </w:rPr>
        <w:lastRenderedPageBreak/>
        <w:t xml:space="preserve">Santos, V., </w:t>
      </w:r>
      <w:proofErr w:type="spellStart"/>
      <w:r w:rsidRPr="00B25959">
        <w:rPr>
          <w:sz w:val="24"/>
          <w:szCs w:val="24"/>
          <w:shd w:val="clear" w:color="auto" w:fill="FFFFFF"/>
        </w:rPr>
        <w:t>Schmeider</w:t>
      </w:r>
      <w:proofErr w:type="spellEnd"/>
      <w:r w:rsidRPr="00B25959">
        <w:rPr>
          <w:sz w:val="24"/>
          <w:szCs w:val="24"/>
          <w:shd w:val="clear" w:color="auto" w:fill="FFFFFF"/>
        </w:rPr>
        <w:t xml:space="preserve">, C. F., &amp; da Cunha, P. R. (2017). Características do comitê de auditoria: um estudo nas empresas listadas na </w:t>
      </w:r>
      <w:proofErr w:type="spellStart"/>
      <w:r w:rsidRPr="00B25959">
        <w:rPr>
          <w:sz w:val="24"/>
          <w:szCs w:val="24"/>
          <w:shd w:val="clear" w:color="auto" w:fill="FFFFFF"/>
        </w:rPr>
        <w:t>BM&amp;FBovespa</w:t>
      </w:r>
      <w:proofErr w:type="spellEnd"/>
      <w:r w:rsidR="00AB1A5A" w:rsidRPr="00B25959">
        <w:rPr>
          <w:sz w:val="24"/>
          <w:szCs w:val="24"/>
          <w:shd w:val="clear" w:color="auto" w:fill="FFFFFF"/>
        </w:rPr>
        <w:t>. </w:t>
      </w:r>
      <w:r w:rsidR="00AB1A5A" w:rsidRPr="00B25959">
        <w:rPr>
          <w:i/>
          <w:iCs/>
          <w:sz w:val="24"/>
          <w:szCs w:val="24"/>
          <w:shd w:val="clear" w:color="auto" w:fill="FFFFFF"/>
        </w:rPr>
        <w:t xml:space="preserve">Revista Catarinense </w:t>
      </w:r>
      <w:r w:rsidR="00AB1A5A">
        <w:rPr>
          <w:i/>
          <w:iCs/>
          <w:sz w:val="24"/>
          <w:szCs w:val="24"/>
          <w:shd w:val="clear" w:color="auto" w:fill="FFFFFF"/>
        </w:rPr>
        <w:t>d</w:t>
      </w:r>
      <w:r w:rsidR="00AB1A5A" w:rsidRPr="00B25959">
        <w:rPr>
          <w:i/>
          <w:iCs/>
          <w:sz w:val="24"/>
          <w:szCs w:val="24"/>
          <w:shd w:val="clear" w:color="auto" w:fill="FFFFFF"/>
        </w:rPr>
        <w:t>a Ciência Contábil</w:t>
      </w:r>
      <w:r w:rsidRPr="00B25959">
        <w:rPr>
          <w:sz w:val="24"/>
          <w:szCs w:val="24"/>
          <w:shd w:val="clear" w:color="auto" w:fill="FFFFFF"/>
        </w:rPr>
        <w:t>, </w:t>
      </w:r>
      <w:r w:rsidRPr="00B25959">
        <w:rPr>
          <w:i/>
          <w:iCs/>
          <w:sz w:val="24"/>
          <w:szCs w:val="24"/>
          <w:shd w:val="clear" w:color="auto" w:fill="FFFFFF"/>
        </w:rPr>
        <w:t>16</w:t>
      </w:r>
      <w:r w:rsidRPr="00B25959">
        <w:rPr>
          <w:sz w:val="24"/>
          <w:szCs w:val="24"/>
          <w:shd w:val="clear" w:color="auto" w:fill="FFFFFF"/>
        </w:rPr>
        <w:t>(49), 17-33.</w:t>
      </w:r>
    </w:p>
    <w:p w14:paraId="06760B15" w14:textId="15D5ED43" w:rsidR="008B283A" w:rsidRPr="00B25959" w:rsidRDefault="008B283A" w:rsidP="00AB1A5A">
      <w:pPr>
        <w:ind w:left="284" w:hanging="284"/>
        <w:jc w:val="both"/>
        <w:rPr>
          <w:sz w:val="24"/>
          <w:szCs w:val="24"/>
          <w:shd w:val="clear" w:color="auto" w:fill="FFFFFF"/>
          <w:lang w:val="en-US"/>
        </w:rPr>
      </w:pPr>
      <w:proofErr w:type="spellStart"/>
      <w:r w:rsidRPr="00B25959">
        <w:rPr>
          <w:sz w:val="24"/>
          <w:szCs w:val="24"/>
          <w:shd w:val="clear" w:color="auto" w:fill="FFFFFF"/>
        </w:rPr>
        <w:t>Sarbanes</w:t>
      </w:r>
      <w:proofErr w:type="spellEnd"/>
      <w:r w:rsidRPr="00B25959">
        <w:rPr>
          <w:sz w:val="24"/>
          <w:szCs w:val="24"/>
          <w:shd w:val="clear" w:color="auto" w:fill="FFFFFF"/>
        </w:rPr>
        <w:t xml:space="preserve">, P. (2002, July). </w:t>
      </w:r>
      <w:proofErr w:type="spellStart"/>
      <w:r w:rsidRPr="00B25959">
        <w:rPr>
          <w:sz w:val="24"/>
          <w:szCs w:val="24"/>
          <w:shd w:val="clear" w:color="auto" w:fill="FFFFFF"/>
        </w:rPr>
        <w:t>Sarbanes-oxley</w:t>
      </w:r>
      <w:proofErr w:type="spellEnd"/>
      <w:r w:rsidRPr="00B25959">
        <w:rPr>
          <w:sz w:val="24"/>
          <w:szCs w:val="24"/>
          <w:shd w:val="clear" w:color="auto" w:fill="FFFFFF"/>
        </w:rPr>
        <w:t xml:space="preserve"> </w:t>
      </w:r>
      <w:proofErr w:type="spellStart"/>
      <w:r w:rsidRPr="00B25959">
        <w:rPr>
          <w:sz w:val="24"/>
          <w:szCs w:val="24"/>
          <w:shd w:val="clear" w:color="auto" w:fill="FFFFFF"/>
        </w:rPr>
        <w:t>act</w:t>
      </w:r>
      <w:proofErr w:type="spellEnd"/>
      <w:r w:rsidRPr="00B25959">
        <w:rPr>
          <w:sz w:val="24"/>
          <w:szCs w:val="24"/>
          <w:shd w:val="clear" w:color="auto" w:fill="FFFFFF"/>
        </w:rPr>
        <w:t xml:space="preserve"> </w:t>
      </w:r>
      <w:proofErr w:type="spellStart"/>
      <w:r w:rsidRPr="00B25959">
        <w:rPr>
          <w:sz w:val="24"/>
          <w:szCs w:val="24"/>
          <w:shd w:val="clear" w:color="auto" w:fill="FFFFFF"/>
        </w:rPr>
        <w:t>of</w:t>
      </w:r>
      <w:proofErr w:type="spellEnd"/>
      <w:r w:rsidRPr="00B25959">
        <w:rPr>
          <w:sz w:val="24"/>
          <w:szCs w:val="24"/>
          <w:shd w:val="clear" w:color="auto" w:fill="FFFFFF"/>
        </w:rPr>
        <w:t xml:space="preserve"> 2002. </w:t>
      </w:r>
      <w:r w:rsidRPr="00B25959">
        <w:rPr>
          <w:sz w:val="24"/>
          <w:szCs w:val="24"/>
          <w:shd w:val="clear" w:color="auto" w:fill="FFFFFF"/>
          <w:lang w:val="en-US"/>
        </w:rPr>
        <w:t>In </w:t>
      </w:r>
      <w:r w:rsidRPr="00B25959">
        <w:rPr>
          <w:i/>
          <w:iCs/>
          <w:sz w:val="24"/>
          <w:szCs w:val="24"/>
          <w:shd w:val="clear" w:color="auto" w:fill="FFFFFF"/>
          <w:lang w:val="en-US"/>
        </w:rPr>
        <w:t>The Public Company Accounting Reform and Investor Protection Act. Washington DC: US Congress</w:t>
      </w:r>
      <w:r w:rsidRPr="00B25959">
        <w:rPr>
          <w:sz w:val="24"/>
          <w:szCs w:val="24"/>
          <w:shd w:val="clear" w:color="auto" w:fill="FFFFFF"/>
          <w:lang w:val="en-US"/>
        </w:rPr>
        <w:t>.</w:t>
      </w:r>
    </w:p>
    <w:p w14:paraId="06760B17" w14:textId="2EFA09BF" w:rsidR="008B283A" w:rsidRPr="00B25959" w:rsidRDefault="008B283A" w:rsidP="00AB1A5A">
      <w:pPr>
        <w:ind w:left="284" w:hanging="284"/>
        <w:jc w:val="both"/>
        <w:rPr>
          <w:sz w:val="24"/>
          <w:szCs w:val="24"/>
          <w:shd w:val="clear" w:color="auto" w:fill="FFFFFF"/>
        </w:rPr>
      </w:pPr>
      <w:proofErr w:type="spellStart"/>
      <w:r w:rsidRPr="00B25959">
        <w:rPr>
          <w:sz w:val="24"/>
          <w:szCs w:val="24"/>
          <w:shd w:val="clear" w:color="auto" w:fill="FFFFFF"/>
          <w:lang w:val="en-US"/>
        </w:rPr>
        <w:t>Shleifer</w:t>
      </w:r>
      <w:proofErr w:type="spellEnd"/>
      <w:r w:rsidRPr="00B25959">
        <w:rPr>
          <w:sz w:val="24"/>
          <w:szCs w:val="24"/>
          <w:shd w:val="clear" w:color="auto" w:fill="FFFFFF"/>
          <w:lang w:val="en-US"/>
        </w:rPr>
        <w:t xml:space="preserve">, A., &amp; </w:t>
      </w:r>
      <w:proofErr w:type="spellStart"/>
      <w:r w:rsidRPr="00B25959">
        <w:rPr>
          <w:sz w:val="24"/>
          <w:szCs w:val="24"/>
          <w:shd w:val="clear" w:color="auto" w:fill="FFFFFF"/>
          <w:lang w:val="en-US"/>
        </w:rPr>
        <w:t>Vishny</w:t>
      </w:r>
      <w:proofErr w:type="spellEnd"/>
      <w:r w:rsidRPr="00B25959">
        <w:rPr>
          <w:sz w:val="24"/>
          <w:szCs w:val="24"/>
          <w:shd w:val="clear" w:color="auto" w:fill="FFFFFF"/>
          <w:lang w:val="en-US"/>
        </w:rPr>
        <w:t>, R. W. (1997). A survey of corporate governance. </w:t>
      </w:r>
      <w:r w:rsidRPr="00B25959">
        <w:rPr>
          <w:i/>
          <w:iCs/>
          <w:sz w:val="24"/>
          <w:szCs w:val="24"/>
          <w:shd w:val="clear" w:color="auto" w:fill="FFFFFF"/>
        </w:rPr>
        <w:t xml:space="preserve">The </w:t>
      </w:r>
      <w:proofErr w:type="spellStart"/>
      <w:r w:rsidRPr="00B25959">
        <w:rPr>
          <w:i/>
          <w:iCs/>
          <w:sz w:val="24"/>
          <w:szCs w:val="24"/>
          <w:shd w:val="clear" w:color="auto" w:fill="FFFFFF"/>
        </w:rPr>
        <w:t>journal</w:t>
      </w:r>
      <w:proofErr w:type="spellEnd"/>
      <w:r w:rsidRPr="00B25959">
        <w:rPr>
          <w:i/>
          <w:iCs/>
          <w:sz w:val="24"/>
          <w:szCs w:val="24"/>
          <w:shd w:val="clear" w:color="auto" w:fill="FFFFFF"/>
        </w:rPr>
        <w:t xml:space="preserve"> </w:t>
      </w:r>
      <w:proofErr w:type="spellStart"/>
      <w:r w:rsidRPr="00B25959">
        <w:rPr>
          <w:i/>
          <w:iCs/>
          <w:sz w:val="24"/>
          <w:szCs w:val="24"/>
          <w:shd w:val="clear" w:color="auto" w:fill="FFFFFF"/>
        </w:rPr>
        <w:t>of</w:t>
      </w:r>
      <w:proofErr w:type="spellEnd"/>
      <w:r w:rsidRPr="00B25959">
        <w:rPr>
          <w:i/>
          <w:iCs/>
          <w:sz w:val="24"/>
          <w:szCs w:val="24"/>
          <w:shd w:val="clear" w:color="auto" w:fill="FFFFFF"/>
        </w:rPr>
        <w:t xml:space="preserve"> </w:t>
      </w:r>
      <w:proofErr w:type="spellStart"/>
      <w:r w:rsidRPr="00B25959">
        <w:rPr>
          <w:i/>
          <w:iCs/>
          <w:sz w:val="24"/>
          <w:szCs w:val="24"/>
          <w:shd w:val="clear" w:color="auto" w:fill="FFFFFF"/>
        </w:rPr>
        <w:t>finance</w:t>
      </w:r>
      <w:proofErr w:type="spellEnd"/>
      <w:r w:rsidRPr="00B25959">
        <w:rPr>
          <w:sz w:val="24"/>
          <w:szCs w:val="24"/>
          <w:shd w:val="clear" w:color="auto" w:fill="FFFFFF"/>
        </w:rPr>
        <w:t>, </w:t>
      </w:r>
      <w:r w:rsidRPr="00B25959">
        <w:rPr>
          <w:i/>
          <w:iCs/>
          <w:sz w:val="24"/>
          <w:szCs w:val="24"/>
          <w:shd w:val="clear" w:color="auto" w:fill="FFFFFF"/>
        </w:rPr>
        <w:t>52</w:t>
      </w:r>
      <w:r w:rsidRPr="00B25959">
        <w:rPr>
          <w:sz w:val="24"/>
          <w:szCs w:val="24"/>
          <w:shd w:val="clear" w:color="auto" w:fill="FFFFFF"/>
        </w:rPr>
        <w:t>(2), 737-783.</w:t>
      </w:r>
    </w:p>
    <w:p w14:paraId="06760B19" w14:textId="57B74253" w:rsidR="008B283A" w:rsidRPr="00B25959" w:rsidRDefault="008B283A" w:rsidP="00AB1A5A">
      <w:pPr>
        <w:ind w:left="284" w:hanging="284"/>
        <w:jc w:val="both"/>
        <w:rPr>
          <w:sz w:val="24"/>
          <w:szCs w:val="24"/>
          <w:shd w:val="clear" w:color="auto" w:fill="FFFFFF"/>
        </w:rPr>
      </w:pPr>
      <w:r w:rsidRPr="00B25959">
        <w:rPr>
          <w:sz w:val="24"/>
          <w:szCs w:val="24"/>
        </w:rPr>
        <w:t xml:space="preserve">Silva, A.; Cunha, P. R. </w:t>
      </w:r>
      <w:proofErr w:type="gramStart"/>
      <w:r w:rsidRPr="00B25959">
        <w:rPr>
          <w:sz w:val="24"/>
          <w:szCs w:val="24"/>
        </w:rPr>
        <w:t>da.;</w:t>
      </w:r>
      <w:proofErr w:type="gramEnd"/>
      <w:r w:rsidRPr="00B25959">
        <w:rPr>
          <w:sz w:val="24"/>
          <w:szCs w:val="24"/>
        </w:rPr>
        <w:t xml:space="preserve"> Teixeira, S. A. (2017). </w:t>
      </w:r>
      <w:r w:rsidRPr="00B25959">
        <w:rPr>
          <w:sz w:val="24"/>
          <w:szCs w:val="24"/>
          <w:shd w:val="clear" w:color="auto" w:fill="FFFFFF"/>
        </w:rPr>
        <w:t xml:space="preserve">Características do comitê de auditoria e deficiências do controle interno: análise de empresas brasileiras. </w:t>
      </w:r>
      <w:r w:rsidRPr="00B25959">
        <w:rPr>
          <w:i/>
          <w:sz w:val="24"/>
          <w:szCs w:val="24"/>
          <w:shd w:val="clear" w:color="auto" w:fill="FFFFFF"/>
        </w:rPr>
        <w:t>Anais do Seminário em Administração, São Paulo, SP</w:t>
      </w:r>
      <w:r w:rsidRPr="00B25959">
        <w:rPr>
          <w:sz w:val="24"/>
          <w:szCs w:val="24"/>
          <w:shd w:val="clear" w:color="auto" w:fill="FFFFFF"/>
        </w:rPr>
        <w:t>, 1-16</w:t>
      </w:r>
      <w:r w:rsidR="00AB1A5A">
        <w:rPr>
          <w:sz w:val="24"/>
          <w:szCs w:val="24"/>
          <w:shd w:val="clear" w:color="auto" w:fill="FFFFFF"/>
        </w:rPr>
        <w:t>.</w:t>
      </w:r>
    </w:p>
    <w:p w14:paraId="06760B1B" w14:textId="720A1BB1" w:rsidR="008B283A" w:rsidRPr="00B25959" w:rsidRDefault="008B283A" w:rsidP="00AB1A5A">
      <w:pPr>
        <w:ind w:left="284" w:hanging="284"/>
        <w:jc w:val="both"/>
        <w:rPr>
          <w:sz w:val="24"/>
          <w:szCs w:val="24"/>
          <w:shd w:val="clear" w:color="auto" w:fill="FFFFFF"/>
          <w:lang w:val="en-US"/>
        </w:rPr>
      </w:pPr>
      <w:proofErr w:type="spellStart"/>
      <w:r w:rsidRPr="00B25959">
        <w:rPr>
          <w:sz w:val="24"/>
          <w:szCs w:val="24"/>
          <w:shd w:val="clear" w:color="auto" w:fill="FFFFFF"/>
        </w:rPr>
        <w:t>Xie</w:t>
      </w:r>
      <w:proofErr w:type="spellEnd"/>
      <w:r w:rsidRPr="00B25959">
        <w:rPr>
          <w:sz w:val="24"/>
          <w:szCs w:val="24"/>
          <w:shd w:val="clear" w:color="auto" w:fill="FFFFFF"/>
        </w:rPr>
        <w:t xml:space="preserve">, B., Davidson III, W. N., &amp; </w:t>
      </w:r>
      <w:proofErr w:type="spellStart"/>
      <w:r w:rsidRPr="00B25959">
        <w:rPr>
          <w:sz w:val="24"/>
          <w:szCs w:val="24"/>
          <w:shd w:val="clear" w:color="auto" w:fill="FFFFFF"/>
        </w:rPr>
        <w:t>DaDalt</w:t>
      </w:r>
      <w:proofErr w:type="spellEnd"/>
      <w:r w:rsidRPr="00B25959">
        <w:rPr>
          <w:sz w:val="24"/>
          <w:szCs w:val="24"/>
          <w:shd w:val="clear" w:color="auto" w:fill="FFFFFF"/>
        </w:rPr>
        <w:t xml:space="preserve">, P. J. (2003). </w:t>
      </w:r>
      <w:r w:rsidRPr="00B25959">
        <w:rPr>
          <w:sz w:val="24"/>
          <w:szCs w:val="24"/>
          <w:shd w:val="clear" w:color="auto" w:fill="FFFFFF"/>
          <w:lang w:val="en-US"/>
        </w:rPr>
        <w:t xml:space="preserve">Earnings management and corporate governance: the role of the board and the audit committee. </w:t>
      </w:r>
      <w:r w:rsidRPr="00B25959">
        <w:rPr>
          <w:i/>
          <w:sz w:val="24"/>
          <w:szCs w:val="24"/>
          <w:shd w:val="clear" w:color="auto" w:fill="FFFFFF"/>
          <w:lang w:val="en-US"/>
        </w:rPr>
        <w:t>Journal of corporate finance, 9</w:t>
      </w:r>
      <w:r w:rsidRPr="00B25959">
        <w:rPr>
          <w:sz w:val="24"/>
          <w:szCs w:val="24"/>
          <w:shd w:val="clear" w:color="auto" w:fill="FFFFFF"/>
          <w:lang w:val="en-US"/>
        </w:rPr>
        <w:t>(3), 295-316.</w:t>
      </w:r>
    </w:p>
    <w:p w14:paraId="06760B20" w14:textId="022D5338" w:rsidR="00E6136F" w:rsidRPr="00AB1A5A" w:rsidRDefault="008B283A" w:rsidP="00AB1A5A">
      <w:pPr>
        <w:ind w:left="284" w:hanging="284"/>
        <w:jc w:val="both"/>
        <w:rPr>
          <w:bCs/>
          <w:sz w:val="24"/>
          <w:szCs w:val="24"/>
          <w:shd w:val="clear" w:color="auto" w:fill="FFFFFF"/>
          <w:lang w:val="en-US"/>
        </w:rPr>
      </w:pPr>
      <w:r w:rsidRPr="00B25959">
        <w:rPr>
          <w:sz w:val="24"/>
          <w:szCs w:val="24"/>
          <w:shd w:val="clear" w:color="auto" w:fill="FFFFFF"/>
          <w:lang w:val="en-US"/>
        </w:rPr>
        <w:t xml:space="preserve">Yoon, H., </w:t>
      </w:r>
      <w:proofErr w:type="spellStart"/>
      <w:r w:rsidRPr="00B25959">
        <w:rPr>
          <w:sz w:val="24"/>
          <w:szCs w:val="24"/>
          <w:shd w:val="clear" w:color="auto" w:fill="FFFFFF"/>
          <w:lang w:val="en-US"/>
        </w:rPr>
        <w:t>Zo</w:t>
      </w:r>
      <w:proofErr w:type="spellEnd"/>
      <w:r w:rsidRPr="00B25959">
        <w:rPr>
          <w:sz w:val="24"/>
          <w:szCs w:val="24"/>
          <w:shd w:val="clear" w:color="auto" w:fill="FFFFFF"/>
          <w:lang w:val="en-US"/>
        </w:rPr>
        <w:t xml:space="preserve">, H., &amp; </w:t>
      </w:r>
      <w:proofErr w:type="spellStart"/>
      <w:r w:rsidRPr="00B25959">
        <w:rPr>
          <w:sz w:val="24"/>
          <w:szCs w:val="24"/>
          <w:shd w:val="clear" w:color="auto" w:fill="FFFFFF"/>
          <w:lang w:val="en-US"/>
        </w:rPr>
        <w:t>Ciganek</w:t>
      </w:r>
      <w:proofErr w:type="spellEnd"/>
      <w:r w:rsidRPr="00B25959">
        <w:rPr>
          <w:sz w:val="24"/>
          <w:szCs w:val="24"/>
          <w:shd w:val="clear" w:color="auto" w:fill="FFFFFF"/>
          <w:lang w:val="en-US"/>
        </w:rPr>
        <w:t>, A. P. (2011). Does XBRL adoption reduce information asymmetry</w:t>
      </w:r>
      <w:proofErr w:type="gramStart"/>
      <w:r w:rsidRPr="00B25959">
        <w:rPr>
          <w:sz w:val="24"/>
          <w:szCs w:val="24"/>
          <w:shd w:val="clear" w:color="auto" w:fill="FFFFFF"/>
          <w:lang w:val="en-US"/>
        </w:rPr>
        <w:t>?.</w:t>
      </w:r>
      <w:proofErr w:type="gramEnd"/>
      <w:r w:rsidRPr="00B25959">
        <w:rPr>
          <w:sz w:val="24"/>
          <w:szCs w:val="24"/>
          <w:shd w:val="clear" w:color="auto" w:fill="FFFFFF"/>
          <w:lang w:val="en-US"/>
        </w:rPr>
        <w:t xml:space="preserve"> </w:t>
      </w:r>
      <w:r w:rsidRPr="00B25959">
        <w:rPr>
          <w:bCs/>
          <w:i/>
          <w:sz w:val="24"/>
          <w:szCs w:val="24"/>
          <w:shd w:val="clear" w:color="auto" w:fill="FFFFFF"/>
          <w:lang w:val="en-US"/>
        </w:rPr>
        <w:t>Journal of Business Research, 64</w:t>
      </w:r>
      <w:r w:rsidRPr="00B25959">
        <w:rPr>
          <w:bCs/>
          <w:sz w:val="24"/>
          <w:szCs w:val="24"/>
          <w:shd w:val="clear" w:color="auto" w:fill="FFFFFF"/>
          <w:lang w:val="en-US"/>
        </w:rPr>
        <w:t>(2), 157-163</w:t>
      </w:r>
      <w:r w:rsidR="00820D75">
        <w:rPr>
          <w:bCs/>
          <w:sz w:val="24"/>
          <w:szCs w:val="24"/>
          <w:shd w:val="clear" w:color="auto" w:fill="FFFFFF"/>
          <w:lang w:val="en-US"/>
        </w:rPr>
        <w:t>.</w:t>
      </w:r>
    </w:p>
    <w:sectPr w:rsidR="00E6136F" w:rsidRPr="00AB1A5A" w:rsidSect="00C04F45">
      <w:headerReference w:type="default" r:id="rId7"/>
      <w:footerReference w:type="default" r:id="rId8"/>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91232" w14:textId="77777777" w:rsidR="00C82D1C" w:rsidRDefault="00C82D1C" w:rsidP="008A5824">
      <w:r>
        <w:separator/>
      </w:r>
    </w:p>
  </w:endnote>
  <w:endnote w:type="continuationSeparator" w:id="0">
    <w:p w14:paraId="06C4B7F9" w14:textId="77777777" w:rsidR="00C82D1C" w:rsidRDefault="00C82D1C" w:rsidP="008A5824">
      <w:r>
        <w:continuationSeparator/>
      </w:r>
    </w:p>
  </w:endnote>
  <w:endnote w:type="continuationNotice" w:id="1">
    <w:p w14:paraId="7BF518A9" w14:textId="77777777" w:rsidR="00C82D1C" w:rsidRDefault="00C82D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ill Sans MT">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Palatino Linotype">
    <w:panose1 w:val="02040502050505030304"/>
    <w:charset w:val="00"/>
    <w:family w:val="roman"/>
    <w:pitch w:val="variable"/>
    <w:sig w:usb0="E0000287" w:usb1="4000001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21343767"/>
      <w:docPartObj>
        <w:docPartGallery w:val="Page Numbers (Bottom of Page)"/>
        <w:docPartUnique/>
      </w:docPartObj>
    </w:sdtPr>
    <w:sdtEndPr/>
    <w:sdtContent>
      <w:p w14:paraId="06760B26" w14:textId="77777777" w:rsidR="00573AF5" w:rsidRDefault="00573AF5">
        <w:pPr>
          <w:pStyle w:val="Rodap"/>
          <w:jc w:val="right"/>
          <w:rPr>
            <w:rFonts w:ascii="Times New Roman" w:hAnsi="Times New Roman" w:cs="Times New Roman"/>
          </w:rPr>
        </w:pPr>
      </w:p>
      <w:p w14:paraId="06760B27" w14:textId="77777777" w:rsidR="00573AF5" w:rsidRPr="00C04F45" w:rsidRDefault="00573AF5">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8240" behindDoc="1" locked="0" layoutInCell="1" allowOverlap="1" wp14:anchorId="06760B2C" wp14:editId="06760B2D">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B20E00">
          <w:rPr>
            <w:rFonts w:ascii="Times New Roman" w:hAnsi="Times New Roman" w:cs="Times New Roman"/>
            <w:noProof/>
          </w:rPr>
          <w:t>12</w:t>
        </w:r>
        <w:r w:rsidRPr="00C04F45">
          <w:rPr>
            <w:rFonts w:ascii="Times New Roman" w:hAnsi="Times New Roman" w:cs="Times New Roman"/>
          </w:rPr>
          <w:fldChar w:fldCharType="end"/>
        </w:r>
      </w:p>
    </w:sdtContent>
  </w:sdt>
  <w:p w14:paraId="06760B28" w14:textId="77777777" w:rsidR="00573AF5" w:rsidRDefault="00573AF5">
    <w:pPr>
      <w:pStyle w:val="Rodap"/>
      <w:rPr>
        <w:rFonts w:ascii="Times New Roman" w:hAnsi="Times New Roman" w:cs="Times New Roman"/>
      </w:rPr>
    </w:pPr>
  </w:p>
  <w:p w14:paraId="06760B29" w14:textId="77777777" w:rsidR="00573AF5" w:rsidRPr="00C04F45" w:rsidRDefault="00573AF5"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B69A44" w14:textId="77777777" w:rsidR="00C82D1C" w:rsidRDefault="00C82D1C" w:rsidP="008A5824">
      <w:r>
        <w:separator/>
      </w:r>
    </w:p>
  </w:footnote>
  <w:footnote w:type="continuationSeparator" w:id="0">
    <w:p w14:paraId="3F82B5D9" w14:textId="77777777" w:rsidR="00C82D1C" w:rsidRDefault="00C82D1C" w:rsidP="008A5824">
      <w:r>
        <w:continuationSeparator/>
      </w:r>
    </w:p>
  </w:footnote>
  <w:footnote w:type="continuationNotice" w:id="1">
    <w:p w14:paraId="1BC05EB9" w14:textId="77777777" w:rsidR="00C82D1C" w:rsidRDefault="00C82D1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60B25" w14:textId="77777777" w:rsidR="00573AF5" w:rsidRPr="00E361F4" w:rsidRDefault="00573AF5" w:rsidP="00E361F4">
    <w:pPr>
      <w:pStyle w:val="Cabealho"/>
    </w:pPr>
    <w:r>
      <w:rPr>
        <w:noProof/>
        <w:lang w:eastAsia="pt-BR"/>
      </w:rPr>
      <w:drawing>
        <wp:inline distT="0" distB="0" distL="0" distR="0" wp14:anchorId="06760B2A" wp14:editId="06760B2B">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94FB4"/>
    <w:multiLevelType w:val="hybridMultilevel"/>
    <w:tmpl w:val="157C871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6022987"/>
    <w:multiLevelType w:val="hybridMultilevel"/>
    <w:tmpl w:val="511032DA"/>
    <w:lvl w:ilvl="0" w:tplc="6CF45C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6200C"/>
    <w:multiLevelType w:val="hybridMultilevel"/>
    <w:tmpl w:val="940053EE"/>
    <w:lvl w:ilvl="0" w:tplc="9F842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055087"/>
    <w:multiLevelType w:val="hybridMultilevel"/>
    <w:tmpl w:val="1CEE5E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9866747"/>
    <w:multiLevelType w:val="hybridMultilevel"/>
    <w:tmpl w:val="4D6A6D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C6F4FD9"/>
    <w:multiLevelType w:val="hybridMultilevel"/>
    <w:tmpl w:val="390CE2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DB6F45"/>
    <w:multiLevelType w:val="hybridMultilevel"/>
    <w:tmpl w:val="1AE2CD4C"/>
    <w:lvl w:ilvl="0" w:tplc="B6F2129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E20382D"/>
    <w:multiLevelType w:val="multilevel"/>
    <w:tmpl w:val="864CA266"/>
    <w:lvl w:ilvl="0">
      <w:start w:val="1"/>
      <w:numFmt w:val="decimal"/>
      <w:lvlText w:val="%1."/>
      <w:lvlJc w:val="left"/>
      <w:rPr>
        <w:rFonts w:ascii="Bookman Old Style" w:eastAsia="Bookman Old Style" w:hAnsi="Bookman Old Style" w:cs="Bookman Old Style"/>
        <w:b/>
        <w:bCs/>
        <w:i w:val="0"/>
        <w:iCs w:val="0"/>
        <w:smallCaps w:val="0"/>
        <w:strike w:val="0"/>
        <w:color w:val="000000"/>
        <w:spacing w:val="-2"/>
        <w:w w:val="100"/>
        <w:position w:val="0"/>
        <w:sz w:val="14"/>
        <w:szCs w:val="14"/>
        <w:u w:val="none"/>
        <w:lang w:val="en-US"/>
      </w:rPr>
    </w:lvl>
    <w:lvl w:ilvl="1">
      <w:start w:val="1"/>
      <w:numFmt w:val="decimal"/>
      <w:lvlText w:val="%1.%2."/>
      <w:lvlJc w:val="left"/>
      <w:rPr>
        <w:rFonts w:ascii="Bookman Old Style" w:eastAsia="Bookman Old Style" w:hAnsi="Bookman Old Style" w:cs="Bookman Old Style"/>
        <w:b w:val="0"/>
        <w:bCs w:val="0"/>
        <w:i/>
        <w:iCs/>
        <w:smallCaps w:val="0"/>
        <w:strike w:val="0"/>
        <w:color w:val="000000"/>
        <w:spacing w:val="1"/>
        <w:w w:val="100"/>
        <w:position w:val="0"/>
        <w:sz w:val="12"/>
        <w:szCs w:val="12"/>
        <w:u w:val="none"/>
        <w:lang w:val="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0B259FF"/>
    <w:multiLevelType w:val="hybridMultilevel"/>
    <w:tmpl w:val="C2A8192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CEC61C3"/>
    <w:multiLevelType w:val="hybridMultilevel"/>
    <w:tmpl w:val="9604A8D4"/>
    <w:lvl w:ilvl="0" w:tplc="4C189478">
      <w:start w:val="1"/>
      <w:numFmt w:val="bullet"/>
      <w:lvlText w:val="•"/>
      <w:lvlJc w:val="left"/>
      <w:pPr>
        <w:tabs>
          <w:tab w:val="num" w:pos="720"/>
        </w:tabs>
        <w:ind w:left="720" w:hanging="360"/>
      </w:pPr>
      <w:rPr>
        <w:rFonts w:ascii="Times New Roman" w:hAnsi="Times New Roman" w:hint="default"/>
      </w:rPr>
    </w:lvl>
    <w:lvl w:ilvl="1" w:tplc="27D8D8C8" w:tentative="1">
      <w:start w:val="1"/>
      <w:numFmt w:val="bullet"/>
      <w:lvlText w:val="•"/>
      <w:lvlJc w:val="left"/>
      <w:pPr>
        <w:tabs>
          <w:tab w:val="num" w:pos="1440"/>
        </w:tabs>
        <w:ind w:left="1440" w:hanging="360"/>
      </w:pPr>
      <w:rPr>
        <w:rFonts w:ascii="Times New Roman" w:hAnsi="Times New Roman" w:hint="default"/>
      </w:rPr>
    </w:lvl>
    <w:lvl w:ilvl="2" w:tplc="FD92863C" w:tentative="1">
      <w:start w:val="1"/>
      <w:numFmt w:val="bullet"/>
      <w:lvlText w:val="•"/>
      <w:lvlJc w:val="left"/>
      <w:pPr>
        <w:tabs>
          <w:tab w:val="num" w:pos="2160"/>
        </w:tabs>
        <w:ind w:left="2160" w:hanging="360"/>
      </w:pPr>
      <w:rPr>
        <w:rFonts w:ascii="Times New Roman" w:hAnsi="Times New Roman" w:hint="default"/>
      </w:rPr>
    </w:lvl>
    <w:lvl w:ilvl="3" w:tplc="487065EA" w:tentative="1">
      <w:start w:val="1"/>
      <w:numFmt w:val="bullet"/>
      <w:lvlText w:val="•"/>
      <w:lvlJc w:val="left"/>
      <w:pPr>
        <w:tabs>
          <w:tab w:val="num" w:pos="2880"/>
        </w:tabs>
        <w:ind w:left="2880" w:hanging="360"/>
      </w:pPr>
      <w:rPr>
        <w:rFonts w:ascii="Times New Roman" w:hAnsi="Times New Roman" w:hint="default"/>
      </w:rPr>
    </w:lvl>
    <w:lvl w:ilvl="4" w:tplc="1ECCC72A" w:tentative="1">
      <w:start w:val="1"/>
      <w:numFmt w:val="bullet"/>
      <w:lvlText w:val="•"/>
      <w:lvlJc w:val="left"/>
      <w:pPr>
        <w:tabs>
          <w:tab w:val="num" w:pos="3600"/>
        </w:tabs>
        <w:ind w:left="3600" w:hanging="360"/>
      </w:pPr>
      <w:rPr>
        <w:rFonts w:ascii="Times New Roman" w:hAnsi="Times New Roman" w:hint="default"/>
      </w:rPr>
    </w:lvl>
    <w:lvl w:ilvl="5" w:tplc="4CACFA30" w:tentative="1">
      <w:start w:val="1"/>
      <w:numFmt w:val="bullet"/>
      <w:lvlText w:val="•"/>
      <w:lvlJc w:val="left"/>
      <w:pPr>
        <w:tabs>
          <w:tab w:val="num" w:pos="4320"/>
        </w:tabs>
        <w:ind w:left="4320" w:hanging="360"/>
      </w:pPr>
      <w:rPr>
        <w:rFonts w:ascii="Times New Roman" w:hAnsi="Times New Roman" w:hint="default"/>
      </w:rPr>
    </w:lvl>
    <w:lvl w:ilvl="6" w:tplc="934E8F56" w:tentative="1">
      <w:start w:val="1"/>
      <w:numFmt w:val="bullet"/>
      <w:lvlText w:val="•"/>
      <w:lvlJc w:val="left"/>
      <w:pPr>
        <w:tabs>
          <w:tab w:val="num" w:pos="5040"/>
        </w:tabs>
        <w:ind w:left="5040" w:hanging="360"/>
      </w:pPr>
      <w:rPr>
        <w:rFonts w:ascii="Times New Roman" w:hAnsi="Times New Roman" w:hint="default"/>
      </w:rPr>
    </w:lvl>
    <w:lvl w:ilvl="7" w:tplc="41A0EB6E" w:tentative="1">
      <w:start w:val="1"/>
      <w:numFmt w:val="bullet"/>
      <w:lvlText w:val="•"/>
      <w:lvlJc w:val="left"/>
      <w:pPr>
        <w:tabs>
          <w:tab w:val="num" w:pos="5760"/>
        </w:tabs>
        <w:ind w:left="5760" w:hanging="360"/>
      </w:pPr>
      <w:rPr>
        <w:rFonts w:ascii="Times New Roman" w:hAnsi="Times New Roman" w:hint="default"/>
      </w:rPr>
    </w:lvl>
    <w:lvl w:ilvl="8" w:tplc="5F56CE8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730491D"/>
    <w:multiLevelType w:val="hybridMultilevel"/>
    <w:tmpl w:val="86D668D8"/>
    <w:lvl w:ilvl="0" w:tplc="218C846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8197766"/>
    <w:multiLevelType w:val="multilevel"/>
    <w:tmpl w:val="9C76F0A6"/>
    <w:lvl w:ilvl="0">
      <w:start w:val="2007"/>
      <w:numFmt w:val="decimal"/>
      <w:lvlText w:val="(%1)"/>
      <w:lvlJc w:val="left"/>
      <w:rPr>
        <w:rFonts w:ascii="Times New Roman" w:eastAsia="Times New Roman" w:hAnsi="Times New Roman" w:cs="Times New Roman"/>
        <w:b w:val="0"/>
        <w:bCs w:val="0"/>
        <w:i w:val="0"/>
        <w:iCs w:val="0"/>
        <w:smallCaps w:val="0"/>
        <w:strike w:val="0"/>
        <w:color w:val="000000"/>
        <w:spacing w:val="2"/>
        <w:w w:val="100"/>
        <w:position w:val="0"/>
        <w:sz w:val="17"/>
        <w:szCs w:val="17"/>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85A4C12"/>
    <w:multiLevelType w:val="multilevel"/>
    <w:tmpl w:val="853CE9E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58B028AD"/>
    <w:multiLevelType w:val="multilevel"/>
    <w:tmpl w:val="46CA123A"/>
    <w:lvl w:ilvl="0">
      <w:start w:val="2004"/>
      <w:numFmt w:val="decimal"/>
      <w:lvlText w:val="(%1)"/>
      <w:lvlJc w:val="left"/>
      <w:rPr>
        <w:rFonts w:ascii="Bookman Old Style" w:eastAsia="Bookman Old Style" w:hAnsi="Bookman Old Style" w:cs="Bookman Old Style"/>
        <w:b w:val="0"/>
        <w:bCs w:val="0"/>
        <w:i w:val="0"/>
        <w:iCs w:val="0"/>
        <w:smallCaps w:val="0"/>
        <w:strike w:val="0"/>
        <w:color w:val="000000"/>
        <w:spacing w:val="4"/>
        <w:w w:val="100"/>
        <w:position w:val="0"/>
        <w:sz w:val="12"/>
        <w:szCs w:val="1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C179DD"/>
    <w:multiLevelType w:val="hybridMultilevel"/>
    <w:tmpl w:val="2648E6BE"/>
    <w:lvl w:ilvl="0" w:tplc="ED3EEFFC">
      <w:start w:val="75"/>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94758C9"/>
    <w:multiLevelType w:val="hybridMultilevel"/>
    <w:tmpl w:val="D20A61C4"/>
    <w:lvl w:ilvl="0" w:tplc="121659DE">
      <w:start w:val="1"/>
      <w:numFmt w:val="bullet"/>
      <w:lvlText w:val=""/>
      <w:lvlJc w:val="left"/>
      <w:pPr>
        <w:tabs>
          <w:tab w:val="num" w:pos="720"/>
        </w:tabs>
        <w:ind w:left="720" w:hanging="360"/>
      </w:pPr>
      <w:rPr>
        <w:rFonts w:ascii="Wingdings" w:hAnsi="Wingdings" w:hint="default"/>
      </w:rPr>
    </w:lvl>
    <w:lvl w:ilvl="1" w:tplc="FCD06F5E" w:tentative="1">
      <w:start w:val="1"/>
      <w:numFmt w:val="bullet"/>
      <w:lvlText w:val=""/>
      <w:lvlJc w:val="left"/>
      <w:pPr>
        <w:tabs>
          <w:tab w:val="num" w:pos="1440"/>
        </w:tabs>
        <w:ind w:left="1440" w:hanging="360"/>
      </w:pPr>
      <w:rPr>
        <w:rFonts w:ascii="Wingdings" w:hAnsi="Wingdings" w:hint="default"/>
      </w:rPr>
    </w:lvl>
    <w:lvl w:ilvl="2" w:tplc="D16CCFCC" w:tentative="1">
      <w:start w:val="1"/>
      <w:numFmt w:val="bullet"/>
      <w:lvlText w:val=""/>
      <w:lvlJc w:val="left"/>
      <w:pPr>
        <w:tabs>
          <w:tab w:val="num" w:pos="2160"/>
        </w:tabs>
        <w:ind w:left="2160" w:hanging="360"/>
      </w:pPr>
      <w:rPr>
        <w:rFonts w:ascii="Wingdings" w:hAnsi="Wingdings" w:hint="default"/>
      </w:rPr>
    </w:lvl>
    <w:lvl w:ilvl="3" w:tplc="6A56E676" w:tentative="1">
      <w:start w:val="1"/>
      <w:numFmt w:val="bullet"/>
      <w:lvlText w:val=""/>
      <w:lvlJc w:val="left"/>
      <w:pPr>
        <w:tabs>
          <w:tab w:val="num" w:pos="2880"/>
        </w:tabs>
        <w:ind w:left="2880" w:hanging="360"/>
      </w:pPr>
      <w:rPr>
        <w:rFonts w:ascii="Wingdings" w:hAnsi="Wingdings" w:hint="default"/>
      </w:rPr>
    </w:lvl>
    <w:lvl w:ilvl="4" w:tplc="C88C5510" w:tentative="1">
      <w:start w:val="1"/>
      <w:numFmt w:val="bullet"/>
      <w:lvlText w:val=""/>
      <w:lvlJc w:val="left"/>
      <w:pPr>
        <w:tabs>
          <w:tab w:val="num" w:pos="3600"/>
        </w:tabs>
        <w:ind w:left="3600" w:hanging="360"/>
      </w:pPr>
      <w:rPr>
        <w:rFonts w:ascii="Wingdings" w:hAnsi="Wingdings" w:hint="default"/>
      </w:rPr>
    </w:lvl>
    <w:lvl w:ilvl="5" w:tplc="B7E2D076" w:tentative="1">
      <w:start w:val="1"/>
      <w:numFmt w:val="bullet"/>
      <w:lvlText w:val=""/>
      <w:lvlJc w:val="left"/>
      <w:pPr>
        <w:tabs>
          <w:tab w:val="num" w:pos="4320"/>
        </w:tabs>
        <w:ind w:left="4320" w:hanging="360"/>
      </w:pPr>
      <w:rPr>
        <w:rFonts w:ascii="Wingdings" w:hAnsi="Wingdings" w:hint="default"/>
      </w:rPr>
    </w:lvl>
    <w:lvl w:ilvl="6" w:tplc="BE64A95E" w:tentative="1">
      <w:start w:val="1"/>
      <w:numFmt w:val="bullet"/>
      <w:lvlText w:val=""/>
      <w:lvlJc w:val="left"/>
      <w:pPr>
        <w:tabs>
          <w:tab w:val="num" w:pos="5040"/>
        </w:tabs>
        <w:ind w:left="5040" w:hanging="360"/>
      </w:pPr>
      <w:rPr>
        <w:rFonts w:ascii="Wingdings" w:hAnsi="Wingdings" w:hint="default"/>
      </w:rPr>
    </w:lvl>
    <w:lvl w:ilvl="7" w:tplc="27A41812" w:tentative="1">
      <w:start w:val="1"/>
      <w:numFmt w:val="bullet"/>
      <w:lvlText w:val=""/>
      <w:lvlJc w:val="left"/>
      <w:pPr>
        <w:tabs>
          <w:tab w:val="num" w:pos="5760"/>
        </w:tabs>
        <w:ind w:left="5760" w:hanging="360"/>
      </w:pPr>
      <w:rPr>
        <w:rFonts w:ascii="Wingdings" w:hAnsi="Wingdings" w:hint="default"/>
      </w:rPr>
    </w:lvl>
    <w:lvl w:ilvl="8" w:tplc="B0A63F7A"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6"/>
  </w:num>
  <w:num w:numId="3">
    <w:abstractNumId w:val="17"/>
  </w:num>
  <w:num w:numId="4">
    <w:abstractNumId w:val="5"/>
  </w:num>
  <w:num w:numId="5">
    <w:abstractNumId w:val="4"/>
  </w:num>
  <w:num w:numId="6">
    <w:abstractNumId w:val="1"/>
  </w:num>
  <w:num w:numId="7">
    <w:abstractNumId w:val="11"/>
  </w:num>
  <w:num w:numId="8">
    <w:abstractNumId w:val="14"/>
  </w:num>
  <w:num w:numId="9">
    <w:abstractNumId w:val="19"/>
  </w:num>
  <w:num w:numId="10">
    <w:abstractNumId w:val="3"/>
  </w:num>
  <w:num w:numId="11">
    <w:abstractNumId w:val="2"/>
  </w:num>
  <w:num w:numId="12">
    <w:abstractNumId w:val="18"/>
  </w:num>
  <w:num w:numId="13">
    <w:abstractNumId w:val="7"/>
  </w:num>
  <w:num w:numId="14">
    <w:abstractNumId w:val="0"/>
  </w:num>
  <w:num w:numId="15">
    <w:abstractNumId w:val="10"/>
  </w:num>
  <w:num w:numId="16">
    <w:abstractNumId w:val="15"/>
  </w:num>
  <w:num w:numId="17">
    <w:abstractNumId w:val="9"/>
  </w:num>
  <w:num w:numId="18">
    <w:abstractNumId w:val="13"/>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2tjC2sDA3NANCCyUdpeDU4uLM/DyQAqNaAF8lZwQsAAAA"/>
  </w:docVars>
  <w:rsids>
    <w:rsidRoot w:val="008A5824"/>
    <w:rsid w:val="00053F41"/>
    <w:rsid w:val="00067126"/>
    <w:rsid w:val="00086631"/>
    <w:rsid w:val="000B1B30"/>
    <w:rsid w:val="000E7286"/>
    <w:rsid w:val="0016220D"/>
    <w:rsid w:val="00171F65"/>
    <w:rsid w:val="00180372"/>
    <w:rsid w:val="00191ACD"/>
    <w:rsid w:val="00194BA9"/>
    <w:rsid w:val="001A4423"/>
    <w:rsid w:val="001C05E7"/>
    <w:rsid w:val="001C29E3"/>
    <w:rsid w:val="001C328B"/>
    <w:rsid w:val="001F6A6D"/>
    <w:rsid w:val="0021384D"/>
    <w:rsid w:val="00266B61"/>
    <w:rsid w:val="002A65E3"/>
    <w:rsid w:val="002B0015"/>
    <w:rsid w:val="002B2B78"/>
    <w:rsid w:val="002E2D59"/>
    <w:rsid w:val="003035D0"/>
    <w:rsid w:val="00332F0B"/>
    <w:rsid w:val="0036377D"/>
    <w:rsid w:val="0038579D"/>
    <w:rsid w:val="003B755E"/>
    <w:rsid w:val="003D3B3A"/>
    <w:rsid w:val="003E1E6E"/>
    <w:rsid w:val="004020EB"/>
    <w:rsid w:val="00412A43"/>
    <w:rsid w:val="004677C1"/>
    <w:rsid w:val="00472D25"/>
    <w:rsid w:val="00473887"/>
    <w:rsid w:val="00491708"/>
    <w:rsid w:val="00497127"/>
    <w:rsid w:val="004B4BFB"/>
    <w:rsid w:val="004D1550"/>
    <w:rsid w:val="0050146C"/>
    <w:rsid w:val="005160A5"/>
    <w:rsid w:val="00524D6A"/>
    <w:rsid w:val="0053507F"/>
    <w:rsid w:val="0054303F"/>
    <w:rsid w:val="00562B83"/>
    <w:rsid w:val="005648AC"/>
    <w:rsid w:val="00573AF5"/>
    <w:rsid w:val="005A651B"/>
    <w:rsid w:val="006064A3"/>
    <w:rsid w:val="00631DCF"/>
    <w:rsid w:val="006448DB"/>
    <w:rsid w:val="006468C5"/>
    <w:rsid w:val="0067168D"/>
    <w:rsid w:val="00686527"/>
    <w:rsid w:val="006B6018"/>
    <w:rsid w:val="006C2053"/>
    <w:rsid w:val="006C350F"/>
    <w:rsid w:val="006E192B"/>
    <w:rsid w:val="00720A80"/>
    <w:rsid w:val="0072578D"/>
    <w:rsid w:val="0072769B"/>
    <w:rsid w:val="00735C2B"/>
    <w:rsid w:val="00747D54"/>
    <w:rsid w:val="007537D4"/>
    <w:rsid w:val="007666A1"/>
    <w:rsid w:val="0077447F"/>
    <w:rsid w:val="00817C96"/>
    <w:rsid w:val="00820D75"/>
    <w:rsid w:val="00831887"/>
    <w:rsid w:val="008346B9"/>
    <w:rsid w:val="008437CF"/>
    <w:rsid w:val="00860B20"/>
    <w:rsid w:val="00882C65"/>
    <w:rsid w:val="008A5824"/>
    <w:rsid w:val="008B283A"/>
    <w:rsid w:val="008B6EAF"/>
    <w:rsid w:val="008D4F05"/>
    <w:rsid w:val="009044C5"/>
    <w:rsid w:val="00950346"/>
    <w:rsid w:val="009833D5"/>
    <w:rsid w:val="00A04B48"/>
    <w:rsid w:val="00A321C8"/>
    <w:rsid w:val="00A735E2"/>
    <w:rsid w:val="00A85D65"/>
    <w:rsid w:val="00A86ECF"/>
    <w:rsid w:val="00AA1B71"/>
    <w:rsid w:val="00AB1A5A"/>
    <w:rsid w:val="00AD0484"/>
    <w:rsid w:val="00B20E00"/>
    <w:rsid w:val="00B210B8"/>
    <w:rsid w:val="00B32719"/>
    <w:rsid w:val="00B41CAF"/>
    <w:rsid w:val="00B72BF6"/>
    <w:rsid w:val="00B76B99"/>
    <w:rsid w:val="00BB58F5"/>
    <w:rsid w:val="00BD0F13"/>
    <w:rsid w:val="00BD2670"/>
    <w:rsid w:val="00BD7D9B"/>
    <w:rsid w:val="00BE70E2"/>
    <w:rsid w:val="00C03C1E"/>
    <w:rsid w:val="00C04F45"/>
    <w:rsid w:val="00C1225D"/>
    <w:rsid w:val="00C30374"/>
    <w:rsid w:val="00C362B0"/>
    <w:rsid w:val="00C43367"/>
    <w:rsid w:val="00C519D8"/>
    <w:rsid w:val="00C82D1C"/>
    <w:rsid w:val="00C91777"/>
    <w:rsid w:val="00CA2367"/>
    <w:rsid w:val="00CA25AA"/>
    <w:rsid w:val="00CB4AAE"/>
    <w:rsid w:val="00CE5296"/>
    <w:rsid w:val="00CF1ED7"/>
    <w:rsid w:val="00CF645C"/>
    <w:rsid w:val="00D04AD3"/>
    <w:rsid w:val="00D34DC0"/>
    <w:rsid w:val="00D80752"/>
    <w:rsid w:val="00D91EAD"/>
    <w:rsid w:val="00DC026A"/>
    <w:rsid w:val="00DE4584"/>
    <w:rsid w:val="00E35B2A"/>
    <w:rsid w:val="00E361F4"/>
    <w:rsid w:val="00E406DC"/>
    <w:rsid w:val="00E42097"/>
    <w:rsid w:val="00E6136F"/>
    <w:rsid w:val="00ED2F10"/>
    <w:rsid w:val="00ED7A83"/>
    <w:rsid w:val="00F306B3"/>
    <w:rsid w:val="00FD20C7"/>
    <w:rsid w:val="00FE1AE1"/>
    <w:rsid w:val="00FE1CF2"/>
    <w:rsid w:val="00FF07B7"/>
    <w:rsid w:val="00FF12A2"/>
    <w:rsid w:val="00FF47E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608BE"/>
  <w15:docId w15:val="{DF6917F5-0EF7-471D-9909-0E324A86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link w:val="Ttulo1Char"/>
    <w:uiPriority w:val="9"/>
    <w:qFormat/>
    <w:rsid w:val="008B283A"/>
    <w:pPr>
      <w:suppressAutoHyphens w:val="0"/>
      <w:spacing w:before="100" w:beforeAutospacing="1" w:after="100" w:afterAutospacing="1"/>
      <w:outlineLvl w:val="0"/>
    </w:pPr>
    <w:rPr>
      <w:b/>
      <w:bCs/>
      <w:kern w:val="36"/>
      <w:sz w:val="48"/>
      <w:szCs w:val="48"/>
    </w:rPr>
  </w:style>
  <w:style w:type="paragraph" w:styleId="Ttulo2">
    <w:name w:val="heading 2"/>
    <w:basedOn w:val="Normal"/>
    <w:next w:val="Normal"/>
    <w:link w:val="Ttulo2Char"/>
    <w:uiPriority w:val="9"/>
    <w:semiHidden/>
    <w:unhideWhenUsed/>
    <w:qFormat/>
    <w:rsid w:val="008B283A"/>
    <w:pPr>
      <w:keepNext/>
      <w:keepLines/>
      <w:suppressAutoHyphens w:val="0"/>
      <w:spacing w:before="40" w:line="276" w:lineRule="auto"/>
      <w:outlineLvl w:val="1"/>
    </w:pPr>
    <w:rPr>
      <w:rFonts w:asciiTheme="majorHAnsi" w:eastAsiaTheme="majorEastAsia" w:hAnsiTheme="majorHAnsi" w:cstheme="majorBidi"/>
      <w:color w:val="2F5496" w:themeColor="accent1" w:themeShade="BF"/>
      <w:sz w:val="26"/>
      <w:szCs w:val="26"/>
      <w:lang w:eastAsia="en-US"/>
    </w:rPr>
  </w:style>
  <w:style w:type="paragraph" w:styleId="Ttulo4">
    <w:name w:val="heading 4"/>
    <w:basedOn w:val="Normal"/>
    <w:next w:val="Normal"/>
    <w:link w:val="Ttulo4Char"/>
    <w:uiPriority w:val="9"/>
    <w:semiHidden/>
    <w:unhideWhenUsed/>
    <w:qFormat/>
    <w:rsid w:val="008B283A"/>
    <w:pPr>
      <w:keepNext/>
      <w:keepLines/>
      <w:suppressAutoHyphens w:val="0"/>
      <w:spacing w:before="40" w:line="276" w:lineRule="auto"/>
      <w:outlineLvl w:val="3"/>
    </w:pPr>
    <w:rPr>
      <w:rFonts w:asciiTheme="majorHAnsi" w:eastAsiaTheme="majorEastAsia" w:hAnsiTheme="majorHAnsi" w:cstheme="majorBidi"/>
      <w:i/>
      <w:iCs/>
      <w:color w:val="2F5496" w:themeColor="accent1" w:themeShade="B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Ttulo1Char">
    <w:name w:val="Título 1 Char"/>
    <w:basedOn w:val="Fontepargpadro"/>
    <w:link w:val="Ttulo1"/>
    <w:uiPriority w:val="9"/>
    <w:rsid w:val="008B283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8B283A"/>
    <w:rPr>
      <w:rFonts w:asciiTheme="majorHAnsi" w:eastAsiaTheme="majorEastAsia" w:hAnsiTheme="majorHAnsi" w:cstheme="majorBidi"/>
      <w:color w:val="2F5496" w:themeColor="accent1" w:themeShade="BF"/>
      <w:sz w:val="26"/>
      <w:szCs w:val="26"/>
    </w:rPr>
  </w:style>
  <w:style w:type="character" w:customStyle="1" w:styleId="Ttulo4Char">
    <w:name w:val="Título 4 Char"/>
    <w:basedOn w:val="Fontepargpadro"/>
    <w:link w:val="Ttulo4"/>
    <w:uiPriority w:val="9"/>
    <w:semiHidden/>
    <w:rsid w:val="008B283A"/>
    <w:rPr>
      <w:rFonts w:asciiTheme="majorHAnsi" w:eastAsiaTheme="majorEastAsia" w:hAnsiTheme="majorHAnsi" w:cstheme="majorBidi"/>
      <w:i/>
      <w:iCs/>
      <w:color w:val="2F5496" w:themeColor="accent1" w:themeShade="BF"/>
      <w:sz w:val="22"/>
      <w:szCs w:val="22"/>
    </w:rPr>
  </w:style>
  <w:style w:type="character" w:customStyle="1" w:styleId="A4">
    <w:name w:val="A4"/>
    <w:uiPriority w:val="99"/>
    <w:rsid w:val="008B283A"/>
    <w:rPr>
      <w:rFonts w:cs="Gill Sans MT"/>
      <w:color w:val="000000"/>
      <w:sz w:val="26"/>
      <w:szCs w:val="26"/>
    </w:rPr>
  </w:style>
  <w:style w:type="paragraph" w:customStyle="1" w:styleId="referencias">
    <w:name w:val="referencias"/>
    <w:basedOn w:val="Sumrio8"/>
    <w:rsid w:val="008B283A"/>
  </w:style>
  <w:style w:type="paragraph" w:styleId="Sumrio8">
    <w:name w:val="toc 8"/>
    <w:basedOn w:val="Normal"/>
    <w:next w:val="Normal"/>
    <w:autoRedefine/>
    <w:uiPriority w:val="39"/>
    <w:semiHidden/>
    <w:unhideWhenUsed/>
    <w:rsid w:val="008B283A"/>
    <w:pPr>
      <w:suppressAutoHyphens w:val="0"/>
      <w:spacing w:after="100" w:line="276" w:lineRule="auto"/>
      <w:ind w:left="1540"/>
    </w:pPr>
    <w:rPr>
      <w:rFonts w:asciiTheme="minorHAnsi" w:eastAsiaTheme="minorHAnsi" w:hAnsiTheme="minorHAnsi" w:cstheme="minorBidi"/>
      <w:sz w:val="22"/>
      <w:szCs w:val="22"/>
      <w:lang w:eastAsia="en-US"/>
    </w:rPr>
  </w:style>
  <w:style w:type="table" w:styleId="Tabelacomgrade">
    <w:name w:val="Table Grid"/>
    <w:basedOn w:val="Tabelanormal"/>
    <w:uiPriority w:val="59"/>
    <w:rsid w:val="008B283A"/>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docorpo">
    <w:name w:val="Texto do corpo"/>
    <w:rsid w:val="008B283A"/>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pt-BR"/>
    </w:rPr>
  </w:style>
  <w:style w:type="character" w:customStyle="1" w:styleId="Textodocorpo2">
    <w:name w:val="Texto do corpo (2)_"/>
    <w:basedOn w:val="Fontepargpadro"/>
    <w:link w:val="Textodocorpo20"/>
    <w:rsid w:val="008B283A"/>
    <w:rPr>
      <w:rFonts w:ascii="Times New Roman" w:eastAsia="Times New Roman" w:hAnsi="Times New Roman" w:cs="Times New Roman"/>
      <w:shd w:val="clear" w:color="auto" w:fill="FFFFFF"/>
    </w:rPr>
  </w:style>
  <w:style w:type="paragraph" w:customStyle="1" w:styleId="Textodocorpo20">
    <w:name w:val="Texto do corpo (2)"/>
    <w:basedOn w:val="Normal"/>
    <w:link w:val="Textodocorpo2"/>
    <w:rsid w:val="008B283A"/>
    <w:pPr>
      <w:widowControl w:val="0"/>
      <w:shd w:val="clear" w:color="auto" w:fill="FFFFFF"/>
      <w:suppressAutoHyphens w:val="0"/>
      <w:spacing w:line="0" w:lineRule="atLeast"/>
    </w:pPr>
    <w:rPr>
      <w:sz w:val="24"/>
      <w:szCs w:val="24"/>
      <w:lang w:eastAsia="en-US"/>
    </w:rPr>
  </w:style>
  <w:style w:type="character" w:customStyle="1" w:styleId="apple-converted-space">
    <w:name w:val="apple-converted-space"/>
    <w:basedOn w:val="Fontepargpadro"/>
    <w:rsid w:val="008B283A"/>
  </w:style>
  <w:style w:type="paragraph" w:customStyle="1" w:styleId="Refernciaartigos">
    <w:name w:val="Referência (artigos)"/>
    <w:basedOn w:val="Normal"/>
    <w:link w:val="RefernciaartigosChar"/>
    <w:qFormat/>
    <w:rsid w:val="008B283A"/>
    <w:pPr>
      <w:suppressAutoHyphens w:val="0"/>
      <w:spacing w:before="280"/>
      <w:jc w:val="both"/>
    </w:pPr>
    <w:rPr>
      <w:rFonts w:eastAsiaTheme="minorHAnsi"/>
      <w:sz w:val="24"/>
      <w:szCs w:val="24"/>
      <w:lang w:eastAsia="en-US"/>
    </w:rPr>
  </w:style>
  <w:style w:type="character" w:customStyle="1" w:styleId="RefernciaartigosChar">
    <w:name w:val="Referência (artigos) Char"/>
    <w:basedOn w:val="Fontepargpadro"/>
    <w:link w:val="Refernciaartigos"/>
    <w:rsid w:val="008B283A"/>
    <w:rPr>
      <w:rFonts w:ascii="Times New Roman" w:hAnsi="Times New Roman" w:cs="Times New Roman"/>
    </w:rPr>
  </w:style>
  <w:style w:type="paragraph" w:customStyle="1" w:styleId="Default">
    <w:name w:val="Default"/>
    <w:rsid w:val="008B283A"/>
    <w:pPr>
      <w:autoSpaceDE w:val="0"/>
      <w:autoSpaceDN w:val="0"/>
      <w:adjustRightInd w:val="0"/>
    </w:pPr>
    <w:rPr>
      <w:rFonts w:ascii="Times New Roman" w:hAnsi="Times New Roman" w:cs="Times New Roman"/>
      <w:color w:val="000000"/>
    </w:rPr>
  </w:style>
  <w:style w:type="character" w:styleId="Refdecomentrio">
    <w:name w:val="annotation reference"/>
    <w:basedOn w:val="Fontepargpadro"/>
    <w:uiPriority w:val="99"/>
    <w:semiHidden/>
    <w:unhideWhenUsed/>
    <w:rsid w:val="008B283A"/>
    <w:rPr>
      <w:sz w:val="16"/>
      <w:szCs w:val="16"/>
    </w:rPr>
  </w:style>
  <w:style w:type="paragraph" w:styleId="Textodecomentrio">
    <w:name w:val="annotation text"/>
    <w:basedOn w:val="Normal"/>
    <w:link w:val="TextodecomentrioChar"/>
    <w:uiPriority w:val="99"/>
    <w:unhideWhenUsed/>
    <w:rsid w:val="008B283A"/>
    <w:pPr>
      <w:suppressAutoHyphens w:val="0"/>
      <w:ind w:firstLine="709"/>
      <w:jc w:val="both"/>
    </w:pPr>
    <w:rPr>
      <w:rFonts w:eastAsiaTheme="minorHAnsi" w:cstheme="minorBidi"/>
      <w:lang w:eastAsia="en-US"/>
    </w:rPr>
  </w:style>
  <w:style w:type="character" w:customStyle="1" w:styleId="TextodecomentrioChar">
    <w:name w:val="Texto de comentário Char"/>
    <w:basedOn w:val="Fontepargpadro"/>
    <w:link w:val="Textodecomentrio"/>
    <w:uiPriority w:val="99"/>
    <w:rsid w:val="008B283A"/>
    <w:rPr>
      <w:rFonts w:ascii="Times New Roman" w:hAnsi="Times New Roman"/>
      <w:sz w:val="20"/>
      <w:szCs w:val="20"/>
    </w:rPr>
  </w:style>
  <w:style w:type="paragraph" w:customStyle="1" w:styleId="Juara">
    <w:name w:val="Juçara"/>
    <w:basedOn w:val="Normal"/>
    <w:autoRedefine/>
    <w:rsid w:val="008B283A"/>
    <w:pPr>
      <w:suppressAutoHyphens w:val="0"/>
      <w:ind w:firstLine="709"/>
      <w:jc w:val="both"/>
    </w:pPr>
    <w:rPr>
      <w:rFonts w:eastAsiaTheme="minorHAnsi" w:cstheme="minorBidi"/>
      <w:sz w:val="24"/>
      <w:szCs w:val="22"/>
      <w:lang w:eastAsia="en-US"/>
    </w:rPr>
  </w:style>
  <w:style w:type="character" w:styleId="TextodoEspaoReservado">
    <w:name w:val="Placeholder Text"/>
    <w:basedOn w:val="Fontepargpadro"/>
    <w:uiPriority w:val="99"/>
    <w:semiHidden/>
    <w:rsid w:val="008B283A"/>
    <w:rPr>
      <w:color w:val="808080"/>
    </w:rPr>
  </w:style>
  <w:style w:type="table" w:customStyle="1" w:styleId="Tabelacomgrade1">
    <w:name w:val="Tabela com grade1"/>
    <w:basedOn w:val="Tabelanormal"/>
    <w:uiPriority w:val="59"/>
    <w:rsid w:val="008B283A"/>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elanormal"/>
    <w:next w:val="Tabelacomgrade"/>
    <w:uiPriority w:val="59"/>
    <w:rsid w:val="008B283A"/>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8B283A"/>
    <w:pPr>
      <w:suppressAutoHyphens w:val="0"/>
      <w:spacing w:before="100" w:beforeAutospacing="1" w:after="100" w:afterAutospacing="1"/>
    </w:pPr>
    <w:rPr>
      <w:sz w:val="24"/>
      <w:szCs w:val="24"/>
    </w:rPr>
  </w:style>
  <w:style w:type="character" w:customStyle="1" w:styleId="normalchar">
    <w:name w:val="normal__char"/>
    <w:basedOn w:val="Fontepargpadro"/>
    <w:rsid w:val="008B283A"/>
  </w:style>
  <w:style w:type="paragraph" w:styleId="Assuntodocomentrio">
    <w:name w:val="annotation subject"/>
    <w:basedOn w:val="Textodecomentrio"/>
    <w:next w:val="Textodecomentrio"/>
    <w:link w:val="AssuntodocomentrioChar"/>
    <w:uiPriority w:val="99"/>
    <w:semiHidden/>
    <w:unhideWhenUsed/>
    <w:rsid w:val="008B283A"/>
    <w:pPr>
      <w:spacing w:after="200"/>
      <w:ind w:firstLine="0"/>
      <w:jc w:val="left"/>
    </w:pPr>
    <w:rPr>
      <w:rFonts w:asciiTheme="minorHAnsi" w:hAnsiTheme="minorHAnsi"/>
      <w:b/>
      <w:bCs/>
    </w:rPr>
  </w:style>
  <w:style w:type="character" w:customStyle="1" w:styleId="AssuntodocomentrioChar">
    <w:name w:val="Assunto do comentário Char"/>
    <w:basedOn w:val="TextodecomentrioChar"/>
    <w:link w:val="Assuntodocomentrio"/>
    <w:uiPriority w:val="99"/>
    <w:semiHidden/>
    <w:rsid w:val="008B283A"/>
    <w:rPr>
      <w:rFonts w:ascii="Times New Roman" w:hAnsi="Times New Roman"/>
      <w:b/>
      <w:bCs/>
      <w:sz w:val="20"/>
      <w:szCs w:val="20"/>
    </w:rPr>
  </w:style>
  <w:style w:type="character" w:customStyle="1" w:styleId="scopustermhighlight">
    <w:name w:val="scopustermhighlight"/>
    <w:basedOn w:val="Fontepargpadro"/>
    <w:rsid w:val="008B283A"/>
  </w:style>
  <w:style w:type="character" w:customStyle="1" w:styleId="documenttype">
    <w:name w:val="documenttype"/>
    <w:basedOn w:val="Fontepargpadro"/>
    <w:rsid w:val="008B283A"/>
  </w:style>
  <w:style w:type="character" w:customStyle="1" w:styleId="correspondence-addressover">
    <w:name w:val="correspondence-address_over"/>
    <w:basedOn w:val="Fontepargpadro"/>
    <w:rsid w:val="008B283A"/>
  </w:style>
  <w:style w:type="character" w:customStyle="1" w:styleId="Meno1">
    <w:name w:val="Menção1"/>
    <w:basedOn w:val="Fontepargpadro"/>
    <w:uiPriority w:val="99"/>
    <w:semiHidden/>
    <w:unhideWhenUsed/>
    <w:rsid w:val="008B283A"/>
    <w:rPr>
      <w:color w:val="2B579A"/>
      <w:shd w:val="clear" w:color="auto" w:fill="E6E6E6"/>
    </w:rPr>
  </w:style>
  <w:style w:type="paragraph" w:styleId="SemEspaamento">
    <w:name w:val="No Spacing"/>
    <w:uiPriority w:val="1"/>
    <w:qFormat/>
    <w:rsid w:val="008B283A"/>
    <w:pPr>
      <w:jc w:val="both"/>
    </w:pPr>
    <w:rPr>
      <w:rFonts w:ascii="Times New Roman" w:hAnsi="Times New Roman"/>
      <w:szCs w:val="22"/>
    </w:rPr>
  </w:style>
  <w:style w:type="character" w:customStyle="1" w:styleId="Bodytext7BoldNotItalicSpacing0pt">
    <w:name w:val="Body text (7) + Bold;Not Italic;Spacing 0 pt"/>
    <w:basedOn w:val="Fontepargpadro"/>
    <w:rsid w:val="008B283A"/>
    <w:rPr>
      <w:rFonts w:ascii="Arial" w:eastAsia="Arial" w:hAnsi="Arial" w:cs="Arial"/>
      <w:b/>
      <w:bCs/>
      <w:i/>
      <w:iCs/>
      <w:smallCaps w:val="0"/>
      <w:strike w:val="0"/>
      <w:color w:val="000000"/>
      <w:spacing w:val="0"/>
      <w:w w:val="100"/>
      <w:position w:val="0"/>
      <w:sz w:val="14"/>
      <w:szCs w:val="14"/>
      <w:u w:val="none"/>
      <w:lang w:val="en-US"/>
    </w:rPr>
  </w:style>
  <w:style w:type="character" w:customStyle="1" w:styleId="Corpodetexto1">
    <w:name w:val="Corpo de texto1"/>
    <w:basedOn w:val="Fontepargpadro"/>
    <w:rsid w:val="008B283A"/>
    <w:rPr>
      <w:rFonts w:ascii="Dotum" w:eastAsia="Dotum" w:hAnsi="Dotum" w:cs="Dotum"/>
      <w:b w:val="0"/>
      <w:bCs w:val="0"/>
      <w:i w:val="0"/>
      <w:iCs w:val="0"/>
      <w:smallCaps w:val="0"/>
      <w:strike w:val="0"/>
      <w:color w:val="000000"/>
      <w:spacing w:val="0"/>
      <w:w w:val="100"/>
      <w:position w:val="0"/>
      <w:sz w:val="15"/>
      <w:szCs w:val="15"/>
      <w:u w:val="none"/>
      <w:lang w:val="en-US"/>
    </w:rPr>
  </w:style>
  <w:style w:type="character" w:customStyle="1" w:styleId="Bodytext7">
    <w:name w:val="Body text (7)"/>
    <w:basedOn w:val="Fontepargpadro"/>
    <w:rsid w:val="008B283A"/>
    <w:rPr>
      <w:rFonts w:ascii="Times New Roman" w:eastAsia="Times New Roman" w:hAnsi="Times New Roman" w:cs="Times New Roman"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
    <w:name w:val="Body text_"/>
    <w:basedOn w:val="Fontepargpadro"/>
    <w:link w:val="Corpodetexto3"/>
    <w:locked/>
    <w:rsid w:val="008B283A"/>
    <w:rPr>
      <w:rFonts w:ascii="Palatino Linotype" w:eastAsia="Palatino Linotype" w:hAnsi="Palatino Linotype" w:cs="Palatino Linotype"/>
      <w:spacing w:val="4"/>
      <w:sz w:val="18"/>
      <w:szCs w:val="18"/>
      <w:shd w:val="clear" w:color="auto" w:fill="FFFFFF"/>
    </w:rPr>
  </w:style>
  <w:style w:type="paragraph" w:customStyle="1" w:styleId="Corpodetexto3">
    <w:name w:val="Corpo de texto3"/>
    <w:basedOn w:val="Normal"/>
    <w:link w:val="Bodytext"/>
    <w:rsid w:val="008B283A"/>
    <w:pPr>
      <w:widowControl w:val="0"/>
      <w:shd w:val="clear" w:color="auto" w:fill="FFFFFF"/>
      <w:suppressAutoHyphens w:val="0"/>
      <w:spacing w:line="240" w:lineRule="exact"/>
      <w:ind w:hanging="320"/>
      <w:jc w:val="both"/>
    </w:pPr>
    <w:rPr>
      <w:rFonts w:ascii="Palatino Linotype" w:eastAsia="Palatino Linotype" w:hAnsi="Palatino Linotype" w:cs="Palatino Linotype"/>
      <w:spacing w:val="4"/>
      <w:sz w:val="18"/>
      <w:szCs w:val="18"/>
      <w:lang w:eastAsia="en-US"/>
    </w:rPr>
  </w:style>
  <w:style w:type="character" w:customStyle="1" w:styleId="Corpodetexto2">
    <w:name w:val="Corpo de texto2"/>
    <w:basedOn w:val="Fontepargpadro"/>
    <w:rsid w:val="008B283A"/>
    <w:rPr>
      <w:rFonts w:ascii="Bookman Old Style" w:eastAsia="Bookman Old Style" w:hAnsi="Bookman Old Style" w:cs="Bookman Old Style" w:hint="default"/>
      <w:b w:val="0"/>
      <w:bCs w:val="0"/>
      <w:i w:val="0"/>
      <w:iCs w:val="0"/>
      <w:smallCaps w:val="0"/>
      <w:strike w:val="0"/>
      <w:dstrike w:val="0"/>
      <w:color w:val="000000"/>
      <w:spacing w:val="4"/>
      <w:w w:val="100"/>
      <w:position w:val="0"/>
      <w:sz w:val="12"/>
      <w:szCs w:val="12"/>
      <w:u w:val="none"/>
      <w:effect w:val="none"/>
      <w:lang w:val="en-US"/>
    </w:rPr>
  </w:style>
  <w:style w:type="character" w:customStyle="1" w:styleId="Bodytext7Bold">
    <w:name w:val="Body text (7) + Bold"/>
    <w:aliases w:val="Not Italic,Spacing 0 pt"/>
    <w:basedOn w:val="Fontepargpadro"/>
    <w:rsid w:val="008B283A"/>
    <w:rPr>
      <w:rFonts w:ascii="Arial" w:eastAsia="Arial" w:hAnsi="Arial" w:cs="Arial" w:hint="default"/>
      <w:b/>
      <w:bCs/>
      <w:i/>
      <w:iCs/>
      <w:smallCaps w:val="0"/>
      <w:strike w:val="0"/>
      <w:dstrike w:val="0"/>
      <w:color w:val="000000"/>
      <w:spacing w:val="0"/>
      <w:w w:val="100"/>
      <w:position w:val="0"/>
      <w:sz w:val="14"/>
      <w:szCs w:val="14"/>
      <w:u w:val="none"/>
      <w:effect w:val="none"/>
      <w:lang w:val="en-US"/>
    </w:rPr>
  </w:style>
  <w:style w:type="character" w:customStyle="1" w:styleId="BodytextSpacing0pt">
    <w:name w:val="Body text + Spacing 0 pt"/>
    <w:basedOn w:val="Fontepargpadro"/>
    <w:rsid w:val="008B283A"/>
    <w:rPr>
      <w:rFonts w:ascii="Bookman Old Style" w:eastAsia="Bookman Old Style" w:hAnsi="Bookman Old Style" w:cs="Bookman Old Style" w:hint="default"/>
      <w:b w:val="0"/>
      <w:bCs w:val="0"/>
      <w:i w:val="0"/>
      <w:iCs w:val="0"/>
      <w:smallCaps w:val="0"/>
      <w:strike w:val="0"/>
      <w:dstrike w:val="0"/>
      <w:color w:val="000000"/>
      <w:spacing w:val="-4"/>
      <w:w w:val="100"/>
      <w:position w:val="0"/>
      <w:sz w:val="12"/>
      <w:szCs w:val="12"/>
      <w:u w:val="none"/>
      <w:effect w:val="none"/>
      <w:lang w:val="en-US"/>
    </w:rPr>
  </w:style>
  <w:style w:type="paragraph" w:customStyle="1" w:styleId="Corpodetexto5">
    <w:name w:val="Corpo de texto5"/>
    <w:basedOn w:val="Normal"/>
    <w:rsid w:val="008B283A"/>
    <w:pPr>
      <w:widowControl w:val="0"/>
      <w:shd w:val="clear" w:color="auto" w:fill="FFFFFF"/>
      <w:suppressAutoHyphens w:val="0"/>
      <w:spacing w:line="0" w:lineRule="atLeast"/>
      <w:ind w:hanging="240"/>
    </w:pPr>
    <w:rPr>
      <w:rFonts w:ascii="Bookman Old Style" w:eastAsia="Bookman Old Style" w:hAnsi="Bookman Old Style" w:cs="Bookman Old Style"/>
      <w:color w:val="000000"/>
      <w:spacing w:val="4"/>
      <w:sz w:val="12"/>
      <w:szCs w:val="12"/>
      <w:lang w:val="en-US"/>
    </w:rPr>
  </w:style>
  <w:style w:type="character" w:customStyle="1" w:styleId="Bodytext5">
    <w:name w:val="Body text (5)_"/>
    <w:basedOn w:val="Fontepargpadro"/>
    <w:link w:val="Bodytext50"/>
    <w:rsid w:val="008B283A"/>
    <w:rPr>
      <w:rFonts w:ascii="Bookman Old Style" w:eastAsia="Bookman Old Style" w:hAnsi="Bookman Old Style" w:cs="Bookman Old Style"/>
      <w:i/>
      <w:iCs/>
      <w:spacing w:val="1"/>
      <w:sz w:val="12"/>
      <w:szCs w:val="12"/>
      <w:shd w:val="clear" w:color="auto" w:fill="FFFFFF"/>
    </w:rPr>
  </w:style>
  <w:style w:type="paragraph" w:customStyle="1" w:styleId="Bodytext50">
    <w:name w:val="Body text (5)"/>
    <w:basedOn w:val="Normal"/>
    <w:link w:val="Bodytext5"/>
    <w:rsid w:val="008B283A"/>
    <w:pPr>
      <w:widowControl w:val="0"/>
      <w:shd w:val="clear" w:color="auto" w:fill="FFFFFF"/>
      <w:suppressAutoHyphens w:val="0"/>
      <w:spacing w:line="168" w:lineRule="exact"/>
      <w:ind w:hanging="240"/>
      <w:jc w:val="both"/>
    </w:pPr>
    <w:rPr>
      <w:rFonts w:ascii="Bookman Old Style" w:eastAsia="Bookman Old Style" w:hAnsi="Bookman Old Style" w:cs="Bookman Old Style"/>
      <w:i/>
      <w:iCs/>
      <w:spacing w:val="1"/>
      <w:sz w:val="12"/>
      <w:szCs w:val="12"/>
      <w:lang w:eastAsia="en-US"/>
    </w:rPr>
  </w:style>
  <w:style w:type="character" w:customStyle="1" w:styleId="Bodytext5NotItalicSpacing0pt">
    <w:name w:val="Body text (5) + Not Italic;Spacing 0 pt"/>
    <w:basedOn w:val="Bodytext5"/>
    <w:rsid w:val="008B283A"/>
    <w:rPr>
      <w:rFonts w:ascii="Bookman Old Style" w:eastAsia="Bookman Old Style" w:hAnsi="Bookman Old Style" w:cs="Bookman Old Style"/>
      <w:b w:val="0"/>
      <w:bCs w:val="0"/>
      <w:i/>
      <w:iCs/>
      <w:smallCaps w:val="0"/>
      <w:strike w:val="0"/>
      <w:color w:val="000000"/>
      <w:spacing w:val="4"/>
      <w:w w:val="100"/>
      <w:position w:val="0"/>
      <w:sz w:val="12"/>
      <w:szCs w:val="12"/>
      <w:u w:val="none"/>
      <w:shd w:val="clear" w:color="auto" w:fill="FFFFFF"/>
      <w:lang w:val="en-US"/>
    </w:rPr>
  </w:style>
  <w:style w:type="character" w:customStyle="1" w:styleId="BodytextItalicSpacing0pt">
    <w:name w:val="Body text + Italic;Spacing 0 pt"/>
    <w:basedOn w:val="Bodytext"/>
    <w:rsid w:val="008B283A"/>
    <w:rPr>
      <w:rFonts w:ascii="Times New Roman" w:eastAsia="Times New Roman" w:hAnsi="Times New Roman" w:cs="Times New Roman"/>
      <w:b w:val="0"/>
      <w:bCs w:val="0"/>
      <w:i/>
      <w:iCs/>
      <w:smallCaps w:val="0"/>
      <w:strike w:val="0"/>
      <w:color w:val="000000"/>
      <w:spacing w:val="6"/>
      <w:w w:val="100"/>
      <w:position w:val="0"/>
      <w:sz w:val="16"/>
      <w:szCs w:val="16"/>
      <w:u w:val="none"/>
      <w:shd w:val="clear" w:color="auto" w:fill="FFFFFF"/>
      <w:lang w:val="en-US"/>
    </w:rPr>
  </w:style>
  <w:style w:type="paragraph" w:styleId="Ttulo">
    <w:name w:val="Title"/>
    <w:basedOn w:val="Normal"/>
    <w:next w:val="Normal"/>
    <w:link w:val="TtuloChar"/>
    <w:uiPriority w:val="10"/>
    <w:qFormat/>
    <w:rsid w:val="008B283A"/>
    <w:pPr>
      <w:suppressAutoHyphens w:val="0"/>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8B283A"/>
    <w:rPr>
      <w:rFonts w:asciiTheme="majorHAnsi" w:eastAsiaTheme="majorEastAsia" w:hAnsiTheme="majorHAnsi" w:cstheme="majorBidi"/>
      <w:spacing w:val="-10"/>
      <w:kern w:val="28"/>
      <w:sz w:val="56"/>
      <w:szCs w:val="56"/>
    </w:rPr>
  </w:style>
  <w:style w:type="paragraph" w:customStyle="1" w:styleId="Tabelas">
    <w:name w:val="Tabelas"/>
    <w:aliases w:val="Gráficos,Quadros,Figuras"/>
    <w:basedOn w:val="Normal"/>
    <w:qFormat/>
    <w:rsid w:val="008B283A"/>
    <w:pPr>
      <w:suppressAutoHyphens w:val="0"/>
      <w:jc w:val="both"/>
    </w:pPr>
    <w:rPr>
      <w:rFonts w:eastAsiaTheme="minorHAnsi" w:cstheme="minorBidi"/>
      <w:szCs w:val="22"/>
      <w:lang w:eastAsia="en-US"/>
    </w:rPr>
  </w:style>
  <w:style w:type="paragraph" w:styleId="Reviso">
    <w:name w:val="Revision"/>
    <w:hidden/>
    <w:uiPriority w:val="99"/>
    <w:semiHidden/>
    <w:rsid w:val="008B283A"/>
    <w:rPr>
      <w:sz w:val="22"/>
      <w:szCs w:val="22"/>
    </w:rPr>
  </w:style>
  <w:style w:type="character" w:customStyle="1" w:styleId="Heading2">
    <w:name w:val="Heading #2"/>
    <w:basedOn w:val="Fontepargpadro"/>
    <w:rsid w:val="008B283A"/>
    <w:rPr>
      <w:rFonts w:ascii="Constantia" w:eastAsia="Constantia" w:hAnsi="Constantia" w:cs="Constantia" w:hint="default"/>
      <w:b w:val="0"/>
      <w:bCs w:val="0"/>
      <w:i w:val="0"/>
      <w:iCs w:val="0"/>
      <w:smallCaps w:val="0"/>
      <w:strike w:val="0"/>
      <w:dstrike w:val="0"/>
      <w:color w:val="000000"/>
      <w:spacing w:val="14"/>
      <w:w w:val="100"/>
      <w:position w:val="0"/>
      <w:sz w:val="17"/>
      <w:szCs w:val="17"/>
      <w:u w:val="none"/>
      <w:effect w:val="none"/>
      <w:lang w:val="en-US"/>
    </w:rPr>
  </w:style>
  <w:style w:type="paragraph" w:styleId="Pr-formataoHTML">
    <w:name w:val="HTML Preformatted"/>
    <w:basedOn w:val="Normal"/>
    <w:link w:val="Pr-formataoHTMLChar"/>
    <w:uiPriority w:val="99"/>
    <w:unhideWhenUsed/>
    <w:rsid w:val="008B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Pr-formataoHTMLChar">
    <w:name w:val="Pré-formatação HTML Char"/>
    <w:basedOn w:val="Fontepargpadro"/>
    <w:link w:val="Pr-formataoHTML"/>
    <w:uiPriority w:val="99"/>
    <w:rsid w:val="008B283A"/>
    <w:rPr>
      <w:rFonts w:ascii="Courier New" w:eastAsia="Times New Roman" w:hAnsi="Courier New" w:cs="Courier New"/>
      <w:sz w:val="20"/>
      <w:szCs w:val="20"/>
      <w:lang w:eastAsia="pt-BR"/>
    </w:rPr>
  </w:style>
  <w:style w:type="character" w:customStyle="1" w:styleId="Textodocorpo2Itlico">
    <w:name w:val="Texto do corpo (2) + Itálico"/>
    <w:basedOn w:val="Fontepargpadro"/>
    <w:rsid w:val="008B283A"/>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8176</Words>
  <Characters>44154</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User</cp:lastModifiedBy>
  <cp:revision>10</cp:revision>
  <dcterms:created xsi:type="dcterms:W3CDTF">2018-05-07T16:32:00Z</dcterms:created>
  <dcterms:modified xsi:type="dcterms:W3CDTF">2018-05-07T16:57:00Z</dcterms:modified>
</cp:coreProperties>
</file>