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77D" w:rsidRDefault="000848D3" w:rsidP="007F0A17">
      <w:pPr>
        <w:widowControl w:val="0"/>
        <w:spacing w:before="120" w:after="240"/>
        <w:jc w:val="center"/>
        <w:rPr>
          <w:color w:val="999999"/>
        </w:rPr>
      </w:pPr>
      <w:r>
        <w:rPr>
          <w:b/>
          <w:sz w:val="24"/>
        </w:rPr>
        <w:t xml:space="preserve">Custo da </w:t>
      </w:r>
      <w:r w:rsidR="001C45EF">
        <w:rPr>
          <w:b/>
          <w:sz w:val="24"/>
        </w:rPr>
        <w:t>Pegada Hídrica</w:t>
      </w:r>
      <w:r>
        <w:rPr>
          <w:b/>
          <w:sz w:val="24"/>
        </w:rPr>
        <w:t xml:space="preserve"> Virtual </w:t>
      </w:r>
      <w:r w:rsidR="001C45EF">
        <w:rPr>
          <w:b/>
          <w:sz w:val="24"/>
        </w:rPr>
        <w:t>das exportações de</w:t>
      </w:r>
      <w:r>
        <w:rPr>
          <w:b/>
          <w:sz w:val="24"/>
        </w:rPr>
        <w:t xml:space="preserve"> Mato Grosso</w:t>
      </w:r>
      <w:r w:rsidR="002A54D9">
        <w:rPr>
          <w:b/>
          <w:sz w:val="24"/>
        </w:rPr>
        <w:t xml:space="preserve"> </w:t>
      </w:r>
      <w:r w:rsidR="002A54D9" w:rsidRPr="002A54D9">
        <w:rPr>
          <w:b/>
          <w:i/>
          <w:sz w:val="24"/>
        </w:rPr>
        <w:t>versus</w:t>
      </w:r>
      <w:r w:rsidR="002A54D9">
        <w:rPr>
          <w:b/>
          <w:sz w:val="24"/>
        </w:rPr>
        <w:t xml:space="preserve"> os repasses federais Lei Kandir e </w:t>
      </w:r>
      <w:proofErr w:type="spellStart"/>
      <w:r w:rsidR="002A54D9">
        <w:rPr>
          <w:b/>
          <w:sz w:val="24"/>
        </w:rPr>
        <w:t>FEX</w:t>
      </w:r>
      <w:proofErr w:type="spellEnd"/>
      <w:r w:rsidR="002A54D9">
        <w:rPr>
          <w:b/>
          <w:sz w:val="24"/>
        </w:rPr>
        <w:t xml:space="preserve">: </w:t>
      </w:r>
      <w:r w:rsidR="001C45EF" w:rsidRPr="002A54D9">
        <w:rPr>
          <w:b/>
          <w:sz w:val="24"/>
        </w:rPr>
        <w:t>uma</w:t>
      </w:r>
      <w:r w:rsidR="001C45EF">
        <w:rPr>
          <w:b/>
          <w:sz w:val="24"/>
        </w:rPr>
        <w:t xml:space="preserve"> análise do período de 2013 a 2017</w:t>
      </w:r>
    </w:p>
    <w:p w:rsidR="0036377D" w:rsidRDefault="001A2B16" w:rsidP="0036377D">
      <w:pPr>
        <w:jc w:val="right"/>
        <w:rPr>
          <w:b/>
          <w:sz w:val="24"/>
          <w:szCs w:val="24"/>
        </w:rPr>
      </w:pPr>
      <w:r w:rsidRPr="001A2B16">
        <w:rPr>
          <w:b/>
          <w:sz w:val="24"/>
          <w:szCs w:val="24"/>
        </w:rPr>
        <w:t>André Socoloski</w:t>
      </w:r>
    </w:p>
    <w:p w:rsidR="0036377D" w:rsidRDefault="001A2B16" w:rsidP="0036377D">
      <w:pPr>
        <w:jc w:val="right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Universidade do Estado de Mato Grosso (</w:t>
      </w:r>
      <w:proofErr w:type="spellStart"/>
      <w:r>
        <w:rPr>
          <w:b/>
          <w:sz w:val="24"/>
          <w:szCs w:val="24"/>
        </w:rPr>
        <w:t>UNEMAT</w:t>
      </w:r>
      <w:proofErr w:type="spellEnd"/>
      <w:r>
        <w:rPr>
          <w:b/>
          <w:sz w:val="24"/>
          <w:szCs w:val="24"/>
        </w:rPr>
        <w:t>)</w:t>
      </w:r>
    </w:p>
    <w:p w:rsidR="0036377D" w:rsidRDefault="00C04F45" w:rsidP="0036377D">
      <w:pPr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</w:t>
      </w:r>
      <w:r w:rsidR="0036377D">
        <w:rPr>
          <w:b/>
          <w:i/>
          <w:sz w:val="24"/>
          <w:szCs w:val="24"/>
        </w:rPr>
        <w:t>-mail</w:t>
      </w:r>
      <w:r>
        <w:rPr>
          <w:b/>
          <w:i/>
          <w:sz w:val="24"/>
          <w:szCs w:val="24"/>
        </w:rPr>
        <w:t>:</w:t>
      </w:r>
      <w:r w:rsidR="001A2B16">
        <w:rPr>
          <w:b/>
          <w:i/>
          <w:sz w:val="24"/>
          <w:szCs w:val="24"/>
        </w:rPr>
        <w:t xml:space="preserve"> andresocoloski@gmail.com</w:t>
      </w:r>
    </w:p>
    <w:p w:rsidR="006A4AB2" w:rsidRDefault="006A4AB2" w:rsidP="0036377D">
      <w:pPr>
        <w:jc w:val="right"/>
        <w:rPr>
          <w:b/>
          <w:sz w:val="24"/>
          <w:szCs w:val="24"/>
        </w:rPr>
      </w:pPr>
    </w:p>
    <w:p w:rsidR="006A4AB2" w:rsidRDefault="006A4AB2" w:rsidP="006A4AB2">
      <w:pPr>
        <w:jc w:val="right"/>
        <w:rPr>
          <w:b/>
          <w:sz w:val="24"/>
          <w:szCs w:val="24"/>
        </w:rPr>
      </w:pPr>
      <w:r w:rsidRPr="00BB21D3">
        <w:rPr>
          <w:b/>
          <w:sz w:val="24"/>
          <w:szCs w:val="24"/>
        </w:rPr>
        <w:t>Magno Alves Ribeiro</w:t>
      </w:r>
    </w:p>
    <w:p w:rsidR="006A4AB2" w:rsidRDefault="006A4AB2" w:rsidP="006A4AB2">
      <w:pPr>
        <w:jc w:val="right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Universidade do Estado de Mato Grosso (</w:t>
      </w:r>
      <w:proofErr w:type="spellStart"/>
      <w:r>
        <w:rPr>
          <w:b/>
          <w:sz w:val="24"/>
          <w:szCs w:val="24"/>
        </w:rPr>
        <w:t>UNEMAT</w:t>
      </w:r>
      <w:proofErr w:type="spellEnd"/>
      <w:r>
        <w:rPr>
          <w:b/>
          <w:sz w:val="24"/>
          <w:szCs w:val="24"/>
        </w:rPr>
        <w:t>)</w:t>
      </w:r>
    </w:p>
    <w:p w:rsidR="006A4AB2" w:rsidRDefault="006A4AB2" w:rsidP="000C211F">
      <w:pPr>
        <w:jc w:val="right"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E-mail:</w:t>
      </w:r>
      <w:r w:rsidRPr="009C61BD">
        <w:t xml:space="preserve"> </w:t>
      </w:r>
      <w:r w:rsidRPr="009C61BD">
        <w:rPr>
          <w:b/>
          <w:i/>
          <w:sz w:val="24"/>
          <w:szCs w:val="24"/>
        </w:rPr>
        <w:t>magnoalves@unemat.br</w:t>
      </w:r>
      <w:r>
        <w:rPr>
          <w:b/>
          <w:i/>
          <w:sz w:val="24"/>
          <w:szCs w:val="24"/>
        </w:rPr>
        <w:t xml:space="preserve"> </w:t>
      </w:r>
    </w:p>
    <w:p w:rsidR="0036377D" w:rsidRDefault="0036377D" w:rsidP="0036377D">
      <w:pPr>
        <w:jc w:val="right"/>
        <w:rPr>
          <w:b/>
          <w:sz w:val="24"/>
          <w:szCs w:val="24"/>
        </w:rPr>
      </w:pPr>
    </w:p>
    <w:p w:rsidR="0036377D" w:rsidRDefault="00BB21D3" w:rsidP="00067126">
      <w:pPr>
        <w:widowControl w:val="0"/>
        <w:jc w:val="right"/>
        <w:rPr>
          <w:b/>
          <w:sz w:val="24"/>
          <w:szCs w:val="24"/>
        </w:rPr>
      </w:pPr>
      <w:proofErr w:type="spellStart"/>
      <w:r w:rsidRPr="00BB21D3">
        <w:rPr>
          <w:b/>
          <w:sz w:val="24"/>
          <w:szCs w:val="24"/>
        </w:rPr>
        <w:t>Cleci</w:t>
      </w:r>
      <w:proofErr w:type="spellEnd"/>
      <w:r w:rsidRPr="00BB21D3">
        <w:rPr>
          <w:b/>
          <w:sz w:val="24"/>
          <w:szCs w:val="24"/>
        </w:rPr>
        <w:t xml:space="preserve"> </w:t>
      </w:r>
      <w:proofErr w:type="spellStart"/>
      <w:r w:rsidRPr="00BB21D3">
        <w:rPr>
          <w:b/>
          <w:sz w:val="24"/>
          <w:szCs w:val="24"/>
        </w:rPr>
        <w:t>Grzebieluckas</w:t>
      </w:r>
      <w:proofErr w:type="spellEnd"/>
    </w:p>
    <w:p w:rsidR="00BB21D3" w:rsidRDefault="00BB21D3" w:rsidP="00BB21D3">
      <w:pPr>
        <w:jc w:val="right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Universidade do Estado de Mato Grosso (</w:t>
      </w:r>
      <w:proofErr w:type="spellStart"/>
      <w:r>
        <w:rPr>
          <w:b/>
          <w:sz w:val="24"/>
          <w:szCs w:val="24"/>
        </w:rPr>
        <w:t>UNEMAT</w:t>
      </w:r>
      <w:proofErr w:type="spellEnd"/>
      <w:r>
        <w:rPr>
          <w:b/>
          <w:sz w:val="24"/>
          <w:szCs w:val="24"/>
        </w:rPr>
        <w:t>)</w:t>
      </w:r>
    </w:p>
    <w:p w:rsidR="0036377D" w:rsidRDefault="00C04F45" w:rsidP="000C211F">
      <w:pPr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</w:t>
      </w:r>
      <w:r w:rsidR="0036377D">
        <w:rPr>
          <w:b/>
          <w:i/>
          <w:sz w:val="24"/>
          <w:szCs w:val="24"/>
        </w:rPr>
        <w:t>-mail</w:t>
      </w:r>
      <w:r>
        <w:rPr>
          <w:b/>
          <w:i/>
          <w:sz w:val="24"/>
          <w:szCs w:val="24"/>
        </w:rPr>
        <w:t>:</w:t>
      </w:r>
      <w:r w:rsidR="00BB21D3">
        <w:rPr>
          <w:b/>
          <w:i/>
          <w:sz w:val="24"/>
          <w:szCs w:val="24"/>
        </w:rPr>
        <w:t xml:space="preserve"> cleci@unemat.br</w:t>
      </w:r>
    </w:p>
    <w:p w:rsidR="00BB21D3" w:rsidRPr="00825BB7" w:rsidRDefault="00BB21D3" w:rsidP="00067126">
      <w:pPr>
        <w:widowControl w:val="0"/>
        <w:jc w:val="right"/>
        <w:rPr>
          <w:b/>
          <w:sz w:val="24"/>
          <w:szCs w:val="24"/>
        </w:rPr>
      </w:pPr>
    </w:p>
    <w:p w:rsidR="009C61BD" w:rsidRDefault="009C61BD" w:rsidP="00BB21D3">
      <w:pPr>
        <w:jc w:val="right"/>
        <w:rPr>
          <w:b/>
          <w:sz w:val="24"/>
          <w:szCs w:val="24"/>
        </w:rPr>
      </w:pPr>
      <w:r w:rsidRPr="009C61BD">
        <w:rPr>
          <w:b/>
          <w:sz w:val="24"/>
          <w:szCs w:val="24"/>
        </w:rPr>
        <w:t>Josiane Silva Costa dos Santos</w:t>
      </w:r>
    </w:p>
    <w:p w:rsidR="00BB21D3" w:rsidRDefault="00BB21D3" w:rsidP="00BB21D3">
      <w:pPr>
        <w:jc w:val="right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>Universidade do Estado de Mato Grosso (</w:t>
      </w:r>
      <w:proofErr w:type="spellStart"/>
      <w:r>
        <w:rPr>
          <w:b/>
          <w:sz w:val="24"/>
          <w:szCs w:val="24"/>
        </w:rPr>
        <w:t>UNEMAT</w:t>
      </w:r>
      <w:proofErr w:type="spellEnd"/>
      <w:r>
        <w:rPr>
          <w:b/>
          <w:sz w:val="24"/>
          <w:szCs w:val="24"/>
        </w:rPr>
        <w:t>)</w:t>
      </w:r>
    </w:p>
    <w:p w:rsidR="00BB21D3" w:rsidRDefault="00BB21D3" w:rsidP="00BB21D3">
      <w:pPr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E-mail: </w:t>
      </w:r>
      <w:r w:rsidR="006A4AB2">
        <w:rPr>
          <w:b/>
          <w:i/>
          <w:sz w:val="24"/>
          <w:szCs w:val="24"/>
        </w:rPr>
        <w:t>josi</w:t>
      </w:r>
      <w:r w:rsidR="009C61BD" w:rsidRPr="009C61BD">
        <w:rPr>
          <w:b/>
          <w:i/>
          <w:sz w:val="24"/>
          <w:szCs w:val="24"/>
        </w:rPr>
        <w:t>ane.</w:t>
      </w:r>
      <w:r w:rsidR="006A4AB2">
        <w:rPr>
          <w:b/>
          <w:i/>
          <w:sz w:val="24"/>
          <w:szCs w:val="24"/>
        </w:rPr>
        <w:t>santos</w:t>
      </w:r>
      <w:r w:rsidR="009C61BD" w:rsidRPr="009C61BD">
        <w:rPr>
          <w:b/>
          <w:i/>
          <w:sz w:val="24"/>
          <w:szCs w:val="24"/>
        </w:rPr>
        <w:t>@</w:t>
      </w:r>
      <w:r w:rsidR="006A4AB2">
        <w:rPr>
          <w:b/>
          <w:i/>
          <w:sz w:val="24"/>
          <w:szCs w:val="24"/>
        </w:rPr>
        <w:t>unemat.br</w:t>
      </w:r>
    </w:p>
    <w:p w:rsidR="00BB21D3" w:rsidRDefault="00BB21D3" w:rsidP="00BB21D3">
      <w:pPr>
        <w:jc w:val="right"/>
        <w:rPr>
          <w:b/>
          <w:sz w:val="24"/>
          <w:szCs w:val="24"/>
        </w:rPr>
      </w:pPr>
    </w:p>
    <w:p w:rsidR="0036377D" w:rsidRDefault="0036377D" w:rsidP="00067126">
      <w:pPr>
        <w:widowControl w:val="0"/>
        <w:jc w:val="center"/>
        <w:rPr>
          <w:b/>
          <w:color w:val="999999"/>
        </w:rPr>
      </w:pPr>
    </w:p>
    <w:p w:rsidR="00C04F45" w:rsidRDefault="0036377D" w:rsidP="00067126">
      <w:pPr>
        <w:widowControl w:val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Resumo </w:t>
      </w:r>
    </w:p>
    <w:p w:rsidR="0036377D" w:rsidRPr="00301E16" w:rsidRDefault="006F1CA3" w:rsidP="00043BDC">
      <w:pPr>
        <w:widowControl w:val="0"/>
        <w:spacing w:after="120"/>
        <w:jc w:val="both"/>
        <w:rPr>
          <w:sz w:val="24"/>
          <w:szCs w:val="24"/>
        </w:rPr>
      </w:pPr>
      <w:r w:rsidRPr="006F1CA3">
        <w:rPr>
          <w:sz w:val="24"/>
          <w:szCs w:val="24"/>
        </w:rPr>
        <w:t xml:space="preserve">Indispensável </w:t>
      </w:r>
      <w:r>
        <w:rPr>
          <w:sz w:val="24"/>
          <w:szCs w:val="24"/>
        </w:rPr>
        <w:t>para a produção de todos os bens e serviços, a água é utilizada de forma gratuita</w:t>
      </w:r>
      <w:r w:rsidR="00861E9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principalmente para a produção agropecuária, </w:t>
      </w:r>
      <w:r w:rsidR="00861E96">
        <w:rPr>
          <w:sz w:val="24"/>
          <w:szCs w:val="24"/>
        </w:rPr>
        <w:t>uma vez</w:t>
      </w:r>
      <w:r>
        <w:rPr>
          <w:sz w:val="24"/>
          <w:szCs w:val="24"/>
        </w:rPr>
        <w:t xml:space="preserve"> que a principal finalidade é a exportação, a água é exportada de forma virtual. Neste contexto, </w:t>
      </w:r>
      <w:r w:rsidR="00043BDC">
        <w:rPr>
          <w:color w:val="000000"/>
          <w:sz w:val="24"/>
          <w:szCs w:val="24"/>
          <w:shd w:val="clear" w:color="auto" w:fill="FFFFFF"/>
        </w:rPr>
        <w:t>o objetivo do estudo é c</w:t>
      </w:r>
      <w:r w:rsidR="00043BDC" w:rsidRPr="00DD4CE5">
        <w:rPr>
          <w:sz w:val="24"/>
          <w:szCs w:val="24"/>
        </w:rPr>
        <w:t xml:space="preserve">omparar o custo da </w:t>
      </w:r>
      <w:r w:rsidR="00043BDC">
        <w:rPr>
          <w:sz w:val="24"/>
          <w:szCs w:val="24"/>
        </w:rPr>
        <w:t>Pegada Hídrica</w:t>
      </w:r>
      <w:r w:rsidR="00043BDC" w:rsidRPr="00A209EF">
        <w:rPr>
          <w:sz w:val="24"/>
          <w:szCs w:val="24"/>
        </w:rPr>
        <w:t xml:space="preserve"> Virtual</w:t>
      </w:r>
      <w:r w:rsidR="00043BDC" w:rsidRPr="00DD4CE5">
        <w:rPr>
          <w:sz w:val="24"/>
          <w:szCs w:val="24"/>
        </w:rPr>
        <w:t xml:space="preserve"> das exportações mato-grossense</w:t>
      </w:r>
      <w:r w:rsidR="00043BDC">
        <w:rPr>
          <w:sz w:val="24"/>
          <w:szCs w:val="24"/>
        </w:rPr>
        <w:t>s</w:t>
      </w:r>
      <w:r w:rsidR="00043BDC" w:rsidRPr="00DD4CE5">
        <w:rPr>
          <w:sz w:val="24"/>
          <w:szCs w:val="24"/>
        </w:rPr>
        <w:t xml:space="preserve"> com os repasses</w:t>
      </w:r>
      <w:r w:rsidR="00043BDC">
        <w:rPr>
          <w:sz w:val="24"/>
          <w:szCs w:val="24"/>
        </w:rPr>
        <w:t xml:space="preserve"> estabelecidos pela</w:t>
      </w:r>
      <w:r w:rsidR="00043BDC" w:rsidRPr="00DD4CE5">
        <w:rPr>
          <w:sz w:val="24"/>
          <w:szCs w:val="24"/>
        </w:rPr>
        <w:t xml:space="preserve"> </w:t>
      </w:r>
      <w:r w:rsidR="00043BDC">
        <w:rPr>
          <w:sz w:val="24"/>
          <w:szCs w:val="24"/>
        </w:rPr>
        <w:t xml:space="preserve">Lei Kandir e o </w:t>
      </w:r>
      <w:proofErr w:type="spellStart"/>
      <w:r w:rsidR="00043BDC">
        <w:rPr>
          <w:sz w:val="24"/>
          <w:szCs w:val="24"/>
        </w:rPr>
        <w:t>FEX</w:t>
      </w:r>
      <w:proofErr w:type="spellEnd"/>
      <w:r w:rsidR="00043BDC" w:rsidRPr="006F1CA3">
        <w:rPr>
          <w:sz w:val="24"/>
          <w:szCs w:val="24"/>
        </w:rPr>
        <w:t xml:space="preserve"> </w:t>
      </w:r>
      <w:r w:rsidR="00043BDC">
        <w:rPr>
          <w:sz w:val="24"/>
          <w:szCs w:val="24"/>
        </w:rPr>
        <w:t>recebidos pelo Estado e seus municípios</w:t>
      </w:r>
      <w:r>
        <w:rPr>
          <w:sz w:val="24"/>
          <w:szCs w:val="24"/>
        </w:rPr>
        <w:t>.</w:t>
      </w:r>
      <w:r w:rsidR="000A5227">
        <w:rPr>
          <w:sz w:val="24"/>
          <w:szCs w:val="24"/>
        </w:rPr>
        <w:t xml:space="preserve"> </w:t>
      </w:r>
      <w:r w:rsidR="00043BDC">
        <w:rPr>
          <w:sz w:val="24"/>
          <w:szCs w:val="24"/>
        </w:rPr>
        <w:t xml:space="preserve">O estudo é de natureza descritiva, </w:t>
      </w:r>
      <w:r w:rsidR="00043BDC" w:rsidRPr="009B4C26">
        <w:rPr>
          <w:sz w:val="24"/>
          <w:szCs w:val="24"/>
        </w:rPr>
        <w:t>bibliográfica</w:t>
      </w:r>
      <w:r w:rsidR="00043BDC">
        <w:rPr>
          <w:sz w:val="24"/>
          <w:szCs w:val="24"/>
        </w:rPr>
        <w:t>, com</w:t>
      </w:r>
      <w:r w:rsidR="00043BDC" w:rsidRPr="0075003D">
        <w:rPr>
          <w:sz w:val="24"/>
          <w:szCs w:val="24"/>
        </w:rPr>
        <w:t xml:space="preserve"> </w:t>
      </w:r>
      <w:r w:rsidR="00043BDC">
        <w:rPr>
          <w:sz w:val="24"/>
          <w:szCs w:val="24"/>
        </w:rPr>
        <w:t>abordagem quantitativa e usou como fonte dados secundários.</w:t>
      </w:r>
      <w:r w:rsidR="000A5227">
        <w:rPr>
          <w:sz w:val="24"/>
          <w:szCs w:val="24"/>
        </w:rPr>
        <w:t xml:space="preserve"> </w:t>
      </w:r>
      <w:r w:rsidR="00043BDC">
        <w:rPr>
          <w:sz w:val="24"/>
          <w:szCs w:val="24"/>
        </w:rPr>
        <w:t>Os</w:t>
      </w:r>
      <w:r w:rsidR="000A5227">
        <w:rPr>
          <w:sz w:val="24"/>
          <w:szCs w:val="24"/>
        </w:rPr>
        <w:t xml:space="preserve"> dados das exportações foram </w:t>
      </w:r>
      <w:r w:rsidR="00301E16">
        <w:rPr>
          <w:sz w:val="24"/>
          <w:szCs w:val="24"/>
        </w:rPr>
        <w:t xml:space="preserve">obtidos do </w:t>
      </w:r>
      <w:r w:rsidR="00301E16">
        <w:rPr>
          <w:i/>
          <w:sz w:val="24"/>
          <w:szCs w:val="24"/>
        </w:rPr>
        <w:t>site</w:t>
      </w:r>
      <w:r w:rsidR="00301E16">
        <w:rPr>
          <w:sz w:val="24"/>
          <w:szCs w:val="24"/>
        </w:rPr>
        <w:t xml:space="preserve"> oficial do </w:t>
      </w:r>
      <w:r w:rsidR="00301E16" w:rsidRPr="00F7422F">
        <w:rPr>
          <w:sz w:val="24"/>
          <w:szCs w:val="24"/>
        </w:rPr>
        <w:t>Ministério da</w:t>
      </w:r>
      <w:r w:rsidR="00301E16">
        <w:rPr>
          <w:sz w:val="24"/>
          <w:szCs w:val="24"/>
        </w:rPr>
        <w:t xml:space="preserve"> </w:t>
      </w:r>
      <w:r w:rsidR="00043BDC">
        <w:rPr>
          <w:sz w:val="24"/>
          <w:szCs w:val="24"/>
        </w:rPr>
        <w:t xml:space="preserve">Indústria, </w:t>
      </w:r>
      <w:r w:rsidR="00301E16" w:rsidRPr="00F7422F">
        <w:rPr>
          <w:sz w:val="24"/>
          <w:szCs w:val="24"/>
        </w:rPr>
        <w:t>Comércio Exterior e Serviços</w:t>
      </w:r>
      <w:r w:rsidR="00301E16">
        <w:rPr>
          <w:sz w:val="24"/>
          <w:szCs w:val="24"/>
        </w:rPr>
        <w:t xml:space="preserve"> (</w:t>
      </w:r>
      <w:proofErr w:type="spellStart"/>
      <w:r w:rsidR="00301E16">
        <w:rPr>
          <w:sz w:val="24"/>
          <w:szCs w:val="24"/>
        </w:rPr>
        <w:t>MDIC</w:t>
      </w:r>
      <w:proofErr w:type="spellEnd"/>
      <w:r w:rsidR="00301E16">
        <w:rPr>
          <w:sz w:val="24"/>
          <w:szCs w:val="24"/>
        </w:rPr>
        <w:t>) pela “</w:t>
      </w:r>
      <w:r w:rsidR="00301E16" w:rsidRPr="00C47577">
        <w:rPr>
          <w:sz w:val="24"/>
          <w:szCs w:val="24"/>
        </w:rPr>
        <w:t xml:space="preserve">Balança comercial brasileira: </w:t>
      </w:r>
      <w:r w:rsidR="00AC5FCA">
        <w:rPr>
          <w:sz w:val="24"/>
          <w:szCs w:val="24"/>
        </w:rPr>
        <w:t>Unidades da Federação”. A</w:t>
      </w:r>
      <w:r w:rsidR="00043BDC">
        <w:rPr>
          <w:sz w:val="24"/>
          <w:szCs w:val="24"/>
        </w:rPr>
        <w:t xml:space="preserve"> Pegada Hídrica (PH) foi com base na literatura existente, calculada para cada produto</w:t>
      </w:r>
      <w:r w:rsidR="00AC5FCA">
        <w:rPr>
          <w:sz w:val="24"/>
          <w:szCs w:val="24"/>
        </w:rPr>
        <w:t>, agregando-a por ano e produto. A</w:t>
      </w:r>
      <w:r w:rsidR="00301E16">
        <w:rPr>
          <w:sz w:val="24"/>
          <w:szCs w:val="24"/>
        </w:rPr>
        <w:t xml:space="preserve"> precificação da água teve como base a cobrança pelo uso dos recursos hídricos</w:t>
      </w:r>
      <w:r w:rsidR="00301E16" w:rsidRPr="00301E16">
        <w:rPr>
          <w:sz w:val="24"/>
          <w:szCs w:val="24"/>
        </w:rPr>
        <w:t xml:space="preserve"> </w:t>
      </w:r>
      <w:r w:rsidR="00301E16">
        <w:rPr>
          <w:sz w:val="24"/>
          <w:szCs w:val="24"/>
        </w:rPr>
        <w:t>disponibilizados pela Agência Nacional de Águas (ANA</w:t>
      </w:r>
      <w:r w:rsidR="00043BDC">
        <w:rPr>
          <w:sz w:val="24"/>
          <w:szCs w:val="24"/>
        </w:rPr>
        <w:t>).</w:t>
      </w:r>
      <w:r w:rsidR="00301E16">
        <w:rPr>
          <w:color w:val="000000"/>
          <w:sz w:val="24"/>
          <w:szCs w:val="24"/>
        </w:rPr>
        <w:t xml:space="preserve"> Os dados dos repasses federais referentes a Lei Kandir </w:t>
      </w:r>
      <w:r w:rsidR="00301E16" w:rsidRPr="00301E16">
        <w:rPr>
          <w:color w:val="000000"/>
          <w:sz w:val="24"/>
          <w:szCs w:val="24"/>
        </w:rPr>
        <w:t>e o Auxílio Financeiro para Fomento das Exportações (</w:t>
      </w:r>
      <w:proofErr w:type="spellStart"/>
      <w:r w:rsidR="00301E16" w:rsidRPr="00301E16">
        <w:rPr>
          <w:color w:val="000000"/>
          <w:sz w:val="24"/>
          <w:szCs w:val="24"/>
        </w:rPr>
        <w:t>FEX</w:t>
      </w:r>
      <w:proofErr w:type="spellEnd"/>
      <w:r w:rsidR="00301E16" w:rsidRPr="00301E16">
        <w:rPr>
          <w:color w:val="000000"/>
          <w:sz w:val="24"/>
          <w:szCs w:val="24"/>
        </w:rPr>
        <w:t>)</w:t>
      </w:r>
      <w:r w:rsidR="00301E16">
        <w:rPr>
          <w:color w:val="000000"/>
          <w:sz w:val="24"/>
          <w:szCs w:val="24"/>
        </w:rPr>
        <w:t xml:space="preserve"> foram obtidos do </w:t>
      </w:r>
      <w:r w:rsidR="00301E16">
        <w:rPr>
          <w:i/>
          <w:color w:val="000000"/>
          <w:sz w:val="24"/>
          <w:szCs w:val="24"/>
        </w:rPr>
        <w:t>site</w:t>
      </w:r>
      <w:r w:rsidR="00301E16">
        <w:rPr>
          <w:color w:val="000000"/>
          <w:sz w:val="24"/>
          <w:szCs w:val="24"/>
        </w:rPr>
        <w:t xml:space="preserve"> </w:t>
      </w:r>
      <w:r w:rsidR="00301E16">
        <w:rPr>
          <w:sz w:val="24"/>
          <w:szCs w:val="24"/>
        </w:rPr>
        <w:t>oficial da Secretaria do Tesouro Nacional (STN</w:t>
      </w:r>
      <w:r w:rsidR="00043BDC">
        <w:rPr>
          <w:sz w:val="24"/>
          <w:szCs w:val="24"/>
        </w:rPr>
        <w:t>)</w:t>
      </w:r>
      <w:r w:rsidR="00301E16">
        <w:rPr>
          <w:sz w:val="24"/>
          <w:szCs w:val="24"/>
        </w:rPr>
        <w:t xml:space="preserve">. </w:t>
      </w:r>
      <w:r w:rsidR="00293B84">
        <w:rPr>
          <w:sz w:val="24"/>
          <w:szCs w:val="24"/>
        </w:rPr>
        <w:t>Os dados demonstram que a principal finalidade da produção agropecuár</w:t>
      </w:r>
      <w:r w:rsidR="00611094">
        <w:rPr>
          <w:sz w:val="24"/>
          <w:szCs w:val="24"/>
        </w:rPr>
        <w:t xml:space="preserve">ia mato-grossense é a exportação </w:t>
      </w:r>
      <w:r w:rsidR="00293B84">
        <w:rPr>
          <w:sz w:val="24"/>
          <w:szCs w:val="24"/>
        </w:rPr>
        <w:t>e junt</w:t>
      </w:r>
      <w:r w:rsidR="00611094">
        <w:rPr>
          <w:sz w:val="24"/>
          <w:szCs w:val="24"/>
        </w:rPr>
        <w:t xml:space="preserve">o </w:t>
      </w:r>
      <w:r w:rsidR="00293B84">
        <w:rPr>
          <w:sz w:val="24"/>
          <w:szCs w:val="24"/>
        </w:rPr>
        <w:t xml:space="preserve">uma quantia relevante de Água Virtual que é utilizada para a produção, todavia, devido </w:t>
      </w:r>
      <w:r w:rsidR="004A346D">
        <w:rPr>
          <w:sz w:val="24"/>
          <w:szCs w:val="24"/>
        </w:rPr>
        <w:t>ao</w:t>
      </w:r>
      <w:r w:rsidR="00293B84">
        <w:rPr>
          <w:sz w:val="24"/>
          <w:szCs w:val="24"/>
        </w:rPr>
        <w:t xml:space="preserve"> custo desta não estar incluso nos custos de produção, o estado de Mato Grosso tem um déficit ambiental, pois os repasses recebidos são menores que o custo da </w:t>
      </w:r>
      <w:r w:rsidR="00AA6472">
        <w:rPr>
          <w:sz w:val="24"/>
          <w:szCs w:val="24"/>
        </w:rPr>
        <w:t>Pegada Hídrica</w:t>
      </w:r>
      <w:r w:rsidR="00293B84">
        <w:rPr>
          <w:sz w:val="24"/>
          <w:szCs w:val="24"/>
        </w:rPr>
        <w:t xml:space="preserve"> Virtual.</w:t>
      </w:r>
    </w:p>
    <w:p w:rsidR="0036377D" w:rsidRDefault="0036377D" w:rsidP="00067126">
      <w:pPr>
        <w:widowControl w:val="0"/>
        <w:rPr>
          <w:sz w:val="24"/>
          <w:szCs w:val="24"/>
        </w:rPr>
      </w:pPr>
      <w:r>
        <w:rPr>
          <w:b/>
          <w:sz w:val="24"/>
          <w:szCs w:val="24"/>
        </w:rPr>
        <w:t xml:space="preserve">Palavras-chave: </w:t>
      </w:r>
      <w:r w:rsidR="00293B84">
        <w:rPr>
          <w:sz w:val="24"/>
          <w:szCs w:val="24"/>
        </w:rPr>
        <w:t>Soja; Milho; Algodão; Carne Bovina</w:t>
      </w:r>
      <w:r w:rsidR="00935F89">
        <w:rPr>
          <w:sz w:val="24"/>
          <w:szCs w:val="24"/>
        </w:rPr>
        <w:t>.</w:t>
      </w:r>
    </w:p>
    <w:p w:rsidR="007F0A17" w:rsidRDefault="007F0A17" w:rsidP="00067126">
      <w:pPr>
        <w:widowControl w:val="0"/>
        <w:rPr>
          <w:sz w:val="24"/>
          <w:szCs w:val="24"/>
        </w:rPr>
      </w:pPr>
    </w:p>
    <w:p w:rsidR="001F735F" w:rsidRDefault="0036377D" w:rsidP="002152B8">
      <w:pPr>
        <w:widowControl w:val="0"/>
      </w:pPr>
      <w:r>
        <w:rPr>
          <w:b/>
          <w:sz w:val="24"/>
          <w:szCs w:val="24"/>
        </w:rPr>
        <w:t xml:space="preserve">Linha Temática: </w:t>
      </w:r>
      <w:r w:rsidR="002152B8" w:rsidRPr="002152B8">
        <w:rPr>
          <w:sz w:val="24"/>
          <w:szCs w:val="24"/>
        </w:rPr>
        <w:t xml:space="preserve">Contabilidade no </w:t>
      </w:r>
      <w:r w:rsidR="002152B8" w:rsidRPr="007C3E48">
        <w:rPr>
          <w:sz w:val="24"/>
          <w:szCs w:val="24"/>
        </w:rPr>
        <w:t>Agribusiness</w:t>
      </w:r>
      <w:bookmarkStart w:id="0" w:name="_GoBack"/>
      <w:bookmarkEnd w:id="0"/>
      <w:r w:rsidR="001F735F">
        <w:br w:type="page"/>
      </w:r>
    </w:p>
    <w:p w:rsidR="00E6136F" w:rsidRPr="00C04F45" w:rsidRDefault="001C328B" w:rsidP="001F735F">
      <w:pPr>
        <w:widowControl w:val="0"/>
        <w:spacing w:before="240" w:after="120"/>
        <w:rPr>
          <w:b/>
          <w:sz w:val="24"/>
          <w:szCs w:val="24"/>
        </w:rPr>
      </w:pPr>
      <w:r w:rsidRPr="00C04F45">
        <w:rPr>
          <w:b/>
          <w:sz w:val="24"/>
          <w:szCs w:val="24"/>
        </w:rPr>
        <w:lastRenderedPageBreak/>
        <w:t>1 Introdução</w:t>
      </w:r>
    </w:p>
    <w:p w:rsidR="000848D3" w:rsidRDefault="009011A4" w:rsidP="00910FB7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605DDB" w:rsidRPr="00605DDB">
        <w:rPr>
          <w:sz w:val="24"/>
          <w:szCs w:val="24"/>
        </w:rPr>
        <w:t xml:space="preserve"> água está ligada ao desenvolvimento de todas as sociedades e culturas, </w:t>
      </w:r>
      <w:r w:rsidR="00EB1D5C">
        <w:rPr>
          <w:sz w:val="24"/>
          <w:szCs w:val="24"/>
        </w:rPr>
        <w:t>por conseguinte</w:t>
      </w:r>
      <w:r w:rsidR="00605DDB" w:rsidRPr="00605DDB">
        <w:rPr>
          <w:sz w:val="24"/>
          <w:szCs w:val="24"/>
        </w:rPr>
        <w:t>, tem sua disponibilidade afetada pela poluição, uso agrícola e produção industrial</w:t>
      </w:r>
      <w:r w:rsidR="00EB1D5C">
        <w:rPr>
          <w:sz w:val="24"/>
          <w:szCs w:val="24"/>
        </w:rPr>
        <w:t>,</w:t>
      </w:r>
      <w:r w:rsidR="00EB1D5C" w:rsidRPr="00EB1D5C">
        <w:rPr>
          <w:sz w:val="24"/>
          <w:szCs w:val="24"/>
        </w:rPr>
        <w:t xml:space="preserve"> </w:t>
      </w:r>
      <w:r w:rsidR="00EB1D5C">
        <w:rPr>
          <w:sz w:val="24"/>
          <w:szCs w:val="24"/>
        </w:rPr>
        <w:t>sobrecarregando assim,</w:t>
      </w:r>
      <w:r w:rsidR="00EB1D5C" w:rsidRPr="00605DDB">
        <w:rPr>
          <w:sz w:val="24"/>
          <w:szCs w:val="24"/>
        </w:rPr>
        <w:t xml:space="preserve"> os r</w:t>
      </w:r>
      <w:r w:rsidR="00EB1D5C">
        <w:rPr>
          <w:sz w:val="24"/>
          <w:szCs w:val="24"/>
        </w:rPr>
        <w:t xml:space="preserve">ecursos hídricos disponíveis </w:t>
      </w:r>
      <w:r w:rsidR="00605DDB" w:rsidRPr="00605DDB">
        <w:rPr>
          <w:noProof/>
          <w:sz w:val="24"/>
          <w:szCs w:val="24"/>
        </w:rPr>
        <w:t>(</w:t>
      </w:r>
      <w:r w:rsidR="00605DDB" w:rsidRPr="001F2A06">
        <w:rPr>
          <w:i/>
          <w:noProof/>
          <w:sz w:val="24"/>
          <w:szCs w:val="24"/>
        </w:rPr>
        <w:t xml:space="preserve">United Nations World Water Assessment Programme - </w:t>
      </w:r>
      <w:r w:rsidR="00605DDB" w:rsidRPr="001F2A06">
        <w:rPr>
          <w:noProof/>
          <w:sz w:val="24"/>
          <w:szCs w:val="24"/>
        </w:rPr>
        <w:t>WWAP, 2015</w:t>
      </w:r>
      <w:r w:rsidR="00605DDB" w:rsidRPr="001F2A06">
        <w:rPr>
          <w:i/>
          <w:noProof/>
          <w:sz w:val="24"/>
          <w:szCs w:val="24"/>
        </w:rPr>
        <w:t>)</w:t>
      </w:r>
      <w:r w:rsidR="00605DD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EB1D5C">
        <w:rPr>
          <w:sz w:val="24"/>
          <w:szCs w:val="24"/>
        </w:rPr>
        <w:t>Sendo assim é necessário</w:t>
      </w:r>
      <w:r w:rsidRPr="009011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conhecer </w:t>
      </w:r>
      <w:r w:rsidRPr="009011A4">
        <w:rPr>
          <w:sz w:val="24"/>
          <w:szCs w:val="24"/>
        </w:rPr>
        <w:t>as demandas de uso e consumo nos diversos setores de produção e cultivos em geral</w:t>
      </w:r>
      <w:r w:rsidR="001A0F50">
        <w:rPr>
          <w:sz w:val="24"/>
          <w:szCs w:val="24"/>
        </w:rPr>
        <w:t xml:space="preserve"> e tratá</w:t>
      </w:r>
      <w:r w:rsidR="00044F79">
        <w:rPr>
          <w:sz w:val="24"/>
          <w:szCs w:val="24"/>
        </w:rPr>
        <w:t>-la como um bem econômico</w:t>
      </w:r>
      <w:r w:rsidR="00594D6B">
        <w:rPr>
          <w:sz w:val="24"/>
          <w:szCs w:val="24"/>
        </w:rPr>
        <w:t>,</w:t>
      </w:r>
      <w:r w:rsidR="001A0F50" w:rsidRPr="001A0F50">
        <w:rPr>
          <w:sz w:val="24"/>
          <w:szCs w:val="24"/>
        </w:rPr>
        <w:t xml:space="preserve"> </w:t>
      </w:r>
      <w:r w:rsidR="00044F79">
        <w:rPr>
          <w:sz w:val="24"/>
          <w:szCs w:val="24"/>
        </w:rPr>
        <w:t>possibilita</w:t>
      </w:r>
      <w:r w:rsidR="001A0F50">
        <w:rPr>
          <w:sz w:val="24"/>
          <w:szCs w:val="24"/>
        </w:rPr>
        <w:t>ndo desta forma,</w:t>
      </w:r>
      <w:r w:rsidR="00044F79">
        <w:rPr>
          <w:sz w:val="24"/>
          <w:szCs w:val="24"/>
        </w:rPr>
        <w:t xml:space="preserve"> o uso mais racional</w:t>
      </w:r>
      <w:r w:rsidR="000848D3">
        <w:rPr>
          <w:sz w:val="24"/>
          <w:szCs w:val="24"/>
        </w:rPr>
        <w:t xml:space="preserve"> e igualitário </w:t>
      </w:r>
      <w:r w:rsidR="000848D3" w:rsidRPr="009011A4">
        <w:rPr>
          <w:noProof/>
          <w:sz w:val="24"/>
          <w:szCs w:val="24"/>
        </w:rPr>
        <w:t>(Hoekstra &amp; Hung, 2002)</w:t>
      </w:r>
      <w:r w:rsidR="000848D3">
        <w:rPr>
          <w:sz w:val="24"/>
          <w:szCs w:val="24"/>
        </w:rPr>
        <w:t>.</w:t>
      </w:r>
    </w:p>
    <w:p w:rsidR="00563849" w:rsidRDefault="001A0F50" w:rsidP="00910FB7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No mundo, a</w:t>
      </w:r>
      <w:r w:rsidR="00594D6B" w:rsidRPr="00594D6B">
        <w:rPr>
          <w:sz w:val="24"/>
          <w:szCs w:val="24"/>
        </w:rPr>
        <w:t xml:space="preserve"> apropriação de recursos hídricos está distribuída entre 70% para a </w:t>
      </w:r>
      <w:r w:rsidR="00D521ED">
        <w:rPr>
          <w:sz w:val="24"/>
          <w:szCs w:val="24"/>
        </w:rPr>
        <w:t>agropecuária</w:t>
      </w:r>
      <w:r w:rsidR="00594D6B" w:rsidRPr="00594D6B">
        <w:rPr>
          <w:sz w:val="24"/>
          <w:szCs w:val="24"/>
        </w:rPr>
        <w:t>, 20% para a indústria e 10% para consumo doméstico</w:t>
      </w:r>
      <w:r w:rsidR="00594D6B">
        <w:rPr>
          <w:sz w:val="24"/>
          <w:szCs w:val="24"/>
        </w:rPr>
        <w:t xml:space="preserve"> </w:t>
      </w:r>
      <w:r w:rsidR="00594D6B" w:rsidRPr="00594D6B">
        <w:rPr>
          <w:noProof/>
          <w:sz w:val="24"/>
          <w:szCs w:val="24"/>
        </w:rPr>
        <w:t>(</w:t>
      </w:r>
      <w:r w:rsidR="00594D6B" w:rsidRPr="001F2A06">
        <w:rPr>
          <w:i/>
          <w:noProof/>
          <w:sz w:val="24"/>
          <w:szCs w:val="24"/>
        </w:rPr>
        <w:t>United</w:t>
      </w:r>
      <w:r w:rsidR="00594D6B" w:rsidRPr="00594D6B">
        <w:rPr>
          <w:noProof/>
          <w:sz w:val="24"/>
          <w:szCs w:val="24"/>
        </w:rPr>
        <w:t xml:space="preserve"> </w:t>
      </w:r>
      <w:r w:rsidR="00594D6B" w:rsidRPr="001F2A06">
        <w:rPr>
          <w:i/>
          <w:noProof/>
          <w:sz w:val="24"/>
          <w:szCs w:val="24"/>
        </w:rPr>
        <w:t>Nations World</w:t>
      </w:r>
      <w:r w:rsidR="00594D6B" w:rsidRPr="00594D6B">
        <w:rPr>
          <w:noProof/>
          <w:sz w:val="24"/>
          <w:szCs w:val="24"/>
        </w:rPr>
        <w:t xml:space="preserve"> </w:t>
      </w:r>
      <w:r w:rsidR="00594D6B" w:rsidRPr="001F2A06">
        <w:rPr>
          <w:i/>
          <w:noProof/>
          <w:sz w:val="24"/>
          <w:szCs w:val="24"/>
        </w:rPr>
        <w:t>Water Assessment Programme</w:t>
      </w:r>
      <w:r w:rsidR="00594D6B" w:rsidRPr="00594D6B">
        <w:rPr>
          <w:noProof/>
          <w:sz w:val="24"/>
          <w:szCs w:val="24"/>
        </w:rPr>
        <w:t xml:space="preserve"> - WWAP, 2014)</w:t>
      </w:r>
      <w:r w:rsidR="00594D6B">
        <w:rPr>
          <w:sz w:val="24"/>
          <w:szCs w:val="24"/>
        </w:rPr>
        <w:t>.</w:t>
      </w:r>
      <w:r w:rsidRPr="001A0F50">
        <w:rPr>
          <w:sz w:val="24"/>
          <w:szCs w:val="24"/>
        </w:rPr>
        <w:t xml:space="preserve"> </w:t>
      </w:r>
      <w:r>
        <w:rPr>
          <w:sz w:val="24"/>
          <w:szCs w:val="24"/>
        </w:rPr>
        <w:t>Neste sentido, foi criado o</w:t>
      </w:r>
      <w:r w:rsidRPr="009011A4">
        <w:rPr>
          <w:sz w:val="24"/>
          <w:szCs w:val="24"/>
        </w:rPr>
        <w:t xml:space="preserve"> conceito denominado de “pegada hídrica”</w:t>
      </w:r>
      <w:r>
        <w:rPr>
          <w:sz w:val="24"/>
          <w:szCs w:val="24"/>
        </w:rPr>
        <w:t xml:space="preserve"> - </w:t>
      </w:r>
      <w:r w:rsidRPr="009011A4">
        <w:rPr>
          <w:sz w:val="24"/>
          <w:szCs w:val="24"/>
        </w:rPr>
        <w:t>indica</w:t>
      </w:r>
      <w:r>
        <w:rPr>
          <w:sz w:val="24"/>
          <w:szCs w:val="24"/>
        </w:rPr>
        <w:t>dor</w:t>
      </w:r>
      <w:r w:rsidRPr="009011A4">
        <w:rPr>
          <w:sz w:val="24"/>
          <w:szCs w:val="24"/>
        </w:rPr>
        <w:t xml:space="preserve"> </w:t>
      </w:r>
      <w:r w:rsidRPr="0019170F">
        <w:rPr>
          <w:sz w:val="24"/>
          <w:szCs w:val="24"/>
        </w:rPr>
        <w:t xml:space="preserve">multidimensional </w:t>
      </w:r>
      <w:r>
        <w:rPr>
          <w:sz w:val="24"/>
          <w:szCs w:val="24"/>
        </w:rPr>
        <w:t>d</w:t>
      </w:r>
      <w:r w:rsidRPr="009011A4">
        <w:rPr>
          <w:sz w:val="24"/>
          <w:szCs w:val="24"/>
        </w:rPr>
        <w:t xml:space="preserve">o uso de </w:t>
      </w:r>
      <w:r>
        <w:rPr>
          <w:sz w:val="24"/>
          <w:szCs w:val="24"/>
        </w:rPr>
        <w:t xml:space="preserve">água para a produção dos bens e serviços </w:t>
      </w:r>
      <w:r w:rsidRPr="009011A4">
        <w:rPr>
          <w:noProof/>
          <w:sz w:val="24"/>
          <w:szCs w:val="24"/>
        </w:rPr>
        <w:t>(Hoekstra &amp; Hung, 2002)</w:t>
      </w:r>
      <w:r>
        <w:rPr>
          <w:sz w:val="24"/>
          <w:szCs w:val="24"/>
        </w:rPr>
        <w:t>.</w:t>
      </w:r>
    </w:p>
    <w:p w:rsidR="00A55C2D" w:rsidRDefault="009D3C39" w:rsidP="00910FB7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511FE7">
        <w:rPr>
          <w:sz w:val="24"/>
          <w:szCs w:val="24"/>
        </w:rPr>
        <w:t>O</w:t>
      </w:r>
      <w:r>
        <w:rPr>
          <w:sz w:val="24"/>
          <w:szCs w:val="24"/>
        </w:rPr>
        <w:t xml:space="preserve"> Brasil</w:t>
      </w:r>
      <w:r w:rsidR="001A0F50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511FE7">
        <w:rPr>
          <w:sz w:val="24"/>
          <w:szCs w:val="24"/>
        </w:rPr>
        <w:t xml:space="preserve">como grande exportador de </w:t>
      </w:r>
      <w:r w:rsidR="00511FE7" w:rsidRPr="00507C02">
        <w:rPr>
          <w:i/>
          <w:sz w:val="24"/>
          <w:szCs w:val="24"/>
        </w:rPr>
        <w:t>com</w:t>
      </w:r>
      <w:r w:rsidR="00507C02" w:rsidRPr="00507C02">
        <w:rPr>
          <w:i/>
          <w:sz w:val="24"/>
          <w:szCs w:val="24"/>
        </w:rPr>
        <w:t>m</w:t>
      </w:r>
      <w:r w:rsidR="00511FE7" w:rsidRPr="00507C02">
        <w:rPr>
          <w:i/>
          <w:sz w:val="24"/>
          <w:szCs w:val="24"/>
        </w:rPr>
        <w:t>odi</w:t>
      </w:r>
      <w:r w:rsidR="00507C02" w:rsidRPr="00507C02">
        <w:rPr>
          <w:i/>
          <w:sz w:val="24"/>
          <w:szCs w:val="24"/>
        </w:rPr>
        <w:t>t</w:t>
      </w:r>
      <w:r w:rsidR="00511FE7" w:rsidRPr="00507C02">
        <w:rPr>
          <w:i/>
          <w:sz w:val="24"/>
          <w:szCs w:val="24"/>
        </w:rPr>
        <w:t>ies</w:t>
      </w:r>
      <w:r w:rsidR="00511FE7">
        <w:rPr>
          <w:sz w:val="24"/>
          <w:szCs w:val="24"/>
        </w:rPr>
        <w:t xml:space="preserve"> agrícola</w:t>
      </w:r>
      <w:r w:rsidR="00507C02">
        <w:rPr>
          <w:sz w:val="24"/>
          <w:szCs w:val="24"/>
        </w:rPr>
        <w:t xml:space="preserve"> e derivados</w:t>
      </w:r>
      <w:r w:rsidR="00511FE7">
        <w:rPr>
          <w:sz w:val="24"/>
          <w:szCs w:val="24"/>
        </w:rPr>
        <w:t xml:space="preserve">, é também um </w:t>
      </w:r>
      <w:r w:rsidR="00FE0B6D">
        <w:rPr>
          <w:sz w:val="24"/>
          <w:szCs w:val="24"/>
        </w:rPr>
        <w:t xml:space="preserve">ilustre </w:t>
      </w:r>
      <w:r w:rsidR="00511FE7">
        <w:rPr>
          <w:sz w:val="24"/>
          <w:szCs w:val="24"/>
        </w:rPr>
        <w:t>exportador de água virtual</w:t>
      </w:r>
      <w:r w:rsidR="00507C02">
        <w:rPr>
          <w:sz w:val="24"/>
          <w:szCs w:val="24"/>
        </w:rPr>
        <w:t xml:space="preserve"> – água </w:t>
      </w:r>
      <w:r w:rsidR="00EB4DD7">
        <w:rPr>
          <w:sz w:val="24"/>
          <w:szCs w:val="24"/>
        </w:rPr>
        <w:t xml:space="preserve">embutida </w:t>
      </w:r>
      <w:r w:rsidR="00507C02">
        <w:rPr>
          <w:sz w:val="24"/>
          <w:szCs w:val="24"/>
        </w:rPr>
        <w:t>em um produto, não no sentido real, mas no sentido virtual, refere-se ao total de água necessário para produzir os produtos</w:t>
      </w:r>
      <w:r w:rsidR="00134CB7">
        <w:rPr>
          <w:sz w:val="24"/>
          <w:szCs w:val="24"/>
        </w:rPr>
        <w:t xml:space="preserve"> que são exportados e consumidos em outros lugares </w:t>
      </w:r>
      <w:r w:rsidR="00EB4DD7" w:rsidRPr="00EB4DD7">
        <w:rPr>
          <w:noProof/>
          <w:sz w:val="24"/>
          <w:szCs w:val="24"/>
        </w:rPr>
        <w:t>(Hoekstra, 2003; Hoekstra, Chapagain, Aldaya, &amp; Mekonnen, 2011)</w:t>
      </w:r>
      <w:r w:rsidR="00A55C2D">
        <w:rPr>
          <w:sz w:val="24"/>
          <w:szCs w:val="24"/>
        </w:rPr>
        <w:t>.</w:t>
      </w:r>
    </w:p>
    <w:p w:rsidR="00594D6B" w:rsidRDefault="00563849" w:rsidP="00910FB7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Assim</w:t>
      </w:r>
      <w:r w:rsidR="00A55C2D">
        <w:rPr>
          <w:sz w:val="24"/>
          <w:szCs w:val="24"/>
        </w:rPr>
        <w:t>,</w:t>
      </w:r>
      <w:r w:rsidR="00134CB7">
        <w:rPr>
          <w:sz w:val="24"/>
          <w:szCs w:val="24"/>
        </w:rPr>
        <w:t xml:space="preserve"> a água virtual é a mesma que a pegada hídrica, porém trata-se </w:t>
      </w:r>
      <w:r w:rsidR="00EB4DD7">
        <w:rPr>
          <w:sz w:val="24"/>
          <w:szCs w:val="24"/>
        </w:rPr>
        <w:t xml:space="preserve">somente do </w:t>
      </w:r>
      <w:r w:rsidR="00EB4DD7" w:rsidRPr="00A55C2D">
        <w:rPr>
          <w:sz w:val="24"/>
          <w:szCs w:val="24"/>
        </w:rPr>
        <w:t>volume de água dos</w:t>
      </w:r>
      <w:r w:rsidR="00134CB7" w:rsidRPr="00A55C2D">
        <w:rPr>
          <w:sz w:val="24"/>
          <w:szCs w:val="24"/>
        </w:rPr>
        <w:t xml:space="preserve"> produtos exportado</w:t>
      </w:r>
      <w:r w:rsidR="001A0F50">
        <w:rPr>
          <w:sz w:val="24"/>
          <w:szCs w:val="24"/>
        </w:rPr>
        <w:t>s</w:t>
      </w:r>
      <w:r w:rsidR="00134CB7" w:rsidRPr="00A55C2D">
        <w:rPr>
          <w:sz w:val="24"/>
          <w:szCs w:val="24"/>
        </w:rPr>
        <w:t xml:space="preserve">, </w:t>
      </w:r>
      <w:r w:rsidR="00A62197" w:rsidRPr="00A55C2D">
        <w:rPr>
          <w:sz w:val="24"/>
          <w:szCs w:val="24"/>
        </w:rPr>
        <w:t>desta forma,</w:t>
      </w:r>
      <w:r w:rsidR="002208DA" w:rsidRPr="00A55C2D">
        <w:rPr>
          <w:sz w:val="24"/>
          <w:szCs w:val="24"/>
        </w:rPr>
        <w:t xml:space="preserve"> </w:t>
      </w:r>
      <w:r w:rsidR="00D06C9A" w:rsidRPr="00A55C2D">
        <w:rPr>
          <w:sz w:val="24"/>
          <w:szCs w:val="24"/>
        </w:rPr>
        <w:t>ao exportar um produto</w:t>
      </w:r>
      <w:r w:rsidR="00A62197" w:rsidRPr="00A55C2D">
        <w:rPr>
          <w:sz w:val="24"/>
          <w:szCs w:val="24"/>
        </w:rPr>
        <w:t>, exporta-se a água que é</w:t>
      </w:r>
      <w:r w:rsidR="00D06C9A" w:rsidRPr="00A55C2D">
        <w:rPr>
          <w:sz w:val="24"/>
          <w:szCs w:val="24"/>
        </w:rPr>
        <w:t xml:space="preserve"> </w:t>
      </w:r>
      <w:r w:rsidR="00A62197" w:rsidRPr="00A55C2D">
        <w:rPr>
          <w:sz w:val="24"/>
          <w:szCs w:val="24"/>
        </w:rPr>
        <w:t>utilizada</w:t>
      </w:r>
      <w:r w:rsidR="00FE0B6D" w:rsidRPr="00A55C2D">
        <w:rPr>
          <w:sz w:val="24"/>
          <w:szCs w:val="24"/>
        </w:rPr>
        <w:t xml:space="preserve"> </w:t>
      </w:r>
      <w:r w:rsidR="001A0F50">
        <w:rPr>
          <w:sz w:val="24"/>
          <w:szCs w:val="24"/>
        </w:rPr>
        <w:t>na</w:t>
      </w:r>
      <w:r w:rsidR="00A62197" w:rsidRPr="00A55C2D">
        <w:rPr>
          <w:sz w:val="24"/>
          <w:szCs w:val="24"/>
        </w:rPr>
        <w:t xml:space="preserve"> produção</w:t>
      </w:r>
      <w:r w:rsidR="00A55C2D" w:rsidRPr="00A55C2D">
        <w:rPr>
          <w:sz w:val="24"/>
          <w:szCs w:val="24"/>
        </w:rPr>
        <w:t xml:space="preserve">, </w:t>
      </w:r>
      <w:r w:rsidR="001A0F50">
        <w:rPr>
          <w:sz w:val="24"/>
          <w:szCs w:val="24"/>
        </w:rPr>
        <w:t>denominada de água virtual</w:t>
      </w:r>
      <w:r w:rsidR="00A62197" w:rsidRPr="00A55C2D">
        <w:rPr>
          <w:sz w:val="24"/>
          <w:szCs w:val="24"/>
        </w:rPr>
        <w:t xml:space="preserve"> </w:t>
      </w:r>
      <w:r w:rsidR="00EB4DD7" w:rsidRPr="00A55C2D">
        <w:rPr>
          <w:noProof/>
          <w:sz w:val="24"/>
          <w:szCs w:val="24"/>
        </w:rPr>
        <w:t>(Bassi, 2016; Hoekstra et al., 2011)</w:t>
      </w:r>
      <w:r w:rsidR="00134CB7" w:rsidRPr="00A55C2D">
        <w:rPr>
          <w:sz w:val="24"/>
          <w:szCs w:val="24"/>
        </w:rPr>
        <w:t>.</w:t>
      </w:r>
      <w:r w:rsidR="00A55C2D" w:rsidRPr="00A55C2D">
        <w:rPr>
          <w:sz w:val="24"/>
          <w:szCs w:val="24"/>
        </w:rPr>
        <w:t xml:space="preserve"> </w:t>
      </w:r>
      <w:r w:rsidR="00F3743A">
        <w:rPr>
          <w:sz w:val="24"/>
          <w:szCs w:val="24"/>
        </w:rPr>
        <w:t>Neste</w:t>
      </w:r>
      <w:r w:rsidR="00113DAA" w:rsidRPr="00563849">
        <w:rPr>
          <w:sz w:val="24"/>
          <w:szCs w:val="24"/>
        </w:rPr>
        <w:t xml:space="preserve"> </w:t>
      </w:r>
      <w:r w:rsidR="00F3743A" w:rsidRPr="00563849">
        <w:rPr>
          <w:sz w:val="24"/>
          <w:szCs w:val="24"/>
        </w:rPr>
        <w:t>conjunto</w:t>
      </w:r>
      <w:r w:rsidR="00A55C2D" w:rsidRPr="00A55C2D">
        <w:rPr>
          <w:sz w:val="24"/>
          <w:szCs w:val="24"/>
        </w:rPr>
        <w:t>, a política, os mercados e os regulamentos internacionais influenciam indiretamente a forma como os recursos hídricos em d</w:t>
      </w:r>
      <w:r w:rsidR="001A0F50">
        <w:rPr>
          <w:sz w:val="24"/>
          <w:szCs w:val="24"/>
        </w:rPr>
        <w:t>iferentes lugares são alocados,</w:t>
      </w:r>
      <w:r w:rsidR="00A55C2D" w:rsidRPr="00A55C2D">
        <w:rPr>
          <w:sz w:val="24"/>
          <w:szCs w:val="24"/>
        </w:rPr>
        <w:t xml:space="preserve"> utilizados e quem finalmente se beneficia </w:t>
      </w:r>
      <w:r w:rsidR="00A55C2D" w:rsidRPr="00A55C2D">
        <w:rPr>
          <w:noProof/>
          <w:sz w:val="24"/>
          <w:szCs w:val="24"/>
        </w:rPr>
        <w:t>(Hoekstra, 2017)</w:t>
      </w:r>
      <w:r w:rsidR="00A55C2D" w:rsidRPr="00A55C2D">
        <w:rPr>
          <w:sz w:val="24"/>
          <w:szCs w:val="24"/>
        </w:rPr>
        <w:t>.</w:t>
      </w:r>
    </w:p>
    <w:p w:rsidR="00250DD3" w:rsidRDefault="001A0F50" w:rsidP="00910FB7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No ano de 2017 Mato Grosso foi</w:t>
      </w:r>
      <w:r w:rsidR="00C56C05">
        <w:rPr>
          <w:sz w:val="24"/>
          <w:szCs w:val="24"/>
        </w:rPr>
        <w:t xml:space="preserve"> responsável pela produção de 26,5% da soja; 30,1% do milho; 67,2% do algodão e de 16,7% </w:t>
      </w:r>
      <w:r w:rsidR="006D77E4">
        <w:rPr>
          <w:sz w:val="24"/>
          <w:szCs w:val="24"/>
        </w:rPr>
        <w:t>de carne bovina</w:t>
      </w:r>
      <w:r w:rsidR="008B7187">
        <w:rPr>
          <w:sz w:val="24"/>
          <w:szCs w:val="24"/>
        </w:rPr>
        <w:t xml:space="preserve"> </w:t>
      </w:r>
      <w:r w:rsidR="006D77E4" w:rsidRPr="006D77E4">
        <w:rPr>
          <w:noProof/>
          <w:sz w:val="24"/>
          <w:szCs w:val="24"/>
        </w:rPr>
        <w:t>(Instituto Brasileiro de Geografia e Estatística - IBGE, 2017, 2018)</w:t>
      </w:r>
      <w:r w:rsidR="00A55C2D">
        <w:rPr>
          <w:sz w:val="24"/>
          <w:szCs w:val="24"/>
        </w:rPr>
        <w:t>, é também</w:t>
      </w:r>
      <w:r w:rsidR="008B7187">
        <w:rPr>
          <w:sz w:val="24"/>
          <w:szCs w:val="24"/>
        </w:rPr>
        <w:t xml:space="preserve"> um grande exportador de </w:t>
      </w:r>
      <w:r w:rsidR="00C773BD">
        <w:rPr>
          <w:sz w:val="24"/>
          <w:szCs w:val="24"/>
        </w:rPr>
        <w:t>água, visto que para a produção é indispensável seu uso e</w:t>
      </w:r>
      <w:r w:rsidR="004179E8">
        <w:rPr>
          <w:sz w:val="24"/>
          <w:szCs w:val="24"/>
        </w:rPr>
        <w:t xml:space="preserve"> o principal destino dest</w:t>
      </w:r>
      <w:r w:rsidR="008B7187">
        <w:rPr>
          <w:sz w:val="24"/>
          <w:szCs w:val="24"/>
        </w:rPr>
        <w:t xml:space="preserve">a produção é o exterior, </w:t>
      </w:r>
      <w:r w:rsidR="004179E8">
        <w:rPr>
          <w:sz w:val="24"/>
          <w:szCs w:val="24"/>
        </w:rPr>
        <w:t>desta forma,</w:t>
      </w:r>
      <w:r w:rsidR="008B7187">
        <w:rPr>
          <w:sz w:val="24"/>
          <w:szCs w:val="24"/>
        </w:rPr>
        <w:t xml:space="preserve"> </w:t>
      </w:r>
      <w:r w:rsidR="00C773BD">
        <w:rPr>
          <w:sz w:val="24"/>
          <w:szCs w:val="24"/>
        </w:rPr>
        <w:t>o</w:t>
      </w:r>
      <w:r w:rsidR="004179E8">
        <w:rPr>
          <w:sz w:val="24"/>
          <w:szCs w:val="24"/>
        </w:rPr>
        <w:t>s</w:t>
      </w:r>
      <w:r w:rsidR="00C773BD">
        <w:rPr>
          <w:sz w:val="24"/>
          <w:szCs w:val="24"/>
        </w:rPr>
        <w:t xml:space="preserve"> custo</w:t>
      </w:r>
      <w:r w:rsidR="004179E8">
        <w:rPr>
          <w:sz w:val="24"/>
          <w:szCs w:val="24"/>
        </w:rPr>
        <w:t>s</w:t>
      </w:r>
      <w:r w:rsidR="00C773BD">
        <w:rPr>
          <w:sz w:val="24"/>
          <w:szCs w:val="24"/>
        </w:rPr>
        <w:t xml:space="preserve"> dos serviços hídricos</w:t>
      </w:r>
      <w:r w:rsidR="004179E8">
        <w:rPr>
          <w:sz w:val="24"/>
          <w:szCs w:val="24"/>
        </w:rPr>
        <w:t xml:space="preserve"> usados de forma gratuita no estado,</w:t>
      </w:r>
      <w:r w:rsidR="00C773BD">
        <w:rPr>
          <w:sz w:val="24"/>
          <w:szCs w:val="24"/>
        </w:rPr>
        <w:t xml:space="preserve"> </w:t>
      </w:r>
      <w:r w:rsidR="004179E8">
        <w:rPr>
          <w:sz w:val="24"/>
          <w:szCs w:val="24"/>
        </w:rPr>
        <w:t>são</w:t>
      </w:r>
      <w:r w:rsidR="00C773BD">
        <w:rPr>
          <w:sz w:val="24"/>
          <w:szCs w:val="24"/>
        </w:rPr>
        <w:t xml:space="preserve"> exógeno</w:t>
      </w:r>
      <w:r w:rsidR="004179E8">
        <w:rPr>
          <w:sz w:val="24"/>
          <w:szCs w:val="24"/>
        </w:rPr>
        <w:t>s</w:t>
      </w:r>
      <w:r w:rsidR="00C773BD">
        <w:rPr>
          <w:sz w:val="24"/>
          <w:szCs w:val="24"/>
        </w:rPr>
        <w:t xml:space="preserve"> aos países importadores</w:t>
      </w:r>
      <w:r w:rsidR="004179E8">
        <w:rPr>
          <w:sz w:val="24"/>
          <w:szCs w:val="24"/>
        </w:rPr>
        <w:t>, ficando no local produtivo somente o impacto ambiental</w:t>
      </w:r>
      <w:r w:rsidR="00250DD3">
        <w:rPr>
          <w:sz w:val="24"/>
          <w:szCs w:val="24"/>
        </w:rPr>
        <w:t>.</w:t>
      </w:r>
    </w:p>
    <w:p w:rsidR="00221D40" w:rsidRDefault="00206CC4" w:rsidP="00910FB7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Contudo</w:t>
      </w:r>
      <w:r w:rsidR="006D33F7">
        <w:rPr>
          <w:sz w:val="24"/>
          <w:szCs w:val="24"/>
        </w:rPr>
        <w:t>, a</w:t>
      </w:r>
      <w:r w:rsidR="00103445">
        <w:rPr>
          <w:sz w:val="24"/>
          <w:szCs w:val="24"/>
        </w:rPr>
        <w:t>pesar da relevância da água</w:t>
      </w:r>
      <w:r w:rsidR="00250DD3">
        <w:rPr>
          <w:sz w:val="24"/>
          <w:szCs w:val="24"/>
        </w:rPr>
        <w:t>,</w:t>
      </w:r>
      <w:r>
        <w:rPr>
          <w:sz w:val="24"/>
          <w:szCs w:val="24"/>
        </w:rPr>
        <w:t xml:space="preserve"> não é comum sua valor</w:t>
      </w:r>
      <w:r w:rsidR="00103445">
        <w:rPr>
          <w:sz w:val="24"/>
          <w:szCs w:val="24"/>
        </w:rPr>
        <w:t>ação</w:t>
      </w:r>
      <w:r w:rsidR="007F090E">
        <w:rPr>
          <w:sz w:val="24"/>
          <w:szCs w:val="24"/>
        </w:rPr>
        <w:t xml:space="preserve"> e </w:t>
      </w:r>
      <w:r w:rsidR="00910FB7">
        <w:rPr>
          <w:sz w:val="24"/>
          <w:szCs w:val="24"/>
        </w:rPr>
        <w:t>tão pouco</w:t>
      </w:r>
      <w:r w:rsidR="007F090E">
        <w:rPr>
          <w:sz w:val="24"/>
          <w:szCs w:val="24"/>
        </w:rPr>
        <w:t xml:space="preserve"> </w:t>
      </w:r>
      <w:r>
        <w:rPr>
          <w:sz w:val="24"/>
          <w:szCs w:val="24"/>
        </w:rPr>
        <w:t>a inclusão n</w:t>
      </w:r>
      <w:r w:rsidR="007F090E">
        <w:rPr>
          <w:sz w:val="24"/>
          <w:szCs w:val="24"/>
        </w:rPr>
        <w:t>o</w:t>
      </w:r>
      <w:r w:rsidR="00910FB7">
        <w:rPr>
          <w:sz w:val="24"/>
          <w:szCs w:val="24"/>
        </w:rPr>
        <w:t>s</w:t>
      </w:r>
      <w:r w:rsidR="007F090E">
        <w:rPr>
          <w:sz w:val="24"/>
          <w:szCs w:val="24"/>
        </w:rPr>
        <w:t xml:space="preserve"> custo</w:t>
      </w:r>
      <w:r w:rsidR="00910FB7">
        <w:rPr>
          <w:sz w:val="24"/>
          <w:szCs w:val="24"/>
        </w:rPr>
        <w:t>s</w:t>
      </w:r>
      <w:r w:rsidR="007F090E">
        <w:rPr>
          <w:sz w:val="24"/>
          <w:szCs w:val="24"/>
        </w:rPr>
        <w:t xml:space="preserve"> de produção</w:t>
      </w:r>
      <w:r w:rsidR="00250DD3">
        <w:rPr>
          <w:sz w:val="24"/>
          <w:szCs w:val="24"/>
        </w:rPr>
        <w:t xml:space="preserve">, sendo </w:t>
      </w:r>
      <w:r>
        <w:rPr>
          <w:sz w:val="24"/>
          <w:szCs w:val="24"/>
        </w:rPr>
        <w:t>assim, as regiões produtoras</w:t>
      </w:r>
      <w:r w:rsidR="00250DD3">
        <w:rPr>
          <w:sz w:val="24"/>
          <w:szCs w:val="24"/>
        </w:rPr>
        <w:t xml:space="preserve"> não recebe</w:t>
      </w:r>
      <w:r w:rsidR="00466FCC">
        <w:rPr>
          <w:sz w:val="24"/>
          <w:szCs w:val="24"/>
        </w:rPr>
        <w:t>m</w:t>
      </w:r>
      <w:r w:rsidR="00250DD3">
        <w:rPr>
          <w:sz w:val="24"/>
          <w:szCs w:val="24"/>
        </w:rPr>
        <w:t xml:space="preserve"> por esses custos ambientais</w:t>
      </w:r>
      <w:r w:rsidR="00187C5A">
        <w:rPr>
          <w:sz w:val="24"/>
          <w:szCs w:val="24"/>
        </w:rPr>
        <w:t xml:space="preserve"> e </w:t>
      </w:r>
      <w:r w:rsidR="00466FCC">
        <w:rPr>
          <w:sz w:val="24"/>
          <w:szCs w:val="24"/>
        </w:rPr>
        <w:t xml:space="preserve">têm que arcar com </w:t>
      </w:r>
      <w:r>
        <w:rPr>
          <w:sz w:val="24"/>
          <w:szCs w:val="24"/>
        </w:rPr>
        <w:t>tais custos</w:t>
      </w:r>
      <w:r w:rsidR="00466FCC">
        <w:rPr>
          <w:sz w:val="24"/>
          <w:szCs w:val="24"/>
        </w:rPr>
        <w:t xml:space="preserve"> </w:t>
      </w:r>
      <w:r w:rsidR="00466FCC" w:rsidRPr="00466FCC">
        <w:rPr>
          <w:sz w:val="24"/>
          <w:szCs w:val="24"/>
        </w:rPr>
        <w:t>endógeno</w:t>
      </w:r>
      <w:r>
        <w:rPr>
          <w:sz w:val="24"/>
          <w:szCs w:val="24"/>
        </w:rPr>
        <w:t>s</w:t>
      </w:r>
      <w:r w:rsidR="00466FCC">
        <w:rPr>
          <w:sz w:val="24"/>
          <w:szCs w:val="24"/>
        </w:rPr>
        <w:t xml:space="preserve"> sem nenhuma ou poucas </w:t>
      </w:r>
      <w:r w:rsidR="009A4AC6">
        <w:rPr>
          <w:sz w:val="24"/>
          <w:szCs w:val="24"/>
        </w:rPr>
        <w:t>compensações</w:t>
      </w:r>
      <w:r w:rsidR="00F16610">
        <w:rPr>
          <w:sz w:val="24"/>
          <w:szCs w:val="24"/>
        </w:rPr>
        <w:t>.</w:t>
      </w:r>
      <w:r w:rsidR="00250D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Exemplo disso, são as exportações, cujo o tributo </w:t>
      </w:r>
      <w:r w:rsidR="009F7E24">
        <w:rPr>
          <w:sz w:val="24"/>
          <w:szCs w:val="24"/>
        </w:rPr>
        <w:t xml:space="preserve">de competência dos estados como o Imposto </w:t>
      </w:r>
      <w:r w:rsidR="009F7E24" w:rsidRPr="009F7E24">
        <w:rPr>
          <w:sz w:val="24"/>
          <w:szCs w:val="24"/>
        </w:rPr>
        <w:t>Sobre Circulação de Mercadorias e Serviços</w:t>
      </w:r>
      <w:r w:rsidR="009F7E24">
        <w:rPr>
          <w:sz w:val="24"/>
          <w:szCs w:val="24"/>
        </w:rPr>
        <w:t xml:space="preserve"> (ICMS)</w:t>
      </w:r>
      <w:r w:rsidR="009A4AC6">
        <w:rPr>
          <w:sz w:val="24"/>
          <w:szCs w:val="24"/>
        </w:rPr>
        <w:t>,</w:t>
      </w:r>
      <w:r w:rsidR="009F7E24">
        <w:rPr>
          <w:sz w:val="24"/>
          <w:szCs w:val="24"/>
        </w:rPr>
        <w:t xml:space="preserve"> possui isenção</w:t>
      </w:r>
      <w:r>
        <w:rPr>
          <w:sz w:val="24"/>
          <w:szCs w:val="24"/>
        </w:rPr>
        <w:t xml:space="preserve"> </w:t>
      </w:r>
      <w:r w:rsidR="004F0535">
        <w:rPr>
          <w:sz w:val="24"/>
          <w:szCs w:val="24"/>
        </w:rPr>
        <w:t>prevista</w:t>
      </w:r>
      <w:r w:rsidR="009F7E24">
        <w:rPr>
          <w:sz w:val="24"/>
          <w:szCs w:val="24"/>
        </w:rPr>
        <w:t xml:space="preserve"> </w:t>
      </w:r>
      <w:r>
        <w:rPr>
          <w:sz w:val="24"/>
          <w:szCs w:val="24"/>
        </w:rPr>
        <w:t>na</w:t>
      </w:r>
      <w:r w:rsidR="009F7E24">
        <w:rPr>
          <w:sz w:val="24"/>
          <w:szCs w:val="24"/>
        </w:rPr>
        <w:t xml:space="preserve"> Constituição Federal de 1988 (</w:t>
      </w:r>
      <w:proofErr w:type="spellStart"/>
      <w:r w:rsidR="009F7E24">
        <w:rPr>
          <w:sz w:val="24"/>
          <w:szCs w:val="24"/>
        </w:rPr>
        <w:t>CF</w:t>
      </w:r>
      <w:proofErr w:type="spellEnd"/>
      <w:r w:rsidR="009F7E24">
        <w:rPr>
          <w:sz w:val="24"/>
          <w:szCs w:val="24"/>
        </w:rPr>
        <w:t>)</w:t>
      </w:r>
      <w:r w:rsidR="004F0535">
        <w:rPr>
          <w:sz w:val="24"/>
          <w:szCs w:val="24"/>
        </w:rPr>
        <w:t xml:space="preserve">. </w:t>
      </w:r>
      <w:r w:rsidR="004F0535">
        <w:rPr>
          <w:color w:val="000000"/>
          <w:sz w:val="24"/>
          <w:szCs w:val="24"/>
          <w:shd w:val="clear" w:color="auto" w:fill="FFFFFF"/>
        </w:rPr>
        <w:t>A regulamentação em âmbito federal, ocorreu através da Lei Complementar nº 87, de 13 de setembro de 1996, conhecida como lei Kandir.</w:t>
      </w:r>
    </w:p>
    <w:p w:rsidR="004F0535" w:rsidRDefault="004F0535" w:rsidP="00910FB7">
      <w:pPr>
        <w:widowControl w:val="0"/>
        <w:spacing w:before="120" w:after="120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Ta</w:t>
      </w:r>
      <w:r w:rsidR="00187C5A">
        <w:rPr>
          <w:color w:val="000000"/>
          <w:sz w:val="24"/>
          <w:szCs w:val="24"/>
          <w:shd w:val="clear" w:color="auto" w:fill="FFFFFF"/>
        </w:rPr>
        <w:t>is</w:t>
      </w:r>
      <w:r>
        <w:rPr>
          <w:color w:val="000000"/>
          <w:sz w:val="24"/>
          <w:szCs w:val="24"/>
          <w:shd w:val="clear" w:color="auto" w:fill="FFFFFF"/>
        </w:rPr>
        <w:t xml:space="preserve"> alterações realizadas na legislação do ICMS, acabou gerando redução da receita tributária do imposto e grandes perdas para entes da federação como os Estados e Municípios. O governo federal no intuito de preservar as finanças dos demais entes, estabeleceu uma compensação financeira aos Estados e Municípios</w:t>
      </w:r>
      <w:r w:rsidR="00F21D2A">
        <w:rPr>
          <w:color w:val="000000"/>
          <w:sz w:val="24"/>
          <w:szCs w:val="24"/>
          <w:shd w:val="clear" w:color="auto" w:fill="FFFFFF"/>
        </w:rPr>
        <w:t xml:space="preserve"> decorrente </w:t>
      </w:r>
      <w:r w:rsidR="00B65AA2">
        <w:rPr>
          <w:color w:val="000000"/>
          <w:sz w:val="24"/>
          <w:szCs w:val="24"/>
          <w:shd w:val="clear" w:color="auto" w:fill="FFFFFF"/>
        </w:rPr>
        <w:t>d</w:t>
      </w:r>
      <w:r w:rsidR="00F21D2A">
        <w:rPr>
          <w:color w:val="000000"/>
          <w:sz w:val="24"/>
          <w:szCs w:val="24"/>
          <w:shd w:val="clear" w:color="auto" w:fill="FFFFFF"/>
        </w:rPr>
        <w:t>a desoneração do ICMS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4F0535">
        <w:rPr>
          <w:noProof/>
          <w:color w:val="000000"/>
          <w:sz w:val="24"/>
          <w:szCs w:val="24"/>
          <w:shd w:val="clear" w:color="auto" w:fill="FFFFFF"/>
        </w:rPr>
        <w:t>(Brasil, 1996)</w:t>
      </w:r>
      <w:r>
        <w:rPr>
          <w:color w:val="000000"/>
          <w:sz w:val="24"/>
          <w:szCs w:val="24"/>
          <w:shd w:val="clear" w:color="auto" w:fill="FFFFFF"/>
        </w:rPr>
        <w:t>.</w:t>
      </w:r>
      <w:r w:rsidR="00B13EE9">
        <w:rPr>
          <w:color w:val="000000"/>
          <w:sz w:val="24"/>
          <w:szCs w:val="24"/>
          <w:shd w:val="clear" w:color="auto" w:fill="FFFFFF"/>
        </w:rPr>
        <w:t xml:space="preserve"> Dado a </w:t>
      </w:r>
      <w:r w:rsidR="00D17833">
        <w:rPr>
          <w:color w:val="000000"/>
          <w:sz w:val="24"/>
          <w:szCs w:val="24"/>
          <w:shd w:val="clear" w:color="auto" w:fill="FFFFFF"/>
        </w:rPr>
        <w:t xml:space="preserve">relevância </w:t>
      </w:r>
      <w:r w:rsidR="00B13EE9">
        <w:rPr>
          <w:color w:val="000000"/>
          <w:sz w:val="24"/>
          <w:szCs w:val="24"/>
          <w:shd w:val="clear" w:color="auto" w:fill="FFFFFF"/>
        </w:rPr>
        <w:t>da medida para economia brasileira,</w:t>
      </w:r>
      <w:r w:rsidR="00D17833">
        <w:rPr>
          <w:color w:val="000000"/>
          <w:sz w:val="24"/>
          <w:szCs w:val="24"/>
          <w:shd w:val="clear" w:color="auto" w:fill="FFFFFF"/>
        </w:rPr>
        <w:t xml:space="preserve"> principalmente para </w:t>
      </w:r>
      <w:r w:rsidR="00D17833" w:rsidRPr="00D17833">
        <w:rPr>
          <w:color w:val="000000"/>
          <w:sz w:val="24"/>
          <w:szCs w:val="24"/>
          <w:shd w:val="clear" w:color="auto" w:fill="FFFFFF"/>
        </w:rPr>
        <w:t xml:space="preserve">o país obter </w:t>
      </w:r>
      <w:r w:rsidR="00D17833" w:rsidRPr="00D17833">
        <w:rPr>
          <w:color w:val="000000"/>
          <w:sz w:val="24"/>
          <w:szCs w:val="24"/>
          <w:shd w:val="clear" w:color="auto" w:fill="FFFFFF"/>
        </w:rPr>
        <w:lastRenderedPageBreak/>
        <w:t>superávits comerciais</w:t>
      </w:r>
      <w:r w:rsidR="00D17833">
        <w:rPr>
          <w:color w:val="000000"/>
          <w:sz w:val="24"/>
          <w:szCs w:val="24"/>
          <w:shd w:val="clear" w:color="auto" w:fill="FFFFFF"/>
        </w:rPr>
        <w:t>,</w:t>
      </w:r>
      <w:r w:rsidR="00B13EE9">
        <w:rPr>
          <w:color w:val="000000"/>
          <w:sz w:val="24"/>
          <w:szCs w:val="24"/>
          <w:shd w:val="clear" w:color="auto" w:fill="FFFFFF"/>
        </w:rPr>
        <w:t xml:space="preserve"> </w:t>
      </w:r>
      <w:r w:rsidR="00235E88">
        <w:rPr>
          <w:color w:val="000000"/>
          <w:sz w:val="24"/>
          <w:szCs w:val="24"/>
          <w:shd w:val="clear" w:color="auto" w:fill="FFFFFF"/>
        </w:rPr>
        <w:t xml:space="preserve">em 2004 </w:t>
      </w:r>
      <w:r w:rsidR="00B13EE9">
        <w:rPr>
          <w:color w:val="000000"/>
          <w:sz w:val="24"/>
          <w:szCs w:val="24"/>
          <w:shd w:val="clear" w:color="auto" w:fill="FFFFFF"/>
        </w:rPr>
        <w:t>o Governo Federal criou uma nova medida de compensação</w:t>
      </w:r>
      <w:r w:rsidR="007F5521">
        <w:rPr>
          <w:color w:val="000000"/>
          <w:sz w:val="24"/>
          <w:szCs w:val="24"/>
          <w:shd w:val="clear" w:color="auto" w:fill="FFFFFF"/>
        </w:rPr>
        <w:t>,</w:t>
      </w:r>
      <w:r w:rsidR="00B13EE9">
        <w:rPr>
          <w:color w:val="000000"/>
          <w:sz w:val="24"/>
          <w:szCs w:val="24"/>
          <w:shd w:val="clear" w:color="auto" w:fill="FFFFFF"/>
        </w:rPr>
        <w:t xml:space="preserve"> denominada Auxílio Financeiro para Fomento das Exportações (</w:t>
      </w:r>
      <w:proofErr w:type="spellStart"/>
      <w:r w:rsidR="00B13EE9">
        <w:rPr>
          <w:color w:val="000000"/>
          <w:sz w:val="24"/>
          <w:szCs w:val="24"/>
          <w:shd w:val="clear" w:color="auto" w:fill="FFFFFF"/>
        </w:rPr>
        <w:t>FEX</w:t>
      </w:r>
      <w:proofErr w:type="spellEnd"/>
      <w:r w:rsidR="00B13EE9">
        <w:rPr>
          <w:color w:val="000000"/>
          <w:sz w:val="24"/>
          <w:szCs w:val="24"/>
          <w:shd w:val="clear" w:color="auto" w:fill="FFFFFF"/>
        </w:rPr>
        <w:t xml:space="preserve">) </w:t>
      </w:r>
      <w:r w:rsidR="00B13EE9" w:rsidRPr="00B13EE9">
        <w:rPr>
          <w:noProof/>
          <w:color w:val="000000"/>
          <w:sz w:val="24"/>
          <w:szCs w:val="24"/>
          <w:shd w:val="clear" w:color="auto" w:fill="FFFFFF"/>
        </w:rPr>
        <w:t>(Secretaria do Tesouro Nacional – STN, 2014a)</w:t>
      </w:r>
      <w:r w:rsidR="00D17833">
        <w:rPr>
          <w:color w:val="000000"/>
          <w:sz w:val="24"/>
          <w:szCs w:val="24"/>
          <w:shd w:val="clear" w:color="auto" w:fill="FFFFFF"/>
        </w:rPr>
        <w:t xml:space="preserve">. </w:t>
      </w:r>
      <w:r w:rsidR="00235E88">
        <w:rPr>
          <w:color w:val="000000"/>
          <w:sz w:val="24"/>
          <w:szCs w:val="24"/>
          <w:shd w:val="clear" w:color="auto" w:fill="FFFFFF"/>
        </w:rPr>
        <w:t xml:space="preserve">Desta forma, com base na Lei Kandir e no </w:t>
      </w:r>
      <w:proofErr w:type="spellStart"/>
      <w:r w:rsidR="00235E88">
        <w:rPr>
          <w:color w:val="000000"/>
          <w:sz w:val="24"/>
          <w:szCs w:val="24"/>
          <w:shd w:val="clear" w:color="auto" w:fill="FFFFFF"/>
        </w:rPr>
        <w:t>FEX</w:t>
      </w:r>
      <w:proofErr w:type="spellEnd"/>
      <w:r w:rsidR="00235E88">
        <w:rPr>
          <w:color w:val="000000"/>
          <w:sz w:val="24"/>
          <w:szCs w:val="24"/>
          <w:shd w:val="clear" w:color="auto" w:fill="FFFFFF"/>
        </w:rPr>
        <w:t>, o estado de Mato Grosso recebe dois repasses</w:t>
      </w:r>
      <w:r w:rsidR="00D17833">
        <w:rPr>
          <w:color w:val="000000"/>
          <w:sz w:val="24"/>
          <w:szCs w:val="24"/>
          <w:shd w:val="clear" w:color="auto" w:fill="FFFFFF"/>
        </w:rPr>
        <w:t xml:space="preserve"> </w:t>
      </w:r>
      <w:r w:rsidR="00235E88">
        <w:rPr>
          <w:color w:val="000000"/>
          <w:sz w:val="24"/>
          <w:szCs w:val="24"/>
          <w:shd w:val="clear" w:color="auto" w:fill="FFFFFF"/>
        </w:rPr>
        <w:t>federais</w:t>
      </w:r>
      <w:r w:rsidR="00D17833">
        <w:rPr>
          <w:color w:val="000000"/>
          <w:sz w:val="24"/>
          <w:szCs w:val="24"/>
          <w:shd w:val="clear" w:color="auto" w:fill="FFFFFF"/>
        </w:rPr>
        <w:t xml:space="preserve"> pelas exportações.</w:t>
      </w:r>
    </w:p>
    <w:p w:rsidR="00235E88" w:rsidRDefault="00D17833" w:rsidP="00DD4CE5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t>Neste contexto, o objetivo do estudo é c</w:t>
      </w:r>
      <w:r w:rsidR="0038759A" w:rsidRPr="00DD4CE5">
        <w:rPr>
          <w:sz w:val="24"/>
          <w:szCs w:val="24"/>
        </w:rPr>
        <w:t xml:space="preserve">omparar o custo da </w:t>
      </w:r>
      <w:r w:rsidR="002A54D9">
        <w:rPr>
          <w:sz w:val="24"/>
          <w:szCs w:val="24"/>
        </w:rPr>
        <w:t>Pegada Hídrica</w:t>
      </w:r>
      <w:r w:rsidR="00262C3A" w:rsidRPr="00A209EF">
        <w:rPr>
          <w:sz w:val="24"/>
          <w:szCs w:val="24"/>
        </w:rPr>
        <w:t xml:space="preserve"> Virtual</w:t>
      </w:r>
      <w:r w:rsidR="0038759A" w:rsidRPr="00DD4CE5">
        <w:rPr>
          <w:sz w:val="24"/>
          <w:szCs w:val="24"/>
        </w:rPr>
        <w:t xml:space="preserve"> das exportações mato-grossense</w:t>
      </w:r>
      <w:r w:rsidR="002A54D9">
        <w:rPr>
          <w:sz w:val="24"/>
          <w:szCs w:val="24"/>
        </w:rPr>
        <w:t>s</w:t>
      </w:r>
      <w:r w:rsidR="0038759A" w:rsidRPr="00DD4CE5">
        <w:rPr>
          <w:sz w:val="24"/>
          <w:szCs w:val="24"/>
        </w:rPr>
        <w:t xml:space="preserve"> com os repasses</w:t>
      </w:r>
      <w:r w:rsidR="00CD1C8A">
        <w:rPr>
          <w:sz w:val="24"/>
          <w:szCs w:val="24"/>
        </w:rPr>
        <w:t xml:space="preserve"> estabelecidos pela</w:t>
      </w:r>
      <w:r w:rsidR="0038759A" w:rsidRPr="00DD4CE5">
        <w:rPr>
          <w:sz w:val="24"/>
          <w:szCs w:val="24"/>
        </w:rPr>
        <w:t xml:space="preserve"> </w:t>
      </w:r>
      <w:r w:rsidR="002A54D9">
        <w:rPr>
          <w:sz w:val="24"/>
          <w:szCs w:val="24"/>
        </w:rPr>
        <w:t>Lei Kandir</w:t>
      </w:r>
      <w:r w:rsidR="00A209EF">
        <w:rPr>
          <w:sz w:val="24"/>
          <w:szCs w:val="24"/>
        </w:rPr>
        <w:t xml:space="preserve"> e </w:t>
      </w:r>
      <w:r w:rsidR="00CD1C8A">
        <w:rPr>
          <w:sz w:val="24"/>
          <w:szCs w:val="24"/>
        </w:rPr>
        <w:t xml:space="preserve">o </w:t>
      </w:r>
      <w:proofErr w:type="spellStart"/>
      <w:r w:rsidR="002A54D9">
        <w:rPr>
          <w:sz w:val="24"/>
          <w:szCs w:val="24"/>
        </w:rPr>
        <w:t>FEX</w:t>
      </w:r>
      <w:proofErr w:type="spellEnd"/>
      <w:r w:rsidR="006F1CA3" w:rsidRPr="006F1CA3">
        <w:rPr>
          <w:sz w:val="24"/>
          <w:szCs w:val="24"/>
        </w:rPr>
        <w:t xml:space="preserve"> </w:t>
      </w:r>
      <w:r w:rsidR="006F1CA3">
        <w:rPr>
          <w:sz w:val="24"/>
          <w:szCs w:val="24"/>
        </w:rPr>
        <w:t>recebidos pelo Estado e seus municípios</w:t>
      </w:r>
      <w:r w:rsidR="00A209EF">
        <w:rPr>
          <w:sz w:val="24"/>
          <w:szCs w:val="24"/>
        </w:rPr>
        <w:t>.</w:t>
      </w:r>
      <w:r w:rsidR="0038759A" w:rsidRPr="00DD4CE5">
        <w:rPr>
          <w:sz w:val="24"/>
          <w:szCs w:val="24"/>
        </w:rPr>
        <w:t xml:space="preserve"> </w:t>
      </w:r>
    </w:p>
    <w:p w:rsidR="0038759A" w:rsidRPr="00DD4CE5" w:rsidRDefault="007E7B27" w:rsidP="00DD4CE5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Justifica-se</w:t>
      </w:r>
      <w:r w:rsidR="00235E88">
        <w:rPr>
          <w:sz w:val="24"/>
          <w:szCs w:val="24"/>
        </w:rPr>
        <w:t xml:space="preserve"> o estudo</w:t>
      </w:r>
      <w:r w:rsidR="00B04AEC">
        <w:rPr>
          <w:sz w:val="24"/>
          <w:szCs w:val="24"/>
        </w:rPr>
        <w:t>,</w:t>
      </w:r>
      <w:r w:rsidR="00235E88">
        <w:rPr>
          <w:sz w:val="24"/>
          <w:szCs w:val="24"/>
        </w:rPr>
        <w:t xml:space="preserve"> em razão de que a</w:t>
      </w:r>
      <w:r w:rsidR="00235E88" w:rsidRPr="00235E88">
        <w:rPr>
          <w:sz w:val="24"/>
          <w:szCs w:val="24"/>
        </w:rPr>
        <w:t>o se valorar os serviços e desserviços ambientais, cria-se um valor de referência, deste modo, possibilita o desenvolvimento de políticas públicas que permitam a utilização racional e eficiente dos recursos ambientais, bem como subsidiam a preservação como incentivos a proteção ambiental, conscientizando os diversos usuários sobre o valor e importância da preservação dos recursos ambientais</w:t>
      </w:r>
      <w:r w:rsidR="00235E88">
        <w:rPr>
          <w:sz w:val="24"/>
          <w:szCs w:val="24"/>
        </w:rPr>
        <w:t xml:space="preserve"> </w:t>
      </w:r>
      <w:r w:rsidR="00235E88" w:rsidRPr="00235E88">
        <w:rPr>
          <w:noProof/>
          <w:sz w:val="24"/>
          <w:szCs w:val="24"/>
        </w:rPr>
        <w:t>(Silva, 2003)</w:t>
      </w:r>
      <w:r w:rsidR="00235E88">
        <w:rPr>
          <w:sz w:val="24"/>
          <w:szCs w:val="24"/>
        </w:rPr>
        <w:t xml:space="preserve">. </w:t>
      </w:r>
      <w:r w:rsidR="002514FF">
        <w:rPr>
          <w:sz w:val="24"/>
          <w:szCs w:val="24"/>
        </w:rPr>
        <w:t>A</w:t>
      </w:r>
      <w:r w:rsidR="00BA066A">
        <w:rPr>
          <w:sz w:val="24"/>
          <w:szCs w:val="24"/>
        </w:rPr>
        <w:t xml:space="preserve">ssim é necessário realizar um balanço entre os benefícios e custos, possibilitando </w:t>
      </w:r>
      <w:r w:rsidR="00F21D2A">
        <w:rPr>
          <w:sz w:val="24"/>
          <w:szCs w:val="24"/>
        </w:rPr>
        <w:t>desta forma</w:t>
      </w:r>
      <w:r w:rsidR="00BA066A">
        <w:rPr>
          <w:sz w:val="24"/>
          <w:szCs w:val="24"/>
        </w:rPr>
        <w:t xml:space="preserve"> uma maior conscientização e reflexão acerca dos serviços ambientais prestados aos sistemas de produção.</w:t>
      </w:r>
    </w:p>
    <w:p w:rsidR="00804571" w:rsidRDefault="00804571" w:rsidP="00590392">
      <w:pPr>
        <w:widowControl w:val="0"/>
        <w:spacing w:before="120"/>
        <w:rPr>
          <w:b/>
          <w:sz w:val="24"/>
          <w:szCs w:val="24"/>
        </w:rPr>
      </w:pPr>
      <w:r w:rsidRPr="00804571">
        <w:rPr>
          <w:b/>
          <w:sz w:val="24"/>
          <w:szCs w:val="24"/>
        </w:rPr>
        <w:t>2 Fundamentação Teórica</w:t>
      </w:r>
    </w:p>
    <w:p w:rsidR="00804571" w:rsidRPr="00804571" w:rsidRDefault="00804571" w:rsidP="00597900">
      <w:pPr>
        <w:widowControl w:val="0"/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2.1 Serviços e desserviços ambientais</w:t>
      </w:r>
    </w:p>
    <w:p w:rsidR="00FA1A65" w:rsidRDefault="00804571" w:rsidP="00816C4D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 w:rsidRPr="00804571">
        <w:rPr>
          <w:sz w:val="24"/>
          <w:szCs w:val="24"/>
        </w:rPr>
        <w:t>Serviços ambientais são as condições e os processos através dos quais os ecossistemas naturais e as espécies que os compõem, sustentam e realizam recursos que amparam os seres humanos em suas atividades cotidianas</w:t>
      </w:r>
      <w:r w:rsidR="009B7C79">
        <w:rPr>
          <w:sz w:val="24"/>
          <w:szCs w:val="24"/>
        </w:rPr>
        <w:t xml:space="preserve"> </w:t>
      </w:r>
      <w:r w:rsidR="00120553" w:rsidRPr="00120553">
        <w:rPr>
          <w:noProof/>
          <w:sz w:val="24"/>
          <w:szCs w:val="24"/>
        </w:rPr>
        <w:t xml:space="preserve">(Costanza et al., 1997; de Groot et al., 2012; </w:t>
      </w:r>
      <w:r w:rsidR="00120553" w:rsidRPr="001F2A06">
        <w:rPr>
          <w:i/>
          <w:noProof/>
          <w:sz w:val="24"/>
          <w:szCs w:val="24"/>
        </w:rPr>
        <w:t>Millennium Ecosystem Assessment</w:t>
      </w:r>
      <w:r w:rsidR="00120553" w:rsidRPr="00120553">
        <w:rPr>
          <w:noProof/>
          <w:sz w:val="24"/>
          <w:szCs w:val="24"/>
        </w:rPr>
        <w:t xml:space="preserve"> - MEA, 2003)</w:t>
      </w:r>
      <w:r w:rsidRPr="00804571">
        <w:rPr>
          <w:sz w:val="24"/>
          <w:szCs w:val="24"/>
        </w:rPr>
        <w:t>. Esses serviços são subdivididos de acordo com as funções que exercem nos ecossistemas ou forma de benefícios/apropriação fornecidos aos seres humanos (</w:t>
      </w:r>
      <w:r w:rsidRPr="00804571">
        <w:rPr>
          <w:sz w:val="24"/>
          <w:szCs w:val="24"/>
        </w:rPr>
        <w:fldChar w:fldCharType="begin"/>
      </w:r>
      <w:r w:rsidRPr="00804571">
        <w:rPr>
          <w:sz w:val="24"/>
          <w:szCs w:val="24"/>
        </w:rPr>
        <w:instrText xml:space="preserve"> REF _Ref507057295  \* MERGEFORMAT </w:instrText>
      </w:r>
      <w:r w:rsidRPr="00804571">
        <w:rPr>
          <w:sz w:val="24"/>
          <w:szCs w:val="24"/>
        </w:rPr>
        <w:fldChar w:fldCharType="separate"/>
      </w:r>
      <w:r w:rsidR="009D7C72" w:rsidRPr="009D7C72">
        <w:rPr>
          <w:sz w:val="24"/>
          <w:szCs w:val="24"/>
        </w:rPr>
        <w:t>Figura 1</w:t>
      </w:r>
      <w:r w:rsidRPr="00804571">
        <w:rPr>
          <w:sz w:val="24"/>
          <w:szCs w:val="24"/>
        </w:rPr>
        <w:fldChar w:fldCharType="end"/>
      </w:r>
      <w:r w:rsidRPr="00804571">
        <w:rPr>
          <w:sz w:val="24"/>
          <w:szCs w:val="24"/>
        </w:rPr>
        <w:t>).</w:t>
      </w:r>
    </w:p>
    <w:tbl>
      <w:tblPr>
        <w:tblW w:w="4927" w:type="pct"/>
        <w:tblCellMar>
          <w:top w:w="62" w:type="dxa"/>
          <w:left w:w="0" w:type="dxa"/>
          <w:right w:w="134" w:type="dxa"/>
        </w:tblCellMar>
        <w:tblLook w:val="04A0" w:firstRow="1" w:lastRow="0" w:firstColumn="1" w:lastColumn="0" w:noHBand="0" w:noVBand="1"/>
      </w:tblPr>
      <w:tblGrid>
        <w:gridCol w:w="2833"/>
        <w:gridCol w:w="3259"/>
        <w:gridCol w:w="2841"/>
      </w:tblGrid>
      <w:tr w:rsidR="00C551A1" w:rsidRPr="00F516DC" w:rsidTr="00C549F7">
        <w:trPr>
          <w:trHeight w:val="454"/>
        </w:trPr>
        <w:tc>
          <w:tcPr>
            <w:tcW w:w="1586" w:type="pct"/>
            <w:vMerge w:val="restart"/>
            <w:tcBorders>
              <w:right w:val="single" w:sz="48" w:space="0" w:color="FFFFFF"/>
            </w:tcBorders>
            <w:shd w:val="clear" w:color="auto" w:fill="D9D9D9" w:themeFill="background1" w:themeFillShade="D9"/>
            <w:vAlign w:val="center"/>
          </w:tcPr>
          <w:p w:rsidR="00804571" w:rsidRPr="00F516DC" w:rsidRDefault="00804571" w:rsidP="00B11A03">
            <w:pPr>
              <w:spacing w:after="183" w:line="259" w:lineRule="auto"/>
              <w:ind w:left="133"/>
              <w:jc w:val="center"/>
            </w:pPr>
            <w:r w:rsidRPr="00F516DC">
              <w:rPr>
                <w:b/>
              </w:rPr>
              <w:t xml:space="preserve">Serviços de suporte </w:t>
            </w:r>
          </w:p>
          <w:p w:rsidR="00804571" w:rsidRPr="00F516DC" w:rsidRDefault="00804571" w:rsidP="00B11A03">
            <w:pPr>
              <w:spacing w:after="198" w:line="243" w:lineRule="auto"/>
              <w:jc w:val="center"/>
            </w:pPr>
            <w:r w:rsidRPr="00F516DC">
              <w:t xml:space="preserve">Serviços necessários para manter os outros serviços ambientais </w:t>
            </w:r>
          </w:p>
          <w:p w:rsidR="00804571" w:rsidRPr="00F516DC" w:rsidRDefault="00804571" w:rsidP="00B11A03">
            <w:pPr>
              <w:numPr>
                <w:ilvl w:val="0"/>
                <w:numId w:val="5"/>
              </w:numPr>
              <w:suppressAutoHyphens w:val="0"/>
              <w:spacing w:after="45" w:line="259" w:lineRule="auto"/>
              <w:ind w:hanging="360"/>
            </w:pPr>
            <w:r w:rsidRPr="00F516DC">
              <w:t xml:space="preserve">Produção primária </w:t>
            </w:r>
          </w:p>
          <w:p w:rsidR="00804571" w:rsidRPr="00F516DC" w:rsidRDefault="00804571" w:rsidP="00B11A03">
            <w:pPr>
              <w:numPr>
                <w:ilvl w:val="0"/>
                <w:numId w:val="5"/>
              </w:numPr>
              <w:suppressAutoHyphens w:val="0"/>
              <w:spacing w:after="43" w:line="259" w:lineRule="auto"/>
              <w:ind w:hanging="360"/>
            </w:pPr>
            <w:r w:rsidRPr="00F516DC">
              <w:t xml:space="preserve">Ciclagem de nutriente </w:t>
            </w:r>
          </w:p>
          <w:p w:rsidR="00804571" w:rsidRPr="00F516DC" w:rsidRDefault="00804571" w:rsidP="00B11A03">
            <w:pPr>
              <w:numPr>
                <w:ilvl w:val="0"/>
                <w:numId w:val="5"/>
              </w:numPr>
              <w:suppressAutoHyphens w:val="0"/>
              <w:spacing w:line="259" w:lineRule="auto"/>
              <w:ind w:hanging="360"/>
            </w:pPr>
            <w:r w:rsidRPr="00F516DC">
              <w:t xml:space="preserve">Produção primária </w:t>
            </w:r>
          </w:p>
        </w:tc>
        <w:tc>
          <w:tcPr>
            <w:tcW w:w="3414" w:type="pct"/>
            <w:gridSpan w:val="2"/>
            <w:tcBorders>
              <w:left w:val="single" w:sz="48" w:space="0" w:color="FFFFFF"/>
            </w:tcBorders>
            <w:shd w:val="clear" w:color="auto" w:fill="D9D9D9" w:themeFill="background1" w:themeFillShade="D9"/>
          </w:tcPr>
          <w:p w:rsidR="00804571" w:rsidRPr="00F516DC" w:rsidRDefault="00804571" w:rsidP="00B11A03">
            <w:pPr>
              <w:ind w:left="45" w:right="11"/>
              <w:jc w:val="center"/>
              <w:rPr>
                <w:b/>
              </w:rPr>
            </w:pPr>
            <w:r w:rsidRPr="00F516DC">
              <w:rPr>
                <w:b/>
              </w:rPr>
              <w:t>Serviços de provisão</w:t>
            </w:r>
          </w:p>
          <w:p w:rsidR="00804571" w:rsidRPr="00F516DC" w:rsidRDefault="00804571" w:rsidP="00B11A03">
            <w:pPr>
              <w:ind w:left="45" w:right="11"/>
              <w:jc w:val="center"/>
            </w:pPr>
            <w:r w:rsidRPr="00F516DC">
              <w:t>Produtos obtidos dos ecossistemas</w:t>
            </w:r>
          </w:p>
        </w:tc>
      </w:tr>
      <w:tr w:rsidR="00C551A1" w:rsidRPr="00F516DC" w:rsidTr="00C549F7">
        <w:trPr>
          <w:trHeight w:val="840"/>
        </w:trPr>
        <w:tc>
          <w:tcPr>
            <w:tcW w:w="1586" w:type="pct"/>
            <w:vMerge/>
            <w:tcBorders>
              <w:right w:val="single" w:sz="48" w:space="0" w:color="FFFFFF"/>
            </w:tcBorders>
            <w:shd w:val="clear" w:color="auto" w:fill="D9D9D9" w:themeFill="background1" w:themeFillShade="D9"/>
          </w:tcPr>
          <w:p w:rsidR="00804571" w:rsidRPr="00F516DC" w:rsidRDefault="00804571" w:rsidP="00B11A03">
            <w:pPr>
              <w:spacing w:after="160" w:line="259" w:lineRule="auto"/>
            </w:pPr>
          </w:p>
        </w:tc>
        <w:tc>
          <w:tcPr>
            <w:tcW w:w="1824" w:type="pct"/>
            <w:tcBorders>
              <w:left w:val="single" w:sz="48" w:space="0" w:color="FFFFFF"/>
              <w:bottom w:val="single" w:sz="48" w:space="0" w:color="FFFFFF"/>
            </w:tcBorders>
            <w:shd w:val="clear" w:color="auto" w:fill="D9D9D9" w:themeFill="background1" w:themeFillShade="D9"/>
          </w:tcPr>
          <w:p w:rsidR="00804571" w:rsidRPr="00F516DC" w:rsidRDefault="00804571" w:rsidP="00B11A03">
            <w:pPr>
              <w:numPr>
                <w:ilvl w:val="0"/>
                <w:numId w:val="6"/>
              </w:numPr>
              <w:suppressAutoHyphens w:val="0"/>
              <w:spacing w:line="259" w:lineRule="auto"/>
              <w:ind w:hanging="355"/>
            </w:pPr>
            <w:r w:rsidRPr="00F516DC">
              <w:t xml:space="preserve">Comida </w:t>
            </w:r>
          </w:p>
          <w:p w:rsidR="00804571" w:rsidRPr="00F516DC" w:rsidRDefault="00804571" w:rsidP="00B11A03">
            <w:pPr>
              <w:numPr>
                <w:ilvl w:val="0"/>
                <w:numId w:val="6"/>
              </w:numPr>
              <w:suppressAutoHyphens w:val="0"/>
              <w:spacing w:line="259" w:lineRule="auto"/>
              <w:ind w:hanging="355"/>
            </w:pPr>
            <w:r w:rsidRPr="00F516DC">
              <w:t xml:space="preserve">Água fresca </w:t>
            </w:r>
          </w:p>
          <w:p w:rsidR="00804571" w:rsidRPr="00F516DC" w:rsidRDefault="00804571" w:rsidP="00B11A03">
            <w:pPr>
              <w:numPr>
                <w:ilvl w:val="0"/>
                <w:numId w:val="6"/>
              </w:numPr>
              <w:suppressAutoHyphens w:val="0"/>
              <w:spacing w:line="259" w:lineRule="auto"/>
              <w:ind w:hanging="355"/>
            </w:pPr>
            <w:r w:rsidRPr="00F516DC">
              <w:t>Combustível</w:t>
            </w:r>
            <w:r w:rsidRPr="00F516DC">
              <w:rPr>
                <w:b/>
              </w:rPr>
              <w:t xml:space="preserve"> </w:t>
            </w:r>
          </w:p>
        </w:tc>
        <w:tc>
          <w:tcPr>
            <w:tcW w:w="1591" w:type="pct"/>
            <w:tcBorders>
              <w:bottom w:val="single" w:sz="48" w:space="0" w:color="FFFFFF"/>
            </w:tcBorders>
            <w:shd w:val="clear" w:color="auto" w:fill="D9D9D9" w:themeFill="background1" w:themeFillShade="D9"/>
          </w:tcPr>
          <w:p w:rsidR="00804571" w:rsidRPr="00F516DC" w:rsidRDefault="00804571" w:rsidP="00B11A03">
            <w:pPr>
              <w:numPr>
                <w:ilvl w:val="0"/>
                <w:numId w:val="6"/>
              </w:numPr>
              <w:suppressAutoHyphens w:val="0"/>
              <w:spacing w:line="259" w:lineRule="auto"/>
              <w:ind w:hanging="355"/>
            </w:pPr>
            <w:r w:rsidRPr="00F516DC">
              <w:t xml:space="preserve">Fibra </w:t>
            </w:r>
          </w:p>
          <w:p w:rsidR="00804571" w:rsidRPr="00F516DC" w:rsidRDefault="00804571" w:rsidP="00B11A03">
            <w:pPr>
              <w:numPr>
                <w:ilvl w:val="0"/>
                <w:numId w:val="6"/>
              </w:numPr>
              <w:suppressAutoHyphens w:val="0"/>
              <w:spacing w:line="259" w:lineRule="auto"/>
              <w:ind w:hanging="355"/>
            </w:pPr>
            <w:r w:rsidRPr="00F516DC">
              <w:t xml:space="preserve">Bioquímicos </w:t>
            </w:r>
          </w:p>
          <w:p w:rsidR="00804571" w:rsidRPr="00F516DC" w:rsidRDefault="00804571" w:rsidP="00B11A03">
            <w:pPr>
              <w:numPr>
                <w:ilvl w:val="0"/>
                <w:numId w:val="6"/>
              </w:numPr>
              <w:suppressAutoHyphens w:val="0"/>
              <w:spacing w:line="259" w:lineRule="auto"/>
              <w:ind w:hanging="355"/>
            </w:pPr>
            <w:r w:rsidRPr="00F516DC">
              <w:t>Recursos genéticos</w:t>
            </w:r>
          </w:p>
          <w:p w:rsidR="00804571" w:rsidRPr="00F516DC" w:rsidRDefault="00804571" w:rsidP="00B11A03">
            <w:pPr>
              <w:spacing w:line="259" w:lineRule="auto"/>
              <w:ind w:left="914"/>
            </w:pPr>
            <w:r w:rsidRPr="00F516DC">
              <w:t>...</w:t>
            </w:r>
            <w:r w:rsidRPr="00F516DC">
              <w:rPr>
                <w:b/>
              </w:rPr>
              <w:t xml:space="preserve"> </w:t>
            </w:r>
          </w:p>
        </w:tc>
      </w:tr>
      <w:tr w:rsidR="00C551A1" w:rsidRPr="00F516DC" w:rsidTr="00C549F7">
        <w:trPr>
          <w:trHeight w:val="397"/>
        </w:trPr>
        <w:tc>
          <w:tcPr>
            <w:tcW w:w="1586" w:type="pct"/>
            <w:vMerge/>
            <w:tcBorders>
              <w:right w:val="single" w:sz="48" w:space="0" w:color="FFFFFF"/>
            </w:tcBorders>
            <w:shd w:val="clear" w:color="auto" w:fill="D9D9D9" w:themeFill="background1" w:themeFillShade="D9"/>
          </w:tcPr>
          <w:p w:rsidR="00804571" w:rsidRPr="00F516DC" w:rsidRDefault="00804571" w:rsidP="00B11A03">
            <w:pPr>
              <w:spacing w:after="160" w:line="259" w:lineRule="auto"/>
            </w:pPr>
          </w:p>
        </w:tc>
        <w:tc>
          <w:tcPr>
            <w:tcW w:w="3414" w:type="pct"/>
            <w:gridSpan w:val="2"/>
            <w:tcBorders>
              <w:left w:val="single" w:sz="48" w:space="0" w:color="FFFFFF"/>
            </w:tcBorders>
            <w:shd w:val="clear" w:color="auto" w:fill="D9D9D9" w:themeFill="background1" w:themeFillShade="D9"/>
            <w:vAlign w:val="center"/>
          </w:tcPr>
          <w:p w:rsidR="00804571" w:rsidRPr="00F516DC" w:rsidRDefault="00804571" w:rsidP="00B11A03">
            <w:pPr>
              <w:ind w:left="45" w:right="11"/>
              <w:jc w:val="center"/>
              <w:rPr>
                <w:b/>
              </w:rPr>
            </w:pPr>
            <w:r w:rsidRPr="00F516DC">
              <w:rPr>
                <w:b/>
              </w:rPr>
              <w:t xml:space="preserve">Serviços de regulação </w:t>
            </w:r>
          </w:p>
          <w:p w:rsidR="00804571" w:rsidRPr="00F516DC" w:rsidRDefault="00804571" w:rsidP="00B11A03">
            <w:pPr>
              <w:ind w:left="45" w:right="11"/>
              <w:jc w:val="center"/>
            </w:pPr>
            <w:r w:rsidRPr="00F516DC">
              <w:t xml:space="preserve">Benefícios obtidos com a regulação dos processos ecossistêmicos </w:t>
            </w:r>
          </w:p>
        </w:tc>
      </w:tr>
      <w:tr w:rsidR="00C551A1" w:rsidRPr="00F516DC" w:rsidTr="00C549F7">
        <w:trPr>
          <w:trHeight w:val="906"/>
        </w:trPr>
        <w:tc>
          <w:tcPr>
            <w:tcW w:w="1586" w:type="pct"/>
            <w:vMerge/>
            <w:tcBorders>
              <w:right w:val="single" w:sz="48" w:space="0" w:color="FFFFFF"/>
            </w:tcBorders>
            <w:shd w:val="clear" w:color="auto" w:fill="D9D9D9" w:themeFill="background1" w:themeFillShade="D9"/>
            <w:vAlign w:val="center"/>
          </w:tcPr>
          <w:p w:rsidR="00804571" w:rsidRPr="00F516DC" w:rsidRDefault="00804571" w:rsidP="00B11A03">
            <w:pPr>
              <w:spacing w:after="160" w:line="259" w:lineRule="auto"/>
            </w:pPr>
          </w:p>
        </w:tc>
        <w:tc>
          <w:tcPr>
            <w:tcW w:w="1824" w:type="pct"/>
            <w:tcBorders>
              <w:left w:val="single" w:sz="48" w:space="0" w:color="FFFFFF"/>
              <w:bottom w:val="single" w:sz="48" w:space="0" w:color="FFFFFF"/>
            </w:tcBorders>
            <w:shd w:val="clear" w:color="auto" w:fill="D9D9D9" w:themeFill="background1" w:themeFillShade="D9"/>
          </w:tcPr>
          <w:p w:rsidR="00804571" w:rsidRPr="00F516DC" w:rsidRDefault="00804571" w:rsidP="00B11A03">
            <w:pPr>
              <w:numPr>
                <w:ilvl w:val="0"/>
                <w:numId w:val="6"/>
              </w:numPr>
              <w:suppressAutoHyphens w:val="0"/>
              <w:spacing w:line="259" w:lineRule="auto"/>
              <w:ind w:hanging="355"/>
            </w:pPr>
            <w:r w:rsidRPr="00F516DC">
              <w:t xml:space="preserve">Purificação do ar </w:t>
            </w:r>
          </w:p>
          <w:p w:rsidR="00804571" w:rsidRPr="00F516DC" w:rsidRDefault="00804571" w:rsidP="00B11A03">
            <w:pPr>
              <w:numPr>
                <w:ilvl w:val="0"/>
                <w:numId w:val="6"/>
              </w:numPr>
              <w:suppressAutoHyphens w:val="0"/>
              <w:spacing w:line="259" w:lineRule="auto"/>
              <w:ind w:hanging="355"/>
            </w:pPr>
            <w:r w:rsidRPr="00F516DC">
              <w:t xml:space="preserve">Purificação da água </w:t>
            </w:r>
          </w:p>
          <w:p w:rsidR="00804571" w:rsidRPr="00F516DC" w:rsidRDefault="00804571" w:rsidP="00B11A03">
            <w:pPr>
              <w:numPr>
                <w:ilvl w:val="0"/>
                <w:numId w:val="6"/>
              </w:numPr>
              <w:suppressAutoHyphens w:val="0"/>
              <w:spacing w:line="259" w:lineRule="auto"/>
              <w:ind w:hanging="355"/>
            </w:pPr>
            <w:r w:rsidRPr="00F516DC">
              <w:t>Regulação climática</w:t>
            </w:r>
            <w:r w:rsidRPr="00F516DC">
              <w:rPr>
                <w:b/>
              </w:rPr>
              <w:t xml:space="preserve"> </w:t>
            </w:r>
          </w:p>
        </w:tc>
        <w:tc>
          <w:tcPr>
            <w:tcW w:w="1591" w:type="pct"/>
            <w:tcBorders>
              <w:bottom w:val="single" w:sz="48" w:space="0" w:color="FFFFFF"/>
            </w:tcBorders>
            <w:shd w:val="clear" w:color="auto" w:fill="D9D9D9" w:themeFill="background1" w:themeFillShade="D9"/>
          </w:tcPr>
          <w:p w:rsidR="00804571" w:rsidRPr="00F516DC" w:rsidRDefault="00804571" w:rsidP="00B11A03">
            <w:pPr>
              <w:numPr>
                <w:ilvl w:val="0"/>
                <w:numId w:val="6"/>
              </w:numPr>
              <w:suppressAutoHyphens w:val="0"/>
              <w:spacing w:line="259" w:lineRule="auto"/>
              <w:ind w:hanging="355"/>
            </w:pPr>
            <w:r w:rsidRPr="00F516DC">
              <w:t xml:space="preserve">Controle da erosão </w:t>
            </w:r>
          </w:p>
          <w:p w:rsidR="00804571" w:rsidRPr="00F516DC" w:rsidRDefault="00804571" w:rsidP="00B11A03">
            <w:pPr>
              <w:numPr>
                <w:ilvl w:val="0"/>
                <w:numId w:val="6"/>
              </w:numPr>
              <w:suppressAutoHyphens w:val="0"/>
              <w:spacing w:line="259" w:lineRule="auto"/>
              <w:ind w:hanging="355"/>
            </w:pPr>
            <w:r w:rsidRPr="00F516DC">
              <w:t xml:space="preserve">Controle biológico </w:t>
            </w:r>
          </w:p>
          <w:p w:rsidR="00804571" w:rsidRPr="00F516DC" w:rsidRDefault="00804571" w:rsidP="00B11A03">
            <w:pPr>
              <w:numPr>
                <w:ilvl w:val="0"/>
                <w:numId w:val="6"/>
              </w:numPr>
              <w:suppressAutoHyphens w:val="0"/>
              <w:spacing w:line="259" w:lineRule="auto"/>
              <w:ind w:hanging="355"/>
            </w:pPr>
            <w:r w:rsidRPr="00F516DC">
              <w:t>Polinização</w:t>
            </w:r>
          </w:p>
          <w:p w:rsidR="00804571" w:rsidRPr="00F516DC" w:rsidRDefault="00804571" w:rsidP="00B11A03">
            <w:pPr>
              <w:spacing w:line="259" w:lineRule="auto"/>
              <w:ind w:left="914"/>
            </w:pPr>
            <w:r w:rsidRPr="00F516DC">
              <w:t xml:space="preserve">... </w:t>
            </w:r>
          </w:p>
        </w:tc>
      </w:tr>
      <w:tr w:rsidR="00C551A1" w:rsidRPr="00F516DC" w:rsidTr="00C549F7">
        <w:trPr>
          <w:trHeight w:val="397"/>
        </w:trPr>
        <w:tc>
          <w:tcPr>
            <w:tcW w:w="1586" w:type="pct"/>
            <w:vMerge/>
            <w:tcBorders>
              <w:right w:val="single" w:sz="48" w:space="0" w:color="FFFFFF"/>
            </w:tcBorders>
            <w:shd w:val="clear" w:color="auto" w:fill="D9D9D9" w:themeFill="background1" w:themeFillShade="D9"/>
          </w:tcPr>
          <w:p w:rsidR="00804571" w:rsidRPr="00F516DC" w:rsidRDefault="00804571" w:rsidP="00B11A03">
            <w:pPr>
              <w:spacing w:after="160" w:line="259" w:lineRule="auto"/>
            </w:pPr>
          </w:p>
        </w:tc>
        <w:tc>
          <w:tcPr>
            <w:tcW w:w="3414" w:type="pct"/>
            <w:gridSpan w:val="2"/>
            <w:tcBorders>
              <w:left w:val="single" w:sz="48" w:space="0" w:color="FFFFFF"/>
            </w:tcBorders>
            <w:shd w:val="clear" w:color="auto" w:fill="D9D9D9" w:themeFill="background1" w:themeFillShade="D9"/>
          </w:tcPr>
          <w:p w:rsidR="00804571" w:rsidRPr="00F516DC" w:rsidRDefault="00804571" w:rsidP="00B11A03">
            <w:pPr>
              <w:ind w:left="45" w:right="11"/>
              <w:jc w:val="center"/>
            </w:pPr>
            <w:r w:rsidRPr="00F516DC">
              <w:rPr>
                <w:b/>
              </w:rPr>
              <w:t>Serviços culturais</w:t>
            </w:r>
          </w:p>
          <w:p w:rsidR="00804571" w:rsidRPr="00F516DC" w:rsidRDefault="00804571" w:rsidP="00B11A03">
            <w:pPr>
              <w:ind w:left="45" w:right="11"/>
              <w:jc w:val="center"/>
            </w:pPr>
            <w:r w:rsidRPr="00F516DC">
              <w:t>Benefícios não materiais obtidos dos ecossistemas</w:t>
            </w:r>
          </w:p>
        </w:tc>
      </w:tr>
      <w:tr w:rsidR="00C551A1" w:rsidRPr="00F516DC" w:rsidTr="00C549F7">
        <w:trPr>
          <w:trHeight w:val="1114"/>
        </w:trPr>
        <w:tc>
          <w:tcPr>
            <w:tcW w:w="1586" w:type="pct"/>
            <w:vMerge/>
            <w:tcBorders>
              <w:right w:val="single" w:sz="48" w:space="0" w:color="FFFFFF"/>
            </w:tcBorders>
            <w:shd w:val="clear" w:color="auto" w:fill="D9D9D9" w:themeFill="background1" w:themeFillShade="D9"/>
          </w:tcPr>
          <w:p w:rsidR="00804571" w:rsidRPr="00F516DC" w:rsidRDefault="00804571" w:rsidP="00B11A03">
            <w:pPr>
              <w:spacing w:after="160" w:line="259" w:lineRule="auto"/>
            </w:pPr>
          </w:p>
        </w:tc>
        <w:tc>
          <w:tcPr>
            <w:tcW w:w="1824" w:type="pct"/>
            <w:tcBorders>
              <w:left w:val="single" w:sz="48" w:space="0" w:color="FFFFFF"/>
            </w:tcBorders>
            <w:shd w:val="clear" w:color="auto" w:fill="D9D9D9" w:themeFill="background1" w:themeFillShade="D9"/>
          </w:tcPr>
          <w:p w:rsidR="00804571" w:rsidRPr="00F516DC" w:rsidRDefault="00804571" w:rsidP="00B11A03">
            <w:pPr>
              <w:numPr>
                <w:ilvl w:val="0"/>
                <w:numId w:val="6"/>
              </w:numPr>
              <w:suppressAutoHyphens w:val="0"/>
              <w:spacing w:line="259" w:lineRule="auto"/>
              <w:ind w:hanging="355"/>
            </w:pPr>
            <w:r w:rsidRPr="00F516DC">
              <w:t>Diversidade cultural</w:t>
            </w:r>
          </w:p>
          <w:p w:rsidR="00804571" w:rsidRPr="00F516DC" w:rsidRDefault="00804571" w:rsidP="00B11A03">
            <w:pPr>
              <w:numPr>
                <w:ilvl w:val="0"/>
                <w:numId w:val="6"/>
              </w:numPr>
              <w:suppressAutoHyphens w:val="0"/>
              <w:spacing w:line="259" w:lineRule="auto"/>
              <w:ind w:hanging="355"/>
            </w:pPr>
            <w:r w:rsidRPr="00F516DC">
              <w:t xml:space="preserve">Valores Espirituais e religiosos </w:t>
            </w:r>
          </w:p>
          <w:p w:rsidR="00804571" w:rsidRPr="00F516DC" w:rsidRDefault="00804571" w:rsidP="00B11A03">
            <w:pPr>
              <w:numPr>
                <w:ilvl w:val="0"/>
                <w:numId w:val="6"/>
              </w:numPr>
              <w:suppressAutoHyphens w:val="0"/>
              <w:spacing w:line="259" w:lineRule="auto"/>
              <w:ind w:hanging="355"/>
            </w:pPr>
            <w:r w:rsidRPr="00F516DC">
              <w:t>Recreação e ecoturismo</w:t>
            </w:r>
            <w:r w:rsidRPr="00F516DC">
              <w:rPr>
                <w:b/>
              </w:rPr>
              <w:t xml:space="preserve"> </w:t>
            </w:r>
          </w:p>
        </w:tc>
        <w:tc>
          <w:tcPr>
            <w:tcW w:w="1591" w:type="pct"/>
            <w:shd w:val="clear" w:color="auto" w:fill="D9D9D9" w:themeFill="background1" w:themeFillShade="D9"/>
          </w:tcPr>
          <w:p w:rsidR="00804571" w:rsidRPr="00F516DC" w:rsidRDefault="00804571" w:rsidP="00B11A03">
            <w:pPr>
              <w:numPr>
                <w:ilvl w:val="0"/>
                <w:numId w:val="6"/>
              </w:numPr>
              <w:suppressAutoHyphens w:val="0"/>
              <w:spacing w:line="259" w:lineRule="auto"/>
              <w:ind w:hanging="355"/>
            </w:pPr>
            <w:r w:rsidRPr="00F516DC">
              <w:t xml:space="preserve">Estético </w:t>
            </w:r>
          </w:p>
          <w:p w:rsidR="00804571" w:rsidRPr="00F516DC" w:rsidRDefault="00804571" w:rsidP="00B11A03">
            <w:pPr>
              <w:numPr>
                <w:ilvl w:val="0"/>
                <w:numId w:val="6"/>
              </w:numPr>
              <w:suppressAutoHyphens w:val="0"/>
              <w:spacing w:line="259" w:lineRule="auto"/>
              <w:ind w:hanging="355"/>
            </w:pPr>
            <w:r w:rsidRPr="00F516DC">
              <w:t xml:space="preserve">Inspirador </w:t>
            </w:r>
          </w:p>
          <w:p w:rsidR="00804571" w:rsidRPr="00F516DC" w:rsidRDefault="00804571" w:rsidP="00B11A03">
            <w:pPr>
              <w:numPr>
                <w:ilvl w:val="0"/>
                <w:numId w:val="6"/>
              </w:numPr>
              <w:suppressAutoHyphens w:val="0"/>
              <w:spacing w:line="259" w:lineRule="auto"/>
              <w:ind w:hanging="355"/>
            </w:pPr>
            <w:r w:rsidRPr="00F516DC">
              <w:t>Educacional</w:t>
            </w:r>
          </w:p>
          <w:p w:rsidR="00804571" w:rsidRPr="00F516DC" w:rsidRDefault="00804571" w:rsidP="00B11A03">
            <w:pPr>
              <w:numPr>
                <w:ilvl w:val="0"/>
                <w:numId w:val="6"/>
              </w:numPr>
              <w:suppressAutoHyphens w:val="0"/>
              <w:spacing w:line="259" w:lineRule="auto"/>
              <w:ind w:hanging="355"/>
            </w:pPr>
            <w:r w:rsidRPr="00F516DC">
              <w:t xml:space="preserve">Herança cultural </w:t>
            </w:r>
          </w:p>
          <w:p w:rsidR="00804571" w:rsidRPr="00F516DC" w:rsidRDefault="00804571" w:rsidP="00B11A03">
            <w:pPr>
              <w:spacing w:line="259" w:lineRule="auto"/>
              <w:ind w:left="914"/>
            </w:pPr>
            <w:r w:rsidRPr="00F516DC">
              <w:t>...</w:t>
            </w:r>
            <w:r w:rsidRPr="00F516DC">
              <w:rPr>
                <w:b/>
              </w:rPr>
              <w:t xml:space="preserve"> </w:t>
            </w:r>
          </w:p>
        </w:tc>
      </w:tr>
      <w:tr w:rsidR="00804571" w:rsidRPr="00F516DC" w:rsidTr="00B11A03">
        <w:trPr>
          <w:trHeight w:val="67"/>
        </w:trPr>
        <w:tc>
          <w:tcPr>
            <w:tcW w:w="5000" w:type="pct"/>
            <w:gridSpan w:val="3"/>
            <w:shd w:val="clear" w:color="auto" w:fill="auto"/>
          </w:tcPr>
          <w:p w:rsidR="001F0E8E" w:rsidRPr="00F516DC" w:rsidRDefault="00DD4CE5" w:rsidP="00AF1649">
            <w:pPr>
              <w:rPr>
                <w:b/>
              </w:rPr>
            </w:pPr>
            <w:bookmarkStart w:id="1" w:name="_Ref507057295"/>
            <w:r w:rsidRPr="00F516DC">
              <w:rPr>
                <w:b/>
              </w:rPr>
              <w:t xml:space="preserve">Figura </w:t>
            </w:r>
            <w:r w:rsidRPr="00F516DC">
              <w:rPr>
                <w:b/>
              </w:rPr>
              <w:fldChar w:fldCharType="begin"/>
            </w:r>
            <w:r w:rsidRPr="00F516DC">
              <w:rPr>
                <w:b/>
              </w:rPr>
              <w:instrText xml:space="preserve"> SEQ Figura \* ARABIC </w:instrText>
            </w:r>
            <w:r w:rsidRPr="00F516DC">
              <w:rPr>
                <w:b/>
              </w:rPr>
              <w:fldChar w:fldCharType="separate"/>
            </w:r>
            <w:r w:rsidR="009D7C72">
              <w:rPr>
                <w:b/>
                <w:noProof/>
              </w:rPr>
              <w:t>1</w:t>
            </w:r>
            <w:r w:rsidRPr="00F516DC">
              <w:rPr>
                <w:b/>
              </w:rPr>
              <w:fldChar w:fldCharType="end"/>
            </w:r>
            <w:bookmarkEnd w:id="1"/>
            <w:r w:rsidRPr="00F516DC">
              <w:rPr>
                <w:b/>
              </w:rPr>
              <w:t>. Classificação dos serviços ambientais</w:t>
            </w:r>
          </w:p>
          <w:p w:rsidR="00804571" w:rsidRPr="00F516DC" w:rsidRDefault="00804571" w:rsidP="008E4FF6">
            <w:r w:rsidRPr="00F516DC">
              <w:t>Fonte: Adaptado de</w:t>
            </w:r>
            <w:r w:rsidR="00120553" w:rsidRPr="00F516DC">
              <w:t xml:space="preserve"> </w:t>
            </w:r>
            <w:r w:rsidR="00120553" w:rsidRPr="00F516DC">
              <w:rPr>
                <w:noProof/>
              </w:rPr>
              <w:t>Costanza et al.</w:t>
            </w:r>
            <w:r w:rsidR="00120553" w:rsidRPr="00F516DC">
              <w:t xml:space="preserve"> </w:t>
            </w:r>
            <w:r w:rsidR="00120553" w:rsidRPr="00F516DC">
              <w:rPr>
                <w:noProof/>
              </w:rPr>
              <w:t>(1997)</w:t>
            </w:r>
            <w:r w:rsidRPr="00F516DC">
              <w:t xml:space="preserve"> </w:t>
            </w:r>
            <w:r w:rsidR="00120553" w:rsidRPr="00F516DC">
              <w:t xml:space="preserve">e </w:t>
            </w:r>
            <w:r w:rsidRPr="00F516DC">
              <w:rPr>
                <w:i/>
              </w:rPr>
              <w:t xml:space="preserve">Millennium </w:t>
            </w:r>
            <w:proofErr w:type="spellStart"/>
            <w:r w:rsidRPr="00F516DC">
              <w:rPr>
                <w:i/>
              </w:rPr>
              <w:t>Ecosystem</w:t>
            </w:r>
            <w:proofErr w:type="spellEnd"/>
            <w:r w:rsidRPr="00F516DC">
              <w:rPr>
                <w:i/>
              </w:rPr>
              <w:t xml:space="preserve"> </w:t>
            </w:r>
            <w:proofErr w:type="spellStart"/>
            <w:r w:rsidRPr="00F516DC">
              <w:rPr>
                <w:i/>
              </w:rPr>
              <w:t>Assessment</w:t>
            </w:r>
            <w:proofErr w:type="spellEnd"/>
            <w:r w:rsidRPr="00F516DC">
              <w:t xml:space="preserve"> – </w:t>
            </w:r>
            <w:proofErr w:type="spellStart"/>
            <w:r w:rsidRPr="00F516DC">
              <w:t>MEA</w:t>
            </w:r>
            <w:proofErr w:type="spellEnd"/>
            <w:r w:rsidRPr="00F516DC">
              <w:t xml:space="preserve"> </w:t>
            </w:r>
            <w:r w:rsidR="005A7E5C" w:rsidRPr="00F516DC">
              <w:rPr>
                <w:noProof/>
              </w:rPr>
              <w:t>(2003, 2005a</w:t>
            </w:r>
            <w:r w:rsidR="008E4FF6" w:rsidRPr="00F516DC">
              <w:rPr>
                <w:noProof/>
              </w:rPr>
              <w:t>, 2005b</w:t>
            </w:r>
            <w:r w:rsidR="005A7E5C" w:rsidRPr="00F516DC">
              <w:rPr>
                <w:noProof/>
              </w:rPr>
              <w:t>)</w:t>
            </w:r>
          </w:p>
        </w:tc>
      </w:tr>
    </w:tbl>
    <w:p w:rsidR="00804571" w:rsidRPr="00804571" w:rsidRDefault="00804571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 w:rsidRPr="00804571">
        <w:rPr>
          <w:sz w:val="24"/>
          <w:szCs w:val="24"/>
        </w:rPr>
        <w:lastRenderedPageBreak/>
        <w:t>A degradação do ecossistema e, consequentemente, a perda de biodiversidade, prejudicam o funcionamento e a resiliência do mesmo e, por conseguinte, ameaçam a capacidade dos ecossistemas em fornecer continuamente o fluxo de serviços ambientais para as gerações presentes e futuras. Acredita-se que com as mudanças climáticas e o crescente aumento de consumo de recursos pelos humanos, essas ameaças se tornem maiores</w:t>
      </w:r>
      <w:r w:rsidR="002B565A">
        <w:rPr>
          <w:sz w:val="24"/>
          <w:szCs w:val="24"/>
        </w:rPr>
        <w:t xml:space="preserve"> </w:t>
      </w:r>
      <w:r w:rsidR="005A7E5C" w:rsidRPr="005A7E5C">
        <w:rPr>
          <w:noProof/>
          <w:sz w:val="24"/>
          <w:szCs w:val="24"/>
        </w:rPr>
        <w:t>(de Groot et al., 2012)</w:t>
      </w:r>
      <w:r w:rsidRPr="00804571">
        <w:rPr>
          <w:sz w:val="24"/>
          <w:szCs w:val="24"/>
        </w:rPr>
        <w:t>.</w:t>
      </w:r>
    </w:p>
    <w:p w:rsidR="00804571" w:rsidRDefault="00804571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 w:rsidRPr="00804571">
        <w:rPr>
          <w:sz w:val="24"/>
          <w:szCs w:val="24"/>
        </w:rPr>
        <w:t xml:space="preserve">Já os desserviços ambientais são funções ou propriedades dos ecossistemas que causam efeitos que são percebidos como negativos, nocivos, desagradáveis ou indesejados para o bem-estar humano. Exemplos de desserviços incluem danos causados por patógenos e pragas aos seres humanos e aos sistemas de produção. Os desserviços podem resultar do funcionamento dos ecossistemas relativamente não perturbados ou podem ser efeitos ou efeitos colaterais das ações antrópicas sobre os ecossistemas </w:t>
      </w:r>
      <w:r w:rsidR="005A7E5C" w:rsidRPr="005A7E5C">
        <w:rPr>
          <w:noProof/>
          <w:sz w:val="24"/>
          <w:szCs w:val="24"/>
        </w:rPr>
        <w:t>(Lyytimäki, 2014, 2015)</w:t>
      </w:r>
      <w:r w:rsidRPr="00804571">
        <w:rPr>
          <w:sz w:val="24"/>
          <w:szCs w:val="24"/>
        </w:rPr>
        <w:t>.</w:t>
      </w:r>
    </w:p>
    <w:p w:rsidR="00804571" w:rsidRPr="00804571" w:rsidRDefault="00804571" w:rsidP="000A3CC2">
      <w:pPr>
        <w:widowControl w:val="0"/>
        <w:spacing w:before="200" w:after="120"/>
        <w:rPr>
          <w:b/>
          <w:sz w:val="24"/>
          <w:szCs w:val="24"/>
        </w:rPr>
      </w:pPr>
      <w:r w:rsidRPr="00804571">
        <w:rPr>
          <w:b/>
          <w:sz w:val="24"/>
          <w:szCs w:val="24"/>
        </w:rPr>
        <w:t>2.2 Pegada Hídrica</w:t>
      </w:r>
    </w:p>
    <w:p w:rsidR="0019170F" w:rsidRPr="0019170F" w:rsidRDefault="0019170F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 w:rsidRPr="0019170F">
        <w:rPr>
          <w:sz w:val="24"/>
          <w:szCs w:val="24"/>
        </w:rPr>
        <w:t xml:space="preserve">O conceito denominado de “pegada hídrica” indica cumulativamente o consumo de água de todos os bens e serviços por um indivíduo ou por indivíduos de uma localidade </w:t>
      </w:r>
      <w:r w:rsidR="005A7E5C" w:rsidRPr="005A7E5C">
        <w:rPr>
          <w:noProof/>
          <w:sz w:val="24"/>
          <w:szCs w:val="24"/>
        </w:rPr>
        <w:t>(Hoekstra &amp; Hung, 2002)</w:t>
      </w:r>
      <w:r w:rsidRPr="0019170F">
        <w:rPr>
          <w:sz w:val="24"/>
          <w:szCs w:val="24"/>
        </w:rPr>
        <w:t xml:space="preserve">. Foi proposto por </w:t>
      </w:r>
      <w:proofErr w:type="spellStart"/>
      <w:r w:rsidRPr="0019170F">
        <w:rPr>
          <w:sz w:val="24"/>
          <w:szCs w:val="24"/>
        </w:rPr>
        <w:t>Arjen</w:t>
      </w:r>
      <w:proofErr w:type="spellEnd"/>
      <w:r w:rsidRPr="0019170F">
        <w:rPr>
          <w:sz w:val="24"/>
          <w:szCs w:val="24"/>
        </w:rPr>
        <w:t xml:space="preserve"> Y. </w:t>
      </w:r>
      <w:proofErr w:type="spellStart"/>
      <w:r w:rsidRPr="0019170F">
        <w:rPr>
          <w:sz w:val="24"/>
          <w:szCs w:val="24"/>
        </w:rPr>
        <w:t>Hoekstra</w:t>
      </w:r>
      <w:proofErr w:type="spellEnd"/>
      <w:r w:rsidRPr="0019170F">
        <w:rPr>
          <w:sz w:val="24"/>
          <w:szCs w:val="24"/>
        </w:rPr>
        <w:t xml:space="preserve"> na reunião internacional de especialistas sobre o comércio internacional de água virtual, em Delft, na Holanda em dezembro de 2002. Água virtual é a água incorporada em um produto, não no sentido real, mas no sentido virtual. Refere-se à água necessária para a produção do produto, chamado de “água embutida” ou “água exógena”, o último refere-se ao fato de que a importação de água virtual para um país significa usar água que é exógena ao país importador </w:t>
      </w:r>
      <w:r w:rsidR="005A7E5C" w:rsidRPr="005A7E5C">
        <w:rPr>
          <w:noProof/>
          <w:sz w:val="24"/>
          <w:szCs w:val="24"/>
        </w:rPr>
        <w:t>(Hoekstra, 2003)</w:t>
      </w:r>
      <w:r w:rsidRPr="0019170F">
        <w:rPr>
          <w:sz w:val="24"/>
          <w:szCs w:val="24"/>
        </w:rPr>
        <w:t>.</w:t>
      </w:r>
    </w:p>
    <w:p w:rsidR="0019170F" w:rsidRPr="0019170F" w:rsidRDefault="0019170F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 w:rsidRPr="0019170F">
        <w:rPr>
          <w:sz w:val="24"/>
          <w:szCs w:val="24"/>
        </w:rPr>
        <w:t xml:space="preserve">A pegada hídrica é um indicador multidimensional da apropriação de recursos hídricos pelo homem, provendo desta forma, uma discussão sobre o uso e a alocação mais igualitária e sustentável da água, além de formar uma base para avaliar os impactos ambientais, sociais e econômicos </w:t>
      </w:r>
      <w:r w:rsidR="00EB4DD7" w:rsidRPr="00EB4DD7">
        <w:rPr>
          <w:noProof/>
          <w:sz w:val="24"/>
          <w:szCs w:val="24"/>
        </w:rPr>
        <w:t>(Hoekstra et al., 2011)</w:t>
      </w:r>
      <w:r w:rsidRPr="0019170F">
        <w:rPr>
          <w:sz w:val="24"/>
          <w:szCs w:val="24"/>
        </w:rPr>
        <w:t xml:space="preserve">. </w:t>
      </w:r>
    </w:p>
    <w:p w:rsidR="0019170F" w:rsidRPr="0019170F" w:rsidRDefault="0019170F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 w:rsidRPr="0019170F">
        <w:rPr>
          <w:sz w:val="24"/>
          <w:szCs w:val="24"/>
        </w:rPr>
        <w:t xml:space="preserve">A pegada hídrica calcula o uso direto e indireto da água, integrando toda a cadeia produtiva de um determinado produto, consumidor final, empresas intermediárias, comerciantes e produtores. A pegada hídrica de um produto se distingue por três cores: pegada hídrica verde, azul e cinza que medem diferentes tipos e formas de apropriação de água. Pegada hídrica verde é o indicador do volume de água verde – precipitação no continente que não escoa ou repõe os aquíferos, mas é armazenada temporariamente sobre o solo ou vegetação – consumida durante o processo de produção de bens e serviços </w:t>
      </w:r>
      <w:r w:rsidR="005A7E5C" w:rsidRPr="005A7E5C">
        <w:rPr>
          <w:noProof/>
          <w:sz w:val="24"/>
          <w:szCs w:val="24"/>
        </w:rPr>
        <w:t>(Hoekstra et al., 2011)</w:t>
      </w:r>
      <w:r w:rsidRPr="0019170F">
        <w:rPr>
          <w:sz w:val="24"/>
          <w:szCs w:val="24"/>
        </w:rPr>
        <w:t xml:space="preserve">. </w:t>
      </w:r>
    </w:p>
    <w:p w:rsidR="0019170F" w:rsidRPr="0019170F" w:rsidRDefault="0019170F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 w:rsidRPr="0019170F">
        <w:rPr>
          <w:sz w:val="24"/>
          <w:szCs w:val="24"/>
        </w:rPr>
        <w:t xml:space="preserve">A pegada hídrica azul é o indicador do volume de água azul – água superficial (lagos, rios, córregos, etc.) e subterrânea (aquíferos, lençóis freáticos) – consumida durante o processo de produção de bens e serviços. Incluindo também a água azul captada de uma bacia hidrográfica e lançada para outra bacia ou no mar, ou seja, água azul que não retorna para a bacia da qual foi retirada </w:t>
      </w:r>
      <w:r w:rsidR="005A7E5C" w:rsidRPr="005A7E5C">
        <w:rPr>
          <w:noProof/>
          <w:sz w:val="24"/>
          <w:szCs w:val="24"/>
        </w:rPr>
        <w:t>(Hoekstra et al., 2011)</w:t>
      </w:r>
      <w:r w:rsidRPr="0019170F">
        <w:rPr>
          <w:sz w:val="24"/>
          <w:szCs w:val="24"/>
        </w:rPr>
        <w:t>.</w:t>
      </w:r>
    </w:p>
    <w:p w:rsidR="0019170F" w:rsidRPr="0019170F" w:rsidRDefault="0019170F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 w:rsidRPr="0019170F">
        <w:rPr>
          <w:sz w:val="24"/>
          <w:szCs w:val="24"/>
        </w:rPr>
        <w:t xml:space="preserve">A pegada hídrica cinza é um indicador da poluição da água, definida como o volume de água necessária para absorver os poluentes gerados durante o processo de produção, de tal forma que a água continue dentro dos padrões naturais e ambientais de qualidade, ou seja, de forma que os poluentes se tornem inócuos </w:t>
      </w:r>
      <w:r w:rsidR="005A7E5C" w:rsidRPr="005A7E5C">
        <w:rPr>
          <w:noProof/>
          <w:sz w:val="24"/>
          <w:szCs w:val="24"/>
        </w:rPr>
        <w:t>(Hoekstra et al., 2011)</w:t>
      </w:r>
      <w:r w:rsidRPr="0019170F">
        <w:rPr>
          <w:sz w:val="24"/>
          <w:szCs w:val="24"/>
        </w:rPr>
        <w:t>.</w:t>
      </w:r>
    </w:p>
    <w:p w:rsidR="0019170F" w:rsidRPr="0019170F" w:rsidRDefault="0019170F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 w:rsidRPr="0019170F">
        <w:rPr>
          <w:sz w:val="24"/>
          <w:szCs w:val="24"/>
        </w:rPr>
        <w:lastRenderedPageBreak/>
        <w:t xml:space="preserve">A pegada hídrica per capita do brasileiro é 5.600 litros/dia, menor que muitas nações como Níger, Bolívia e Estados Unidos da América, que têm as maiores pegadas hídricas per capita, respectivamente com 9.600 litros/dia, 9.500 litros/dia e 7.800 litros/dia. Por outro lado, muito superior à República Democrática do Congo com a menor pegada hídrica per capita, 1.500 litros/dia </w:t>
      </w:r>
      <w:r w:rsidR="007F701B" w:rsidRPr="007F701B">
        <w:rPr>
          <w:noProof/>
          <w:sz w:val="24"/>
          <w:szCs w:val="24"/>
        </w:rPr>
        <w:t>(Hoekstra &amp; Mekonnen, 2012; Mekonnen &amp; Hoekstra, 2011a)</w:t>
      </w:r>
      <w:r w:rsidRPr="0019170F">
        <w:rPr>
          <w:sz w:val="24"/>
          <w:szCs w:val="24"/>
        </w:rPr>
        <w:t xml:space="preserve">. Esse consumo pode variar de acordo com os hábitos alimentares e renda dos consumidores </w:t>
      </w:r>
      <w:r w:rsidR="005A7E5C" w:rsidRPr="005A7E5C">
        <w:rPr>
          <w:noProof/>
          <w:sz w:val="24"/>
          <w:szCs w:val="24"/>
        </w:rPr>
        <w:t>(Maracajá, Silva, &amp; Dantas Neto, 2013)</w:t>
      </w:r>
      <w:r w:rsidRPr="0019170F">
        <w:rPr>
          <w:sz w:val="24"/>
          <w:szCs w:val="24"/>
        </w:rPr>
        <w:t>.</w:t>
      </w:r>
    </w:p>
    <w:p w:rsidR="00804571" w:rsidRDefault="0019170F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 w:rsidRPr="0019170F">
        <w:rPr>
          <w:sz w:val="24"/>
          <w:szCs w:val="24"/>
        </w:rPr>
        <w:t xml:space="preserve">Todo esse volume de água consumida deve-se pelo fato de que a pegada hídrica considera, além da água consumida diretamente, a utilizada para a produção e cultivo de todos os produtos consumidos diariamente, que tem uma quantia significante de água. Palhares </w:t>
      </w:r>
      <w:r w:rsidRPr="0019170F">
        <w:rPr>
          <w:noProof/>
          <w:sz w:val="24"/>
          <w:szCs w:val="24"/>
        </w:rPr>
        <w:t>(2011)</w:t>
      </w:r>
      <w:r w:rsidRPr="0019170F">
        <w:rPr>
          <w:sz w:val="24"/>
          <w:szCs w:val="24"/>
        </w:rPr>
        <w:t xml:space="preserve"> concluiu que do total da pegada hídrica dos suínos abatidos, 99,88% de água era consumido pelas culturas vegetais, responsáveis pelo fornecimento de grãos para sua alimentação. Palhares </w:t>
      </w:r>
      <w:r w:rsidRPr="0019170F">
        <w:rPr>
          <w:noProof/>
          <w:sz w:val="24"/>
          <w:szCs w:val="24"/>
        </w:rPr>
        <w:t>(2014)</w:t>
      </w:r>
      <w:r w:rsidRPr="0019170F">
        <w:rPr>
          <w:sz w:val="24"/>
          <w:szCs w:val="24"/>
        </w:rPr>
        <w:t xml:space="preserve"> identificou que as diversas fontes nutricionais da alimentação animal influenciam positiva ou negativamente na pegada hídrica.</w:t>
      </w:r>
    </w:p>
    <w:p w:rsidR="00804571" w:rsidRDefault="00804571" w:rsidP="000A3CC2">
      <w:pPr>
        <w:widowControl w:val="0"/>
        <w:spacing w:before="200" w:after="120"/>
        <w:rPr>
          <w:b/>
          <w:sz w:val="24"/>
          <w:szCs w:val="24"/>
        </w:rPr>
      </w:pPr>
      <w:r w:rsidRPr="00804571">
        <w:rPr>
          <w:b/>
          <w:sz w:val="24"/>
          <w:szCs w:val="24"/>
        </w:rPr>
        <w:t>2.3 Cobrança pelo uso dos recursos hídricos</w:t>
      </w:r>
    </w:p>
    <w:p w:rsidR="004778A5" w:rsidRPr="00596152" w:rsidRDefault="00596152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 w:rsidRPr="00596152">
        <w:rPr>
          <w:sz w:val="24"/>
          <w:szCs w:val="24"/>
        </w:rPr>
        <w:t>A cobrança pelo uso dos recursos hídricos, apesar</w:t>
      </w:r>
      <w:r w:rsidR="00621BAE">
        <w:rPr>
          <w:sz w:val="24"/>
          <w:szCs w:val="24"/>
        </w:rPr>
        <w:t xml:space="preserve"> de já prevista no Código Civil de 1916, e no Código de Águas</w:t>
      </w:r>
      <w:r w:rsidRPr="00596152">
        <w:rPr>
          <w:sz w:val="24"/>
          <w:szCs w:val="24"/>
        </w:rPr>
        <w:t xml:space="preserve"> de 1934 </w:t>
      </w:r>
      <w:r w:rsidR="005A7E5C" w:rsidRPr="005A7E5C">
        <w:rPr>
          <w:noProof/>
          <w:sz w:val="24"/>
          <w:szCs w:val="24"/>
        </w:rPr>
        <w:t>(Millan, 2008)</w:t>
      </w:r>
      <w:r w:rsidRPr="00596152">
        <w:rPr>
          <w:sz w:val="24"/>
          <w:szCs w:val="24"/>
        </w:rPr>
        <w:t>, teve sua aplicação de fato no país principalmente após a instituição da Política Nacional de Recursos</w:t>
      </w:r>
      <w:r>
        <w:rPr>
          <w:sz w:val="24"/>
          <w:szCs w:val="24"/>
        </w:rPr>
        <w:t xml:space="preserve"> </w:t>
      </w:r>
      <w:r w:rsidRPr="00596152">
        <w:rPr>
          <w:sz w:val="24"/>
          <w:szCs w:val="24"/>
        </w:rPr>
        <w:t>Hídricos</w:t>
      </w:r>
      <w:r w:rsidR="00314474">
        <w:rPr>
          <w:sz w:val="24"/>
          <w:szCs w:val="24"/>
        </w:rPr>
        <w:t xml:space="preserve"> (</w:t>
      </w:r>
      <w:proofErr w:type="spellStart"/>
      <w:r w:rsidR="00314474">
        <w:rPr>
          <w:sz w:val="24"/>
          <w:szCs w:val="24"/>
        </w:rPr>
        <w:t>PNRH</w:t>
      </w:r>
      <w:proofErr w:type="spellEnd"/>
      <w:r w:rsidR="00314474">
        <w:rPr>
          <w:sz w:val="24"/>
          <w:szCs w:val="24"/>
        </w:rPr>
        <w:t>)</w:t>
      </w:r>
      <w:r w:rsidRPr="00596152">
        <w:rPr>
          <w:sz w:val="24"/>
          <w:szCs w:val="24"/>
        </w:rPr>
        <w:t xml:space="preserve">, pela Lei nº 9.433, de 8 de Janeiro de 1997, conhecida como “A Lei das Águas”, de acordo com seu art. 1º, esta política baseia-se nos </w:t>
      </w:r>
      <w:r>
        <w:rPr>
          <w:sz w:val="24"/>
          <w:szCs w:val="24"/>
        </w:rPr>
        <w:t xml:space="preserve">fundamentos de que a água é um recurso de domínio público, limitado e dotado de valor econômico, seu uso prioritário é para consumo humano e </w:t>
      </w:r>
      <w:proofErr w:type="spellStart"/>
      <w:r>
        <w:rPr>
          <w:sz w:val="24"/>
          <w:szCs w:val="24"/>
        </w:rPr>
        <w:t>dessedentação</w:t>
      </w:r>
      <w:proofErr w:type="spellEnd"/>
      <w:r>
        <w:rPr>
          <w:sz w:val="24"/>
          <w:szCs w:val="24"/>
        </w:rPr>
        <w:t xml:space="preserve"> de animais, devendo sempre proporcionar o uso múltiplo</w:t>
      </w:r>
      <w:r w:rsidR="004778A5">
        <w:rPr>
          <w:sz w:val="24"/>
          <w:szCs w:val="24"/>
        </w:rPr>
        <w:t xml:space="preserve"> </w:t>
      </w:r>
      <w:r w:rsidR="005A7E5C" w:rsidRPr="005A7E5C">
        <w:rPr>
          <w:noProof/>
          <w:sz w:val="24"/>
          <w:szCs w:val="24"/>
        </w:rPr>
        <w:t>(Brasil, 1997)</w:t>
      </w:r>
      <w:r w:rsidR="004778A5">
        <w:rPr>
          <w:sz w:val="24"/>
          <w:szCs w:val="24"/>
        </w:rPr>
        <w:t>.</w:t>
      </w:r>
    </w:p>
    <w:p w:rsidR="00C51783" w:rsidRDefault="000A3CC2" w:rsidP="00C51783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 w:rsidRPr="000A3CC2">
        <w:rPr>
          <w:sz w:val="24"/>
          <w:szCs w:val="24"/>
        </w:rPr>
        <w:t xml:space="preserve">Portanto, através da Lei das Águas, tem-se o reconhecimento da água como um recurso natural finito, dotado de valor econômico e de domínio público. Para Machado </w:t>
      </w:r>
      <w:r w:rsidRPr="000A3CC2">
        <w:rPr>
          <w:noProof/>
          <w:sz w:val="24"/>
          <w:szCs w:val="24"/>
        </w:rPr>
        <w:t>(2013)</w:t>
      </w:r>
      <w:r w:rsidRPr="000A3CC2">
        <w:rPr>
          <w:sz w:val="24"/>
          <w:szCs w:val="24"/>
        </w:rPr>
        <w:t>, o uso da água é direito de todos, não pode ser apropriado por uma pessoa ou grupos, excluindo os demais usuários em potencial. Seu uso não pode, também, significar a redução da qualidade e quantidade, devendo ser motivada ou fu</w:t>
      </w:r>
      <w:r w:rsidR="00C51783">
        <w:rPr>
          <w:sz w:val="24"/>
          <w:szCs w:val="24"/>
        </w:rPr>
        <w:t>ndamentada pelo gestor público.</w:t>
      </w:r>
    </w:p>
    <w:p w:rsidR="00596152" w:rsidRPr="00C51783" w:rsidRDefault="000A3CC2" w:rsidP="00C51783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 w:rsidRPr="000A3CC2">
        <w:rPr>
          <w:sz w:val="24"/>
          <w:szCs w:val="24"/>
        </w:rPr>
        <w:t xml:space="preserve">Neste intuito, a </w:t>
      </w:r>
      <w:proofErr w:type="spellStart"/>
      <w:r w:rsidR="00B67E77">
        <w:rPr>
          <w:sz w:val="24"/>
          <w:szCs w:val="24"/>
        </w:rPr>
        <w:t>PNRH</w:t>
      </w:r>
      <w:proofErr w:type="spellEnd"/>
      <w:r w:rsidR="00B67E77">
        <w:rPr>
          <w:sz w:val="24"/>
          <w:szCs w:val="24"/>
        </w:rPr>
        <w:t xml:space="preserve"> foi instituída </w:t>
      </w:r>
      <w:r w:rsidRPr="000A3CC2">
        <w:rPr>
          <w:sz w:val="24"/>
          <w:szCs w:val="24"/>
        </w:rPr>
        <w:t>com os seguintes objetivos</w:t>
      </w:r>
      <w:r w:rsidR="00B67E77">
        <w:rPr>
          <w:sz w:val="24"/>
          <w:szCs w:val="24"/>
        </w:rPr>
        <w:t xml:space="preserve">: </w:t>
      </w:r>
      <w:r w:rsidR="00C51783">
        <w:rPr>
          <w:sz w:val="24"/>
          <w:szCs w:val="24"/>
        </w:rPr>
        <w:t xml:space="preserve">I - </w:t>
      </w:r>
      <w:r w:rsidR="00C51783" w:rsidRPr="00C51783">
        <w:rPr>
          <w:sz w:val="24"/>
          <w:szCs w:val="24"/>
        </w:rPr>
        <w:t xml:space="preserve">assegurar à atual e às futuras gerações a necessária disponibilidade de água, em padrões de qualidade adequados aos respectivos usos; </w:t>
      </w:r>
      <w:r w:rsidR="00C51783">
        <w:rPr>
          <w:sz w:val="24"/>
          <w:szCs w:val="24"/>
        </w:rPr>
        <w:t xml:space="preserve">II - </w:t>
      </w:r>
      <w:r w:rsidR="00C51783" w:rsidRPr="00C51783">
        <w:rPr>
          <w:sz w:val="24"/>
          <w:szCs w:val="24"/>
        </w:rPr>
        <w:t xml:space="preserve">a utilização racional e integrada dos recursos hídricos, incluindo o transporte </w:t>
      </w:r>
      <w:proofErr w:type="spellStart"/>
      <w:r w:rsidR="00C51783" w:rsidRPr="00C51783">
        <w:rPr>
          <w:sz w:val="24"/>
          <w:szCs w:val="24"/>
        </w:rPr>
        <w:t>aquaviário</w:t>
      </w:r>
      <w:proofErr w:type="spellEnd"/>
      <w:r w:rsidR="00C51783" w:rsidRPr="00C51783">
        <w:rPr>
          <w:sz w:val="24"/>
          <w:szCs w:val="24"/>
        </w:rPr>
        <w:t xml:space="preserve">, com vistas ao desenvolvimento sustentável; </w:t>
      </w:r>
      <w:r w:rsidR="00C51783">
        <w:rPr>
          <w:sz w:val="24"/>
          <w:szCs w:val="24"/>
        </w:rPr>
        <w:t xml:space="preserve">e </w:t>
      </w:r>
      <w:proofErr w:type="spellStart"/>
      <w:r w:rsidR="00C51783">
        <w:rPr>
          <w:sz w:val="24"/>
          <w:szCs w:val="24"/>
        </w:rPr>
        <w:t>III</w:t>
      </w:r>
      <w:proofErr w:type="spellEnd"/>
      <w:r w:rsidR="00C51783" w:rsidRPr="00C51783">
        <w:rPr>
          <w:sz w:val="24"/>
          <w:szCs w:val="24"/>
        </w:rPr>
        <w:t xml:space="preserve"> </w:t>
      </w:r>
      <w:r w:rsidR="00C51783">
        <w:rPr>
          <w:sz w:val="24"/>
          <w:szCs w:val="24"/>
        </w:rPr>
        <w:t xml:space="preserve">- </w:t>
      </w:r>
      <w:r w:rsidR="00C51783" w:rsidRPr="00C51783">
        <w:rPr>
          <w:sz w:val="24"/>
          <w:szCs w:val="24"/>
        </w:rPr>
        <w:t>a prevenção e a defesa contra eventos hidrológicos críticos de origem natural ou decorrentes do uso inadequado dos recursos naturais</w:t>
      </w:r>
      <w:r w:rsidR="00C51783">
        <w:rPr>
          <w:sz w:val="24"/>
          <w:szCs w:val="24"/>
        </w:rPr>
        <w:t xml:space="preserve"> </w:t>
      </w:r>
      <w:r w:rsidR="005A7E5C" w:rsidRPr="005A7E5C">
        <w:rPr>
          <w:noProof/>
          <w:sz w:val="24"/>
          <w:szCs w:val="24"/>
        </w:rPr>
        <w:t>(Brasil, 1997)</w:t>
      </w:r>
      <w:r w:rsidR="00C51783" w:rsidRPr="00C51783">
        <w:rPr>
          <w:sz w:val="24"/>
          <w:szCs w:val="24"/>
        </w:rPr>
        <w:t>.</w:t>
      </w:r>
    </w:p>
    <w:p w:rsidR="00630B0D" w:rsidRDefault="00C51783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 w:rsidRPr="00C51783">
        <w:rPr>
          <w:sz w:val="24"/>
        </w:rPr>
        <w:t xml:space="preserve">Através da cobrança pelo uso dos recursos hídricos, a água passa a ser estimada dentro dos valores da economia. </w:t>
      </w:r>
      <w:r w:rsidRPr="00C51783">
        <w:rPr>
          <w:sz w:val="24"/>
          <w:szCs w:val="24"/>
        </w:rPr>
        <w:t xml:space="preserve">Todavia, isso não permite que com o pagamento de um preço alguém a use em demasia, pois é um recurso natural limitado </w:t>
      </w:r>
      <w:r w:rsidR="005A7E5C" w:rsidRPr="005A7E5C">
        <w:rPr>
          <w:noProof/>
          <w:sz w:val="24"/>
          <w:szCs w:val="24"/>
        </w:rPr>
        <w:t>(Machado, 2013)</w:t>
      </w:r>
      <w:r w:rsidRPr="00C51783">
        <w:rPr>
          <w:sz w:val="24"/>
          <w:szCs w:val="24"/>
        </w:rPr>
        <w:t>. Sua cobrança, de acordo com o art. 19 da Lei</w:t>
      </w:r>
      <w:r w:rsidR="00314474">
        <w:rPr>
          <w:sz w:val="24"/>
          <w:szCs w:val="24"/>
        </w:rPr>
        <w:t xml:space="preserve"> das Águas</w:t>
      </w:r>
      <w:r w:rsidRPr="00C51783">
        <w:rPr>
          <w:sz w:val="24"/>
          <w:szCs w:val="24"/>
        </w:rPr>
        <w:t xml:space="preserve">, objetiva: I - reconhecer a água como bem econômico e dar ao usuário uma indicação de seu real valor; II - incentivar a racionalização do uso da água; e </w:t>
      </w:r>
      <w:proofErr w:type="spellStart"/>
      <w:r w:rsidRPr="00C51783">
        <w:rPr>
          <w:sz w:val="24"/>
          <w:szCs w:val="24"/>
        </w:rPr>
        <w:t>III</w:t>
      </w:r>
      <w:proofErr w:type="spellEnd"/>
      <w:r w:rsidRPr="00C51783">
        <w:rPr>
          <w:sz w:val="24"/>
          <w:szCs w:val="24"/>
        </w:rPr>
        <w:t xml:space="preserve"> - obter recursos financeiros para o financiamento dos programas e intervenções contemplados nos planos de recursos hídricos</w:t>
      </w:r>
      <w:r>
        <w:rPr>
          <w:sz w:val="24"/>
          <w:szCs w:val="24"/>
        </w:rPr>
        <w:t xml:space="preserve"> </w:t>
      </w:r>
      <w:r w:rsidR="005A7E5C" w:rsidRPr="005A7E5C">
        <w:rPr>
          <w:noProof/>
          <w:sz w:val="24"/>
          <w:szCs w:val="24"/>
        </w:rPr>
        <w:t>(Brasil, 1997)</w:t>
      </w:r>
      <w:r>
        <w:rPr>
          <w:sz w:val="24"/>
          <w:szCs w:val="24"/>
        </w:rPr>
        <w:t>.</w:t>
      </w:r>
    </w:p>
    <w:p w:rsidR="00B04AEC" w:rsidRPr="00597900" w:rsidRDefault="00B04AEC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</w:p>
    <w:p w:rsidR="00597900" w:rsidRDefault="00597900" w:rsidP="000A3CC2">
      <w:pPr>
        <w:widowControl w:val="0"/>
        <w:spacing w:before="200" w:after="120"/>
        <w:rPr>
          <w:b/>
          <w:sz w:val="24"/>
          <w:szCs w:val="24"/>
        </w:rPr>
      </w:pPr>
      <w:r w:rsidRPr="00597900">
        <w:rPr>
          <w:b/>
          <w:sz w:val="24"/>
          <w:szCs w:val="24"/>
        </w:rPr>
        <w:lastRenderedPageBreak/>
        <w:t>2.4 Lei Kandir – Lei complementar 87/1996</w:t>
      </w:r>
      <w:r w:rsidR="00621BAE">
        <w:rPr>
          <w:b/>
          <w:sz w:val="24"/>
          <w:szCs w:val="24"/>
        </w:rPr>
        <w:t xml:space="preserve"> - </w:t>
      </w:r>
      <w:r w:rsidRPr="00597900">
        <w:rPr>
          <w:b/>
          <w:sz w:val="24"/>
          <w:szCs w:val="24"/>
        </w:rPr>
        <w:t>e o Auxílio Financeiro para Fomento das Exportações (</w:t>
      </w:r>
      <w:proofErr w:type="spellStart"/>
      <w:r w:rsidRPr="00597900">
        <w:rPr>
          <w:b/>
          <w:sz w:val="24"/>
          <w:szCs w:val="24"/>
        </w:rPr>
        <w:t>FEX</w:t>
      </w:r>
      <w:proofErr w:type="spellEnd"/>
      <w:r w:rsidRPr="00597900">
        <w:rPr>
          <w:b/>
          <w:sz w:val="24"/>
          <w:szCs w:val="24"/>
        </w:rPr>
        <w:t>)</w:t>
      </w:r>
    </w:p>
    <w:p w:rsidR="00804571" w:rsidRDefault="00597900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 w:rsidRPr="00597900">
        <w:rPr>
          <w:sz w:val="24"/>
          <w:szCs w:val="24"/>
        </w:rPr>
        <w:t xml:space="preserve">A “Lei Kandir” trata da regulamentação do ICMS pós </w:t>
      </w:r>
      <w:r w:rsidR="00EF1D1C">
        <w:rPr>
          <w:sz w:val="24"/>
          <w:szCs w:val="24"/>
        </w:rPr>
        <w:t>Constituição Federal (</w:t>
      </w:r>
      <w:proofErr w:type="spellStart"/>
      <w:r w:rsidRPr="00597900">
        <w:rPr>
          <w:sz w:val="24"/>
          <w:szCs w:val="24"/>
        </w:rPr>
        <w:t>CF</w:t>
      </w:r>
      <w:proofErr w:type="spellEnd"/>
      <w:r w:rsidR="00EF1D1C">
        <w:rPr>
          <w:sz w:val="24"/>
          <w:szCs w:val="24"/>
        </w:rPr>
        <w:t>)</w:t>
      </w:r>
      <w:r w:rsidRPr="00597900">
        <w:rPr>
          <w:sz w:val="24"/>
          <w:szCs w:val="24"/>
        </w:rPr>
        <w:t xml:space="preserve"> de 1988, entretanto a implementação desse tributo está descrita:</w:t>
      </w:r>
    </w:p>
    <w:p w:rsidR="00574527" w:rsidRDefault="00597900" w:rsidP="00C2746A">
      <w:pPr>
        <w:widowControl w:val="0"/>
        <w:spacing w:before="120"/>
        <w:ind w:left="2268"/>
        <w:jc w:val="both"/>
        <w:rPr>
          <w:szCs w:val="24"/>
        </w:rPr>
      </w:pPr>
      <w:r w:rsidRPr="00597900">
        <w:rPr>
          <w:szCs w:val="24"/>
        </w:rPr>
        <w:t>Art. 155. Compete aos Estados e ao Distrito Federal instituir impostos sobre:</w:t>
      </w:r>
    </w:p>
    <w:p w:rsidR="00597900" w:rsidRPr="00597900" w:rsidRDefault="00574527" w:rsidP="00574527">
      <w:pPr>
        <w:widowControl w:val="0"/>
        <w:ind w:left="2268"/>
        <w:jc w:val="both"/>
        <w:rPr>
          <w:szCs w:val="24"/>
        </w:rPr>
      </w:pPr>
      <w:r>
        <w:rPr>
          <w:szCs w:val="24"/>
        </w:rPr>
        <w:t>(...)</w:t>
      </w:r>
      <w:r w:rsidR="00597900" w:rsidRPr="00597900">
        <w:rPr>
          <w:szCs w:val="24"/>
        </w:rPr>
        <w:t xml:space="preserve">  </w:t>
      </w:r>
    </w:p>
    <w:p w:rsidR="00804571" w:rsidRPr="00597900" w:rsidRDefault="00597900" w:rsidP="00C2746A">
      <w:pPr>
        <w:widowControl w:val="0"/>
        <w:spacing w:after="120"/>
        <w:ind w:left="2268"/>
        <w:jc w:val="both"/>
        <w:rPr>
          <w:szCs w:val="24"/>
        </w:rPr>
      </w:pPr>
      <w:r w:rsidRPr="00597900">
        <w:rPr>
          <w:szCs w:val="24"/>
        </w:rPr>
        <w:t xml:space="preserve">II - </w:t>
      </w:r>
      <w:proofErr w:type="gramStart"/>
      <w:r w:rsidRPr="00597900">
        <w:rPr>
          <w:szCs w:val="24"/>
        </w:rPr>
        <w:t>operações</w:t>
      </w:r>
      <w:proofErr w:type="gramEnd"/>
      <w:r w:rsidRPr="00597900">
        <w:rPr>
          <w:szCs w:val="24"/>
        </w:rPr>
        <w:t xml:space="preserve"> relativas à circulação de mercadorias e sobre prestações de serviços de transporte interestadual e intermunicipal e de comunicação, ainda que as operações e as prestações se iniciem no exterior</w:t>
      </w:r>
      <w:r w:rsidR="00574527">
        <w:rPr>
          <w:szCs w:val="24"/>
        </w:rPr>
        <w:t xml:space="preserve"> </w:t>
      </w:r>
      <w:r w:rsidR="005A7E5C" w:rsidRPr="005A7E5C">
        <w:rPr>
          <w:noProof/>
          <w:szCs w:val="24"/>
        </w:rPr>
        <w:t>(Brasil, 1988)</w:t>
      </w:r>
      <w:r w:rsidR="00574527">
        <w:rPr>
          <w:szCs w:val="24"/>
        </w:rPr>
        <w:t>;</w:t>
      </w:r>
    </w:p>
    <w:p w:rsidR="00597900" w:rsidRDefault="00574527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Na mesma seção do capítu</w:t>
      </w:r>
      <w:r w:rsidRPr="00574527">
        <w:rPr>
          <w:sz w:val="24"/>
          <w:szCs w:val="24"/>
        </w:rPr>
        <w:t>lo Sistema Tributário, está o tratamento</w:t>
      </w:r>
      <w:r w:rsidR="00EF1D1C">
        <w:rPr>
          <w:sz w:val="24"/>
          <w:szCs w:val="24"/>
        </w:rPr>
        <w:t xml:space="preserve"> da desoneração das exportações</w:t>
      </w:r>
      <w:r w:rsidRPr="00574527">
        <w:rPr>
          <w:sz w:val="24"/>
          <w:szCs w:val="24"/>
        </w:rPr>
        <w:t xml:space="preserve"> relativo </w:t>
      </w:r>
      <w:r w:rsidR="00EF1D1C">
        <w:rPr>
          <w:sz w:val="24"/>
          <w:szCs w:val="24"/>
        </w:rPr>
        <w:t>a</w:t>
      </w:r>
      <w:r w:rsidRPr="00574527">
        <w:rPr>
          <w:sz w:val="24"/>
          <w:szCs w:val="24"/>
        </w:rPr>
        <w:t xml:space="preserve">o imposto ICMS, </w:t>
      </w:r>
      <w:r w:rsidR="00EF1D1C">
        <w:rPr>
          <w:sz w:val="24"/>
          <w:szCs w:val="24"/>
        </w:rPr>
        <w:t>em que</w:t>
      </w:r>
      <w:r w:rsidRPr="00574527">
        <w:rPr>
          <w:sz w:val="24"/>
          <w:szCs w:val="24"/>
        </w:rPr>
        <w:t xml:space="preserve"> expressa </w:t>
      </w:r>
      <w:r w:rsidR="00EF1D1C">
        <w:rPr>
          <w:sz w:val="24"/>
          <w:szCs w:val="24"/>
        </w:rPr>
        <w:t>a não incidência:</w:t>
      </w:r>
    </w:p>
    <w:p w:rsidR="009E7E99" w:rsidRPr="009E7E99" w:rsidRDefault="009E7E99" w:rsidP="00FD2630">
      <w:pPr>
        <w:widowControl w:val="0"/>
        <w:spacing w:before="120"/>
        <w:ind w:left="2268"/>
        <w:jc w:val="both"/>
        <w:rPr>
          <w:szCs w:val="24"/>
        </w:rPr>
      </w:pPr>
      <w:r w:rsidRPr="009E7E99">
        <w:rPr>
          <w:szCs w:val="24"/>
        </w:rPr>
        <w:t xml:space="preserve">§ 2º O imposto previsto no inciso II atenderá ao seguinte: </w:t>
      </w:r>
    </w:p>
    <w:p w:rsidR="009E7E99" w:rsidRDefault="009E7E99" w:rsidP="009E7E99">
      <w:pPr>
        <w:widowControl w:val="0"/>
        <w:ind w:left="2268"/>
        <w:jc w:val="both"/>
        <w:rPr>
          <w:szCs w:val="24"/>
        </w:rPr>
      </w:pPr>
      <w:r>
        <w:rPr>
          <w:szCs w:val="24"/>
        </w:rPr>
        <w:t>(...)</w:t>
      </w:r>
    </w:p>
    <w:p w:rsidR="009E7E99" w:rsidRPr="009E7E99" w:rsidRDefault="009E7E99" w:rsidP="009E7E99">
      <w:pPr>
        <w:widowControl w:val="0"/>
        <w:ind w:left="2268"/>
        <w:jc w:val="both"/>
        <w:rPr>
          <w:szCs w:val="24"/>
        </w:rPr>
      </w:pPr>
      <w:r w:rsidRPr="009E7E99">
        <w:rPr>
          <w:szCs w:val="24"/>
        </w:rPr>
        <w:t xml:space="preserve">X - </w:t>
      </w:r>
      <w:proofErr w:type="gramStart"/>
      <w:r w:rsidRPr="009E7E99">
        <w:rPr>
          <w:szCs w:val="24"/>
        </w:rPr>
        <w:t>não</w:t>
      </w:r>
      <w:proofErr w:type="gramEnd"/>
      <w:r w:rsidRPr="009E7E99">
        <w:rPr>
          <w:szCs w:val="24"/>
        </w:rPr>
        <w:t xml:space="preserve"> incidirá:</w:t>
      </w:r>
    </w:p>
    <w:p w:rsidR="00CD69C6" w:rsidRPr="009E7E99" w:rsidRDefault="009E7E99" w:rsidP="00FD2630">
      <w:pPr>
        <w:widowControl w:val="0"/>
        <w:spacing w:after="120"/>
        <w:ind w:left="2268"/>
        <w:jc w:val="both"/>
        <w:rPr>
          <w:szCs w:val="24"/>
        </w:rPr>
      </w:pPr>
      <w:r w:rsidRPr="009E7E99">
        <w:rPr>
          <w:szCs w:val="24"/>
        </w:rPr>
        <w:t>a) sobre operações que destinem mercadorias para o exterior, nem sobre serviços prestados a destinatários no exterior, assegurada a manutenção e o aproveitamento do montante do imposto cobrado nas operações e prestações anteriores</w:t>
      </w:r>
      <w:r w:rsidR="00FD2630">
        <w:rPr>
          <w:szCs w:val="24"/>
        </w:rPr>
        <w:t xml:space="preserve"> </w:t>
      </w:r>
      <w:r w:rsidR="005A7E5C" w:rsidRPr="005A7E5C">
        <w:rPr>
          <w:noProof/>
          <w:szCs w:val="24"/>
        </w:rPr>
        <w:t>(Brasil, 1988)</w:t>
      </w:r>
      <w:r w:rsidRPr="009E7E99">
        <w:rPr>
          <w:szCs w:val="24"/>
        </w:rPr>
        <w:t>;</w:t>
      </w:r>
    </w:p>
    <w:p w:rsidR="002164AD" w:rsidRDefault="00EF1D1C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CF</w:t>
      </w:r>
      <w:proofErr w:type="spellEnd"/>
      <w:r w:rsidR="002164AD" w:rsidRPr="002164AD">
        <w:rPr>
          <w:sz w:val="24"/>
          <w:szCs w:val="24"/>
        </w:rPr>
        <w:t xml:space="preserve"> exige a regulamentação para o imposto através de uma lei complementar</w:t>
      </w:r>
      <w:r w:rsidR="002164AD">
        <w:rPr>
          <w:sz w:val="24"/>
          <w:szCs w:val="24"/>
        </w:rPr>
        <w:t>,</w:t>
      </w:r>
      <w:r w:rsidR="002164AD" w:rsidRPr="002164AD">
        <w:rPr>
          <w:sz w:val="24"/>
          <w:szCs w:val="24"/>
        </w:rPr>
        <w:t xml:space="preserve"> que no ano de 1996 foi sancionada com o número 87, com a alcunha de “Lei Kandir”, em referência a seu idealizador.</w:t>
      </w:r>
      <w:r>
        <w:rPr>
          <w:sz w:val="24"/>
          <w:szCs w:val="24"/>
        </w:rPr>
        <w:t xml:space="preserve"> </w:t>
      </w:r>
      <w:r w:rsidR="002164AD" w:rsidRPr="002164AD">
        <w:rPr>
          <w:sz w:val="24"/>
          <w:szCs w:val="24"/>
        </w:rPr>
        <w:t>O Ministério da Fazenda, através da Secret</w:t>
      </w:r>
      <w:r>
        <w:rPr>
          <w:sz w:val="24"/>
          <w:szCs w:val="24"/>
        </w:rPr>
        <w:t>aria do Tesouro Nacional (STN)</w:t>
      </w:r>
      <w:r w:rsidR="002164AD">
        <w:rPr>
          <w:sz w:val="24"/>
          <w:szCs w:val="24"/>
        </w:rPr>
        <w:t xml:space="preserve">, </w:t>
      </w:r>
      <w:r w:rsidR="002164AD" w:rsidRPr="002164AD">
        <w:rPr>
          <w:sz w:val="24"/>
          <w:szCs w:val="24"/>
        </w:rPr>
        <w:t xml:space="preserve">considera esta </w:t>
      </w:r>
      <w:r>
        <w:rPr>
          <w:sz w:val="24"/>
          <w:szCs w:val="24"/>
        </w:rPr>
        <w:t>aprovação</w:t>
      </w:r>
      <w:r w:rsidR="002164AD" w:rsidRPr="002164AD">
        <w:rPr>
          <w:sz w:val="24"/>
          <w:szCs w:val="24"/>
        </w:rPr>
        <w:t xml:space="preserve"> como um “marco regulatório modernizador do sistema tributário nacional”, aproximando das regras internacionais, no sentido de desonerar as exportações de imposto sobre consumo</w:t>
      </w:r>
      <w:r w:rsidR="008A180B">
        <w:rPr>
          <w:sz w:val="24"/>
          <w:szCs w:val="24"/>
        </w:rPr>
        <w:t xml:space="preserve"> </w:t>
      </w:r>
      <w:r w:rsidR="00B13EE9" w:rsidRPr="00B13EE9">
        <w:rPr>
          <w:noProof/>
          <w:sz w:val="24"/>
          <w:szCs w:val="24"/>
        </w:rPr>
        <w:t>(Secretaria do Tesouro Nacional – STN, 2014b, p. 1)</w:t>
      </w:r>
      <w:r w:rsidR="002164AD" w:rsidRPr="002164AD">
        <w:rPr>
          <w:sz w:val="24"/>
          <w:szCs w:val="24"/>
        </w:rPr>
        <w:t>.</w:t>
      </w:r>
    </w:p>
    <w:p w:rsidR="00FD2630" w:rsidRDefault="005914C5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 w:rsidRPr="005914C5">
        <w:rPr>
          <w:sz w:val="24"/>
          <w:szCs w:val="24"/>
        </w:rPr>
        <w:t>Na mesma este</w:t>
      </w:r>
      <w:r>
        <w:rPr>
          <w:sz w:val="24"/>
          <w:szCs w:val="24"/>
        </w:rPr>
        <w:t>ira de pensamento</w:t>
      </w:r>
      <w:r w:rsidR="00621BA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Kume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Piani</w:t>
      </w:r>
      <w:proofErr w:type="spellEnd"/>
      <w:r>
        <w:rPr>
          <w:sz w:val="24"/>
          <w:szCs w:val="24"/>
        </w:rPr>
        <w:t xml:space="preserve"> </w:t>
      </w:r>
      <w:r w:rsidRPr="005914C5">
        <w:rPr>
          <w:noProof/>
          <w:sz w:val="24"/>
          <w:szCs w:val="24"/>
        </w:rPr>
        <w:t>(1997)</w:t>
      </w:r>
      <w:r w:rsidRPr="005914C5">
        <w:rPr>
          <w:sz w:val="24"/>
          <w:szCs w:val="24"/>
        </w:rPr>
        <w:t>, avalizam o aumento da competividade dos produtos brasileiros no mercado internacional, entretanto</w:t>
      </w:r>
      <w:r w:rsidR="00EF1D1C">
        <w:rPr>
          <w:sz w:val="24"/>
          <w:szCs w:val="24"/>
        </w:rPr>
        <w:t>,</w:t>
      </w:r>
      <w:r w:rsidRPr="005914C5">
        <w:rPr>
          <w:sz w:val="24"/>
          <w:szCs w:val="24"/>
        </w:rPr>
        <w:t xml:space="preserve"> afiram que com a adoção de tais medidas os entes subnacionais sofreram perdas significativas de receita, principalmente os menos desenvolvidos. Leitão,</w:t>
      </w:r>
      <w:r w:rsidR="00FB799A">
        <w:rPr>
          <w:sz w:val="24"/>
          <w:szCs w:val="24"/>
        </w:rPr>
        <w:t xml:space="preserve"> </w:t>
      </w:r>
      <w:proofErr w:type="spellStart"/>
      <w:r w:rsidR="00FB799A">
        <w:rPr>
          <w:sz w:val="24"/>
          <w:szCs w:val="24"/>
        </w:rPr>
        <w:t>Irffi</w:t>
      </w:r>
      <w:proofErr w:type="spellEnd"/>
      <w:r w:rsidR="00FB799A">
        <w:rPr>
          <w:sz w:val="24"/>
          <w:szCs w:val="24"/>
        </w:rPr>
        <w:t xml:space="preserve"> e Linhares </w:t>
      </w:r>
      <w:r w:rsidR="00FB799A" w:rsidRPr="00FB799A">
        <w:rPr>
          <w:noProof/>
          <w:sz w:val="24"/>
          <w:szCs w:val="24"/>
        </w:rPr>
        <w:t>(2012)</w:t>
      </w:r>
      <w:r w:rsidR="002D0C4D">
        <w:rPr>
          <w:sz w:val="24"/>
          <w:szCs w:val="24"/>
        </w:rPr>
        <w:t>,</w:t>
      </w:r>
      <w:r w:rsidRPr="005914C5">
        <w:rPr>
          <w:sz w:val="24"/>
          <w:szCs w:val="24"/>
        </w:rPr>
        <w:t xml:space="preserve"> </w:t>
      </w:r>
      <w:r w:rsidR="00FB799A" w:rsidRPr="005914C5">
        <w:rPr>
          <w:sz w:val="24"/>
          <w:szCs w:val="24"/>
        </w:rPr>
        <w:t>indica</w:t>
      </w:r>
      <w:r w:rsidR="00FB799A">
        <w:rPr>
          <w:sz w:val="24"/>
          <w:szCs w:val="24"/>
        </w:rPr>
        <w:t>m</w:t>
      </w:r>
      <w:r w:rsidRPr="005914C5">
        <w:rPr>
          <w:sz w:val="24"/>
          <w:szCs w:val="24"/>
        </w:rPr>
        <w:t xml:space="preserve"> perdas de arrecadação de ICMS para os estados e que as compensações</w:t>
      </w:r>
      <w:r w:rsidR="002D0C4D">
        <w:rPr>
          <w:sz w:val="24"/>
          <w:szCs w:val="24"/>
        </w:rPr>
        <w:t xml:space="preserve"> financeiras</w:t>
      </w:r>
      <w:r w:rsidRPr="005914C5">
        <w:rPr>
          <w:sz w:val="24"/>
          <w:szCs w:val="24"/>
        </w:rPr>
        <w:t xml:space="preserve"> transferidas pelo governo federal não têm sido </w:t>
      </w:r>
      <w:r w:rsidR="00FB799A">
        <w:rPr>
          <w:sz w:val="24"/>
          <w:szCs w:val="24"/>
        </w:rPr>
        <w:t xml:space="preserve">suficientes </w:t>
      </w:r>
      <w:r w:rsidRPr="005914C5">
        <w:rPr>
          <w:sz w:val="24"/>
          <w:szCs w:val="24"/>
        </w:rPr>
        <w:t>para compensá-las.</w:t>
      </w:r>
    </w:p>
    <w:p w:rsidR="00FB799A" w:rsidRDefault="00FB799A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 w:rsidRPr="00FB799A">
        <w:rPr>
          <w:sz w:val="24"/>
          <w:szCs w:val="24"/>
        </w:rPr>
        <w:t xml:space="preserve">Dado as perdas financeiras que Estados e Municípios vinham apresentando, o Governo Federal instituiu o </w:t>
      </w:r>
      <w:proofErr w:type="spellStart"/>
      <w:r w:rsidRPr="007E7B27">
        <w:rPr>
          <w:sz w:val="24"/>
          <w:szCs w:val="24"/>
        </w:rPr>
        <w:t>FEX</w:t>
      </w:r>
      <w:proofErr w:type="spellEnd"/>
      <w:r w:rsidRPr="00FB799A">
        <w:rPr>
          <w:sz w:val="24"/>
          <w:szCs w:val="24"/>
        </w:rPr>
        <w:t xml:space="preserve"> como uma transferência fiscal desvinculada da União aos Estados, Distrito Federal e Municípios, através da Medida Provisória (MP) nº193, de 24 de junho</w:t>
      </w:r>
      <w:r w:rsidR="002B11B5">
        <w:rPr>
          <w:sz w:val="24"/>
          <w:szCs w:val="24"/>
        </w:rPr>
        <w:t xml:space="preserve"> 2004, </w:t>
      </w:r>
      <w:r w:rsidR="00EF1D1C">
        <w:rPr>
          <w:sz w:val="24"/>
          <w:szCs w:val="24"/>
        </w:rPr>
        <w:t>que</w:t>
      </w:r>
      <w:r w:rsidR="002B11B5">
        <w:rPr>
          <w:sz w:val="24"/>
          <w:szCs w:val="24"/>
        </w:rPr>
        <w:t xml:space="preserve"> foi transformada na L</w:t>
      </w:r>
      <w:r w:rsidRPr="00FB799A">
        <w:rPr>
          <w:sz w:val="24"/>
          <w:szCs w:val="24"/>
        </w:rPr>
        <w:t>ei nº 10.966/</w:t>
      </w:r>
      <w:r w:rsidR="002B11B5">
        <w:rPr>
          <w:sz w:val="24"/>
          <w:szCs w:val="24"/>
        </w:rPr>
        <w:t xml:space="preserve">2004 </w:t>
      </w:r>
      <w:r w:rsidR="005A7E5C" w:rsidRPr="005A7E5C">
        <w:rPr>
          <w:noProof/>
          <w:sz w:val="24"/>
          <w:szCs w:val="24"/>
        </w:rPr>
        <w:t>(Secretaria do Tesouro Nacional – STN, 2016)</w:t>
      </w:r>
      <w:r w:rsidRPr="00FB799A">
        <w:rPr>
          <w:sz w:val="24"/>
          <w:szCs w:val="24"/>
        </w:rPr>
        <w:t>. Os recursos são repassados, através de previsões em orçamento da União, observando aspectos de repasse a Estado e Municípios, sem quaisquer retenções.</w:t>
      </w:r>
    </w:p>
    <w:p w:rsidR="00804571" w:rsidRDefault="00804571" w:rsidP="008B426E">
      <w:pPr>
        <w:widowControl w:val="0"/>
        <w:spacing w:before="240" w:after="120"/>
        <w:rPr>
          <w:b/>
          <w:sz w:val="24"/>
          <w:szCs w:val="24"/>
        </w:rPr>
      </w:pPr>
      <w:r w:rsidRPr="00804571">
        <w:rPr>
          <w:b/>
          <w:sz w:val="24"/>
          <w:szCs w:val="24"/>
        </w:rPr>
        <w:t>3 Procedimentos Metodológicos</w:t>
      </w:r>
    </w:p>
    <w:p w:rsidR="007B6527" w:rsidRDefault="002152B8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estudo é de natureza descritiva, </w:t>
      </w:r>
      <w:r w:rsidRPr="009B4C26">
        <w:rPr>
          <w:sz w:val="24"/>
          <w:szCs w:val="24"/>
        </w:rPr>
        <w:t>bibliográfica</w:t>
      </w:r>
      <w:r>
        <w:rPr>
          <w:sz w:val="24"/>
          <w:szCs w:val="24"/>
        </w:rPr>
        <w:t>, com</w:t>
      </w:r>
      <w:r w:rsidRPr="0075003D">
        <w:rPr>
          <w:sz w:val="24"/>
          <w:szCs w:val="24"/>
        </w:rPr>
        <w:t xml:space="preserve"> </w:t>
      </w:r>
      <w:r>
        <w:rPr>
          <w:sz w:val="24"/>
          <w:szCs w:val="24"/>
        </w:rPr>
        <w:t>abordagem quantitativa e usou como fonte dados secundários. As pesquisas descritivas</w:t>
      </w:r>
      <w:r w:rsidR="00B95647">
        <w:rPr>
          <w:sz w:val="24"/>
          <w:szCs w:val="24"/>
        </w:rPr>
        <w:t xml:space="preserve"> tê</w:t>
      </w:r>
      <w:r w:rsidR="0075003D" w:rsidRPr="0075003D">
        <w:rPr>
          <w:sz w:val="24"/>
          <w:szCs w:val="24"/>
        </w:rPr>
        <w:t xml:space="preserve">m como finalidade a </w:t>
      </w:r>
      <w:r w:rsidR="00543A6C">
        <w:rPr>
          <w:sz w:val="24"/>
          <w:szCs w:val="24"/>
        </w:rPr>
        <w:t xml:space="preserve">descrição </w:t>
      </w:r>
      <w:r w:rsidR="0075003D" w:rsidRPr="0075003D">
        <w:rPr>
          <w:sz w:val="24"/>
          <w:szCs w:val="24"/>
        </w:rPr>
        <w:t>de</w:t>
      </w:r>
      <w:r w:rsidR="0075003D">
        <w:rPr>
          <w:sz w:val="24"/>
          <w:szCs w:val="24"/>
        </w:rPr>
        <w:t xml:space="preserve"> </w:t>
      </w:r>
      <w:r w:rsidR="00543A6C">
        <w:rPr>
          <w:sz w:val="24"/>
          <w:szCs w:val="24"/>
        </w:rPr>
        <w:t>fatos</w:t>
      </w:r>
      <w:r w:rsidR="0075003D" w:rsidRPr="0075003D">
        <w:rPr>
          <w:sz w:val="24"/>
          <w:szCs w:val="24"/>
        </w:rPr>
        <w:t xml:space="preserve"> ou fenômeno</w:t>
      </w:r>
      <w:r w:rsidR="00543A6C">
        <w:rPr>
          <w:sz w:val="24"/>
          <w:szCs w:val="24"/>
        </w:rPr>
        <w:t xml:space="preserve"> ou a relação entre variáveis, sem a interferência do pesquisador</w:t>
      </w:r>
      <w:r w:rsidR="007B6527">
        <w:rPr>
          <w:sz w:val="24"/>
          <w:szCs w:val="24"/>
        </w:rPr>
        <w:t xml:space="preserve"> e envolve técnicas padronizadas de coleta de dados </w:t>
      </w:r>
      <w:r w:rsidR="007B6527" w:rsidRPr="007B6527">
        <w:rPr>
          <w:noProof/>
          <w:sz w:val="24"/>
          <w:szCs w:val="24"/>
        </w:rPr>
        <w:t>(Provdanov &amp; Freitas, 2013)</w:t>
      </w:r>
      <w:r w:rsidR="00543A6C">
        <w:rPr>
          <w:sz w:val="24"/>
          <w:szCs w:val="24"/>
        </w:rPr>
        <w:t xml:space="preserve">. </w:t>
      </w:r>
    </w:p>
    <w:p w:rsidR="00804571" w:rsidRDefault="007B6527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É</w:t>
      </w:r>
      <w:r w:rsidRPr="009B4C26">
        <w:rPr>
          <w:sz w:val="24"/>
          <w:szCs w:val="24"/>
        </w:rPr>
        <w:t xml:space="preserve"> bibliográfica, pois fez o uso de fontes secundárias públicas como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sites </w:t>
      </w:r>
      <w:r>
        <w:rPr>
          <w:sz w:val="24"/>
          <w:szCs w:val="24"/>
        </w:rPr>
        <w:t>oficiais,</w:t>
      </w:r>
      <w:r w:rsidRPr="009B4C26">
        <w:rPr>
          <w:sz w:val="24"/>
          <w:szCs w:val="24"/>
        </w:rPr>
        <w:t xml:space="preserve"> livros, periódicos, revistas, jornais, dissertações, teses, </w:t>
      </w:r>
      <w:r w:rsidRPr="00B915B4">
        <w:rPr>
          <w:sz w:val="24"/>
          <w:szCs w:val="24"/>
        </w:rPr>
        <w:t>entre</w:t>
      </w:r>
      <w:r w:rsidRPr="009B4C26">
        <w:rPr>
          <w:sz w:val="24"/>
          <w:szCs w:val="24"/>
        </w:rPr>
        <w:t xml:space="preserve"> outros</w:t>
      </w:r>
      <w:r>
        <w:rPr>
          <w:sz w:val="24"/>
          <w:szCs w:val="24"/>
        </w:rPr>
        <w:t xml:space="preserve">, </w:t>
      </w:r>
      <w:r w:rsidRPr="009B4C26">
        <w:rPr>
          <w:sz w:val="24"/>
          <w:szCs w:val="24"/>
        </w:rPr>
        <w:t xml:space="preserve">sobre o tema </w:t>
      </w:r>
      <w:r w:rsidRPr="007B6527">
        <w:rPr>
          <w:noProof/>
          <w:sz w:val="24"/>
          <w:szCs w:val="24"/>
        </w:rPr>
        <w:t xml:space="preserve">(Marconi &amp; Lakatos, </w:t>
      </w:r>
      <w:r w:rsidRPr="007B6527">
        <w:rPr>
          <w:noProof/>
          <w:sz w:val="24"/>
          <w:szCs w:val="24"/>
        </w:rPr>
        <w:lastRenderedPageBreak/>
        <w:t>2003)</w:t>
      </w:r>
      <w:r>
        <w:rPr>
          <w:sz w:val="24"/>
          <w:szCs w:val="24"/>
        </w:rPr>
        <w:t>. É quantitativa</w:t>
      </w:r>
      <w:r w:rsidR="00543A6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por traduzir </w:t>
      </w:r>
      <w:r w:rsidR="009B4C26">
        <w:rPr>
          <w:sz w:val="24"/>
          <w:szCs w:val="24"/>
        </w:rPr>
        <w:t>em números</w:t>
      </w:r>
      <w:r w:rsidR="003B67E4" w:rsidRPr="003B67E4">
        <w:rPr>
          <w:sz w:val="24"/>
          <w:szCs w:val="24"/>
        </w:rPr>
        <w:t xml:space="preserve"> </w:t>
      </w:r>
      <w:r w:rsidR="003B67E4" w:rsidRPr="00543A6C">
        <w:rPr>
          <w:sz w:val="24"/>
          <w:szCs w:val="24"/>
        </w:rPr>
        <w:t>os resultados</w:t>
      </w:r>
      <w:r w:rsidR="00A23E46">
        <w:rPr>
          <w:sz w:val="24"/>
          <w:szCs w:val="24"/>
        </w:rPr>
        <w:t>, opiniões e informações,</w:t>
      </w:r>
      <w:r w:rsidR="00543A6C" w:rsidRPr="00543A6C">
        <w:rPr>
          <w:sz w:val="24"/>
          <w:szCs w:val="24"/>
        </w:rPr>
        <w:t xml:space="preserve"> produzindo </w:t>
      </w:r>
      <w:r w:rsidR="00A23E46">
        <w:rPr>
          <w:sz w:val="24"/>
          <w:szCs w:val="24"/>
        </w:rPr>
        <w:t>valores e percentuais demonstrados em gráficos e</w:t>
      </w:r>
      <w:r w:rsidR="00543A6C" w:rsidRPr="00543A6C">
        <w:rPr>
          <w:sz w:val="24"/>
          <w:szCs w:val="24"/>
        </w:rPr>
        <w:t xml:space="preserve"> tabelas</w:t>
      </w:r>
      <w:r w:rsidR="009B4C26">
        <w:rPr>
          <w:sz w:val="24"/>
          <w:szCs w:val="24"/>
        </w:rPr>
        <w:t xml:space="preserve"> </w:t>
      </w:r>
      <w:r w:rsidR="00A23E46" w:rsidRPr="00A23E46">
        <w:rPr>
          <w:noProof/>
          <w:sz w:val="24"/>
          <w:szCs w:val="24"/>
        </w:rPr>
        <w:t>(Provdanov &amp; Freitas, 2013; Richardson, Peres, Wanderley, Correia, &amp; Peres, 2012)</w:t>
      </w:r>
      <w:r w:rsidR="00543A6C" w:rsidRPr="00543A6C">
        <w:rPr>
          <w:sz w:val="24"/>
          <w:szCs w:val="24"/>
        </w:rPr>
        <w:t>.</w:t>
      </w:r>
    </w:p>
    <w:p w:rsidR="000E2F0C" w:rsidRDefault="004C1981" w:rsidP="000E2F0C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objeto de estudo foi as exportações de soja, milho, algodão,</w:t>
      </w:r>
      <w:r w:rsidRPr="00513549">
        <w:rPr>
          <w:sz w:val="24"/>
          <w:szCs w:val="24"/>
        </w:rPr>
        <w:t xml:space="preserve"> bovino e </w:t>
      </w:r>
      <w:r>
        <w:rPr>
          <w:sz w:val="24"/>
          <w:szCs w:val="24"/>
        </w:rPr>
        <w:t>seus</w:t>
      </w:r>
      <w:r w:rsidRPr="00513549">
        <w:rPr>
          <w:sz w:val="24"/>
          <w:szCs w:val="24"/>
        </w:rPr>
        <w:t xml:space="preserve"> principais derivados</w:t>
      </w:r>
      <w:r w:rsidR="00D36492">
        <w:rPr>
          <w:sz w:val="24"/>
          <w:szCs w:val="24"/>
        </w:rPr>
        <w:t xml:space="preserve"> e </w:t>
      </w:r>
      <w:r w:rsidR="00D36492" w:rsidRPr="00D36492">
        <w:rPr>
          <w:sz w:val="24"/>
          <w:szCs w:val="24"/>
        </w:rPr>
        <w:t>o</w:t>
      </w:r>
      <w:r w:rsidR="00E2250E">
        <w:rPr>
          <w:sz w:val="24"/>
          <w:szCs w:val="24"/>
        </w:rPr>
        <w:t>s repasses federais referentes</w:t>
      </w:r>
      <w:r w:rsidR="00D36492" w:rsidRPr="00D36492">
        <w:rPr>
          <w:sz w:val="24"/>
          <w:szCs w:val="24"/>
        </w:rPr>
        <w:t xml:space="preserve"> Lei Kandir e o </w:t>
      </w:r>
      <w:proofErr w:type="spellStart"/>
      <w:r w:rsidR="00D36492" w:rsidRPr="00D36492">
        <w:rPr>
          <w:sz w:val="24"/>
          <w:szCs w:val="24"/>
        </w:rPr>
        <w:t>FEX</w:t>
      </w:r>
      <w:proofErr w:type="spellEnd"/>
      <w:r>
        <w:rPr>
          <w:sz w:val="24"/>
          <w:szCs w:val="24"/>
        </w:rPr>
        <w:t>. Justifica-se a escolha de tais produtos por serem os mais representativos nas exportações do setor agropecuário mato-grossense</w:t>
      </w:r>
      <w:r w:rsidR="00733356">
        <w:rPr>
          <w:sz w:val="24"/>
          <w:szCs w:val="24"/>
        </w:rPr>
        <w:t xml:space="preserve">, representando mais de 98% do total das exportações do período. </w:t>
      </w:r>
      <w:r w:rsidR="00513549">
        <w:rPr>
          <w:sz w:val="24"/>
          <w:szCs w:val="24"/>
        </w:rPr>
        <w:t>Os dados das</w:t>
      </w:r>
      <w:r w:rsidR="00F7422F">
        <w:rPr>
          <w:sz w:val="24"/>
          <w:szCs w:val="24"/>
        </w:rPr>
        <w:t xml:space="preserve"> exportações do estad</w:t>
      </w:r>
      <w:r>
        <w:rPr>
          <w:sz w:val="24"/>
          <w:szCs w:val="24"/>
        </w:rPr>
        <w:t>o de Mato Grosso foram obtidos n</w:t>
      </w:r>
      <w:r w:rsidR="00F7422F">
        <w:rPr>
          <w:sz w:val="24"/>
          <w:szCs w:val="24"/>
        </w:rPr>
        <w:t xml:space="preserve">o </w:t>
      </w:r>
      <w:r w:rsidR="00F7422F">
        <w:rPr>
          <w:i/>
          <w:sz w:val="24"/>
          <w:szCs w:val="24"/>
        </w:rPr>
        <w:t>site</w:t>
      </w:r>
      <w:r w:rsidR="00F7422F">
        <w:rPr>
          <w:sz w:val="24"/>
          <w:szCs w:val="24"/>
        </w:rPr>
        <w:t xml:space="preserve"> </w:t>
      </w:r>
      <w:r w:rsidR="00B915B4">
        <w:rPr>
          <w:sz w:val="24"/>
          <w:szCs w:val="24"/>
        </w:rPr>
        <w:t xml:space="preserve">oficial </w:t>
      </w:r>
      <w:r w:rsidR="00F7422F">
        <w:rPr>
          <w:sz w:val="24"/>
          <w:szCs w:val="24"/>
        </w:rPr>
        <w:t xml:space="preserve">do </w:t>
      </w:r>
      <w:r w:rsidR="00F7422F" w:rsidRPr="00F7422F">
        <w:rPr>
          <w:sz w:val="24"/>
          <w:szCs w:val="24"/>
        </w:rPr>
        <w:t>Ministério da</w:t>
      </w:r>
      <w:r w:rsidR="00F7422F">
        <w:rPr>
          <w:sz w:val="24"/>
          <w:szCs w:val="24"/>
        </w:rPr>
        <w:t xml:space="preserve"> </w:t>
      </w:r>
      <w:r w:rsidR="00F7422F" w:rsidRPr="00F7422F">
        <w:rPr>
          <w:sz w:val="24"/>
          <w:szCs w:val="24"/>
        </w:rPr>
        <w:t>Indústria, Comércio Exterior e Serviços</w:t>
      </w:r>
      <w:r w:rsidR="00F7422F">
        <w:rPr>
          <w:sz w:val="24"/>
          <w:szCs w:val="24"/>
        </w:rPr>
        <w:t xml:space="preserve"> (</w:t>
      </w:r>
      <w:proofErr w:type="spellStart"/>
      <w:r w:rsidR="00F7422F">
        <w:rPr>
          <w:sz w:val="24"/>
          <w:szCs w:val="24"/>
        </w:rPr>
        <w:t>MDIC</w:t>
      </w:r>
      <w:proofErr w:type="spellEnd"/>
      <w:r w:rsidR="00F7422F">
        <w:rPr>
          <w:sz w:val="24"/>
          <w:szCs w:val="24"/>
        </w:rPr>
        <w:t>)</w:t>
      </w:r>
      <w:r w:rsidR="00C47577">
        <w:rPr>
          <w:sz w:val="24"/>
          <w:szCs w:val="24"/>
        </w:rPr>
        <w:t xml:space="preserve"> </w:t>
      </w:r>
      <w:r>
        <w:rPr>
          <w:sz w:val="24"/>
          <w:szCs w:val="24"/>
        </w:rPr>
        <w:t>da</w:t>
      </w:r>
      <w:r w:rsidR="00C47577">
        <w:rPr>
          <w:sz w:val="24"/>
          <w:szCs w:val="24"/>
        </w:rPr>
        <w:t xml:space="preserve"> “</w:t>
      </w:r>
      <w:r w:rsidR="00C47577" w:rsidRPr="00C47577">
        <w:rPr>
          <w:sz w:val="24"/>
          <w:szCs w:val="24"/>
        </w:rPr>
        <w:t xml:space="preserve">Balança comercial brasileira: </w:t>
      </w:r>
      <w:r w:rsidR="008465B5">
        <w:rPr>
          <w:sz w:val="24"/>
          <w:szCs w:val="24"/>
        </w:rPr>
        <w:t>Unidades da Federação</w:t>
      </w:r>
      <w:r w:rsidR="00C47577">
        <w:rPr>
          <w:sz w:val="24"/>
          <w:szCs w:val="24"/>
        </w:rPr>
        <w:t>”</w:t>
      </w:r>
      <w:r w:rsidR="00F7422F">
        <w:rPr>
          <w:sz w:val="24"/>
          <w:szCs w:val="24"/>
        </w:rPr>
        <w:t xml:space="preserve">, referente </w:t>
      </w:r>
      <w:r>
        <w:rPr>
          <w:sz w:val="24"/>
          <w:szCs w:val="24"/>
        </w:rPr>
        <w:t>ao período de</w:t>
      </w:r>
      <w:r w:rsidR="00C47577">
        <w:rPr>
          <w:sz w:val="24"/>
          <w:szCs w:val="24"/>
        </w:rPr>
        <w:t xml:space="preserve"> 2013</w:t>
      </w:r>
      <w:r>
        <w:rPr>
          <w:sz w:val="24"/>
          <w:szCs w:val="24"/>
        </w:rPr>
        <w:t xml:space="preserve"> a 2017. </w:t>
      </w:r>
      <w:r w:rsidR="000E2F0C">
        <w:rPr>
          <w:sz w:val="24"/>
          <w:szCs w:val="24"/>
        </w:rPr>
        <w:t>Nos resultados for</w:t>
      </w:r>
      <w:r w:rsidR="000E2F0C" w:rsidRPr="009669B7">
        <w:rPr>
          <w:sz w:val="24"/>
          <w:szCs w:val="24"/>
        </w:rPr>
        <w:t>am utilizados os códigos da Nomenclatura Comum do Mercosul (</w:t>
      </w:r>
      <w:proofErr w:type="spellStart"/>
      <w:r w:rsidR="000E2F0C" w:rsidRPr="009669B7">
        <w:rPr>
          <w:sz w:val="24"/>
          <w:szCs w:val="24"/>
        </w:rPr>
        <w:t>NCM</w:t>
      </w:r>
      <w:proofErr w:type="spellEnd"/>
      <w:r w:rsidR="000E2F0C" w:rsidRPr="009669B7">
        <w:rPr>
          <w:sz w:val="24"/>
          <w:szCs w:val="24"/>
        </w:rPr>
        <w:t>) conforme apresentado na</w:t>
      </w:r>
      <w:r w:rsidR="009669B7" w:rsidRPr="009669B7">
        <w:rPr>
          <w:sz w:val="24"/>
          <w:szCs w:val="24"/>
        </w:rPr>
        <w:t xml:space="preserve"> </w:t>
      </w:r>
      <w:r w:rsidR="009669B7" w:rsidRPr="009669B7">
        <w:rPr>
          <w:sz w:val="24"/>
          <w:szCs w:val="24"/>
        </w:rPr>
        <w:fldChar w:fldCharType="begin"/>
      </w:r>
      <w:r w:rsidR="009669B7" w:rsidRPr="009669B7">
        <w:rPr>
          <w:sz w:val="24"/>
          <w:szCs w:val="24"/>
        </w:rPr>
        <w:instrText xml:space="preserve"> REF _Ref513275117 \h  \* MERGEFORMAT </w:instrText>
      </w:r>
      <w:r w:rsidR="009669B7" w:rsidRPr="009669B7">
        <w:rPr>
          <w:sz w:val="24"/>
          <w:szCs w:val="24"/>
        </w:rPr>
      </w:r>
      <w:r w:rsidR="009669B7" w:rsidRPr="009669B7">
        <w:rPr>
          <w:sz w:val="24"/>
          <w:szCs w:val="24"/>
        </w:rPr>
        <w:fldChar w:fldCharType="separate"/>
      </w:r>
      <w:r w:rsidR="009D7C72" w:rsidRPr="009D7C72">
        <w:rPr>
          <w:sz w:val="24"/>
          <w:szCs w:val="24"/>
        </w:rPr>
        <w:t xml:space="preserve">Tabela </w:t>
      </w:r>
      <w:r w:rsidR="009D7C72" w:rsidRPr="009D7C72">
        <w:rPr>
          <w:noProof/>
          <w:sz w:val="24"/>
          <w:szCs w:val="24"/>
        </w:rPr>
        <w:t>1</w:t>
      </w:r>
      <w:r w:rsidR="009669B7" w:rsidRPr="009669B7">
        <w:rPr>
          <w:sz w:val="24"/>
          <w:szCs w:val="24"/>
        </w:rPr>
        <w:fldChar w:fldCharType="end"/>
      </w:r>
      <w:r w:rsidR="000E2F0C">
        <w:rPr>
          <w:sz w:val="24"/>
          <w:szCs w:val="24"/>
        </w:rPr>
        <w:t>.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5096"/>
        <w:gridCol w:w="852"/>
        <w:gridCol w:w="616"/>
        <w:gridCol w:w="607"/>
        <w:gridCol w:w="758"/>
      </w:tblGrid>
      <w:tr w:rsidR="009669B7" w:rsidRPr="00C47577" w:rsidTr="006D7992">
        <w:trPr>
          <w:trHeight w:val="260"/>
        </w:trPr>
        <w:tc>
          <w:tcPr>
            <w:tcW w:w="5000" w:type="pct"/>
            <w:gridSpan w:val="6"/>
            <w:tcBorders>
              <w:top w:val="nil"/>
              <w:bottom w:val="single" w:sz="18" w:space="0" w:color="auto"/>
            </w:tcBorders>
          </w:tcPr>
          <w:p w:rsidR="009669B7" w:rsidRPr="00963587" w:rsidRDefault="009669B7" w:rsidP="009669B7">
            <w:pPr>
              <w:rPr>
                <w:b/>
              </w:rPr>
            </w:pPr>
            <w:bookmarkStart w:id="2" w:name="_Ref513275117"/>
            <w:r w:rsidRPr="00963587">
              <w:rPr>
                <w:b/>
              </w:rPr>
              <w:t xml:space="preserve">Tabela </w:t>
            </w:r>
            <w:r w:rsidRPr="00963587">
              <w:rPr>
                <w:b/>
              </w:rPr>
              <w:fldChar w:fldCharType="begin"/>
            </w:r>
            <w:r w:rsidRPr="00963587">
              <w:rPr>
                <w:b/>
              </w:rPr>
              <w:instrText xml:space="preserve"> SEQ Tabela \* ARABIC </w:instrText>
            </w:r>
            <w:r w:rsidRPr="00963587">
              <w:rPr>
                <w:b/>
              </w:rPr>
              <w:fldChar w:fldCharType="separate"/>
            </w:r>
            <w:r w:rsidR="009D7C72">
              <w:rPr>
                <w:b/>
                <w:noProof/>
              </w:rPr>
              <w:t>1</w:t>
            </w:r>
            <w:r w:rsidRPr="00963587">
              <w:rPr>
                <w:b/>
              </w:rPr>
              <w:fldChar w:fldCharType="end"/>
            </w:r>
            <w:bookmarkEnd w:id="2"/>
            <w:r>
              <w:rPr>
                <w:b/>
              </w:rPr>
              <w:t>.</w:t>
            </w:r>
            <w:r w:rsidRPr="00963587">
              <w:rPr>
                <w:b/>
              </w:rPr>
              <w:t xml:space="preserve"> </w:t>
            </w:r>
            <w:r w:rsidRPr="00427824">
              <w:rPr>
                <w:b/>
              </w:rPr>
              <w:t>Produtos exportado por Mato Grosso utilizados na pesquisa</w:t>
            </w:r>
            <w:r w:rsidRPr="00963587">
              <w:rPr>
                <w:b/>
              </w:rPr>
              <w:t xml:space="preserve"> </w:t>
            </w:r>
            <w:r>
              <w:rPr>
                <w:b/>
              </w:rPr>
              <w:t xml:space="preserve">e </w:t>
            </w:r>
            <w:r w:rsidRPr="00963587">
              <w:rPr>
                <w:b/>
              </w:rPr>
              <w:t xml:space="preserve">Pegada Hídrica </w:t>
            </w:r>
            <w:r>
              <w:rPr>
                <w:b/>
              </w:rPr>
              <w:t>unitário</w:t>
            </w:r>
          </w:p>
        </w:tc>
      </w:tr>
      <w:tr w:rsidR="009669B7" w:rsidRPr="00C47577" w:rsidTr="006D7992">
        <w:trPr>
          <w:trHeight w:val="110"/>
        </w:trPr>
        <w:tc>
          <w:tcPr>
            <w:tcW w:w="626" w:type="pct"/>
            <w:vMerge w:val="restart"/>
            <w:tcBorders>
              <w:top w:val="single" w:sz="18" w:space="0" w:color="auto"/>
            </w:tcBorders>
            <w:shd w:val="clear" w:color="auto" w:fill="D9D9D9"/>
            <w:noWrap/>
            <w:vAlign w:val="center"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Código do </w:t>
            </w:r>
            <w:proofErr w:type="spellStart"/>
            <w:r w:rsidRPr="00C47577">
              <w:rPr>
                <w:color w:val="000000"/>
              </w:rPr>
              <w:t>NCM</w:t>
            </w:r>
            <w:proofErr w:type="spellEnd"/>
          </w:p>
        </w:tc>
        <w:tc>
          <w:tcPr>
            <w:tcW w:w="2811" w:type="pct"/>
            <w:vMerge w:val="restart"/>
            <w:tcBorders>
              <w:top w:val="single" w:sz="18" w:space="0" w:color="auto"/>
            </w:tcBorders>
            <w:shd w:val="clear" w:color="auto" w:fill="D9D9D9"/>
            <w:noWrap/>
            <w:vAlign w:val="center"/>
          </w:tcPr>
          <w:p w:rsidR="009669B7" w:rsidRPr="00C47577" w:rsidRDefault="009669B7" w:rsidP="00056A2F">
            <w:pPr>
              <w:rPr>
                <w:color w:val="000000"/>
              </w:rPr>
            </w:pPr>
            <w:r w:rsidRPr="00427824">
              <w:rPr>
                <w:color w:val="000000"/>
              </w:rPr>
              <w:t xml:space="preserve">Descrição </w:t>
            </w:r>
            <w:r>
              <w:rPr>
                <w:color w:val="000000"/>
              </w:rPr>
              <w:t xml:space="preserve">da </w:t>
            </w:r>
            <w:r w:rsidRPr="00427824">
              <w:rPr>
                <w:color w:val="000000"/>
              </w:rPr>
              <w:t>Nomenclatura Comum do Mercosul (</w:t>
            </w:r>
            <w:proofErr w:type="spellStart"/>
            <w:r w:rsidRPr="00427824">
              <w:rPr>
                <w:color w:val="000000"/>
              </w:rPr>
              <w:t>NCM</w:t>
            </w:r>
            <w:proofErr w:type="spellEnd"/>
            <w:r w:rsidRPr="00427824">
              <w:rPr>
                <w:color w:val="000000"/>
              </w:rPr>
              <w:t>)</w:t>
            </w:r>
          </w:p>
        </w:tc>
        <w:tc>
          <w:tcPr>
            <w:tcW w:w="1563" w:type="pct"/>
            <w:gridSpan w:val="4"/>
            <w:tcBorders>
              <w:top w:val="single" w:sz="18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669B7" w:rsidRPr="005F188E" w:rsidRDefault="009669B7" w:rsidP="00056A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Pegada Hídrica (m</w:t>
            </w:r>
            <w:r>
              <w:rPr>
                <w:color w:val="000000"/>
                <w:vertAlign w:val="superscript"/>
              </w:rPr>
              <w:t>3</w:t>
            </w:r>
            <w:r>
              <w:rPr>
                <w:color w:val="000000"/>
              </w:rPr>
              <w:t>/t)*</w:t>
            </w:r>
          </w:p>
        </w:tc>
      </w:tr>
      <w:tr w:rsidR="00F516DC" w:rsidRPr="00C47577" w:rsidTr="006D7992">
        <w:trPr>
          <w:trHeight w:val="110"/>
        </w:trPr>
        <w:tc>
          <w:tcPr>
            <w:tcW w:w="626" w:type="pct"/>
            <w:vMerge/>
            <w:shd w:val="clear" w:color="auto" w:fill="D9D9D9"/>
            <w:noWrap/>
            <w:vAlign w:val="center"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</w:p>
        </w:tc>
        <w:tc>
          <w:tcPr>
            <w:tcW w:w="2811" w:type="pct"/>
            <w:vMerge/>
            <w:shd w:val="clear" w:color="auto" w:fill="D9D9D9"/>
            <w:noWrap/>
            <w:vAlign w:val="center"/>
          </w:tcPr>
          <w:p w:rsidR="009669B7" w:rsidRPr="00C47577" w:rsidRDefault="009669B7" w:rsidP="00056A2F">
            <w:pPr>
              <w:rPr>
                <w:color w:val="000000"/>
              </w:rPr>
            </w:pPr>
          </w:p>
        </w:tc>
        <w:tc>
          <w:tcPr>
            <w:tcW w:w="470" w:type="pct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9669B7" w:rsidRDefault="009669B7" w:rsidP="00056A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Verde</w:t>
            </w:r>
          </w:p>
        </w:tc>
        <w:tc>
          <w:tcPr>
            <w:tcW w:w="340" w:type="pct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9669B7" w:rsidRDefault="009669B7" w:rsidP="00056A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Azul</w:t>
            </w:r>
          </w:p>
        </w:tc>
        <w:tc>
          <w:tcPr>
            <w:tcW w:w="335" w:type="pct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9669B7" w:rsidRDefault="009669B7" w:rsidP="00056A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Cinza</w:t>
            </w:r>
          </w:p>
        </w:tc>
        <w:tc>
          <w:tcPr>
            <w:tcW w:w="419" w:type="pct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9669B7" w:rsidRDefault="009669B7" w:rsidP="00056A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</w:tc>
      </w:tr>
      <w:tr w:rsidR="00F516DC" w:rsidRPr="00C47577" w:rsidTr="006D7992">
        <w:trPr>
          <w:trHeight w:val="227"/>
        </w:trPr>
        <w:tc>
          <w:tcPr>
            <w:tcW w:w="626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  <w:r w:rsidRPr="00C47577">
              <w:rPr>
                <w:color w:val="000000"/>
              </w:rPr>
              <w:t>12019000</w:t>
            </w:r>
          </w:p>
        </w:tc>
        <w:tc>
          <w:tcPr>
            <w:tcW w:w="2811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rPr>
                <w:color w:val="000000"/>
              </w:rPr>
            </w:pPr>
            <w:r w:rsidRPr="00C47577">
              <w:rPr>
                <w:color w:val="000000"/>
              </w:rPr>
              <w:t>soja, mesmo triturada, exceto para semeadura</w:t>
            </w:r>
          </w:p>
        </w:tc>
        <w:tc>
          <w:tcPr>
            <w:tcW w:w="470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suppressAutoHyphens w:val="0"/>
              <w:jc w:val="right"/>
              <w:rPr>
                <w:color w:val="000000"/>
              </w:rPr>
            </w:pPr>
            <w:r>
              <w:rPr>
                <w:color w:val="000000"/>
              </w:rPr>
              <w:t>1.924</w:t>
            </w:r>
          </w:p>
        </w:tc>
        <w:tc>
          <w:tcPr>
            <w:tcW w:w="340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suppressAutoHyphens w:val="0"/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35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19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suppressAutoHyphens w:val="0"/>
              <w:jc w:val="right"/>
              <w:rPr>
                <w:color w:val="000000"/>
              </w:rPr>
            </w:pPr>
            <w:r>
              <w:rPr>
                <w:color w:val="000000"/>
              </w:rPr>
              <w:t>1.938</w:t>
            </w:r>
          </w:p>
        </w:tc>
      </w:tr>
      <w:tr w:rsidR="00F516DC" w:rsidRPr="00C47577" w:rsidTr="006D7992">
        <w:trPr>
          <w:trHeight w:val="227"/>
        </w:trPr>
        <w:tc>
          <w:tcPr>
            <w:tcW w:w="62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  <w:r w:rsidRPr="00C47577">
              <w:rPr>
                <w:color w:val="000000"/>
              </w:rPr>
              <w:t>23040090</w:t>
            </w:r>
          </w:p>
        </w:tc>
        <w:tc>
          <w:tcPr>
            <w:tcW w:w="281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rPr>
                <w:color w:val="000000"/>
              </w:rPr>
            </w:pPr>
            <w:r w:rsidRPr="00C47577">
              <w:rPr>
                <w:color w:val="000000"/>
              </w:rPr>
              <w:t>bagaços e outros resíduos sólidos, da extração do óleo de soja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1.596</w:t>
            </w:r>
          </w:p>
        </w:tc>
        <w:tc>
          <w:tcPr>
            <w:tcW w:w="340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35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19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1.608</w:t>
            </w:r>
          </w:p>
        </w:tc>
      </w:tr>
      <w:tr w:rsidR="00F516DC" w:rsidRPr="00C47577" w:rsidTr="006D7992">
        <w:trPr>
          <w:trHeight w:val="227"/>
        </w:trPr>
        <w:tc>
          <w:tcPr>
            <w:tcW w:w="626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  <w:r w:rsidRPr="00C47577">
              <w:rPr>
                <w:color w:val="000000"/>
              </w:rPr>
              <w:t>23040010</w:t>
            </w:r>
          </w:p>
        </w:tc>
        <w:tc>
          <w:tcPr>
            <w:tcW w:w="2811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rPr>
                <w:color w:val="000000"/>
              </w:rPr>
            </w:pPr>
            <w:r w:rsidRPr="00C47577">
              <w:rPr>
                <w:color w:val="000000"/>
              </w:rPr>
              <w:t>farinhas e "pellets", da extração do óleo de soja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1.596</w:t>
            </w:r>
          </w:p>
        </w:tc>
        <w:tc>
          <w:tcPr>
            <w:tcW w:w="340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19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1.608</w:t>
            </w:r>
          </w:p>
        </w:tc>
      </w:tr>
      <w:tr w:rsidR="00F516DC" w:rsidRPr="00C47577" w:rsidTr="006D7992">
        <w:trPr>
          <w:trHeight w:val="227"/>
        </w:trPr>
        <w:tc>
          <w:tcPr>
            <w:tcW w:w="626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  <w:r w:rsidRPr="00C47577">
              <w:rPr>
                <w:color w:val="000000"/>
              </w:rPr>
              <w:t>15071000</w:t>
            </w:r>
          </w:p>
        </w:tc>
        <w:tc>
          <w:tcPr>
            <w:tcW w:w="2811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rPr>
                <w:color w:val="000000"/>
              </w:rPr>
            </w:pPr>
            <w:r w:rsidRPr="00C47577">
              <w:rPr>
                <w:color w:val="000000"/>
              </w:rPr>
              <w:t>óle</w:t>
            </w:r>
            <w:r w:rsidR="00D36492">
              <w:rPr>
                <w:color w:val="000000"/>
              </w:rPr>
              <w:t>o de soja, em bruto, mesmo degom</w:t>
            </w:r>
            <w:r w:rsidRPr="00C47577">
              <w:rPr>
                <w:color w:val="000000"/>
              </w:rPr>
              <w:t>ado</w:t>
            </w:r>
          </w:p>
        </w:tc>
        <w:tc>
          <w:tcPr>
            <w:tcW w:w="470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suppressAutoHyphens w:val="0"/>
              <w:jc w:val="right"/>
              <w:rPr>
                <w:color w:val="000000"/>
              </w:rPr>
            </w:pPr>
            <w:r>
              <w:rPr>
                <w:color w:val="000000"/>
              </w:rPr>
              <w:t>3.684</w:t>
            </w:r>
          </w:p>
        </w:tc>
        <w:tc>
          <w:tcPr>
            <w:tcW w:w="340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35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19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suppressAutoHyphens w:val="0"/>
              <w:jc w:val="right"/>
              <w:rPr>
                <w:color w:val="000000"/>
              </w:rPr>
            </w:pPr>
            <w:r>
              <w:rPr>
                <w:color w:val="000000"/>
              </w:rPr>
              <w:t>3.711</w:t>
            </w:r>
          </w:p>
        </w:tc>
      </w:tr>
      <w:tr w:rsidR="00F516DC" w:rsidRPr="00C47577" w:rsidTr="006D7992">
        <w:trPr>
          <w:trHeight w:val="227"/>
        </w:trPr>
        <w:tc>
          <w:tcPr>
            <w:tcW w:w="62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  <w:r w:rsidRPr="00C47577">
              <w:rPr>
                <w:color w:val="000000"/>
              </w:rPr>
              <w:t>15079011</w:t>
            </w:r>
          </w:p>
        </w:tc>
        <w:tc>
          <w:tcPr>
            <w:tcW w:w="28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9B7" w:rsidRPr="00C47577" w:rsidRDefault="009669B7" w:rsidP="00056A2F">
            <w:pPr>
              <w:rPr>
                <w:color w:val="000000"/>
              </w:rPr>
            </w:pPr>
            <w:r w:rsidRPr="00C47577">
              <w:rPr>
                <w:color w:val="000000"/>
              </w:rPr>
              <w:t>óleo de soja, refinado, em recipientes com capacidade&lt;=5l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3.759</w:t>
            </w:r>
          </w:p>
        </w:tc>
        <w:tc>
          <w:tcPr>
            <w:tcW w:w="340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35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419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3.787</w:t>
            </w:r>
          </w:p>
        </w:tc>
      </w:tr>
      <w:tr w:rsidR="00F516DC" w:rsidRPr="00C47577" w:rsidTr="006D7992">
        <w:trPr>
          <w:trHeight w:val="227"/>
        </w:trPr>
        <w:tc>
          <w:tcPr>
            <w:tcW w:w="626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  <w:r w:rsidRPr="00C47577">
              <w:rPr>
                <w:color w:val="000000"/>
              </w:rPr>
              <w:t>15079019</w:t>
            </w:r>
          </w:p>
        </w:tc>
        <w:tc>
          <w:tcPr>
            <w:tcW w:w="2811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669B7" w:rsidRPr="00C47577" w:rsidRDefault="009669B7" w:rsidP="00056A2F">
            <w:pPr>
              <w:rPr>
                <w:color w:val="000000"/>
              </w:rPr>
            </w:pPr>
            <w:r w:rsidRPr="00C47577">
              <w:rPr>
                <w:color w:val="000000"/>
              </w:rPr>
              <w:t>óleo de soja, refinado, em recipientes com capacidade&gt;5l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3.759</w:t>
            </w:r>
          </w:p>
        </w:tc>
        <w:tc>
          <w:tcPr>
            <w:tcW w:w="340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419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3.787</w:t>
            </w:r>
          </w:p>
        </w:tc>
      </w:tr>
      <w:tr w:rsidR="00F516DC" w:rsidRPr="00C47577" w:rsidTr="006D7992">
        <w:trPr>
          <w:trHeight w:val="227"/>
        </w:trPr>
        <w:tc>
          <w:tcPr>
            <w:tcW w:w="626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  <w:r w:rsidRPr="00C47577">
              <w:rPr>
                <w:color w:val="000000"/>
              </w:rPr>
              <w:t>10059010</w:t>
            </w:r>
          </w:p>
        </w:tc>
        <w:tc>
          <w:tcPr>
            <w:tcW w:w="2811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rPr>
                <w:color w:val="000000"/>
              </w:rPr>
            </w:pPr>
            <w:r w:rsidRPr="00C47577">
              <w:rPr>
                <w:color w:val="000000"/>
              </w:rPr>
              <w:t>milho em grão, exceto para semeadura</w:t>
            </w:r>
          </w:p>
        </w:tc>
        <w:tc>
          <w:tcPr>
            <w:tcW w:w="470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suppressAutoHyphens w:val="0"/>
              <w:jc w:val="right"/>
              <w:rPr>
                <w:color w:val="000000"/>
              </w:rPr>
            </w:pPr>
            <w:r>
              <w:rPr>
                <w:color w:val="000000"/>
              </w:rPr>
              <w:t>1.359</w:t>
            </w:r>
          </w:p>
        </w:tc>
        <w:tc>
          <w:tcPr>
            <w:tcW w:w="340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35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419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suppressAutoHyphens w:val="0"/>
              <w:jc w:val="right"/>
              <w:rPr>
                <w:color w:val="000000"/>
              </w:rPr>
            </w:pPr>
            <w:r>
              <w:rPr>
                <w:color w:val="000000"/>
              </w:rPr>
              <w:t>1.471</w:t>
            </w:r>
          </w:p>
        </w:tc>
      </w:tr>
      <w:tr w:rsidR="00F516DC" w:rsidRPr="00C47577" w:rsidTr="006D7992">
        <w:trPr>
          <w:trHeight w:val="227"/>
        </w:trPr>
        <w:tc>
          <w:tcPr>
            <w:tcW w:w="62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  <w:r w:rsidRPr="00C47577">
              <w:rPr>
                <w:color w:val="000000"/>
              </w:rPr>
              <w:t>10059090</w:t>
            </w:r>
          </w:p>
        </w:tc>
        <w:tc>
          <w:tcPr>
            <w:tcW w:w="28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9B7" w:rsidRPr="00C47577" w:rsidRDefault="009669B7" w:rsidP="00056A2F">
            <w:pPr>
              <w:rPr>
                <w:color w:val="000000"/>
              </w:rPr>
            </w:pPr>
            <w:r w:rsidRPr="00C47577">
              <w:rPr>
                <w:color w:val="000000"/>
              </w:rPr>
              <w:t xml:space="preserve">milho, exceto em grão  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1.359</w:t>
            </w:r>
          </w:p>
        </w:tc>
        <w:tc>
          <w:tcPr>
            <w:tcW w:w="340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35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419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1.471</w:t>
            </w:r>
          </w:p>
        </w:tc>
      </w:tr>
      <w:tr w:rsidR="00F516DC" w:rsidRPr="00C47577" w:rsidTr="006D7992">
        <w:trPr>
          <w:trHeight w:val="227"/>
        </w:trPr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  <w:r w:rsidRPr="00C47577">
              <w:rPr>
                <w:color w:val="000000"/>
              </w:rPr>
              <w:t>10051000</w:t>
            </w:r>
          </w:p>
        </w:tc>
        <w:tc>
          <w:tcPr>
            <w:tcW w:w="28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9B7" w:rsidRPr="00C47577" w:rsidRDefault="009669B7" w:rsidP="00056A2F">
            <w:pPr>
              <w:rPr>
                <w:color w:val="000000"/>
              </w:rPr>
            </w:pPr>
            <w:r w:rsidRPr="00C47577">
              <w:rPr>
                <w:color w:val="000000"/>
              </w:rPr>
              <w:t xml:space="preserve">milho para semeadura  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1.359</w:t>
            </w:r>
          </w:p>
        </w:tc>
        <w:tc>
          <w:tcPr>
            <w:tcW w:w="34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112</w:t>
            </w:r>
          </w:p>
        </w:tc>
        <w:tc>
          <w:tcPr>
            <w:tcW w:w="41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1.471</w:t>
            </w:r>
          </w:p>
        </w:tc>
      </w:tr>
      <w:tr w:rsidR="00F516DC" w:rsidRPr="00C47577" w:rsidTr="006D7992">
        <w:trPr>
          <w:trHeight w:val="227"/>
        </w:trPr>
        <w:tc>
          <w:tcPr>
            <w:tcW w:w="626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  <w:r w:rsidRPr="00C47577">
              <w:rPr>
                <w:color w:val="000000"/>
              </w:rPr>
              <w:t>11042300</w:t>
            </w:r>
          </w:p>
        </w:tc>
        <w:tc>
          <w:tcPr>
            <w:tcW w:w="2811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9669B7" w:rsidRPr="00C47577" w:rsidRDefault="009669B7" w:rsidP="00056A2F">
            <w:pPr>
              <w:rPr>
                <w:color w:val="000000"/>
              </w:rPr>
            </w:pPr>
            <w:r w:rsidRPr="00C47577">
              <w:rPr>
                <w:color w:val="000000"/>
              </w:rPr>
              <w:t>grãos de milho, descascados, em perolas, cortados, etc.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1.462</w:t>
            </w:r>
          </w:p>
        </w:tc>
        <w:tc>
          <w:tcPr>
            <w:tcW w:w="340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419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1.583</w:t>
            </w:r>
          </w:p>
        </w:tc>
      </w:tr>
      <w:tr w:rsidR="00F516DC" w:rsidRPr="00C47577" w:rsidTr="006D7992">
        <w:trPr>
          <w:trHeight w:val="227"/>
        </w:trPr>
        <w:tc>
          <w:tcPr>
            <w:tcW w:w="626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  <w:r w:rsidRPr="00C47577">
              <w:rPr>
                <w:color w:val="000000"/>
              </w:rPr>
              <w:t>52010020</w:t>
            </w:r>
          </w:p>
        </w:tc>
        <w:tc>
          <w:tcPr>
            <w:tcW w:w="2811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rPr>
                <w:color w:val="000000"/>
              </w:rPr>
            </w:pPr>
            <w:r w:rsidRPr="00C47577">
              <w:rPr>
                <w:color w:val="000000"/>
              </w:rPr>
              <w:t>algodão simplesmente debulhado, não cardado nem penteado</w:t>
            </w:r>
          </w:p>
        </w:tc>
        <w:tc>
          <w:tcPr>
            <w:tcW w:w="470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suppressAutoHyphens w:val="0"/>
              <w:jc w:val="right"/>
              <w:rPr>
                <w:color w:val="000000"/>
              </w:rPr>
            </w:pPr>
            <w:r>
              <w:rPr>
                <w:color w:val="000000"/>
              </w:rPr>
              <w:t>5.029</w:t>
            </w:r>
          </w:p>
        </w:tc>
        <w:tc>
          <w:tcPr>
            <w:tcW w:w="340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35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1.064</w:t>
            </w:r>
          </w:p>
        </w:tc>
        <w:tc>
          <w:tcPr>
            <w:tcW w:w="419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suppressAutoHyphens w:val="0"/>
              <w:jc w:val="right"/>
              <w:rPr>
                <w:color w:val="000000"/>
              </w:rPr>
            </w:pPr>
            <w:r>
              <w:rPr>
                <w:color w:val="000000"/>
              </w:rPr>
              <w:t>6.093</w:t>
            </w:r>
          </w:p>
        </w:tc>
      </w:tr>
      <w:tr w:rsidR="00F516DC" w:rsidRPr="00C47577" w:rsidTr="006D7992">
        <w:trPr>
          <w:trHeight w:val="227"/>
        </w:trPr>
        <w:tc>
          <w:tcPr>
            <w:tcW w:w="62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  <w:r w:rsidRPr="00C47577">
              <w:rPr>
                <w:color w:val="000000"/>
              </w:rPr>
              <w:t>52010010</w:t>
            </w:r>
          </w:p>
        </w:tc>
        <w:tc>
          <w:tcPr>
            <w:tcW w:w="28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9B7" w:rsidRPr="00C47577" w:rsidRDefault="009669B7" w:rsidP="00056A2F">
            <w:pPr>
              <w:rPr>
                <w:color w:val="000000"/>
              </w:rPr>
            </w:pPr>
            <w:r w:rsidRPr="00C47577">
              <w:rPr>
                <w:color w:val="000000"/>
              </w:rPr>
              <w:t xml:space="preserve">algodão não debulhado, não cardado nem penteado  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5.029</w:t>
            </w:r>
          </w:p>
        </w:tc>
        <w:tc>
          <w:tcPr>
            <w:tcW w:w="340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35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1.064</w:t>
            </w:r>
          </w:p>
        </w:tc>
        <w:tc>
          <w:tcPr>
            <w:tcW w:w="419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6.093</w:t>
            </w:r>
          </w:p>
        </w:tc>
      </w:tr>
      <w:tr w:rsidR="00F516DC" w:rsidRPr="00C47577" w:rsidTr="006D7992">
        <w:trPr>
          <w:trHeight w:val="227"/>
        </w:trPr>
        <w:tc>
          <w:tcPr>
            <w:tcW w:w="626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  <w:r w:rsidRPr="00C47577">
              <w:rPr>
                <w:color w:val="000000"/>
              </w:rPr>
              <w:t>52010090</w:t>
            </w:r>
          </w:p>
        </w:tc>
        <w:tc>
          <w:tcPr>
            <w:tcW w:w="2811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669B7" w:rsidRPr="00C47577" w:rsidRDefault="009669B7" w:rsidP="00056A2F">
            <w:pPr>
              <w:rPr>
                <w:color w:val="000000"/>
              </w:rPr>
            </w:pPr>
            <w:r w:rsidRPr="00C47577">
              <w:rPr>
                <w:color w:val="000000"/>
              </w:rPr>
              <w:t xml:space="preserve">outros tipos de algodão não cardado nem pente  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5.029</w:t>
            </w:r>
          </w:p>
        </w:tc>
        <w:tc>
          <w:tcPr>
            <w:tcW w:w="340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335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1.064</w:t>
            </w:r>
          </w:p>
        </w:tc>
        <w:tc>
          <w:tcPr>
            <w:tcW w:w="419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6.093</w:t>
            </w:r>
          </w:p>
        </w:tc>
      </w:tr>
      <w:tr w:rsidR="00F516DC" w:rsidRPr="00C47577" w:rsidTr="006D7992">
        <w:trPr>
          <w:trHeight w:val="227"/>
        </w:trPr>
        <w:tc>
          <w:tcPr>
            <w:tcW w:w="626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  <w:r w:rsidRPr="00C47577">
              <w:rPr>
                <w:color w:val="000000"/>
              </w:rPr>
              <w:t>02023000</w:t>
            </w:r>
          </w:p>
        </w:tc>
        <w:tc>
          <w:tcPr>
            <w:tcW w:w="2811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rPr>
                <w:color w:val="000000"/>
              </w:rPr>
            </w:pPr>
            <w:r w:rsidRPr="00C47577">
              <w:rPr>
                <w:color w:val="000000"/>
              </w:rPr>
              <w:t>carnes desossadas de bovino, congeladas</w:t>
            </w:r>
          </w:p>
        </w:tc>
        <w:tc>
          <w:tcPr>
            <w:tcW w:w="470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suppressAutoHyphens w:val="0"/>
              <w:jc w:val="right"/>
              <w:rPr>
                <w:color w:val="000000"/>
              </w:rPr>
            </w:pPr>
            <w:r>
              <w:rPr>
                <w:color w:val="000000"/>
              </w:rPr>
              <w:t>19.228</w:t>
            </w:r>
          </w:p>
        </w:tc>
        <w:tc>
          <w:tcPr>
            <w:tcW w:w="340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335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419" w:type="pct"/>
            <w:tcBorders>
              <w:top w:val="single" w:sz="18" w:space="0" w:color="auto"/>
            </w:tcBorders>
            <w:vAlign w:val="bottom"/>
          </w:tcPr>
          <w:p w:rsidR="009669B7" w:rsidRDefault="009669B7" w:rsidP="00056A2F">
            <w:pPr>
              <w:suppressAutoHyphens w:val="0"/>
              <w:jc w:val="right"/>
              <w:rPr>
                <w:color w:val="000000"/>
              </w:rPr>
            </w:pPr>
            <w:r>
              <w:rPr>
                <w:color w:val="000000"/>
              </w:rPr>
              <w:t>19.488</w:t>
            </w:r>
          </w:p>
        </w:tc>
      </w:tr>
      <w:tr w:rsidR="00F516DC" w:rsidRPr="00C47577" w:rsidTr="006D7992">
        <w:trPr>
          <w:trHeight w:val="227"/>
        </w:trPr>
        <w:tc>
          <w:tcPr>
            <w:tcW w:w="626" w:type="pct"/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  <w:r w:rsidRPr="00C47577">
              <w:rPr>
                <w:color w:val="000000"/>
              </w:rPr>
              <w:t>02013000</w:t>
            </w:r>
          </w:p>
        </w:tc>
        <w:tc>
          <w:tcPr>
            <w:tcW w:w="2811" w:type="pct"/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rPr>
                <w:color w:val="000000"/>
              </w:rPr>
            </w:pPr>
            <w:r w:rsidRPr="00C47577">
              <w:rPr>
                <w:color w:val="000000"/>
              </w:rPr>
              <w:t>carnes desossadas de bovino, frescas ou refrigeradas</w:t>
            </w:r>
          </w:p>
        </w:tc>
        <w:tc>
          <w:tcPr>
            <w:tcW w:w="470" w:type="pct"/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19.228</w:t>
            </w:r>
          </w:p>
        </w:tc>
        <w:tc>
          <w:tcPr>
            <w:tcW w:w="340" w:type="pct"/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178</w:t>
            </w:r>
          </w:p>
        </w:tc>
        <w:tc>
          <w:tcPr>
            <w:tcW w:w="335" w:type="pct"/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419" w:type="pct"/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19.488</w:t>
            </w:r>
          </w:p>
        </w:tc>
      </w:tr>
      <w:tr w:rsidR="00F516DC" w:rsidRPr="00C47577" w:rsidTr="006D7992">
        <w:trPr>
          <w:trHeight w:val="227"/>
        </w:trPr>
        <w:tc>
          <w:tcPr>
            <w:tcW w:w="62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  <w:r w:rsidRPr="00C47577">
              <w:rPr>
                <w:color w:val="000000"/>
              </w:rPr>
              <w:t>02062990</w:t>
            </w:r>
          </w:p>
        </w:tc>
        <w:tc>
          <w:tcPr>
            <w:tcW w:w="28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9B7" w:rsidRPr="00C47577" w:rsidRDefault="009669B7" w:rsidP="00056A2F">
            <w:pPr>
              <w:rPr>
                <w:color w:val="000000"/>
              </w:rPr>
            </w:pPr>
            <w:r w:rsidRPr="00C47577">
              <w:rPr>
                <w:color w:val="000000"/>
              </w:rPr>
              <w:t>outras miudezas comestíveis de bovino, congeladas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13.703</w:t>
            </w:r>
          </w:p>
        </w:tc>
        <w:tc>
          <w:tcPr>
            <w:tcW w:w="340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127</w:t>
            </w:r>
          </w:p>
        </w:tc>
        <w:tc>
          <w:tcPr>
            <w:tcW w:w="335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419" w:type="pct"/>
            <w:tcBorders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13.889</w:t>
            </w:r>
          </w:p>
        </w:tc>
      </w:tr>
      <w:tr w:rsidR="00F516DC" w:rsidRPr="00C47577" w:rsidTr="006D7992">
        <w:trPr>
          <w:trHeight w:val="227"/>
        </w:trPr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  <w:r w:rsidRPr="00C47577">
              <w:rPr>
                <w:color w:val="000000"/>
              </w:rPr>
              <w:t>02022090</w:t>
            </w:r>
          </w:p>
        </w:tc>
        <w:tc>
          <w:tcPr>
            <w:tcW w:w="281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69B7" w:rsidRPr="00C47577" w:rsidRDefault="009669B7" w:rsidP="00056A2F">
            <w:pPr>
              <w:rPr>
                <w:color w:val="000000"/>
              </w:rPr>
            </w:pPr>
            <w:r w:rsidRPr="00C47577">
              <w:rPr>
                <w:color w:val="000000"/>
              </w:rPr>
              <w:t xml:space="preserve">outras peças não desossadas de bovino, congela  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13.652</w:t>
            </w:r>
          </w:p>
        </w:tc>
        <w:tc>
          <w:tcPr>
            <w:tcW w:w="34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335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41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13.834</w:t>
            </w:r>
          </w:p>
        </w:tc>
      </w:tr>
      <w:tr w:rsidR="00F516DC" w:rsidRPr="00C47577" w:rsidTr="006D7992">
        <w:trPr>
          <w:trHeight w:val="227"/>
        </w:trPr>
        <w:tc>
          <w:tcPr>
            <w:tcW w:w="626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9669B7" w:rsidRPr="00C47577" w:rsidRDefault="009669B7" w:rsidP="00056A2F">
            <w:pPr>
              <w:jc w:val="center"/>
              <w:rPr>
                <w:color w:val="000000"/>
              </w:rPr>
            </w:pPr>
            <w:r w:rsidRPr="00C47577">
              <w:rPr>
                <w:color w:val="000000"/>
              </w:rPr>
              <w:t>02022010</w:t>
            </w:r>
          </w:p>
        </w:tc>
        <w:tc>
          <w:tcPr>
            <w:tcW w:w="2811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9669B7" w:rsidRPr="00C47577" w:rsidRDefault="009669B7" w:rsidP="00056A2F">
            <w:pPr>
              <w:rPr>
                <w:color w:val="000000"/>
              </w:rPr>
            </w:pPr>
            <w:r w:rsidRPr="00C47577">
              <w:rPr>
                <w:color w:val="000000"/>
              </w:rPr>
              <w:t>quartos dianteiros não desossados de bovino, congelados</w:t>
            </w:r>
          </w:p>
        </w:tc>
        <w:tc>
          <w:tcPr>
            <w:tcW w:w="470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13.652</w:t>
            </w:r>
          </w:p>
        </w:tc>
        <w:tc>
          <w:tcPr>
            <w:tcW w:w="340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124</w:t>
            </w:r>
          </w:p>
        </w:tc>
        <w:tc>
          <w:tcPr>
            <w:tcW w:w="335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419" w:type="pct"/>
            <w:tcBorders>
              <w:top w:val="single" w:sz="4" w:space="0" w:color="auto"/>
              <w:bottom w:val="single" w:sz="18" w:space="0" w:color="auto"/>
            </w:tcBorders>
            <w:vAlign w:val="bottom"/>
          </w:tcPr>
          <w:p w:rsidR="009669B7" w:rsidRDefault="009669B7" w:rsidP="00056A2F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13.834</w:t>
            </w:r>
          </w:p>
        </w:tc>
      </w:tr>
      <w:tr w:rsidR="009669B7" w:rsidRPr="00C47577" w:rsidTr="006D7992">
        <w:trPr>
          <w:trHeight w:val="260"/>
        </w:trPr>
        <w:tc>
          <w:tcPr>
            <w:tcW w:w="5000" w:type="pct"/>
            <w:gridSpan w:val="6"/>
            <w:tcBorders>
              <w:top w:val="single" w:sz="18" w:space="0" w:color="auto"/>
              <w:bottom w:val="nil"/>
            </w:tcBorders>
          </w:tcPr>
          <w:p w:rsidR="009669B7" w:rsidRDefault="009669B7" w:rsidP="00056A2F">
            <w:pPr>
              <w:rPr>
                <w:color w:val="000000"/>
              </w:rPr>
            </w:pPr>
            <w:r>
              <w:rPr>
                <w:color w:val="000000"/>
              </w:rPr>
              <w:t xml:space="preserve">* Pegada Hídrica </w:t>
            </w:r>
            <w:r w:rsidR="00A42B60">
              <w:rPr>
                <w:color w:val="000000"/>
              </w:rPr>
              <w:t>com base nos estudos de:</w:t>
            </w:r>
            <w:r>
              <w:rPr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Mekonnen e</w:t>
            </w:r>
            <w:r w:rsidRPr="00670A17">
              <w:rPr>
                <w:noProof/>
                <w:color w:val="000000"/>
              </w:rPr>
              <w:t xml:space="preserve"> Hoekstra</w:t>
            </w:r>
            <w:r w:rsidR="00B04AEC">
              <w:rPr>
                <w:noProof/>
                <w:color w:val="000000"/>
              </w:rPr>
              <w:t xml:space="preserve"> </w:t>
            </w:r>
            <w:r w:rsidR="00B04AEC" w:rsidRPr="00B04AEC">
              <w:rPr>
                <w:noProof/>
                <w:color w:val="000000"/>
              </w:rPr>
              <w:t>(</w:t>
            </w:r>
            <w:r w:rsidR="00107C25" w:rsidRPr="00B04AEC">
              <w:rPr>
                <w:noProof/>
                <w:color w:val="000000"/>
              </w:rPr>
              <w:t>2010a</w:t>
            </w:r>
            <w:r w:rsidR="00107C25">
              <w:rPr>
                <w:noProof/>
                <w:color w:val="000000"/>
              </w:rPr>
              <w:t>,</w:t>
            </w:r>
            <w:r w:rsidR="00107C25" w:rsidRPr="00B04AEC">
              <w:rPr>
                <w:noProof/>
                <w:color w:val="000000"/>
              </w:rPr>
              <w:t xml:space="preserve"> 2010b</w:t>
            </w:r>
            <w:r w:rsidR="00107C25">
              <w:rPr>
                <w:noProof/>
                <w:color w:val="000000"/>
              </w:rPr>
              <w:t>,</w:t>
            </w:r>
            <w:r w:rsidR="00107C25" w:rsidRPr="00B04AEC">
              <w:rPr>
                <w:noProof/>
                <w:color w:val="000000"/>
              </w:rPr>
              <w:t xml:space="preserve"> 2010c, 2010d, 2011c, 2012</w:t>
            </w:r>
            <w:r w:rsidR="00B04AEC" w:rsidRPr="00B04AEC">
              <w:rPr>
                <w:noProof/>
                <w:color w:val="000000"/>
              </w:rPr>
              <w:t>)</w:t>
            </w:r>
            <w:r>
              <w:rPr>
                <w:color w:val="000000"/>
              </w:rPr>
              <w:t>.</w:t>
            </w:r>
          </w:p>
          <w:p w:rsidR="009669B7" w:rsidRDefault="009669B7" w:rsidP="00056A2F">
            <w:pPr>
              <w:rPr>
                <w:color w:val="000000"/>
              </w:rPr>
            </w:pPr>
            <w:r>
              <w:rPr>
                <w:color w:val="000000"/>
              </w:rPr>
              <w:t xml:space="preserve">Fonte: </w:t>
            </w:r>
            <w:r w:rsidRPr="00427824">
              <w:rPr>
                <w:color w:val="000000"/>
              </w:rPr>
              <w:t>Elaborado pelos autores (2018)</w:t>
            </w:r>
          </w:p>
        </w:tc>
      </w:tr>
    </w:tbl>
    <w:p w:rsidR="00056A2F" w:rsidRDefault="00056A2F" w:rsidP="00056A2F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 Pegada Hídrica (PH) foi com base na literatura existente (</w:t>
      </w:r>
      <w:r w:rsidRPr="009669B7">
        <w:rPr>
          <w:sz w:val="24"/>
          <w:szCs w:val="24"/>
        </w:rPr>
        <w:fldChar w:fldCharType="begin"/>
      </w:r>
      <w:r w:rsidRPr="009669B7">
        <w:rPr>
          <w:sz w:val="24"/>
          <w:szCs w:val="24"/>
        </w:rPr>
        <w:instrText xml:space="preserve"> REF _Ref513275117 \h  \* MERGEFORMAT </w:instrText>
      </w:r>
      <w:r w:rsidRPr="009669B7">
        <w:rPr>
          <w:sz w:val="24"/>
          <w:szCs w:val="24"/>
        </w:rPr>
      </w:r>
      <w:r w:rsidRPr="009669B7">
        <w:rPr>
          <w:sz w:val="24"/>
          <w:szCs w:val="24"/>
        </w:rPr>
        <w:fldChar w:fldCharType="separate"/>
      </w:r>
      <w:r w:rsidR="009D7C72" w:rsidRPr="009D7C72">
        <w:rPr>
          <w:sz w:val="24"/>
          <w:szCs w:val="24"/>
        </w:rPr>
        <w:t xml:space="preserve">Tabela </w:t>
      </w:r>
      <w:r w:rsidR="009D7C72" w:rsidRPr="009D7C72">
        <w:rPr>
          <w:noProof/>
          <w:sz w:val="24"/>
          <w:szCs w:val="24"/>
        </w:rPr>
        <w:t>1</w:t>
      </w:r>
      <w:r w:rsidRPr="009669B7">
        <w:rPr>
          <w:sz w:val="24"/>
          <w:szCs w:val="24"/>
        </w:rPr>
        <w:fldChar w:fldCharType="end"/>
      </w:r>
      <w:r>
        <w:rPr>
          <w:sz w:val="24"/>
          <w:szCs w:val="24"/>
        </w:rPr>
        <w:t>), sendo calculada individualmente para cada produto, agregando-a por ano e produto. Não foi realizada a distinção de preço para cada tipo de PH – verde, azul e cinza – considerou-se a PH total para a produção. Para a soja, milho, algodão e derivados, foram usadas a PH da produção destas no estado de MT, já para o bovino foram utilizados a média do Brasil.</w:t>
      </w:r>
    </w:p>
    <w:p w:rsidR="00FA3546" w:rsidRDefault="0007449C" w:rsidP="002B64D4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Tendo em vista que o Mato Grosso não possui a cobrança pelo uso dos recursos hídricos implantada, p</w:t>
      </w:r>
      <w:r w:rsidR="00963587">
        <w:rPr>
          <w:sz w:val="24"/>
          <w:szCs w:val="24"/>
        </w:rPr>
        <w:t>ara a precificação da Pegada Hídrica</w:t>
      </w:r>
      <w:r w:rsidRPr="0007449C">
        <w:rPr>
          <w:sz w:val="24"/>
          <w:szCs w:val="24"/>
        </w:rPr>
        <w:t xml:space="preserve"> </w:t>
      </w:r>
      <w:r>
        <w:rPr>
          <w:sz w:val="24"/>
          <w:szCs w:val="24"/>
        </w:rPr>
        <w:t>utilizou-se como base os valores das bacias hidrográficas que já possuem a cobrança ou preços definidos, disponibilizados pela</w:t>
      </w:r>
      <w:r w:rsidR="00B915B4">
        <w:rPr>
          <w:sz w:val="24"/>
          <w:szCs w:val="24"/>
        </w:rPr>
        <w:t xml:space="preserve"> Agê</w:t>
      </w:r>
      <w:r w:rsidR="005F1048">
        <w:rPr>
          <w:sz w:val="24"/>
          <w:szCs w:val="24"/>
        </w:rPr>
        <w:t xml:space="preserve">ncia Nacional de Águas </w:t>
      </w:r>
      <w:r w:rsidR="005F1048">
        <w:rPr>
          <w:noProof/>
          <w:sz w:val="24"/>
          <w:szCs w:val="24"/>
        </w:rPr>
        <w:t>(ANA</w:t>
      </w:r>
      <w:r w:rsidR="005F1048" w:rsidRPr="005F1048">
        <w:rPr>
          <w:noProof/>
          <w:sz w:val="24"/>
          <w:szCs w:val="24"/>
        </w:rPr>
        <w:t>, 2018)</w:t>
      </w:r>
      <w:r w:rsidR="00963587">
        <w:rPr>
          <w:sz w:val="24"/>
          <w:szCs w:val="24"/>
        </w:rPr>
        <w:t>.</w:t>
      </w:r>
      <w:r>
        <w:rPr>
          <w:sz w:val="24"/>
          <w:szCs w:val="24"/>
        </w:rPr>
        <w:t xml:space="preserve"> P</w:t>
      </w:r>
      <w:r w:rsidR="00431CDE">
        <w:rPr>
          <w:sz w:val="24"/>
          <w:szCs w:val="24"/>
        </w:rPr>
        <w:t>ara obter o preço do m</w:t>
      </w:r>
      <w:r w:rsidR="00431CDE">
        <w:rPr>
          <w:sz w:val="24"/>
          <w:szCs w:val="24"/>
          <w:vertAlign w:val="superscript"/>
        </w:rPr>
        <w:t>3</w:t>
      </w:r>
      <w:r w:rsidR="00431CDE">
        <w:rPr>
          <w:sz w:val="24"/>
          <w:szCs w:val="24"/>
        </w:rPr>
        <w:t xml:space="preserve"> da água foi </w:t>
      </w:r>
      <w:r>
        <w:rPr>
          <w:sz w:val="24"/>
          <w:szCs w:val="24"/>
        </w:rPr>
        <w:t>calculada</w:t>
      </w:r>
      <w:r w:rsidR="00431CDE">
        <w:rPr>
          <w:sz w:val="24"/>
          <w:szCs w:val="24"/>
        </w:rPr>
        <w:t xml:space="preserve"> a médi</w:t>
      </w:r>
      <w:r>
        <w:rPr>
          <w:sz w:val="24"/>
          <w:szCs w:val="24"/>
        </w:rPr>
        <w:t>a ponderada simples dos valores</w:t>
      </w:r>
      <w:r w:rsidR="00431CDE">
        <w:rPr>
          <w:sz w:val="24"/>
          <w:szCs w:val="24"/>
        </w:rPr>
        <w:t xml:space="preserve"> definidos pelos</w:t>
      </w:r>
      <w:r w:rsidR="00431CDE" w:rsidRPr="00431CDE">
        <w:rPr>
          <w:sz w:val="24"/>
          <w:szCs w:val="24"/>
        </w:rPr>
        <w:t xml:space="preserve"> Comitês de Bacia</w:t>
      </w:r>
      <w:r w:rsidR="0001262F">
        <w:rPr>
          <w:sz w:val="24"/>
          <w:szCs w:val="24"/>
        </w:rPr>
        <w:t>s</w:t>
      </w:r>
      <w:r w:rsidR="00431CDE" w:rsidRPr="00431CDE">
        <w:rPr>
          <w:sz w:val="24"/>
          <w:szCs w:val="24"/>
        </w:rPr>
        <w:t xml:space="preserve"> Hidrográfica</w:t>
      </w:r>
      <w:r w:rsidR="0001262F">
        <w:rPr>
          <w:sz w:val="24"/>
          <w:szCs w:val="24"/>
        </w:rPr>
        <w:t>s</w:t>
      </w:r>
      <w:r w:rsidR="00431CDE" w:rsidRPr="00431CDE">
        <w:rPr>
          <w:sz w:val="24"/>
          <w:szCs w:val="24"/>
        </w:rPr>
        <w:t xml:space="preserve"> (</w:t>
      </w:r>
      <w:proofErr w:type="spellStart"/>
      <w:r w:rsidR="00431CDE" w:rsidRPr="00431CDE">
        <w:rPr>
          <w:sz w:val="24"/>
          <w:szCs w:val="24"/>
        </w:rPr>
        <w:t>CBHs</w:t>
      </w:r>
      <w:proofErr w:type="spellEnd"/>
      <w:r w:rsidR="00431CDE" w:rsidRPr="00431CDE">
        <w:rPr>
          <w:sz w:val="24"/>
          <w:szCs w:val="24"/>
        </w:rPr>
        <w:t>)</w:t>
      </w:r>
      <w:r w:rsidR="00953812">
        <w:rPr>
          <w:sz w:val="24"/>
          <w:szCs w:val="24"/>
        </w:rPr>
        <w:t xml:space="preserve">, </w:t>
      </w:r>
      <w:r w:rsidR="0019011F">
        <w:rPr>
          <w:sz w:val="24"/>
          <w:szCs w:val="24"/>
        </w:rPr>
        <w:t xml:space="preserve">obtendo o valor de </w:t>
      </w:r>
      <w:r w:rsidR="0019011F" w:rsidRPr="0019011F">
        <w:rPr>
          <w:sz w:val="24"/>
          <w:szCs w:val="24"/>
        </w:rPr>
        <w:t>R$</w:t>
      </w:r>
      <w:r w:rsidR="0019011F">
        <w:t> </w:t>
      </w:r>
      <w:r w:rsidR="0019011F" w:rsidRPr="0019011F">
        <w:rPr>
          <w:color w:val="000000"/>
          <w:sz w:val="24"/>
          <w:szCs w:val="24"/>
        </w:rPr>
        <w:t>0,012372</w:t>
      </w:r>
      <w:r w:rsidR="0019011F">
        <w:rPr>
          <w:color w:val="000000"/>
          <w:sz w:val="24"/>
          <w:szCs w:val="24"/>
        </w:rPr>
        <w:t>/m</w:t>
      </w:r>
      <w:r w:rsidR="0019011F">
        <w:rPr>
          <w:color w:val="000000"/>
          <w:sz w:val="24"/>
          <w:szCs w:val="24"/>
          <w:vertAlign w:val="superscript"/>
        </w:rPr>
        <w:t>3</w:t>
      </w:r>
      <w:r w:rsidR="00431CDE">
        <w:rPr>
          <w:sz w:val="24"/>
          <w:szCs w:val="24"/>
        </w:rPr>
        <w:t>.</w:t>
      </w:r>
    </w:p>
    <w:p w:rsidR="001F2ABA" w:rsidRDefault="009836AC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Os dados dos repasses que tratam a Lei Kandir e a L</w:t>
      </w:r>
      <w:r w:rsidRPr="00FB799A">
        <w:rPr>
          <w:sz w:val="24"/>
          <w:szCs w:val="24"/>
        </w:rPr>
        <w:t>ei nº 10.966/</w:t>
      </w:r>
      <w:r>
        <w:rPr>
          <w:sz w:val="24"/>
          <w:szCs w:val="24"/>
        </w:rPr>
        <w:t>2004</w:t>
      </w:r>
      <w:r w:rsidR="00106539">
        <w:rPr>
          <w:sz w:val="24"/>
          <w:szCs w:val="24"/>
        </w:rPr>
        <w:t xml:space="preserve"> que instituiu o </w:t>
      </w:r>
      <w:proofErr w:type="spellStart"/>
      <w:r w:rsidR="00106539">
        <w:rPr>
          <w:sz w:val="24"/>
          <w:szCs w:val="24"/>
        </w:rPr>
        <w:t>FEX</w:t>
      </w:r>
      <w:proofErr w:type="spellEnd"/>
      <w:r>
        <w:rPr>
          <w:sz w:val="24"/>
          <w:szCs w:val="24"/>
        </w:rPr>
        <w:t>, para o estado de Mato Grosso e seus Municípios, foram obtidos no</w:t>
      </w:r>
      <w:r>
        <w:rPr>
          <w:i/>
          <w:sz w:val="24"/>
          <w:szCs w:val="24"/>
        </w:rPr>
        <w:t xml:space="preserve"> site</w:t>
      </w:r>
      <w:r>
        <w:rPr>
          <w:sz w:val="24"/>
          <w:szCs w:val="24"/>
        </w:rPr>
        <w:t xml:space="preserve"> </w:t>
      </w:r>
      <w:r w:rsidR="00C6794F">
        <w:rPr>
          <w:sz w:val="24"/>
          <w:szCs w:val="24"/>
        </w:rPr>
        <w:t xml:space="preserve">oficial </w:t>
      </w:r>
      <w:r>
        <w:rPr>
          <w:sz w:val="24"/>
          <w:szCs w:val="24"/>
        </w:rPr>
        <w:t>da Secretaria do Tesouro Nacional (ST</w:t>
      </w:r>
      <w:r w:rsidR="00032B00">
        <w:rPr>
          <w:sz w:val="24"/>
          <w:szCs w:val="24"/>
        </w:rPr>
        <w:t>N) referentes ao período de 2013 a</w:t>
      </w:r>
      <w:r>
        <w:rPr>
          <w:sz w:val="24"/>
          <w:szCs w:val="24"/>
        </w:rPr>
        <w:t xml:space="preserve"> 2017</w:t>
      </w:r>
      <w:r w:rsidR="00FE6D2A">
        <w:rPr>
          <w:sz w:val="24"/>
          <w:szCs w:val="24"/>
        </w:rPr>
        <w:t xml:space="preserve"> (</w:t>
      </w:r>
      <w:r w:rsidR="00FE6D2A">
        <w:rPr>
          <w:noProof/>
          <w:sz w:val="24"/>
          <w:szCs w:val="24"/>
        </w:rPr>
        <w:t xml:space="preserve">STN, </w:t>
      </w:r>
      <w:r w:rsidR="00FE6D2A" w:rsidRPr="008E4FF6">
        <w:rPr>
          <w:noProof/>
          <w:sz w:val="24"/>
          <w:szCs w:val="24"/>
        </w:rPr>
        <w:t>2018)</w:t>
      </w:r>
      <w:r>
        <w:rPr>
          <w:sz w:val="24"/>
          <w:szCs w:val="24"/>
        </w:rPr>
        <w:t>.</w:t>
      </w:r>
    </w:p>
    <w:p w:rsidR="00804571" w:rsidRDefault="00804571" w:rsidP="00A76272">
      <w:pPr>
        <w:widowControl w:val="0"/>
        <w:spacing w:before="240" w:after="120"/>
        <w:rPr>
          <w:sz w:val="24"/>
          <w:szCs w:val="24"/>
        </w:rPr>
      </w:pPr>
      <w:r w:rsidRPr="00804571">
        <w:rPr>
          <w:b/>
          <w:sz w:val="24"/>
          <w:szCs w:val="24"/>
        </w:rPr>
        <w:t>4 Resultados e Discussão</w:t>
      </w:r>
      <w:r>
        <w:rPr>
          <w:sz w:val="24"/>
          <w:szCs w:val="24"/>
        </w:rPr>
        <w:t xml:space="preserve"> </w:t>
      </w:r>
    </w:p>
    <w:p w:rsidR="009832F2" w:rsidRDefault="00F255A1" w:rsidP="003B67E4">
      <w:pPr>
        <w:widowControl w:val="0"/>
        <w:spacing w:before="120" w:after="24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C227C0">
        <w:rPr>
          <w:sz w:val="24"/>
          <w:szCs w:val="24"/>
        </w:rPr>
        <w:t xml:space="preserve">principais produtos exportados foram a </w:t>
      </w:r>
      <w:r w:rsidR="00C227C0" w:rsidRPr="00511925">
        <w:rPr>
          <w:sz w:val="24"/>
          <w:szCs w:val="24"/>
        </w:rPr>
        <w:t>soja</w:t>
      </w:r>
      <w:r w:rsidR="009832F2">
        <w:rPr>
          <w:sz w:val="24"/>
          <w:szCs w:val="24"/>
        </w:rPr>
        <w:t xml:space="preserve"> (</w:t>
      </w:r>
      <w:proofErr w:type="spellStart"/>
      <w:r w:rsidR="009832F2">
        <w:rPr>
          <w:sz w:val="24"/>
          <w:szCs w:val="24"/>
        </w:rPr>
        <w:t>NCM</w:t>
      </w:r>
      <w:proofErr w:type="spellEnd"/>
      <w:r w:rsidR="009832F2">
        <w:rPr>
          <w:sz w:val="24"/>
          <w:szCs w:val="24"/>
        </w:rPr>
        <w:t xml:space="preserve"> 12019000)</w:t>
      </w:r>
      <w:r w:rsidR="00C227C0">
        <w:rPr>
          <w:sz w:val="24"/>
          <w:szCs w:val="24"/>
        </w:rPr>
        <w:t xml:space="preserve"> e o </w:t>
      </w:r>
      <w:r w:rsidR="00C227C0" w:rsidRPr="00511925">
        <w:rPr>
          <w:sz w:val="24"/>
          <w:szCs w:val="24"/>
        </w:rPr>
        <w:t>milho em grão</w:t>
      </w:r>
      <w:r w:rsidR="009832F2">
        <w:rPr>
          <w:sz w:val="24"/>
          <w:szCs w:val="24"/>
        </w:rPr>
        <w:t xml:space="preserve"> </w:t>
      </w:r>
      <w:r w:rsidR="00C227C0">
        <w:rPr>
          <w:sz w:val="24"/>
          <w:szCs w:val="24"/>
        </w:rPr>
        <w:t>(</w:t>
      </w:r>
      <w:proofErr w:type="spellStart"/>
      <w:r w:rsidR="00C227C0">
        <w:rPr>
          <w:sz w:val="24"/>
          <w:szCs w:val="24"/>
        </w:rPr>
        <w:t>NCM</w:t>
      </w:r>
      <w:proofErr w:type="spellEnd"/>
      <w:r w:rsidR="00C227C0">
        <w:rPr>
          <w:sz w:val="24"/>
          <w:szCs w:val="24"/>
        </w:rPr>
        <w:t xml:space="preserve"> 10059010)</w:t>
      </w:r>
      <w:r w:rsidR="009832F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que </w:t>
      </w:r>
      <w:r w:rsidR="009832F2">
        <w:rPr>
          <w:sz w:val="24"/>
          <w:szCs w:val="24"/>
        </w:rPr>
        <w:t>somados representam mais de 80</w:t>
      </w:r>
      <w:r w:rsidR="00C227C0">
        <w:rPr>
          <w:sz w:val="24"/>
          <w:szCs w:val="24"/>
        </w:rPr>
        <w:t>% da</w:t>
      </w:r>
      <w:r w:rsidR="009832F2">
        <w:rPr>
          <w:sz w:val="24"/>
          <w:szCs w:val="24"/>
        </w:rPr>
        <w:t>s exportações totais</w:t>
      </w:r>
      <w:r>
        <w:rPr>
          <w:sz w:val="24"/>
          <w:szCs w:val="24"/>
        </w:rPr>
        <w:t xml:space="preserve"> dos produtos e subprodutos aqui analisados</w:t>
      </w:r>
      <w:r w:rsidR="009832F2">
        <w:rPr>
          <w:sz w:val="24"/>
          <w:szCs w:val="24"/>
        </w:rPr>
        <w:t>.</w:t>
      </w:r>
      <w:r>
        <w:rPr>
          <w:sz w:val="24"/>
          <w:szCs w:val="24"/>
        </w:rPr>
        <w:t xml:space="preserve"> Observa-se uma constante evolução das exportações desses dois produtos, com destaque para a soja, que se tomado como base o período de 2013 e comparado com 2017, houve uma evolução de 46% e 16% para o milho, sendo que este último sofreu algumas oscilações (</w:t>
      </w:r>
      <w:r w:rsidRPr="00BC7094">
        <w:rPr>
          <w:sz w:val="24"/>
          <w:szCs w:val="24"/>
        </w:rPr>
        <w:fldChar w:fldCharType="begin"/>
      </w:r>
      <w:r w:rsidRPr="00BC7094">
        <w:rPr>
          <w:sz w:val="24"/>
          <w:szCs w:val="24"/>
        </w:rPr>
        <w:instrText xml:space="preserve"> REF _Ref512778945 \h  \* MERGEFORMAT </w:instrText>
      </w:r>
      <w:r w:rsidRPr="00BC7094">
        <w:rPr>
          <w:sz w:val="24"/>
          <w:szCs w:val="24"/>
        </w:rPr>
      </w:r>
      <w:r w:rsidRPr="00BC7094">
        <w:rPr>
          <w:sz w:val="24"/>
          <w:szCs w:val="24"/>
        </w:rPr>
        <w:fldChar w:fldCharType="separate"/>
      </w:r>
      <w:r w:rsidR="009D7C72" w:rsidRPr="009D7C72">
        <w:rPr>
          <w:sz w:val="24"/>
          <w:szCs w:val="24"/>
        </w:rPr>
        <w:t xml:space="preserve">Tabela </w:t>
      </w:r>
      <w:r w:rsidR="009D7C72" w:rsidRPr="009D7C72">
        <w:rPr>
          <w:noProof/>
          <w:sz w:val="24"/>
          <w:szCs w:val="24"/>
        </w:rPr>
        <w:t>2</w:t>
      </w:r>
      <w:r w:rsidRPr="00BC7094">
        <w:rPr>
          <w:sz w:val="24"/>
          <w:szCs w:val="24"/>
        </w:rPr>
        <w:fldChar w:fldCharType="end"/>
      </w:r>
      <w:r>
        <w:rPr>
          <w:sz w:val="24"/>
          <w:szCs w:val="24"/>
        </w:rPr>
        <w:t>). Destaca-se ainda que 60% da produção de soja e milho</w:t>
      </w:r>
      <w:r w:rsidR="001A78D4">
        <w:rPr>
          <w:sz w:val="24"/>
          <w:szCs w:val="24"/>
        </w:rPr>
        <w:t xml:space="preserve"> do extado</w:t>
      </w:r>
      <w:r>
        <w:rPr>
          <w:sz w:val="24"/>
          <w:szCs w:val="24"/>
        </w:rPr>
        <w:t xml:space="preserve"> é exportada </w:t>
      </w:r>
      <w:r w:rsidRPr="006D77E4">
        <w:rPr>
          <w:noProof/>
          <w:sz w:val="24"/>
          <w:szCs w:val="24"/>
        </w:rPr>
        <w:t>(IBGE</w:t>
      </w:r>
      <w:r w:rsidR="00682B60">
        <w:rPr>
          <w:noProof/>
          <w:sz w:val="24"/>
          <w:szCs w:val="24"/>
        </w:rPr>
        <w:t>, 2017,</w:t>
      </w:r>
      <w:r>
        <w:rPr>
          <w:noProof/>
          <w:sz w:val="24"/>
          <w:szCs w:val="24"/>
        </w:rPr>
        <w:t xml:space="preserve"> 2018</w:t>
      </w:r>
      <w:r w:rsidRPr="006D77E4">
        <w:rPr>
          <w:noProof/>
          <w:sz w:val="24"/>
          <w:szCs w:val="24"/>
        </w:rPr>
        <w:t>)</w:t>
      </w:r>
      <w:r>
        <w:rPr>
          <w:sz w:val="24"/>
          <w:szCs w:val="24"/>
        </w:rPr>
        <w:t>.</w:t>
      </w:r>
    </w:p>
    <w:tbl>
      <w:tblPr>
        <w:tblW w:w="5000" w:type="pct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9"/>
        <w:gridCol w:w="1342"/>
        <w:gridCol w:w="1342"/>
        <w:gridCol w:w="1343"/>
        <w:gridCol w:w="1342"/>
        <w:gridCol w:w="1345"/>
        <w:gridCol w:w="1342"/>
      </w:tblGrid>
      <w:tr w:rsidR="00C227C0" w:rsidRPr="009D4804" w:rsidTr="00B01421">
        <w:trPr>
          <w:trHeight w:val="264"/>
        </w:trPr>
        <w:tc>
          <w:tcPr>
            <w:tcW w:w="5000" w:type="pct"/>
            <w:gridSpan w:val="7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227C0" w:rsidRPr="00B609E9" w:rsidRDefault="00C227C0" w:rsidP="00384F76">
            <w:pPr>
              <w:rPr>
                <w:b/>
                <w:color w:val="000000"/>
              </w:rPr>
            </w:pPr>
            <w:bookmarkStart w:id="3" w:name="_Ref512778945"/>
            <w:r w:rsidRPr="00B609E9">
              <w:rPr>
                <w:b/>
              </w:rPr>
              <w:t xml:space="preserve">Tabela </w:t>
            </w:r>
            <w:r w:rsidRPr="00B609E9">
              <w:rPr>
                <w:b/>
              </w:rPr>
              <w:fldChar w:fldCharType="begin"/>
            </w:r>
            <w:r w:rsidRPr="00B609E9">
              <w:rPr>
                <w:b/>
              </w:rPr>
              <w:instrText xml:space="preserve"> SEQ Tabela \* ARABIC </w:instrText>
            </w:r>
            <w:r w:rsidRPr="00B609E9">
              <w:rPr>
                <w:b/>
              </w:rPr>
              <w:fldChar w:fldCharType="separate"/>
            </w:r>
            <w:r w:rsidR="009D7C72">
              <w:rPr>
                <w:b/>
                <w:noProof/>
              </w:rPr>
              <w:t>2</w:t>
            </w:r>
            <w:r w:rsidRPr="00B609E9">
              <w:rPr>
                <w:b/>
              </w:rPr>
              <w:fldChar w:fldCharType="end"/>
            </w:r>
            <w:bookmarkEnd w:id="3"/>
            <w:r>
              <w:rPr>
                <w:b/>
              </w:rPr>
              <w:t>.</w:t>
            </w:r>
            <w:r w:rsidRPr="00B609E9">
              <w:rPr>
                <w:b/>
              </w:rPr>
              <w:t xml:space="preserve"> Total de produtos exportados</w:t>
            </w:r>
            <w:r>
              <w:rPr>
                <w:b/>
              </w:rPr>
              <w:t xml:space="preserve"> por Mato Grosso </w:t>
            </w:r>
            <w:r w:rsidR="00384F76">
              <w:rPr>
                <w:b/>
              </w:rPr>
              <w:t xml:space="preserve">no período </w:t>
            </w:r>
            <w:r w:rsidR="00C87327">
              <w:rPr>
                <w:b/>
              </w:rPr>
              <w:t>de 2013 a 2017</w:t>
            </w:r>
            <w:r w:rsidR="00384F76">
              <w:rPr>
                <w:b/>
              </w:rPr>
              <w:t xml:space="preserve"> (em t)</w:t>
            </w:r>
          </w:p>
        </w:tc>
      </w:tr>
      <w:tr w:rsidR="00C227C0" w:rsidRPr="009D4804" w:rsidTr="008C2B73">
        <w:trPr>
          <w:trHeight w:val="283"/>
        </w:trPr>
        <w:tc>
          <w:tcPr>
            <w:tcW w:w="557" w:type="pct"/>
            <w:vMerge w:val="restart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D9D9D9"/>
            <w:noWrap/>
            <w:vAlign w:val="center"/>
          </w:tcPr>
          <w:p w:rsidR="00C227C0" w:rsidRPr="003804DB" w:rsidRDefault="00C227C0" w:rsidP="00B01421">
            <w:pPr>
              <w:jc w:val="center"/>
              <w:rPr>
                <w:b/>
                <w:color w:val="000000"/>
              </w:rPr>
            </w:pPr>
            <w:proofErr w:type="spellStart"/>
            <w:r w:rsidRPr="003804DB">
              <w:rPr>
                <w:b/>
                <w:color w:val="000000"/>
              </w:rPr>
              <w:t>NCM</w:t>
            </w:r>
            <w:proofErr w:type="spellEnd"/>
            <w:r>
              <w:rPr>
                <w:b/>
                <w:color w:val="000000"/>
              </w:rPr>
              <w:t>*</w:t>
            </w:r>
          </w:p>
        </w:tc>
        <w:tc>
          <w:tcPr>
            <w:tcW w:w="3703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C227C0" w:rsidRPr="003804DB" w:rsidRDefault="00C227C0" w:rsidP="00B0142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Ano</w:t>
            </w:r>
          </w:p>
        </w:tc>
        <w:tc>
          <w:tcPr>
            <w:tcW w:w="740" w:type="pct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auto"/>
            </w:tcBorders>
            <w:shd w:val="clear" w:color="auto" w:fill="D9D9D9"/>
            <w:vAlign w:val="center"/>
          </w:tcPr>
          <w:p w:rsidR="00C227C0" w:rsidRPr="003804DB" w:rsidRDefault="00C227C0" w:rsidP="00B0142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 w:rsidR="00C551A1" w:rsidRPr="009D4804" w:rsidTr="008C2B73">
        <w:trPr>
          <w:trHeight w:val="283"/>
        </w:trPr>
        <w:tc>
          <w:tcPr>
            <w:tcW w:w="557" w:type="pct"/>
            <w:vMerge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D9D9D9"/>
            <w:noWrap/>
            <w:vAlign w:val="bottom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</w:p>
        </w:tc>
        <w:tc>
          <w:tcPr>
            <w:tcW w:w="740" w:type="pct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D9D9D9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2013</w:t>
            </w:r>
          </w:p>
        </w:tc>
        <w:tc>
          <w:tcPr>
            <w:tcW w:w="740" w:type="pct"/>
            <w:tcBorders>
              <w:top w:val="single" w:sz="6" w:space="0" w:color="auto"/>
              <w:bottom w:val="single" w:sz="18" w:space="0" w:color="auto"/>
            </w:tcBorders>
            <w:shd w:val="clear" w:color="auto" w:fill="D9D9D9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2014</w:t>
            </w:r>
          </w:p>
        </w:tc>
        <w:tc>
          <w:tcPr>
            <w:tcW w:w="741" w:type="pct"/>
            <w:tcBorders>
              <w:top w:val="single" w:sz="6" w:space="0" w:color="auto"/>
              <w:bottom w:val="single" w:sz="18" w:space="0" w:color="auto"/>
            </w:tcBorders>
            <w:shd w:val="clear" w:color="auto" w:fill="D9D9D9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2015</w:t>
            </w:r>
          </w:p>
        </w:tc>
        <w:tc>
          <w:tcPr>
            <w:tcW w:w="740" w:type="pct"/>
            <w:tcBorders>
              <w:top w:val="single" w:sz="6" w:space="0" w:color="auto"/>
              <w:bottom w:val="single" w:sz="18" w:space="0" w:color="auto"/>
            </w:tcBorders>
            <w:shd w:val="clear" w:color="auto" w:fill="D9D9D9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2016</w:t>
            </w:r>
          </w:p>
        </w:tc>
        <w:tc>
          <w:tcPr>
            <w:tcW w:w="742" w:type="pct"/>
            <w:tcBorders>
              <w:top w:val="single" w:sz="6" w:space="0" w:color="auto"/>
              <w:bottom w:val="single" w:sz="18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2017</w:t>
            </w: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</w:tcBorders>
            <w:shd w:val="clear" w:color="auto" w:fill="D9D9D9"/>
          </w:tcPr>
          <w:p w:rsidR="00C227C0" w:rsidRPr="009D4804" w:rsidRDefault="00C227C0" w:rsidP="00B01421">
            <w:pPr>
              <w:jc w:val="center"/>
              <w:rPr>
                <w:b/>
                <w:color w:val="000000"/>
              </w:rPr>
            </w:pPr>
          </w:p>
        </w:tc>
      </w:tr>
      <w:tr w:rsidR="00C227C0" w:rsidRPr="009D4804" w:rsidTr="006F311E">
        <w:trPr>
          <w:trHeight w:val="255"/>
        </w:trPr>
        <w:tc>
          <w:tcPr>
            <w:tcW w:w="557" w:type="pc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B45900" w:rsidRDefault="00C227C0" w:rsidP="00B01421">
            <w:pPr>
              <w:jc w:val="center"/>
              <w:rPr>
                <w:color w:val="000000"/>
              </w:rPr>
            </w:pPr>
            <w:r w:rsidRPr="00B45900">
              <w:rPr>
                <w:color w:val="000000"/>
              </w:rPr>
              <w:t>12019000</w:t>
            </w:r>
          </w:p>
        </w:tc>
        <w:tc>
          <w:tcPr>
            <w:tcW w:w="740" w:type="pc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12.295.500,34</w:t>
            </w:r>
          </w:p>
        </w:tc>
        <w:tc>
          <w:tcPr>
            <w:tcW w:w="740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14.211.026,87</w:t>
            </w:r>
          </w:p>
        </w:tc>
        <w:tc>
          <w:tcPr>
            <w:tcW w:w="741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14.514.828,60</w:t>
            </w:r>
          </w:p>
        </w:tc>
        <w:tc>
          <w:tcPr>
            <w:tcW w:w="740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15.222.272,57</w:t>
            </w:r>
          </w:p>
        </w:tc>
        <w:tc>
          <w:tcPr>
            <w:tcW w:w="742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5B79E5" w:rsidRDefault="00C227C0" w:rsidP="002968D7">
            <w:pPr>
              <w:jc w:val="right"/>
              <w:rPr>
                <w:color w:val="000000"/>
              </w:rPr>
            </w:pPr>
            <w:r w:rsidRPr="005B79E5">
              <w:rPr>
                <w:color w:val="000000"/>
              </w:rPr>
              <w:t>18.017.455,76</w:t>
            </w:r>
          </w:p>
        </w:tc>
        <w:tc>
          <w:tcPr>
            <w:tcW w:w="740" w:type="pct"/>
            <w:tcBorders>
              <w:top w:val="single" w:sz="18" w:space="0" w:color="auto"/>
            </w:tcBorders>
            <w:vAlign w:val="center"/>
          </w:tcPr>
          <w:p w:rsidR="00C227C0" w:rsidRPr="003E0615" w:rsidRDefault="00C227C0" w:rsidP="002968D7">
            <w:pPr>
              <w:jc w:val="right"/>
              <w:rPr>
                <w:color w:val="000000"/>
              </w:rPr>
            </w:pPr>
            <w:r w:rsidRPr="003E0615">
              <w:rPr>
                <w:color w:val="000000"/>
              </w:rPr>
              <w:t>74.261.084,14</w:t>
            </w:r>
          </w:p>
        </w:tc>
      </w:tr>
      <w:tr w:rsidR="00C227C0" w:rsidRPr="009D4804" w:rsidTr="006F311E">
        <w:trPr>
          <w:trHeight w:val="255"/>
        </w:trPr>
        <w:tc>
          <w:tcPr>
            <w:tcW w:w="557" w:type="pct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23040090</w:t>
            </w:r>
          </w:p>
        </w:tc>
        <w:tc>
          <w:tcPr>
            <w:tcW w:w="740" w:type="pct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3.874.472,57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3.525.681,84</w:t>
            </w:r>
          </w:p>
        </w:tc>
        <w:tc>
          <w:tcPr>
            <w:tcW w:w="7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3.967.050,93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3.755.884,82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4.242.667,05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vAlign w:val="center"/>
          </w:tcPr>
          <w:p w:rsidR="00C227C0" w:rsidRPr="003E0615" w:rsidRDefault="00C227C0" w:rsidP="002968D7">
            <w:pPr>
              <w:jc w:val="right"/>
              <w:rPr>
                <w:color w:val="000000"/>
              </w:rPr>
            </w:pPr>
            <w:r w:rsidRPr="003E0615">
              <w:rPr>
                <w:color w:val="000000"/>
              </w:rPr>
              <w:t>19.365.757,21</w:t>
            </w:r>
          </w:p>
        </w:tc>
      </w:tr>
      <w:tr w:rsidR="00C227C0" w:rsidRPr="009D4804" w:rsidTr="006F311E">
        <w:trPr>
          <w:trHeight w:val="255"/>
        </w:trPr>
        <w:tc>
          <w:tcPr>
            <w:tcW w:w="557" w:type="pct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23040010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487.452,97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767.506,53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988.564,99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1.135.200,97</w:t>
            </w:r>
          </w:p>
        </w:tc>
        <w:tc>
          <w:tcPr>
            <w:tcW w:w="742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977.743,35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C227C0" w:rsidRPr="003E0615" w:rsidRDefault="00C227C0" w:rsidP="002968D7">
            <w:pPr>
              <w:jc w:val="right"/>
              <w:rPr>
                <w:color w:val="000000"/>
              </w:rPr>
            </w:pPr>
            <w:r w:rsidRPr="003E0615">
              <w:rPr>
                <w:color w:val="000000"/>
              </w:rPr>
              <w:t>4.356.468,80</w:t>
            </w:r>
          </w:p>
        </w:tc>
      </w:tr>
      <w:tr w:rsidR="00C227C0" w:rsidRPr="009D4804" w:rsidTr="006F311E">
        <w:trPr>
          <w:trHeight w:val="255"/>
        </w:trPr>
        <w:tc>
          <w:tcPr>
            <w:tcW w:w="557" w:type="pc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15071000</w:t>
            </w:r>
          </w:p>
        </w:tc>
        <w:tc>
          <w:tcPr>
            <w:tcW w:w="740" w:type="pc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328.289,78</w:t>
            </w:r>
          </w:p>
        </w:tc>
        <w:tc>
          <w:tcPr>
            <w:tcW w:w="740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271.334,72</w:t>
            </w:r>
          </w:p>
        </w:tc>
        <w:tc>
          <w:tcPr>
            <w:tcW w:w="741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337.727,99</w:t>
            </w:r>
          </w:p>
        </w:tc>
        <w:tc>
          <w:tcPr>
            <w:tcW w:w="740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175.299,85</w:t>
            </w:r>
          </w:p>
        </w:tc>
        <w:tc>
          <w:tcPr>
            <w:tcW w:w="742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221.157,60</w:t>
            </w:r>
          </w:p>
        </w:tc>
        <w:tc>
          <w:tcPr>
            <w:tcW w:w="740" w:type="pct"/>
            <w:tcBorders>
              <w:top w:val="single" w:sz="18" w:space="0" w:color="auto"/>
            </w:tcBorders>
            <w:vAlign w:val="center"/>
          </w:tcPr>
          <w:p w:rsidR="00C227C0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1.333.809,93</w:t>
            </w:r>
          </w:p>
        </w:tc>
      </w:tr>
      <w:tr w:rsidR="00C227C0" w:rsidRPr="009D4804" w:rsidTr="006F311E">
        <w:trPr>
          <w:trHeight w:val="255"/>
        </w:trPr>
        <w:tc>
          <w:tcPr>
            <w:tcW w:w="557" w:type="pct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15079011</w:t>
            </w:r>
          </w:p>
        </w:tc>
        <w:tc>
          <w:tcPr>
            <w:tcW w:w="740" w:type="pct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21.286,77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24.270,43</w:t>
            </w:r>
          </w:p>
        </w:tc>
        <w:tc>
          <w:tcPr>
            <w:tcW w:w="7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22.132,23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17.970,74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19.707,51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vAlign w:val="center"/>
          </w:tcPr>
          <w:p w:rsidR="00C227C0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105.367,69</w:t>
            </w:r>
          </w:p>
        </w:tc>
      </w:tr>
      <w:tr w:rsidR="00C227C0" w:rsidRPr="009D4804" w:rsidTr="006F311E">
        <w:trPr>
          <w:trHeight w:val="255"/>
        </w:trPr>
        <w:tc>
          <w:tcPr>
            <w:tcW w:w="557" w:type="pct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15079019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20.356,15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3.785,85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17.618,00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1.783,37</w:t>
            </w:r>
          </w:p>
        </w:tc>
        <w:tc>
          <w:tcPr>
            <w:tcW w:w="742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1.293,66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C227C0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44.837,03</w:t>
            </w:r>
          </w:p>
        </w:tc>
      </w:tr>
      <w:tr w:rsidR="00C227C0" w:rsidRPr="009D4804" w:rsidTr="006F311E">
        <w:trPr>
          <w:trHeight w:val="255"/>
        </w:trPr>
        <w:tc>
          <w:tcPr>
            <w:tcW w:w="557" w:type="pc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B45900" w:rsidRDefault="00C227C0" w:rsidP="00B01421">
            <w:pPr>
              <w:jc w:val="center"/>
              <w:rPr>
                <w:color w:val="000000"/>
              </w:rPr>
            </w:pPr>
            <w:r w:rsidRPr="00B45900">
              <w:rPr>
                <w:color w:val="000000"/>
              </w:rPr>
              <w:t>10059010</w:t>
            </w:r>
          </w:p>
        </w:tc>
        <w:tc>
          <w:tcPr>
            <w:tcW w:w="740" w:type="pc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15.664.889,82</w:t>
            </w:r>
          </w:p>
        </w:tc>
        <w:tc>
          <w:tcPr>
            <w:tcW w:w="740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10.947.247,56</w:t>
            </w:r>
          </w:p>
        </w:tc>
        <w:tc>
          <w:tcPr>
            <w:tcW w:w="741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14.457.835,73</w:t>
            </w:r>
          </w:p>
        </w:tc>
        <w:tc>
          <w:tcPr>
            <w:tcW w:w="740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14.317.772,39</w:t>
            </w:r>
          </w:p>
        </w:tc>
        <w:tc>
          <w:tcPr>
            <w:tcW w:w="742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F255A1" w:rsidRDefault="00C227C0" w:rsidP="002968D7">
            <w:pPr>
              <w:jc w:val="right"/>
              <w:rPr>
                <w:color w:val="000000"/>
              </w:rPr>
            </w:pPr>
            <w:r w:rsidRPr="00F255A1">
              <w:rPr>
                <w:color w:val="000000"/>
              </w:rPr>
              <w:t>18.272.961,48</w:t>
            </w:r>
          </w:p>
        </w:tc>
        <w:tc>
          <w:tcPr>
            <w:tcW w:w="740" w:type="pct"/>
            <w:tcBorders>
              <w:top w:val="single" w:sz="18" w:space="0" w:color="auto"/>
            </w:tcBorders>
            <w:vAlign w:val="center"/>
          </w:tcPr>
          <w:p w:rsidR="00C227C0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73.660.706,99</w:t>
            </w:r>
          </w:p>
        </w:tc>
      </w:tr>
      <w:tr w:rsidR="00C227C0" w:rsidRPr="009D4804" w:rsidTr="006F311E">
        <w:trPr>
          <w:trHeight w:val="255"/>
        </w:trPr>
        <w:tc>
          <w:tcPr>
            <w:tcW w:w="557" w:type="pct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10059090</w:t>
            </w:r>
          </w:p>
        </w:tc>
        <w:tc>
          <w:tcPr>
            <w:tcW w:w="740" w:type="pct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3.173,43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22.775,58</w:t>
            </w:r>
          </w:p>
        </w:tc>
        <w:tc>
          <w:tcPr>
            <w:tcW w:w="7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13.412,82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8.543,44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2.143,36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vAlign w:val="center"/>
          </w:tcPr>
          <w:p w:rsidR="00C227C0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50.048,63</w:t>
            </w:r>
          </w:p>
        </w:tc>
      </w:tr>
      <w:tr w:rsidR="00C227C0" w:rsidRPr="009D4804" w:rsidTr="006F311E">
        <w:trPr>
          <w:trHeight w:val="255"/>
        </w:trPr>
        <w:tc>
          <w:tcPr>
            <w:tcW w:w="557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10051000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1.451,92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1.269,44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82,83</w:t>
            </w:r>
          </w:p>
        </w:tc>
        <w:tc>
          <w:tcPr>
            <w:tcW w:w="7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12,02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27C0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2.816,21</w:t>
            </w:r>
          </w:p>
        </w:tc>
      </w:tr>
      <w:tr w:rsidR="00C227C0" w:rsidRPr="009D4804" w:rsidTr="006F311E">
        <w:trPr>
          <w:trHeight w:val="255"/>
        </w:trPr>
        <w:tc>
          <w:tcPr>
            <w:tcW w:w="557" w:type="pct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11042300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1.499,05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1.774,32</w:t>
            </w:r>
          </w:p>
        </w:tc>
        <w:tc>
          <w:tcPr>
            <w:tcW w:w="742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1.846,01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C227C0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5.119,38</w:t>
            </w:r>
          </w:p>
        </w:tc>
      </w:tr>
      <w:tr w:rsidR="00C227C0" w:rsidRPr="009D4804" w:rsidTr="006F311E">
        <w:trPr>
          <w:trHeight w:val="255"/>
        </w:trPr>
        <w:tc>
          <w:tcPr>
            <w:tcW w:w="557" w:type="pc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52010020</w:t>
            </w:r>
          </w:p>
        </w:tc>
        <w:tc>
          <w:tcPr>
            <w:tcW w:w="740" w:type="pc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341.101,54</w:t>
            </w:r>
          </w:p>
        </w:tc>
        <w:tc>
          <w:tcPr>
            <w:tcW w:w="740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416.951,89</w:t>
            </w:r>
          </w:p>
        </w:tc>
        <w:tc>
          <w:tcPr>
            <w:tcW w:w="741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486.720,32</w:t>
            </w:r>
          </w:p>
        </w:tc>
        <w:tc>
          <w:tcPr>
            <w:tcW w:w="740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546.885,44</w:t>
            </w:r>
          </w:p>
        </w:tc>
        <w:tc>
          <w:tcPr>
            <w:tcW w:w="742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539.720,02</w:t>
            </w:r>
          </w:p>
        </w:tc>
        <w:tc>
          <w:tcPr>
            <w:tcW w:w="740" w:type="pct"/>
            <w:tcBorders>
              <w:top w:val="single" w:sz="18" w:space="0" w:color="auto"/>
            </w:tcBorders>
            <w:vAlign w:val="center"/>
          </w:tcPr>
          <w:p w:rsidR="00C227C0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2.331.379,20</w:t>
            </w:r>
          </w:p>
        </w:tc>
      </w:tr>
      <w:tr w:rsidR="00C227C0" w:rsidRPr="009D4804" w:rsidTr="006F311E">
        <w:trPr>
          <w:trHeight w:val="255"/>
        </w:trPr>
        <w:tc>
          <w:tcPr>
            <w:tcW w:w="557" w:type="pct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52010010</w:t>
            </w:r>
          </w:p>
        </w:tc>
        <w:tc>
          <w:tcPr>
            <w:tcW w:w="740" w:type="pct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495,91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721,26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vAlign w:val="center"/>
          </w:tcPr>
          <w:p w:rsidR="00C227C0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1.217,17</w:t>
            </w:r>
          </w:p>
        </w:tc>
      </w:tr>
      <w:tr w:rsidR="00C227C0" w:rsidRPr="009D4804" w:rsidTr="006F311E">
        <w:trPr>
          <w:trHeight w:val="255"/>
        </w:trPr>
        <w:tc>
          <w:tcPr>
            <w:tcW w:w="557" w:type="pct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52010090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3.963,84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1.649,07</w:t>
            </w:r>
          </w:p>
        </w:tc>
        <w:tc>
          <w:tcPr>
            <w:tcW w:w="742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628,85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C227C0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6.241,76</w:t>
            </w:r>
          </w:p>
        </w:tc>
      </w:tr>
      <w:tr w:rsidR="00C227C0" w:rsidRPr="009D4804" w:rsidTr="006F311E">
        <w:trPr>
          <w:trHeight w:val="255"/>
        </w:trPr>
        <w:tc>
          <w:tcPr>
            <w:tcW w:w="557" w:type="pct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02023000</w:t>
            </w:r>
          </w:p>
        </w:tc>
        <w:tc>
          <w:tcPr>
            <w:tcW w:w="740" w:type="pct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201.912,97</w:t>
            </w:r>
          </w:p>
        </w:tc>
        <w:tc>
          <w:tcPr>
            <w:tcW w:w="740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215.267,81</w:t>
            </w:r>
          </w:p>
        </w:tc>
        <w:tc>
          <w:tcPr>
            <w:tcW w:w="741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206.233,31</w:t>
            </w:r>
          </w:p>
        </w:tc>
        <w:tc>
          <w:tcPr>
            <w:tcW w:w="740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181.133,49</w:t>
            </w:r>
          </w:p>
        </w:tc>
        <w:tc>
          <w:tcPr>
            <w:tcW w:w="742" w:type="pc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239.737,28</w:t>
            </w:r>
          </w:p>
        </w:tc>
        <w:tc>
          <w:tcPr>
            <w:tcW w:w="740" w:type="pct"/>
            <w:tcBorders>
              <w:top w:val="single" w:sz="18" w:space="0" w:color="auto"/>
            </w:tcBorders>
            <w:vAlign w:val="center"/>
          </w:tcPr>
          <w:p w:rsidR="00C227C0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1.044.284,86</w:t>
            </w:r>
          </w:p>
        </w:tc>
      </w:tr>
      <w:tr w:rsidR="00C227C0" w:rsidRPr="009D4804" w:rsidTr="006F311E">
        <w:trPr>
          <w:trHeight w:val="255"/>
        </w:trPr>
        <w:tc>
          <w:tcPr>
            <w:tcW w:w="557" w:type="pct"/>
            <w:tcBorders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02013000</w:t>
            </w:r>
          </w:p>
        </w:tc>
        <w:tc>
          <w:tcPr>
            <w:tcW w:w="740" w:type="pct"/>
            <w:tcBorders>
              <w:lef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23.177,92</w:t>
            </w:r>
          </w:p>
        </w:tc>
        <w:tc>
          <w:tcPr>
            <w:tcW w:w="740" w:type="pct"/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24.425,71</w:t>
            </w:r>
          </w:p>
        </w:tc>
        <w:tc>
          <w:tcPr>
            <w:tcW w:w="741" w:type="pct"/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22.346,75</w:t>
            </w:r>
          </w:p>
        </w:tc>
        <w:tc>
          <w:tcPr>
            <w:tcW w:w="740" w:type="pct"/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30.472,34</w:t>
            </w:r>
          </w:p>
        </w:tc>
        <w:tc>
          <w:tcPr>
            <w:tcW w:w="742" w:type="pct"/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26.300,06</w:t>
            </w:r>
          </w:p>
        </w:tc>
        <w:tc>
          <w:tcPr>
            <w:tcW w:w="740" w:type="pct"/>
            <w:vAlign w:val="center"/>
          </w:tcPr>
          <w:p w:rsidR="00C227C0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126.722,78</w:t>
            </w:r>
          </w:p>
        </w:tc>
      </w:tr>
      <w:tr w:rsidR="00C227C0" w:rsidRPr="009D4804" w:rsidTr="006F311E">
        <w:trPr>
          <w:trHeight w:val="255"/>
        </w:trPr>
        <w:tc>
          <w:tcPr>
            <w:tcW w:w="557" w:type="pct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02062990</w:t>
            </w:r>
          </w:p>
        </w:tc>
        <w:tc>
          <w:tcPr>
            <w:tcW w:w="740" w:type="pct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25.994,35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22.223,87</w:t>
            </w:r>
          </w:p>
        </w:tc>
        <w:tc>
          <w:tcPr>
            <w:tcW w:w="7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17.853,25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21.311,84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21.738,26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vAlign w:val="center"/>
          </w:tcPr>
          <w:p w:rsidR="00C227C0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109.121,57</w:t>
            </w:r>
          </w:p>
        </w:tc>
      </w:tr>
      <w:tr w:rsidR="00C227C0" w:rsidRPr="009D4804" w:rsidTr="006F311E">
        <w:trPr>
          <w:trHeight w:val="255"/>
        </w:trPr>
        <w:tc>
          <w:tcPr>
            <w:tcW w:w="557" w:type="pct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02022090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2.075,96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6.182,03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923,60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856,36</w:t>
            </w:r>
          </w:p>
        </w:tc>
        <w:tc>
          <w:tcPr>
            <w:tcW w:w="74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688,76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227C0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10.726,70</w:t>
            </w:r>
          </w:p>
        </w:tc>
      </w:tr>
      <w:tr w:rsidR="00C227C0" w:rsidRPr="009D4804" w:rsidTr="006F311E">
        <w:trPr>
          <w:trHeight w:val="255"/>
        </w:trPr>
        <w:tc>
          <w:tcPr>
            <w:tcW w:w="557" w:type="pct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B01421">
            <w:pPr>
              <w:jc w:val="center"/>
              <w:rPr>
                <w:color w:val="000000"/>
              </w:rPr>
            </w:pPr>
            <w:r w:rsidRPr="009D4804">
              <w:rPr>
                <w:color w:val="000000"/>
              </w:rPr>
              <w:t>02022010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122,62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181,78</w:t>
            </w:r>
          </w:p>
        </w:tc>
        <w:tc>
          <w:tcPr>
            <w:tcW w:w="741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115,70</w:t>
            </w:r>
          </w:p>
        </w:tc>
        <w:tc>
          <w:tcPr>
            <w:tcW w:w="742" w:type="pct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227C0" w:rsidRPr="009D4804" w:rsidRDefault="00C227C0" w:rsidP="002968D7">
            <w:pPr>
              <w:jc w:val="right"/>
              <w:rPr>
                <w:color w:val="000000"/>
              </w:rPr>
            </w:pPr>
            <w:r w:rsidRPr="009D4804">
              <w:rPr>
                <w:color w:val="000000"/>
              </w:rPr>
              <w:t>143,45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C227C0" w:rsidRDefault="00C227C0" w:rsidP="002968D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563,55</w:t>
            </w:r>
          </w:p>
        </w:tc>
      </w:tr>
      <w:tr w:rsidR="00C227C0" w:rsidRPr="009D4804" w:rsidTr="00B01421">
        <w:trPr>
          <w:trHeight w:val="264"/>
        </w:trPr>
        <w:tc>
          <w:tcPr>
            <w:tcW w:w="5000" w:type="pct"/>
            <w:gridSpan w:val="7"/>
            <w:tcBorders>
              <w:top w:val="single" w:sz="18" w:space="0" w:color="auto"/>
              <w:bottom w:val="nil"/>
            </w:tcBorders>
            <w:shd w:val="clear" w:color="auto" w:fill="auto"/>
            <w:noWrap/>
            <w:vAlign w:val="center"/>
          </w:tcPr>
          <w:p w:rsidR="00C227C0" w:rsidRDefault="00C227C0" w:rsidP="00B01421">
            <w:pPr>
              <w:rPr>
                <w:color w:val="000000"/>
              </w:rPr>
            </w:pPr>
            <w:r>
              <w:rPr>
                <w:color w:val="000000"/>
              </w:rPr>
              <w:t>*</w:t>
            </w:r>
            <w:r w:rsidR="00683FF3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Nomenclatura Comum do Mercosul.</w:t>
            </w:r>
          </w:p>
          <w:p w:rsidR="00C227C0" w:rsidRDefault="00C227C0" w:rsidP="00B01421">
            <w:pPr>
              <w:rPr>
                <w:color w:val="000000"/>
              </w:rPr>
            </w:pPr>
            <w:r>
              <w:rPr>
                <w:color w:val="000000"/>
              </w:rPr>
              <w:t xml:space="preserve">Fonte: </w:t>
            </w:r>
            <w:r w:rsidRPr="007E5D28">
              <w:rPr>
                <w:noProof/>
                <w:color w:val="000000"/>
              </w:rPr>
              <w:t>Ministério da Indústria</w:t>
            </w:r>
            <w:r>
              <w:rPr>
                <w:noProof/>
                <w:color w:val="000000"/>
              </w:rPr>
              <w:t xml:space="preserve">, Comércio Exterior e Serviços – </w:t>
            </w:r>
            <w:r w:rsidRPr="007E5D28">
              <w:rPr>
                <w:noProof/>
                <w:color w:val="000000"/>
              </w:rPr>
              <w:t>MDIC</w:t>
            </w:r>
            <w:r>
              <w:rPr>
                <w:noProof/>
                <w:color w:val="000000"/>
              </w:rPr>
              <w:t xml:space="preserve"> </w:t>
            </w:r>
            <w:r w:rsidRPr="007E5D28">
              <w:rPr>
                <w:noProof/>
                <w:color w:val="000000"/>
              </w:rPr>
              <w:t>(2018)</w:t>
            </w:r>
          </w:p>
        </w:tc>
      </w:tr>
    </w:tbl>
    <w:p w:rsidR="00DA1B0A" w:rsidRDefault="00B45900" w:rsidP="00F55418">
      <w:pPr>
        <w:widowControl w:val="0"/>
        <w:spacing w:before="240" w:after="240"/>
        <w:ind w:firstLine="709"/>
        <w:jc w:val="both"/>
        <w:rPr>
          <w:sz w:val="24"/>
          <w:szCs w:val="24"/>
        </w:rPr>
      </w:pPr>
      <w:r w:rsidRPr="00537B85">
        <w:rPr>
          <w:sz w:val="24"/>
          <w:szCs w:val="24"/>
        </w:rPr>
        <w:t>A quantia exportada in</w:t>
      </w:r>
      <w:r>
        <w:rPr>
          <w:sz w:val="24"/>
          <w:szCs w:val="24"/>
        </w:rPr>
        <w:t>fluencia diretamente no total da</w:t>
      </w:r>
      <w:r w:rsidRPr="00537B85">
        <w:rPr>
          <w:sz w:val="24"/>
          <w:szCs w:val="24"/>
        </w:rPr>
        <w:t xml:space="preserve"> pegada </w:t>
      </w:r>
      <w:r w:rsidRPr="00F55418">
        <w:rPr>
          <w:sz w:val="24"/>
          <w:szCs w:val="24"/>
        </w:rPr>
        <w:t>hídrica (</w:t>
      </w:r>
      <w:r w:rsidR="00F55418" w:rsidRPr="00F55418">
        <w:rPr>
          <w:sz w:val="24"/>
          <w:szCs w:val="24"/>
        </w:rPr>
        <w:fldChar w:fldCharType="begin"/>
      </w:r>
      <w:r w:rsidR="00F55418" w:rsidRPr="00F55418">
        <w:rPr>
          <w:sz w:val="24"/>
          <w:szCs w:val="24"/>
        </w:rPr>
        <w:instrText xml:space="preserve"> REF _Ref513458146 \h  \* MERGEFORMAT </w:instrText>
      </w:r>
      <w:r w:rsidR="00F55418" w:rsidRPr="00F55418">
        <w:rPr>
          <w:sz w:val="24"/>
          <w:szCs w:val="24"/>
        </w:rPr>
      </w:r>
      <w:r w:rsidR="00F55418" w:rsidRPr="00F55418">
        <w:rPr>
          <w:sz w:val="24"/>
          <w:szCs w:val="24"/>
        </w:rPr>
        <w:fldChar w:fldCharType="separate"/>
      </w:r>
      <w:r w:rsidR="009D7C72" w:rsidRPr="009D7C72">
        <w:rPr>
          <w:sz w:val="24"/>
          <w:szCs w:val="24"/>
        </w:rPr>
        <w:t xml:space="preserve">Tabela </w:t>
      </w:r>
      <w:r w:rsidR="009D7C72" w:rsidRPr="009D7C72">
        <w:rPr>
          <w:noProof/>
          <w:sz w:val="24"/>
          <w:szCs w:val="24"/>
        </w:rPr>
        <w:t>3</w:t>
      </w:r>
      <w:r w:rsidR="00F55418" w:rsidRPr="00F55418">
        <w:rPr>
          <w:sz w:val="24"/>
          <w:szCs w:val="24"/>
        </w:rPr>
        <w:fldChar w:fldCharType="end"/>
      </w:r>
      <w:r w:rsidRPr="00F55418">
        <w:rPr>
          <w:sz w:val="24"/>
          <w:szCs w:val="24"/>
        </w:rPr>
        <w:t>),</w:t>
      </w:r>
      <w:r w:rsidR="00A27451" w:rsidRPr="00F55418">
        <w:rPr>
          <w:sz w:val="24"/>
          <w:szCs w:val="24"/>
        </w:rPr>
        <w:t xml:space="preserve"> porém</w:t>
      </w:r>
      <w:r w:rsidR="00A27451">
        <w:rPr>
          <w:sz w:val="24"/>
          <w:szCs w:val="24"/>
        </w:rPr>
        <w:t xml:space="preserve"> destaca-se que embora a carne bovina tenha sido exportada em menor quantidade</w:t>
      </w:r>
      <w:r w:rsidR="00DA1B0A">
        <w:rPr>
          <w:sz w:val="24"/>
          <w:szCs w:val="24"/>
        </w:rPr>
        <w:t>, representando</w:t>
      </w:r>
      <w:r w:rsidR="00A27451">
        <w:rPr>
          <w:sz w:val="24"/>
          <w:szCs w:val="24"/>
        </w:rPr>
        <w:t xml:space="preserve"> 1,3</w:t>
      </w:r>
      <w:r w:rsidR="00DA1B0A">
        <w:rPr>
          <w:sz w:val="24"/>
          <w:szCs w:val="24"/>
        </w:rPr>
        <w:t>%</w:t>
      </w:r>
      <w:r w:rsidR="00A27451">
        <w:rPr>
          <w:sz w:val="24"/>
          <w:szCs w:val="24"/>
        </w:rPr>
        <w:t xml:space="preserve"> em relação a soja e seus derivados</w:t>
      </w:r>
      <w:r w:rsidR="00DA1B0A">
        <w:rPr>
          <w:sz w:val="24"/>
          <w:szCs w:val="24"/>
        </w:rPr>
        <w:t xml:space="preserve">, </w:t>
      </w:r>
      <w:r w:rsidR="00A27451">
        <w:rPr>
          <w:sz w:val="24"/>
          <w:szCs w:val="24"/>
        </w:rPr>
        <w:t xml:space="preserve">a PH Virtual representa 13%. Tal diferença se </w:t>
      </w:r>
      <w:r w:rsidR="00DA1B0A">
        <w:rPr>
          <w:sz w:val="24"/>
          <w:szCs w:val="24"/>
        </w:rPr>
        <w:t>dá</w:t>
      </w:r>
      <w:r w:rsidR="00A27451">
        <w:rPr>
          <w:sz w:val="24"/>
          <w:szCs w:val="24"/>
        </w:rPr>
        <w:t xml:space="preserve"> em razão</w:t>
      </w:r>
      <w:r w:rsidR="00DA1B0A">
        <w:rPr>
          <w:sz w:val="24"/>
          <w:szCs w:val="24"/>
        </w:rPr>
        <w:t xml:space="preserve"> de</w:t>
      </w:r>
      <w:r w:rsidR="00A27451">
        <w:rPr>
          <w:sz w:val="24"/>
          <w:szCs w:val="24"/>
        </w:rPr>
        <w:t xml:space="preserve"> </w:t>
      </w:r>
      <w:r>
        <w:rPr>
          <w:sz w:val="24"/>
          <w:szCs w:val="24"/>
        </w:rPr>
        <w:t>que para produzir um</w:t>
      </w:r>
      <w:r w:rsidR="00492585">
        <w:rPr>
          <w:sz w:val="24"/>
          <w:szCs w:val="24"/>
        </w:rPr>
        <w:t>a tonelada</w:t>
      </w:r>
      <w:r>
        <w:rPr>
          <w:sz w:val="24"/>
          <w:szCs w:val="24"/>
        </w:rPr>
        <w:t xml:space="preserve"> de carne bovina </w:t>
      </w:r>
      <w:r w:rsidR="00DA1B0A">
        <w:rPr>
          <w:sz w:val="24"/>
          <w:szCs w:val="24"/>
        </w:rPr>
        <w:t>é</w:t>
      </w:r>
      <w:r>
        <w:rPr>
          <w:sz w:val="24"/>
          <w:szCs w:val="24"/>
        </w:rPr>
        <w:t xml:space="preserve"> </w:t>
      </w:r>
      <w:r w:rsidR="005B18A2">
        <w:rPr>
          <w:sz w:val="24"/>
          <w:szCs w:val="24"/>
        </w:rPr>
        <w:t>necessária uma média</w:t>
      </w:r>
      <w:r w:rsidR="00DA1B0A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</w:t>
      </w:r>
      <w:r w:rsidRPr="00371E17">
        <w:rPr>
          <w:sz w:val="24"/>
          <w:szCs w:val="24"/>
        </w:rPr>
        <w:t>1</w:t>
      </w:r>
      <w:r w:rsidR="00DA1B0A">
        <w:rPr>
          <w:sz w:val="24"/>
          <w:szCs w:val="24"/>
        </w:rPr>
        <w:t>6.107 </w:t>
      </w:r>
      <w:r w:rsidR="00492585">
        <w:rPr>
          <w:sz w:val="24"/>
          <w:szCs w:val="24"/>
        </w:rPr>
        <w:t>m</w:t>
      </w:r>
      <w:r w:rsidR="00492585">
        <w:rPr>
          <w:sz w:val="24"/>
          <w:szCs w:val="24"/>
          <w:vertAlign w:val="superscript"/>
        </w:rPr>
        <w:t>3</w:t>
      </w:r>
      <w:r w:rsidR="005B18A2">
        <w:rPr>
          <w:sz w:val="24"/>
          <w:szCs w:val="24"/>
        </w:rPr>
        <w:t>/t</w:t>
      </w:r>
      <w:r w:rsidR="00DA1B0A">
        <w:rPr>
          <w:sz w:val="24"/>
          <w:szCs w:val="24"/>
        </w:rPr>
        <w:t xml:space="preserve">, enquanto que para a soja e seus derivados uma média de 2.740 </w:t>
      </w:r>
      <w:r w:rsidR="005B18A2">
        <w:rPr>
          <w:sz w:val="24"/>
          <w:szCs w:val="24"/>
        </w:rPr>
        <w:t>m</w:t>
      </w:r>
      <w:r w:rsidR="005B18A2">
        <w:rPr>
          <w:sz w:val="24"/>
          <w:szCs w:val="24"/>
          <w:vertAlign w:val="superscript"/>
        </w:rPr>
        <w:t>3</w:t>
      </w:r>
      <w:r w:rsidR="005B18A2">
        <w:rPr>
          <w:sz w:val="24"/>
          <w:szCs w:val="24"/>
        </w:rPr>
        <w:t>/t.</w:t>
      </w:r>
    </w:p>
    <w:p w:rsidR="00F55418" w:rsidRDefault="00F55418" w:rsidP="00F55418">
      <w:pPr>
        <w:widowControl w:val="0"/>
        <w:spacing w:before="240" w:after="240"/>
        <w:ind w:firstLine="709"/>
        <w:jc w:val="both"/>
        <w:rPr>
          <w:sz w:val="24"/>
          <w:szCs w:val="24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2434"/>
        <w:gridCol w:w="1363"/>
        <w:gridCol w:w="816"/>
        <w:gridCol w:w="1826"/>
        <w:gridCol w:w="1686"/>
      </w:tblGrid>
      <w:tr w:rsidR="00B45900" w:rsidRPr="00BA39A1" w:rsidTr="00462305">
        <w:trPr>
          <w:trHeight w:val="255"/>
        </w:trPr>
        <w:tc>
          <w:tcPr>
            <w:tcW w:w="5000" w:type="pct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45900" w:rsidRPr="00BA39A1" w:rsidRDefault="00B45900" w:rsidP="00462305">
            <w:pPr>
              <w:suppressAutoHyphens w:val="0"/>
              <w:rPr>
                <w:b/>
                <w:color w:val="000000"/>
              </w:rPr>
            </w:pPr>
            <w:bookmarkStart w:id="4" w:name="_Ref513458146"/>
            <w:bookmarkStart w:id="5" w:name="_Ref513458140"/>
            <w:r w:rsidRPr="00BA39A1">
              <w:rPr>
                <w:b/>
              </w:rPr>
              <w:lastRenderedPageBreak/>
              <w:t xml:space="preserve">Tabela </w:t>
            </w:r>
            <w:r w:rsidRPr="00BA39A1">
              <w:rPr>
                <w:b/>
              </w:rPr>
              <w:fldChar w:fldCharType="begin"/>
            </w:r>
            <w:r w:rsidRPr="00BA39A1">
              <w:rPr>
                <w:b/>
              </w:rPr>
              <w:instrText xml:space="preserve"> SEQ Tabela \* ARABIC </w:instrText>
            </w:r>
            <w:r w:rsidRPr="00BA39A1">
              <w:rPr>
                <w:b/>
              </w:rPr>
              <w:fldChar w:fldCharType="separate"/>
            </w:r>
            <w:r w:rsidR="009D7C72">
              <w:rPr>
                <w:b/>
                <w:noProof/>
              </w:rPr>
              <w:t>3</w:t>
            </w:r>
            <w:r w:rsidRPr="00BA39A1">
              <w:rPr>
                <w:b/>
              </w:rPr>
              <w:fldChar w:fldCharType="end"/>
            </w:r>
            <w:bookmarkEnd w:id="4"/>
            <w:r w:rsidRPr="00BA39A1">
              <w:rPr>
                <w:b/>
              </w:rPr>
              <w:t xml:space="preserve">. </w:t>
            </w:r>
            <w:r>
              <w:rPr>
                <w:b/>
              </w:rPr>
              <w:t>Pegada Hídrica Virtual exportada pelo estado de Mato Grosso no período de 2013 a 2017</w:t>
            </w:r>
            <w:bookmarkEnd w:id="5"/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vMerge w:val="restart"/>
            <w:tcBorders>
              <w:top w:val="nil"/>
              <w:left w:val="nil"/>
              <w:bottom w:val="single" w:sz="12" w:space="0" w:color="000000"/>
              <w:right w:val="single" w:sz="12" w:space="0" w:color="auto"/>
            </w:tcBorders>
            <w:shd w:val="clear" w:color="000000" w:fill="D9D9D9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proofErr w:type="spellStart"/>
            <w:r w:rsidRPr="00BA39A1">
              <w:rPr>
                <w:b/>
                <w:bCs/>
                <w:color w:val="000000"/>
              </w:rPr>
              <w:t>NCM</w:t>
            </w:r>
            <w:proofErr w:type="spellEnd"/>
            <w:r w:rsidRPr="00BA39A1">
              <w:rPr>
                <w:b/>
                <w:bCs/>
                <w:color w:val="000000"/>
              </w:rPr>
              <w:t>*</w:t>
            </w:r>
          </w:p>
        </w:tc>
        <w:tc>
          <w:tcPr>
            <w:tcW w:w="1343" w:type="pct"/>
            <w:vMerge w:val="restart"/>
            <w:tcBorders>
              <w:top w:val="nil"/>
              <w:left w:val="nil"/>
              <w:right w:val="single" w:sz="2" w:space="0" w:color="auto"/>
            </w:tcBorders>
            <w:shd w:val="clear" w:color="000000" w:fill="D9D9D9"/>
            <w:vAlign w:val="center"/>
          </w:tcPr>
          <w:p w:rsidR="00B45900" w:rsidRDefault="00B45900" w:rsidP="00462305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752" w:type="pct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D9D9D9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 exportado</w:t>
            </w:r>
          </w:p>
        </w:tc>
        <w:tc>
          <w:tcPr>
            <w:tcW w:w="450" w:type="pct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D9D9D9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A39A1">
              <w:rPr>
                <w:b/>
                <w:bCs/>
                <w:color w:val="000000"/>
              </w:rPr>
              <w:t>Pegada Hídrica</w:t>
            </w:r>
          </w:p>
        </w:tc>
        <w:tc>
          <w:tcPr>
            <w:tcW w:w="1007" w:type="pct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000000" w:fill="D9D9D9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 da PH V</w:t>
            </w:r>
            <w:r w:rsidRPr="00BA39A1">
              <w:rPr>
                <w:b/>
                <w:bCs/>
                <w:color w:val="000000"/>
              </w:rPr>
              <w:t>irtual exportada</w:t>
            </w:r>
            <w:r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930" w:type="pct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000000" w:fill="D9D9D9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Total de custo da PH V</w:t>
            </w:r>
            <w:r w:rsidRPr="00BA39A1">
              <w:rPr>
                <w:b/>
                <w:bCs/>
                <w:color w:val="000000"/>
              </w:rPr>
              <w:t>irtual</w:t>
            </w:r>
            <w:r>
              <w:rPr>
                <w:b/>
                <w:bCs/>
                <w:color w:val="000000"/>
              </w:rPr>
              <w:t xml:space="preserve"> exportada</w:t>
            </w:r>
            <w:r w:rsidRPr="00BA39A1">
              <w:rPr>
                <w:b/>
                <w:bCs/>
                <w:color w:val="000000"/>
              </w:rPr>
              <w:t>*</w:t>
            </w:r>
            <w:r>
              <w:rPr>
                <w:b/>
                <w:bCs/>
                <w:color w:val="000000"/>
              </w:rPr>
              <w:t>*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vMerge/>
            <w:tcBorders>
              <w:top w:val="nil"/>
              <w:left w:val="nil"/>
              <w:bottom w:val="single" w:sz="12" w:space="0" w:color="000000"/>
              <w:right w:val="single" w:sz="12" w:space="0" w:color="auto"/>
            </w:tcBorders>
            <w:vAlign w:val="center"/>
            <w:hideMark/>
          </w:tcPr>
          <w:p w:rsidR="00B45900" w:rsidRPr="00BA39A1" w:rsidRDefault="00B45900" w:rsidP="00462305">
            <w:pPr>
              <w:suppressAutoHyphens w:val="0"/>
              <w:rPr>
                <w:b/>
                <w:bCs/>
                <w:color w:val="000000"/>
              </w:rPr>
            </w:pPr>
          </w:p>
        </w:tc>
        <w:tc>
          <w:tcPr>
            <w:tcW w:w="1343" w:type="pct"/>
            <w:vMerge/>
            <w:tcBorders>
              <w:left w:val="nil"/>
              <w:bottom w:val="single" w:sz="12" w:space="0" w:color="auto"/>
              <w:right w:val="single" w:sz="2" w:space="0" w:color="auto"/>
            </w:tcBorders>
            <w:shd w:val="clear" w:color="000000" w:fill="D9D9D9"/>
          </w:tcPr>
          <w:p w:rsidR="00B45900" w:rsidRPr="00BA39A1" w:rsidRDefault="00B45900" w:rsidP="00462305">
            <w:pPr>
              <w:suppressAutoHyphens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52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D9D9D9"/>
            <w:vAlign w:val="center"/>
            <w:hideMark/>
          </w:tcPr>
          <w:p w:rsidR="00B45900" w:rsidRPr="00A42B60" w:rsidRDefault="00B45900" w:rsidP="00462305">
            <w:pPr>
              <w:suppressAutoHyphens w:val="0"/>
              <w:jc w:val="center"/>
              <w:rPr>
                <w:bCs/>
                <w:color w:val="000000"/>
              </w:rPr>
            </w:pPr>
            <w:r w:rsidRPr="00A42B60">
              <w:rPr>
                <w:bCs/>
                <w:color w:val="000000"/>
              </w:rPr>
              <w:t>em t</w:t>
            </w:r>
          </w:p>
        </w:tc>
        <w:tc>
          <w:tcPr>
            <w:tcW w:w="450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D9D9D9"/>
            <w:vAlign w:val="center"/>
            <w:hideMark/>
          </w:tcPr>
          <w:p w:rsidR="00B45900" w:rsidRPr="00A42B60" w:rsidRDefault="00B45900" w:rsidP="00462305">
            <w:pPr>
              <w:suppressAutoHyphens w:val="0"/>
              <w:jc w:val="center"/>
              <w:rPr>
                <w:bCs/>
                <w:color w:val="000000"/>
              </w:rPr>
            </w:pPr>
            <w:r w:rsidRPr="00A42B60">
              <w:rPr>
                <w:bCs/>
                <w:color w:val="000000"/>
              </w:rPr>
              <w:t>m</w:t>
            </w:r>
            <w:r w:rsidRPr="00A42B60">
              <w:rPr>
                <w:bCs/>
                <w:color w:val="000000"/>
                <w:vertAlign w:val="superscript"/>
              </w:rPr>
              <w:t>3</w:t>
            </w:r>
            <w:r w:rsidRPr="00A42B60">
              <w:rPr>
                <w:bCs/>
                <w:color w:val="000000"/>
              </w:rPr>
              <w:t>/t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000000" w:fill="D9D9D9"/>
            <w:vAlign w:val="center"/>
            <w:hideMark/>
          </w:tcPr>
          <w:p w:rsidR="00B45900" w:rsidRPr="00A42B60" w:rsidRDefault="00B45900" w:rsidP="00462305">
            <w:pPr>
              <w:suppressAutoHyphens w:val="0"/>
              <w:jc w:val="center"/>
              <w:rPr>
                <w:bCs/>
                <w:color w:val="000000"/>
              </w:rPr>
            </w:pPr>
            <w:r w:rsidRPr="00A42B60">
              <w:rPr>
                <w:bCs/>
                <w:color w:val="000000"/>
              </w:rPr>
              <w:t>em m</w:t>
            </w:r>
            <w:r w:rsidRPr="00A42B60">
              <w:rPr>
                <w:bCs/>
                <w:color w:val="000000"/>
                <w:vertAlign w:val="superscript"/>
              </w:rPr>
              <w:t>3</w:t>
            </w:r>
          </w:p>
        </w:tc>
        <w:tc>
          <w:tcPr>
            <w:tcW w:w="930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nil"/>
            </w:tcBorders>
            <w:shd w:val="clear" w:color="000000" w:fill="D9D9D9"/>
            <w:vAlign w:val="center"/>
            <w:hideMark/>
          </w:tcPr>
          <w:p w:rsidR="00B45900" w:rsidRPr="00A42B60" w:rsidRDefault="00B45900" w:rsidP="00462305">
            <w:pPr>
              <w:suppressAutoHyphens w:val="0"/>
              <w:jc w:val="center"/>
              <w:rPr>
                <w:bCs/>
                <w:color w:val="000000"/>
              </w:rPr>
            </w:pPr>
            <w:r w:rsidRPr="00A42B60">
              <w:rPr>
                <w:bCs/>
                <w:color w:val="000000"/>
              </w:rPr>
              <w:t>em R$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tcBorders>
              <w:top w:val="single" w:sz="12" w:space="0" w:color="000000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color w:val="000000"/>
              </w:rPr>
            </w:pPr>
            <w:r w:rsidRPr="00BA39A1">
              <w:rPr>
                <w:color w:val="000000"/>
              </w:rPr>
              <w:t>12019000</w:t>
            </w:r>
          </w:p>
        </w:tc>
        <w:tc>
          <w:tcPr>
            <w:tcW w:w="1343" w:type="pct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45900" w:rsidRPr="00BA39A1" w:rsidRDefault="00B45900" w:rsidP="00462305">
            <w:pPr>
              <w:suppressAutoHyphens w:val="0"/>
              <w:rPr>
                <w:color w:val="000000"/>
              </w:rPr>
            </w:pPr>
            <w:r w:rsidRPr="00C47577">
              <w:rPr>
                <w:color w:val="000000"/>
              </w:rPr>
              <w:t xml:space="preserve">soja, </w:t>
            </w:r>
            <w:r>
              <w:rPr>
                <w:color w:val="000000"/>
              </w:rPr>
              <w:t>ex</w:t>
            </w:r>
            <w:r w:rsidRPr="00C47577">
              <w:rPr>
                <w:color w:val="000000"/>
              </w:rPr>
              <w:t>t</w:t>
            </w:r>
            <w:r>
              <w:rPr>
                <w:color w:val="000000"/>
              </w:rPr>
              <w:t>.</w:t>
            </w:r>
            <w:r w:rsidRPr="00C47577">
              <w:rPr>
                <w:color w:val="000000"/>
              </w:rPr>
              <w:t xml:space="preserve"> para semeadura</w:t>
            </w:r>
          </w:p>
        </w:tc>
        <w:tc>
          <w:tcPr>
            <w:tcW w:w="752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74.261.084,14</w:t>
            </w:r>
          </w:p>
        </w:tc>
        <w:tc>
          <w:tcPr>
            <w:tcW w:w="450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1.938</w:t>
            </w:r>
          </w:p>
        </w:tc>
        <w:tc>
          <w:tcPr>
            <w:tcW w:w="1007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492585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492585">
              <w:rPr>
                <w:color w:val="000000"/>
              </w:rPr>
              <w:t>143.917.981.063,32</w:t>
            </w:r>
          </w:p>
        </w:tc>
        <w:tc>
          <w:tcPr>
            <w:tcW w:w="930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1.780.505.289,06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color w:val="000000"/>
              </w:rPr>
            </w:pPr>
            <w:r w:rsidRPr="00BA39A1">
              <w:rPr>
                <w:color w:val="000000"/>
              </w:rPr>
              <w:t>23040090</w:t>
            </w:r>
          </w:p>
        </w:tc>
        <w:tc>
          <w:tcPr>
            <w:tcW w:w="134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</w:tcPr>
          <w:p w:rsidR="00B45900" w:rsidRPr="00BA39A1" w:rsidRDefault="00B45900" w:rsidP="00462305">
            <w:pPr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bagaços,</w:t>
            </w:r>
            <w:r w:rsidRPr="00427824">
              <w:rPr>
                <w:color w:val="000000"/>
              </w:rPr>
              <w:t xml:space="preserve"> extr</w:t>
            </w:r>
            <w:r>
              <w:rPr>
                <w:color w:val="000000"/>
              </w:rPr>
              <w:t>.</w:t>
            </w:r>
            <w:r w:rsidRPr="00427824">
              <w:rPr>
                <w:color w:val="000000"/>
              </w:rPr>
              <w:t xml:space="preserve"> do óleo soja</w:t>
            </w:r>
          </w:p>
        </w:tc>
        <w:tc>
          <w:tcPr>
            <w:tcW w:w="7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19.365.757,21</w:t>
            </w:r>
          </w:p>
        </w:tc>
        <w:tc>
          <w:tcPr>
            <w:tcW w:w="4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1.608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31.140.137.598,50</w:t>
            </w:r>
          </w:p>
        </w:tc>
        <w:tc>
          <w:tcPr>
            <w:tcW w:w="93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385.255.402,32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color w:val="000000"/>
              </w:rPr>
            </w:pPr>
            <w:r w:rsidRPr="00BA39A1">
              <w:rPr>
                <w:color w:val="000000"/>
              </w:rPr>
              <w:t>23040010</w:t>
            </w:r>
          </w:p>
        </w:tc>
        <w:tc>
          <w:tcPr>
            <w:tcW w:w="1343" w:type="pct"/>
            <w:tcBorders>
              <w:top w:val="single" w:sz="2" w:space="0" w:color="auto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B45900" w:rsidRPr="00BA39A1" w:rsidRDefault="00B45900" w:rsidP="00462305">
            <w:pPr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>farinhas,</w:t>
            </w:r>
            <w:r w:rsidRPr="00427824">
              <w:rPr>
                <w:color w:val="000000"/>
              </w:rPr>
              <w:t xml:space="preserve"> extr</w:t>
            </w:r>
            <w:r>
              <w:rPr>
                <w:color w:val="000000"/>
              </w:rPr>
              <w:t>.</w:t>
            </w:r>
            <w:r w:rsidRPr="00427824">
              <w:rPr>
                <w:color w:val="000000"/>
              </w:rPr>
              <w:t xml:space="preserve"> do óleo soja</w:t>
            </w:r>
          </w:p>
        </w:tc>
        <w:tc>
          <w:tcPr>
            <w:tcW w:w="752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4.356.468,80</w:t>
            </w:r>
          </w:p>
        </w:tc>
        <w:tc>
          <w:tcPr>
            <w:tcW w:w="450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1.608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7.005.201.836,83</w:t>
            </w:r>
          </w:p>
        </w:tc>
        <w:tc>
          <w:tcPr>
            <w:tcW w:w="930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86.666.022,06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color w:val="000000"/>
              </w:rPr>
            </w:pPr>
            <w:r w:rsidRPr="00BA39A1">
              <w:rPr>
                <w:color w:val="000000"/>
              </w:rPr>
              <w:t>15071000</w:t>
            </w:r>
          </w:p>
        </w:tc>
        <w:tc>
          <w:tcPr>
            <w:tcW w:w="1343" w:type="pct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45900" w:rsidRPr="0019167D" w:rsidRDefault="00B45900" w:rsidP="00462305">
            <w:r w:rsidRPr="0019167D">
              <w:t>óleo de soja, em bruto</w:t>
            </w:r>
          </w:p>
        </w:tc>
        <w:tc>
          <w:tcPr>
            <w:tcW w:w="752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1.333.809,93</w:t>
            </w:r>
          </w:p>
        </w:tc>
        <w:tc>
          <w:tcPr>
            <w:tcW w:w="450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3.711</w:t>
            </w:r>
          </w:p>
        </w:tc>
        <w:tc>
          <w:tcPr>
            <w:tcW w:w="1007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4.949.768.661,36</w:t>
            </w:r>
          </w:p>
        </w:tc>
        <w:tc>
          <w:tcPr>
            <w:tcW w:w="930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61.236.887,96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color w:val="000000"/>
              </w:rPr>
            </w:pPr>
            <w:r w:rsidRPr="00BA39A1">
              <w:rPr>
                <w:color w:val="000000"/>
              </w:rPr>
              <w:t>15079011</w:t>
            </w:r>
          </w:p>
        </w:tc>
        <w:tc>
          <w:tcPr>
            <w:tcW w:w="134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45900" w:rsidRPr="0019167D" w:rsidRDefault="00B45900" w:rsidP="00462305">
            <w:r>
              <w:t>óleo de soja, ref.</w:t>
            </w:r>
            <w:r w:rsidRPr="0019167D">
              <w:t xml:space="preserve"> </w:t>
            </w:r>
            <w:r>
              <w:t xml:space="preserve">rec. </w:t>
            </w:r>
            <w:r w:rsidRPr="0019167D">
              <w:t>&lt;=5l</w:t>
            </w:r>
          </w:p>
        </w:tc>
        <w:tc>
          <w:tcPr>
            <w:tcW w:w="7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105.367,69</w:t>
            </w:r>
          </w:p>
        </w:tc>
        <w:tc>
          <w:tcPr>
            <w:tcW w:w="4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3.787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399.027.434,46</w:t>
            </w:r>
          </w:p>
        </w:tc>
        <w:tc>
          <w:tcPr>
            <w:tcW w:w="93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4.936.634,41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color w:val="000000"/>
              </w:rPr>
            </w:pPr>
            <w:r w:rsidRPr="00BA39A1">
              <w:rPr>
                <w:color w:val="000000"/>
              </w:rPr>
              <w:t>15079019</w:t>
            </w:r>
          </w:p>
        </w:tc>
        <w:tc>
          <w:tcPr>
            <w:tcW w:w="1343" w:type="pct"/>
            <w:tcBorders>
              <w:top w:val="single" w:sz="2" w:space="0" w:color="auto"/>
              <w:left w:val="nil"/>
              <w:bottom w:val="single" w:sz="12" w:space="0" w:color="auto"/>
              <w:right w:val="single" w:sz="2" w:space="0" w:color="auto"/>
            </w:tcBorders>
          </w:tcPr>
          <w:p w:rsidR="00B45900" w:rsidRPr="0019167D" w:rsidRDefault="00B45900" w:rsidP="00462305">
            <w:r>
              <w:t>óleo de soja, ref.</w:t>
            </w:r>
            <w:r w:rsidRPr="0019167D">
              <w:t xml:space="preserve"> </w:t>
            </w:r>
            <w:r>
              <w:t xml:space="preserve">rec. </w:t>
            </w:r>
            <w:r w:rsidRPr="0019167D">
              <w:t>&gt;5l</w:t>
            </w:r>
          </w:p>
        </w:tc>
        <w:tc>
          <w:tcPr>
            <w:tcW w:w="752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44.837,03</w:t>
            </w:r>
          </w:p>
        </w:tc>
        <w:tc>
          <w:tcPr>
            <w:tcW w:w="450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3.787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169.797.832,61</w:t>
            </w:r>
          </w:p>
        </w:tc>
        <w:tc>
          <w:tcPr>
            <w:tcW w:w="930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2.100.682,19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color w:val="000000"/>
              </w:rPr>
            </w:pPr>
            <w:r w:rsidRPr="00BA39A1">
              <w:rPr>
                <w:color w:val="000000"/>
              </w:rPr>
              <w:t>10059010</w:t>
            </w:r>
          </w:p>
        </w:tc>
        <w:tc>
          <w:tcPr>
            <w:tcW w:w="1343" w:type="pct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45900" w:rsidRPr="0019167D" w:rsidRDefault="00B45900" w:rsidP="00462305">
            <w:r>
              <w:t>milho grão, ext. semeadura</w:t>
            </w:r>
          </w:p>
        </w:tc>
        <w:tc>
          <w:tcPr>
            <w:tcW w:w="752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73.660.706,99</w:t>
            </w:r>
          </w:p>
        </w:tc>
        <w:tc>
          <w:tcPr>
            <w:tcW w:w="450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1.471</w:t>
            </w:r>
          </w:p>
        </w:tc>
        <w:tc>
          <w:tcPr>
            <w:tcW w:w="1007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108.354.899.976,41</w:t>
            </w:r>
          </w:p>
        </w:tc>
        <w:tc>
          <w:tcPr>
            <w:tcW w:w="930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1.340.530.704,21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color w:val="000000"/>
              </w:rPr>
            </w:pPr>
            <w:r w:rsidRPr="00BA39A1">
              <w:rPr>
                <w:color w:val="000000"/>
              </w:rPr>
              <w:t>10059090</w:t>
            </w:r>
          </w:p>
        </w:tc>
        <w:tc>
          <w:tcPr>
            <w:tcW w:w="134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45900" w:rsidRPr="0019167D" w:rsidRDefault="00B45900" w:rsidP="00462305">
            <w:r w:rsidRPr="0019167D">
              <w:t xml:space="preserve">milho, exceto em grão  </w:t>
            </w:r>
          </w:p>
        </w:tc>
        <w:tc>
          <w:tcPr>
            <w:tcW w:w="7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50.048,63</w:t>
            </w:r>
          </w:p>
        </w:tc>
        <w:tc>
          <w:tcPr>
            <w:tcW w:w="4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1.471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73.621.540,61</w:t>
            </w:r>
          </w:p>
        </w:tc>
        <w:tc>
          <w:tcPr>
            <w:tcW w:w="93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910.821,16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color w:val="000000"/>
              </w:rPr>
            </w:pPr>
            <w:r w:rsidRPr="00BA39A1">
              <w:rPr>
                <w:color w:val="000000"/>
              </w:rPr>
              <w:t>10051000</w:t>
            </w:r>
          </w:p>
        </w:tc>
        <w:tc>
          <w:tcPr>
            <w:tcW w:w="134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45900" w:rsidRPr="0019167D" w:rsidRDefault="00B45900" w:rsidP="00462305">
            <w:r w:rsidRPr="0019167D">
              <w:t xml:space="preserve">milho para semeadura  </w:t>
            </w:r>
          </w:p>
        </w:tc>
        <w:tc>
          <w:tcPr>
            <w:tcW w:w="7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2.816,21</w:t>
            </w:r>
          </w:p>
        </w:tc>
        <w:tc>
          <w:tcPr>
            <w:tcW w:w="4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1.471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4.142.637,56</w:t>
            </w:r>
          </w:p>
        </w:tc>
        <w:tc>
          <w:tcPr>
            <w:tcW w:w="93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51.251,33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color w:val="000000"/>
              </w:rPr>
            </w:pPr>
            <w:r w:rsidRPr="00BA39A1">
              <w:rPr>
                <w:color w:val="000000"/>
              </w:rPr>
              <w:t>11042300</w:t>
            </w:r>
          </w:p>
        </w:tc>
        <w:tc>
          <w:tcPr>
            <w:tcW w:w="1343" w:type="pct"/>
            <w:tcBorders>
              <w:top w:val="single" w:sz="2" w:space="0" w:color="auto"/>
              <w:left w:val="nil"/>
              <w:bottom w:val="single" w:sz="12" w:space="0" w:color="auto"/>
              <w:right w:val="single" w:sz="2" w:space="0" w:color="auto"/>
            </w:tcBorders>
          </w:tcPr>
          <w:p w:rsidR="00B45900" w:rsidRPr="0019167D" w:rsidRDefault="00B45900" w:rsidP="00462305">
            <w:r>
              <w:t>grãos de milho, descascados</w:t>
            </w:r>
          </w:p>
        </w:tc>
        <w:tc>
          <w:tcPr>
            <w:tcW w:w="752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5.119,38</w:t>
            </w:r>
          </w:p>
        </w:tc>
        <w:tc>
          <w:tcPr>
            <w:tcW w:w="450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1.583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8.103.973,79</w:t>
            </w:r>
          </w:p>
        </w:tc>
        <w:tc>
          <w:tcPr>
            <w:tcW w:w="930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100.259,66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color w:val="000000"/>
              </w:rPr>
            </w:pPr>
            <w:r w:rsidRPr="00BA39A1">
              <w:rPr>
                <w:color w:val="000000"/>
              </w:rPr>
              <w:t>52010020</w:t>
            </w:r>
          </w:p>
        </w:tc>
        <w:tc>
          <w:tcPr>
            <w:tcW w:w="1343" w:type="pct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45900" w:rsidRPr="0019167D" w:rsidRDefault="00B45900" w:rsidP="00462305">
            <w:r w:rsidRPr="0019167D">
              <w:t xml:space="preserve">algodão </w:t>
            </w:r>
            <w:r>
              <w:t>debulhado</w:t>
            </w:r>
          </w:p>
        </w:tc>
        <w:tc>
          <w:tcPr>
            <w:tcW w:w="752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2.331.379,20</w:t>
            </w:r>
          </w:p>
        </w:tc>
        <w:tc>
          <w:tcPr>
            <w:tcW w:w="450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6.093</w:t>
            </w:r>
          </w:p>
        </w:tc>
        <w:tc>
          <w:tcPr>
            <w:tcW w:w="1007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14.205.093.489,97</w:t>
            </w:r>
          </w:p>
        </w:tc>
        <w:tc>
          <w:tcPr>
            <w:tcW w:w="930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175.740.681,63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color w:val="000000"/>
              </w:rPr>
            </w:pPr>
            <w:r w:rsidRPr="00BA39A1">
              <w:rPr>
                <w:color w:val="000000"/>
              </w:rPr>
              <w:t>52010010</w:t>
            </w:r>
          </w:p>
        </w:tc>
        <w:tc>
          <w:tcPr>
            <w:tcW w:w="134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45900" w:rsidRPr="0019167D" w:rsidRDefault="00B45900" w:rsidP="00462305">
            <w:r>
              <w:t>algodão não debulhado</w:t>
            </w:r>
          </w:p>
        </w:tc>
        <w:tc>
          <w:tcPr>
            <w:tcW w:w="7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1.217,17</w:t>
            </w:r>
          </w:p>
        </w:tc>
        <w:tc>
          <w:tcPr>
            <w:tcW w:w="4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6.093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7.416.241,18</w:t>
            </w:r>
          </w:p>
        </w:tc>
        <w:tc>
          <w:tcPr>
            <w:tcW w:w="93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91.751,26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color w:val="000000"/>
              </w:rPr>
            </w:pPr>
            <w:r w:rsidRPr="00BA39A1">
              <w:rPr>
                <w:color w:val="000000"/>
              </w:rPr>
              <w:t>52010090</w:t>
            </w:r>
          </w:p>
        </w:tc>
        <w:tc>
          <w:tcPr>
            <w:tcW w:w="1343" w:type="pct"/>
            <w:tcBorders>
              <w:top w:val="single" w:sz="2" w:space="0" w:color="auto"/>
              <w:left w:val="nil"/>
              <w:bottom w:val="single" w:sz="12" w:space="0" w:color="auto"/>
              <w:right w:val="single" w:sz="2" w:space="0" w:color="auto"/>
            </w:tcBorders>
          </w:tcPr>
          <w:p w:rsidR="00B45900" w:rsidRPr="0019167D" w:rsidRDefault="00B45900" w:rsidP="00462305">
            <w:r w:rsidRPr="0019167D">
              <w:t xml:space="preserve">outros tipos de algodão  </w:t>
            </w:r>
          </w:p>
        </w:tc>
        <w:tc>
          <w:tcPr>
            <w:tcW w:w="752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6.241,76</w:t>
            </w:r>
          </w:p>
        </w:tc>
        <w:tc>
          <w:tcPr>
            <w:tcW w:w="450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6.093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38.031.013,22</w:t>
            </w:r>
          </w:p>
        </w:tc>
        <w:tc>
          <w:tcPr>
            <w:tcW w:w="930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470.507,02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tcBorders>
              <w:top w:val="single" w:sz="1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Pr="00BA39A1">
              <w:rPr>
                <w:color w:val="000000"/>
              </w:rPr>
              <w:t>2023000</w:t>
            </w:r>
          </w:p>
        </w:tc>
        <w:tc>
          <w:tcPr>
            <w:tcW w:w="1343" w:type="pct"/>
            <w:tcBorders>
              <w:top w:val="single" w:sz="1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45900" w:rsidRPr="0019167D" w:rsidRDefault="00B45900" w:rsidP="00462305">
            <w:r w:rsidRPr="0019167D">
              <w:t>carnes desossadas de bovino</w:t>
            </w:r>
          </w:p>
        </w:tc>
        <w:tc>
          <w:tcPr>
            <w:tcW w:w="752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1.044.284,86</w:t>
            </w:r>
          </w:p>
        </w:tc>
        <w:tc>
          <w:tcPr>
            <w:tcW w:w="450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19.488</w:t>
            </w:r>
          </w:p>
        </w:tc>
        <w:tc>
          <w:tcPr>
            <w:tcW w:w="1007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20.351.023.371,17</w:t>
            </w:r>
          </w:p>
        </w:tc>
        <w:tc>
          <w:tcPr>
            <w:tcW w:w="930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251.776.077,47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Pr="00BA39A1">
              <w:rPr>
                <w:color w:val="000000"/>
              </w:rPr>
              <w:t>2013000</w:t>
            </w:r>
          </w:p>
        </w:tc>
        <w:tc>
          <w:tcPr>
            <w:tcW w:w="134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45900" w:rsidRPr="0019167D" w:rsidRDefault="00B45900" w:rsidP="00462305">
            <w:r>
              <w:t>carnes desossadas de bovino</w:t>
            </w:r>
          </w:p>
        </w:tc>
        <w:tc>
          <w:tcPr>
            <w:tcW w:w="7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126.722,78</w:t>
            </w:r>
          </w:p>
        </w:tc>
        <w:tc>
          <w:tcPr>
            <w:tcW w:w="4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19.488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2.469.573.517,15</w:t>
            </w:r>
          </w:p>
        </w:tc>
        <w:tc>
          <w:tcPr>
            <w:tcW w:w="93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30.552.740,36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Pr="00BA39A1">
              <w:rPr>
                <w:color w:val="000000"/>
              </w:rPr>
              <w:t>2062990</w:t>
            </w:r>
          </w:p>
        </w:tc>
        <w:tc>
          <w:tcPr>
            <w:tcW w:w="134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45900" w:rsidRPr="0019167D" w:rsidRDefault="00B45900" w:rsidP="00462305">
            <w:r w:rsidRPr="0019167D">
              <w:t>outras miudezas de bovino</w:t>
            </w:r>
          </w:p>
        </w:tc>
        <w:tc>
          <w:tcPr>
            <w:tcW w:w="7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109.121,57</w:t>
            </w:r>
          </w:p>
        </w:tc>
        <w:tc>
          <w:tcPr>
            <w:tcW w:w="4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13.889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1.515.589.527,40</w:t>
            </w:r>
          </w:p>
        </w:tc>
        <w:tc>
          <w:tcPr>
            <w:tcW w:w="93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18.750.368,44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tcBorders>
              <w:top w:val="single" w:sz="2" w:space="0" w:color="auto"/>
              <w:left w:val="nil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Pr="00BA39A1">
              <w:rPr>
                <w:color w:val="000000"/>
              </w:rPr>
              <w:t>2022090</w:t>
            </w:r>
          </w:p>
        </w:tc>
        <w:tc>
          <w:tcPr>
            <w:tcW w:w="1343" w:type="pc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B45900" w:rsidRPr="0019167D" w:rsidRDefault="00B45900" w:rsidP="00462305">
            <w:r>
              <w:t xml:space="preserve">peças ñ desossadas </w:t>
            </w:r>
            <w:r w:rsidRPr="0019167D">
              <w:t xml:space="preserve">bovino </w:t>
            </w:r>
          </w:p>
        </w:tc>
        <w:tc>
          <w:tcPr>
            <w:tcW w:w="7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10.726,70</w:t>
            </w:r>
          </w:p>
        </w:tc>
        <w:tc>
          <w:tcPr>
            <w:tcW w:w="45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13.834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148.393.140,13</w:t>
            </w:r>
          </w:p>
        </w:tc>
        <w:tc>
          <w:tcPr>
            <w:tcW w:w="930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1.835.870,47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tcBorders>
              <w:top w:val="single" w:sz="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Pr="00BA39A1">
              <w:rPr>
                <w:color w:val="000000"/>
              </w:rPr>
              <w:t>2022010</w:t>
            </w:r>
          </w:p>
        </w:tc>
        <w:tc>
          <w:tcPr>
            <w:tcW w:w="1343" w:type="pct"/>
            <w:tcBorders>
              <w:top w:val="single" w:sz="2" w:space="0" w:color="auto"/>
              <w:left w:val="nil"/>
              <w:bottom w:val="single" w:sz="12" w:space="0" w:color="auto"/>
              <w:right w:val="single" w:sz="2" w:space="0" w:color="auto"/>
            </w:tcBorders>
          </w:tcPr>
          <w:p w:rsidR="00B45900" w:rsidRDefault="00B45900" w:rsidP="00462305">
            <w:r w:rsidRPr="0019167D">
              <w:t xml:space="preserve">quartos </w:t>
            </w:r>
            <w:proofErr w:type="spellStart"/>
            <w:r>
              <w:t>diant</w:t>
            </w:r>
            <w:proofErr w:type="spellEnd"/>
            <w:r>
              <w:t xml:space="preserve">. ñ desossados </w:t>
            </w:r>
          </w:p>
        </w:tc>
        <w:tc>
          <w:tcPr>
            <w:tcW w:w="752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563,55</w:t>
            </w:r>
          </w:p>
        </w:tc>
        <w:tc>
          <w:tcPr>
            <w:tcW w:w="450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13.834</w:t>
            </w:r>
          </w:p>
        </w:tc>
        <w:tc>
          <w:tcPr>
            <w:tcW w:w="1007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7.796.095,36</w:t>
            </w:r>
          </w:p>
        </w:tc>
        <w:tc>
          <w:tcPr>
            <w:tcW w:w="930" w:type="pct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  <w:r w:rsidRPr="00BA39A1">
              <w:rPr>
                <w:color w:val="000000"/>
              </w:rPr>
              <w:t>96.450,69</w:t>
            </w:r>
          </w:p>
        </w:tc>
      </w:tr>
      <w:tr w:rsidR="00B45900" w:rsidRPr="00BA39A1" w:rsidTr="00462305">
        <w:trPr>
          <w:trHeight w:val="255"/>
        </w:trPr>
        <w:tc>
          <w:tcPr>
            <w:tcW w:w="518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BA39A1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343" w:type="pct"/>
            <w:tcBorders>
              <w:top w:val="nil"/>
              <w:left w:val="nil"/>
              <w:bottom w:val="single" w:sz="12" w:space="0" w:color="auto"/>
              <w:right w:val="single" w:sz="2" w:space="0" w:color="auto"/>
            </w:tcBorders>
            <w:vAlign w:val="center"/>
          </w:tcPr>
          <w:p w:rsidR="00B45900" w:rsidRPr="00BA39A1" w:rsidRDefault="00B45900" w:rsidP="00462305">
            <w:pPr>
              <w:suppressAutoHyphens w:val="0"/>
              <w:rPr>
                <w:color w:val="000000"/>
              </w:rPr>
            </w:pPr>
          </w:p>
        </w:tc>
        <w:tc>
          <w:tcPr>
            <w:tcW w:w="752" w:type="pc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</w:p>
        </w:tc>
        <w:tc>
          <w:tcPr>
            <w:tcW w:w="450" w:type="pc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BA39A1" w:rsidRDefault="00B45900" w:rsidP="00462305">
            <w:pPr>
              <w:suppressAutoHyphens w:val="0"/>
              <w:jc w:val="right"/>
              <w:rPr>
                <w:color w:val="000000"/>
              </w:rPr>
            </w:pPr>
          </w:p>
        </w:tc>
        <w:tc>
          <w:tcPr>
            <w:tcW w:w="1007" w:type="pc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  <w:hideMark/>
          </w:tcPr>
          <w:p w:rsidR="00B45900" w:rsidRPr="00A42B60" w:rsidRDefault="00B45900" w:rsidP="00462305">
            <w:pPr>
              <w:suppressAutoHyphens w:val="0"/>
              <w:jc w:val="right"/>
              <w:rPr>
                <w:b/>
                <w:color w:val="000000"/>
              </w:rPr>
            </w:pPr>
            <w:r w:rsidRPr="00A42B60">
              <w:rPr>
                <w:b/>
                <w:color w:val="000000"/>
              </w:rPr>
              <w:t>334.765.598.951,03</w:t>
            </w:r>
          </w:p>
        </w:tc>
        <w:tc>
          <w:tcPr>
            <w:tcW w:w="930" w:type="pct"/>
            <w:tcBorders>
              <w:top w:val="nil"/>
              <w:left w:val="single" w:sz="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:rsidR="00B45900" w:rsidRPr="00A42B60" w:rsidRDefault="00B45900" w:rsidP="00462305">
            <w:pPr>
              <w:suppressAutoHyphens w:val="0"/>
              <w:jc w:val="right"/>
              <w:rPr>
                <w:b/>
                <w:color w:val="000000"/>
              </w:rPr>
            </w:pPr>
            <w:r w:rsidRPr="00A42B60">
              <w:rPr>
                <w:b/>
                <w:color w:val="000000"/>
              </w:rPr>
              <w:t>4.141.608.401,69</w:t>
            </w:r>
          </w:p>
        </w:tc>
      </w:tr>
      <w:tr w:rsidR="00B45900" w:rsidRPr="00BA39A1" w:rsidTr="00462305">
        <w:trPr>
          <w:trHeight w:val="255"/>
        </w:trPr>
        <w:tc>
          <w:tcPr>
            <w:tcW w:w="5000" w:type="pct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45900" w:rsidRDefault="00B45900" w:rsidP="00462305">
            <w:pPr>
              <w:suppressAutoHyphens w:val="0"/>
              <w:rPr>
                <w:color w:val="000000"/>
              </w:rPr>
            </w:pPr>
            <w:r>
              <w:rPr>
                <w:color w:val="000000"/>
              </w:rPr>
              <w:t xml:space="preserve">* Nomenclatura Comum do Mercosul. </w:t>
            </w:r>
          </w:p>
          <w:p w:rsidR="00B45900" w:rsidRPr="00BA39A1" w:rsidRDefault="00B45900" w:rsidP="00462305">
            <w:pPr>
              <w:suppressAutoHyphens w:val="0"/>
              <w:rPr>
                <w:color w:val="000000"/>
                <w:vertAlign w:val="superscript"/>
              </w:rPr>
            </w:pPr>
            <w:r w:rsidRPr="00BA39A1">
              <w:rPr>
                <w:color w:val="000000"/>
              </w:rPr>
              <w:t>*</w:t>
            </w:r>
            <w:r>
              <w:rPr>
                <w:color w:val="000000"/>
              </w:rPr>
              <w:t>*</w:t>
            </w:r>
            <w:r w:rsidRPr="00BA39A1">
              <w:rPr>
                <w:color w:val="000000"/>
              </w:rPr>
              <w:t xml:space="preserve"> Valor </w:t>
            </w:r>
            <w:r>
              <w:rPr>
                <w:color w:val="000000"/>
              </w:rPr>
              <w:t>unitário d</w:t>
            </w:r>
            <w:r w:rsidRPr="00BA39A1">
              <w:rPr>
                <w:color w:val="000000"/>
              </w:rPr>
              <w:t xml:space="preserve">o custo da </w:t>
            </w:r>
            <w:r>
              <w:rPr>
                <w:color w:val="000000"/>
              </w:rPr>
              <w:t>PH foi</w:t>
            </w:r>
            <w:r w:rsidRPr="00BA39A1">
              <w:rPr>
                <w:color w:val="000000"/>
              </w:rPr>
              <w:t xml:space="preserve"> 0,012372/m</w:t>
            </w:r>
            <w:r w:rsidRPr="00BA39A1">
              <w:rPr>
                <w:color w:val="000000"/>
                <w:vertAlign w:val="superscript"/>
              </w:rPr>
              <w:t>3</w:t>
            </w:r>
          </w:p>
          <w:p w:rsidR="00B45900" w:rsidRPr="00BA39A1" w:rsidRDefault="00B45900" w:rsidP="00462305">
            <w:pPr>
              <w:suppressAutoHyphens w:val="0"/>
              <w:rPr>
                <w:color w:val="000000"/>
              </w:rPr>
            </w:pPr>
            <w:r w:rsidRPr="00BA39A1">
              <w:rPr>
                <w:color w:val="000000"/>
              </w:rPr>
              <w:t>Fonte: Dados da pesquisa (2018)</w:t>
            </w:r>
          </w:p>
        </w:tc>
      </w:tr>
    </w:tbl>
    <w:p w:rsidR="006D6784" w:rsidRDefault="006D6784" w:rsidP="00B45900">
      <w:pPr>
        <w:widowControl w:val="0"/>
        <w:spacing w:before="120" w:after="120"/>
        <w:ind w:firstLine="709"/>
        <w:jc w:val="both"/>
        <w:rPr>
          <w:sz w:val="24"/>
          <w:szCs w:val="24"/>
        </w:rPr>
      </w:pPr>
    </w:p>
    <w:p w:rsidR="00B45900" w:rsidRDefault="00B45900" w:rsidP="00B45900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 Pegada Hídrica total de cada produto exporta</w:t>
      </w:r>
      <w:r w:rsidRPr="00B64932">
        <w:rPr>
          <w:sz w:val="24"/>
          <w:szCs w:val="24"/>
        </w:rPr>
        <w:t>do</w:t>
      </w:r>
      <w:r>
        <w:rPr>
          <w:sz w:val="24"/>
          <w:szCs w:val="24"/>
        </w:rPr>
        <w:t>, varia de acordo com os processos realiz</w:t>
      </w:r>
      <w:r w:rsidR="00492585">
        <w:rPr>
          <w:sz w:val="24"/>
          <w:szCs w:val="24"/>
        </w:rPr>
        <w:t>ados e de cultura para cultura e também de região para região. P</w:t>
      </w:r>
      <w:r>
        <w:rPr>
          <w:sz w:val="24"/>
          <w:szCs w:val="24"/>
        </w:rPr>
        <w:t>or exemplo, a soja produzida no estado do Paraná - Brasil é de 2.385m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/t, já nos Estados Unidos da América é de 1.662m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/t, e para o milho nestas duas localidades é de 1.870m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/t e 761m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/t respectivamente </w:t>
      </w:r>
      <w:r w:rsidRPr="008E1E88">
        <w:rPr>
          <w:noProof/>
          <w:sz w:val="24"/>
          <w:szCs w:val="24"/>
        </w:rPr>
        <w:t>(Mekonnen &amp; Hoekstra, 2010a)</w:t>
      </w:r>
      <w:r>
        <w:rPr>
          <w:sz w:val="24"/>
          <w:szCs w:val="24"/>
        </w:rPr>
        <w:t xml:space="preserve">. Percebe-se, portanto, que existem variações com todos os produtos, isso é devido </w:t>
      </w:r>
      <w:r w:rsidR="000D70FC">
        <w:rPr>
          <w:sz w:val="24"/>
          <w:szCs w:val="24"/>
        </w:rPr>
        <w:t xml:space="preserve">as diferenças agroclimáticas </w:t>
      </w:r>
      <w:r>
        <w:rPr>
          <w:sz w:val="24"/>
          <w:szCs w:val="24"/>
        </w:rPr>
        <w:t>e também pelas variações nas variedades e formas de cultivos e criações.</w:t>
      </w:r>
    </w:p>
    <w:p w:rsidR="00B45900" w:rsidRDefault="000D70FC" w:rsidP="00B45900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Quando analisado o custo da Pegada Hídrica Virtual das exportações com os repasses Federais</w:t>
      </w:r>
      <w:r w:rsidR="00B45900">
        <w:rPr>
          <w:sz w:val="24"/>
          <w:szCs w:val="24"/>
        </w:rPr>
        <w:t xml:space="preserve"> (Lei Kandir e </w:t>
      </w:r>
      <w:proofErr w:type="spellStart"/>
      <w:r w:rsidR="00B45900">
        <w:rPr>
          <w:sz w:val="24"/>
          <w:szCs w:val="24"/>
        </w:rPr>
        <w:t>FEX</w:t>
      </w:r>
      <w:proofErr w:type="spellEnd"/>
      <w:r w:rsidR="00B45900">
        <w:rPr>
          <w:sz w:val="24"/>
          <w:szCs w:val="24"/>
        </w:rPr>
        <w:t xml:space="preserve">) para MT </w:t>
      </w:r>
      <w:r>
        <w:rPr>
          <w:sz w:val="24"/>
          <w:szCs w:val="24"/>
        </w:rPr>
        <w:t>(</w:t>
      </w:r>
      <w:r w:rsidRPr="00647C37">
        <w:rPr>
          <w:sz w:val="24"/>
          <w:szCs w:val="24"/>
        </w:rPr>
        <w:fldChar w:fldCharType="begin"/>
      </w:r>
      <w:r w:rsidRPr="00647C37">
        <w:rPr>
          <w:sz w:val="24"/>
          <w:szCs w:val="24"/>
        </w:rPr>
        <w:instrText xml:space="preserve"> REF _Ref513312086 \h  \* MERGEFORMAT </w:instrText>
      </w:r>
      <w:r w:rsidRPr="00647C37">
        <w:rPr>
          <w:sz w:val="24"/>
          <w:szCs w:val="24"/>
        </w:rPr>
      </w:r>
      <w:r w:rsidRPr="00647C37">
        <w:rPr>
          <w:sz w:val="24"/>
          <w:szCs w:val="24"/>
        </w:rPr>
        <w:fldChar w:fldCharType="separate"/>
      </w:r>
      <w:r w:rsidR="009D7C72" w:rsidRPr="009D7C72">
        <w:rPr>
          <w:sz w:val="24"/>
          <w:szCs w:val="24"/>
        </w:rPr>
        <w:t xml:space="preserve">Tabela </w:t>
      </w:r>
      <w:r w:rsidR="009D7C72" w:rsidRPr="009D7C72">
        <w:rPr>
          <w:noProof/>
          <w:sz w:val="24"/>
          <w:szCs w:val="24"/>
        </w:rPr>
        <w:t>4</w:t>
      </w:r>
      <w:r w:rsidRPr="00647C37">
        <w:rPr>
          <w:sz w:val="24"/>
          <w:szCs w:val="24"/>
        </w:rPr>
        <w:fldChar w:fldCharType="end"/>
      </w:r>
      <w:r>
        <w:rPr>
          <w:sz w:val="24"/>
          <w:szCs w:val="24"/>
        </w:rPr>
        <w:t>)</w:t>
      </w:r>
      <w:r w:rsidR="00B45900">
        <w:rPr>
          <w:sz w:val="24"/>
          <w:szCs w:val="24"/>
        </w:rPr>
        <w:t>, verifica-se que somente em 2016 os repasses superaram os custos</w:t>
      </w:r>
      <w:r w:rsidR="00A24465">
        <w:rPr>
          <w:sz w:val="24"/>
          <w:szCs w:val="24"/>
        </w:rPr>
        <w:t>, em razão do repasse acumulado de anos anteriores</w:t>
      </w:r>
      <w:r w:rsidR="00B45900">
        <w:rPr>
          <w:sz w:val="24"/>
          <w:szCs w:val="24"/>
        </w:rPr>
        <w:t>.</w:t>
      </w:r>
      <w:r w:rsidR="00B45900" w:rsidRPr="00A81D89">
        <w:rPr>
          <w:sz w:val="24"/>
          <w:szCs w:val="24"/>
        </w:rPr>
        <w:t xml:space="preserve"> </w:t>
      </w:r>
      <w:r w:rsidR="00B45900">
        <w:rPr>
          <w:sz w:val="24"/>
          <w:szCs w:val="24"/>
        </w:rPr>
        <w:t xml:space="preserve">No </w:t>
      </w:r>
      <w:r w:rsidR="003609DF">
        <w:rPr>
          <w:sz w:val="24"/>
          <w:szCs w:val="24"/>
        </w:rPr>
        <w:t>total</w:t>
      </w:r>
      <w:r w:rsidR="00B45900">
        <w:rPr>
          <w:sz w:val="24"/>
          <w:szCs w:val="24"/>
        </w:rPr>
        <w:t xml:space="preserve"> do</w:t>
      </w:r>
      <w:r w:rsidR="003609DF">
        <w:rPr>
          <w:sz w:val="24"/>
          <w:szCs w:val="24"/>
        </w:rPr>
        <w:t xml:space="preserve"> período analisado</w:t>
      </w:r>
      <w:r w:rsidR="00B45900">
        <w:rPr>
          <w:sz w:val="24"/>
          <w:szCs w:val="24"/>
        </w:rPr>
        <w:t>, verifica-se que o estado teve um déficit ambiental</w:t>
      </w:r>
      <w:r w:rsidR="003609DF">
        <w:rPr>
          <w:sz w:val="24"/>
          <w:szCs w:val="24"/>
        </w:rPr>
        <w:t xml:space="preserve"> de 47,06%</w:t>
      </w:r>
      <w:r w:rsidR="00B45900">
        <w:rPr>
          <w:sz w:val="24"/>
          <w:szCs w:val="24"/>
        </w:rPr>
        <w:t>.</w:t>
      </w:r>
    </w:p>
    <w:p w:rsidR="003609DF" w:rsidRDefault="003609DF" w:rsidP="00B45900">
      <w:pPr>
        <w:widowControl w:val="0"/>
        <w:spacing w:before="120" w:after="120"/>
        <w:ind w:firstLine="709"/>
        <w:jc w:val="both"/>
        <w:rPr>
          <w:sz w:val="24"/>
          <w:szCs w:val="24"/>
        </w:rPr>
      </w:pPr>
    </w:p>
    <w:p w:rsidR="003609DF" w:rsidRDefault="003609DF" w:rsidP="00B45900">
      <w:pPr>
        <w:widowControl w:val="0"/>
        <w:spacing w:before="120" w:after="120"/>
        <w:ind w:firstLine="709"/>
        <w:jc w:val="both"/>
        <w:rPr>
          <w:sz w:val="24"/>
          <w:szCs w:val="24"/>
        </w:rPr>
      </w:pPr>
    </w:p>
    <w:p w:rsidR="003609DF" w:rsidRDefault="003609DF" w:rsidP="00B45900">
      <w:pPr>
        <w:widowControl w:val="0"/>
        <w:spacing w:before="120" w:after="120"/>
        <w:ind w:firstLine="709"/>
        <w:jc w:val="both"/>
        <w:rPr>
          <w:sz w:val="24"/>
          <w:szCs w:val="24"/>
        </w:rPr>
      </w:pPr>
    </w:p>
    <w:p w:rsidR="003609DF" w:rsidRDefault="003609DF" w:rsidP="00B45900">
      <w:pPr>
        <w:widowControl w:val="0"/>
        <w:spacing w:before="120" w:after="120"/>
        <w:ind w:firstLine="709"/>
        <w:jc w:val="both"/>
        <w:rPr>
          <w:sz w:val="24"/>
          <w:szCs w:val="24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1421"/>
        <w:gridCol w:w="1842"/>
        <w:gridCol w:w="1983"/>
        <w:gridCol w:w="1612"/>
        <w:gridCol w:w="1360"/>
      </w:tblGrid>
      <w:tr w:rsidR="00552391" w:rsidRPr="00216FC1" w:rsidTr="00494970">
        <w:trPr>
          <w:trHeight w:val="264"/>
        </w:trPr>
        <w:tc>
          <w:tcPr>
            <w:tcW w:w="5000" w:type="pct"/>
            <w:gridSpan w:val="6"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:rsidR="00552391" w:rsidRPr="00216FC1" w:rsidRDefault="00552391" w:rsidP="00552391">
            <w:pPr>
              <w:suppressAutoHyphens w:val="0"/>
              <w:jc w:val="both"/>
              <w:rPr>
                <w:b/>
              </w:rPr>
            </w:pPr>
            <w:bookmarkStart w:id="6" w:name="_Ref513312086"/>
            <w:r w:rsidRPr="00216FC1">
              <w:rPr>
                <w:b/>
              </w:rPr>
              <w:lastRenderedPageBreak/>
              <w:t xml:space="preserve">Tabela </w:t>
            </w:r>
            <w:r w:rsidRPr="00216FC1">
              <w:rPr>
                <w:b/>
              </w:rPr>
              <w:fldChar w:fldCharType="begin"/>
            </w:r>
            <w:r w:rsidRPr="00216FC1">
              <w:rPr>
                <w:b/>
              </w:rPr>
              <w:instrText xml:space="preserve"> SEQ Tabela \* ARABIC </w:instrText>
            </w:r>
            <w:r w:rsidRPr="00216FC1">
              <w:rPr>
                <w:b/>
              </w:rPr>
              <w:fldChar w:fldCharType="separate"/>
            </w:r>
            <w:r w:rsidR="009D7C72">
              <w:rPr>
                <w:b/>
                <w:noProof/>
              </w:rPr>
              <w:t>4</w:t>
            </w:r>
            <w:r w:rsidRPr="00216FC1">
              <w:rPr>
                <w:b/>
              </w:rPr>
              <w:fldChar w:fldCharType="end"/>
            </w:r>
            <w:bookmarkEnd w:id="6"/>
            <w:r w:rsidRPr="00216FC1">
              <w:rPr>
                <w:b/>
              </w:rPr>
              <w:t xml:space="preserve">. </w:t>
            </w:r>
            <w:r w:rsidRPr="00216FC1">
              <w:rPr>
                <w:b/>
                <w:color w:val="000000"/>
              </w:rPr>
              <w:t xml:space="preserve">Balanço comparativo entre os repasses Federais e o custo da Pegada Hídrica Virtual exportada pelo estado de Mato Grosso </w:t>
            </w:r>
            <w:r w:rsidR="00C77B8A" w:rsidRPr="00C77B8A">
              <w:rPr>
                <w:b/>
                <w:color w:val="000000"/>
              </w:rPr>
              <w:t xml:space="preserve">no período </w:t>
            </w:r>
            <w:r w:rsidRPr="00216FC1">
              <w:rPr>
                <w:b/>
                <w:color w:val="000000"/>
              </w:rPr>
              <w:t>de 2013 a 2017 (em R$)</w:t>
            </w:r>
          </w:p>
        </w:tc>
      </w:tr>
      <w:tr w:rsidR="00494970" w:rsidRPr="00216FC1" w:rsidTr="00494970">
        <w:trPr>
          <w:trHeight w:val="238"/>
        </w:trPr>
        <w:tc>
          <w:tcPr>
            <w:tcW w:w="467" w:type="pct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52391" w:rsidRPr="00216FC1" w:rsidRDefault="00552391" w:rsidP="00552391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216FC1">
              <w:rPr>
                <w:b/>
                <w:bCs/>
                <w:color w:val="000000"/>
              </w:rPr>
              <w:t>Ano</w:t>
            </w:r>
          </w:p>
        </w:tc>
        <w:tc>
          <w:tcPr>
            <w:tcW w:w="1800" w:type="pct"/>
            <w:gridSpan w:val="2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552391" w:rsidRPr="00216FC1" w:rsidRDefault="00552391" w:rsidP="00552391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216FC1">
              <w:rPr>
                <w:b/>
                <w:bCs/>
                <w:color w:val="000000"/>
              </w:rPr>
              <w:t>Repasses Federais</w:t>
            </w:r>
          </w:p>
        </w:tc>
        <w:tc>
          <w:tcPr>
            <w:tcW w:w="1094" w:type="pc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52391" w:rsidRPr="00216FC1" w:rsidRDefault="004764FB" w:rsidP="004764F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216FC1">
              <w:rPr>
                <w:b/>
                <w:bCs/>
                <w:color w:val="000000"/>
              </w:rPr>
              <w:t>Custo da P</w:t>
            </w:r>
            <w:r w:rsidR="00552391" w:rsidRPr="00216FC1">
              <w:rPr>
                <w:b/>
                <w:bCs/>
                <w:color w:val="000000"/>
              </w:rPr>
              <w:t>H Virtual</w:t>
            </w:r>
          </w:p>
        </w:tc>
        <w:tc>
          <w:tcPr>
            <w:tcW w:w="889" w:type="pct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52391" w:rsidRPr="00216FC1" w:rsidRDefault="00552391" w:rsidP="00552391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216FC1">
              <w:rPr>
                <w:b/>
                <w:bCs/>
                <w:color w:val="000000"/>
              </w:rPr>
              <w:t>Diferença</w:t>
            </w:r>
          </w:p>
        </w:tc>
        <w:tc>
          <w:tcPr>
            <w:tcW w:w="749" w:type="pct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552391" w:rsidRPr="00216FC1" w:rsidRDefault="00552391" w:rsidP="004764FB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216FC1">
              <w:rPr>
                <w:b/>
                <w:bCs/>
                <w:color w:val="000000"/>
              </w:rPr>
              <w:t>Déficit</w:t>
            </w:r>
            <w:r w:rsidR="004764FB" w:rsidRPr="00216FC1">
              <w:rPr>
                <w:b/>
                <w:bCs/>
                <w:color w:val="000000"/>
              </w:rPr>
              <w:t xml:space="preserve"> </w:t>
            </w:r>
            <w:r w:rsidRPr="00216FC1">
              <w:rPr>
                <w:b/>
                <w:bCs/>
                <w:color w:val="000000"/>
              </w:rPr>
              <w:t>em %</w:t>
            </w:r>
          </w:p>
        </w:tc>
      </w:tr>
      <w:tr w:rsidR="00494970" w:rsidRPr="00216FC1" w:rsidTr="00494970">
        <w:trPr>
          <w:trHeight w:val="227"/>
        </w:trPr>
        <w:tc>
          <w:tcPr>
            <w:tcW w:w="467" w:type="pct"/>
            <w:vMerge w:val="restar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391" w:rsidRPr="00216FC1" w:rsidRDefault="00552391" w:rsidP="00552391">
            <w:pPr>
              <w:suppressAutoHyphens w:val="0"/>
              <w:jc w:val="center"/>
              <w:rPr>
                <w:color w:val="000000"/>
              </w:rPr>
            </w:pPr>
            <w:r w:rsidRPr="00216FC1">
              <w:rPr>
                <w:color w:val="000000"/>
              </w:rPr>
              <w:t xml:space="preserve">2013 </w:t>
            </w:r>
          </w:p>
        </w:tc>
        <w:tc>
          <w:tcPr>
            <w:tcW w:w="78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91" w:rsidRPr="00216FC1" w:rsidRDefault="00552391" w:rsidP="00C41237">
            <w:pPr>
              <w:ind w:left="78" w:right="-22"/>
              <w:rPr>
                <w:color w:val="000000"/>
              </w:rPr>
            </w:pPr>
            <w:r w:rsidRPr="00216FC1">
              <w:rPr>
                <w:color w:val="000000"/>
              </w:rPr>
              <w:t>Lei Kandir</w:t>
            </w:r>
          </w:p>
        </w:tc>
        <w:tc>
          <w:tcPr>
            <w:tcW w:w="101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391" w:rsidRPr="00216FC1" w:rsidRDefault="00462305" w:rsidP="00494970">
            <w:pPr>
              <w:ind w:left="-138" w:right="74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>30.277.577,57</w:t>
            </w:r>
          </w:p>
        </w:tc>
        <w:tc>
          <w:tcPr>
            <w:tcW w:w="1094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52391" w:rsidRPr="00216FC1" w:rsidRDefault="00552391" w:rsidP="00C77B8A">
            <w:pPr>
              <w:suppressAutoHyphens w:val="0"/>
              <w:ind w:right="64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>768.587.954,22</w:t>
            </w:r>
          </w:p>
        </w:tc>
        <w:tc>
          <w:tcPr>
            <w:tcW w:w="889" w:type="pct"/>
            <w:vMerge w:val="restart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52391" w:rsidRPr="00216FC1" w:rsidRDefault="004764FB" w:rsidP="004764FB">
            <w:pPr>
              <w:suppressAutoHyphens w:val="0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>-</w:t>
            </w:r>
            <w:r w:rsidR="00552391" w:rsidRPr="00216FC1">
              <w:rPr>
                <w:color w:val="000000"/>
              </w:rPr>
              <w:t xml:space="preserve">738.310.376,65 </w:t>
            </w:r>
          </w:p>
        </w:tc>
        <w:tc>
          <w:tcPr>
            <w:tcW w:w="749" w:type="pct"/>
            <w:vMerge w:val="restart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552391" w:rsidRPr="00216FC1" w:rsidRDefault="00552391" w:rsidP="00552391">
            <w:pPr>
              <w:suppressAutoHyphens w:val="0"/>
              <w:jc w:val="center"/>
              <w:rPr>
                <w:color w:val="000000"/>
              </w:rPr>
            </w:pPr>
            <w:r w:rsidRPr="00216FC1">
              <w:rPr>
                <w:color w:val="000000"/>
              </w:rPr>
              <w:t>-96,06%</w:t>
            </w:r>
          </w:p>
        </w:tc>
      </w:tr>
      <w:tr w:rsidR="00494970" w:rsidRPr="00216FC1" w:rsidTr="00494970">
        <w:trPr>
          <w:trHeight w:val="227"/>
        </w:trPr>
        <w:tc>
          <w:tcPr>
            <w:tcW w:w="467" w:type="pct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552391">
            <w:pPr>
              <w:suppressAutoHyphens w:val="0"/>
              <w:jc w:val="center"/>
              <w:rPr>
                <w:color w:val="000000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91" w:rsidRPr="00216FC1" w:rsidRDefault="00552391" w:rsidP="00C41237">
            <w:pPr>
              <w:suppressAutoHyphens w:val="0"/>
              <w:ind w:left="78"/>
              <w:rPr>
                <w:color w:val="000000"/>
              </w:rPr>
            </w:pPr>
            <w:proofErr w:type="spellStart"/>
            <w:r w:rsidRPr="00216FC1">
              <w:rPr>
                <w:color w:val="000000"/>
              </w:rPr>
              <w:t>FEX</w:t>
            </w:r>
            <w:proofErr w:type="spellEnd"/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91" w:rsidRPr="00216FC1" w:rsidRDefault="00A24465" w:rsidP="00494970">
            <w:pPr>
              <w:suppressAutoHyphens w:val="0"/>
              <w:ind w:right="74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>0,0</w:t>
            </w:r>
            <w:r w:rsidR="00E808A3" w:rsidRPr="00216FC1">
              <w:rPr>
                <w:color w:val="000000"/>
              </w:rPr>
              <w:t>0</w:t>
            </w:r>
          </w:p>
        </w:tc>
        <w:tc>
          <w:tcPr>
            <w:tcW w:w="1094" w:type="pct"/>
            <w:vMerge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C41237">
            <w:pPr>
              <w:suppressAutoHyphens w:val="0"/>
              <w:jc w:val="right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4764FB">
            <w:pPr>
              <w:suppressAutoHyphens w:val="0"/>
              <w:jc w:val="right"/>
              <w:rPr>
                <w:color w:val="000000"/>
              </w:rPr>
            </w:pPr>
          </w:p>
        </w:tc>
        <w:tc>
          <w:tcPr>
            <w:tcW w:w="749" w:type="pct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552391" w:rsidRPr="00216FC1" w:rsidRDefault="00552391" w:rsidP="00552391">
            <w:pPr>
              <w:suppressAutoHyphens w:val="0"/>
              <w:jc w:val="center"/>
              <w:rPr>
                <w:color w:val="000000"/>
              </w:rPr>
            </w:pPr>
          </w:p>
        </w:tc>
      </w:tr>
      <w:tr w:rsidR="00494970" w:rsidRPr="00216FC1" w:rsidTr="00494970">
        <w:trPr>
          <w:trHeight w:val="227"/>
        </w:trPr>
        <w:tc>
          <w:tcPr>
            <w:tcW w:w="467" w:type="pct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552391">
            <w:pPr>
              <w:suppressAutoHyphens w:val="0"/>
              <w:jc w:val="center"/>
              <w:rPr>
                <w:color w:val="000000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52391" w:rsidRPr="00216FC1" w:rsidRDefault="00552391" w:rsidP="00C41237">
            <w:pPr>
              <w:suppressAutoHyphens w:val="0"/>
              <w:ind w:left="78"/>
              <w:rPr>
                <w:b/>
                <w:color w:val="000000"/>
              </w:rPr>
            </w:pPr>
            <w:r w:rsidRPr="00216FC1">
              <w:rPr>
                <w:b/>
                <w:color w:val="000000"/>
              </w:rPr>
              <w:t>Total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2391" w:rsidRPr="00216FC1" w:rsidRDefault="00552391" w:rsidP="00494970">
            <w:pPr>
              <w:suppressAutoHyphens w:val="0"/>
              <w:ind w:right="74"/>
              <w:jc w:val="right"/>
              <w:rPr>
                <w:b/>
                <w:color w:val="000000"/>
              </w:rPr>
            </w:pPr>
            <w:r w:rsidRPr="00216FC1">
              <w:rPr>
                <w:b/>
                <w:color w:val="000000"/>
              </w:rPr>
              <w:t>30.277.577,57</w:t>
            </w:r>
          </w:p>
        </w:tc>
        <w:tc>
          <w:tcPr>
            <w:tcW w:w="1094" w:type="pct"/>
            <w:vMerge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C41237">
            <w:pPr>
              <w:suppressAutoHyphens w:val="0"/>
              <w:jc w:val="right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4764FB">
            <w:pPr>
              <w:suppressAutoHyphens w:val="0"/>
              <w:jc w:val="right"/>
              <w:rPr>
                <w:color w:val="000000"/>
              </w:rPr>
            </w:pPr>
          </w:p>
        </w:tc>
        <w:tc>
          <w:tcPr>
            <w:tcW w:w="749" w:type="pct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552391" w:rsidRPr="00216FC1" w:rsidRDefault="00552391" w:rsidP="00552391">
            <w:pPr>
              <w:suppressAutoHyphens w:val="0"/>
              <w:jc w:val="center"/>
              <w:rPr>
                <w:color w:val="000000"/>
              </w:rPr>
            </w:pPr>
          </w:p>
        </w:tc>
      </w:tr>
      <w:tr w:rsidR="00494970" w:rsidRPr="00216FC1" w:rsidTr="00494970">
        <w:trPr>
          <w:trHeight w:val="227"/>
        </w:trPr>
        <w:tc>
          <w:tcPr>
            <w:tcW w:w="467" w:type="pct"/>
            <w:vMerge w:val="restar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391" w:rsidRPr="00216FC1" w:rsidRDefault="00552391" w:rsidP="00552391">
            <w:pPr>
              <w:suppressAutoHyphens w:val="0"/>
              <w:jc w:val="center"/>
              <w:rPr>
                <w:color w:val="000000"/>
              </w:rPr>
            </w:pPr>
            <w:r w:rsidRPr="00216FC1">
              <w:rPr>
                <w:color w:val="000000"/>
              </w:rPr>
              <w:t>2014</w:t>
            </w:r>
          </w:p>
        </w:tc>
        <w:tc>
          <w:tcPr>
            <w:tcW w:w="78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91" w:rsidRPr="00216FC1" w:rsidRDefault="00552391" w:rsidP="00C41237">
            <w:pPr>
              <w:ind w:left="78" w:right="-22"/>
              <w:rPr>
                <w:color w:val="000000"/>
              </w:rPr>
            </w:pPr>
            <w:r w:rsidRPr="00216FC1">
              <w:rPr>
                <w:color w:val="000000"/>
              </w:rPr>
              <w:t>Lei Kandir</w:t>
            </w:r>
          </w:p>
        </w:tc>
        <w:tc>
          <w:tcPr>
            <w:tcW w:w="101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391" w:rsidRPr="00216FC1" w:rsidRDefault="00552391" w:rsidP="00494970">
            <w:pPr>
              <w:ind w:right="74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>30.277.579,2</w:t>
            </w:r>
            <w:r w:rsidR="00462305" w:rsidRPr="00216FC1">
              <w:rPr>
                <w:color w:val="000000"/>
              </w:rPr>
              <w:t>0</w:t>
            </w:r>
          </w:p>
        </w:tc>
        <w:tc>
          <w:tcPr>
            <w:tcW w:w="1094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52391" w:rsidRPr="00216FC1" w:rsidRDefault="00552391" w:rsidP="00C77B8A">
            <w:pPr>
              <w:suppressAutoHyphens w:val="0"/>
              <w:ind w:right="64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>733.697.980,04</w:t>
            </w:r>
          </w:p>
        </w:tc>
        <w:tc>
          <w:tcPr>
            <w:tcW w:w="889" w:type="pct"/>
            <w:vMerge w:val="restart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52391" w:rsidRPr="00216FC1" w:rsidRDefault="004764FB" w:rsidP="004764FB">
            <w:pPr>
              <w:suppressAutoHyphens w:val="0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>-</w:t>
            </w:r>
            <w:r w:rsidR="00552391" w:rsidRPr="00216FC1">
              <w:rPr>
                <w:color w:val="000000"/>
              </w:rPr>
              <w:t xml:space="preserve">371.954.330,84 </w:t>
            </w:r>
          </w:p>
        </w:tc>
        <w:tc>
          <w:tcPr>
            <w:tcW w:w="749" w:type="pct"/>
            <w:vMerge w:val="restart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552391" w:rsidRPr="00216FC1" w:rsidRDefault="00552391" w:rsidP="00552391">
            <w:pPr>
              <w:jc w:val="center"/>
              <w:rPr>
                <w:color w:val="000000"/>
              </w:rPr>
            </w:pPr>
            <w:r w:rsidRPr="00216FC1">
              <w:rPr>
                <w:color w:val="000000"/>
              </w:rPr>
              <w:t>-50,70%</w:t>
            </w:r>
          </w:p>
        </w:tc>
      </w:tr>
      <w:tr w:rsidR="00494970" w:rsidRPr="00216FC1" w:rsidTr="00494970">
        <w:trPr>
          <w:trHeight w:val="227"/>
        </w:trPr>
        <w:tc>
          <w:tcPr>
            <w:tcW w:w="467" w:type="pct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552391">
            <w:pPr>
              <w:suppressAutoHyphens w:val="0"/>
              <w:jc w:val="center"/>
              <w:rPr>
                <w:color w:val="000000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91" w:rsidRPr="00216FC1" w:rsidRDefault="00552391" w:rsidP="00C41237">
            <w:pPr>
              <w:suppressAutoHyphens w:val="0"/>
              <w:ind w:left="78"/>
              <w:rPr>
                <w:color w:val="000000"/>
              </w:rPr>
            </w:pPr>
            <w:proofErr w:type="spellStart"/>
            <w:r w:rsidRPr="00216FC1">
              <w:rPr>
                <w:color w:val="000000"/>
              </w:rPr>
              <w:t>FEX</w:t>
            </w:r>
            <w:proofErr w:type="spellEnd"/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391" w:rsidRPr="00216FC1" w:rsidRDefault="00552391" w:rsidP="00494970">
            <w:pPr>
              <w:ind w:left="-138" w:right="74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>331.466.070,0</w:t>
            </w:r>
            <w:r w:rsidR="00462305" w:rsidRPr="00216FC1">
              <w:rPr>
                <w:color w:val="000000"/>
              </w:rPr>
              <w:t>0</w:t>
            </w:r>
          </w:p>
        </w:tc>
        <w:tc>
          <w:tcPr>
            <w:tcW w:w="1094" w:type="pct"/>
            <w:vMerge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C77B8A">
            <w:pPr>
              <w:suppressAutoHyphens w:val="0"/>
              <w:ind w:right="64"/>
              <w:jc w:val="right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4764FB">
            <w:pPr>
              <w:suppressAutoHyphens w:val="0"/>
              <w:jc w:val="right"/>
              <w:rPr>
                <w:color w:val="000000"/>
              </w:rPr>
            </w:pPr>
          </w:p>
        </w:tc>
        <w:tc>
          <w:tcPr>
            <w:tcW w:w="749" w:type="pct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552391" w:rsidRPr="00216FC1" w:rsidRDefault="00552391" w:rsidP="00552391">
            <w:pPr>
              <w:jc w:val="center"/>
              <w:rPr>
                <w:color w:val="000000"/>
              </w:rPr>
            </w:pPr>
          </w:p>
        </w:tc>
      </w:tr>
      <w:tr w:rsidR="00494970" w:rsidRPr="00216FC1" w:rsidTr="00494970">
        <w:trPr>
          <w:trHeight w:val="227"/>
        </w:trPr>
        <w:tc>
          <w:tcPr>
            <w:tcW w:w="467" w:type="pct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552391">
            <w:pPr>
              <w:suppressAutoHyphens w:val="0"/>
              <w:jc w:val="center"/>
              <w:rPr>
                <w:color w:val="000000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52391" w:rsidRPr="00216FC1" w:rsidRDefault="00552391" w:rsidP="00C41237">
            <w:pPr>
              <w:suppressAutoHyphens w:val="0"/>
              <w:ind w:left="78"/>
              <w:rPr>
                <w:b/>
                <w:color w:val="000000"/>
              </w:rPr>
            </w:pPr>
            <w:r w:rsidRPr="00216FC1">
              <w:rPr>
                <w:b/>
                <w:color w:val="000000"/>
              </w:rPr>
              <w:t>Total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2391" w:rsidRPr="00216FC1" w:rsidRDefault="00552391" w:rsidP="00494970">
            <w:pPr>
              <w:suppressAutoHyphens w:val="0"/>
              <w:ind w:right="74"/>
              <w:jc w:val="right"/>
              <w:rPr>
                <w:b/>
                <w:color w:val="000000"/>
              </w:rPr>
            </w:pPr>
            <w:r w:rsidRPr="00216FC1">
              <w:rPr>
                <w:b/>
                <w:color w:val="000000"/>
              </w:rPr>
              <w:t>361.743.649,20</w:t>
            </w:r>
          </w:p>
        </w:tc>
        <w:tc>
          <w:tcPr>
            <w:tcW w:w="1094" w:type="pct"/>
            <w:vMerge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C77B8A">
            <w:pPr>
              <w:suppressAutoHyphens w:val="0"/>
              <w:ind w:right="64"/>
              <w:jc w:val="right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4764FB">
            <w:pPr>
              <w:suppressAutoHyphens w:val="0"/>
              <w:jc w:val="right"/>
              <w:rPr>
                <w:color w:val="000000"/>
              </w:rPr>
            </w:pPr>
          </w:p>
        </w:tc>
        <w:tc>
          <w:tcPr>
            <w:tcW w:w="749" w:type="pct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552391" w:rsidRPr="00216FC1" w:rsidRDefault="00552391" w:rsidP="00552391">
            <w:pPr>
              <w:jc w:val="center"/>
              <w:rPr>
                <w:color w:val="000000"/>
              </w:rPr>
            </w:pPr>
          </w:p>
        </w:tc>
      </w:tr>
      <w:tr w:rsidR="00494970" w:rsidRPr="00216FC1" w:rsidTr="00494970">
        <w:trPr>
          <w:trHeight w:val="227"/>
        </w:trPr>
        <w:tc>
          <w:tcPr>
            <w:tcW w:w="467" w:type="pct"/>
            <w:vMerge w:val="restar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391" w:rsidRPr="00216FC1" w:rsidRDefault="00552391" w:rsidP="00552391">
            <w:pPr>
              <w:suppressAutoHyphens w:val="0"/>
              <w:jc w:val="center"/>
              <w:rPr>
                <w:color w:val="000000"/>
              </w:rPr>
            </w:pPr>
            <w:r w:rsidRPr="00216FC1">
              <w:rPr>
                <w:color w:val="000000"/>
              </w:rPr>
              <w:t>2015</w:t>
            </w:r>
          </w:p>
        </w:tc>
        <w:tc>
          <w:tcPr>
            <w:tcW w:w="78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91" w:rsidRPr="00216FC1" w:rsidRDefault="00552391" w:rsidP="00C41237">
            <w:pPr>
              <w:ind w:left="78" w:right="-22"/>
              <w:rPr>
                <w:color w:val="000000"/>
              </w:rPr>
            </w:pPr>
            <w:r w:rsidRPr="00216FC1">
              <w:rPr>
                <w:color w:val="000000"/>
              </w:rPr>
              <w:t>Lei Kandir</w:t>
            </w:r>
          </w:p>
        </w:tc>
        <w:tc>
          <w:tcPr>
            <w:tcW w:w="101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391" w:rsidRPr="00216FC1" w:rsidRDefault="00552391" w:rsidP="00494970">
            <w:pPr>
              <w:ind w:right="74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>30.277.576,7</w:t>
            </w:r>
            <w:r w:rsidR="00462305" w:rsidRPr="00216FC1">
              <w:rPr>
                <w:color w:val="000000"/>
              </w:rPr>
              <w:t>0</w:t>
            </w:r>
          </w:p>
        </w:tc>
        <w:tc>
          <w:tcPr>
            <w:tcW w:w="1094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52391" w:rsidRPr="00216FC1" w:rsidRDefault="00552391" w:rsidP="00C77B8A">
            <w:pPr>
              <w:suppressAutoHyphens w:val="0"/>
              <w:ind w:right="64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>822.714.097,47</w:t>
            </w:r>
          </w:p>
        </w:tc>
        <w:tc>
          <w:tcPr>
            <w:tcW w:w="889" w:type="pct"/>
            <w:vMerge w:val="restart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52391" w:rsidRPr="00216FC1" w:rsidRDefault="004764FB" w:rsidP="004764FB">
            <w:pPr>
              <w:suppressAutoHyphens w:val="0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>-</w:t>
            </w:r>
            <w:r w:rsidR="00552391" w:rsidRPr="00216FC1">
              <w:rPr>
                <w:color w:val="000000"/>
              </w:rPr>
              <w:t xml:space="preserve">396.848.405,77 </w:t>
            </w:r>
          </w:p>
        </w:tc>
        <w:tc>
          <w:tcPr>
            <w:tcW w:w="749" w:type="pct"/>
            <w:vMerge w:val="restart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552391" w:rsidRPr="00216FC1" w:rsidRDefault="00552391" w:rsidP="00552391">
            <w:pPr>
              <w:jc w:val="center"/>
              <w:rPr>
                <w:color w:val="000000"/>
              </w:rPr>
            </w:pPr>
            <w:r w:rsidRPr="00216FC1">
              <w:rPr>
                <w:color w:val="000000"/>
              </w:rPr>
              <w:t>-48,24%</w:t>
            </w:r>
          </w:p>
        </w:tc>
      </w:tr>
      <w:tr w:rsidR="00494970" w:rsidRPr="00216FC1" w:rsidTr="00494970">
        <w:trPr>
          <w:trHeight w:val="227"/>
        </w:trPr>
        <w:tc>
          <w:tcPr>
            <w:tcW w:w="467" w:type="pct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552391">
            <w:pPr>
              <w:suppressAutoHyphens w:val="0"/>
              <w:jc w:val="center"/>
              <w:rPr>
                <w:color w:val="000000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91" w:rsidRPr="00216FC1" w:rsidRDefault="00552391" w:rsidP="00C41237">
            <w:pPr>
              <w:suppressAutoHyphens w:val="0"/>
              <w:ind w:left="78"/>
              <w:rPr>
                <w:color w:val="000000"/>
              </w:rPr>
            </w:pPr>
            <w:proofErr w:type="spellStart"/>
            <w:r w:rsidRPr="00216FC1">
              <w:rPr>
                <w:color w:val="000000"/>
              </w:rPr>
              <w:t>FEX</w:t>
            </w:r>
            <w:proofErr w:type="spellEnd"/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391" w:rsidRPr="00216FC1" w:rsidRDefault="00462305" w:rsidP="00494970">
            <w:pPr>
              <w:ind w:left="-138" w:right="74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>395.588.115,00</w:t>
            </w:r>
          </w:p>
        </w:tc>
        <w:tc>
          <w:tcPr>
            <w:tcW w:w="1094" w:type="pct"/>
            <w:vMerge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C77B8A">
            <w:pPr>
              <w:suppressAutoHyphens w:val="0"/>
              <w:ind w:right="64"/>
              <w:jc w:val="right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4764FB">
            <w:pPr>
              <w:suppressAutoHyphens w:val="0"/>
              <w:jc w:val="right"/>
              <w:rPr>
                <w:color w:val="000000"/>
              </w:rPr>
            </w:pPr>
          </w:p>
        </w:tc>
        <w:tc>
          <w:tcPr>
            <w:tcW w:w="749" w:type="pct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552391" w:rsidRPr="00216FC1" w:rsidRDefault="00552391" w:rsidP="00552391">
            <w:pPr>
              <w:jc w:val="center"/>
              <w:rPr>
                <w:color w:val="000000"/>
              </w:rPr>
            </w:pPr>
          </w:p>
        </w:tc>
      </w:tr>
      <w:tr w:rsidR="00494970" w:rsidRPr="00216FC1" w:rsidTr="00494970">
        <w:trPr>
          <w:trHeight w:val="227"/>
        </w:trPr>
        <w:tc>
          <w:tcPr>
            <w:tcW w:w="467" w:type="pct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552391">
            <w:pPr>
              <w:suppressAutoHyphens w:val="0"/>
              <w:jc w:val="center"/>
              <w:rPr>
                <w:color w:val="000000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52391" w:rsidRPr="00216FC1" w:rsidRDefault="00552391" w:rsidP="00C41237">
            <w:pPr>
              <w:suppressAutoHyphens w:val="0"/>
              <w:ind w:left="78"/>
              <w:rPr>
                <w:b/>
                <w:color w:val="000000"/>
              </w:rPr>
            </w:pPr>
            <w:r w:rsidRPr="00216FC1">
              <w:rPr>
                <w:b/>
                <w:color w:val="000000"/>
              </w:rPr>
              <w:t>Total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2391" w:rsidRPr="00216FC1" w:rsidRDefault="00552391" w:rsidP="00494970">
            <w:pPr>
              <w:suppressAutoHyphens w:val="0"/>
              <w:ind w:right="74"/>
              <w:jc w:val="right"/>
              <w:rPr>
                <w:b/>
                <w:color w:val="000000"/>
              </w:rPr>
            </w:pPr>
            <w:r w:rsidRPr="00216FC1">
              <w:rPr>
                <w:b/>
                <w:color w:val="000000"/>
              </w:rPr>
              <w:t>425.865.691,70</w:t>
            </w:r>
          </w:p>
        </w:tc>
        <w:tc>
          <w:tcPr>
            <w:tcW w:w="1094" w:type="pct"/>
            <w:vMerge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C77B8A">
            <w:pPr>
              <w:suppressAutoHyphens w:val="0"/>
              <w:ind w:right="64"/>
              <w:jc w:val="right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4764FB">
            <w:pPr>
              <w:suppressAutoHyphens w:val="0"/>
              <w:jc w:val="right"/>
              <w:rPr>
                <w:color w:val="000000"/>
              </w:rPr>
            </w:pPr>
          </w:p>
        </w:tc>
        <w:tc>
          <w:tcPr>
            <w:tcW w:w="749" w:type="pct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552391" w:rsidRPr="00216FC1" w:rsidRDefault="00552391" w:rsidP="00552391">
            <w:pPr>
              <w:jc w:val="center"/>
              <w:rPr>
                <w:color w:val="000000"/>
              </w:rPr>
            </w:pPr>
          </w:p>
        </w:tc>
      </w:tr>
      <w:tr w:rsidR="00494970" w:rsidRPr="00216FC1" w:rsidTr="00494970">
        <w:trPr>
          <w:trHeight w:val="227"/>
        </w:trPr>
        <w:tc>
          <w:tcPr>
            <w:tcW w:w="467" w:type="pct"/>
            <w:vMerge w:val="restar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391" w:rsidRPr="00216FC1" w:rsidRDefault="00552391" w:rsidP="00552391">
            <w:pPr>
              <w:suppressAutoHyphens w:val="0"/>
              <w:jc w:val="center"/>
              <w:rPr>
                <w:color w:val="000000"/>
              </w:rPr>
            </w:pPr>
            <w:r w:rsidRPr="00216FC1">
              <w:rPr>
                <w:color w:val="000000"/>
              </w:rPr>
              <w:t>2016</w:t>
            </w:r>
          </w:p>
        </w:tc>
        <w:tc>
          <w:tcPr>
            <w:tcW w:w="78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91" w:rsidRPr="00216FC1" w:rsidRDefault="00552391" w:rsidP="00C41237">
            <w:pPr>
              <w:ind w:left="78" w:right="-22"/>
              <w:rPr>
                <w:color w:val="000000"/>
              </w:rPr>
            </w:pPr>
            <w:r w:rsidRPr="00216FC1">
              <w:rPr>
                <w:color w:val="000000"/>
              </w:rPr>
              <w:t>Lei Kandir</w:t>
            </w:r>
          </w:p>
        </w:tc>
        <w:tc>
          <w:tcPr>
            <w:tcW w:w="101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391" w:rsidRPr="00216FC1" w:rsidRDefault="00552391" w:rsidP="00494970">
            <w:pPr>
              <w:ind w:right="74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>30.277.578,7</w:t>
            </w:r>
            <w:r w:rsidR="00462305" w:rsidRPr="00216FC1">
              <w:rPr>
                <w:color w:val="000000"/>
              </w:rPr>
              <w:t>2</w:t>
            </w:r>
          </w:p>
        </w:tc>
        <w:tc>
          <w:tcPr>
            <w:tcW w:w="1094" w:type="pct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52391" w:rsidRPr="00216FC1" w:rsidRDefault="00552391" w:rsidP="00C77B8A">
            <w:pPr>
              <w:suppressAutoHyphens w:val="0"/>
              <w:ind w:right="64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>828.200.942,60</w:t>
            </w:r>
          </w:p>
        </w:tc>
        <w:tc>
          <w:tcPr>
            <w:tcW w:w="889" w:type="pct"/>
            <w:vMerge w:val="restart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552391" w:rsidRPr="00216FC1" w:rsidRDefault="00552391" w:rsidP="004764FB">
            <w:pPr>
              <w:suppressAutoHyphens w:val="0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 xml:space="preserve">16.151.326,12 </w:t>
            </w:r>
          </w:p>
        </w:tc>
        <w:tc>
          <w:tcPr>
            <w:tcW w:w="749" w:type="pct"/>
            <w:vMerge w:val="restart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552391" w:rsidRPr="00216FC1" w:rsidRDefault="00552391" w:rsidP="00552391">
            <w:pPr>
              <w:jc w:val="center"/>
              <w:rPr>
                <w:color w:val="000000"/>
              </w:rPr>
            </w:pPr>
            <w:r w:rsidRPr="00216FC1">
              <w:rPr>
                <w:color w:val="000000"/>
              </w:rPr>
              <w:t>1,95%</w:t>
            </w:r>
          </w:p>
        </w:tc>
      </w:tr>
      <w:tr w:rsidR="00494970" w:rsidRPr="00216FC1" w:rsidTr="00494970">
        <w:trPr>
          <w:trHeight w:val="227"/>
        </w:trPr>
        <w:tc>
          <w:tcPr>
            <w:tcW w:w="467" w:type="pct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552391">
            <w:pPr>
              <w:suppressAutoHyphens w:val="0"/>
              <w:jc w:val="center"/>
              <w:rPr>
                <w:color w:val="000000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91" w:rsidRPr="00216FC1" w:rsidRDefault="00552391" w:rsidP="00C41237">
            <w:pPr>
              <w:suppressAutoHyphens w:val="0"/>
              <w:ind w:left="78"/>
              <w:rPr>
                <w:color w:val="000000"/>
              </w:rPr>
            </w:pPr>
            <w:proofErr w:type="spellStart"/>
            <w:r w:rsidRPr="00216FC1">
              <w:rPr>
                <w:color w:val="000000"/>
              </w:rPr>
              <w:t>FEX</w:t>
            </w:r>
            <w:proofErr w:type="spellEnd"/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391" w:rsidRPr="00216FC1" w:rsidRDefault="00552391" w:rsidP="00494970">
            <w:pPr>
              <w:ind w:left="-138" w:right="74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>814.074.690,0</w:t>
            </w:r>
            <w:r w:rsidR="00462305" w:rsidRPr="00216FC1">
              <w:rPr>
                <w:color w:val="000000"/>
              </w:rPr>
              <w:t>0</w:t>
            </w:r>
          </w:p>
        </w:tc>
        <w:tc>
          <w:tcPr>
            <w:tcW w:w="1094" w:type="pct"/>
            <w:vMerge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C77B8A">
            <w:pPr>
              <w:suppressAutoHyphens w:val="0"/>
              <w:ind w:right="64"/>
              <w:jc w:val="right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4764FB">
            <w:pPr>
              <w:suppressAutoHyphens w:val="0"/>
              <w:jc w:val="right"/>
              <w:rPr>
                <w:color w:val="000000"/>
              </w:rPr>
            </w:pPr>
          </w:p>
        </w:tc>
        <w:tc>
          <w:tcPr>
            <w:tcW w:w="749" w:type="pct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552391" w:rsidRPr="00216FC1" w:rsidRDefault="00552391" w:rsidP="00552391">
            <w:pPr>
              <w:jc w:val="center"/>
              <w:rPr>
                <w:color w:val="000000"/>
              </w:rPr>
            </w:pPr>
          </w:p>
        </w:tc>
      </w:tr>
      <w:tr w:rsidR="00494970" w:rsidRPr="00216FC1" w:rsidTr="00494970">
        <w:trPr>
          <w:trHeight w:val="227"/>
        </w:trPr>
        <w:tc>
          <w:tcPr>
            <w:tcW w:w="467" w:type="pct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552391">
            <w:pPr>
              <w:suppressAutoHyphens w:val="0"/>
              <w:jc w:val="center"/>
              <w:rPr>
                <w:color w:val="000000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52391" w:rsidRPr="00216FC1" w:rsidRDefault="00552391" w:rsidP="00C41237">
            <w:pPr>
              <w:suppressAutoHyphens w:val="0"/>
              <w:ind w:left="78"/>
              <w:rPr>
                <w:b/>
                <w:color w:val="000000"/>
              </w:rPr>
            </w:pPr>
            <w:r w:rsidRPr="00216FC1">
              <w:rPr>
                <w:b/>
                <w:color w:val="000000"/>
              </w:rPr>
              <w:t>Total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2391" w:rsidRPr="00216FC1" w:rsidRDefault="00552391" w:rsidP="00494970">
            <w:pPr>
              <w:suppressAutoHyphens w:val="0"/>
              <w:ind w:right="74"/>
              <w:jc w:val="right"/>
              <w:rPr>
                <w:b/>
                <w:color w:val="000000"/>
              </w:rPr>
            </w:pPr>
            <w:r w:rsidRPr="00216FC1">
              <w:rPr>
                <w:b/>
                <w:color w:val="000000"/>
              </w:rPr>
              <w:t>844.352.268,72</w:t>
            </w:r>
          </w:p>
        </w:tc>
        <w:tc>
          <w:tcPr>
            <w:tcW w:w="1094" w:type="pct"/>
            <w:vMerge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C77B8A">
            <w:pPr>
              <w:suppressAutoHyphens w:val="0"/>
              <w:ind w:right="64"/>
              <w:jc w:val="right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4764FB">
            <w:pPr>
              <w:suppressAutoHyphens w:val="0"/>
              <w:jc w:val="right"/>
              <w:rPr>
                <w:color w:val="000000"/>
              </w:rPr>
            </w:pPr>
          </w:p>
        </w:tc>
        <w:tc>
          <w:tcPr>
            <w:tcW w:w="749" w:type="pct"/>
            <w:vMerge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552391" w:rsidRPr="00216FC1" w:rsidRDefault="00552391" w:rsidP="00552391">
            <w:pPr>
              <w:jc w:val="center"/>
              <w:rPr>
                <w:color w:val="000000"/>
              </w:rPr>
            </w:pPr>
          </w:p>
        </w:tc>
      </w:tr>
      <w:tr w:rsidR="00494970" w:rsidRPr="00216FC1" w:rsidTr="00494970">
        <w:trPr>
          <w:trHeight w:val="227"/>
        </w:trPr>
        <w:tc>
          <w:tcPr>
            <w:tcW w:w="467" w:type="pct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2391" w:rsidRPr="00216FC1" w:rsidRDefault="00552391" w:rsidP="00552391">
            <w:pPr>
              <w:suppressAutoHyphens w:val="0"/>
              <w:jc w:val="center"/>
              <w:rPr>
                <w:color w:val="000000"/>
              </w:rPr>
            </w:pPr>
            <w:r w:rsidRPr="00216FC1">
              <w:rPr>
                <w:color w:val="000000"/>
              </w:rPr>
              <w:t>2017</w:t>
            </w:r>
          </w:p>
        </w:tc>
        <w:tc>
          <w:tcPr>
            <w:tcW w:w="78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91" w:rsidRPr="00216FC1" w:rsidRDefault="00552391" w:rsidP="00C41237">
            <w:pPr>
              <w:ind w:left="78" w:right="-22"/>
              <w:rPr>
                <w:color w:val="000000"/>
              </w:rPr>
            </w:pPr>
            <w:r w:rsidRPr="00216FC1">
              <w:rPr>
                <w:color w:val="000000"/>
              </w:rPr>
              <w:t>Lei Kandir</w:t>
            </w:r>
          </w:p>
        </w:tc>
        <w:tc>
          <w:tcPr>
            <w:tcW w:w="101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391" w:rsidRPr="00216FC1" w:rsidRDefault="00462305" w:rsidP="00494970">
            <w:pPr>
              <w:ind w:right="74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>30.277.578,96</w:t>
            </w:r>
          </w:p>
        </w:tc>
        <w:tc>
          <w:tcPr>
            <w:tcW w:w="1094" w:type="pct"/>
            <w:vMerge w:val="restart"/>
            <w:tcBorders>
              <w:top w:val="single" w:sz="12" w:space="0" w:color="auto"/>
              <w:left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52391" w:rsidRPr="00216FC1" w:rsidRDefault="00552391" w:rsidP="00C77B8A">
            <w:pPr>
              <w:suppressAutoHyphens w:val="0"/>
              <w:ind w:right="64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>988.407.427,36</w:t>
            </w:r>
          </w:p>
        </w:tc>
        <w:tc>
          <w:tcPr>
            <w:tcW w:w="889" w:type="pct"/>
            <w:vMerge w:val="restart"/>
            <w:tcBorders>
              <w:top w:val="single" w:sz="12" w:space="0" w:color="auto"/>
              <w:lef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52391" w:rsidRPr="00216FC1" w:rsidRDefault="004764FB" w:rsidP="004764FB">
            <w:pPr>
              <w:suppressAutoHyphens w:val="0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>-</w:t>
            </w:r>
            <w:r w:rsidR="00552391" w:rsidRPr="00216FC1">
              <w:rPr>
                <w:color w:val="000000"/>
              </w:rPr>
              <w:t xml:space="preserve">458.242.783,39 </w:t>
            </w:r>
          </w:p>
        </w:tc>
        <w:tc>
          <w:tcPr>
            <w:tcW w:w="749" w:type="pct"/>
            <w:vMerge w:val="restart"/>
            <w:tcBorders>
              <w:top w:val="single" w:sz="12" w:space="0" w:color="auto"/>
              <w:left w:val="single" w:sz="2" w:space="0" w:color="auto"/>
            </w:tcBorders>
            <w:vAlign w:val="center"/>
          </w:tcPr>
          <w:p w:rsidR="00552391" w:rsidRPr="00216FC1" w:rsidRDefault="00552391" w:rsidP="00552391">
            <w:pPr>
              <w:jc w:val="center"/>
              <w:rPr>
                <w:color w:val="000000"/>
              </w:rPr>
            </w:pPr>
            <w:r w:rsidRPr="00216FC1">
              <w:rPr>
                <w:color w:val="000000"/>
              </w:rPr>
              <w:t>-46,36%</w:t>
            </w:r>
          </w:p>
        </w:tc>
      </w:tr>
      <w:tr w:rsidR="00494970" w:rsidRPr="00216FC1" w:rsidTr="00494970">
        <w:trPr>
          <w:trHeight w:val="227"/>
        </w:trPr>
        <w:tc>
          <w:tcPr>
            <w:tcW w:w="467" w:type="pct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552391">
            <w:pPr>
              <w:suppressAutoHyphens w:val="0"/>
              <w:jc w:val="center"/>
              <w:rPr>
                <w:color w:val="000000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2391" w:rsidRPr="00216FC1" w:rsidRDefault="00552391" w:rsidP="00C41237">
            <w:pPr>
              <w:suppressAutoHyphens w:val="0"/>
              <w:ind w:left="78"/>
              <w:rPr>
                <w:color w:val="000000"/>
              </w:rPr>
            </w:pPr>
            <w:proofErr w:type="spellStart"/>
            <w:r w:rsidRPr="00216FC1">
              <w:rPr>
                <w:color w:val="000000"/>
              </w:rPr>
              <w:t>FEX</w:t>
            </w:r>
            <w:proofErr w:type="spellEnd"/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2391" w:rsidRPr="00216FC1" w:rsidRDefault="00552391" w:rsidP="00494970">
            <w:pPr>
              <w:ind w:left="-138" w:right="74"/>
              <w:jc w:val="right"/>
              <w:rPr>
                <w:color w:val="000000"/>
              </w:rPr>
            </w:pPr>
            <w:r w:rsidRPr="00216FC1">
              <w:rPr>
                <w:color w:val="000000"/>
              </w:rPr>
              <w:t>499.887.065,0</w:t>
            </w:r>
            <w:r w:rsidR="00462305" w:rsidRPr="00216FC1">
              <w:rPr>
                <w:color w:val="000000"/>
              </w:rPr>
              <w:t>1</w:t>
            </w:r>
          </w:p>
        </w:tc>
        <w:tc>
          <w:tcPr>
            <w:tcW w:w="1094" w:type="pct"/>
            <w:vMerge/>
            <w:tcBorders>
              <w:left w:val="single" w:sz="4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C41237">
            <w:pPr>
              <w:suppressAutoHyphens w:val="0"/>
              <w:jc w:val="right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left w:val="single" w:sz="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4764FB">
            <w:pPr>
              <w:suppressAutoHyphens w:val="0"/>
              <w:jc w:val="right"/>
              <w:rPr>
                <w:color w:val="000000"/>
              </w:rPr>
            </w:pPr>
          </w:p>
        </w:tc>
        <w:tc>
          <w:tcPr>
            <w:tcW w:w="749" w:type="pct"/>
            <w:vMerge/>
            <w:tcBorders>
              <w:left w:val="single" w:sz="2" w:space="0" w:color="auto"/>
            </w:tcBorders>
            <w:vAlign w:val="center"/>
          </w:tcPr>
          <w:p w:rsidR="00552391" w:rsidRPr="00216FC1" w:rsidRDefault="00552391" w:rsidP="00552391">
            <w:pPr>
              <w:jc w:val="center"/>
              <w:rPr>
                <w:color w:val="000000"/>
              </w:rPr>
            </w:pPr>
          </w:p>
        </w:tc>
      </w:tr>
      <w:tr w:rsidR="00494970" w:rsidRPr="00216FC1" w:rsidTr="00494970">
        <w:trPr>
          <w:trHeight w:val="227"/>
        </w:trPr>
        <w:tc>
          <w:tcPr>
            <w:tcW w:w="467" w:type="pct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552391">
            <w:pPr>
              <w:suppressAutoHyphens w:val="0"/>
              <w:jc w:val="center"/>
              <w:rPr>
                <w:color w:val="000000"/>
              </w:rPr>
            </w:pPr>
          </w:p>
        </w:tc>
        <w:tc>
          <w:tcPr>
            <w:tcW w:w="78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52391" w:rsidRPr="00216FC1" w:rsidRDefault="00552391" w:rsidP="00C41237">
            <w:pPr>
              <w:suppressAutoHyphens w:val="0"/>
              <w:ind w:left="78"/>
              <w:rPr>
                <w:b/>
                <w:color w:val="000000"/>
              </w:rPr>
            </w:pPr>
            <w:r w:rsidRPr="00216FC1">
              <w:rPr>
                <w:b/>
                <w:color w:val="000000"/>
              </w:rPr>
              <w:t>Total</w:t>
            </w:r>
          </w:p>
        </w:tc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2391" w:rsidRPr="00216FC1" w:rsidRDefault="00552391" w:rsidP="00494970">
            <w:pPr>
              <w:suppressAutoHyphens w:val="0"/>
              <w:ind w:right="74"/>
              <w:jc w:val="right"/>
              <w:rPr>
                <w:b/>
                <w:color w:val="000000"/>
              </w:rPr>
            </w:pPr>
            <w:r w:rsidRPr="00216FC1">
              <w:rPr>
                <w:b/>
                <w:color w:val="000000"/>
              </w:rPr>
              <w:t>530.164.643,97</w:t>
            </w:r>
          </w:p>
        </w:tc>
        <w:tc>
          <w:tcPr>
            <w:tcW w:w="1094" w:type="pct"/>
            <w:vMerge/>
            <w:tcBorders>
              <w:left w:val="single" w:sz="4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C41237">
            <w:pPr>
              <w:suppressAutoHyphens w:val="0"/>
              <w:jc w:val="right"/>
              <w:rPr>
                <w:color w:val="000000"/>
              </w:rPr>
            </w:pPr>
          </w:p>
        </w:tc>
        <w:tc>
          <w:tcPr>
            <w:tcW w:w="889" w:type="pct"/>
            <w:vMerge/>
            <w:tcBorders>
              <w:left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552391" w:rsidRPr="00216FC1" w:rsidRDefault="00552391" w:rsidP="004764FB">
            <w:pPr>
              <w:suppressAutoHyphens w:val="0"/>
              <w:jc w:val="right"/>
              <w:rPr>
                <w:color w:val="000000"/>
              </w:rPr>
            </w:pPr>
          </w:p>
        </w:tc>
        <w:tc>
          <w:tcPr>
            <w:tcW w:w="749" w:type="pct"/>
            <w:vMerge/>
            <w:tcBorders>
              <w:left w:val="single" w:sz="2" w:space="0" w:color="auto"/>
              <w:bottom w:val="single" w:sz="12" w:space="0" w:color="auto"/>
            </w:tcBorders>
            <w:vAlign w:val="center"/>
          </w:tcPr>
          <w:p w:rsidR="00552391" w:rsidRPr="00216FC1" w:rsidRDefault="00552391" w:rsidP="00552391">
            <w:pPr>
              <w:jc w:val="center"/>
              <w:rPr>
                <w:color w:val="000000"/>
              </w:rPr>
            </w:pPr>
          </w:p>
        </w:tc>
      </w:tr>
      <w:tr w:rsidR="00494970" w:rsidRPr="00216FC1" w:rsidTr="00494970">
        <w:trPr>
          <w:trHeight w:val="170"/>
        </w:trPr>
        <w:tc>
          <w:tcPr>
            <w:tcW w:w="467" w:type="pct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62305" w:rsidRPr="00216FC1" w:rsidRDefault="00462305" w:rsidP="00552391">
            <w:pPr>
              <w:suppressAutoHyphens w:val="0"/>
              <w:jc w:val="center"/>
              <w:rPr>
                <w:b/>
                <w:bCs/>
                <w:color w:val="000000"/>
              </w:rPr>
            </w:pPr>
            <w:r w:rsidRPr="00216FC1">
              <w:rPr>
                <w:b/>
                <w:bCs/>
                <w:color w:val="000000"/>
              </w:rPr>
              <w:t>Total</w:t>
            </w:r>
          </w:p>
        </w:tc>
        <w:tc>
          <w:tcPr>
            <w:tcW w:w="1800" w:type="pct"/>
            <w:gridSpan w:val="2"/>
            <w:tcBorders>
              <w:top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462305" w:rsidRPr="00216FC1" w:rsidRDefault="00462305" w:rsidP="00494970">
            <w:pPr>
              <w:suppressAutoHyphens w:val="0"/>
              <w:ind w:right="74"/>
              <w:jc w:val="right"/>
              <w:rPr>
                <w:b/>
                <w:bCs/>
                <w:color w:val="000000"/>
              </w:rPr>
            </w:pPr>
            <w:r w:rsidRPr="00216FC1">
              <w:rPr>
                <w:b/>
                <w:bCs/>
                <w:color w:val="000000"/>
              </w:rPr>
              <w:t>2.192.403.831,16</w:t>
            </w:r>
          </w:p>
        </w:tc>
        <w:tc>
          <w:tcPr>
            <w:tcW w:w="1094" w:type="pct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62305" w:rsidRPr="00216FC1" w:rsidRDefault="00462305" w:rsidP="00C77B8A">
            <w:pPr>
              <w:suppressAutoHyphens w:val="0"/>
              <w:ind w:right="64"/>
              <w:jc w:val="right"/>
              <w:rPr>
                <w:b/>
                <w:bCs/>
                <w:color w:val="000000"/>
              </w:rPr>
            </w:pPr>
            <w:r w:rsidRPr="00216FC1">
              <w:rPr>
                <w:b/>
                <w:bCs/>
                <w:color w:val="000000"/>
              </w:rPr>
              <w:t>4.141.608.401,69</w:t>
            </w:r>
          </w:p>
        </w:tc>
        <w:tc>
          <w:tcPr>
            <w:tcW w:w="889" w:type="pct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62305" w:rsidRPr="00216FC1" w:rsidRDefault="00462305" w:rsidP="004764FB">
            <w:pPr>
              <w:suppressAutoHyphens w:val="0"/>
              <w:jc w:val="right"/>
              <w:rPr>
                <w:b/>
                <w:bCs/>
                <w:color w:val="000000"/>
              </w:rPr>
            </w:pPr>
            <w:r w:rsidRPr="00216FC1">
              <w:rPr>
                <w:bCs/>
                <w:color w:val="000000"/>
              </w:rPr>
              <w:t>-</w:t>
            </w:r>
            <w:r w:rsidRPr="00216FC1">
              <w:rPr>
                <w:b/>
                <w:bCs/>
                <w:color w:val="000000"/>
              </w:rPr>
              <w:t xml:space="preserve">1.949.204.570,53 </w:t>
            </w:r>
          </w:p>
        </w:tc>
        <w:tc>
          <w:tcPr>
            <w:tcW w:w="749" w:type="pct"/>
            <w:tcBorders>
              <w:top w:val="single" w:sz="1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462305" w:rsidRPr="00216FC1" w:rsidRDefault="00462305" w:rsidP="00552391">
            <w:pPr>
              <w:jc w:val="center"/>
              <w:rPr>
                <w:b/>
                <w:color w:val="000000"/>
              </w:rPr>
            </w:pPr>
            <w:r w:rsidRPr="00216FC1">
              <w:rPr>
                <w:b/>
                <w:color w:val="000000"/>
              </w:rPr>
              <w:t>-47,06%</w:t>
            </w:r>
          </w:p>
        </w:tc>
      </w:tr>
      <w:tr w:rsidR="00552391" w:rsidRPr="00216FC1" w:rsidTr="00494970">
        <w:trPr>
          <w:trHeight w:val="238"/>
        </w:trPr>
        <w:tc>
          <w:tcPr>
            <w:tcW w:w="5000" w:type="pct"/>
            <w:gridSpan w:val="6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552391" w:rsidRPr="00216FC1" w:rsidRDefault="00552391" w:rsidP="00552391">
            <w:pPr>
              <w:suppressAutoHyphens w:val="0"/>
              <w:rPr>
                <w:color w:val="000000"/>
              </w:rPr>
            </w:pPr>
            <w:r w:rsidRPr="00216FC1">
              <w:rPr>
                <w:color w:val="000000"/>
              </w:rPr>
              <w:t>Fonte: Dados da pesquisa (2018).</w:t>
            </w:r>
          </w:p>
        </w:tc>
      </w:tr>
    </w:tbl>
    <w:p w:rsidR="00C90A2A" w:rsidRDefault="00C90A2A" w:rsidP="00B45900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Dos totais repassados</w:t>
      </w:r>
      <w:r w:rsidRPr="00C90A2A">
        <w:rPr>
          <w:sz w:val="24"/>
          <w:szCs w:val="24"/>
        </w:rPr>
        <w:t>, a União entrega diretamente 75% ao Estado e 25% aos municípios, conforme estabelecido na Constituição Federal (</w:t>
      </w:r>
      <w:proofErr w:type="spellStart"/>
      <w:r w:rsidRPr="00C90A2A">
        <w:rPr>
          <w:sz w:val="24"/>
          <w:szCs w:val="24"/>
        </w:rPr>
        <w:t>CF</w:t>
      </w:r>
      <w:proofErr w:type="spellEnd"/>
      <w:r w:rsidRPr="00C90A2A">
        <w:rPr>
          <w:sz w:val="24"/>
          <w:szCs w:val="24"/>
        </w:rPr>
        <w:t xml:space="preserve">) no parágrafo primeiro do artigo 91 (Brasil, 1988), na Lei Kandir em seu artigo 31 (Brasil, 1996) e na Lei nº 10.966/2004 que instituiu o </w:t>
      </w:r>
      <w:proofErr w:type="spellStart"/>
      <w:r w:rsidRPr="00C90A2A">
        <w:rPr>
          <w:sz w:val="24"/>
          <w:szCs w:val="24"/>
        </w:rPr>
        <w:t>FEX</w:t>
      </w:r>
      <w:proofErr w:type="spellEnd"/>
      <w:r w:rsidRPr="00C90A2A">
        <w:rPr>
          <w:sz w:val="24"/>
          <w:szCs w:val="24"/>
        </w:rPr>
        <w:t xml:space="preserve"> no artigo quarto (Brasil, 2004).</w:t>
      </w:r>
    </w:p>
    <w:p w:rsidR="00B45900" w:rsidRPr="00C8477F" w:rsidRDefault="003609DF" w:rsidP="00B45900">
      <w:pPr>
        <w:widowControl w:val="0"/>
        <w:spacing w:before="120" w:after="120"/>
        <w:ind w:firstLine="709"/>
        <w:jc w:val="both"/>
        <w:rPr>
          <w:sz w:val="24"/>
          <w:szCs w:val="24"/>
          <w:highlight w:val="yellow"/>
        </w:rPr>
      </w:pPr>
      <w:r w:rsidRPr="003609DF">
        <w:rPr>
          <w:sz w:val="24"/>
          <w:szCs w:val="24"/>
        </w:rPr>
        <w:t xml:space="preserve">O Gráfico 1 apresenta uma melhor visualização da </w:t>
      </w:r>
      <w:r w:rsidR="00B45900" w:rsidRPr="003609DF">
        <w:rPr>
          <w:sz w:val="24"/>
          <w:szCs w:val="24"/>
        </w:rPr>
        <w:t xml:space="preserve">comparação entre o custo da Pegada Hídrica Virtual exportada </w:t>
      </w:r>
      <w:r>
        <w:rPr>
          <w:i/>
          <w:sz w:val="24"/>
          <w:szCs w:val="24"/>
        </w:rPr>
        <w:t xml:space="preserve">versus </w:t>
      </w:r>
      <w:r>
        <w:rPr>
          <w:sz w:val="24"/>
          <w:szCs w:val="24"/>
        </w:rPr>
        <w:t>os</w:t>
      </w:r>
      <w:r w:rsidR="00B45900" w:rsidRPr="003609DF">
        <w:rPr>
          <w:sz w:val="24"/>
          <w:szCs w:val="24"/>
        </w:rPr>
        <w:t xml:space="preserve"> </w:t>
      </w:r>
      <w:proofErr w:type="gramStart"/>
      <w:r w:rsidR="00B45900" w:rsidRPr="003609DF">
        <w:rPr>
          <w:sz w:val="24"/>
          <w:szCs w:val="24"/>
        </w:rPr>
        <w:t>repasses Federais</w:t>
      </w:r>
      <w:proofErr w:type="gramEnd"/>
      <w:r w:rsidR="00B45900" w:rsidRPr="003609DF">
        <w:rPr>
          <w:sz w:val="24"/>
          <w:szCs w:val="24"/>
        </w:rPr>
        <w:t>.</w:t>
      </w:r>
    </w:p>
    <w:p w:rsidR="00B45900" w:rsidRPr="00054B8E" w:rsidRDefault="00B45900" w:rsidP="00B45900">
      <w:pPr>
        <w:widowControl w:val="0"/>
        <w:spacing w:before="120"/>
        <w:jc w:val="both"/>
        <w:rPr>
          <w:b/>
        </w:rPr>
      </w:pPr>
      <w:r w:rsidRPr="00C8477F">
        <w:rPr>
          <w:noProof/>
          <w:highlight w:val="yellow"/>
        </w:rPr>
        <w:drawing>
          <wp:inline distT="0" distB="0" distL="0" distR="0" wp14:anchorId="08D3EA62" wp14:editId="7A69BDFF">
            <wp:extent cx="5756910" cy="1881554"/>
            <wp:effectExtent l="0" t="0" r="15240" b="4445"/>
            <wp:docPr id="3" name="Gráfico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7" w:name="_Ref512948156"/>
      <w:r w:rsidRPr="00054B8E">
        <w:rPr>
          <w:b/>
        </w:rPr>
        <w:t xml:space="preserve">Gráfico </w:t>
      </w:r>
      <w:r w:rsidRPr="00054B8E">
        <w:rPr>
          <w:b/>
        </w:rPr>
        <w:fldChar w:fldCharType="begin"/>
      </w:r>
      <w:r w:rsidRPr="00054B8E">
        <w:rPr>
          <w:b/>
        </w:rPr>
        <w:instrText xml:space="preserve"> SEQ Gráfico \* ARABIC </w:instrText>
      </w:r>
      <w:r w:rsidRPr="00054B8E">
        <w:rPr>
          <w:b/>
        </w:rPr>
        <w:fldChar w:fldCharType="separate"/>
      </w:r>
      <w:r w:rsidR="009D7C72">
        <w:rPr>
          <w:b/>
          <w:noProof/>
        </w:rPr>
        <w:t>1</w:t>
      </w:r>
      <w:r w:rsidRPr="00054B8E">
        <w:rPr>
          <w:b/>
        </w:rPr>
        <w:fldChar w:fldCharType="end"/>
      </w:r>
      <w:bookmarkEnd w:id="7"/>
      <w:r w:rsidRPr="00054B8E">
        <w:rPr>
          <w:b/>
        </w:rPr>
        <w:t xml:space="preserve">. </w:t>
      </w:r>
      <w:r w:rsidR="003609DF" w:rsidRPr="00054B8E">
        <w:rPr>
          <w:b/>
        </w:rPr>
        <w:t>Custo</w:t>
      </w:r>
      <w:r w:rsidRPr="00054B8E">
        <w:rPr>
          <w:b/>
        </w:rPr>
        <w:t xml:space="preserve"> da Pegada Hídrica Virtual das exportações mato-grossense </w:t>
      </w:r>
      <w:r w:rsidR="00054B8E" w:rsidRPr="00054B8E">
        <w:rPr>
          <w:b/>
          <w:i/>
        </w:rPr>
        <w:t xml:space="preserve">versus </w:t>
      </w:r>
      <w:r w:rsidR="00054B8E" w:rsidRPr="00054B8E">
        <w:rPr>
          <w:b/>
        </w:rPr>
        <w:t>os</w:t>
      </w:r>
      <w:r w:rsidRPr="00054B8E">
        <w:rPr>
          <w:b/>
        </w:rPr>
        <w:t xml:space="preserve"> repasses federais (Lei Kandir e </w:t>
      </w:r>
      <w:proofErr w:type="spellStart"/>
      <w:r w:rsidRPr="00054B8E">
        <w:rPr>
          <w:b/>
        </w:rPr>
        <w:t>FEX</w:t>
      </w:r>
      <w:proofErr w:type="spellEnd"/>
      <w:r w:rsidRPr="00054B8E">
        <w:rPr>
          <w:b/>
        </w:rPr>
        <w:t xml:space="preserve">) </w:t>
      </w:r>
      <w:r w:rsidR="00C77B8A">
        <w:rPr>
          <w:b/>
        </w:rPr>
        <w:t>no período</w:t>
      </w:r>
      <w:r w:rsidR="00C77B8A" w:rsidRPr="00054B8E">
        <w:rPr>
          <w:b/>
        </w:rPr>
        <w:t xml:space="preserve"> </w:t>
      </w:r>
      <w:r w:rsidRPr="00054B8E">
        <w:rPr>
          <w:b/>
        </w:rPr>
        <w:t>de 2013 a 2017</w:t>
      </w:r>
    </w:p>
    <w:p w:rsidR="00B45900" w:rsidRPr="00054B8E" w:rsidRDefault="00B45900" w:rsidP="00B45900">
      <w:pPr>
        <w:widowControl w:val="0"/>
        <w:spacing w:after="120"/>
        <w:jc w:val="both"/>
      </w:pPr>
      <w:r w:rsidRPr="00054B8E">
        <w:t>Fonte: Dados da pesquisa </w:t>
      </w:r>
      <w:r w:rsidR="00054B8E">
        <w:t>(2018)</w:t>
      </w:r>
    </w:p>
    <w:p w:rsidR="00C90A2A" w:rsidRDefault="00C90A2A" w:rsidP="00C90A2A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Ao se analisar o custo da Pegada Hídrica Virtual exportada em 2017 (R$ </w:t>
      </w:r>
      <w:r w:rsidRPr="0011799E">
        <w:rPr>
          <w:sz w:val="24"/>
          <w:szCs w:val="24"/>
        </w:rPr>
        <w:t>988.407.427,36</w:t>
      </w:r>
      <w:r>
        <w:rPr>
          <w:sz w:val="24"/>
          <w:szCs w:val="24"/>
        </w:rPr>
        <w:t>), esse montante seria suficiente para comprar mais de 20 mil carros populares zero quilômetro, ou pagar um salário mínimo para mais de 80 mil trabalhadores durante um ano. Todavia, ressalta-se que o custo ambiental é indispensável para a produção e utilizado de forma gratuita, no entanto, é necessário que se reveja tal política em razão dos custos ambientais arcados pela sociedade como um todo.</w:t>
      </w:r>
    </w:p>
    <w:p w:rsidR="001539D4" w:rsidRDefault="001539D4" w:rsidP="000801FA">
      <w:pPr>
        <w:widowControl w:val="0"/>
        <w:spacing w:before="200" w:after="120"/>
        <w:rPr>
          <w:sz w:val="24"/>
          <w:szCs w:val="24"/>
        </w:rPr>
      </w:pPr>
      <w:r w:rsidRPr="001539D4">
        <w:rPr>
          <w:b/>
          <w:sz w:val="24"/>
          <w:szCs w:val="24"/>
        </w:rPr>
        <w:lastRenderedPageBreak/>
        <w:t>5 Considerações finais</w:t>
      </w:r>
    </w:p>
    <w:p w:rsidR="001539D4" w:rsidRDefault="00DC6FBA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Os resultados possibilitaram constatar que a principal finalidade da produção agropecuária mato-grossense é a exportação</w:t>
      </w:r>
      <w:r w:rsidR="00E21355">
        <w:rPr>
          <w:sz w:val="24"/>
          <w:szCs w:val="24"/>
        </w:rPr>
        <w:t xml:space="preserve"> e, por sem indispensável o </w:t>
      </w:r>
      <w:r w:rsidR="00913937">
        <w:rPr>
          <w:sz w:val="24"/>
          <w:szCs w:val="24"/>
        </w:rPr>
        <w:t>uso de água para a produção</w:t>
      </w:r>
      <w:r w:rsidR="00E21355">
        <w:rPr>
          <w:sz w:val="24"/>
          <w:szCs w:val="24"/>
        </w:rPr>
        <w:t>, o estado é também um grande exportador de Água Virtual</w:t>
      </w:r>
      <w:r w:rsidR="000F6588">
        <w:rPr>
          <w:sz w:val="24"/>
          <w:szCs w:val="24"/>
        </w:rPr>
        <w:t>.</w:t>
      </w:r>
      <w:r w:rsidR="005503D2">
        <w:rPr>
          <w:sz w:val="24"/>
          <w:szCs w:val="24"/>
        </w:rPr>
        <w:t xml:space="preserve"> </w:t>
      </w:r>
      <w:r w:rsidR="00C31560">
        <w:rPr>
          <w:sz w:val="24"/>
          <w:szCs w:val="24"/>
        </w:rPr>
        <w:t>Todavia, este recurso é usado de forma gratuita, tendo em vista</w:t>
      </w:r>
      <w:r w:rsidR="000F6588">
        <w:rPr>
          <w:sz w:val="24"/>
          <w:szCs w:val="24"/>
        </w:rPr>
        <w:t xml:space="preserve"> que a água é um recurso limita</w:t>
      </w:r>
      <w:r w:rsidR="0096669F">
        <w:rPr>
          <w:sz w:val="24"/>
          <w:szCs w:val="24"/>
        </w:rPr>
        <w:t>do e dotada de valor econômico e que</w:t>
      </w:r>
      <w:r w:rsidR="000F6588">
        <w:rPr>
          <w:sz w:val="24"/>
          <w:szCs w:val="24"/>
        </w:rPr>
        <w:t xml:space="preserve"> </w:t>
      </w:r>
      <w:r w:rsidR="005C3081">
        <w:rPr>
          <w:sz w:val="24"/>
          <w:szCs w:val="24"/>
        </w:rPr>
        <w:t xml:space="preserve">não é realizada sua valoração e </w:t>
      </w:r>
      <w:r w:rsidR="00C31560">
        <w:rPr>
          <w:sz w:val="24"/>
          <w:szCs w:val="24"/>
        </w:rPr>
        <w:t>tão pouco sua</w:t>
      </w:r>
      <w:r w:rsidR="00E5636B">
        <w:rPr>
          <w:sz w:val="24"/>
          <w:szCs w:val="24"/>
        </w:rPr>
        <w:t xml:space="preserve"> inclusão</w:t>
      </w:r>
      <w:r w:rsidR="000F6588">
        <w:rPr>
          <w:sz w:val="24"/>
          <w:szCs w:val="24"/>
        </w:rPr>
        <w:t xml:space="preserve"> nos custos de produção</w:t>
      </w:r>
      <w:r w:rsidR="005C3081">
        <w:rPr>
          <w:sz w:val="24"/>
          <w:szCs w:val="24"/>
        </w:rPr>
        <w:t xml:space="preserve">, </w:t>
      </w:r>
      <w:r w:rsidR="0096669F">
        <w:rPr>
          <w:sz w:val="24"/>
          <w:szCs w:val="24"/>
        </w:rPr>
        <w:t xml:space="preserve">as exportações levam esse valor gratuitamente, </w:t>
      </w:r>
      <w:r w:rsidR="005C3081">
        <w:rPr>
          <w:sz w:val="24"/>
          <w:szCs w:val="24"/>
        </w:rPr>
        <w:t xml:space="preserve">ficando </w:t>
      </w:r>
      <w:r w:rsidR="0096669F">
        <w:rPr>
          <w:sz w:val="24"/>
          <w:szCs w:val="24"/>
        </w:rPr>
        <w:t xml:space="preserve">no Estado </w:t>
      </w:r>
      <w:r w:rsidR="000F6588">
        <w:rPr>
          <w:sz w:val="24"/>
          <w:szCs w:val="24"/>
        </w:rPr>
        <w:t>os</w:t>
      </w:r>
      <w:r w:rsidR="005C3081">
        <w:rPr>
          <w:sz w:val="24"/>
          <w:szCs w:val="24"/>
        </w:rPr>
        <w:t xml:space="preserve"> custos dos</w:t>
      </w:r>
      <w:r w:rsidR="000F6588">
        <w:rPr>
          <w:sz w:val="24"/>
          <w:szCs w:val="24"/>
        </w:rPr>
        <w:t xml:space="preserve"> </w:t>
      </w:r>
      <w:r w:rsidR="005C3081">
        <w:rPr>
          <w:sz w:val="24"/>
          <w:szCs w:val="24"/>
        </w:rPr>
        <w:t>serviços ambientais utilizados</w:t>
      </w:r>
      <w:r w:rsidR="000F6588">
        <w:rPr>
          <w:sz w:val="24"/>
          <w:szCs w:val="24"/>
        </w:rPr>
        <w:t xml:space="preserve"> </w:t>
      </w:r>
      <w:r w:rsidR="0096669F">
        <w:rPr>
          <w:sz w:val="24"/>
          <w:szCs w:val="24"/>
        </w:rPr>
        <w:t>na</w:t>
      </w:r>
      <w:r w:rsidR="005C3081">
        <w:rPr>
          <w:sz w:val="24"/>
          <w:szCs w:val="24"/>
        </w:rPr>
        <w:t xml:space="preserve"> </w:t>
      </w:r>
      <w:r w:rsidR="000F6588">
        <w:rPr>
          <w:sz w:val="24"/>
          <w:szCs w:val="24"/>
        </w:rPr>
        <w:t>produ</w:t>
      </w:r>
      <w:r w:rsidR="005C3081">
        <w:rPr>
          <w:sz w:val="24"/>
          <w:szCs w:val="24"/>
        </w:rPr>
        <w:t>ção</w:t>
      </w:r>
      <w:r w:rsidR="000F6588">
        <w:rPr>
          <w:sz w:val="24"/>
          <w:szCs w:val="24"/>
        </w:rPr>
        <w:t>.</w:t>
      </w:r>
    </w:p>
    <w:p w:rsidR="000F6588" w:rsidRDefault="006F6D60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únicos repasses que o Estado e seus municípios recebem diretamente por essas exportações são os da desoneração do ICMS estabelecida na Lei Kandir e o </w:t>
      </w:r>
      <w:r w:rsidRPr="006F6D60">
        <w:rPr>
          <w:sz w:val="24"/>
          <w:szCs w:val="24"/>
        </w:rPr>
        <w:t>Auxílio Financeiro para Fomento das Exportações (</w:t>
      </w:r>
      <w:proofErr w:type="spellStart"/>
      <w:r w:rsidRPr="006F6D60">
        <w:rPr>
          <w:sz w:val="24"/>
          <w:szCs w:val="24"/>
        </w:rPr>
        <w:t>FEX</w:t>
      </w:r>
      <w:proofErr w:type="spellEnd"/>
      <w:r w:rsidRPr="006F6D60">
        <w:rPr>
          <w:sz w:val="24"/>
          <w:szCs w:val="24"/>
        </w:rPr>
        <w:t>)</w:t>
      </w:r>
      <w:r w:rsidR="00E5471D">
        <w:rPr>
          <w:sz w:val="24"/>
          <w:szCs w:val="24"/>
        </w:rPr>
        <w:t xml:space="preserve">, todavia, tais repasses são cerca de 50% dos custos da </w:t>
      </w:r>
      <w:r w:rsidR="00FE3AA0">
        <w:rPr>
          <w:sz w:val="24"/>
          <w:szCs w:val="24"/>
        </w:rPr>
        <w:t xml:space="preserve">Pegada Hídrica </w:t>
      </w:r>
      <w:r w:rsidR="00E5471D">
        <w:rPr>
          <w:sz w:val="24"/>
          <w:szCs w:val="24"/>
        </w:rPr>
        <w:t>Virtual exportada,</w:t>
      </w:r>
      <w:r w:rsidR="000A337E">
        <w:rPr>
          <w:sz w:val="24"/>
          <w:szCs w:val="24"/>
        </w:rPr>
        <w:t xml:space="preserve"> ficando o estado com um déficit ambiental, pois os custos ambientais utilizados na produção são maiores que os benefícios </w:t>
      </w:r>
      <w:r w:rsidR="005C3081">
        <w:rPr>
          <w:sz w:val="24"/>
          <w:szCs w:val="24"/>
        </w:rPr>
        <w:t>federais</w:t>
      </w:r>
      <w:r w:rsidR="000A337E">
        <w:rPr>
          <w:sz w:val="24"/>
          <w:szCs w:val="24"/>
        </w:rPr>
        <w:t xml:space="preserve"> recebidos.</w:t>
      </w:r>
    </w:p>
    <w:p w:rsidR="000A3CC2" w:rsidRDefault="00E5636B" w:rsidP="000A3CC2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Recomenda-se, portanto,</w:t>
      </w:r>
      <w:r w:rsidR="00913937">
        <w:rPr>
          <w:sz w:val="24"/>
          <w:szCs w:val="24"/>
        </w:rPr>
        <w:t xml:space="preserve"> que sejam realizados estudos futuros identificando outros benefícios decorrentes das exportações e </w:t>
      </w:r>
      <w:r>
        <w:rPr>
          <w:sz w:val="24"/>
          <w:szCs w:val="24"/>
        </w:rPr>
        <w:t xml:space="preserve">da </w:t>
      </w:r>
      <w:r w:rsidR="00913937">
        <w:rPr>
          <w:sz w:val="24"/>
          <w:szCs w:val="24"/>
        </w:rPr>
        <w:t>produção agropecuária</w:t>
      </w:r>
      <w:r w:rsidR="00DC5ACA">
        <w:rPr>
          <w:sz w:val="24"/>
          <w:szCs w:val="24"/>
        </w:rPr>
        <w:t>,</w:t>
      </w:r>
      <w:r w:rsidR="00913937">
        <w:rPr>
          <w:sz w:val="24"/>
          <w:szCs w:val="24"/>
        </w:rPr>
        <w:t xml:space="preserve"> que abrangem as esferas sociais, econômicas e ambientais</w:t>
      </w:r>
      <w:r w:rsidR="00DC5ACA">
        <w:rPr>
          <w:sz w:val="24"/>
          <w:szCs w:val="24"/>
        </w:rPr>
        <w:t>. E também estudos</w:t>
      </w:r>
      <w:r w:rsidR="0011799E">
        <w:rPr>
          <w:sz w:val="24"/>
          <w:szCs w:val="24"/>
        </w:rPr>
        <w:t xml:space="preserve"> sobre o impacto da inclusão dos custos ambientais nos custos de produção e outros</w:t>
      </w:r>
      <w:r w:rsidR="00DC5ACA">
        <w:rPr>
          <w:sz w:val="24"/>
          <w:szCs w:val="24"/>
        </w:rPr>
        <w:t xml:space="preserve"> semelhantes</w:t>
      </w:r>
      <w:r w:rsidR="0011799E">
        <w:rPr>
          <w:sz w:val="24"/>
          <w:szCs w:val="24"/>
        </w:rPr>
        <w:t xml:space="preserve"> a este</w:t>
      </w:r>
      <w:r w:rsidR="00C31560">
        <w:rPr>
          <w:sz w:val="24"/>
          <w:szCs w:val="24"/>
        </w:rPr>
        <w:t xml:space="preserve"> identificando e valorando outros serviços</w:t>
      </w:r>
      <w:r w:rsidR="00DC5ACA">
        <w:rPr>
          <w:sz w:val="24"/>
          <w:szCs w:val="24"/>
        </w:rPr>
        <w:t xml:space="preserve"> </w:t>
      </w:r>
      <w:r w:rsidR="00C31560">
        <w:rPr>
          <w:sz w:val="24"/>
          <w:szCs w:val="24"/>
        </w:rPr>
        <w:t xml:space="preserve">ambientais e </w:t>
      </w:r>
      <w:r w:rsidR="00DC5ACA">
        <w:rPr>
          <w:sz w:val="24"/>
          <w:szCs w:val="24"/>
        </w:rPr>
        <w:t xml:space="preserve">em outros locais </w:t>
      </w:r>
      <w:r w:rsidR="0011799E">
        <w:rPr>
          <w:sz w:val="24"/>
          <w:szCs w:val="24"/>
        </w:rPr>
        <w:t>a fim de realizar</w:t>
      </w:r>
      <w:r w:rsidR="00DC5ACA">
        <w:rPr>
          <w:sz w:val="24"/>
          <w:szCs w:val="24"/>
        </w:rPr>
        <w:t xml:space="preserve"> comparação com o </w:t>
      </w:r>
      <w:r w:rsidR="0011799E">
        <w:rPr>
          <w:sz w:val="24"/>
          <w:szCs w:val="24"/>
        </w:rPr>
        <w:t>resultado aqui encontrado</w:t>
      </w:r>
      <w:r w:rsidR="00DC5ACA">
        <w:rPr>
          <w:sz w:val="24"/>
          <w:szCs w:val="24"/>
        </w:rPr>
        <w:t>.</w:t>
      </w:r>
    </w:p>
    <w:p w:rsidR="00982535" w:rsidRDefault="00982535" w:rsidP="00982535">
      <w:pPr>
        <w:widowControl w:val="0"/>
        <w:spacing w:before="240" w:after="120"/>
        <w:rPr>
          <w:b/>
          <w:sz w:val="24"/>
          <w:szCs w:val="24"/>
        </w:rPr>
      </w:pPr>
      <w:r w:rsidRPr="00982535">
        <w:rPr>
          <w:b/>
          <w:sz w:val="24"/>
          <w:szCs w:val="24"/>
        </w:rPr>
        <w:t>Agradecimentos</w:t>
      </w:r>
    </w:p>
    <w:p w:rsidR="00982535" w:rsidRDefault="00982535" w:rsidP="00982535">
      <w:pPr>
        <w:widowControl w:val="0"/>
        <w:spacing w:before="120" w:after="120"/>
        <w:ind w:firstLine="709"/>
        <w:jc w:val="both"/>
        <w:rPr>
          <w:sz w:val="24"/>
          <w:szCs w:val="24"/>
        </w:rPr>
      </w:pPr>
      <w:r w:rsidRPr="00982535">
        <w:rPr>
          <w:sz w:val="24"/>
          <w:szCs w:val="24"/>
        </w:rPr>
        <w:t>À Coordenação de Aperfeiçoamento Pessoal de Nível Superior – CAPES pelo apoio financeiro com a concessão de bolsa de mestrado</w:t>
      </w:r>
      <w:r>
        <w:rPr>
          <w:sz w:val="24"/>
          <w:szCs w:val="24"/>
        </w:rPr>
        <w:t>.</w:t>
      </w:r>
    </w:p>
    <w:p w:rsidR="00804571" w:rsidRDefault="00804571" w:rsidP="00902CF8">
      <w:pPr>
        <w:widowControl w:val="0"/>
        <w:spacing w:before="240" w:after="120"/>
        <w:rPr>
          <w:sz w:val="24"/>
          <w:szCs w:val="24"/>
        </w:rPr>
      </w:pPr>
      <w:r w:rsidRPr="00804571">
        <w:rPr>
          <w:b/>
          <w:sz w:val="24"/>
          <w:szCs w:val="24"/>
        </w:rPr>
        <w:t>Referências</w:t>
      </w:r>
      <w:r>
        <w:rPr>
          <w:sz w:val="24"/>
          <w:szCs w:val="24"/>
        </w:rPr>
        <w:t xml:space="preserve"> 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Agência Nacional de Águas - ANA. (2018). </w:t>
      </w:r>
      <w:r w:rsidRPr="001D030A">
        <w:rPr>
          <w:i/>
          <w:noProof/>
          <w:sz w:val="24"/>
          <w:szCs w:val="24"/>
        </w:rPr>
        <w:t>Cobrança pelo Uso de Recursos Hídricos</w:t>
      </w:r>
      <w:r w:rsidRPr="008E4FF6">
        <w:rPr>
          <w:noProof/>
          <w:sz w:val="24"/>
          <w:szCs w:val="24"/>
        </w:rPr>
        <w:t xml:space="preserve">: Normativos Legais. </w:t>
      </w:r>
      <w:r w:rsidR="00110AFC">
        <w:rPr>
          <w:noProof/>
          <w:sz w:val="24"/>
          <w:szCs w:val="24"/>
        </w:rPr>
        <w:t>Recuperado em</w:t>
      </w:r>
      <w:r w:rsidRPr="008E4FF6">
        <w:rPr>
          <w:noProof/>
          <w:sz w:val="24"/>
          <w:szCs w:val="24"/>
        </w:rPr>
        <w:t xml:space="preserve"> </w:t>
      </w:r>
      <w:r w:rsidR="00110AFC">
        <w:rPr>
          <w:noProof/>
          <w:sz w:val="24"/>
          <w:szCs w:val="24"/>
        </w:rPr>
        <w:t>5 de Fevereiro de</w:t>
      </w:r>
      <w:r w:rsidRPr="008E4FF6">
        <w:rPr>
          <w:noProof/>
          <w:sz w:val="24"/>
          <w:szCs w:val="24"/>
        </w:rPr>
        <w:t xml:space="preserve"> 2018, </w:t>
      </w:r>
      <w:r w:rsidR="00110AFC">
        <w:rPr>
          <w:noProof/>
          <w:sz w:val="24"/>
          <w:szCs w:val="24"/>
        </w:rPr>
        <w:t>de</w:t>
      </w:r>
      <w:r w:rsidRPr="008E4FF6">
        <w:rPr>
          <w:noProof/>
          <w:sz w:val="24"/>
          <w:szCs w:val="24"/>
        </w:rPr>
        <w:t xml:space="preserve"> http://www2.ana.gov.br/Paginas/servicos/cobrancaearrecadacao/Cobranca_Legislacao.aspx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Bassi, C. de M. (2016). </w:t>
      </w:r>
      <w:r w:rsidRPr="008E4FF6">
        <w:rPr>
          <w:i/>
          <w:iCs/>
          <w:noProof/>
          <w:sz w:val="24"/>
          <w:szCs w:val="24"/>
        </w:rPr>
        <w:t>Água Virtual e o Complexo Soja: Contabilizando as Exportações Brasileiras em Termos De Recursos Naturais</w:t>
      </w:r>
      <w:r w:rsidRPr="008E4FF6">
        <w:rPr>
          <w:noProof/>
          <w:sz w:val="24"/>
          <w:szCs w:val="24"/>
        </w:rPr>
        <w:t xml:space="preserve">. </w:t>
      </w:r>
      <w:r w:rsidRPr="008E4FF6">
        <w:rPr>
          <w:i/>
          <w:iCs/>
          <w:noProof/>
          <w:sz w:val="24"/>
          <w:szCs w:val="24"/>
        </w:rPr>
        <w:t>Ipea</w:t>
      </w:r>
      <w:r w:rsidRPr="008E4FF6">
        <w:rPr>
          <w:noProof/>
          <w:sz w:val="24"/>
          <w:szCs w:val="24"/>
        </w:rPr>
        <w:t xml:space="preserve"> (Vol. 1). Rio de Janeiro: IPEA.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Brasil. (1988). </w:t>
      </w:r>
      <w:r w:rsidRPr="001D030A">
        <w:rPr>
          <w:i/>
          <w:noProof/>
          <w:sz w:val="24"/>
          <w:szCs w:val="24"/>
        </w:rPr>
        <w:t>Constituição da República Federativa do Brasil de 1988</w:t>
      </w:r>
      <w:r w:rsidRPr="008E4FF6">
        <w:rPr>
          <w:noProof/>
          <w:sz w:val="24"/>
          <w:szCs w:val="24"/>
        </w:rPr>
        <w:t xml:space="preserve">. </w:t>
      </w:r>
      <w:r w:rsidR="00110AFC">
        <w:rPr>
          <w:noProof/>
          <w:sz w:val="24"/>
          <w:szCs w:val="24"/>
        </w:rPr>
        <w:t>Recuperado em 23 de Ab</w:t>
      </w:r>
      <w:r w:rsidRPr="008E4FF6">
        <w:rPr>
          <w:noProof/>
          <w:sz w:val="24"/>
          <w:szCs w:val="24"/>
        </w:rPr>
        <w:t xml:space="preserve">ril </w:t>
      </w:r>
      <w:r w:rsidR="00110AFC">
        <w:rPr>
          <w:noProof/>
          <w:sz w:val="24"/>
          <w:szCs w:val="24"/>
        </w:rPr>
        <w:t>de</w:t>
      </w:r>
      <w:r w:rsidRPr="008E4FF6">
        <w:rPr>
          <w:noProof/>
          <w:sz w:val="24"/>
          <w:szCs w:val="24"/>
        </w:rPr>
        <w:t xml:space="preserve"> 2018, </w:t>
      </w:r>
      <w:r w:rsidR="00110AFC">
        <w:rPr>
          <w:noProof/>
          <w:sz w:val="24"/>
          <w:szCs w:val="24"/>
        </w:rPr>
        <w:t>de</w:t>
      </w:r>
      <w:r w:rsidRPr="008E4FF6">
        <w:rPr>
          <w:noProof/>
          <w:sz w:val="24"/>
          <w:szCs w:val="24"/>
        </w:rPr>
        <w:t xml:space="preserve"> http://www.planalto.gov.br/ccivil_03/constituicao/constituicaocompilado.htm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Brasil. (1996). </w:t>
      </w:r>
      <w:r w:rsidRPr="001D030A">
        <w:rPr>
          <w:i/>
          <w:noProof/>
          <w:sz w:val="24"/>
          <w:szCs w:val="24"/>
        </w:rPr>
        <w:t>Lei Complementar N</w:t>
      </w:r>
      <w:r w:rsidRPr="001D030A">
        <w:rPr>
          <w:i/>
          <w:noProof/>
          <w:sz w:val="24"/>
          <w:szCs w:val="24"/>
          <w:vertAlign w:val="superscript"/>
        </w:rPr>
        <w:t>o</w:t>
      </w:r>
      <w:r w:rsidRPr="001D030A">
        <w:rPr>
          <w:i/>
          <w:noProof/>
          <w:sz w:val="24"/>
          <w:szCs w:val="24"/>
        </w:rPr>
        <w:t xml:space="preserve"> 87, de 13 de setembro de 1996</w:t>
      </w:r>
      <w:r w:rsidRPr="008E4FF6">
        <w:rPr>
          <w:noProof/>
          <w:sz w:val="24"/>
          <w:szCs w:val="24"/>
        </w:rPr>
        <w:t xml:space="preserve">. </w:t>
      </w:r>
      <w:r w:rsidR="00110AFC">
        <w:rPr>
          <w:noProof/>
          <w:sz w:val="24"/>
          <w:szCs w:val="24"/>
        </w:rPr>
        <w:t>Recuperado em 23 de Ab</w:t>
      </w:r>
      <w:r w:rsidRPr="008E4FF6">
        <w:rPr>
          <w:noProof/>
          <w:sz w:val="24"/>
          <w:szCs w:val="24"/>
        </w:rPr>
        <w:t xml:space="preserve">ril </w:t>
      </w:r>
      <w:r w:rsidR="00110AFC">
        <w:rPr>
          <w:noProof/>
          <w:sz w:val="24"/>
          <w:szCs w:val="24"/>
        </w:rPr>
        <w:t>de</w:t>
      </w:r>
      <w:r w:rsidRPr="008E4FF6">
        <w:rPr>
          <w:noProof/>
          <w:sz w:val="24"/>
          <w:szCs w:val="24"/>
        </w:rPr>
        <w:t xml:space="preserve"> 2018, </w:t>
      </w:r>
      <w:r w:rsidR="00110AFC">
        <w:rPr>
          <w:noProof/>
          <w:sz w:val="24"/>
          <w:szCs w:val="24"/>
        </w:rPr>
        <w:t>de</w:t>
      </w:r>
      <w:r w:rsidRPr="008E4FF6">
        <w:rPr>
          <w:noProof/>
          <w:sz w:val="24"/>
          <w:szCs w:val="24"/>
        </w:rPr>
        <w:t xml:space="preserve"> http://www.planalto.gov.br/ccivil_03/leis/lcp/lcp87.htm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Brasil. (1997). </w:t>
      </w:r>
      <w:r w:rsidRPr="001D030A">
        <w:rPr>
          <w:i/>
          <w:noProof/>
          <w:sz w:val="24"/>
          <w:szCs w:val="24"/>
        </w:rPr>
        <w:t>Lei N</w:t>
      </w:r>
      <w:r w:rsidRPr="001D030A">
        <w:rPr>
          <w:i/>
          <w:noProof/>
          <w:sz w:val="24"/>
          <w:szCs w:val="24"/>
          <w:vertAlign w:val="superscript"/>
        </w:rPr>
        <w:t>o</w:t>
      </w:r>
      <w:r w:rsidRPr="001D030A">
        <w:rPr>
          <w:i/>
          <w:noProof/>
          <w:sz w:val="24"/>
          <w:szCs w:val="24"/>
        </w:rPr>
        <w:t xml:space="preserve"> 9.433, de 8 de janeiro de 1997</w:t>
      </w:r>
      <w:r w:rsidRPr="008E4FF6">
        <w:rPr>
          <w:noProof/>
          <w:sz w:val="24"/>
          <w:szCs w:val="24"/>
        </w:rPr>
        <w:t xml:space="preserve">. </w:t>
      </w:r>
      <w:r w:rsidR="00110AFC">
        <w:rPr>
          <w:noProof/>
          <w:sz w:val="24"/>
          <w:szCs w:val="24"/>
        </w:rPr>
        <w:t>Recuperado em</w:t>
      </w:r>
      <w:r w:rsidRPr="008E4FF6">
        <w:rPr>
          <w:noProof/>
          <w:sz w:val="24"/>
          <w:szCs w:val="24"/>
        </w:rPr>
        <w:t xml:space="preserve"> </w:t>
      </w:r>
      <w:r w:rsidR="00110AFC">
        <w:rPr>
          <w:noProof/>
          <w:sz w:val="24"/>
          <w:szCs w:val="24"/>
        </w:rPr>
        <w:t xml:space="preserve">31 de </w:t>
      </w:r>
      <w:r w:rsidRPr="008E4FF6">
        <w:rPr>
          <w:noProof/>
          <w:sz w:val="24"/>
          <w:szCs w:val="24"/>
        </w:rPr>
        <w:t>Jan</w:t>
      </w:r>
      <w:r w:rsidR="00110AFC">
        <w:rPr>
          <w:noProof/>
          <w:sz w:val="24"/>
          <w:szCs w:val="24"/>
        </w:rPr>
        <w:t>eiro de</w:t>
      </w:r>
      <w:r w:rsidRPr="008E4FF6">
        <w:rPr>
          <w:noProof/>
          <w:sz w:val="24"/>
          <w:szCs w:val="24"/>
        </w:rPr>
        <w:t xml:space="preserve"> 2018, </w:t>
      </w:r>
      <w:r w:rsidR="00110AFC">
        <w:rPr>
          <w:noProof/>
          <w:sz w:val="24"/>
          <w:szCs w:val="24"/>
        </w:rPr>
        <w:t>de</w:t>
      </w:r>
      <w:r w:rsidRPr="008E4FF6">
        <w:rPr>
          <w:noProof/>
          <w:sz w:val="24"/>
          <w:szCs w:val="24"/>
        </w:rPr>
        <w:t xml:space="preserve"> http://www.planalto.gov.br/ccivil_03/leis/L9433.htm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Brasil. (2004). </w:t>
      </w:r>
      <w:r w:rsidRPr="001D030A">
        <w:rPr>
          <w:i/>
          <w:noProof/>
          <w:sz w:val="24"/>
          <w:szCs w:val="24"/>
        </w:rPr>
        <w:t>Lei N</w:t>
      </w:r>
      <w:r w:rsidRPr="001D030A">
        <w:rPr>
          <w:i/>
          <w:noProof/>
          <w:sz w:val="24"/>
          <w:szCs w:val="24"/>
          <w:vertAlign w:val="superscript"/>
        </w:rPr>
        <w:t>o</w:t>
      </w:r>
      <w:r w:rsidRPr="001D030A">
        <w:rPr>
          <w:i/>
          <w:noProof/>
          <w:sz w:val="24"/>
          <w:szCs w:val="24"/>
        </w:rPr>
        <w:t xml:space="preserve"> 10.966, de 9 de Novembro de 2004</w:t>
      </w:r>
      <w:r w:rsidRPr="008E4FF6">
        <w:rPr>
          <w:noProof/>
          <w:sz w:val="24"/>
          <w:szCs w:val="24"/>
        </w:rPr>
        <w:t xml:space="preserve">. </w:t>
      </w:r>
      <w:r w:rsidR="00110AFC">
        <w:rPr>
          <w:noProof/>
          <w:sz w:val="24"/>
          <w:szCs w:val="24"/>
        </w:rPr>
        <w:t>Recuperado em</w:t>
      </w:r>
      <w:r w:rsidRPr="008E4FF6">
        <w:rPr>
          <w:noProof/>
          <w:sz w:val="24"/>
          <w:szCs w:val="24"/>
        </w:rPr>
        <w:t xml:space="preserve"> </w:t>
      </w:r>
      <w:r w:rsidR="00110AFC">
        <w:rPr>
          <w:noProof/>
          <w:sz w:val="24"/>
          <w:szCs w:val="24"/>
        </w:rPr>
        <w:t>23 de Abril</w:t>
      </w:r>
      <w:r w:rsidRPr="008E4FF6">
        <w:rPr>
          <w:noProof/>
          <w:sz w:val="24"/>
          <w:szCs w:val="24"/>
        </w:rPr>
        <w:t xml:space="preserve"> </w:t>
      </w:r>
      <w:r w:rsidR="00110AFC">
        <w:rPr>
          <w:noProof/>
          <w:sz w:val="24"/>
          <w:szCs w:val="24"/>
        </w:rPr>
        <w:t>de</w:t>
      </w:r>
      <w:r w:rsidRPr="008E4FF6">
        <w:rPr>
          <w:noProof/>
          <w:sz w:val="24"/>
          <w:szCs w:val="24"/>
        </w:rPr>
        <w:t xml:space="preserve"> 2018, </w:t>
      </w:r>
      <w:r w:rsidR="00110AFC">
        <w:rPr>
          <w:noProof/>
          <w:sz w:val="24"/>
          <w:szCs w:val="24"/>
        </w:rPr>
        <w:t>de</w:t>
      </w:r>
      <w:r w:rsidRPr="008E4FF6">
        <w:rPr>
          <w:noProof/>
          <w:sz w:val="24"/>
          <w:szCs w:val="24"/>
        </w:rPr>
        <w:t xml:space="preserve"> http://www.planalto.gov.br/ccivil_03/_ato2004-2006/2004/lei/l10.966.htm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Costanza, R., D’Arge, R., de Groot, R. S., Farberk, S., Grasso, M., Hannon, B., … van den </w:t>
      </w:r>
      <w:r w:rsidRPr="008E4FF6">
        <w:rPr>
          <w:noProof/>
          <w:sz w:val="24"/>
          <w:szCs w:val="24"/>
        </w:rPr>
        <w:lastRenderedPageBreak/>
        <w:t xml:space="preserve">Belt, M. (1997). The value of the world’s ecosystem services and natural capital. </w:t>
      </w:r>
      <w:r w:rsidRPr="008E4FF6">
        <w:rPr>
          <w:i/>
          <w:iCs/>
          <w:noProof/>
          <w:sz w:val="24"/>
          <w:szCs w:val="24"/>
        </w:rPr>
        <w:t>Nature</w:t>
      </w:r>
      <w:r w:rsidRPr="008E4FF6">
        <w:rPr>
          <w:noProof/>
          <w:sz w:val="24"/>
          <w:szCs w:val="24"/>
        </w:rPr>
        <w:t xml:space="preserve">, </w:t>
      </w:r>
      <w:r w:rsidRPr="008E4FF6">
        <w:rPr>
          <w:i/>
          <w:iCs/>
          <w:noProof/>
          <w:sz w:val="24"/>
          <w:szCs w:val="24"/>
        </w:rPr>
        <w:t>387</w:t>
      </w:r>
      <w:r w:rsidRPr="008E4FF6">
        <w:rPr>
          <w:noProof/>
          <w:sz w:val="24"/>
          <w:szCs w:val="24"/>
        </w:rPr>
        <w:t>(May), 253–260. https://doi.org/10.1038/387253a0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de Groot, R. S., Brander, L., Ploeg, S. Van der, Costanza, R., Bernard, F., Braat, L., … Beukering, P. van. (2012). Global estimates of the value of ecosystems and their services in monetary units. </w:t>
      </w:r>
      <w:r w:rsidRPr="008E4FF6">
        <w:rPr>
          <w:i/>
          <w:iCs/>
          <w:noProof/>
          <w:sz w:val="24"/>
          <w:szCs w:val="24"/>
        </w:rPr>
        <w:t>Ecosystem Services</w:t>
      </w:r>
      <w:r w:rsidRPr="008E4FF6">
        <w:rPr>
          <w:noProof/>
          <w:sz w:val="24"/>
          <w:szCs w:val="24"/>
        </w:rPr>
        <w:t xml:space="preserve">, </w:t>
      </w:r>
      <w:r w:rsidRPr="008E4FF6">
        <w:rPr>
          <w:i/>
          <w:iCs/>
          <w:noProof/>
          <w:sz w:val="24"/>
          <w:szCs w:val="24"/>
        </w:rPr>
        <w:t>1</w:t>
      </w:r>
      <w:r w:rsidRPr="008E4FF6">
        <w:rPr>
          <w:noProof/>
          <w:sz w:val="24"/>
          <w:szCs w:val="24"/>
        </w:rPr>
        <w:t>(1), 50–61. https://doi.org/10.1016/j.ecoser.2012.07.005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Hoekstra, A. Y. (2003). Virtual water: An introduction. In A. Y. Hoekstra (Ed.), </w:t>
      </w:r>
      <w:r w:rsidRPr="008E4FF6">
        <w:rPr>
          <w:i/>
          <w:iCs/>
          <w:noProof/>
          <w:sz w:val="24"/>
          <w:szCs w:val="24"/>
        </w:rPr>
        <w:t>Virtual water trade: Proceedings of the international expert meeting on virtual water trade</w:t>
      </w:r>
      <w:r w:rsidRPr="008E4FF6">
        <w:rPr>
          <w:noProof/>
          <w:sz w:val="24"/>
          <w:szCs w:val="24"/>
        </w:rPr>
        <w:t xml:space="preserve"> (Vol. 12, pp. 13–23). Delft: UNESCO-LHE.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Hoekstra, A. Y. (2017). Water Footprint Assessment: Evolvement of a New Research Field. </w:t>
      </w:r>
      <w:r w:rsidRPr="008E4FF6">
        <w:rPr>
          <w:i/>
          <w:iCs/>
          <w:noProof/>
          <w:sz w:val="24"/>
          <w:szCs w:val="24"/>
        </w:rPr>
        <w:t>Water Resources Management</w:t>
      </w:r>
      <w:r w:rsidRPr="008E4FF6">
        <w:rPr>
          <w:noProof/>
          <w:sz w:val="24"/>
          <w:szCs w:val="24"/>
        </w:rPr>
        <w:t xml:space="preserve">, </w:t>
      </w:r>
      <w:r w:rsidRPr="008E4FF6">
        <w:rPr>
          <w:i/>
          <w:iCs/>
          <w:noProof/>
          <w:sz w:val="24"/>
          <w:szCs w:val="24"/>
        </w:rPr>
        <w:t>31</w:t>
      </w:r>
      <w:r w:rsidRPr="008E4FF6">
        <w:rPr>
          <w:noProof/>
          <w:sz w:val="24"/>
          <w:szCs w:val="24"/>
        </w:rPr>
        <w:t>(10), 3061–3081. https://doi.org/10.1007/s11269-017-1618-5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Hoekstra, A. Y., Chapagain, A. K., Aldaya, M. M., &amp; Mekonnen, M. M. (2011). </w:t>
      </w:r>
      <w:r w:rsidRPr="008E4FF6">
        <w:rPr>
          <w:i/>
          <w:iCs/>
          <w:noProof/>
          <w:sz w:val="24"/>
          <w:szCs w:val="24"/>
        </w:rPr>
        <w:t>The Water Footprint Assessment Manual: Setting the Global Standard</w:t>
      </w:r>
      <w:r w:rsidRPr="008E4FF6">
        <w:rPr>
          <w:noProof/>
          <w:sz w:val="24"/>
          <w:szCs w:val="24"/>
        </w:rPr>
        <w:t xml:space="preserve">. </w:t>
      </w:r>
      <w:r w:rsidRPr="008E4FF6">
        <w:rPr>
          <w:i/>
          <w:iCs/>
          <w:noProof/>
          <w:sz w:val="24"/>
          <w:szCs w:val="24"/>
        </w:rPr>
        <w:t>Earthscan</w:t>
      </w:r>
      <w:r w:rsidRPr="008E4FF6">
        <w:rPr>
          <w:noProof/>
          <w:sz w:val="24"/>
          <w:szCs w:val="24"/>
        </w:rPr>
        <w:t>. London, UK: Earthscan.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Hoekstra, A. Y., &amp; Hung, P. Q. (2002). </w:t>
      </w:r>
      <w:r w:rsidRPr="008E4FF6">
        <w:rPr>
          <w:i/>
          <w:iCs/>
          <w:noProof/>
          <w:sz w:val="24"/>
          <w:szCs w:val="24"/>
        </w:rPr>
        <w:t>Virtual Water Trade: A quantification of virtual water flows between nations in relation to international crop trade</w:t>
      </w:r>
      <w:r w:rsidRPr="008E4FF6">
        <w:rPr>
          <w:noProof/>
          <w:sz w:val="24"/>
          <w:szCs w:val="24"/>
        </w:rPr>
        <w:t xml:space="preserve">. </w:t>
      </w:r>
      <w:r w:rsidRPr="001D030A">
        <w:rPr>
          <w:iCs/>
          <w:noProof/>
          <w:sz w:val="24"/>
          <w:szCs w:val="24"/>
        </w:rPr>
        <w:t>Value of</w:t>
      </w:r>
      <w:r w:rsidR="001D030A">
        <w:rPr>
          <w:iCs/>
          <w:noProof/>
          <w:sz w:val="24"/>
          <w:szCs w:val="24"/>
        </w:rPr>
        <w:t xml:space="preserve"> Water Research Report Series Nº</w:t>
      </w:r>
      <w:r w:rsidRPr="001D030A">
        <w:rPr>
          <w:iCs/>
          <w:noProof/>
          <w:sz w:val="24"/>
          <w:szCs w:val="24"/>
        </w:rPr>
        <w:t>. 11</w:t>
      </w:r>
      <w:r w:rsidRPr="008E4FF6">
        <w:rPr>
          <w:noProof/>
          <w:sz w:val="24"/>
          <w:szCs w:val="24"/>
        </w:rPr>
        <w:t>. Delft, the Netherlands: UNESCO-LHE.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Hoekstra, A. Y., &amp; Mekonnen, M. M. (2012). The water footprint of humanity. </w:t>
      </w:r>
      <w:r w:rsidRPr="008E4FF6">
        <w:rPr>
          <w:i/>
          <w:iCs/>
          <w:noProof/>
          <w:sz w:val="24"/>
          <w:szCs w:val="24"/>
        </w:rPr>
        <w:t>Proceedings of the National Academy of Sciences</w:t>
      </w:r>
      <w:r w:rsidRPr="008E4FF6">
        <w:rPr>
          <w:noProof/>
          <w:sz w:val="24"/>
          <w:szCs w:val="24"/>
        </w:rPr>
        <w:t xml:space="preserve">, </w:t>
      </w:r>
      <w:r w:rsidRPr="008E4FF6">
        <w:rPr>
          <w:i/>
          <w:iCs/>
          <w:noProof/>
          <w:sz w:val="24"/>
          <w:szCs w:val="24"/>
        </w:rPr>
        <w:t>109</w:t>
      </w:r>
      <w:r w:rsidRPr="008E4FF6">
        <w:rPr>
          <w:noProof/>
          <w:sz w:val="24"/>
          <w:szCs w:val="24"/>
        </w:rPr>
        <w:t>(9), 3232–3237. https://doi.org/10.1073/pnas.1109936109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Instituto Brasileiro de Geografia e Estatística - IBGE. (2017). </w:t>
      </w:r>
      <w:r w:rsidRPr="008E4FF6">
        <w:rPr>
          <w:i/>
          <w:iCs/>
          <w:noProof/>
          <w:sz w:val="24"/>
          <w:szCs w:val="24"/>
        </w:rPr>
        <w:t>Levantamento Sistemático da Produção Agrícola</w:t>
      </w:r>
      <w:r w:rsidRPr="001D030A">
        <w:rPr>
          <w:iCs/>
          <w:noProof/>
          <w:sz w:val="24"/>
          <w:szCs w:val="24"/>
        </w:rPr>
        <w:t>: Pesquisa Mensal de Previsão e Acompanhamento das Safras Agrícolas no Ano Civil</w:t>
      </w:r>
      <w:r w:rsidRPr="008E4FF6">
        <w:rPr>
          <w:noProof/>
          <w:sz w:val="24"/>
          <w:szCs w:val="24"/>
        </w:rPr>
        <w:t>. Rio de Janeiro: IBGE.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Instituto Brasileiro de Geografia e Estatística - IBGE. (2018). </w:t>
      </w:r>
      <w:r w:rsidRPr="008E4FF6">
        <w:rPr>
          <w:i/>
          <w:iCs/>
          <w:noProof/>
          <w:sz w:val="24"/>
          <w:szCs w:val="24"/>
        </w:rPr>
        <w:t>Indicadores IBGE</w:t>
      </w:r>
      <w:r w:rsidRPr="001D030A">
        <w:rPr>
          <w:iCs/>
          <w:noProof/>
          <w:sz w:val="24"/>
          <w:szCs w:val="24"/>
        </w:rPr>
        <w:t>:</w:t>
      </w:r>
      <w:r w:rsidRPr="008E4FF6">
        <w:rPr>
          <w:i/>
          <w:iCs/>
          <w:noProof/>
          <w:sz w:val="24"/>
          <w:szCs w:val="24"/>
        </w:rPr>
        <w:t xml:space="preserve"> </w:t>
      </w:r>
      <w:r w:rsidRPr="001D030A">
        <w:rPr>
          <w:iCs/>
          <w:noProof/>
          <w:sz w:val="24"/>
          <w:szCs w:val="24"/>
        </w:rPr>
        <w:t>Estatística da Produção Pecuária</w:t>
      </w:r>
      <w:r w:rsidRPr="008E4FF6">
        <w:rPr>
          <w:noProof/>
          <w:sz w:val="24"/>
          <w:szCs w:val="24"/>
        </w:rPr>
        <w:t>. Rio de Janeiro: IBGE.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Kume, H., &amp; Piani, G. (1997). O ICMS Sobre as Exportações Brasileiras: uma Estimativa da Perda Fiscal e do Impacto Sobre as Vendas Externas. </w:t>
      </w:r>
      <w:r w:rsidRPr="008E4FF6">
        <w:rPr>
          <w:i/>
          <w:iCs/>
          <w:noProof/>
          <w:sz w:val="24"/>
          <w:szCs w:val="24"/>
        </w:rPr>
        <w:t>Texto Para Discussão N</w:t>
      </w:r>
      <w:r w:rsidRPr="008E4FF6">
        <w:rPr>
          <w:i/>
          <w:iCs/>
          <w:noProof/>
          <w:sz w:val="24"/>
          <w:szCs w:val="24"/>
          <w:vertAlign w:val="superscript"/>
        </w:rPr>
        <w:t>o</w:t>
      </w:r>
      <w:r w:rsidRPr="008E4FF6">
        <w:rPr>
          <w:i/>
          <w:iCs/>
          <w:noProof/>
          <w:sz w:val="24"/>
          <w:szCs w:val="24"/>
        </w:rPr>
        <w:t xml:space="preserve"> 465</w:t>
      </w:r>
      <w:r w:rsidRPr="008E4FF6">
        <w:rPr>
          <w:noProof/>
          <w:sz w:val="24"/>
          <w:szCs w:val="24"/>
        </w:rPr>
        <w:t>. Rio de Janeiro: IPEA.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Leitão, A., Irffi, G., &amp; Linhares, F. (2012). Avaliação dos efeitos da Lei Kandir sobre a arrecadação de ICMS no Estado do Ceará. </w:t>
      </w:r>
      <w:r w:rsidRPr="008E4FF6">
        <w:rPr>
          <w:i/>
          <w:iCs/>
          <w:noProof/>
          <w:sz w:val="24"/>
          <w:szCs w:val="24"/>
        </w:rPr>
        <w:t>Planejamento e Políticas Públicas (PPP)</w:t>
      </w:r>
      <w:r w:rsidRPr="008E4FF6">
        <w:rPr>
          <w:noProof/>
          <w:sz w:val="24"/>
          <w:szCs w:val="24"/>
        </w:rPr>
        <w:t xml:space="preserve">, </w:t>
      </w:r>
      <w:r w:rsidRPr="008E4FF6">
        <w:rPr>
          <w:i/>
          <w:iCs/>
          <w:noProof/>
          <w:sz w:val="24"/>
          <w:szCs w:val="24"/>
        </w:rPr>
        <w:t>39</w:t>
      </w:r>
      <w:r w:rsidRPr="008E4FF6">
        <w:rPr>
          <w:noProof/>
          <w:sz w:val="24"/>
          <w:szCs w:val="24"/>
        </w:rPr>
        <w:t>(junl./dez.), 37–63.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Lyytimäki, J. (2014). Bad nature: Newspaper representations of ecosystem disservices. </w:t>
      </w:r>
      <w:r w:rsidRPr="008E4FF6">
        <w:rPr>
          <w:i/>
          <w:iCs/>
          <w:noProof/>
          <w:sz w:val="24"/>
          <w:szCs w:val="24"/>
        </w:rPr>
        <w:t>Urban Forestry and Urban Greening</w:t>
      </w:r>
      <w:r w:rsidRPr="008E4FF6">
        <w:rPr>
          <w:noProof/>
          <w:sz w:val="24"/>
          <w:szCs w:val="24"/>
        </w:rPr>
        <w:t xml:space="preserve">, </w:t>
      </w:r>
      <w:r w:rsidRPr="008E4FF6">
        <w:rPr>
          <w:i/>
          <w:iCs/>
          <w:noProof/>
          <w:sz w:val="24"/>
          <w:szCs w:val="24"/>
        </w:rPr>
        <w:t>13</w:t>
      </w:r>
      <w:r w:rsidRPr="008E4FF6">
        <w:rPr>
          <w:noProof/>
          <w:sz w:val="24"/>
          <w:szCs w:val="24"/>
        </w:rPr>
        <w:t>(3), 418–424. https://doi.org/10.1016/j.ufug.2014.04.005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Lyytimäki, J. (2015). Ecosystem disservices: Embrace the catchword. </w:t>
      </w:r>
      <w:r w:rsidRPr="008E4FF6">
        <w:rPr>
          <w:i/>
          <w:iCs/>
          <w:noProof/>
          <w:sz w:val="24"/>
          <w:szCs w:val="24"/>
        </w:rPr>
        <w:t>Ecosystem Services</w:t>
      </w:r>
      <w:r w:rsidRPr="008E4FF6">
        <w:rPr>
          <w:noProof/>
          <w:sz w:val="24"/>
          <w:szCs w:val="24"/>
        </w:rPr>
        <w:t xml:space="preserve">, </w:t>
      </w:r>
      <w:r w:rsidRPr="008E4FF6">
        <w:rPr>
          <w:i/>
          <w:iCs/>
          <w:noProof/>
          <w:sz w:val="24"/>
          <w:szCs w:val="24"/>
        </w:rPr>
        <w:t>12</w:t>
      </w:r>
      <w:r w:rsidRPr="008E4FF6">
        <w:rPr>
          <w:noProof/>
          <w:sz w:val="24"/>
          <w:szCs w:val="24"/>
        </w:rPr>
        <w:t>, 136. https://doi.org/10.1016/j.ecoser.2014.11.008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Machado, P. A. L. (2013). </w:t>
      </w:r>
      <w:r w:rsidRPr="008E4FF6">
        <w:rPr>
          <w:i/>
          <w:iCs/>
          <w:noProof/>
          <w:sz w:val="24"/>
          <w:szCs w:val="24"/>
        </w:rPr>
        <w:t>Direito Ambiental Brasileiro</w:t>
      </w:r>
      <w:r w:rsidRPr="008E4FF6">
        <w:rPr>
          <w:noProof/>
          <w:sz w:val="24"/>
          <w:szCs w:val="24"/>
        </w:rPr>
        <w:t xml:space="preserve">. </w:t>
      </w:r>
      <w:r w:rsidRPr="008E4FF6">
        <w:rPr>
          <w:i/>
          <w:iCs/>
          <w:noProof/>
          <w:sz w:val="24"/>
          <w:szCs w:val="24"/>
        </w:rPr>
        <w:t>São Paulo: Malheiros editores</w:t>
      </w:r>
      <w:r w:rsidRPr="008E4FF6">
        <w:rPr>
          <w:noProof/>
          <w:sz w:val="24"/>
          <w:szCs w:val="24"/>
        </w:rPr>
        <w:t xml:space="preserve"> (21st ed.). São Paulo: Malheiros editores.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lastRenderedPageBreak/>
        <w:t xml:space="preserve">Maracajá, K. F. B., Silva, V. de P. R. da, &amp; Dantas Neto, J. (2013). Pegada hídrica dos consumidores vegetarianos e não vegetarianos. </w:t>
      </w:r>
      <w:r w:rsidRPr="008E4FF6">
        <w:rPr>
          <w:i/>
          <w:iCs/>
          <w:noProof/>
          <w:sz w:val="24"/>
          <w:szCs w:val="24"/>
        </w:rPr>
        <w:t>Qualit@s Revista Eletrônica</w:t>
      </w:r>
      <w:r w:rsidRPr="008E4FF6">
        <w:rPr>
          <w:noProof/>
          <w:sz w:val="24"/>
          <w:szCs w:val="24"/>
        </w:rPr>
        <w:t xml:space="preserve">, </w:t>
      </w:r>
      <w:r w:rsidRPr="008E4FF6">
        <w:rPr>
          <w:i/>
          <w:iCs/>
          <w:noProof/>
          <w:sz w:val="24"/>
          <w:szCs w:val="24"/>
        </w:rPr>
        <w:t>14</w:t>
      </w:r>
      <w:r w:rsidRPr="008E4FF6">
        <w:rPr>
          <w:noProof/>
          <w:sz w:val="24"/>
          <w:szCs w:val="24"/>
        </w:rPr>
        <w:t>(1), 1–18.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Marconi, M. de A., &amp; Lakatos, E. M. (2003). </w:t>
      </w:r>
      <w:r w:rsidRPr="008E4FF6">
        <w:rPr>
          <w:i/>
          <w:iCs/>
          <w:noProof/>
          <w:sz w:val="24"/>
          <w:szCs w:val="24"/>
        </w:rPr>
        <w:t>Fundamentos de metodologia científica</w:t>
      </w:r>
      <w:r w:rsidRPr="008E4FF6">
        <w:rPr>
          <w:noProof/>
          <w:sz w:val="24"/>
          <w:szCs w:val="24"/>
        </w:rPr>
        <w:t xml:space="preserve">. </w:t>
      </w:r>
      <w:r w:rsidRPr="008E4FF6">
        <w:rPr>
          <w:i/>
          <w:iCs/>
          <w:noProof/>
          <w:sz w:val="24"/>
          <w:szCs w:val="24"/>
        </w:rPr>
        <w:t>São Paulo: Atlas</w:t>
      </w:r>
      <w:r w:rsidRPr="008E4FF6">
        <w:rPr>
          <w:noProof/>
          <w:sz w:val="24"/>
          <w:szCs w:val="24"/>
        </w:rPr>
        <w:t xml:space="preserve"> (5th ed.). São Paulo: Atlas.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Mekonnen, M. M., &amp; Hoekstra, A. Y. (2010a). </w:t>
      </w:r>
      <w:r w:rsidRPr="008E4FF6">
        <w:rPr>
          <w:i/>
          <w:iCs/>
          <w:noProof/>
          <w:sz w:val="24"/>
          <w:szCs w:val="24"/>
        </w:rPr>
        <w:t>The green, blue and grey water footprint of crops and derived crop products</w:t>
      </w:r>
      <w:r w:rsidRPr="008E4FF6">
        <w:rPr>
          <w:noProof/>
          <w:sz w:val="24"/>
          <w:szCs w:val="24"/>
        </w:rPr>
        <w:t xml:space="preserve">. </w:t>
      </w:r>
      <w:r w:rsidRPr="00110AFC">
        <w:rPr>
          <w:iCs/>
          <w:noProof/>
          <w:sz w:val="24"/>
          <w:szCs w:val="24"/>
        </w:rPr>
        <w:t>Value of Water Research Report Series N</w:t>
      </w:r>
      <w:r w:rsidRPr="00110AFC">
        <w:rPr>
          <w:iCs/>
          <w:noProof/>
          <w:sz w:val="24"/>
          <w:szCs w:val="24"/>
          <w:vertAlign w:val="superscript"/>
        </w:rPr>
        <w:t>o</w:t>
      </w:r>
      <w:r w:rsidRPr="00110AFC">
        <w:rPr>
          <w:iCs/>
          <w:noProof/>
          <w:sz w:val="24"/>
          <w:szCs w:val="24"/>
        </w:rPr>
        <w:t>. 47</w:t>
      </w:r>
      <w:r w:rsidR="00110AFC">
        <w:rPr>
          <w:noProof/>
          <w:sz w:val="24"/>
          <w:szCs w:val="24"/>
        </w:rPr>
        <w:t xml:space="preserve"> (Vol. 2)</w:t>
      </w:r>
      <w:r w:rsidRPr="008E4FF6">
        <w:rPr>
          <w:noProof/>
          <w:sz w:val="24"/>
          <w:szCs w:val="24"/>
        </w:rPr>
        <w:t>. Delft, the Netherlands: UNESCO-LHE.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Mekonnen, M. M., &amp; Hoekstra, A. Y. (2010b). </w:t>
      </w:r>
      <w:r w:rsidRPr="008E4FF6">
        <w:rPr>
          <w:i/>
          <w:iCs/>
          <w:noProof/>
          <w:sz w:val="24"/>
          <w:szCs w:val="24"/>
        </w:rPr>
        <w:t>The green, blue and grey water footprint of crops and derived crop products</w:t>
      </w:r>
      <w:r w:rsidRPr="008E4FF6">
        <w:rPr>
          <w:noProof/>
          <w:sz w:val="24"/>
          <w:szCs w:val="24"/>
        </w:rPr>
        <w:t xml:space="preserve">. </w:t>
      </w:r>
      <w:r w:rsidRPr="00110AFC">
        <w:rPr>
          <w:iCs/>
          <w:noProof/>
          <w:sz w:val="24"/>
          <w:szCs w:val="24"/>
        </w:rPr>
        <w:t>Value of Water Research Report Series N</w:t>
      </w:r>
      <w:r w:rsidRPr="00110AFC">
        <w:rPr>
          <w:iCs/>
          <w:noProof/>
          <w:sz w:val="24"/>
          <w:szCs w:val="24"/>
          <w:vertAlign w:val="superscript"/>
        </w:rPr>
        <w:t>o</w:t>
      </w:r>
      <w:r w:rsidRPr="00110AFC">
        <w:rPr>
          <w:iCs/>
          <w:noProof/>
          <w:sz w:val="24"/>
          <w:szCs w:val="24"/>
        </w:rPr>
        <w:t>. 47</w:t>
      </w:r>
      <w:r w:rsidR="00110AFC">
        <w:rPr>
          <w:noProof/>
          <w:sz w:val="24"/>
          <w:szCs w:val="24"/>
        </w:rPr>
        <w:t xml:space="preserve"> (Vol. 1)</w:t>
      </w:r>
      <w:r w:rsidRPr="008E4FF6">
        <w:rPr>
          <w:noProof/>
          <w:sz w:val="24"/>
          <w:szCs w:val="24"/>
        </w:rPr>
        <w:t>. Delft, the Netherlands: UNESCO-LHE.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Mekonnen, M. M., &amp; Hoekstra, A. Y. (2010c). </w:t>
      </w:r>
      <w:r w:rsidRPr="008E4FF6">
        <w:rPr>
          <w:i/>
          <w:iCs/>
          <w:noProof/>
          <w:sz w:val="24"/>
          <w:szCs w:val="24"/>
        </w:rPr>
        <w:t>The green, blue and grey water footprint of farm animals and animal products</w:t>
      </w:r>
      <w:r w:rsidRPr="008E4FF6">
        <w:rPr>
          <w:noProof/>
          <w:sz w:val="24"/>
          <w:szCs w:val="24"/>
        </w:rPr>
        <w:t xml:space="preserve">. </w:t>
      </w:r>
      <w:r w:rsidRPr="00110AFC">
        <w:rPr>
          <w:iCs/>
          <w:noProof/>
          <w:sz w:val="24"/>
          <w:szCs w:val="24"/>
        </w:rPr>
        <w:t>Value of Water Research Report Series N</w:t>
      </w:r>
      <w:r w:rsidRPr="00110AFC">
        <w:rPr>
          <w:iCs/>
          <w:noProof/>
          <w:sz w:val="24"/>
          <w:szCs w:val="24"/>
          <w:vertAlign w:val="superscript"/>
        </w:rPr>
        <w:t>o</w:t>
      </w:r>
      <w:r w:rsidRPr="00110AFC">
        <w:rPr>
          <w:iCs/>
          <w:noProof/>
          <w:sz w:val="24"/>
          <w:szCs w:val="24"/>
        </w:rPr>
        <w:t>. 48</w:t>
      </w:r>
      <w:r w:rsidR="00110AFC">
        <w:rPr>
          <w:noProof/>
          <w:sz w:val="24"/>
          <w:szCs w:val="24"/>
        </w:rPr>
        <w:t xml:space="preserve"> (Vol. 2)</w:t>
      </w:r>
      <w:r w:rsidRPr="008E4FF6">
        <w:rPr>
          <w:noProof/>
          <w:sz w:val="24"/>
          <w:szCs w:val="24"/>
        </w:rPr>
        <w:t>. Delft, the Netherlands: UNESCO-LHE.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Mekonnen, M. M., &amp; Hoekstra, A. Y. (2010d). </w:t>
      </w:r>
      <w:r w:rsidRPr="008E4FF6">
        <w:rPr>
          <w:i/>
          <w:iCs/>
          <w:noProof/>
          <w:sz w:val="24"/>
          <w:szCs w:val="24"/>
        </w:rPr>
        <w:t>The green, blue and grey water footprint of farm animals and animal products</w:t>
      </w:r>
      <w:r w:rsidRPr="008E4FF6">
        <w:rPr>
          <w:noProof/>
          <w:sz w:val="24"/>
          <w:szCs w:val="24"/>
        </w:rPr>
        <w:t xml:space="preserve">. </w:t>
      </w:r>
      <w:r w:rsidRPr="00110AFC">
        <w:rPr>
          <w:iCs/>
          <w:noProof/>
          <w:sz w:val="24"/>
          <w:szCs w:val="24"/>
        </w:rPr>
        <w:t>Value of Water Research Report Series N</w:t>
      </w:r>
      <w:r w:rsidRPr="00110AFC">
        <w:rPr>
          <w:iCs/>
          <w:noProof/>
          <w:sz w:val="24"/>
          <w:szCs w:val="24"/>
          <w:vertAlign w:val="superscript"/>
        </w:rPr>
        <w:t>o</w:t>
      </w:r>
      <w:r w:rsidRPr="00110AFC">
        <w:rPr>
          <w:iCs/>
          <w:noProof/>
          <w:sz w:val="24"/>
          <w:szCs w:val="24"/>
        </w:rPr>
        <w:t>. 48</w:t>
      </w:r>
      <w:r w:rsidRPr="008E4FF6">
        <w:rPr>
          <w:noProof/>
          <w:sz w:val="24"/>
          <w:szCs w:val="24"/>
        </w:rPr>
        <w:t xml:space="preserve"> (Vol. 1). Delft, the Netherlands: UNESCO-LHE.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Mekonnen, M. M., &amp; Hoekstra, A. Y. (2011a). </w:t>
      </w:r>
      <w:r w:rsidRPr="008E4FF6">
        <w:rPr>
          <w:i/>
          <w:iCs/>
          <w:noProof/>
          <w:sz w:val="24"/>
          <w:szCs w:val="24"/>
        </w:rPr>
        <w:t>National Water Footprint Accounts: The green, blue and grey water footprint of Production and Consumption</w:t>
      </w:r>
      <w:r w:rsidRPr="008E4FF6">
        <w:rPr>
          <w:noProof/>
          <w:sz w:val="24"/>
          <w:szCs w:val="24"/>
        </w:rPr>
        <w:t xml:space="preserve">. </w:t>
      </w:r>
      <w:r w:rsidRPr="00110AFC">
        <w:rPr>
          <w:iCs/>
          <w:noProof/>
          <w:sz w:val="24"/>
          <w:szCs w:val="24"/>
        </w:rPr>
        <w:t>Value of Water Research Report Series N</w:t>
      </w:r>
      <w:r w:rsidRPr="00110AFC">
        <w:rPr>
          <w:iCs/>
          <w:noProof/>
          <w:sz w:val="24"/>
          <w:szCs w:val="24"/>
          <w:vertAlign w:val="superscript"/>
        </w:rPr>
        <w:t>o</w:t>
      </w:r>
      <w:r w:rsidRPr="00110AFC">
        <w:rPr>
          <w:iCs/>
          <w:noProof/>
          <w:sz w:val="24"/>
          <w:szCs w:val="24"/>
        </w:rPr>
        <w:t>. 50</w:t>
      </w:r>
      <w:r w:rsidRPr="00110AFC">
        <w:rPr>
          <w:noProof/>
          <w:sz w:val="24"/>
          <w:szCs w:val="24"/>
        </w:rPr>
        <w:t xml:space="preserve"> </w:t>
      </w:r>
      <w:r w:rsidR="00110AFC">
        <w:rPr>
          <w:noProof/>
          <w:sz w:val="24"/>
          <w:szCs w:val="24"/>
        </w:rPr>
        <w:t>(Vol. 1)</w:t>
      </w:r>
      <w:r w:rsidRPr="008E4FF6">
        <w:rPr>
          <w:noProof/>
          <w:sz w:val="24"/>
          <w:szCs w:val="24"/>
        </w:rPr>
        <w:t>. Delft, the Netherlands: UNESCO-LHE.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Mekonnen, M. M., &amp; Hoekstra, A. Y. (2011b). </w:t>
      </w:r>
      <w:r w:rsidRPr="008E4FF6">
        <w:rPr>
          <w:i/>
          <w:iCs/>
          <w:noProof/>
          <w:sz w:val="24"/>
          <w:szCs w:val="24"/>
        </w:rPr>
        <w:t>National Water Footprint Accounts: The green, blue and grey water footprint of Production and Consumption</w:t>
      </w:r>
      <w:r w:rsidRPr="008E4FF6">
        <w:rPr>
          <w:noProof/>
          <w:sz w:val="24"/>
          <w:szCs w:val="24"/>
        </w:rPr>
        <w:t xml:space="preserve">. </w:t>
      </w:r>
      <w:r w:rsidRPr="00110AFC">
        <w:rPr>
          <w:iCs/>
          <w:noProof/>
          <w:sz w:val="24"/>
          <w:szCs w:val="24"/>
        </w:rPr>
        <w:t>Value of Water Research Report Series N</w:t>
      </w:r>
      <w:r w:rsidRPr="00110AFC">
        <w:rPr>
          <w:iCs/>
          <w:noProof/>
          <w:sz w:val="24"/>
          <w:szCs w:val="24"/>
          <w:vertAlign w:val="superscript"/>
        </w:rPr>
        <w:t>o</w:t>
      </w:r>
      <w:r w:rsidRPr="00110AFC">
        <w:rPr>
          <w:iCs/>
          <w:noProof/>
          <w:sz w:val="24"/>
          <w:szCs w:val="24"/>
        </w:rPr>
        <w:t>. 50</w:t>
      </w:r>
      <w:r w:rsidR="00110AFC">
        <w:rPr>
          <w:noProof/>
          <w:sz w:val="24"/>
          <w:szCs w:val="24"/>
        </w:rPr>
        <w:t xml:space="preserve"> (Vol. 2)</w:t>
      </w:r>
      <w:r w:rsidRPr="008E4FF6">
        <w:rPr>
          <w:noProof/>
          <w:sz w:val="24"/>
          <w:szCs w:val="24"/>
        </w:rPr>
        <w:t>. Delft, the Netherlands: UNESCO-LHE.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Mekonnen, M. M., &amp; Hoekstra, A. Y. (2011c). The green, blue and grey water footprint of crops and derived crop products. </w:t>
      </w:r>
      <w:r w:rsidRPr="008E4FF6">
        <w:rPr>
          <w:i/>
          <w:iCs/>
          <w:noProof/>
          <w:sz w:val="24"/>
          <w:szCs w:val="24"/>
        </w:rPr>
        <w:t>Hydrology and Earth System Sciences</w:t>
      </w:r>
      <w:r w:rsidRPr="008E4FF6">
        <w:rPr>
          <w:noProof/>
          <w:sz w:val="24"/>
          <w:szCs w:val="24"/>
        </w:rPr>
        <w:t xml:space="preserve">, </w:t>
      </w:r>
      <w:r w:rsidRPr="008E4FF6">
        <w:rPr>
          <w:i/>
          <w:iCs/>
          <w:noProof/>
          <w:sz w:val="24"/>
          <w:szCs w:val="24"/>
        </w:rPr>
        <w:t>15</w:t>
      </w:r>
      <w:r w:rsidRPr="008E4FF6">
        <w:rPr>
          <w:noProof/>
          <w:sz w:val="24"/>
          <w:szCs w:val="24"/>
        </w:rPr>
        <w:t>(5), 1577–1600. https://doi.org/10.5194/hess-15-1577-2011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Mekonnen, M. M., &amp; Hoekstra, A. Y. (2012). A Global Assessment of the Water Footprint of Farm Animal Products. </w:t>
      </w:r>
      <w:r w:rsidRPr="008E4FF6">
        <w:rPr>
          <w:i/>
          <w:iCs/>
          <w:noProof/>
          <w:sz w:val="24"/>
          <w:szCs w:val="24"/>
        </w:rPr>
        <w:t>Ecosystems</w:t>
      </w:r>
      <w:r w:rsidRPr="008E4FF6">
        <w:rPr>
          <w:noProof/>
          <w:sz w:val="24"/>
          <w:szCs w:val="24"/>
        </w:rPr>
        <w:t xml:space="preserve">, </w:t>
      </w:r>
      <w:r w:rsidRPr="008E4FF6">
        <w:rPr>
          <w:i/>
          <w:iCs/>
          <w:noProof/>
          <w:sz w:val="24"/>
          <w:szCs w:val="24"/>
        </w:rPr>
        <w:t>15</w:t>
      </w:r>
      <w:r w:rsidRPr="008E4FF6">
        <w:rPr>
          <w:noProof/>
          <w:sz w:val="24"/>
          <w:szCs w:val="24"/>
        </w:rPr>
        <w:t>(3), 401–415. https://doi.org/10.1007/s10021-011-9517-8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Millan, P. (2008). Cobrança pelo uso dos recursos hídricos. </w:t>
      </w:r>
      <w:r w:rsidRPr="008E4FF6">
        <w:rPr>
          <w:i/>
          <w:iCs/>
          <w:noProof/>
          <w:sz w:val="24"/>
          <w:szCs w:val="24"/>
        </w:rPr>
        <w:t>Revista Da Faculdade de Direito Da Universidade de São Paulo</w:t>
      </w:r>
      <w:r w:rsidRPr="008E4FF6">
        <w:rPr>
          <w:noProof/>
          <w:sz w:val="24"/>
          <w:szCs w:val="24"/>
        </w:rPr>
        <w:t xml:space="preserve">, </w:t>
      </w:r>
      <w:r w:rsidRPr="008E4FF6">
        <w:rPr>
          <w:i/>
          <w:iCs/>
          <w:noProof/>
          <w:sz w:val="24"/>
          <w:szCs w:val="24"/>
        </w:rPr>
        <w:t>103</w:t>
      </w:r>
      <w:r w:rsidRPr="008E4FF6">
        <w:rPr>
          <w:noProof/>
          <w:sz w:val="24"/>
          <w:szCs w:val="24"/>
        </w:rPr>
        <w:t>(jan./dez.), 537–560.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Millennium Ecosystem Assessment - MEA. (2003). </w:t>
      </w:r>
      <w:r w:rsidRPr="008E4FF6">
        <w:rPr>
          <w:i/>
          <w:iCs/>
          <w:noProof/>
          <w:sz w:val="24"/>
          <w:szCs w:val="24"/>
        </w:rPr>
        <w:t>Ecosystems and human well-being: a framework for assessment</w:t>
      </w:r>
      <w:r w:rsidRPr="008E4FF6">
        <w:rPr>
          <w:noProof/>
          <w:sz w:val="24"/>
          <w:szCs w:val="24"/>
        </w:rPr>
        <w:t xml:space="preserve">. </w:t>
      </w:r>
      <w:r w:rsidRPr="008E4FF6">
        <w:rPr>
          <w:i/>
          <w:iCs/>
          <w:noProof/>
          <w:sz w:val="24"/>
          <w:szCs w:val="24"/>
        </w:rPr>
        <w:t>Island Press</w:t>
      </w:r>
      <w:r w:rsidRPr="008E4FF6">
        <w:rPr>
          <w:noProof/>
          <w:sz w:val="24"/>
          <w:szCs w:val="24"/>
        </w:rPr>
        <w:t>. Washington DC: Island Press.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Millennium Ecosystem Assessment - MEA. (2005a). </w:t>
      </w:r>
      <w:r w:rsidRPr="008E4FF6">
        <w:rPr>
          <w:i/>
          <w:iCs/>
          <w:noProof/>
          <w:sz w:val="24"/>
          <w:szCs w:val="24"/>
        </w:rPr>
        <w:t>Ecosystems and human well-being</w:t>
      </w:r>
      <w:r w:rsidRPr="001D030A">
        <w:rPr>
          <w:iCs/>
          <w:noProof/>
          <w:sz w:val="24"/>
          <w:szCs w:val="24"/>
        </w:rPr>
        <w:t>: health synthesis</w:t>
      </w:r>
      <w:r w:rsidRPr="001D030A">
        <w:rPr>
          <w:noProof/>
          <w:sz w:val="24"/>
          <w:szCs w:val="24"/>
        </w:rPr>
        <w:t xml:space="preserve">. </w:t>
      </w:r>
      <w:r w:rsidRPr="001D030A">
        <w:rPr>
          <w:iCs/>
          <w:noProof/>
          <w:sz w:val="24"/>
          <w:szCs w:val="24"/>
        </w:rPr>
        <w:t>A Report of the Millennium Ecosystem Assessment Core</w:t>
      </w:r>
      <w:r w:rsidRPr="008E4FF6">
        <w:rPr>
          <w:noProof/>
          <w:sz w:val="24"/>
          <w:szCs w:val="24"/>
        </w:rPr>
        <w:t>. France: World health organization.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Millennium Ecosystem Assessment - MEA. (2005b). </w:t>
      </w:r>
      <w:r w:rsidRPr="008E4FF6">
        <w:rPr>
          <w:i/>
          <w:iCs/>
          <w:noProof/>
          <w:sz w:val="24"/>
          <w:szCs w:val="24"/>
        </w:rPr>
        <w:t>Ecosystems and human well-being</w:t>
      </w:r>
      <w:r w:rsidRPr="001D030A">
        <w:rPr>
          <w:iCs/>
          <w:noProof/>
          <w:sz w:val="24"/>
          <w:szCs w:val="24"/>
        </w:rPr>
        <w:t>: Synthesis</w:t>
      </w:r>
      <w:r w:rsidRPr="001D030A">
        <w:rPr>
          <w:noProof/>
          <w:sz w:val="24"/>
          <w:szCs w:val="24"/>
        </w:rPr>
        <w:t xml:space="preserve">. </w:t>
      </w:r>
      <w:r w:rsidRPr="001D030A">
        <w:rPr>
          <w:iCs/>
          <w:noProof/>
          <w:sz w:val="24"/>
          <w:szCs w:val="24"/>
        </w:rPr>
        <w:t>Ecosystems</w:t>
      </w:r>
      <w:r w:rsidRPr="001D030A">
        <w:rPr>
          <w:noProof/>
          <w:sz w:val="24"/>
          <w:szCs w:val="24"/>
        </w:rPr>
        <w:t>.</w:t>
      </w:r>
      <w:r w:rsidRPr="008E4FF6">
        <w:rPr>
          <w:noProof/>
          <w:sz w:val="24"/>
          <w:szCs w:val="24"/>
        </w:rPr>
        <w:t xml:space="preserve"> Washington, DC: Island Press.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Ministério da Indústria Comércio Exterior e Serviços - MDIC. (2018). </w:t>
      </w:r>
      <w:r w:rsidRPr="001D030A">
        <w:rPr>
          <w:i/>
          <w:noProof/>
          <w:sz w:val="24"/>
          <w:szCs w:val="24"/>
        </w:rPr>
        <w:t xml:space="preserve">Balança comercial </w:t>
      </w:r>
      <w:r w:rsidRPr="001D030A">
        <w:rPr>
          <w:i/>
          <w:noProof/>
          <w:sz w:val="24"/>
          <w:szCs w:val="24"/>
        </w:rPr>
        <w:lastRenderedPageBreak/>
        <w:t>brasileira</w:t>
      </w:r>
      <w:r w:rsidRPr="008E4FF6">
        <w:rPr>
          <w:noProof/>
          <w:sz w:val="24"/>
          <w:szCs w:val="24"/>
        </w:rPr>
        <w:t xml:space="preserve">: Unidades da Federação. </w:t>
      </w:r>
      <w:r w:rsidR="00110AFC">
        <w:rPr>
          <w:noProof/>
          <w:sz w:val="24"/>
          <w:szCs w:val="24"/>
        </w:rPr>
        <w:t>Recuperado em</w:t>
      </w:r>
      <w:r w:rsidRPr="008E4FF6">
        <w:rPr>
          <w:noProof/>
          <w:sz w:val="24"/>
          <w:szCs w:val="24"/>
        </w:rPr>
        <w:t xml:space="preserve"> </w:t>
      </w:r>
      <w:r w:rsidR="00110AFC">
        <w:rPr>
          <w:noProof/>
          <w:sz w:val="24"/>
          <w:szCs w:val="24"/>
        </w:rPr>
        <w:t>16 de Abril</w:t>
      </w:r>
      <w:r w:rsidRPr="008E4FF6">
        <w:rPr>
          <w:noProof/>
          <w:sz w:val="24"/>
          <w:szCs w:val="24"/>
        </w:rPr>
        <w:t xml:space="preserve"> </w:t>
      </w:r>
      <w:r w:rsidR="00110AFC">
        <w:rPr>
          <w:noProof/>
          <w:sz w:val="24"/>
          <w:szCs w:val="24"/>
        </w:rPr>
        <w:t>de</w:t>
      </w:r>
      <w:r w:rsidRPr="008E4FF6">
        <w:rPr>
          <w:noProof/>
          <w:sz w:val="24"/>
          <w:szCs w:val="24"/>
        </w:rPr>
        <w:t xml:space="preserve"> 2018, </w:t>
      </w:r>
      <w:r w:rsidR="00110AFC">
        <w:rPr>
          <w:noProof/>
          <w:sz w:val="24"/>
          <w:szCs w:val="24"/>
        </w:rPr>
        <w:t>de</w:t>
      </w:r>
      <w:r w:rsidRPr="008E4FF6">
        <w:rPr>
          <w:noProof/>
          <w:sz w:val="24"/>
          <w:szCs w:val="24"/>
        </w:rPr>
        <w:t xml:space="preserve"> http://www.mdic.gov.br/index.php/comercio-exterior/estatisticas-de-comercio-exterior/balanca-comercial-brasileira-unidades-da-federacao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Palhares, J. C. P. (2011). Pegada hídrica dos suínos abatidos nos estados da região centro-sul do Brasil. </w:t>
      </w:r>
      <w:r w:rsidRPr="008E4FF6">
        <w:rPr>
          <w:i/>
          <w:iCs/>
          <w:noProof/>
          <w:sz w:val="24"/>
          <w:szCs w:val="24"/>
        </w:rPr>
        <w:t>Acta Scientiarum - Animal Sciences</w:t>
      </w:r>
      <w:r w:rsidRPr="008E4FF6">
        <w:rPr>
          <w:noProof/>
          <w:sz w:val="24"/>
          <w:szCs w:val="24"/>
        </w:rPr>
        <w:t xml:space="preserve">, </w:t>
      </w:r>
      <w:r w:rsidRPr="008E4FF6">
        <w:rPr>
          <w:i/>
          <w:iCs/>
          <w:noProof/>
          <w:sz w:val="24"/>
          <w:szCs w:val="24"/>
        </w:rPr>
        <w:t>33</w:t>
      </w:r>
      <w:r w:rsidRPr="008E4FF6">
        <w:rPr>
          <w:noProof/>
          <w:sz w:val="24"/>
          <w:szCs w:val="24"/>
        </w:rPr>
        <w:t>(3), 309–314. https://doi.org/10.4025/actascianimsci.v33i3.9924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Palhares, J. C. P. (2014). Pegada hídrica de suínos e o impacto de estratégias nutricionais. </w:t>
      </w:r>
      <w:r w:rsidRPr="008E4FF6">
        <w:rPr>
          <w:i/>
          <w:iCs/>
          <w:noProof/>
          <w:sz w:val="24"/>
          <w:szCs w:val="24"/>
        </w:rPr>
        <w:t>Revista Brasileira de Engenharia Agrícola e Ambiental</w:t>
      </w:r>
      <w:r w:rsidRPr="008E4FF6">
        <w:rPr>
          <w:noProof/>
          <w:sz w:val="24"/>
          <w:szCs w:val="24"/>
        </w:rPr>
        <w:t xml:space="preserve">, </w:t>
      </w:r>
      <w:r w:rsidRPr="008E4FF6">
        <w:rPr>
          <w:i/>
          <w:iCs/>
          <w:noProof/>
          <w:sz w:val="24"/>
          <w:szCs w:val="24"/>
        </w:rPr>
        <w:t>18</w:t>
      </w:r>
      <w:r w:rsidRPr="008E4FF6">
        <w:rPr>
          <w:noProof/>
          <w:sz w:val="24"/>
          <w:szCs w:val="24"/>
        </w:rPr>
        <w:t>(5), 533–538. https://doi.org/10.1590/S1415-43662014000500010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Provdanov, C. C., &amp; Freitas, E. C. de. (2013). </w:t>
      </w:r>
      <w:r w:rsidRPr="008E4FF6">
        <w:rPr>
          <w:i/>
          <w:iCs/>
          <w:noProof/>
          <w:sz w:val="24"/>
          <w:szCs w:val="24"/>
        </w:rPr>
        <w:t>Metodologia do trabalho científico</w:t>
      </w:r>
      <w:r w:rsidRPr="001D030A">
        <w:rPr>
          <w:iCs/>
          <w:noProof/>
          <w:sz w:val="24"/>
          <w:szCs w:val="24"/>
        </w:rPr>
        <w:t>: métodos e técnicas da pesquisa e do trabalho acadêmico</w:t>
      </w:r>
      <w:r w:rsidRPr="001D030A">
        <w:rPr>
          <w:noProof/>
          <w:sz w:val="24"/>
          <w:szCs w:val="24"/>
        </w:rPr>
        <w:t>.</w:t>
      </w:r>
      <w:r w:rsidRPr="008E4FF6">
        <w:rPr>
          <w:noProof/>
          <w:sz w:val="24"/>
          <w:szCs w:val="24"/>
        </w:rPr>
        <w:t xml:space="preserve"> </w:t>
      </w:r>
      <w:r w:rsidRPr="001D030A">
        <w:rPr>
          <w:iCs/>
          <w:noProof/>
          <w:sz w:val="24"/>
          <w:szCs w:val="24"/>
        </w:rPr>
        <w:t>Novo Hamburgo: Feevale</w:t>
      </w:r>
      <w:r w:rsidRPr="008E4FF6">
        <w:rPr>
          <w:noProof/>
          <w:sz w:val="24"/>
          <w:szCs w:val="24"/>
        </w:rPr>
        <w:t xml:space="preserve"> (2nd ed.). Novo Hamburgo: Feevale.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Richardson, R. J., Peres, J. A. de S., Wanderley, J. C. V., Correia, L. M., &amp; Peres, M. de H. de M. (2012). </w:t>
      </w:r>
      <w:r w:rsidRPr="008E4FF6">
        <w:rPr>
          <w:i/>
          <w:iCs/>
          <w:noProof/>
          <w:sz w:val="24"/>
          <w:szCs w:val="24"/>
        </w:rPr>
        <w:t>Pesquisa Social: Métodos e Técnicas</w:t>
      </w:r>
      <w:r w:rsidRPr="008E4FF6">
        <w:rPr>
          <w:noProof/>
          <w:sz w:val="24"/>
          <w:szCs w:val="24"/>
        </w:rPr>
        <w:t xml:space="preserve">. </w:t>
      </w:r>
      <w:r w:rsidRPr="008E4FF6">
        <w:rPr>
          <w:i/>
          <w:iCs/>
          <w:noProof/>
          <w:sz w:val="24"/>
          <w:szCs w:val="24"/>
        </w:rPr>
        <w:t>São Paulo: Atlas</w:t>
      </w:r>
      <w:r w:rsidRPr="008E4FF6">
        <w:rPr>
          <w:noProof/>
          <w:sz w:val="24"/>
          <w:szCs w:val="24"/>
        </w:rPr>
        <w:t xml:space="preserve"> (3rd ed.). São Paulo: Atlas.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Secretaria do Tesouro Nacional – STN. (2014a). </w:t>
      </w:r>
      <w:r w:rsidRPr="001D030A">
        <w:rPr>
          <w:i/>
          <w:noProof/>
          <w:sz w:val="24"/>
          <w:szCs w:val="24"/>
        </w:rPr>
        <w:t>O Que Você Precisa Saber Sobre Transferências Constitucionais e Legais</w:t>
      </w:r>
      <w:r w:rsidRPr="008E4FF6">
        <w:rPr>
          <w:noProof/>
          <w:sz w:val="24"/>
          <w:szCs w:val="24"/>
        </w:rPr>
        <w:t xml:space="preserve">: Auxílio Financeiro para Fomento das Exportações - FEX. </w:t>
      </w:r>
      <w:r w:rsidR="00110AFC">
        <w:rPr>
          <w:noProof/>
          <w:sz w:val="24"/>
          <w:szCs w:val="24"/>
        </w:rPr>
        <w:t>Recuperado em</w:t>
      </w:r>
      <w:r w:rsidRPr="008E4FF6">
        <w:rPr>
          <w:noProof/>
          <w:sz w:val="24"/>
          <w:szCs w:val="24"/>
        </w:rPr>
        <w:t xml:space="preserve"> </w:t>
      </w:r>
      <w:r w:rsidR="00110AFC">
        <w:rPr>
          <w:noProof/>
          <w:sz w:val="24"/>
          <w:szCs w:val="24"/>
        </w:rPr>
        <w:t>23 de Abril</w:t>
      </w:r>
      <w:r w:rsidRPr="008E4FF6">
        <w:rPr>
          <w:noProof/>
          <w:sz w:val="24"/>
          <w:szCs w:val="24"/>
        </w:rPr>
        <w:t xml:space="preserve"> </w:t>
      </w:r>
      <w:r w:rsidR="00110AFC">
        <w:rPr>
          <w:noProof/>
          <w:sz w:val="24"/>
          <w:szCs w:val="24"/>
        </w:rPr>
        <w:t>de</w:t>
      </w:r>
      <w:r w:rsidRPr="008E4FF6">
        <w:rPr>
          <w:noProof/>
          <w:sz w:val="24"/>
          <w:szCs w:val="24"/>
        </w:rPr>
        <w:t xml:space="preserve"> 2018, </w:t>
      </w:r>
      <w:r w:rsidR="00110AFC">
        <w:rPr>
          <w:noProof/>
          <w:sz w:val="24"/>
          <w:szCs w:val="24"/>
        </w:rPr>
        <w:t>de</w:t>
      </w:r>
      <w:r w:rsidRPr="008E4FF6">
        <w:rPr>
          <w:noProof/>
          <w:sz w:val="24"/>
          <w:szCs w:val="24"/>
        </w:rPr>
        <w:t xml:space="preserve"> http://www.tesouro.fazenda.gov.br/documents/10180/329483/pge_cartilha_fex.pdf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Secretaria do Tesouro Nacional – STN. (2014b). </w:t>
      </w:r>
      <w:r w:rsidRPr="001D030A">
        <w:rPr>
          <w:i/>
          <w:noProof/>
          <w:sz w:val="24"/>
          <w:szCs w:val="24"/>
        </w:rPr>
        <w:t>O Que Você Precisa Saber Sobre Transferências Constitucionais e Legais</w:t>
      </w:r>
      <w:r w:rsidRPr="008E4FF6">
        <w:rPr>
          <w:noProof/>
          <w:sz w:val="24"/>
          <w:szCs w:val="24"/>
        </w:rPr>
        <w:t xml:space="preserve">: Lei Complementar 87/1996. </w:t>
      </w:r>
      <w:r w:rsidR="00110AFC">
        <w:rPr>
          <w:noProof/>
          <w:sz w:val="24"/>
          <w:szCs w:val="24"/>
        </w:rPr>
        <w:t>Recuperado em</w:t>
      </w:r>
      <w:r w:rsidRPr="008E4FF6">
        <w:rPr>
          <w:noProof/>
          <w:sz w:val="24"/>
          <w:szCs w:val="24"/>
        </w:rPr>
        <w:t xml:space="preserve"> </w:t>
      </w:r>
      <w:r w:rsidR="00110AFC">
        <w:rPr>
          <w:noProof/>
          <w:sz w:val="24"/>
          <w:szCs w:val="24"/>
        </w:rPr>
        <w:t>23 de Abril</w:t>
      </w:r>
      <w:r w:rsidRPr="008E4FF6">
        <w:rPr>
          <w:noProof/>
          <w:sz w:val="24"/>
          <w:szCs w:val="24"/>
        </w:rPr>
        <w:t xml:space="preserve"> </w:t>
      </w:r>
      <w:r w:rsidR="00110AFC">
        <w:rPr>
          <w:noProof/>
          <w:sz w:val="24"/>
          <w:szCs w:val="24"/>
        </w:rPr>
        <w:t>de</w:t>
      </w:r>
      <w:r w:rsidRPr="008E4FF6">
        <w:rPr>
          <w:noProof/>
          <w:sz w:val="24"/>
          <w:szCs w:val="24"/>
        </w:rPr>
        <w:t xml:space="preserve"> 2018, </w:t>
      </w:r>
      <w:r w:rsidR="00110AFC">
        <w:rPr>
          <w:noProof/>
          <w:sz w:val="24"/>
          <w:szCs w:val="24"/>
        </w:rPr>
        <w:t>de</w:t>
      </w:r>
      <w:r w:rsidRPr="008E4FF6">
        <w:rPr>
          <w:noProof/>
          <w:sz w:val="24"/>
          <w:szCs w:val="24"/>
        </w:rPr>
        <w:t xml:space="preserve"> http://www.tesouro.fazenda.gov.br/documents/10180/329483/pge_cartilha_lei_kandir.pdf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Secretaria do Tesouro Nacional – STN. (2016). Auxílio Financeiro para Fomento das Exportações – FEX. </w:t>
      </w:r>
      <w:r w:rsidRPr="008E4FF6">
        <w:rPr>
          <w:i/>
          <w:iCs/>
          <w:noProof/>
          <w:sz w:val="24"/>
          <w:szCs w:val="24"/>
        </w:rPr>
        <w:t>Audiência Pública – Senado Federal</w:t>
      </w:r>
      <w:r w:rsidRPr="008E4FF6">
        <w:rPr>
          <w:noProof/>
          <w:sz w:val="24"/>
          <w:szCs w:val="24"/>
        </w:rPr>
        <w:t xml:space="preserve">. Brasilia. </w:t>
      </w:r>
      <w:r w:rsidR="00110AFC">
        <w:rPr>
          <w:noProof/>
          <w:sz w:val="24"/>
          <w:szCs w:val="24"/>
        </w:rPr>
        <w:t>Recuperado em</w:t>
      </w:r>
      <w:r w:rsidR="00B40B81">
        <w:rPr>
          <w:noProof/>
          <w:sz w:val="24"/>
          <w:szCs w:val="24"/>
        </w:rPr>
        <w:t xml:space="preserve"> 23 de Abril de 2018,</w:t>
      </w:r>
      <w:r w:rsidRPr="008E4FF6">
        <w:rPr>
          <w:noProof/>
          <w:sz w:val="24"/>
          <w:szCs w:val="24"/>
        </w:rPr>
        <w:t xml:space="preserve"> </w:t>
      </w:r>
      <w:r w:rsidR="00110AFC">
        <w:rPr>
          <w:noProof/>
          <w:sz w:val="24"/>
          <w:szCs w:val="24"/>
        </w:rPr>
        <w:t>de</w:t>
      </w:r>
      <w:r w:rsidRPr="008E4FF6">
        <w:rPr>
          <w:noProof/>
          <w:sz w:val="24"/>
          <w:szCs w:val="24"/>
        </w:rPr>
        <w:t xml:space="preserve"> http://legis.senado.leg.br/sdleg-getter/documento/download/57860e1c-ce39-4801-b324-9ed6525c9065</w:t>
      </w:r>
    </w:p>
    <w:p w:rsidR="008E4FF6" w:rsidRPr="008E4FF6" w:rsidRDefault="008E4FF6" w:rsidP="008E4FF6">
      <w:pPr>
        <w:widowControl w:val="0"/>
        <w:autoSpaceDE w:val="0"/>
        <w:autoSpaceDN w:val="0"/>
        <w:adjustRightInd w:val="0"/>
        <w:spacing w:before="120" w:after="120"/>
        <w:ind w:left="480" w:hanging="480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Secretaria do Tesouro Nacional – STN. (2018). </w:t>
      </w:r>
      <w:r w:rsidRPr="001D030A">
        <w:rPr>
          <w:i/>
          <w:noProof/>
          <w:sz w:val="24"/>
          <w:szCs w:val="24"/>
        </w:rPr>
        <w:t>Transferências Constitucionais e Legais</w:t>
      </w:r>
      <w:r w:rsidRPr="008E4FF6">
        <w:rPr>
          <w:noProof/>
          <w:sz w:val="24"/>
          <w:szCs w:val="24"/>
        </w:rPr>
        <w:t xml:space="preserve">. </w:t>
      </w:r>
      <w:r w:rsidR="00110AFC">
        <w:rPr>
          <w:noProof/>
          <w:sz w:val="24"/>
          <w:szCs w:val="24"/>
        </w:rPr>
        <w:t>Recuperado em</w:t>
      </w:r>
      <w:r w:rsidRPr="008E4FF6">
        <w:rPr>
          <w:noProof/>
          <w:sz w:val="24"/>
          <w:szCs w:val="24"/>
        </w:rPr>
        <w:t xml:space="preserve"> </w:t>
      </w:r>
      <w:r w:rsidR="00110AFC">
        <w:rPr>
          <w:noProof/>
          <w:sz w:val="24"/>
          <w:szCs w:val="24"/>
        </w:rPr>
        <w:t>26 de Abril</w:t>
      </w:r>
      <w:r w:rsidRPr="008E4FF6">
        <w:rPr>
          <w:noProof/>
          <w:sz w:val="24"/>
          <w:szCs w:val="24"/>
        </w:rPr>
        <w:t xml:space="preserve"> </w:t>
      </w:r>
      <w:r w:rsidR="00110AFC">
        <w:rPr>
          <w:noProof/>
          <w:sz w:val="24"/>
          <w:szCs w:val="24"/>
        </w:rPr>
        <w:t>de</w:t>
      </w:r>
      <w:r w:rsidRPr="008E4FF6">
        <w:rPr>
          <w:noProof/>
          <w:sz w:val="24"/>
          <w:szCs w:val="24"/>
        </w:rPr>
        <w:t xml:space="preserve"> 2018, </w:t>
      </w:r>
      <w:r w:rsidR="00110AFC">
        <w:rPr>
          <w:noProof/>
          <w:sz w:val="24"/>
          <w:szCs w:val="24"/>
        </w:rPr>
        <w:t>de</w:t>
      </w:r>
      <w:r w:rsidRPr="008E4FF6">
        <w:rPr>
          <w:noProof/>
          <w:sz w:val="24"/>
          <w:szCs w:val="24"/>
        </w:rPr>
        <w:t xml:space="preserve"> http://www.tesouro.fazenda.gov.br/web/stn/-/transferencias-constitucionais-e-legais#Dados_consolidados</w:t>
      </w:r>
    </w:p>
    <w:p w:rsidR="008E4FF6" w:rsidRPr="008E4FF6" w:rsidRDefault="008E4FF6" w:rsidP="00C41237">
      <w:pPr>
        <w:widowControl w:val="0"/>
        <w:autoSpaceDE w:val="0"/>
        <w:autoSpaceDN w:val="0"/>
        <w:adjustRightInd w:val="0"/>
        <w:spacing w:before="100" w:after="100"/>
        <w:ind w:left="482" w:hanging="482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Silva, R. G. da. (2003). </w:t>
      </w:r>
      <w:r w:rsidRPr="008E4FF6">
        <w:rPr>
          <w:i/>
          <w:iCs/>
          <w:noProof/>
          <w:sz w:val="24"/>
          <w:szCs w:val="24"/>
        </w:rPr>
        <w:t>Valoração Contingente do Parque “Chico Mendes”, Rio Branco</w:t>
      </w:r>
      <w:r w:rsidRPr="001D030A">
        <w:rPr>
          <w:iCs/>
          <w:noProof/>
          <w:sz w:val="24"/>
          <w:szCs w:val="24"/>
        </w:rPr>
        <w:t>: Uma Aplicação Probabilística do Método Referendum com Bidding Games</w:t>
      </w:r>
      <w:r w:rsidRPr="001D030A">
        <w:rPr>
          <w:noProof/>
          <w:sz w:val="24"/>
          <w:szCs w:val="24"/>
        </w:rPr>
        <w:t xml:space="preserve">. </w:t>
      </w:r>
      <w:r w:rsidRPr="001D030A">
        <w:rPr>
          <w:iCs/>
          <w:noProof/>
          <w:sz w:val="24"/>
          <w:szCs w:val="24"/>
        </w:rPr>
        <w:t>Dissertação</w:t>
      </w:r>
      <w:r w:rsidRPr="008E4FF6">
        <w:rPr>
          <w:noProof/>
          <w:sz w:val="24"/>
          <w:szCs w:val="24"/>
        </w:rPr>
        <w:t>. Universidade Federal de Viçosa - UFV, Viçosa, Dissertação (Mestrado em Economia Aplicada) - Programa de Pós-Graduação em Economia Aplicada.</w:t>
      </w:r>
    </w:p>
    <w:p w:rsidR="008E4FF6" w:rsidRPr="008E4FF6" w:rsidRDefault="008E4FF6" w:rsidP="00C41237">
      <w:pPr>
        <w:widowControl w:val="0"/>
        <w:autoSpaceDE w:val="0"/>
        <w:autoSpaceDN w:val="0"/>
        <w:adjustRightInd w:val="0"/>
        <w:spacing w:before="100" w:after="100"/>
        <w:ind w:left="482" w:hanging="482"/>
        <w:rPr>
          <w:noProof/>
          <w:sz w:val="24"/>
          <w:szCs w:val="24"/>
        </w:rPr>
      </w:pPr>
      <w:r w:rsidRPr="008E4FF6">
        <w:rPr>
          <w:noProof/>
          <w:sz w:val="24"/>
          <w:szCs w:val="24"/>
        </w:rPr>
        <w:t xml:space="preserve">United Nations World Water Assessment Programme - WWAP. (2014). </w:t>
      </w:r>
      <w:r w:rsidRPr="008E4FF6">
        <w:rPr>
          <w:i/>
          <w:iCs/>
          <w:noProof/>
          <w:sz w:val="24"/>
          <w:szCs w:val="24"/>
        </w:rPr>
        <w:t>The United Nations World Water Development Report 2014</w:t>
      </w:r>
      <w:r w:rsidRPr="001D030A">
        <w:rPr>
          <w:iCs/>
          <w:noProof/>
          <w:sz w:val="24"/>
          <w:szCs w:val="24"/>
        </w:rPr>
        <w:t>: Water and Energy</w:t>
      </w:r>
      <w:r w:rsidRPr="008E4FF6">
        <w:rPr>
          <w:noProof/>
          <w:sz w:val="24"/>
          <w:szCs w:val="24"/>
        </w:rPr>
        <w:t xml:space="preserve">. </w:t>
      </w:r>
      <w:r w:rsidRPr="008E4FF6">
        <w:rPr>
          <w:i/>
          <w:iCs/>
          <w:noProof/>
          <w:sz w:val="24"/>
          <w:szCs w:val="24"/>
        </w:rPr>
        <w:t>UNESCO</w:t>
      </w:r>
      <w:r w:rsidRPr="008E4FF6">
        <w:rPr>
          <w:noProof/>
          <w:sz w:val="24"/>
          <w:szCs w:val="24"/>
        </w:rPr>
        <w:t xml:space="preserve"> (Vol. 1). Paris: UNESCO.</w:t>
      </w:r>
    </w:p>
    <w:p w:rsidR="00804571" w:rsidRPr="00804571" w:rsidRDefault="008E4FF6" w:rsidP="00C41237">
      <w:pPr>
        <w:widowControl w:val="0"/>
        <w:autoSpaceDE w:val="0"/>
        <w:autoSpaceDN w:val="0"/>
        <w:adjustRightInd w:val="0"/>
        <w:spacing w:before="100"/>
        <w:ind w:left="482" w:hanging="482"/>
        <w:rPr>
          <w:sz w:val="24"/>
          <w:szCs w:val="24"/>
        </w:rPr>
      </w:pPr>
      <w:r w:rsidRPr="008E4FF6">
        <w:rPr>
          <w:noProof/>
          <w:sz w:val="24"/>
          <w:szCs w:val="24"/>
        </w:rPr>
        <w:t xml:space="preserve">United Nations World Water Assessment Programme - WWAP. (2015). </w:t>
      </w:r>
      <w:r w:rsidRPr="008E4FF6">
        <w:rPr>
          <w:i/>
          <w:iCs/>
          <w:noProof/>
          <w:sz w:val="24"/>
          <w:szCs w:val="24"/>
        </w:rPr>
        <w:t>The United Nations World Water Development Report 2015</w:t>
      </w:r>
      <w:r w:rsidRPr="001D030A">
        <w:rPr>
          <w:iCs/>
          <w:noProof/>
          <w:sz w:val="24"/>
          <w:szCs w:val="24"/>
        </w:rPr>
        <w:t>: Water for a Sustainable World</w:t>
      </w:r>
      <w:r w:rsidRPr="008E4FF6">
        <w:rPr>
          <w:noProof/>
          <w:sz w:val="24"/>
          <w:szCs w:val="24"/>
        </w:rPr>
        <w:t xml:space="preserve">. </w:t>
      </w:r>
      <w:r w:rsidRPr="008E4FF6">
        <w:rPr>
          <w:i/>
          <w:iCs/>
          <w:noProof/>
          <w:sz w:val="24"/>
          <w:szCs w:val="24"/>
        </w:rPr>
        <w:t>UNESCO</w:t>
      </w:r>
      <w:r w:rsidRPr="008E4FF6">
        <w:rPr>
          <w:noProof/>
          <w:sz w:val="24"/>
          <w:szCs w:val="24"/>
        </w:rPr>
        <w:t>. Paris: UNESCO.</w:t>
      </w:r>
    </w:p>
    <w:sectPr w:rsidR="00804571" w:rsidRPr="00804571" w:rsidSect="003B74ED">
      <w:headerReference w:type="default" r:id="rId9"/>
      <w:footerReference w:type="default" r:id="rId10"/>
      <w:type w:val="continuous"/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C4F" w:rsidRDefault="00C13C4F" w:rsidP="008A5824">
      <w:r>
        <w:separator/>
      </w:r>
    </w:p>
  </w:endnote>
  <w:endnote w:type="continuationSeparator" w:id="0">
    <w:p w:rsidR="00C13C4F" w:rsidRDefault="00C13C4F" w:rsidP="008A5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305" w:rsidRDefault="00462305">
    <w:pPr>
      <w:pStyle w:val="Rodap"/>
      <w:jc w:val="right"/>
      <w:rPr>
        <w:rFonts w:ascii="Times New Roman" w:hAnsi="Times New Roman"/>
      </w:rPr>
    </w:pPr>
  </w:p>
  <w:p w:rsidR="00462305" w:rsidRPr="00C04F45" w:rsidRDefault="00462305">
    <w:pPr>
      <w:pStyle w:val="Rodap"/>
      <w:jc w:val="right"/>
      <w:rPr>
        <w:rFonts w:ascii="Times New Roman" w:hAnsi="Times New Roman"/>
      </w:rPr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241300</wp:posOffset>
          </wp:positionH>
          <wp:positionV relativeFrom="paragraph">
            <wp:posOffset>149225</wp:posOffset>
          </wp:positionV>
          <wp:extent cx="5562600" cy="728980"/>
          <wp:effectExtent l="0" t="0" r="0" b="0"/>
          <wp:wrapNone/>
          <wp:docPr id="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62600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4F45">
      <w:rPr>
        <w:rFonts w:ascii="Times New Roman" w:hAnsi="Times New Roman"/>
      </w:rPr>
      <w:fldChar w:fldCharType="begin"/>
    </w:r>
    <w:r w:rsidRPr="00C04F45">
      <w:rPr>
        <w:rFonts w:ascii="Times New Roman" w:hAnsi="Times New Roman"/>
      </w:rPr>
      <w:instrText xml:space="preserve"> PAGE   \* MERGEFORMAT </w:instrText>
    </w:r>
    <w:r w:rsidRPr="00C04F45">
      <w:rPr>
        <w:rFonts w:ascii="Times New Roman" w:hAnsi="Times New Roman"/>
      </w:rPr>
      <w:fldChar w:fldCharType="separate"/>
    </w:r>
    <w:r w:rsidR="00C27385">
      <w:rPr>
        <w:rFonts w:ascii="Times New Roman" w:hAnsi="Times New Roman"/>
        <w:noProof/>
      </w:rPr>
      <w:t>14</w:t>
    </w:r>
    <w:r w:rsidRPr="00C04F45">
      <w:rPr>
        <w:rFonts w:ascii="Times New Roman" w:hAnsi="Times New Roman"/>
      </w:rPr>
      <w:fldChar w:fldCharType="end"/>
    </w:r>
  </w:p>
  <w:p w:rsidR="00462305" w:rsidRDefault="00462305">
    <w:pPr>
      <w:pStyle w:val="Rodap"/>
      <w:rPr>
        <w:rFonts w:ascii="Times New Roman" w:hAnsi="Times New Roman"/>
      </w:rPr>
    </w:pPr>
  </w:p>
  <w:p w:rsidR="00462305" w:rsidRPr="00C04F45" w:rsidRDefault="00462305" w:rsidP="00C04F45">
    <w:pPr>
      <w:pStyle w:val="Rodap"/>
      <w:widowControl w:val="0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C4F" w:rsidRDefault="00C13C4F" w:rsidP="008A5824">
      <w:r>
        <w:separator/>
      </w:r>
    </w:p>
  </w:footnote>
  <w:footnote w:type="continuationSeparator" w:id="0">
    <w:p w:rsidR="00C13C4F" w:rsidRDefault="00C13C4F" w:rsidP="008A5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305" w:rsidRPr="00E361F4" w:rsidRDefault="00462305" w:rsidP="00E361F4">
    <w:pPr>
      <w:pStyle w:val="Cabealho"/>
    </w:pPr>
    <w:r w:rsidRPr="00F520E8">
      <w:rPr>
        <w:noProof/>
        <w:lang w:eastAsia="pt-BR"/>
      </w:rPr>
      <w:drawing>
        <wp:inline distT="0" distB="0" distL="0" distR="0">
          <wp:extent cx="5756275" cy="1084580"/>
          <wp:effectExtent l="0" t="0" r="0" b="0"/>
          <wp:docPr id="1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6275" cy="1084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D3B7C"/>
    <w:multiLevelType w:val="hybridMultilevel"/>
    <w:tmpl w:val="850EF0B8"/>
    <w:lvl w:ilvl="0" w:tplc="643E2C08">
      <w:start w:val="1"/>
      <w:numFmt w:val="upperRoman"/>
      <w:lvlText w:val="%1"/>
      <w:lvlJc w:val="left"/>
      <w:pPr>
        <w:ind w:left="2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12944A">
      <w:start w:val="1"/>
      <w:numFmt w:val="lowerLetter"/>
      <w:lvlText w:val="%2"/>
      <w:lvlJc w:val="left"/>
      <w:pPr>
        <w:ind w:left="3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1274AA">
      <w:start w:val="1"/>
      <w:numFmt w:val="lowerRoman"/>
      <w:lvlText w:val="%3"/>
      <w:lvlJc w:val="left"/>
      <w:pPr>
        <w:ind w:left="4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BA5F8A">
      <w:start w:val="1"/>
      <w:numFmt w:val="decimal"/>
      <w:lvlText w:val="%4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02A00E">
      <w:start w:val="1"/>
      <w:numFmt w:val="lowerLetter"/>
      <w:lvlText w:val="%5"/>
      <w:lvlJc w:val="left"/>
      <w:pPr>
        <w:ind w:left="5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C9542">
      <w:start w:val="1"/>
      <w:numFmt w:val="lowerRoman"/>
      <w:lvlText w:val="%6"/>
      <w:lvlJc w:val="left"/>
      <w:pPr>
        <w:ind w:left="6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344EF2">
      <w:start w:val="1"/>
      <w:numFmt w:val="decimal"/>
      <w:lvlText w:val="%7"/>
      <w:lvlJc w:val="left"/>
      <w:pPr>
        <w:ind w:left="6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A66920">
      <w:start w:val="1"/>
      <w:numFmt w:val="lowerLetter"/>
      <w:lvlText w:val="%8"/>
      <w:lvlJc w:val="left"/>
      <w:pPr>
        <w:ind w:left="7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FC059A">
      <w:start w:val="1"/>
      <w:numFmt w:val="lowerRoman"/>
      <w:lvlText w:val="%9"/>
      <w:lvlJc w:val="left"/>
      <w:pPr>
        <w:ind w:left="8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735A0"/>
    <w:multiLevelType w:val="hybridMultilevel"/>
    <w:tmpl w:val="550E8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80986"/>
    <w:multiLevelType w:val="hybridMultilevel"/>
    <w:tmpl w:val="1CBCD702"/>
    <w:lvl w:ilvl="0" w:tplc="E2A69CE4">
      <w:start w:val="1"/>
      <w:numFmt w:val="bullet"/>
      <w:lvlText w:val=""/>
      <w:lvlJc w:val="left"/>
      <w:pPr>
        <w:ind w:left="6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2EEF6A">
      <w:start w:val="1"/>
      <w:numFmt w:val="bullet"/>
      <w:lvlText w:val="o"/>
      <w:lvlJc w:val="left"/>
      <w:pPr>
        <w:ind w:left="13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12E0EA">
      <w:start w:val="1"/>
      <w:numFmt w:val="bullet"/>
      <w:lvlText w:val="▪"/>
      <w:lvlJc w:val="left"/>
      <w:pPr>
        <w:ind w:left="21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545072">
      <w:start w:val="1"/>
      <w:numFmt w:val="bullet"/>
      <w:lvlText w:val="•"/>
      <w:lvlJc w:val="left"/>
      <w:pPr>
        <w:ind w:left="28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A202A8">
      <w:start w:val="1"/>
      <w:numFmt w:val="bullet"/>
      <w:lvlText w:val="o"/>
      <w:lvlJc w:val="left"/>
      <w:pPr>
        <w:ind w:left="35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22BCA2">
      <w:start w:val="1"/>
      <w:numFmt w:val="bullet"/>
      <w:lvlText w:val="▪"/>
      <w:lvlJc w:val="left"/>
      <w:pPr>
        <w:ind w:left="42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BACF16">
      <w:start w:val="1"/>
      <w:numFmt w:val="bullet"/>
      <w:lvlText w:val="•"/>
      <w:lvlJc w:val="left"/>
      <w:pPr>
        <w:ind w:left="49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6CB804">
      <w:start w:val="1"/>
      <w:numFmt w:val="bullet"/>
      <w:lvlText w:val="o"/>
      <w:lvlJc w:val="left"/>
      <w:pPr>
        <w:ind w:left="57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D0E1B8">
      <w:start w:val="1"/>
      <w:numFmt w:val="bullet"/>
      <w:lvlText w:val="▪"/>
      <w:lvlJc w:val="left"/>
      <w:pPr>
        <w:ind w:left="64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64561B"/>
    <w:multiLevelType w:val="hybridMultilevel"/>
    <w:tmpl w:val="21D422E4"/>
    <w:lvl w:ilvl="0" w:tplc="F47E2E74">
      <w:start w:val="1"/>
      <w:numFmt w:val="upperRoman"/>
      <w:lvlText w:val="%1"/>
      <w:lvlJc w:val="left"/>
      <w:pPr>
        <w:ind w:left="2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A88E5A">
      <w:start w:val="1"/>
      <w:numFmt w:val="lowerLetter"/>
      <w:lvlText w:val="%2"/>
      <w:lvlJc w:val="left"/>
      <w:pPr>
        <w:ind w:left="3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DA9686">
      <w:start w:val="1"/>
      <w:numFmt w:val="lowerRoman"/>
      <w:lvlText w:val="%3"/>
      <w:lvlJc w:val="left"/>
      <w:pPr>
        <w:ind w:left="4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142D38">
      <w:start w:val="1"/>
      <w:numFmt w:val="decimal"/>
      <w:lvlText w:val="%4"/>
      <w:lvlJc w:val="left"/>
      <w:pPr>
        <w:ind w:left="4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7CA7F0">
      <w:start w:val="1"/>
      <w:numFmt w:val="lowerLetter"/>
      <w:lvlText w:val="%5"/>
      <w:lvlJc w:val="left"/>
      <w:pPr>
        <w:ind w:left="5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04DF4E">
      <w:start w:val="1"/>
      <w:numFmt w:val="lowerRoman"/>
      <w:lvlText w:val="%6"/>
      <w:lvlJc w:val="left"/>
      <w:pPr>
        <w:ind w:left="6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4C3918">
      <w:start w:val="1"/>
      <w:numFmt w:val="decimal"/>
      <w:lvlText w:val="%7"/>
      <w:lvlJc w:val="left"/>
      <w:pPr>
        <w:ind w:left="6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DEEDB8">
      <w:start w:val="1"/>
      <w:numFmt w:val="lowerLetter"/>
      <w:lvlText w:val="%8"/>
      <w:lvlJc w:val="left"/>
      <w:pPr>
        <w:ind w:left="7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345B6E">
      <w:start w:val="1"/>
      <w:numFmt w:val="lowerRoman"/>
      <w:lvlText w:val="%9"/>
      <w:lvlJc w:val="left"/>
      <w:pPr>
        <w:ind w:left="8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AA7049"/>
    <w:multiLevelType w:val="hybridMultilevel"/>
    <w:tmpl w:val="D26AC11E"/>
    <w:lvl w:ilvl="0" w:tplc="2CD2BA12">
      <w:start w:val="1"/>
      <w:numFmt w:val="bullet"/>
      <w:lvlText w:val=""/>
      <w:lvlJc w:val="left"/>
      <w:pPr>
        <w:ind w:left="9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E420DE">
      <w:start w:val="1"/>
      <w:numFmt w:val="bullet"/>
      <w:lvlText w:val="o"/>
      <w:lvlJc w:val="left"/>
      <w:pPr>
        <w:ind w:left="1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28515A">
      <w:start w:val="1"/>
      <w:numFmt w:val="bullet"/>
      <w:lvlText w:val="▪"/>
      <w:lvlJc w:val="left"/>
      <w:pPr>
        <w:ind w:left="2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5A79FC">
      <w:start w:val="1"/>
      <w:numFmt w:val="bullet"/>
      <w:lvlText w:val="•"/>
      <w:lvlJc w:val="left"/>
      <w:pPr>
        <w:ind w:left="3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861688">
      <w:start w:val="1"/>
      <w:numFmt w:val="bullet"/>
      <w:lvlText w:val="o"/>
      <w:lvlJc w:val="left"/>
      <w:pPr>
        <w:ind w:left="3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11063D8">
      <w:start w:val="1"/>
      <w:numFmt w:val="bullet"/>
      <w:lvlText w:val="▪"/>
      <w:lvlJc w:val="left"/>
      <w:pPr>
        <w:ind w:left="45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92CAB4">
      <w:start w:val="1"/>
      <w:numFmt w:val="bullet"/>
      <w:lvlText w:val="•"/>
      <w:lvlJc w:val="left"/>
      <w:pPr>
        <w:ind w:left="52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68CAC6">
      <w:start w:val="1"/>
      <w:numFmt w:val="bullet"/>
      <w:lvlText w:val="o"/>
      <w:lvlJc w:val="left"/>
      <w:pPr>
        <w:ind w:left="59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509EAC">
      <w:start w:val="1"/>
      <w:numFmt w:val="bullet"/>
      <w:lvlText w:val="▪"/>
      <w:lvlJc w:val="left"/>
      <w:pPr>
        <w:ind w:left="66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C963F9"/>
    <w:multiLevelType w:val="hybridMultilevel"/>
    <w:tmpl w:val="2E000B78"/>
    <w:lvl w:ilvl="0" w:tplc="0416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24"/>
    <w:rsid w:val="0001262F"/>
    <w:rsid w:val="00015D66"/>
    <w:rsid w:val="00020C74"/>
    <w:rsid w:val="00025279"/>
    <w:rsid w:val="00032B00"/>
    <w:rsid w:val="00032F60"/>
    <w:rsid w:val="00043BDC"/>
    <w:rsid w:val="00044F79"/>
    <w:rsid w:val="00046510"/>
    <w:rsid w:val="00050F0F"/>
    <w:rsid w:val="00054B8E"/>
    <w:rsid w:val="00056A2F"/>
    <w:rsid w:val="00067126"/>
    <w:rsid w:val="0007123D"/>
    <w:rsid w:val="0007449C"/>
    <w:rsid w:val="000801FA"/>
    <w:rsid w:val="000825A5"/>
    <w:rsid w:val="000848D3"/>
    <w:rsid w:val="00094292"/>
    <w:rsid w:val="00097C68"/>
    <w:rsid w:val="00097FBD"/>
    <w:rsid w:val="000A337E"/>
    <w:rsid w:val="000A3CC2"/>
    <w:rsid w:val="000A5227"/>
    <w:rsid w:val="000C16CE"/>
    <w:rsid w:val="000C211F"/>
    <w:rsid w:val="000C5EB0"/>
    <w:rsid w:val="000C6AF5"/>
    <w:rsid w:val="000D3BC8"/>
    <w:rsid w:val="000D46A1"/>
    <w:rsid w:val="000D70FC"/>
    <w:rsid w:val="000E2F0C"/>
    <w:rsid w:val="000E3ED0"/>
    <w:rsid w:val="000E6E02"/>
    <w:rsid w:val="000F3E85"/>
    <w:rsid w:val="000F6588"/>
    <w:rsid w:val="000F6C08"/>
    <w:rsid w:val="00103445"/>
    <w:rsid w:val="00106539"/>
    <w:rsid w:val="00107C25"/>
    <w:rsid w:val="00110AFC"/>
    <w:rsid w:val="001132F7"/>
    <w:rsid w:val="00113DAA"/>
    <w:rsid w:val="00115F1D"/>
    <w:rsid w:val="0011799E"/>
    <w:rsid w:val="00120553"/>
    <w:rsid w:val="00123B15"/>
    <w:rsid w:val="00123D52"/>
    <w:rsid w:val="00134CB7"/>
    <w:rsid w:val="0014059D"/>
    <w:rsid w:val="001520DC"/>
    <w:rsid w:val="0015302C"/>
    <w:rsid w:val="001539D4"/>
    <w:rsid w:val="0016220D"/>
    <w:rsid w:val="0017288D"/>
    <w:rsid w:val="00177258"/>
    <w:rsid w:val="001825AB"/>
    <w:rsid w:val="00187C5A"/>
    <w:rsid w:val="0019011F"/>
    <w:rsid w:val="0019170F"/>
    <w:rsid w:val="00194BA9"/>
    <w:rsid w:val="00195474"/>
    <w:rsid w:val="001A0F50"/>
    <w:rsid w:val="001A2B16"/>
    <w:rsid w:val="001A4423"/>
    <w:rsid w:val="001A76B3"/>
    <w:rsid w:val="001A78D4"/>
    <w:rsid w:val="001A7B21"/>
    <w:rsid w:val="001B5CB7"/>
    <w:rsid w:val="001B76C9"/>
    <w:rsid w:val="001C328B"/>
    <w:rsid w:val="001C45EF"/>
    <w:rsid w:val="001D030A"/>
    <w:rsid w:val="001D301E"/>
    <w:rsid w:val="001F0E8E"/>
    <w:rsid w:val="001F2A06"/>
    <w:rsid w:val="001F2ABA"/>
    <w:rsid w:val="001F6A6D"/>
    <w:rsid w:val="001F735F"/>
    <w:rsid w:val="00206CC4"/>
    <w:rsid w:val="00210138"/>
    <w:rsid w:val="0021035B"/>
    <w:rsid w:val="002115A6"/>
    <w:rsid w:val="00212F2F"/>
    <w:rsid w:val="002152B8"/>
    <w:rsid w:val="002164AD"/>
    <w:rsid w:val="00216FC1"/>
    <w:rsid w:val="002208DA"/>
    <w:rsid w:val="002218C4"/>
    <w:rsid w:val="00221D40"/>
    <w:rsid w:val="00235E88"/>
    <w:rsid w:val="00250DD3"/>
    <w:rsid w:val="002513F5"/>
    <w:rsid w:val="002514FF"/>
    <w:rsid w:val="0026297E"/>
    <w:rsid w:val="00262C3A"/>
    <w:rsid w:val="00283EC3"/>
    <w:rsid w:val="00293B84"/>
    <w:rsid w:val="002968D7"/>
    <w:rsid w:val="002971E2"/>
    <w:rsid w:val="002A0288"/>
    <w:rsid w:val="002A0BA4"/>
    <w:rsid w:val="002A3E4C"/>
    <w:rsid w:val="002A54D9"/>
    <w:rsid w:val="002A667A"/>
    <w:rsid w:val="002B0015"/>
    <w:rsid w:val="002B11B5"/>
    <w:rsid w:val="002B2B78"/>
    <w:rsid w:val="002B565A"/>
    <w:rsid w:val="002B64D4"/>
    <w:rsid w:val="002C0200"/>
    <w:rsid w:val="002D0C4D"/>
    <w:rsid w:val="002E5A40"/>
    <w:rsid w:val="002F307B"/>
    <w:rsid w:val="00300A0F"/>
    <w:rsid w:val="00301E16"/>
    <w:rsid w:val="00302865"/>
    <w:rsid w:val="00314474"/>
    <w:rsid w:val="00314B0D"/>
    <w:rsid w:val="00322DEC"/>
    <w:rsid w:val="00322F78"/>
    <w:rsid w:val="00332FE4"/>
    <w:rsid w:val="00334425"/>
    <w:rsid w:val="0034089F"/>
    <w:rsid w:val="00340A4A"/>
    <w:rsid w:val="0034149C"/>
    <w:rsid w:val="00345545"/>
    <w:rsid w:val="00346B40"/>
    <w:rsid w:val="00357D18"/>
    <w:rsid w:val="00357E7D"/>
    <w:rsid w:val="003609DF"/>
    <w:rsid w:val="0036377D"/>
    <w:rsid w:val="003656F5"/>
    <w:rsid w:val="00371E17"/>
    <w:rsid w:val="0037679D"/>
    <w:rsid w:val="003774F7"/>
    <w:rsid w:val="003804DB"/>
    <w:rsid w:val="00384F76"/>
    <w:rsid w:val="0038579D"/>
    <w:rsid w:val="0038759A"/>
    <w:rsid w:val="003901C3"/>
    <w:rsid w:val="00391C80"/>
    <w:rsid w:val="00393557"/>
    <w:rsid w:val="0039500B"/>
    <w:rsid w:val="003957EA"/>
    <w:rsid w:val="003A3CC2"/>
    <w:rsid w:val="003B67E4"/>
    <w:rsid w:val="003B74ED"/>
    <w:rsid w:val="003C030B"/>
    <w:rsid w:val="003C2DFB"/>
    <w:rsid w:val="003C3C2E"/>
    <w:rsid w:val="003C4192"/>
    <w:rsid w:val="003C62FE"/>
    <w:rsid w:val="003D3A0E"/>
    <w:rsid w:val="003D567C"/>
    <w:rsid w:val="003D6CEE"/>
    <w:rsid w:val="003E0615"/>
    <w:rsid w:val="003E73C0"/>
    <w:rsid w:val="0040187E"/>
    <w:rsid w:val="004020EB"/>
    <w:rsid w:val="00404280"/>
    <w:rsid w:val="004179E8"/>
    <w:rsid w:val="00425133"/>
    <w:rsid w:val="004253E2"/>
    <w:rsid w:val="00427824"/>
    <w:rsid w:val="00431CDE"/>
    <w:rsid w:val="004350BC"/>
    <w:rsid w:val="00443961"/>
    <w:rsid w:val="004446F2"/>
    <w:rsid w:val="00446417"/>
    <w:rsid w:val="00462305"/>
    <w:rsid w:val="00465D34"/>
    <w:rsid w:val="00466FCC"/>
    <w:rsid w:val="00473887"/>
    <w:rsid w:val="004764FB"/>
    <w:rsid w:val="004778A5"/>
    <w:rsid w:val="00485BA5"/>
    <w:rsid w:val="00491708"/>
    <w:rsid w:val="00492585"/>
    <w:rsid w:val="00494970"/>
    <w:rsid w:val="0049529C"/>
    <w:rsid w:val="004A346D"/>
    <w:rsid w:val="004A5395"/>
    <w:rsid w:val="004B14CB"/>
    <w:rsid w:val="004B3533"/>
    <w:rsid w:val="004B49A4"/>
    <w:rsid w:val="004B4D08"/>
    <w:rsid w:val="004B740E"/>
    <w:rsid w:val="004C1981"/>
    <w:rsid w:val="004C26DD"/>
    <w:rsid w:val="004D1919"/>
    <w:rsid w:val="004D5F11"/>
    <w:rsid w:val="004E72E9"/>
    <w:rsid w:val="004E747C"/>
    <w:rsid w:val="004F0535"/>
    <w:rsid w:val="004F5D8C"/>
    <w:rsid w:val="00501F16"/>
    <w:rsid w:val="00503C2C"/>
    <w:rsid w:val="005073DF"/>
    <w:rsid w:val="00507C02"/>
    <w:rsid w:val="00511925"/>
    <w:rsid w:val="00511FE7"/>
    <w:rsid w:val="00513549"/>
    <w:rsid w:val="005254F9"/>
    <w:rsid w:val="005333E5"/>
    <w:rsid w:val="00536C79"/>
    <w:rsid w:val="00537B85"/>
    <w:rsid w:val="00540016"/>
    <w:rsid w:val="00543450"/>
    <w:rsid w:val="00543A6C"/>
    <w:rsid w:val="005503D2"/>
    <w:rsid w:val="00552391"/>
    <w:rsid w:val="00553E3C"/>
    <w:rsid w:val="00554318"/>
    <w:rsid w:val="0055730A"/>
    <w:rsid w:val="00562D28"/>
    <w:rsid w:val="00563849"/>
    <w:rsid w:val="005638D1"/>
    <w:rsid w:val="005744F4"/>
    <w:rsid w:val="00574527"/>
    <w:rsid w:val="00575688"/>
    <w:rsid w:val="00583813"/>
    <w:rsid w:val="00586B25"/>
    <w:rsid w:val="00590392"/>
    <w:rsid w:val="005914C5"/>
    <w:rsid w:val="00591B91"/>
    <w:rsid w:val="00594D6B"/>
    <w:rsid w:val="00596152"/>
    <w:rsid w:val="00597900"/>
    <w:rsid w:val="005A0518"/>
    <w:rsid w:val="005A7E5C"/>
    <w:rsid w:val="005B0CDA"/>
    <w:rsid w:val="005B18A2"/>
    <w:rsid w:val="005B1D1C"/>
    <w:rsid w:val="005B2F67"/>
    <w:rsid w:val="005B6ED0"/>
    <w:rsid w:val="005B79E5"/>
    <w:rsid w:val="005C3081"/>
    <w:rsid w:val="005C3E88"/>
    <w:rsid w:val="005C662E"/>
    <w:rsid w:val="005D2169"/>
    <w:rsid w:val="005D643F"/>
    <w:rsid w:val="005E34F9"/>
    <w:rsid w:val="005E4C09"/>
    <w:rsid w:val="005E6285"/>
    <w:rsid w:val="005F1048"/>
    <w:rsid w:val="005F188E"/>
    <w:rsid w:val="005F5FE4"/>
    <w:rsid w:val="00602A95"/>
    <w:rsid w:val="00605DDB"/>
    <w:rsid w:val="006064A3"/>
    <w:rsid w:val="00606E76"/>
    <w:rsid w:val="00611094"/>
    <w:rsid w:val="0061221D"/>
    <w:rsid w:val="00621BAE"/>
    <w:rsid w:val="00630B0D"/>
    <w:rsid w:val="00631DCF"/>
    <w:rsid w:val="006347BC"/>
    <w:rsid w:val="00641F1F"/>
    <w:rsid w:val="0064353E"/>
    <w:rsid w:val="006468BC"/>
    <w:rsid w:val="00646B4C"/>
    <w:rsid w:val="006478C0"/>
    <w:rsid w:val="00647C37"/>
    <w:rsid w:val="00657E8D"/>
    <w:rsid w:val="00665594"/>
    <w:rsid w:val="00670A17"/>
    <w:rsid w:val="00677591"/>
    <w:rsid w:val="00682B60"/>
    <w:rsid w:val="00683FF3"/>
    <w:rsid w:val="006855C4"/>
    <w:rsid w:val="00686527"/>
    <w:rsid w:val="006973ED"/>
    <w:rsid w:val="006A4AB2"/>
    <w:rsid w:val="006B0F76"/>
    <w:rsid w:val="006C199F"/>
    <w:rsid w:val="006C1C3B"/>
    <w:rsid w:val="006C2221"/>
    <w:rsid w:val="006C3534"/>
    <w:rsid w:val="006D33F7"/>
    <w:rsid w:val="006D6564"/>
    <w:rsid w:val="006D66D9"/>
    <w:rsid w:val="006D6784"/>
    <w:rsid w:val="006D69F1"/>
    <w:rsid w:val="006D77E4"/>
    <w:rsid w:val="006D7992"/>
    <w:rsid w:val="006E05C2"/>
    <w:rsid w:val="006E1089"/>
    <w:rsid w:val="006E15A9"/>
    <w:rsid w:val="006E7BF7"/>
    <w:rsid w:val="006F1CA3"/>
    <w:rsid w:val="006F311E"/>
    <w:rsid w:val="006F6D60"/>
    <w:rsid w:val="006F6FDB"/>
    <w:rsid w:val="00702846"/>
    <w:rsid w:val="007108A4"/>
    <w:rsid w:val="0071339C"/>
    <w:rsid w:val="00722E91"/>
    <w:rsid w:val="00725710"/>
    <w:rsid w:val="0072578D"/>
    <w:rsid w:val="00733356"/>
    <w:rsid w:val="00742A16"/>
    <w:rsid w:val="00745E9F"/>
    <w:rsid w:val="007460BB"/>
    <w:rsid w:val="0075003D"/>
    <w:rsid w:val="00751097"/>
    <w:rsid w:val="00753AB3"/>
    <w:rsid w:val="0075473F"/>
    <w:rsid w:val="0076069A"/>
    <w:rsid w:val="007631A0"/>
    <w:rsid w:val="00787A8E"/>
    <w:rsid w:val="00797E34"/>
    <w:rsid w:val="007A4FFF"/>
    <w:rsid w:val="007B2EFD"/>
    <w:rsid w:val="007B6527"/>
    <w:rsid w:val="007C052E"/>
    <w:rsid w:val="007C3E48"/>
    <w:rsid w:val="007D2DEA"/>
    <w:rsid w:val="007D3873"/>
    <w:rsid w:val="007D395A"/>
    <w:rsid w:val="007D69B0"/>
    <w:rsid w:val="007D7036"/>
    <w:rsid w:val="007E48E6"/>
    <w:rsid w:val="007E5D28"/>
    <w:rsid w:val="007E7B27"/>
    <w:rsid w:val="007F090E"/>
    <w:rsid w:val="007F0A17"/>
    <w:rsid w:val="007F1F82"/>
    <w:rsid w:val="007F3A1D"/>
    <w:rsid w:val="007F5521"/>
    <w:rsid w:val="007F6736"/>
    <w:rsid w:val="007F701B"/>
    <w:rsid w:val="00804571"/>
    <w:rsid w:val="00815DA4"/>
    <w:rsid w:val="00816C4D"/>
    <w:rsid w:val="00816D13"/>
    <w:rsid w:val="00821634"/>
    <w:rsid w:val="00825BB7"/>
    <w:rsid w:val="008261C2"/>
    <w:rsid w:val="00827E29"/>
    <w:rsid w:val="00834823"/>
    <w:rsid w:val="00845C9E"/>
    <w:rsid w:val="00845FBD"/>
    <w:rsid w:val="008465B5"/>
    <w:rsid w:val="00847A33"/>
    <w:rsid w:val="00854539"/>
    <w:rsid w:val="00854EDD"/>
    <w:rsid w:val="00860ABC"/>
    <w:rsid w:val="00860B20"/>
    <w:rsid w:val="00861E96"/>
    <w:rsid w:val="00882A9C"/>
    <w:rsid w:val="00883F73"/>
    <w:rsid w:val="0089195D"/>
    <w:rsid w:val="0089325E"/>
    <w:rsid w:val="00895EA9"/>
    <w:rsid w:val="008A102D"/>
    <w:rsid w:val="008A180B"/>
    <w:rsid w:val="008A3EBD"/>
    <w:rsid w:val="008A5824"/>
    <w:rsid w:val="008B2FE4"/>
    <w:rsid w:val="008B383A"/>
    <w:rsid w:val="008B426E"/>
    <w:rsid w:val="008B6B1B"/>
    <w:rsid w:val="008B7187"/>
    <w:rsid w:val="008C2B73"/>
    <w:rsid w:val="008C68F2"/>
    <w:rsid w:val="008D4F05"/>
    <w:rsid w:val="008E0BB9"/>
    <w:rsid w:val="008E1E88"/>
    <w:rsid w:val="008E4FF6"/>
    <w:rsid w:val="008E59FA"/>
    <w:rsid w:val="008F2031"/>
    <w:rsid w:val="00900099"/>
    <w:rsid w:val="009011A4"/>
    <w:rsid w:val="00901AAF"/>
    <w:rsid w:val="00902CF8"/>
    <w:rsid w:val="00903BA3"/>
    <w:rsid w:val="00907880"/>
    <w:rsid w:val="00910FB7"/>
    <w:rsid w:val="00913937"/>
    <w:rsid w:val="00916FEA"/>
    <w:rsid w:val="0092194B"/>
    <w:rsid w:val="0093590F"/>
    <w:rsid w:val="00935F89"/>
    <w:rsid w:val="00950710"/>
    <w:rsid w:val="00953812"/>
    <w:rsid w:val="009538BE"/>
    <w:rsid w:val="00956596"/>
    <w:rsid w:val="00963587"/>
    <w:rsid w:val="00965AAF"/>
    <w:rsid w:val="0096669F"/>
    <w:rsid w:val="009669B7"/>
    <w:rsid w:val="00966BD5"/>
    <w:rsid w:val="00967F56"/>
    <w:rsid w:val="00972CCE"/>
    <w:rsid w:val="00982535"/>
    <w:rsid w:val="009832F2"/>
    <w:rsid w:val="009833D5"/>
    <w:rsid w:val="009836AC"/>
    <w:rsid w:val="00991009"/>
    <w:rsid w:val="00994398"/>
    <w:rsid w:val="00994569"/>
    <w:rsid w:val="009968AD"/>
    <w:rsid w:val="009A1032"/>
    <w:rsid w:val="009A4AC6"/>
    <w:rsid w:val="009A4B66"/>
    <w:rsid w:val="009B4C26"/>
    <w:rsid w:val="009B72F3"/>
    <w:rsid w:val="009B7C79"/>
    <w:rsid w:val="009C2E70"/>
    <w:rsid w:val="009C4868"/>
    <w:rsid w:val="009C4AC9"/>
    <w:rsid w:val="009C61BD"/>
    <w:rsid w:val="009D3C39"/>
    <w:rsid w:val="009D4804"/>
    <w:rsid w:val="009D7C72"/>
    <w:rsid w:val="009E16DC"/>
    <w:rsid w:val="009E55F4"/>
    <w:rsid w:val="009E7E99"/>
    <w:rsid w:val="009F7E24"/>
    <w:rsid w:val="00A039EC"/>
    <w:rsid w:val="00A04E04"/>
    <w:rsid w:val="00A13F83"/>
    <w:rsid w:val="00A14CDE"/>
    <w:rsid w:val="00A209EF"/>
    <w:rsid w:val="00A227E4"/>
    <w:rsid w:val="00A23E46"/>
    <w:rsid w:val="00A24465"/>
    <w:rsid w:val="00A26F35"/>
    <w:rsid w:val="00A27451"/>
    <w:rsid w:val="00A42B60"/>
    <w:rsid w:val="00A45571"/>
    <w:rsid w:val="00A50E1F"/>
    <w:rsid w:val="00A55C2D"/>
    <w:rsid w:val="00A619D5"/>
    <w:rsid w:val="00A62197"/>
    <w:rsid w:val="00A74B14"/>
    <w:rsid w:val="00A76272"/>
    <w:rsid w:val="00A77AA1"/>
    <w:rsid w:val="00A81D89"/>
    <w:rsid w:val="00A83431"/>
    <w:rsid w:val="00A85C70"/>
    <w:rsid w:val="00A86ECF"/>
    <w:rsid w:val="00A92D34"/>
    <w:rsid w:val="00A954E4"/>
    <w:rsid w:val="00A959E1"/>
    <w:rsid w:val="00AA04DF"/>
    <w:rsid w:val="00AA0754"/>
    <w:rsid w:val="00AA1660"/>
    <w:rsid w:val="00AA6472"/>
    <w:rsid w:val="00AB2F12"/>
    <w:rsid w:val="00AC4962"/>
    <w:rsid w:val="00AC5FCA"/>
    <w:rsid w:val="00AD4E54"/>
    <w:rsid w:val="00AE0904"/>
    <w:rsid w:val="00AE16EB"/>
    <w:rsid w:val="00AF1649"/>
    <w:rsid w:val="00AF29E0"/>
    <w:rsid w:val="00B01421"/>
    <w:rsid w:val="00B0210B"/>
    <w:rsid w:val="00B04AEC"/>
    <w:rsid w:val="00B10F28"/>
    <w:rsid w:val="00B11A03"/>
    <w:rsid w:val="00B13EE9"/>
    <w:rsid w:val="00B21899"/>
    <w:rsid w:val="00B21CA5"/>
    <w:rsid w:val="00B233A4"/>
    <w:rsid w:val="00B23D57"/>
    <w:rsid w:val="00B23ED1"/>
    <w:rsid w:val="00B25981"/>
    <w:rsid w:val="00B27324"/>
    <w:rsid w:val="00B27979"/>
    <w:rsid w:val="00B3102C"/>
    <w:rsid w:val="00B32719"/>
    <w:rsid w:val="00B32D9A"/>
    <w:rsid w:val="00B35AAC"/>
    <w:rsid w:val="00B40B81"/>
    <w:rsid w:val="00B41CAF"/>
    <w:rsid w:val="00B422C1"/>
    <w:rsid w:val="00B45900"/>
    <w:rsid w:val="00B45EF0"/>
    <w:rsid w:val="00B552B0"/>
    <w:rsid w:val="00B55386"/>
    <w:rsid w:val="00B609E9"/>
    <w:rsid w:val="00B6199A"/>
    <w:rsid w:val="00B64932"/>
    <w:rsid w:val="00B65573"/>
    <w:rsid w:val="00B65AA2"/>
    <w:rsid w:val="00B67E77"/>
    <w:rsid w:val="00B86E04"/>
    <w:rsid w:val="00B90577"/>
    <w:rsid w:val="00B915B4"/>
    <w:rsid w:val="00B95647"/>
    <w:rsid w:val="00BA066A"/>
    <w:rsid w:val="00BA39A1"/>
    <w:rsid w:val="00BB0240"/>
    <w:rsid w:val="00BB11E4"/>
    <w:rsid w:val="00BB21D3"/>
    <w:rsid w:val="00BB7ADA"/>
    <w:rsid w:val="00BC7094"/>
    <w:rsid w:val="00BD0F13"/>
    <w:rsid w:val="00BE48CE"/>
    <w:rsid w:val="00BE6450"/>
    <w:rsid w:val="00BF2852"/>
    <w:rsid w:val="00BF2DB5"/>
    <w:rsid w:val="00BF4DBF"/>
    <w:rsid w:val="00C01F10"/>
    <w:rsid w:val="00C03D78"/>
    <w:rsid w:val="00C04F45"/>
    <w:rsid w:val="00C076F2"/>
    <w:rsid w:val="00C12A01"/>
    <w:rsid w:val="00C13AA6"/>
    <w:rsid w:val="00C13C4F"/>
    <w:rsid w:val="00C227C0"/>
    <w:rsid w:val="00C27385"/>
    <w:rsid w:val="00C2746A"/>
    <w:rsid w:val="00C276F3"/>
    <w:rsid w:val="00C30374"/>
    <w:rsid w:val="00C31560"/>
    <w:rsid w:val="00C33548"/>
    <w:rsid w:val="00C339D3"/>
    <w:rsid w:val="00C41237"/>
    <w:rsid w:val="00C473EE"/>
    <w:rsid w:val="00C47577"/>
    <w:rsid w:val="00C47EA2"/>
    <w:rsid w:val="00C51783"/>
    <w:rsid w:val="00C549F7"/>
    <w:rsid w:val="00C551A1"/>
    <w:rsid w:val="00C56C05"/>
    <w:rsid w:val="00C66F7D"/>
    <w:rsid w:val="00C6794F"/>
    <w:rsid w:val="00C73085"/>
    <w:rsid w:val="00C773BD"/>
    <w:rsid w:val="00C77B8A"/>
    <w:rsid w:val="00C82226"/>
    <w:rsid w:val="00C8477F"/>
    <w:rsid w:val="00C87327"/>
    <w:rsid w:val="00C90A2A"/>
    <w:rsid w:val="00CA2367"/>
    <w:rsid w:val="00CA25AA"/>
    <w:rsid w:val="00CB3799"/>
    <w:rsid w:val="00CC408F"/>
    <w:rsid w:val="00CC5454"/>
    <w:rsid w:val="00CC63C0"/>
    <w:rsid w:val="00CD0C63"/>
    <w:rsid w:val="00CD1C8A"/>
    <w:rsid w:val="00CD69C6"/>
    <w:rsid w:val="00CE4A25"/>
    <w:rsid w:val="00CE5296"/>
    <w:rsid w:val="00CE5FCB"/>
    <w:rsid w:val="00CF14BB"/>
    <w:rsid w:val="00CF2EAB"/>
    <w:rsid w:val="00CF645C"/>
    <w:rsid w:val="00D007F3"/>
    <w:rsid w:val="00D04610"/>
    <w:rsid w:val="00D06C9A"/>
    <w:rsid w:val="00D07485"/>
    <w:rsid w:val="00D113D6"/>
    <w:rsid w:val="00D17833"/>
    <w:rsid w:val="00D21ED8"/>
    <w:rsid w:val="00D21EEB"/>
    <w:rsid w:val="00D235B4"/>
    <w:rsid w:val="00D36492"/>
    <w:rsid w:val="00D45556"/>
    <w:rsid w:val="00D51C94"/>
    <w:rsid w:val="00D521ED"/>
    <w:rsid w:val="00D53779"/>
    <w:rsid w:val="00D66335"/>
    <w:rsid w:val="00D71FD6"/>
    <w:rsid w:val="00D74FB6"/>
    <w:rsid w:val="00D76EBC"/>
    <w:rsid w:val="00D81922"/>
    <w:rsid w:val="00D84C57"/>
    <w:rsid w:val="00D86682"/>
    <w:rsid w:val="00D87602"/>
    <w:rsid w:val="00D91EAD"/>
    <w:rsid w:val="00D92A5E"/>
    <w:rsid w:val="00DA1B0A"/>
    <w:rsid w:val="00DA6391"/>
    <w:rsid w:val="00DB6B8F"/>
    <w:rsid w:val="00DC5ACA"/>
    <w:rsid w:val="00DC6FBA"/>
    <w:rsid w:val="00DD4CE5"/>
    <w:rsid w:val="00DD4E61"/>
    <w:rsid w:val="00DE0C4D"/>
    <w:rsid w:val="00DE64EE"/>
    <w:rsid w:val="00E007E0"/>
    <w:rsid w:val="00E124F0"/>
    <w:rsid w:val="00E21355"/>
    <w:rsid w:val="00E2250E"/>
    <w:rsid w:val="00E34209"/>
    <w:rsid w:val="00E345A3"/>
    <w:rsid w:val="00E35938"/>
    <w:rsid w:val="00E361F4"/>
    <w:rsid w:val="00E4053B"/>
    <w:rsid w:val="00E45456"/>
    <w:rsid w:val="00E45EBC"/>
    <w:rsid w:val="00E5399D"/>
    <w:rsid w:val="00E5471D"/>
    <w:rsid w:val="00E5636B"/>
    <w:rsid w:val="00E56873"/>
    <w:rsid w:val="00E6136F"/>
    <w:rsid w:val="00E7403D"/>
    <w:rsid w:val="00E7671C"/>
    <w:rsid w:val="00E808A3"/>
    <w:rsid w:val="00EA0086"/>
    <w:rsid w:val="00EA6025"/>
    <w:rsid w:val="00EA7E5D"/>
    <w:rsid w:val="00EB1D5C"/>
    <w:rsid w:val="00EB2553"/>
    <w:rsid w:val="00EB4DD7"/>
    <w:rsid w:val="00EC46CA"/>
    <w:rsid w:val="00ED7A83"/>
    <w:rsid w:val="00EE008C"/>
    <w:rsid w:val="00EE1DF8"/>
    <w:rsid w:val="00EF1D1C"/>
    <w:rsid w:val="00EF4967"/>
    <w:rsid w:val="00F128EF"/>
    <w:rsid w:val="00F156CA"/>
    <w:rsid w:val="00F16610"/>
    <w:rsid w:val="00F21D2A"/>
    <w:rsid w:val="00F255A1"/>
    <w:rsid w:val="00F3743A"/>
    <w:rsid w:val="00F412B2"/>
    <w:rsid w:val="00F42DFC"/>
    <w:rsid w:val="00F516DC"/>
    <w:rsid w:val="00F52142"/>
    <w:rsid w:val="00F52198"/>
    <w:rsid w:val="00F53690"/>
    <w:rsid w:val="00F5371C"/>
    <w:rsid w:val="00F55418"/>
    <w:rsid w:val="00F55883"/>
    <w:rsid w:val="00F66A3D"/>
    <w:rsid w:val="00F67F58"/>
    <w:rsid w:val="00F7422F"/>
    <w:rsid w:val="00F76FD2"/>
    <w:rsid w:val="00F8280D"/>
    <w:rsid w:val="00FA1A65"/>
    <w:rsid w:val="00FA3546"/>
    <w:rsid w:val="00FB40FB"/>
    <w:rsid w:val="00FB55D8"/>
    <w:rsid w:val="00FB799A"/>
    <w:rsid w:val="00FC4978"/>
    <w:rsid w:val="00FD0355"/>
    <w:rsid w:val="00FD0E8E"/>
    <w:rsid w:val="00FD1DB2"/>
    <w:rsid w:val="00FD2630"/>
    <w:rsid w:val="00FE0B6D"/>
    <w:rsid w:val="00FE107F"/>
    <w:rsid w:val="00FE1CF2"/>
    <w:rsid w:val="00FE3AA0"/>
    <w:rsid w:val="00FE428B"/>
    <w:rsid w:val="00FE5803"/>
    <w:rsid w:val="00FE6D2A"/>
    <w:rsid w:val="00FF07B7"/>
    <w:rsid w:val="00FF180A"/>
    <w:rsid w:val="00FF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8BC99A"/>
  <w15:docId w15:val="{A2F91624-DB1A-4A67-81B4-AD6C324E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7D"/>
    <w:pPr>
      <w:suppressAutoHyphens/>
    </w:pPr>
    <w:rPr>
      <w:rFonts w:ascii="Times New Roman" w:eastAsia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="Calibri" w:eastAsia="Calibri" w:hAnsi="Calibri"/>
      <w:sz w:val="24"/>
      <w:szCs w:val="24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A5824"/>
  </w:style>
  <w:style w:type="paragraph" w:styleId="Rodap">
    <w:name w:val="footer"/>
    <w:basedOn w:val="Normal"/>
    <w:link w:val="RodapChar"/>
    <w:uiPriority w:val="99"/>
    <w:unhideWhenUsed/>
    <w:rsid w:val="008A5824"/>
    <w:pPr>
      <w:tabs>
        <w:tab w:val="center" w:pos="4419"/>
        <w:tab w:val="right" w:pos="8838"/>
      </w:tabs>
      <w:suppressAutoHyphens w:val="0"/>
    </w:pPr>
    <w:rPr>
      <w:rFonts w:ascii="Calibri" w:eastAsia="Calibri" w:hAnsi="Calibri"/>
      <w:sz w:val="24"/>
      <w:szCs w:val="24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A5824"/>
  </w:style>
  <w:style w:type="paragraph" w:styleId="NormalWeb">
    <w:name w:val="Normal (Web)"/>
    <w:basedOn w:val="Normal"/>
    <w:uiPriority w:val="99"/>
    <w:semiHidden/>
    <w:unhideWhenUsed/>
    <w:rsid w:val="008A5824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1C328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361F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361F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uiPriority w:val="99"/>
    <w:unhideWhenUsed/>
    <w:rsid w:val="00C04F45"/>
    <w:rPr>
      <w:color w:val="0000FF"/>
      <w:u w:val="single"/>
    </w:rPr>
  </w:style>
  <w:style w:type="paragraph" w:styleId="SemEspaamento">
    <w:name w:val="No Spacing"/>
    <w:aliases w:val="Corpo Texto"/>
    <w:uiPriority w:val="1"/>
    <w:qFormat/>
    <w:rsid w:val="00804571"/>
    <w:pPr>
      <w:spacing w:before="120" w:after="120" w:line="360" w:lineRule="auto"/>
      <w:ind w:firstLine="709"/>
      <w:jc w:val="both"/>
    </w:pPr>
    <w:rPr>
      <w:rFonts w:ascii="Arial" w:hAnsi="Arial"/>
      <w:sz w:val="24"/>
      <w:szCs w:val="22"/>
      <w:lang w:eastAsia="en-US"/>
    </w:rPr>
  </w:style>
  <w:style w:type="table" w:customStyle="1" w:styleId="TableGrid">
    <w:name w:val="TableGrid"/>
    <w:rsid w:val="00804571"/>
    <w:rPr>
      <w:rFonts w:eastAsia="MS Minch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513549"/>
    <w:pPr>
      <w:spacing w:after="200"/>
    </w:pPr>
    <w:rPr>
      <w:i/>
      <w:iCs/>
      <w:color w:val="44546A"/>
      <w:sz w:val="18"/>
      <w:szCs w:val="18"/>
    </w:rPr>
  </w:style>
  <w:style w:type="table" w:styleId="Tabelacomgrade">
    <w:name w:val="Table Grid"/>
    <w:basedOn w:val="Tabelanormal"/>
    <w:uiPriority w:val="39"/>
    <w:rsid w:val="00431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4405">
          <w:marLeft w:val="0"/>
          <w:marRight w:val="0"/>
          <w:marTop w:val="19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11687">
          <w:marLeft w:val="4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8175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Congresso%20UFSC\Exporta&#231;&#245;es%20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5"/>
      <c:rotY val="20"/>
      <c:depthPercent val="50"/>
      <c:rAngAx val="0"/>
      <c:perspective val="1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0682727365895951E-2"/>
          <c:y val="5.0877356159032265E-2"/>
          <c:w val="0.93931727263410403"/>
          <c:h val="0.7875296637532189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Gráfico!$J$4</c:f>
              <c:strCache>
                <c:ptCount val="1"/>
                <c:pt idx="0">
                  <c:v>Custo da Pegada Hídrica Virtual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Gráfico!$K$3:$P$3</c15:sqref>
                  </c15:fullRef>
                </c:ext>
              </c:extLst>
              <c:f>Gráfico!$K$3:$O$3</c:f>
              <c:strCache>
                <c:ptCount val="5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Gráfico!$K$4:$P$4</c15:sqref>
                  </c15:fullRef>
                </c:ext>
              </c:extLst>
              <c:f>Gráfico!$K$4:$O$4</c:f>
              <c:numCache>
                <c:formatCode>"R$"#,##0.00</c:formatCode>
                <c:ptCount val="5"/>
                <c:pt idx="0">
                  <c:v>0.76858795422132731</c:v>
                </c:pt>
                <c:pt idx="1">
                  <c:v>0.73369798004403874</c:v>
                </c:pt>
                <c:pt idx="2">
                  <c:v>0.82271409747101887</c:v>
                </c:pt>
                <c:pt idx="3">
                  <c:v>0.82820094259729971</c:v>
                </c:pt>
                <c:pt idx="4">
                  <c:v>0.98840742735551324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1F-47D3-B0FF-4A01F41078D0}"/>
            </c:ext>
          </c:extLst>
        </c:ser>
        <c:ser>
          <c:idx val="1"/>
          <c:order val="1"/>
          <c:tx>
            <c:strRef>
              <c:f>Gráfico!$J$5</c:f>
              <c:strCache>
                <c:ptCount val="1"/>
                <c:pt idx="0">
                  <c:v>Repasses (Lei Kandir e FEX)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accent2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2">
                  <a:lumMod val="75000"/>
                </a:schemeClr>
              </a:contourClr>
            </a:sp3d>
          </c:spPr>
          <c:invertIfNegative val="0"/>
          <c:cat>
            <c:strRef>
              <c:extLst>
                <c:ext xmlns:c15="http://schemas.microsoft.com/office/drawing/2012/chart" uri="{02D57815-91ED-43cb-92C2-25804820EDAC}">
                  <c15:fullRef>
                    <c15:sqref>Gráfico!$K$3:$P$3</c15:sqref>
                  </c15:fullRef>
                </c:ext>
              </c:extLst>
              <c:f>Gráfico!$K$3:$O$3</c:f>
              <c:strCache>
                <c:ptCount val="5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Gráfico!$K$5:$P$5</c15:sqref>
                  </c15:fullRef>
                </c:ext>
              </c:extLst>
              <c:f>Gráfico!$K$5:$O$5</c:f>
              <c:numCache>
                <c:formatCode>"R$"#,##0.00</c:formatCode>
                <c:ptCount val="5"/>
                <c:pt idx="0">
                  <c:v>3.0277577570000002E-2</c:v>
                </c:pt>
                <c:pt idx="1">
                  <c:v>0.36174364919999996</c:v>
                </c:pt>
                <c:pt idx="2">
                  <c:v>0.42586569170000005</c:v>
                </c:pt>
                <c:pt idx="3">
                  <c:v>0.84435226872000002</c:v>
                </c:pt>
                <c:pt idx="4">
                  <c:v>0.53016464396999996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81F-47D3-B0FF-4A01F41078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gapDepth val="243"/>
        <c:shape val="box"/>
        <c:axId val="1620585535"/>
        <c:axId val="1620588863"/>
        <c:axId val="0"/>
      </c:bar3DChart>
      <c:catAx>
        <c:axId val="16205855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620588863"/>
        <c:crosses val="autoZero"/>
        <c:auto val="1"/>
        <c:lblAlgn val="ctr"/>
        <c:lblOffset val="100"/>
        <c:noMultiLvlLbl val="0"/>
      </c:catAx>
      <c:valAx>
        <c:axId val="1620588863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8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pt-BR" sz="980" b="1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Valores (em bilhões de R$)</a:t>
                </a:r>
                <a:endParaRPr lang="pt-BR" sz="98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2.5966360425992416E-2"/>
              <c:y val="2.470575417019886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8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pt-BR"/>
            </a:p>
          </c:txPr>
        </c:title>
        <c:numFmt formatCode="_-* #,##0.0_-;\-* #,##0.0_-;_-* &quot;-&quot;?_-;_-@_-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pt-BR"/>
          </a:p>
        </c:txPr>
        <c:crossAx val="1620585535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0642202153585871E-2"/>
          <c:y val="0.92187424428848186"/>
          <c:w val="0.64440906666944597"/>
          <c:h val="7.8125546806649168E-2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pt-BR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F028F-F98D-4DA6-BBAA-B1C3D5581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14</Pages>
  <Words>6305</Words>
  <Characters>34050</Characters>
  <Application>Microsoft Office Word</Application>
  <DocSecurity>0</DocSecurity>
  <Lines>283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André Socoloski</cp:lastModifiedBy>
  <cp:revision>73</cp:revision>
  <cp:lastPrinted>2018-05-07T18:14:00Z</cp:lastPrinted>
  <dcterms:created xsi:type="dcterms:W3CDTF">2018-05-06T22:19:00Z</dcterms:created>
  <dcterms:modified xsi:type="dcterms:W3CDTF">2018-05-07T18:28:00Z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http://www.zotero.org/styles/apa-no-doi-no-issue</vt:lpwstr>
  </property>
  <property fmtid="{D5CDD505-2E9C-101B-9397-08002B2CF9AE}" pid="7" name="Mendeley Recent Style Name 2_1">
    <vt:lpwstr>American Psychological Association 6th edition (no DOIs, no issue numbers)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http://www.zotero.org/styles/associacao-brasileira-de-normas-tecnicas</vt:lpwstr>
  </property>
  <property fmtid="{D5CDD505-2E9C-101B-9397-08002B2CF9AE}" pid="11" name="Mendeley Recent Style Name 4_1">
    <vt:lpwstr>Associação Brasileira de Normas Técnicas (Portuguese - Brazil)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http://www.zotero.org/styles/universidade-federal-de-juiz-de-fora</vt:lpwstr>
  </property>
  <property fmtid="{D5CDD505-2E9C-101B-9397-08002B2CF9AE}" pid="21" name="Mendeley Recent Style Name 9_1">
    <vt:lpwstr>Universidade Federal de Juiz de Fora (Portuguese - Brazil)</vt:lpwstr>
  </property>
</Properties>
</file>