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1B4C8" w14:textId="77777777" w:rsidR="0036377D" w:rsidRDefault="0036377D" w:rsidP="0036377D">
      <w:pPr>
        <w:jc w:val="center"/>
        <w:rPr>
          <w:b/>
          <w:sz w:val="24"/>
        </w:rPr>
      </w:pPr>
    </w:p>
    <w:p w14:paraId="0D512929" w14:textId="77777777" w:rsidR="009A5621" w:rsidRPr="009A5621" w:rsidRDefault="009A5621" w:rsidP="009A5621">
      <w:pPr>
        <w:pStyle w:val="SemEspaamento"/>
        <w:jc w:val="center"/>
        <w:rPr>
          <w:rFonts w:ascii="Times New Roman" w:hAnsi="Times New Roman" w:cs="Times New Roman"/>
          <w:b/>
          <w:sz w:val="24"/>
          <w:szCs w:val="24"/>
          <w:lang w:eastAsia="pt-BR"/>
        </w:rPr>
      </w:pPr>
      <w:r w:rsidRPr="009A5621">
        <w:rPr>
          <w:rFonts w:ascii="Times New Roman" w:hAnsi="Times New Roman" w:cs="Times New Roman"/>
          <w:b/>
          <w:sz w:val="24"/>
          <w:szCs w:val="24"/>
        </w:rPr>
        <w:t>Impacto da Desoneração do ICMS-ST da Cadeia Produtiva do Estado de Santa Catarina em relação aos Produtos da Cesta Básica</w:t>
      </w:r>
    </w:p>
    <w:p w14:paraId="7DA4CED3" w14:textId="3DBA5924" w:rsidR="0036377D" w:rsidRDefault="0036377D" w:rsidP="00C04F45">
      <w:pPr>
        <w:widowControl w:val="0"/>
        <w:jc w:val="center"/>
        <w:rPr>
          <w:color w:val="999999"/>
        </w:rPr>
      </w:pPr>
    </w:p>
    <w:p w14:paraId="30FA87EE" w14:textId="163D84BD" w:rsidR="001E5A23" w:rsidRDefault="001E5A23" w:rsidP="00C04F45">
      <w:pPr>
        <w:widowControl w:val="0"/>
        <w:jc w:val="center"/>
        <w:rPr>
          <w:color w:val="999999"/>
        </w:rPr>
      </w:pPr>
    </w:p>
    <w:p w14:paraId="511A00E1" w14:textId="77777777" w:rsidR="001E5A23" w:rsidRDefault="001E5A23" w:rsidP="00C04F45">
      <w:pPr>
        <w:widowControl w:val="0"/>
        <w:jc w:val="center"/>
        <w:rPr>
          <w:color w:val="999999"/>
        </w:rPr>
      </w:pPr>
    </w:p>
    <w:p w14:paraId="04623E0E" w14:textId="77777777" w:rsidR="001E5A23" w:rsidRDefault="001E5A23" w:rsidP="001E5A23">
      <w:pPr>
        <w:pStyle w:val="Standard"/>
        <w:spacing w:after="0" w:line="240" w:lineRule="auto"/>
        <w:ind w:left="708"/>
        <w:jc w:val="right"/>
        <w:rPr>
          <w:rFonts w:ascii="Times New Roman" w:hAnsi="Times New Roman" w:cs="Times New Roman"/>
          <w:b/>
          <w:sz w:val="24"/>
          <w:szCs w:val="24"/>
          <w:lang w:eastAsia="pt-BR"/>
        </w:rPr>
      </w:pPr>
      <w:r w:rsidRPr="009A5621">
        <w:rPr>
          <w:rFonts w:ascii="Times New Roman" w:hAnsi="Times New Roman" w:cs="Times New Roman"/>
          <w:b/>
          <w:sz w:val="24"/>
          <w:szCs w:val="24"/>
          <w:lang w:eastAsia="pt-BR"/>
        </w:rPr>
        <w:t>Bruna de Francisco da Silva</w:t>
      </w:r>
    </w:p>
    <w:p w14:paraId="47F34A3F" w14:textId="77777777" w:rsidR="001E5A23" w:rsidRPr="0078498B" w:rsidRDefault="001E5A23" w:rsidP="001E5A23">
      <w:pPr>
        <w:widowControl w:val="0"/>
        <w:jc w:val="right"/>
        <w:rPr>
          <w:b/>
          <w:sz w:val="24"/>
          <w:szCs w:val="24"/>
        </w:rPr>
      </w:pPr>
      <w:r>
        <w:rPr>
          <w:b/>
          <w:sz w:val="24"/>
          <w:szCs w:val="24"/>
        </w:rPr>
        <w:t xml:space="preserve">Faculdade de </w:t>
      </w:r>
      <w:r w:rsidRPr="0078498B">
        <w:rPr>
          <w:b/>
          <w:sz w:val="24"/>
          <w:szCs w:val="24"/>
        </w:rPr>
        <w:t>Tecnologia Nova Palhoça (FATENP)</w:t>
      </w:r>
    </w:p>
    <w:p w14:paraId="5B741E57" w14:textId="77777777" w:rsidR="001E5A23" w:rsidRPr="0078498B" w:rsidRDefault="001E5A23" w:rsidP="001E5A23">
      <w:pPr>
        <w:jc w:val="right"/>
        <w:rPr>
          <w:b/>
          <w:sz w:val="24"/>
          <w:szCs w:val="24"/>
        </w:rPr>
      </w:pPr>
      <w:r w:rsidRPr="0078498B">
        <w:rPr>
          <w:b/>
          <w:i/>
          <w:sz w:val="24"/>
          <w:szCs w:val="24"/>
        </w:rPr>
        <w:t>E-mail:</w:t>
      </w:r>
      <w:r w:rsidRPr="0078498B">
        <w:t xml:space="preserve"> </w:t>
      </w:r>
      <w:r w:rsidRPr="0078498B">
        <w:rPr>
          <w:b/>
          <w:i/>
          <w:sz w:val="24"/>
          <w:szCs w:val="24"/>
        </w:rPr>
        <w:t>bruninha_03@yahoo.com.br</w:t>
      </w:r>
    </w:p>
    <w:p w14:paraId="10BCC613" w14:textId="77777777" w:rsidR="001E5A23" w:rsidRPr="0078498B" w:rsidRDefault="001E5A23" w:rsidP="001E5A23">
      <w:pPr>
        <w:pStyle w:val="Standard"/>
        <w:spacing w:after="0" w:line="240" w:lineRule="auto"/>
        <w:ind w:left="708"/>
        <w:jc w:val="right"/>
        <w:rPr>
          <w:rFonts w:ascii="Times New Roman" w:hAnsi="Times New Roman" w:cs="Times New Roman"/>
          <w:b/>
          <w:sz w:val="24"/>
          <w:szCs w:val="24"/>
          <w:lang w:eastAsia="pt-BR"/>
        </w:rPr>
      </w:pPr>
    </w:p>
    <w:p w14:paraId="350791E8" w14:textId="77777777" w:rsidR="001E5A23" w:rsidRPr="0078498B" w:rsidRDefault="001E5A23" w:rsidP="001E5A23">
      <w:pPr>
        <w:pStyle w:val="Standard"/>
        <w:spacing w:after="0" w:line="240" w:lineRule="auto"/>
        <w:ind w:left="708"/>
        <w:jc w:val="right"/>
        <w:rPr>
          <w:rFonts w:ascii="Times New Roman" w:hAnsi="Times New Roman" w:cs="Times New Roman"/>
          <w:b/>
          <w:sz w:val="24"/>
          <w:szCs w:val="24"/>
          <w:lang w:eastAsia="pt-BR"/>
        </w:rPr>
      </w:pPr>
      <w:r w:rsidRPr="0078498B">
        <w:rPr>
          <w:rFonts w:ascii="Times New Roman" w:hAnsi="Times New Roman" w:cs="Times New Roman"/>
          <w:b/>
          <w:sz w:val="24"/>
          <w:szCs w:val="24"/>
          <w:lang w:eastAsia="pt-BR"/>
        </w:rPr>
        <w:t xml:space="preserve">Monique de Francisco da Silva </w:t>
      </w:r>
    </w:p>
    <w:p w14:paraId="7E75444C" w14:textId="77777777" w:rsidR="001E5A23" w:rsidRPr="0078498B" w:rsidRDefault="001E5A23" w:rsidP="001E5A23">
      <w:pPr>
        <w:widowControl w:val="0"/>
        <w:jc w:val="right"/>
        <w:rPr>
          <w:b/>
          <w:sz w:val="24"/>
          <w:szCs w:val="24"/>
        </w:rPr>
      </w:pPr>
      <w:r w:rsidRPr="0078498B">
        <w:rPr>
          <w:b/>
          <w:sz w:val="24"/>
          <w:szCs w:val="24"/>
        </w:rPr>
        <w:t>Faculdade de Tecnologia Nova Palhoça (FATENP)</w:t>
      </w:r>
    </w:p>
    <w:p w14:paraId="73CA21B3" w14:textId="77777777" w:rsidR="001E5A23" w:rsidRPr="0078498B" w:rsidRDefault="001E5A23" w:rsidP="001E5A23">
      <w:pPr>
        <w:jc w:val="right"/>
        <w:rPr>
          <w:b/>
          <w:sz w:val="24"/>
          <w:szCs w:val="24"/>
        </w:rPr>
      </w:pPr>
      <w:r w:rsidRPr="0078498B">
        <w:rPr>
          <w:b/>
          <w:i/>
          <w:sz w:val="24"/>
          <w:szCs w:val="24"/>
        </w:rPr>
        <w:t>E-mail:</w:t>
      </w:r>
      <w:r w:rsidRPr="0078498B">
        <w:t xml:space="preserve"> </w:t>
      </w:r>
      <w:r w:rsidRPr="0078498B">
        <w:rPr>
          <w:b/>
          <w:i/>
          <w:sz w:val="24"/>
          <w:szCs w:val="24"/>
        </w:rPr>
        <w:t>monique_fco@yahoo.com.br</w:t>
      </w:r>
    </w:p>
    <w:p w14:paraId="2C7BC73D" w14:textId="77777777" w:rsidR="001E5A23" w:rsidRPr="0078498B" w:rsidRDefault="001E5A23" w:rsidP="001E5A23">
      <w:pPr>
        <w:jc w:val="center"/>
      </w:pPr>
    </w:p>
    <w:p w14:paraId="239748B4" w14:textId="77777777" w:rsidR="001E5A23" w:rsidRDefault="001E5A23" w:rsidP="001E5A23">
      <w:pPr>
        <w:jc w:val="right"/>
        <w:rPr>
          <w:b/>
          <w:sz w:val="24"/>
          <w:szCs w:val="24"/>
        </w:rPr>
      </w:pPr>
      <w:r w:rsidRPr="0078498B">
        <w:rPr>
          <w:b/>
          <w:sz w:val="24"/>
          <w:szCs w:val="24"/>
        </w:rPr>
        <w:t xml:space="preserve">Ernando </w:t>
      </w:r>
      <w:r>
        <w:rPr>
          <w:b/>
          <w:sz w:val="24"/>
          <w:szCs w:val="24"/>
        </w:rPr>
        <w:t>Fagundes</w:t>
      </w:r>
    </w:p>
    <w:p w14:paraId="7DCCD730" w14:textId="77777777" w:rsidR="001E5A23" w:rsidRDefault="001E5A23" w:rsidP="001E5A23">
      <w:pPr>
        <w:widowControl w:val="0"/>
        <w:jc w:val="right"/>
        <w:rPr>
          <w:b/>
          <w:sz w:val="24"/>
          <w:szCs w:val="24"/>
        </w:rPr>
      </w:pPr>
      <w:r>
        <w:rPr>
          <w:b/>
          <w:sz w:val="24"/>
          <w:szCs w:val="24"/>
        </w:rPr>
        <w:t>Faculdade de Tecnologia Nova Palhoça (FATENP)</w:t>
      </w:r>
    </w:p>
    <w:p w14:paraId="36683650" w14:textId="77777777" w:rsidR="001E5A23" w:rsidRDefault="001E5A23" w:rsidP="001E5A23">
      <w:pPr>
        <w:jc w:val="right"/>
        <w:rPr>
          <w:b/>
          <w:i/>
          <w:sz w:val="24"/>
          <w:szCs w:val="24"/>
        </w:rPr>
      </w:pPr>
      <w:r>
        <w:rPr>
          <w:b/>
          <w:sz w:val="24"/>
          <w:szCs w:val="24"/>
        </w:rPr>
        <w:t>Universidade Federal de Santa Catarina (UFSC)</w:t>
      </w:r>
    </w:p>
    <w:p w14:paraId="56F867DD" w14:textId="77777777" w:rsidR="001E5A23" w:rsidRDefault="001E5A23" w:rsidP="001E5A23">
      <w:pPr>
        <w:widowControl w:val="0"/>
        <w:jc w:val="right"/>
        <w:rPr>
          <w:b/>
          <w:i/>
          <w:sz w:val="24"/>
          <w:szCs w:val="24"/>
        </w:rPr>
      </w:pPr>
      <w:r>
        <w:rPr>
          <w:b/>
          <w:i/>
          <w:sz w:val="24"/>
          <w:szCs w:val="24"/>
        </w:rPr>
        <w:t>E-mail: fagundes.ernando@gmail.com</w:t>
      </w:r>
    </w:p>
    <w:p w14:paraId="12B56A18" w14:textId="77777777" w:rsidR="001E5A23" w:rsidRDefault="001E5A23" w:rsidP="001E5A23">
      <w:pPr>
        <w:jc w:val="right"/>
        <w:rPr>
          <w:b/>
          <w:sz w:val="24"/>
          <w:szCs w:val="24"/>
        </w:rPr>
      </w:pPr>
    </w:p>
    <w:p w14:paraId="54B3E845" w14:textId="77777777" w:rsidR="001E5A23" w:rsidRDefault="001E5A23" w:rsidP="001E5A23">
      <w:pPr>
        <w:widowControl w:val="0"/>
        <w:jc w:val="right"/>
        <w:rPr>
          <w:b/>
          <w:sz w:val="24"/>
          <w:szCs w:val="24"/>
        </w:rPr>
      </w:pPr>
      <w:r>
        <w:rPr>
          <w:b/>
          <w:sz w:val="24"/>
          <w:szCs w:val="24"/>
        </w:rPr>
        <w:t>Rodrigo Rengel</w:t>
      </w:r>
    </w:p>
    <w:p w14:paraId="14E278D5" w14:textId="77777777" w:rsidR="001E5A23" w:rsidRDefault="001E5A23" w:rsidP="001E5A23">
      <w:pPr>
        <w:jc w:val="right"/>
        <w:rPr>
          <w:b/>
          <w:i/>
          <w:sz w:val="24"/>
          <w:szCs w:val="24"/>
        </w:rPr>
      </w:pPr>
      <w:r>
        <w:rPr>
          <w:b/>
          <w:sz w:val="24"/>
          <w:szCs w:val="24"/>
        </w:rPr>
        <w:t>Universidade Federal de Santa Catarina (UFSC)</w:t>
      </w:r>
    </w:p>
    <w:p w14:paraId="4F424E15" w14:textId="77777777" w:rsidR="001E5A23" w:rsidRDefault="001E5A23" w:rsidP="001E5A23">
      <w:pPr>
        <w:jc w:val="right"/>
        <w:rPr>
          <w:b/>
          <w:sz w:val="24"/>
          <w:szCs w:val="24"/>
        </w:rPr>
      </w:pPr>
      <w:r>
        <w:rPr>
          <w:b/>
          <w:i/>
          <w:sz w:val="24"/>
          <w:szCs w:val="24"/>
        </w:rPr>
        <w:t>E-mail: rengel.rodrigo@hotmail.com</w:t>
      </w:r>
    </w:p>
    <w:p w14:paraId="369F790D" w14:textId="77777777" w:rsidR="0036377D" w:rsidRDefault="0036377D" w:rsidP="0036377D">
      <w:pPr>
        <w:jc w:val="center"/>
        <w:rPr>
          <w:color w:val="999999"/>
        </w:rPr>
      </w:pPr>
    </w:p>
    <w:p w14:paraId="0AC08FE6" w14:textId="373CD04E" w:rsidR="009A5621" w:rsidRDefault="009A5621" w:rsidP="009A5621">
      <w:pPr>
        <w:jc w:val="right"/>
        <w:rPr>
          <w:b/>
          <w:sz w:val="24"/>
          <w:szCs w:val="24"/>
        </w:rPr>
      </w:pPr>
    </w:p>
    <w:p w14:paraId="46C910EA" w14:textId="77777777" w:rsidR="00C04F45" w:rsidRDefault="0036377D" w:rsidP="00067126">
      <w:pPr>
        <w:widowControl w:val="0"/>
        <w:jc w:val="both"/>
        <w:rPr>
          <w:b/>
          <w:sz w:val="24"/>
          <w:szCs w:val="24"/>
        </w:rPr>
      </w:pPr>
      <w:r>
        <w:rPr>
          <w:b/>
          <w:sz w:val="24"/>
          <w:szCs w:val="24"/>
        </w:rPr>
        <w:t xml:space="preserve">Resumo </w:t>
      </w:r>
    </w:p>
    <w:p w14:paraId="2A9AC484" w14:textId="77777777" w:rsidR="009A5621" w:rsidRPr="00BA49A2" w:rsidRDefault="009A5621" w:rsidP="009A5621">
      <w:pPr>
        <w:pStyle w:val="Standard"/>
        <w:spacing w:after="0" w:line="240" w:lineRule="auto"/>
        <w:jc w:val="both"/>
        <w:rPr>
          <w:rFonts w:ascii="Times New Roman" w:hAnsi="Times New Roman" w:cs="Times New Roman"/>
          <w:sz w:val="24"/>
          <w:szCs w:val="24"/>
          <w:shd w:val="clear" w:color="auto" w:fill="FFFFFF"/>
        </w:rPr>
      </w:pPr>
      <w:r w:rsidRPr="00BA49A2">
        <w:rPr>
          <w:rFonts w:ascii="Times New Roman" w:hAnsi="Times New Roman" w:cs="Times New Roman"/>
          <w:sz w:val="24"/>
          <w:szCs w:val="24"/>
          <w:shd w:val="clear" w:color="auto" w:fill="FFFFFF"/>
        </w:rPr>
        <w:t xml:space="preserve">Este artigo trata de um estudo realizado em uma rede de supermercados com o objetivo de demonstrar o impacto da desoneração do ICMS-ST da cadeia produtiva de Santa Catarina, por meio da verificação a partir dos produtos que compõe a cesta básica do Departamento Intersindical de Estatística e Estudos Socioeconômicos (DIEESE). Para tanto, os objetivos específicos são: selecionar os itens da cesta básica do DIEESE que faziam parte do regime da ST, aplicar os devidos cálculos e comparar os preços anteriores e posteriores à desoneração da ST, aplicando uma mesma margem de lucro do revendedor, desta forma, será possível verificar o impacto tanto para o consumidor final, como para o contribuinte. Sendo assim, o método adotado caracteriza a pesquisa como descritiva e um estudo de caso, realizada por meio de levantamento e análise de dados e interpretação dos mesmos. Os resultados obtidos demonstram que a desoneração do ICMS-ST </w:t>
      </w:r>
      <w:r w:rsidRPr="00BA49A2">
        <w:rPr>
          <w:rFonts w:ascii="Times New Roman" w:hAnsi="Times New Roman" w:cs="Times New Roman"/>
          <w:sz w:val="24"/>
          <w:szCs w:val="24"/>
        </w:rPr>
        <w:t>provocou prejuízos para uma das partes envolvidas no processo da cadeia produtiva, o supermercado terá que se adaptar a esta nova realidade e tentar minimizar os efeitos causados pela revogação e manter-se no mercado competitivo.</w:t>
      </w:r>
    </w:p>
    <w:p w14:paraId="0E71B7D3" w14:textId="77777777" w:rsidR="0036377D" w:rsidRDefault="0036377D" w:rsidP="00067126">
      <w:pPr>
        <w:widowControl w:val="0"/>
        <w:rPr>
          <w:b/>
          <w:sz w:val="24"/>
          <w:szCs w:val="24"/>
        </w:rPr>
      </w:pPr>
    </w:p>
    <w:p w14:paraId="3BA5D226" w14:textId="3E3D537B" w:rsidR="0036377D" w:rsidRDefault="0036377D" w:rsidP="00067126">
      <w:pPr>
        <w:widowControl w:val="0"/>
        <w:rPr>
          <w:sz w:val="24"/>
          <w:szCs w:val="24"/>
        </w:rPr>
      </w:pPr>
      <w:r>
        <w:rPr>
          <w:b/>
          <w:sz w:val="24"/>
          <w:szCs w:val="24"/>
        </w:rPr>
        <w:t xml:space="preserve">Palavras-chave: </w:t>
      </w:r>
      <w:r w:rsidR="00525788">
        <w:rPr>
          <w:sz w:val="24"/>
          <w:szCs w:val="24"/>
        </w:rPr>
        <w:t>Desoneração; ICMS-ST; Cadeia Produtiva; Cesta Básica; Santa Catarina</w:t>
      </w:r>
      <w:r w:rsidR="009A5621">
        <w:rPr>
          <w:sz w:val="24"/>
          <w:szCs w:val="24"/>
        </w:rPr>
        <w:t>.</w:t>
      </w:r>
    </w:p>
    <w:p w14:paraId="637BD3FE" w14:textId="77777777" w:rsidR="0036377D" w:rsidRDefault="0036377D" w:rsidP="00067126">
      <w:pPr>
        <w:widowControl w:val="0"/>
        <w:rPr>
          <w:sz w:val="24"/>
          <w:szCs w:val="24"/>
        </w:rPr>
      </w:pPr>
    </w:p>
    <w:p w14:paraId="2080AF76" w14:textId="2F0ED2CC" w:rsidR="0036377D" w:rsidRPr="00525788" w:rsidRDefault="0036377D" w:rsidP="00067126">
      <w:pPr>
        <w:widowControl w:val="0"/>
        <w:rPr>
          <w:sz w:val="24"/>
          <w:szCs w:val="24"/>
        </w:rPr>
      </w:pPr>
      <w:r w:rsidRPr="004633E6">
        <w:rPr>
          <w:b/>
          <w:sz w:val="24"/>
          <w:szCs w:val="24"/>
        </w:rPr>
        <w:t>Linha Temática:</w:t>
      </w:r>
      <w:r w:rsidRPr="009A5621">
        <w:rPr>
          <w:b/>
          <w:color w:val="FF0000"/>
          <w:sz w:val="24"/>
          <w:szCs w:val="24"/>
        </w:rPr>
        <w:t xml:space="preserve"> </w:t>
      </w:r>
      <w:r w:rsidR="00525788" w:rsidRPr="00525788">
        <w:rPr>
          <w:rStyle w:val="Forte"/>
          <w:b w:val="0"/>
          <w:sz w:val="24"/>
          <w:szCs w:val="24"/>
          <w:shd w:val="clear" w:color="auto" w:fill="FFFFFF"/>
        </w:rPr>
        <w:t>Outros temas relevantes em contabilidade</w:t>
      </w:r>
      <w:r w:rsidR="00525788" w:rsidRPr="00525788">
        <w:rPr>
          <w:rStyle w:val="Forte"/>
          <w:b w:val="0"/>
          <w:sz w:val="24"/>
          <w:szCs w:val="24"/>
          <w:shd w:val="clear" w:color="auto" w:fill="FFFFFF"/>
        </w:rPr>
        <w:t xml:space="preserve"> </w:t>
      </w:r>
      <w:r w:rsidR="00525788" w:rsidRPr="00525788">
        <w:rPr>
          <w:rStyle w:val="Forte"/>
          <w:sz w:val="24"/>
          <w:szCs w:val="24"/>
          <w:shd w:val="clear" w:color="auto" w:fill="FFFFFF"/>
        </w:rPr>
        <w:t xml:space="preserve">- </w:t>
      </w:r>
      <w:r w:rsidR="004633E6" w:rsidRPr="00525788">
        <w:rPr>
          <w:sz w:val="24"/>
          <w:szCs w:val="24"/>
          <w:shd w:val="clear" w:color="auto" w:fill="FFFFFF"/>
        </w:rPr>
        <w:t>Contabilidade Tributária</w:t>
      </w:r>
    </w:p>
    <w:p w14:paraId="03D802D6" w14:textId="77777777" w:rsidR="009A5621" w:rsidRDefault="009A5621" w:rsidP="00067126">
      <w:pPr>
        <w:widowControl w:val="0"/>
      </w:pPr>
    </w:p>
    <w:p w14:paraId="10F16B5D" w14:textId="77777777" w:rsidR="0036377D" w:rsidRDefault="0036377D" w:rsidP="00067126">
      <w:pPr>
        <w:widowControl w:val="0"/>
      </w:pPr>
    </w:p>
    <w:p w14:paraId="4A422AD1" w14:textId="0C35D0C5" w:rsidR="0078498B" w:rsidRDefault="0078498B">
      <w:pPr>
        <w:suppressAutoHyphens w:val="0"/>
      </w:pPr>
      <w:r>
        <w:br w:type="page"/>
      </w:r>
    </w:p>
    <w:p w14:paraId="062DC2A3" w14:textId="77777777" w:rsidR="00E6136F" w:rsidRPr="00C04F45" w:rsidRDefault="001C328B" w:rsidP="00067126">
      <w:pPr>
        <w:widowControl w:val="0"/>
        <w:rPr>
          <w:b/>
          <w:sz w:val="24"/>
          <w:szCs w:val="24"/>
        </w:rPr>
      </w:pPr>
      <w:r w:rsidRPr="00C04F45">
        <w:rPr>
          <w:b/>
          <w:sz w:val="24"/>
          <w:szCs w:val="24"/>
        </w:rPr>
        <w:lastRenderedPageBreak/>
        <w:t>1 Introdução</w:t>
      </w:r>
    </w:p>
    <w:p w14:paraId="249099A5" w14:textId="77777777" w:rsidR="009A5621" w:rsidRPr="000A20E1" w:rsidRDefault="009A5621" w:rsidP="009A5621">
      <w:pPr>
        <w:ind w:firstLine="709"/>
        <w:jc w:val="both"/>
        <w:rPr>
          <w:sz w:val="24"/>
          <w:szCs w:val="24"/>
        </w:rPr>
      </w:pPr>
      <w:r w:rsidRPr="00BA49A2">
        <w:rPr>
          <w:sz w:val="24"/>
          <w:szCs w:val="24"/>
        </w:rPr>
        <w:t>A Constituição Federal (CF) instituiu a criação do Imposto sobre Circulação de Mercadorias e Serviços e sobre prestações de Serviços de transporte interestadual, intermunicipal e de comunicação (ICMS) e concedeu aos Estados e Distrito Federal o direito de legislar sobre este tributo, sendo uma das principais fontes de arrecadação de impostos dos mesmos. De acordo com o art. 155, inciso II da CF, este imposto deverá ser não cumulativo, compensando-se o valor de cada operação de circulação de mercadorias com o montante cobrado nas operações anteriores, tanto nas operações estaduais como nas interestaduais</w:t>
      </w:r>
      <w:r w:rsidR="00834CDE">
        <w:rPr>
          <w:sz w:val="24"/>
          <w:szCs w:val="24"/>
        </w:rPr>
        <w:t xml:space="preserve">, de acordo com a </w:t>
      </w:r>
      <w:r w:rsidR="004633E6" w:rsidRPr="00BA49A2">
        <w:rPr>
          <w:sz w:val="24"/>
          <w:szCs w:val="24"/>
        </w:rPr>
        <w:t xml:space="preserve">Constituição </w:t>
      </w:r>
      <w:r w:rsidR="004633E6">
        <w:rPr>
          <w:sz w:val="24"/>
          <w:szCs w:val="24"/>
        </w:rPr>
        <w:t>d</w:t>
      </w:r>
      <w:r w:rsidR="004633E6" w:rsidRPr="00BA49A2">
        <w:rPr>
          <w:sz w:val="24"/>
          <w:szCs w:val="24"/>
        </w:rPr>
        <w:t xml:space="preserve">a República Federativa </w:t>
      </w:r>
      <w:r w:rsidR="004633E6">
        <w:rPr>
          <w:sz w:val="24"/>
          <w:szCs w:val="24"/>
        </w:rPr>
        <w:t>d</w:t>
      </w:r>
      <w:r w:rsidR="004633E6" w:rsidRPr="00BA49A2">
        <w:rPr>
          <w:sz w:val="24"/>
          <w:szCs w:val="24"/>
        </w:rPr>
        <w:t xml:space="preserve">o </w:t>
      </w:r>
      <w:r w:rsidR="004633E6" w:rsidRPr="000A20E1">
        <w:rPr>
          <w:sz w:val="24"/>
          <w:szCs w:val="24"/>
        </w:rPr>
        <w:t>Brasil</w:t>
      </w:r>
      <w:r w:rsidR="00834CDE" w:rsidRPr="000A20E1">
        <w:rPr>
          <w:sz w:val="24"/>
          <w:szCs w:val="24"/>
        </w:rPr>
        <w:t xml:space="preserve"> (</w:t>
      </w:r>
      <w:r w:rsidRPr="000A20E1">
        <w:rPr>
          <w:sz w:val="24"/>
          <w:szCs w:val="24"/>
        </w:rPr>
        <w:t>1988)</w:t>
      </w:r>
      <w:r w:rsidR="00834CDE" w:rsidRPr="000A20E1">
        <w:rPr>
          <w:sz w:val="24"/>
          <w:szCs w:val="24"/>
        </w:rPr>
        <w:t>.</w:t>
      </w:r>
    </w:p>
    <w:p w14:paraId="5A630BC8" w14:textId="7C3BF585" w:rsidR="009A5621" w:rsidRPr="000A20E1" w:rsidRDefault="009A5621" w:rsidP="009A5621">
      <w:pPr>
        <w:ind w:firstLine="709"/>
        <w:jc w:val="both"/>
        <w:rPr>
          <w:sz w:val="24"/>
          <w:szCs w:val="24"/>
        </w:rPr>
      </w:pPr>
      <w:r w:rsidRPr="000A20E1">
        <w:rPr>
          <w:sz w:val="24"/>
          <w:szCs w:val="24"/>
        </w:rPr>
        <w:t>Uma das formas diferenciadas de recolhimento do ICMS é a substituição tributária (ST), onde a responsabilidade do recolhimento do imposto é atribuída ao fabricante, ao atacadista e ao distribuidor</w:t>
      </w:r>
      <w:r w:rsidR="00834CDE" w:rsidRPr="000A20E1">
        <w:rPr>
          <w:sz w:val="24"/>
          <w:szCs w:val="24"/>
        </w:rPr>
        <w:t xml:space="preserve">, conforme a </w:t>
      </w:r>
      <w:r w:rsidR="004633E6" w:rsidRPr="000A20E1">
        <w:rPr>
          <w:sz w:val="24"/>
          <w:szCs w:val="24"/>
        </w:rPr>
        <w:t>Secretaria do Estado da Fazenda de Santa Catarina</w:t>
      </w:r>
      <w:r w:rsidR="00834CDE" w:rsidRPr="000A20E1">
        <w:rPr>
          <w:sz w:val="24"/>
          <w:szCs w:val="24"/>
        </w:rPr>
        <w:t xml:space="preserve"> (</w:t>
      </w:r>
      <w:r w:rsidR="000A20E1" w:rsidRPr="000A20E1">
        <w:rPr>
          <w:sz w:val="24"/>
          <w:szCs w:val="24"/>
        </w:rPr>
        <w:t xml:space="preserve">Decreto Lei nº 1790, </w:t>
      </w:r>
      <w:r w:rsidRPr="000A20E1">
        <w:rPr>
          <w:sz w:val="24"/>
          <w:szCs w:val="24"/>
        </w:rPr>
        <w:t>1997).</w:t>
      </w:r>
    </w:p>
    <w:p w14:paraId="24C7E461" w14:textId="473B5F59" w:rsidR="009A5621" w:rsidRPr="000A20E1" w:rsidRDefault="009A5621" w:rsidP="009A5621">
      <w:pPr>
        <w:ind w:firstLine="709"/>
        <w:jc w:val="both"/>
        <w:rPr>
          <w:sz w:val="24"/>
          <w:szCs w:val="24"/>
        </w:rPr>
      </w:pPr>
      <w:r w:rsidRPr="000A20E1">
        <w:rPr>
          <w:sz w:val="24"/>
          <w:szCs w:val="24"/>
        </w:rPr>
        <w:t xml:space="preserve">A possibilidade de antecipação do imposto surgiu por meio da Lei n.º 5.172 de 1966, que definiu os responsáveis pelo imposto, sendo revogada em 1968 por meio de Decreto Lei n.º 406 deixando de existir em Lei, a concessão do responsável pela sistemática da antecipação do imposto. Entretanto, em 1983, com a Lei Complementar </w:t>
      </w:r>
      <w:r w:rsidRPr="00BA49A2">
        <w:rPr>
          <w:sz w:val="24"/>
          <w:szCs w:val="24"/>
        </w:rPr>
        <w:t xml:space="preserve">(LC) n.º 44, voltou a previsão da condição de responsável pelo imposto, sendo oficialmente divulgada em 1988, dando liberdade para os Estados e Distrito Federal de estabelecerem normas e regulamentos para sua existência. Por fim, em 1996, </w:t>
      </w:r>
      <w:r w:rsidRPr="000A20E1">
        <w:rPr>
          <w:sz w:val="24"/>
          <w:szCs w:val="24"/>
        </w:rPr>
        <w:t>foi publicada a LC n.º 87, estabelecendo normas gerais para o ICMS e para a ST (</w:t>
      </w:r>
      <w:r w:rsidR="004633E6" w:rsidRPr="000A20E1">
        <w:rPr>
          <w:sz w:val="24"/>
          <w:szCs w:val="24"/>
        </w:rPr>
        <w:t>Mariano e</w:t>
      </w:r>
      <w:r w:rsidR="004633E6" w:rsidRPr="000A20E1">
        <w:rPr>
          <w:i/>
          <w:sz w:val="24"/>
          <w:szCs w:val="24"/>
        </w:rPr>
        <w:t>t al</w:t>
      </w:r>
      <w:r w:rsidR="004633E6" w:rsidRPr="000A20E1">
        <w:rPr>
          <w:sz w:val="24"/>
          <w:szCs w:val="24"/>
        </w:rPr>
        <w:t>,</w:t>
      </w:r>
      <w:r w:rsidR="004633E6" w:rsidRPr="000A20E1">
        <w:rPr>
          <w:i/>
          <w:sz w:val="24"/>
          <w:szCs w:val="24"/>
        </w:rPr>
        <w:t xml:space="preserve"> </w:t>
      </w:r>
      <w:r w:rsidR="004633E6" w:rsidRPr="000A20E1">
        <w:rPr>
          <w:sz w:val="24"/>
          <w:szCs w:val="24"/>
        </w:rPr>
        <w:t xml:space="preserve">2014; </w:t>
      </w:r>
      <w:r w:rsidR="000A20E1" w:rsidRPr="000A20E1">
        <w:rPr>
          <w:rFonts w:eastAsia="Helvetica"/>
          <w:sz w:val="24"/>
          <w:szCs w:val="24"/>
        </w:rPr>
        <w:t>Lei nº 5172</w:t>
      </w:r>
      <w:r w:rsidR="004633E6" w:rsidRPr="000A20E1">
        <w:rPr>
          <w:sz w:val="24"/>
          <w:szCs w:val="24"/>
        </w:rPr>
        <w:t xml:space="preserve">, 1966; </w:t>
      </w:r>
      <w:r w:rsidR="000A20E1" w:rsidRPr="000A20E1">
        <w:rPr>
          <w:sz w:val="24"/>
          <w:szCs w:val="24"/>
        </w:rPr>
        <w:t>Decreto Lei nº 406</w:t>
      </w:r>
      <w:r w:rsidR="004633E6" w:rsidRPr="000A20E1">
        <w:rPr>
          <w:sz w:val="24"/>
          <w:szCs w:val="24"/>
        </w:rPr>
        <w:t xml:space="preserve">, 1968; </w:t>
      </w:r>
      <w:r w:rsidR="000A20E1" w:rsidRPr="000A20E1">
        <w:rPr>
          <w:rFonts w:eastAsia="Helvetica"/>
          <w:sz w:val="24"/>
          <w:szCs w:val="24"/>
        </w:rPr>
        <w:t>Lei complementar n° 44</w:t>
      </w:r>
      <w:r w:rsidR="004633E6" w:rsidRPr="000A20E1">
        <w:rPr>
          <w:sz w:val="24"/>
          <w:szCs w:val="24"/>
        </w:rPr>
        <w:t xml:space="preserve">, 1983; </w:t>
      </w:r>
      <w:r w:rsidR="003460DA" w:rsidRPr="000A20E1">
        <w:rPr>
          <w:sz w:val="24"/>
          <w:szCs w:val="24"/>
        </w:rPr>
        <w:t>CF</w:t>
      </w:r>
      <w:r w:rsidR="004633E6" w:rsidRPr="000A20E1">
        <w:rPr>
          <w:sz w:val="24"/>
          <w:szCs w:val="24"/>
        </w:rPr>
        <w:t xml:space="preserve">, 1988; </w:t>
      </w:r>
      <w:r w:rsidR="000A20E1" w:rsidRPr="000A20E1">
        <w:rPr>
          <w:rFonts w:eastAsia="Helvetica"/>
          <w:sz w:val="24"/>
          <w:szCs w:val="24"/>
        </w:rPr>
        <w:t>Lei complementar n° 87</w:t>
      </w:r>
      <w:r w:rsidR="004633E6" w:rsidRPr="000A20E1">
        <w:rPr>
          <w:sz w:val="24"/>
          <w:szCs w:val="24"/>
        </w:rPr>
        <w:t>, 1996</w:t>
      </w:r>
      <w:r w:rsidRPr="000A20E1">
        <w:rPr>
          <w:sz w:val="24"/>
          <w:szCs w:val="24"/>
        </w:rPr>
        <w:t>).</w:t>
      </w:r>
    </w:p>
    <w:p w14:paraId="23912638" w14:textId="5543045B" w:rsidR="009A5621" w:rsidRPr="00BA49A2" w:rsidRDefault="009A5621" w:rsidP="009A5621">
      <w:pPr>
        <w:ind w:firstLine="709"/>
        <w:jc w:val="both"/>
        <w:rPr>
          <w:color w:val="000000" w:themeColor="text1"/>
          <w:sz w:val="24"/>
          <w:szCs w:val="24"/>
          <w:shd w:val="clear" w:color="auto" w:fill="FFFFFF"/>
        </w:rPr>
      </w:pPr>
      <w:proofErr w:type="spellStart"/>
      <w:r w:rsidRPr="000A20E1">
        <w:rPr>
          <w:sz w:val="24"/>
          <w:szCs w:val="24"/>
          <w:shd w:val="clear" w:color="auto" w:fill="FFFFFF"/>
        </w:rPr>
        <w:t>Hack</w:t>
      </w:r>
      <w:proofErr w:type="spellEnd"/>
      <w:r w:rsidRPr="000A20E1">
        <w:rPr>
          <w:sz w:val="24"/>
          <w:szCs w:val="24"/>
          <w:shd w:val="clear" w:color="auto" w:fill="FFFFFF"/>
        </w:rPr>
        <w:t xml:space="preserve"> (2015) afirma que a ST foi constituída a fim de evitar a sonegação de impostos na última etapa de venda para o consumidor final, facilitando o trabalho da fiscalização dos Estados e aumentando a arrecadação de impostos. Isso porque a incidência do imposto ficaria centralizada em uma quantidade menor de fornecedores. Em Santa </w:t>
      </w:r>
      <w:r w:rsidRPr="00BA49A2">
        <w:rPr>
          <w:sz w:val="24"/>
          <w:szCs w:val="24"/>
          <w:shd w:val="clear" w:color="auto" w:fill="FFFFFF"/>
        </w:rPr>
        <w:t>Catarina, até março de 2018 a sistemática da substituição tributária abrangia de 60% a 70% dos produtos</w:t>
      </w:r>
      <w:r w:rsidR="00834CDE">
        <w:rPr>
          <w:sz w:val="24"/>
          <w:szCs w:val="24"/>
          <w:shd w:val="clear" w:color="auto" w:fill="FFFFFF"/>
        </w:rPr>
        <w:t xml:space="preserve">, segundo a </w:t>
      </w:r>
      <w:r w:rsidR="00834CDE" w:rsidRPr="00BA49A2">
        <w:rPr>
          <w:color w:val="000000" w:themeColor="text1"/>
          <w:sz w:val="24"/>
          <w:szCs w:val="24"/>
        </w:rPr>
        <w:t xml:space="preserve">Secretaria </w:t>
      </w:r>
      <w:r w:rsidR="00834CDE">
        <w:rPr>
          <w:color w:val="000000" w:themeColor="text1"/>
          <w:sz w:val="24"/>
          <w:szCs w:val="24"/>
        </w:rPr>
        <w:t>d</w:t>
      </w:r>
      <w:r w:rsidR="00834CDE" w:rsidRPr="00BA49A2">
        <w:rPr>
          <w:color w:val="000000" w:themeColor="text1"/>
          <w:sz w:val="24"/>
          <w:szCs w:val="24"/>
        </w:rPr>
        <w:t xml:space="preserve">o Estado </w:t>
      </w:r>
      <w:r w:rsidR="00834CDE">
        <w:rPr>
          <w:color w:val="000000" w:themeColor="text1"/>
          <w:sz w:val="24"/>
          <w:szCs w:val="24"/>
        </w:rPr>
        <w:t>d</w:t>
      </w:r>
      <w:r w:rsidR="00834CDE" w:rsidRPr="00BA49A2">
        <w:rPr>
          <w:color w:val="000000" w:themeColor="text1"/>
          <w:sz w:val="24"/>
          <w:szCs w:val="24"/>
        </w:rPr>
        <w:t xml:space="preserve">a Fazenda </w:t>
      </w:r>
      <w:r w:rsidR="00834CDE">
        <w:rPr>
          <w:color w:val="000000" w:themeColor="text1"/>
          <w:sz w:val="24"/>
          <w:szCs w:val="24"/>
        </w:rPr>
        <w:t>d</w:t>
      </w:r>
      <w:r w:rsidR="00834CDE" w:rsidRPr="00BA49A2">
        <w:rPr>
          <w:color w:val="000000" w:themeColor="text1"/>
          <w:sz w:val="24"/>
          <w:szCs w:val="24"/>
        </w:rPr>
        <w:t>e Santa Catarina</w:t>
      </w:r>
      <w:r w:rsidR="00834CDE">
        <w:rPr>
          <w:color w:val="000000" w:themeColor="text1"/>
          <w:sz w:val="24"/>
          <w:szCs w:val="24"/>
        </w:rPr>
        <w:t xml:space="preserve"> (</w:t>
      </w:r>
      <w:r w:rsidR="000A20E1" w:rsidRPr="003460DA">
        <w:rPr>
          <w:sz w:val="24"/>
          <w:szCs w:val="24"/>
        </w:rPr>
        <w:t>Decreto Lei nº 1541</w:t>
      </w:r>
      <w:r w:rsidR="000A20E1">
        <w:rPr>
          <w:sz w:val="24"/>
          <w:szCs w:val="24"/>
        </w:rPr>
        <w:t xml:space="preserve">, </w:t>
      </w:r>
      <w:r w:rsidRPr="00BA49A2">
        <w:rPr>
          <w:color w:val="000000" w:themeColor="text1"/>
          <w:sz w:val="24"/>
          <w:szCs w:val="24"/>
          <w:shd w:val="clear" w:color="auto" w:fill="FFFFFF"/>
        </w:rPr>
        <w:t>2018).</w:t>
      </w:r>
    </w:p>
    <w:p w14:paraId="1274090A" w14:textId="30C03597" w:rsidR="009A5621" w:rsidRPr="000A20E1" w:rsidRDefault="009A5621" w:rsidP="009A5621">
      <w:pPr>
        <w:ind w:firstLine="709"/>
        <w:jc w:val="both"/>
        <w:rPr>
          <w:sz w:val="24"/>
          <w:szCs w:val="24"/>
          <w:shd w:val="clear" w:color="auto" w:fill="FFFFFF"/>
        </w:rPr>
      </w:pPr>
      <w:r w:rsidRPr="00BA49A2">
        <w:rPr>
          <w:sz w:val="24"/>
          <w:szCs w:val="24"/>
          <w:shd w:val="clear" w:color="auto" w:fill="FFFFFF"/>
        </w:rPr>
        <w:t>No entanto, a partir de 2017, teve início no Estado de Santa Catarina um processo de mudança da sistemática da ST, com alterações nas regras de recolhimento de ICMS, por meio do D</w:t>
      </w:r>
      <w:r w:rsidRPr="00BA49A2">
        <w:rPr>
          <w:color w:val="000000" w:themeColor="text1"/>
          <w:sz w:val="24"/>
          <w:szCs w:val="24"/>
          <w:shd w:val="clear" w:color="auto" w:fill="FFFFFF"/>
        </w:rPr>
        <w:t xml:space="preserve">ecreto n° 947/2016, desonerando a ST para produtos como brinquedos, materiais de limpeza, produtos de colchoaria entre outros. </w:t>
      </w:r>
      <w:r w:rsidRPr="00BA49A2">
        <w:rPr>
          <w:color w:val="000000"/>
          <w:sz w:val="24"/>
          <w:szCs w:val="24"/>
          <w:shd w:val="clear" w:color="auto" w:fill="FFFFFF"/>
        </w:rPr>
        <w:t>O Decreto 1.173/2017 excluiu</w:t>
      </w:r>
      <w:r w:rsidRPr="00BA49A2">
        <w:rPr>
          <w:sz w:val="24"/>
          <w:szCs w:val="24"/>
          <w:shd w:val="clear" w:color="auto" w:fill="FFFFFF"/>
        </w:rPr>
        <w:t xml:space="preserve"> os eletroeletrônicos e </w:t>
      </w:r>
      <w:r w:rsidRPr="000A20E1">
        <w:rPr>
          <w:sz w:val="24"/>
          <w:szCs w:val="24"/>
          <w:shd w:val="clear" w:color="auto" w:fill="FFFFFF"/>
        </w:rPr>
        <w:t xml:space="preserve">eletrodomésticos da Substituição Tributária. Já o Decreto Estadual nº 1.432/2017 </w:t>
      </w:r>
      <w:r w:rsidRPr="000A20E1">
        <w:rPr>
          <w:rStyle w:val="Refdecomentrio"/>
          <w:sz w:val="24"/>
          <w:szCs w:val="24"/>
        </w:rPr>
        <w:t>exclui para embutidos, biscoitos, massas entre outros</w:t>
      </w:r>
      <w:r w:rsidRPr="000A20E1">
        <w:rPr>
          <w:sz w:val="24"/>
          <w:szCs w:val="24"/>
          <w:shd w:val="clear" w:color="auto" w:fill="FFFFFF"/>
        </w:rPr>
        <w:t xml:space="preserve"> </w:t>
      </w:r>
      <w:r w:rsidR="00834CDE" w:rsidRPr="000A20E1">
        <w:rPr>
          <w:sz w:val="24"/>
          <w:szCs w:val="24"/>
          <w:shd w:val="clear" w:color="auto" w:fill="FFFFFF"/>
        </w:rPr>
        <w:t>(</w:t>
      </w:r>
      <w:r w:rsidR="000A20E1" w:rsidRPr="000A20E1">
        <w:rPr>
          <w:sz w:val="24"/>
          <w:szCs w:val="24"/>
        </w:rPr>
        <w:t>Decreto Lei nº 947, 2016</w:t>
      </w:r>
      <w:r w:rsidR="00834CDE" w:rsidRPr="000A20E1">
        <w:rPr>
          <w:sz w:val="24"/>
          <w:szCs w:val="24"/>
        </w:rPr>
        <w:t xml:space="preserve">; </w:t>
      </w:r>
      <w:r w:rsidR="000A20E1" w:rsidRPr="000A20E1">
        <w:rPr>
          <w:sz w:val="24"/>
          <w:szCs w:val="24"/>
        </w:rPr>
        <w:t>Decreto Lei nº 1173</w:t>
      </w:r>
      <w:r w:rsidR="00834CDE" w:rsidRPr="000A20E1">
        <w:rPr>
          <w:sz w:val="24"/>
          <w:szCs w:val="24"/>
        </w:rPr>
        <w:t>,</w:t>
      </w:r>
      <w:r w:rsidR="00834CDE" w:rsidRPr="000A20E1">
        <w:rPr>
          <w:sz w:val="24"/>
          <w:szCs w:val="24"/>
          <w:shd w:val="clear" w:color="auto" w:fill="FFFFFF"/>
        </w:rPr>
        <w:t xml:space="preserve"> 2017).</w:t>
      </w:r>
    </w:p>
    <w:p w14:paraId="088B7E2E" w14:textId="4D2C922B" w:rsidR="009A5621" w:rsidRPr="000A20E1" w:rsidRDefault="009A5621" w:rsidP="009A5621">
      <w:pPr>
        <w:ind w:firstLine="709"/>
        <w:jc w:val="both"/>
        <w:rPr>
          <w:sz w:val="24"/>
          <w:szCs w:val="24"/>
          <w:shd w:val="clear" w:color="auto" w:fill="FFFFFF"/>
        </w:rPr>
      </w:pPr>
      <w:r w:rsidRPr="000A20E1">
        <w:rPr>
          <w:sz w:val="24"/>
          <w:szCs w:val="24"/>
          <w:shd w:val="clear" w:color="auto" w:fill="FFFFFF"/>
        </w:rPr>
        <w:t>Em 2018, o Estado de Santa Catarina continuou esse processo de desoneração da ST, abrangendo</w:t>
      </w:r>
      <w:r w:rsidRPr="00BA49A2">
        <w:rPr>
          <w:sz w:val="24"/>
          <w:szCs w:val="24"/>
          <w:shd w:val="clear" w:color="auto" w:fill="FFFFFF"/>
        </w:rPr>
        <w:t xml:space="preserve">-o à maioria dos produtos, por meio do </w:t>
      </w:r>
      <w:r w:rsidRPr="00BA49A2">
        <w:rPr>
          <w:color w:val="000000" w:themeColor="text1"/>
          <w:sz w:val="24"/>
          <w:szCs w:val="24"/>
          <w:shd w:val="clear" w:color="auto" w:fill="FFFFFF"/>
        </w:rPr>
        <w:t xml:space="preserve">Decreto n° </w:t>
      </w:r>
      <w:r w:rsidRPr="00BA49A2">
        <w:rPr>
          <w:color w:val="000000"/>
          <w:sz w:val="24"/>
          <w:szCs w:val="24"/>
          <w:shd w:val="clear" w:color="auto" w:fill="FFFFFF"/>
        </w:rPr>
        <w:t xml:space="preserve">1541/2018. </w:t>
      </w:r>
      <w:r w:rsidRPr="00BA49A2">
        <w:rPr>
          <w:sz w:val="24"/>
          <w:szCs w:val="24"/>
          <w:shd w:val="clear" w:color="auto" w:fill="FFFFFF"/>
        </w:rPr>
        <w:t xml:space="preserve">Assim, a desoneração passou a valer também </w:t>
      </w:r>
      <w:r w:rsidRPr="000A20E1">
        <w:rPr>
          <w:sz w:val="24"/>
          <w:szCs w:val="24"/>
          <w:shd w:val="clear" w:color="auto" w:fill="FFFFFF"/>
        </w:rPr>
        <w:t xml:space="preserve">para produtos alimentícios, materiais de limpeza e utilidades domésticas, permanecendo somente os combustíveis, cigarros, bebidas e automóveis </w:t>
      </w:r>
      <w:r w:rsidR="00834CDE" w:rsidRPr="000A20E1">
        <w:rPr>
          <w:sz w:val="24"/>
          <w:szCs w:val="24"/>
          <w:shd w:val="clear" w:color="auto" w:fill="FFFFFF"/>
        </w:rPr>
        <w:t>(</w:t>
      </w:r>
      <w:r w:rsidR="000A20E1" w:rsidRPr="000A20E1">
        <w:rPr>
          <w:sz w:val="24"/>
          <w:szCs w:val="24"/>
        </w:rPr>
        <w:t>Decreto Lei nº 1541</w:t>
      </w:r>
      <w:r w:rsidR="00834CDE" w:rsidRPr="000A20E1">
        <w:rPr>
          <w:sz w:val="24"/>
          <w:szCs w:val="24"/>
        </w:rPr>
        <w:t>,</w:t>
      </w:r>
      <w:r w:rsidR="00834CDE" w:rsidRPr="000A20E1">
        <w:rPr>
          <w:sz w:val="24"/>
          <w:szCs w:val="24"/>
          <w:shd w:val="clear" w:color="auto" w:fill="FFFFFF"/>
        </w:rPr>
        <w:t xml:space="preserve"> 2018). </w:t>
      </w:r>
    </w:p>
    <w:p w14:paraId="6A74715E" w14:textId="77777777" w:rsidR="009A5621" w:rsidRPr="00BA49A2" w:rsidRDefault="009A5621" w:rsidP="009A5621">
      <w:pPr>
        <w:ind w:firstLine="709"/>
        <w:jc w:val="both"/>
        <w:rPr>
          <w:sz w:val="24"/>
          <w:szCs w:val="24"/>
          <w:shd w:val="clear" w:color="auto" w:fill="FFFFFF"/>
        </w:rPr>
      </w:pPr>
      <w:r w:rsidRPr="000A20E1">
        <w:rPr>
          <w:sz w:val="24"/>
          <w:szCs w:val="24"/>
          <w:shd w:val="clear" w:color="auto" w:fill="FFFFFF"/>
        </w:rPr>
        <w:t xml:space="preserve">Diante dos fatos apresentados, cabe o seguinte questionamento: </w:t>
      </w:r>
      <w:r w:rsidRPr="000A20E1">
        <w:rPr>
          <w:b/>
          <w:sz w:val="24"/>
          <w:szCs w:val="24"/>
          <w:shd w:val="clear" w:color="auto" w:fill="FFFFFF"/>
        </w:rPr>
        <w:t xml:space="preserve">Qual o impacto da desoneração do ICMS-ST da </w:t>
      </w:r>
      <w:r w:rsidRPr="00BA49A2">
        <w:rPr>
          <w:b/>
          <w:sz w:val="24"/>
          <w:szCs w:val="24"/>
          <w:shd w:val="clear" w:color="auto" w:fill="FFFFFF"/>
        </w:rPr>
        <w:t>cadeia produtiva do estado de Santa Catarina?</w:t>
      </w:r>
      <w:r w:rsidR="007C3E1A">
        <w:rPr>
          <w:b/>
          <w:sz w:val="24"/>
          <w:szCs w:val="24"/>
          <w:shd w:val="clear" w:color="auto" w:fill="FFFFFF"/>
        </w:rPr>
        <w:t xml:space="preserve"> </w:t>
      </w:r>
      <w:r w:rsidR="007C3E1A">
        <w:rPr>
          <w:sz w:val="24"/>
          <w:szCs w:val="24"/>
          <w:shd w:val="clear" w:color="auto" w:fill="FFFFFF"/>
        </w:rPr>
        <w:t>Para responder a pergunta-problema, e</w:t>
      </w:r>
      <w:r w:rsidRPr="00BA49A2">
        <w:rPr>
          <w:sz w:val="24"/>
          <w:szCs w:val="24"/>
          <w:shd w:val="clear" w:color="auto" w:fill="FFFFFF"/>
        </w:rPr>
        <w:t xml:space="preserve">ste </w:t>
      </w:r>
      <w:r w:rsidR="007C3E1A">
        <w:rPr>
          <w:sz w:val="24"/>
          <w:szCs w:val="24"/>
          <w:shd w:val="clear" w:color="auto" w:fill="FFFFFF"/>
        </w:rPr>
        <w:t>estudo</w:t>
      </w:r>
      <w:r w:rsidRPr="00BA49A2">
        <w:rPr>
          <w:sz w:val="24"/>
          <w:szCs w:val="24"/>
          <w:shd w:val="clear" w:color="auto" w:fill="FFFFFF"/>
        </w:rPr>
        <w:t xml:space="preserve"> tem por objetivo demonstrar o impacto da desoneração do ICMS-ST da cadeia produtiva de Santa Catarina, por meio da verificação a partir dos produtos que compõe a cesta básica do Departamento Intersindical de Estatística e </w:t>
      </w:r>
      <w:r w:rsidRPr="00BA49A2">
        <w:rPr>
          <w:sz w:val="24"/>
          <w:szCs w:val="24"/>
          <w:shd w:val="clear" w:color="auto" w:fill="FFFFFF"/>
        </w:rPr>
        <w:lastRenderedPageBreak/>
        <w:t>Estudos Socioeconômicos (DIEESE). Portanto, para atingir este objetivo torna-se necessário (i) selecionar os itens da cesta básica do DIEESE que faziam parte do regime da ST, (</w:t>
      </w:r>
      <w:proofErr w:type="spellStart"/>
      <w:r w:rsidRPr="00BA49A2">
        <w:rPr>
          <w:sz w:val="24"/>
          <w:szCs w:val="24"/>
          <w:shd w:val="clear" w:color="auto" w:fill="FFFFFF"/>
        </w:rPr>
        <w:t>ii</w:t>
      </w:r>
      <w:proofErr w:type="spellEnd"/>
      <w:r w:rsidRPr="00BA49A2">
        <w:rPr>
          <w:sz w:val="24"/>
          <w:szCs w:val="24"/>
          <w:shd w:val="clear" w:color="auto" w:fill="FFFFFF"/>
        </w:rPr>
        <w:t>) aplicar os devidos cálculos e comparar os preços anteriores e posteriores à desoneração da ST, aplicando uma mesma margem de lucro do revendedor. Desta forma, será possível verificar o impacto tanto para o consumidor final, como para o contribuinte.</w:t>
      </w:r>
    </w:p>
    <w:p w14:paraId="102E0801" w14:textId="77777777" w:rsidR="009A5621" w:rsidRPr="00BA49A2" w:rsidRDefault="009A5621" w:rsidP="009A5621">
      <w:pPr>
        <w:ind w:firstLine="709"/>
        <w:jc w:val="both"/>
        <w:rPr>
          <w:sz w:val="24"/>
          <w:szCs w:val="24"/>
          <w:shd w:val="clear" w:color="auto" w:fill="FFFFFF"/>
        </w:rPr>
      </w:pPr>
      <w:r w:rsidRPr="00BA49A2">
        <w:rPr>
          <w:sz w:val="24"/>
          <w:szCs w:val="24"/>
          <w:shd w:val="clear" w:color="auto" w:fill="FFFFFF"/>
        </w:rPr>
        <w:t>Como justificativa para o estudo cabe evidenciar qual parte da cadeia produtiva de Santa Catarina sofreu prejuízos e quem se beneficiou com as alterações impostas pelo governo.</w:t>
      </w:r>
    </w:p>
    <w:p w14:paraId="50F5D492" w14:textId="77777777" w:rsidR="009A5621" w:rsidRPr="00BA49A2" w:rsidRDefault="009A5621" w:rsidP="009A5621">
      <w:pPr>
        <w:ind w:firstLine="709"/>
        <w:jc w:val="both"/>
        <w:rPr>
          <w:sz w:val="24"/>
          <w:szCs w:val="24"/>
        </w:rPr>
      </w:pPr>
    </w:p>
    <w:p w14:paraId="01E8C673" w14:textId="77777777" w:rsidR="009A5621" w:rsidRPr="00BA49A2" w:rsidRDefault="009A5621" w:rsidP="009A5621">
      <w:pPr>
        <w:jc w:val="both"/>
        <w:rPr>
          <w:b/>
          <w:sz w:val="24"/>
          <w:szCs w:val="24"/>
        </w:rPr>
      </w:pPr>
      <w:r w:rsidRPr="00BA49A2">
        <w:rPr>
          <w:b/>
          <w:sz w:val="24"/>
          <w:szCs w:val="24"/>
        </w:rPr>
        <w:t>2 Fundamentação Teórica</w:t>
      </w:r>
    </w:p>
    <w:p w14:paraId="5A11E259" w14:textId="77777777" w:rsidR="009A5621" w:rsidRPr="00BA49A2" w:rsidRDefault="009A5621" w:rsidP="009A5621">
      <w:pPr>
        <w:ind w:firstLine="708"/>
        <w:jc w:val="both"/>
        <w:rPr>
          <w:b/>
          <w:sz w:val="24"/>
          <w:szCs w:val="24"/>
        </w:rPr>
      </w:pPr>
      <w:r w:rsidRPr="00BA49A2">
        <w:rPr>
          <w:sz w:val="24"/>
          <w:szCs w:val="24"/>
        </w:rPr>
        <w:t>Nesta seção serão apresentadas as principais definições e conceitos no que concerne o ICMS e a ST, bem como estudos relacionados ao tema.</w:t>
      </w:r>
    </w:p>
    <w:p w14:paraId="7B254F7D" w14:textId="77777777" w:rsidR="009A5621" w:rsidRPr="00BA49A2" w:rsidRDefault="009A5621" w:rsidP="009A5621">
      <w:pPr>
        <w:jc w:val="both"/>
        <w:rPr>
          <w:b/>
          <w:sz w:val="24"/>
          <w:szCs w:val="24"/>
        </w:rPr>
      </w:pPr>
    </w:p>
    <w:p w14:paraId="6167797A" w14:textId="77777777" w:rsidR="009A5621" w:rsidRDefault="009A5621" w:rsidP="009A5621">
      <w:pPr>
        <w:jc w:val="both"/>
        <w:rPr>
          <w:b/>
          <w:sz w:val="24"/>
          <w:szCs w:val="24"/>
        </w:rPr>
      </w:pPr>
      <w:r w:rsidRPr="00BA49A2">
        <w:rPr>
          <w:b/>
          <w:sz w:val="24"/>
          <w:szCs w:val="24"/>
        </w:rPr>
        <w:t>2.1 ICMS</w:t>
      </w:r>
    </w:p>
    <w:p w14:paraId="59AC1BF4" w14:textId="7895B54E" w:rsidR="009A5621" w:rsidRPr="00BA49A2" w:rsidRDefault="009A5621" w:rsidP="009A5621">
      <w:pPr>
        <w:ind w:firstLine="709"/>
        <w:jc w:val="both"/>
        <w:rPr>
          <w:sz w:val="24"/>
          <w:szCs w:val="24"/>
        </w:rPr>
      </w:pPr>
      <w:r w:rsidRPr="00BA49A2">
        <w:rPr>
          <w:sz w:val="24"/>
          <w:szCs w:val="24"/>
        </w:rPr>
        <w:t xml:space="preserve">O ICMS surgiu com este formato na CF de 5 de outubro de 1988. Entretanto, anteriormente, o imposto brasileiro era denominado de Imposto sobre operações relativas a Circulação de Mercadorias (ICM), inserido no Sistema Tributário pela Emenda Constitucional n.º 18, de 1° de dezembro de 1965, substituindo o antigo Imposto Sobre </w:t>
      </w:r>
      <w:r w:rsidRPr="00BA49A2">
        <w:rPr>
          <w:color w:val="000000" w:themeColor="text1"/>
          <w:sz w:val="24"/>
          <w:szCs w:val="24"/>
        </w:rPr>
        <w:t>Vendas e Consignações (IVC), devido a uma série de desvantagens no ponto de vista econômico (</w:t>
      </w:r>
      <w:r w:rsidR="00834CDE" w:rsidRPr="00BA49A2">
        <w:rPr>
          <w:color w:val="000000" w:themeColor="text1"/>
          <w:sz w:val="24"/>
          <w:szCs w:val="24"/>
        </w:rPr>
        <w:t xml:space="preserve">Borges </w:t>
      </w:r>
      <w:r w:rsidR="00834CDE">
        <w:rPr>
          <w:color w:val="000000" w:themeColor="text1"/>
          <w:sz w:val="24"/>
          <w:szCs w:val="24"/>
        </w:rPr>
        <w:t>&amp;</w:t>
      </w:r>
      <w:r w:rsidR="00834CDE" w:rsidRPr="00BA49A2">
        <w:rPr>
          <w:color w:val="000000" w:themeColor="text1"/>
          <w:sz w:val="24"/>
          <w:szCs w:val="24"/>
        </w:rPr>
        <w:t xml:space="preserve"> Reis, </w:t>
      </w:r>
      <w:r w:rsidRPr="00BA49A2">
        <w:rPr>
          <w:color w:val="000000" w:themeColor="text1"/>
          <w:sz w:val="24"/>
          <w:szCs w:val="24"/>
        </w:rPr>
        <w:t xml:space="preserve">2015; </w:t>
      </w:r>
      <w:r w:rsidR="003460DA" w:rsidRPr="00123B1C">
        <w:rPr>
          <w:sz w:val="24"/>
          <w:szCs w:val="24"/>
        </w:rPr>
        <w:t>CF</w:t>
      </w:r>
      <w:r w:rsidR="00834CDE" w:rsidRPr="00123B1C">
        <w:rPr>
          <w:sz w:val="24"/>
          <w:szCs w:val="24"/>
        </w:rPr>
        <w:t>, 1988</w:t>
      </w:r>
      <w:r w:rsidRPr="00BA49A2">
        <w:rPr>
          <w:color w:val="000000" w:themeColor="text1"/>
          <w:sz w:val="24"/>
          <w:szCs w:val="24"/>
        </w:rPr>
        <w:t>).</w:t>
      </w:r>
    </w:p>
    <w:p w14:paraId="3AB9494A" w14:textId="77777777" w:rsidR="009A5621" w:rsidRPr="00BA49A2" w:rsidRDefault="009A5621" w:rsidP="009A5621">
      <w:pPr>
        <w:ind w:firstLine="709"/>
        <w:jc w:val="both"/>
        <w:rPr>
          <w:sz w:val="24"/>
          <w:szCs w:val="24"/>
        </w:rPr>
      </w:pPr>
      <w:r w:rsidRPr="00BA49A2">
        <w:rPr>
          <w:sz w:val="24"/>
          <w:szCs w:val="24"/>
        </w:rPr>
        <w:t xml:space="preserve">Rosa (2008) afirma que o IVC foi prejudicial à economia por ser uma sistemática que ocasionava na incidência do tributo em cada nova etapa criando o efeito cascata, ou seja, o tributo era cobrado a cada nova fase da cadeia produtiva encarecendo o produto para o consumidor final. </w:t>
      </w:r>
    </w:p>
    <w:p w14:paraId="713D7A11" w14:textId="77777777" w:rsidR="009A5621" w:rsidRDefault="009A5621" w:rsidP="009A5621">
      <w:pPr>
        <w:ind w:firstLine="709"/>
        <w:jc w:val="both"/>
        <w:rPr>
          <w:sz w:val="24"/>
          <w:szCs w:val="24"/>
        </w:rPr>
      </w:pPr>
      <w:r w:rsidRPr="00BA49A2">
        <w:rPr>
          <w:sz w:val="24"/>
          <w:szCs w:val="24"/>
        </w:rPr>
        <w:t>Silva (2009) destaca que em 1988 o Sistema Tributário Nacional sofreu algumas alterações, ampliando a base do ICM para outros fatos geradores dentre eles os serviços de transporte, de comunicação, energia elétrica, entre outros, sendo definido assim um novo formato de imposto brasileiro, denominado ICMS.</w:t>
      </w:r>
      <w:r w:rsidR="007C3E1A">
        <w:rPr>
          <w:sz w:val="24"/>
          <w:szCs w:val="24"/>
        </w:rPr>
        <w:t xml:space="preserve"> Apresenta-se na Figura 1, a evolução do ICMS.</w:t>
      </w:r>
    </w:p>
    <w:p w14:paraId="5E80C460" w14:textId="77777777" w:rsidR="007C3E1A" w:rsidRPr="00BA49A2" w:rsidRDefault="007C3E1A" w:rsidP="009A5621">
      <w:pPr>
        <w:ind w:firstLine="709"/>
        <w:jc w:val="both"/>
        <w:rPr>
          <w:sz w:val="24"/>
          <w:szCs w:val="24"/>
        </w:rPr>
      </w:pPr>
    </w:p>
    <w:p w14:paraId="0CFA8DCA" w14:textId="77777777" w:rsidR="009A5621" w:rsidRDefault="009A5621" w:rsidP="009A5621">
      <w:pPr>
        <w:jc w:val="both"/>
        <w:rPr>
          <w:sz w:val="24"/>
          <w:szCs w:val="24"/>
        </w:rPr>
      </w:pPr>
      <w:r w:rsidRPr="00BA49A2">
        <w:rPr>
          <w:noProof/>
          <w:sz w:val="24"/>
          <w:szCs w:val="24"/>
        </w:rPr>
        <w:drawing>
          <wp:inline distT="0" distB="0" distL="0" distR="0" wp14:anchorId="1B54ED73" wp14:editId="24260FAC">
            <wp:extent cx="5756275" cy="2336800"/>
            <wp:effectExtent l="0" t="0" r="15875" b="254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1E3BFA" w14:textId="77777777" w:rsidR="009A5621" w:rsidRPr="00BA49A2" w:rsidRDefault="009A5621" w:rsidP="009A5621">
      <w:pPr>
        <w:jc w:val="both"/>
        <w:rPr>
          <w:b/>
          <w:sz w:val="24"/>
          <w:szCs w:val="24"/>
        </w:rPr>
      </w:pPr>
      <w:r w:rsidRPr="00BA49A2">
        <w:rPr>
          <w:b/>
          <w:sz w:val="24"/>
          <w:szCs w:val="24"/>
        </w:rPr>
        <w:t>FIGURA 1</w:t>
      </w:r>
      <w:r>
        <w:rPr>
          <w:b/>
          <w:sz w:val="24"/>
          <w:szCs w:val="24"/>
        </w:rPr>
        <w:t>.</w:t>
      </w:r>
      <w:r w:rsidRPr="00BA49A2">
        <w:rPr>
          <w:b/>
          <w:sz w:val="24"/>
          <w:szCs w:val="24"/>
        </w:rPr>
        <w:t xml:space="preserve"> </w:t>
      </w:r>
      <w:r w:rsidRPr="009A5621">
        <w:rPr>
          <w:sz w:val="24"/>
          <w:szCs w:val="24"/>
        </w:rPr>
        <w:t>Evolução do ICMS</w:t>
      </w:r>
    </w:p>
    <w:p w14:paraId="39EFA523" w14:textId="77777777" w:rsidR="009A5621" w:rsidRPr="00BA49A2" w:rsidRDefault="009A5621" w:rsidP="009A5621">
      <w:pPr>
        <w:jc w:val="both"/>
        <w:rPr>
          <w:sz w:val="24"/>
          <w:szCs w:val="24"/>
        </w:rPr>
      </w:pPr>
    </w:p>
    <w:p w14:paraId="399EF5DA" w14:textId="7A942F5C" w:rsidR="009A5621" w:rsidRPr="000A20E1" w:rsidRDefault="009A5621" w:rsidP="009A5621">
      <w:pPr>
        <w:ind w:firstLine="709"/>
        <w:jc w:val="both"/>
        <w:rPr>
          <w:sz w:val="24"/>
          <w:szCs w:val="24"/>
        </w:rPr>
      </w:pPr>
      <w:r w:rsidRPr="00BA49A2">
        <w:rPr>
          <w:sz w:val="24"/>
          <w:szCs w:val="24"/>
        </w:rPr>
        <w:lastRenderedPageBreak/>
        <w:t xml:space="preserve">O Art. 155 da CF </w:t>
      </w:r>
      <w:r w:rsidR="00834CDE">
        <w:rPr>
          <w:sz w:val="24"/>
          <w:szCs w:val="24"/>
        </w:rPr>
        <w:t xml:space="preserve">(1988) </w:t>
      </w:r>
      <w:r w:rsidRPr="00BA49A2">
        <w:rPr>
          <w:sz w:val="24"/>
          <w:szCs w:val="24"/>
        </w:rPr>
        <w:t>define que os Estados e o Distrito Federal são os responsáveis por instituir o</w:t>
      </w:r>
      <w:r w:rsidR="007C3E1A">
        <w:rPr>
          <w:sz w:val="24"/>
          <w:szCs w:val="24"/>
        </w:rPr>
        <w:t xml:space="preserve"> ICMS</w:t>
      </w:r>
      <w:r w:rsidRPr="00BA49A2">
        <w:rPr>
          <w:sz w:val="24"/>
          <w:szCs w:val="24"/>
        </w:rPr>
        <w:t xml:space="preserve">. Entretanto, somente em 13 de setembro de 1996, surgiu a LC n.º 87, também titulada como Lei Kandir, </w:t>
      </w:r>
      <w:r w:rsidRPr="000A20E1">
        <w:rPr>
          <w:sz w:val="24"/>
          <w:szCs w:val="24"/>
        </w:rPr>
        <w:t>que normatizava o ICMS a partir de regras de incidência e deduções e seus aspectos (</w:t>
      </w:r>
      <w:r w:rsidR="007C3E1A" w:rsidRPr="000A20E1">
        <w:rPr>
          <w:sz w:val="24"/>
          <w:szCs w:val="24"/>
        </w:rPr>
        <w:t>Rosa</w:t>
      </w:r>
      <w:r w:rsidRPr="000A20E1">
        <w:rPr>
          <w:sz w:val="24"/>
          <w:szCs w:val="24"/>
        </w:rPr>
        <w:t xml:space="preserve">, 2008; </w:t>
      </w:r>
      <w:r w:rsidR="000A20E1" w:rsidRPr="000A20E1">
        <w:rPr>
          <w:rFonts w:eastAsia="Helvetica"/>
          <w:sz w:val="24"/>
          <w:szCs w:val="24"/>
        </w:rPr>
        <w:t>Lei complementar n° 87</w:t>
      </w:r>
      <w:r w:rsidR="007C3E1A" w:rsidRPr="000A20E1">
        <w:rPr>
          <w:sz w:val="24"/>
          <w:szCs w:val="24"/>
        </w:rPr>
        <w:t>, 1996</w:t>
      </w:r>
      <w:r w:rsidRPr="000A20E1">
        <w:rPr>
          <w:sz w:val="24"/>
          <w:szCs w:val="24"/>
        </w:rPr>
        <w:t>).</w:t>
      </w:r>
    </w:p>
    <w:p w14:paraId="224A7747" w14:textId="77777777" w:rsidR="009A5621" w:rsidRPr="000A20E1" w:rsidRDefault="009A5621" w:rsidP="009A5621">
      <w:pPr>
        <w:ind w:firstLine="709"/>
        <w:jc w:val="both"/>
        <w:rPr>
          <w:sz w:val="24"/>
          <w:szCs w:val="24"/>
        </w:rPr>
      </w:pPr>
      <w:r w:rsidRPr="000A20E1">
        <w:rPr>
          <w:sz w:val="24"/>
          <w:szCs w:val="24"/>
        </w:rPr>
        <w:t>Constitui-se como fato gerador do ICMS toda operação comercial na qual houver a mudança de titularidade da mercadoria, ou seja, pode ser no momento da entrada da mercadoria no estabelecimento, na saída da mercadoria, ou até mesmo no momento da emissão da nota fiscal, e assim por diante (</w:t>
      </w:r>
      <w:proofErr w:type="spellStart"/>
      <w:r w:rsidRPr="000A20E1">
        <w:rPr>
          <w:sz w:val="24"/>
          <w:szCs w:val="24"/>
        </w:rPr>
        <w:t>C</w:t>
      </w:r>
      <w:r w:rsidR="007C3E1A" w:rsidRPr="000A20E1">
        <w:rPr>
          <w:sz w:val="24"/>
          <w:szCs w:val="24"/>
        </w:rPr>
        <w:t>arrazza</w:t>
      </w:r>
      <w:proofErr w:type="spellEnd"/>
      <w:r w:rsidR="007C3E1A" w:rsidRPr="000A20E1">
        <w:rPr>
          <w:sz w:val="24"/>
          <w:szCs w:val="24"/>
        </w:rPr>
        <w:t>,</w:t>
      </w:r>
      <w:r w:rsidRPr="000A20E1">
        <w:rPr>
          <w:sz w:val="24"/>
          <w:szCs w:val="24"/>
        </w:rPr>
        <w:t xml:space="preserve"> 2006).</w:t>
      </w:r>
    </w:p>
    <w:p w14:paraId="1DCE926C" w14:textId="77777777" w:rsidR="009A5621" w:rsidRPr="000A20E1" w:rsidRDefault="009A5621" w:rsidP="009A5621">
      <w:pPr>
        <w:ind w:firstLine="709"/>
        <w:jc w:val="both"/>
        <w:rPr>
          <w:sz w:val="24"/>
          <w:szCs w:val="24"/>
        </w:rPr>
      </w:pPr>
      <w:r w:rsidRPr="000A20E1">
        <w:rPr>
          <w:sz w:val="24"/>
          <w:szCs w:val="24"/>
        </w:rPr>
        <w:t>O contribuinte do ICMS será toda pessoa que praticar as operações de circulação de mercadorias, transporte interestadual e intermunicipal e comunicação. A Lei Complementar n° 87/1996 descreve com mais clareza a definição de contribuinte:</w:t>
      </w:r>
    </w:p>
    <w:p w14:paraId="18D3F27B" w14:textId="77777777" w:rsidR="009A5621" w:rsidRPr="000A20E1" w:rsidRDefault="009A5621" w:rsidP="009A5621">
      <w:pPr>
        <w:ind w:left="2268"/>
        <w:jc w:val="both"/>
      </w:pPr>
    </w:p>
    <w:p w14:paraId="160A29D5" w14:textId="77777777" w:rsidR="009A5621" w:rsidRPr="000A20E1" w:rsidRDefault="009A5621" w:rsidP="009A5621">
      <w:pPr>
        <w:ind w:left="2268"/>
        <w:jc w:val="both"/>
      </w:pPr>
    </w:p>
    <w:p w14:paraId="1EF39F5B" w14:textId="23433D90" w:rsidR="009A5621" w:rsidRPr="000A20E1" w:rsidRDefault="009A5621" w:rsidP="009A5621">
      <w:pPr>
        <w:ind w:left="2268"/>
        <w:jc w:val="both"/>
      </w:pPr>
      <w:r w:rsidRPr="000A20E1">
        <w:t>Art°4</w:t>
      </w:r>
      <w:r w:rsidR="007C3E1A" w:rsidRPr="000A20E1">
        <w:t xml:space="preserve">. </w:t>
      </w:r>
      <w:r w:rsidRPr="000A20E1">
        <w:t>Contribuinte é qualquer pessoa, física ou jurídica, que realize, com habitualidade ou com volume que caracterize intuito comercial, operações de circulação de mercadorias ou prestações de serviços de transporte interestadual e intermunicipal e de comunicação, ainda que as operações e as prestações se iniciem no exterior (</w:t>
      </w:r>
      <w:r w:rsidR="000A20E1" w:rsidRPr="000A20E1">
        <w:rPr>
          <w:rFonts w:eastAsia="Helvetica"/>
          <w:sz w:val="24"/>
          <w:szCs w:val="24"/>
        </w:rPr>
        <w:t>Lei complementar n° 87</w:t>
      </w:r>
      <w:r w:rsidR="007C3E1A" w:rsidRPr="000A20E1">
        <w:t>, 1996</w:t>
      </w:r>
      <w:r w:rsidRPr="000A20E1">
        <w:t>).</w:t>
      </w:r>
    </w:p>
    <w:p w14:paraId="03352AC6" w14:textId="77777777" w:rsidR="009A5621" w:rsidRPr="000A20E1" w:rsidRDefault="009A5621" w:rsidP="009A5621">
      <w:pPr>
        <w:ind w:firstLine="709"/>
        <w:jc w:val="both"/>
      </w:pPr>
    </w:p>
    <w:p w14:paraId="29B690B3" w14:textId="77777777" w:rsidR="009A5621" w:rsidRPr="000A20E1" w:rsidRDefault="009A5621" w:rsidP="009A5621">
      <w:pPr>
        <w:ind w:firstLine="709"/>
        <w:jc w:val="both"/>
      </w:pPr>
    </w:p>
    <w:p w14:paraId="5BD9E14B" w14:textId="77777777" w:rsidR="009A5621" w:rsidRPr="00BA49A2" w:rsidRDefault="009A5621" w:rsidP="009A5621">
      <w:pPr>
        <w:ind w:firstLine="709"/>
        <w:jc w:val="both"/>
        <w:rPr>
          <w:sz w:val="24"/>
          <w:szCs w:val="24"/>
        </w:rPr>
      </w:pPr>
      <w:r w:rsidRPr="000A20E1">
        <w:rPr>
          <w:sz w:val="24"/>
          <w:szCs w:val="24"/>
        </w:rPr>
        <w:t xml:space="preserve">Um dos fatores mais importantes para o cálculo do ICMS é a definição de sua base de cálculo. Segundo Garcia (1995), sua importância é devido ao fato de poder dimensionar o fato gerador do tributo, bem como determinar o valor da obrigação </w:t>
      </w:r>
      <w:r w:rsidRPr="00BA49A2">
        <w:rPr>
          <w:color w:val="000000" w:themeColor="text1"/>
          <w:sz w:val="24"/>
          <w:szCs w:val="24"/>
        </w:rPr>
        <w:t xml:space="preserve">tributária. Junior e </w:t>
      </w:r>
      <w:proofErr w:type="spellStart"/>
      <w:r w:rsidRPr="00BA49A2">
        <w:rPr>
          <w:color w:val="000000" w:themeColor="text1"/>
          <w:sz w:val="24"/>
          <w:szCs w:val="24"/>
        </w:rPr>
        <w:t>Oyadomari</w:t>
      </w:r>
      <w:proofErr w:type="spellEnd"/>
      <w:r w:rsidRPr="00BA49A2">
        <w:rPr>
          <w:color w:val="000000" w:themeColor="text1"/>
          <w:sz w:val="24"/>
          <w:szCs w:val="24"/>
        </w:rPr>
        <w:t xml:space="preserve"> (2010</w:t>
      </w:r>
      <w:r w:rsidRPr="00BA49A2">
        <w:rPr>
          <w:sz w:val="24"/>
          <w:szCs w:val="24"/>
        </w:rPr>
        <w:t>) descrevem como sendo a base de cálculo do ICMS na sua operação normal na circulação de mercadorias: o valor da mercadoria e todas as despesas essenciais para a entrada da mercadoria no estabelecimento como, por exemplo, fretes, seguros entre outros.</w:t>
      </w:r>
    </w:p>
    <w:p w14:paraId="50A4E8EA" w14:textId="77777777" w:rsidR="009A5621" w:rsidRPr="00BA49A2" w:rsidRDefault="009A5621" w:rsidP="009A5621">
      <w:pPr>
        <w:ind w:firstLine="709"/>
        <w:jc w:val="both"/>
        <w:rPr>
          <w:color w:val="5B9BD5" w:themeColor="accent5"/>
          <w:sz w:val="24"/>
          <w:szCs w:val="24"/>
        </w:rPr>
      </w:pPr>
      <w:r w:rsidRPr="00BA49A2">
        <w:rPr>
          <w:sz w:val="24"/>
          <w:szCs w:val="24"/>
        </w:rPr>
        <w:t xml:space="preserve">A alíquota a ser aplicada sobre a base de cálculo das mercadorias é definida de forma seletiva por cada Estado. Normalmente os Estados seguem a mesma linha, sendo que quanto mais essencial for o produto, menor deverá ser a sua alíquota. Cada Estado possui uma </w:t>
      </w:r>
      <w:r w:rsidRPr="00BA49A2">
        <w:rPr>
          <w:color w:val="000000" w:themeColor="text1"/>
          <w:sz w:val="24"/>
          <w:szCs w:val="24"/>
        </w:rPr>
        <w:t>alíquota interna aplicável à maioria dos produtos, que pode ser de 17%, 18% ou 19</w:t>
      </w:r>
      <w:r w:rsidRPr="00BA49A2">
        <w:rPr>
          <w:sz w:val="24"/>
          <w:szCs w:val="24"/>
        </w:rPr>
        <w:t>% (S</w:t>
      </w:r>
      <w:r w:rsidR="007C3E1A" w:rsidRPr="00BA49A2">
        <w:rPr>
          <w:sz w:val="24"/>
          <w:szCs w:val="24"/>
        </w:rPr>
        <w:t>ouza</w:t>
      </w:r>
      <w:r w:rsidRPr="00BA49A2">
        <w:rPr>
          <w:sz w:val="24"/>
          <w:szCs w:val="24"/>
        </w:rPr>
        <w:t>, 2010).</w:t>
      </w:r>
    </w:p>
    <w:p w14:paraId="61883DB6" w14:textId="77777777" w:rsidR="009A5621" w:rsidRPr="00BA49A2" w:rsidRDefault="009A5621" w:rsidP="009A5621">
      <w:pPr>
        <w:ind w:firstLine="709"/>
        <w:jc w:val="both"/>
        <w:rPr>
          <w:sz w:val="24"/>
          <w:szCs w:val="24"/>
        </w:rPr>
      </w:pPr>
      <w:r w:rsidRPr="00BA49A2">
        <w:rPr>
          <w:sz w:val="24"/>
          <w:szCs w:val="24"/>
        </w:rPr>
        <w:t>Uma das principais características do ICMS é a sua não cumulatividade, que se refere à compensação do que for devido em cada operação com o montante cobrado nas operações anteriores tanto nas estaduais como nas interestaduais (</w:t>
      </w:r>
      <w:r w:rsidR="007C3E1A" w:rsidRPr="00BA49A2">
        <w:rPr>
          <w:sz w:val="24"/>
          <w:szCs w:val="24"/>
        </w:rPr>
        <w:t xml:space="preserve">Filho </w:t>
      </w:r>
      <w:r w:rsidR="007C3E1A">
        <w:rPr>
          <w:sz w:val="24"/>
          <w:szCs w:val="24"/>
        </w:rPr>
        <w:t>&amp;</w:t>
      </w:r>
      <w:r w:rsidR="007C3E1A" w:rsidRPr="00BA49A2">
        <w:rPr>
          <w:sz w:val="24"/>
          <w:szCs w:val="24"/>
        </w:rPr>
        <w:t xml:space="preserve"> Junior</w:t>
      </w:r>
      <w:r w:rsidRPr="00BA49A2">
        <w:rPr>
          <w:sz w:val="24"/>
          <w:szCs w:val="24"/>
        </w:rPr>
        <w:t>, 2005).</w:t>
      </w:r>
    </w:p>
    <w:p w14:paraId="42B44DC0" w14:textId="71460B2B" w:rsidR="009A5621" w:rsidRPr="000A20E1" w:rsidRDefault="009A5621" w:rsidP="009A5621">
      <w:pPr>
        <w:jc w:val="both"/>
        <w:rPr>
          <w:sz w:val="24"/>
          <w:szCs w:val="24"/>
        </w:rPr>
      </w:pPr>
      <w:r w:rsidRPr="00BA49A2">
        <w:rPr>
          <w:sz w:val="24"/>
          <w:szCs w:val="24"/>
        </w:rPr>
        <w:t xml:space="preserve">No Estado de Santa Catarina, a alíquota aplicada nas operações internas é de 17%, salvo para mercadorias e serviços nos casos de operações com energia elétrica, produtos supérfluos, serviços de comunicação, gasolina automotiva e álcool carburante, aplicados a estes a alíquota de 25%. Entretanto, nos casos de operações com energia elétrica domiciliar, energia elétrica para produtor rural, prestações de serviços rodoviários, ferroviários e aquaviário de passageiros, produtos de consumo popular, produtos primários em estado natural (veículos </w:t>
      </w:r>
      <w:r w:rsidRPr="00BA49A2">
        <w:rPr>
          <w:color w:val="000000" w:themeColor="text1"/>
          <w:sz w:val="24"/>
          <w:szCs w:val="24"/>
        </w:rPr>
        <w:t xml:space="preserve">automotores, óleo diesel, </w:t>
      </w:r>
      <w:r w:rsidRPr="000A20E1">
        <w:rPr>
          <w:sz w:val="24"/>
          <w:szCs w:val="24"/>
        </w:rPr>
        <w:t>coque de carvão mineral) será aplicada a alíquota de 12% (</w:t>
      </w:r>
      <w:r w:rsidR="000A20E1" w:rsidRPr="000A20E1">
        <w:rPr>
          <w:sz w:val="24"/>
          <w:szCs w:val="24"/>
        </w:rPr>
        <w:t>Decreto Lei nº 1790</w:t>
      </w:r>
      <w:r w:rsidR="007C3E1A" w:rsidRPr="000A20E1">
        <w:rPr>
          <w:sz w:val="24"/>
          <w:szCs w:val="24"/>
        </w:rPr>
        <w:t>a, 1997</w:t>
      </w:r>
      <w:r w:rsidRPr="000A20E1">
        <w:rPr>
          <w:sz w:val="24"/>
          <w:szCs w:val="24"/>
        </w:rPr>
        <w:t>).</w:t>
      </w:r>
    </w:p>
    <w:p w14:paraId="1A17A867" w14:textId="2F903B6F" w:rsidR="009A5621" w:rsidRPr="000A20E1" w:rsidRDefault="009A5621" w:rsidP="009A5621">
      <w:pPr>
        <w:ind w:firstLine="709"/>
        <w:jc w:val="both"/>
        <w:rPr>
          <w:sz w:val="24"/>
          <w:szCs w:val="24"/>
        </w:rPr>
      </w:pPr>
      <w:r w:rsidRPr="000A20E1">
        <w:rPr>
          <w:sz w:val="24"/>
          <w:szCs w:val="24"/>
        </w:rPr>
        <w:t>Santa Catarina possui diversos benefícios fiscais referentes ao ICMS, porém para o presente artigo cabe ressaltar o artigo 11, anexo II do Regulamento do ICMS (RICMS-SC) que concede o benefício da redução na base de cálculo dos produtos da cesta básica nas operações internas em 41,667% ou a aplicação diretamente da alíquota de 7%. Entre os itens relacionados à cesta básica se encontram as carnes, peixes, arroz, pão, farinha de trigo, sardinha, macarrão, entre outros (</w:t>
      </w:r>
      <w:r w:rsidR="000A20E1" w:rsidRPr="000A20E1">
        <w:rPr>
          <w:sz w:val="24"/>
          <w:szCs w:val="24"/>
        </w:rPr>
        <w:t>Decreto Lei nº 1790</w:t>
      </w:r>
      <w:r w:rsidR="007C3E1A" w:rsidRPr="000A20E1">
        <w:rPr>
          <w:sz w:val="24"/>
          <w:szCs w:val="24"/>
        </w:rPr>
        <w:t>, 1997</w:t>
      </w:r>
      <w:r w:rsidRPr="000A20E1">
        <w:rPr>
          <w:sz w:val="24"/>
          <w:szCs w:val="24"/>
        </w:rPr>
        <w:t>).</w:t>
      </w:r>
    </w:p>
    <w:p w14:paraId="6DB51D5C" w14:textId="77777777" w:rsidR="00E17006" w:rsidRPr="00BA49A2" w:rsidRDefault="00E17006" w:rsidP="009A5621">
      <w:pPr>
        <w:ind w:firstLine="709"/>
        <w:jc w:val="both"/>
        <w:rPr>
          <w:color w:val="000000" w:themeColor="text1"/>
          <w:sz w:val="24"/>
          <w:szCs w:val="24"/>
        </w:rPr>
      </w:pPr>
    </w:p>
    <w:p w14:paraId="58344955" w14:textId="77777777" w:rsidR="009A5621" w:rsidRPr="00BA49A2" w:rsidRDefault="009A5621" w:rsidP="009A5621">
      <w:pPr>
        <w:jc w:val="both"/>
        <w:rPr>
          <w:b/>
          <w:sz w:val="24"/>
          <w:szCs w:val="24"/>
        </w:rPr>
      </w:pPr>
      <w:r w:rsidRPr="00BA49A2">
        <w:rPr>
          <w:b/>
          <w:sz w:val="24"/>
          <w:szCs w:val="24"/>
        </w:rPr>
        <w:t>2.2 Substituição Tributária</w:t>
      </w:r>
    </w:p>
    <w:p w14:paraId="68EE25E8" w14:textId="77777777" w:rsidR="009A5621" w:rsidRPr="00BA49A2" w:rsidRDefault="009A5621" w:rsidP="009A5621">
      <w:pPr>
        <w:ind w:firstLine="709"/>
        <w:jc w:val="both"/>
        <w:rPr>
          <w:sz w:val="24"/>
          <w:szCs w:val="24"/>
        </w:rPr>
      </w:pPr>
      <w:r w:rsidRPr="00BA49A2">
        <w:rPr>
          <w:sz w:val="24"/>
          <w:szCs w:val="24"/>
        </w:rPr>
        <w:t>A Substituição Tributária (ST) não foi criada pelos legisladores brasileiros. Trata-se de uma sistemática de origem antiga utilizada na Europa no fim do século XVIII, adotada como fórmula de aumentar a arrecadação tributária (</w:t>
      </w:r>
      <w:r w:rsidR="007C3E1A" w:rsidRPr="00BA49A2">
        <w:rPr>
          <w:sz w:val="24"/>
          <w:szCs w:val="24"/>
        </w:rPr>
        <w:t>Souza</w:t>
      </w:r>
      <w:r w:rsidRPr="00BA49A2">
        <w:rPr>
          <w:sz w:val="24"/>
          <w:szCs w:val="24"/>
        </w:rPr>
        <w:t>, 2002).</w:t>
      </w:r>
      <w:r w:rsidR="007C3E1A">
        <w:rPr>
          <w:sz w:val="24"/>
          <w:szCs w:val="24"/>
        </w:rPr>
        <w:t xml:space="preserve"> </w:t>
      </w:r>
      <w:r w:rsidRPr="00BA49A2">
        <w:rPr>
          <w:sz w:val="24"/>
          <w:szCs w:val="24"/>
        </w:rPr>
        <w:t xml:space="preserve">No Brasil, esta forma de recolhimento de imposto já existe há no mínimo 40 anos e um dos primeiros produtos a fazer parte desse regime tributário foi o cigarro </w:t>
      </w:r>
      <w:r w:rsidR="007C3E1A" w:rsidRPr="00BA49A2">
        <w:rPr>
          <w:sz w:val="24"/>
          <w:szCs w:val="24"/>
        </w:rPr>
        <w:t xml:space="preserve">(Silva, </w:t>
      </w:r>
      <w:r w:rsidRPr="00BA49A2">
        <w:rPr>
          <w:sz w:val="24"/>
          <w:szCs w:val="24"/>
        </w:rPr>
        <w:t>2009).</w:t>
      </w:r>
    </w:p>
    <w:p w14:paraId="133121EE" w14:textId="69242BB1" w:rsidR="009A5621" w:rsidRDefault="009A5621" w:rsidP="009A5621">
      <w:pPr>
        <w:ind w:firstLine="709"/>
        <w:jc w:val="both"/>
        <w:rPr>
          <w:sz w:val="24"/>
          <w:szCs w:val="24"/>
        </w:rPr>
      </w:pPr>
      <w:r w:rsidRPr="00BA49A2">
        <w:rPr>
          <w:sz w:val="24"/>
          <w:szCs w:val="24"/>
        </w:rPr>
        <w:t>A ideia da antecipação do imposto surgiu por meio da Lei n.º 5.172 de 1966</w:t>
      </w:r>
      <w:r w:rsidRPr="00BA49A2">
        <w:rPr>
          <w:rStyle w:val="Refdecomentrio"/>
          <w:sz w:val="24"/>
          <w:szCs w:val="24"/>
        </w:rPr>
        <w:t xml:space="preserve"> e</w:t>
      </w:r>
      <w:r w:rsidRPr="00BA49A2">
        <w:rPr>
          <w:sz w:val="24"/>
          <w:szCs w:val="24"/>
        </w:rPr>
        <w:t xml:space="preserve">stabelecendo a criação de responsáveis pelo imposto, mas já revogada em 1968 por meio de Decreto Lei 406 deixando de existir em Lei, a concessão do responsável pela sistemática da ST. Entretanto, em 1983, com a </w:t>
      </w:r>
      <w:r w:rsidR="000A20E1" w:rsidRPr="003460DA">
        <w:rPr>
          <w:rFonts w:eastAsia="Helvetica"/>
          <w:sz w:val="24"/>
          <w:szCs w:val="24"/>
        </w:rPr>
        <w:t>Lei complementar n° 44</w:t>
      </w:r>
      <w:r w:rsidR="000A20E1">
        <w:rPr>
          <w:rFonts w:eastAsia="Helvetica"/>
          <w:sz w:val="24"/>
          <w:szCs w:val="24"/>
        </w:rPr>
        <w:t xml:space="preserve"> </w:t>
      </w:r>
      <w:r w:rsidRPr="00BA49A2">
        <w:rPr>
          <w:sz w:val="24"/>
          <w:szCs w:val="24"/>
        </w:rPr>
        <w:t xml:space="preserve">voltou a ser previsto a condição de responsável pelo imposto sendo oficialmente promulgada em 1988 dando liberdade para os estados e Distrito Federal de fixarem normas e regulamentos para sua existência, mas não possuía a </w:t>
      </w:r>
      <w:r w:rsidRPr="000A20E1">
        <w:rPr>
          <w:sz w:val="24"/>
          <w:szCs w:val="24"/>
        </w:rPr>
        <w:t>devida aplicabilidade. Por fim em 1996, foi publicada a LC n.º 87, estabelecendo normas gerais do ICMS e a Substituição Tributária (</w:t>
      </w:r>
      <w:r w:rsidR="007C3E1A" w:rsidRPr="000A20E1">
        <w:rPr>
          <w:sz w:val="24"/>
          <w:szCs w:val="24"/>
        </w:rPr>
        <w:t>Mariano e</w:t>
      </w:r>
      <w:r w:rsidR="007C3E1A" w:rsidRPr="000A20E1">
        <w:rPr>
          <w:i/>
          <w:sz w:val="24"/>
          <w:szCs w:val="24"/>
        </w:rPr>
        <w:t xml:space="preserve">t al </w:t>
      </w:r>
      <w:r w:rsidR="007C3E1A" w:rsidRPr="000A20E1">
        <w:rPr>
          <w:sz w:val="24"/>
          <w:szCs w:val="24"/>
        </w:rPr>
        <w:t xml:space="preserve">2014; </w:t>
      </w:r>
      <w:r w:rsidR="000A20E1" w:rsidRPr="000A20E1">
        <w:rPr>
          <w:rFonts w:eastAsia="Helvetica"/>
          <w:sz w:val="24"/>
          <w:szCs w:val="24"/>
        </w:rPr>
        <w:t>Lei nº 5172</w:t>
      </w:r>
      <w:r w:rsidR="007C3E1A" w:rsidRPr="000A20E1">
        <w:rPr>
          <w:sz w:val="24"/>
          <w:szCs w:val="24"/>
        </w:rPr>
        <w:t xml:space="preserve">, 1966; </w:t>
      </w:r>
      <w:r w:rsidR="000A20E1" w:rsidRPr="000A20E1">
        <w:rPr>
          <w:sz w:val="24"/>
          <w:szCs w:val="24"/>
        </w:rPr>
        <w:t>Decreto Lei nº 406</w:t>
      </w:r>
      <w:r w:rsidR="007C3E1A" w:rsidRPr="000A20E1">
        <w:rPr>
          <w:sz w:val="24"/>
          <w:szCs w:val="24"/>
        </w:rPr>
        <w:t xml:space="preserve">, 1968; </w:t>
      </w:r>
      <w:r w:rsidR="000A20E1" w:rsidRPr="000A20E1">
        <w:rPr>
          <w:rFonts w:eastAsia="Helvetica"/>
          <w:sz w:val="24"/>
          <w:szCs w:val="24"/>
        </w:rPr>
        <w:t>Lei complementar n° 44</w:t>
      </w:r>
      <w:r w:rsidR="007C3E1A" w:rsidRPr="000A20E1">
        <w:rPr>
          <w:sz w:val="24"/>
          <w:szCs w:val="24"/>
        </w:rPr>
        <w:t xml:space="preserve">, 1983; </w:t>
      </w:r>
      <w:r w:rsidR="003460DA" w:rsidRPr="000A20E1">
        <w:rPr>
          <w:sz w:val="24"/>
          <w:szCs w:val="24"/>
        </w:rPr>
        <w:t>CF</w:t>
      </w:r>
      <w:r w:rsidR="007C3E1A" w:rsidRPr="000A20E1">
        <w:rPr>
          <w:sz w:val="24"/>
          <w:szCs w:val="24"/>
        </w:rPr>
        <w:t xml:space="preserve">, 1988; </w:t>
      </w:r>
      <w:r w:rsidR="000A20E1" w:rsidRPr="000A20E1">
        <w:rPr>
          <w:rFonts w:eastAsia="Helvetica"/>
          <w:sz w:val="24"/>
          <w:szCs w:val="24"/>
        </w:rPr>
        <w:t>Lei complementar n° 87</w:t>
      </w:r>
      <w:r w:rsidR="007C3E1A" w:rsidRPr="000A20E1">
        <w:rPr>
          <w:sz w:val="24"/>
          <w:szCs w:val="24"/>
        </w:rPr>
        <w:t>, 1996</w:t>
      </w:r>
      <w:r w:rsidRPr="000A20E1">
        <w:rPr>
          <w:sz w:val="24"/>
          <w:szCs w:val="24"/>
        </w:rPr>
        <w:t>).</w:t>
      </w:r>
    </w:p>
    <w:p w14:paraId="5EEF6979" w14:textId="77777777" w:rsidR="007C3E1A" w:rsidRPr="00BA49A2" w:rsidRDefault="007C3E1A" w:rsidP="009A5621">
      <w:pPr>
        <w:ind w:firstLine="709"/>
        <w:jc w:val="both"/>
        <w:rPr>
          <w:sz w:val="24"/>
          <w:szCs w:val="24"/>
        </w:rPr>
      </w:pPr>
      <w:r>
        <w:rPr>
          <w:sz w:val="24"/>
          <w:szCs w:val="24"/>
        </w:rPr>
        <w:t>A Figura 2 demonstra a evolução histórica do ICMS-ST.</w:t>
      </w:r>
    </w:p>
    <w:p w14:paraId="21AE21C6" w14:textId="77777777" w:rsidR="009A5621" w:rsidRPr="00BA49A2" w:rsidRDefault="009A5621" w:rsidP="009A5621">
      <w:pPr>
        <w:ind w:firstLine="709"/>
        <w:jc w:val="both"/>
        <w:rPr>
          <w:sz w:val="24"/>
          <w:szCs w:val="24"/>
        </w:rPr>
      </w:pPr>
      <w:r w:rsidRPr="00BA49A2">
        <w:rPr>
          <w:sz w:val="24"/>
          <w:szCs w:val="24"/>
        </w:rPr>
        <w:t xml:space="preserve"> </w:t>
      </w:r>
    </w:p>
    <w:p w14:paraId="3052621A" w14:textId="77777777" w:rsidR="009A5621" w:rsidRDefault="009A5621" w:rsidP="009A5621">
      <w:pPr>
        <w:jc w:val="both"/>
        <w:rPr>
          <w:sz w:val="24"/>
          <w:szCs w:val="24"/>
        </w:rPr>
      </w:pPr>
      <w:r w:rsidRPr="00BA49A2">
        <w:rPr>
          <w:noProof/>
          <w:sz w:val="24"/>
          <w:szCs w:val="24"/>
        </w:rPr>
        <w:drawing>
          <wp:inline distT="0" distB="0" distL="0" distR="0" wp14:anchorId="63340A7B" wp14:editId="5E82F815">
            <wp:extent cx="5689600" cy="2622550"/>
            <wp:effectExtent l="0" t="0" r="25400" b="254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38A499F" w14:textId="77777777" w:rsidR="009A5621" w:rsidRPr="00BA49A2" w:rsidRDefault="009A5621" w:rsidP="009A5621">
      <w:pPr>
        <w:jc w:val="both"/>
        <w:rPr>
          <w:sz w:val="24"/>
          <w:szCs w:val="24"/>
        </w:rPr>
      </w:pPr>
      <w:r w:rsidRPr="00BA49A2">
        <w:rPr>
          <w:b/>
          <w:sz w:val="24"/>
          <w:szCs w:val="24"/>
        </w:rPr>
        <w:t>FIGURA 2</w:t>
      </w:r>
      <w:r>
        <w:rPr>
          <w:b/>
          <w:sz w:val="24"/>
          <w:szCs w:val="24"/>
        </w:rPr>
        <w:t xml:space="preserve">. </w:t>
      </w:r>
      <w:r w:rsidRPr="009A5621">
        <w:rPr>
          <w:sz w:val="24"/>
          <w:szCs w:val="24"/>
        </w:rPr>
        <w:t>Evolução do ICMS-ST</w:t>
      </w:r>
    </w:p>
    <w:p w14:paraId="4B375238" w14:textId="77777777" w:rsidR="009A5621" w:rsidRPr="00BA49A2" w:rsidRDefault="009A5621" w:rsidP="009A5621">
      <w:pPr>
        <w:jc w:val="both"/>
        <w:rPr>
          <w:sz w:val="24"/>
          <w:szCs w:val="24"/>
        </w:rPr>
      </w:pPr>
    </w:p>
    <w:p w14:paraId="245A190B" w14:textId="77777777" w:rsidR="009A5621" w:rsidRPr="00BA49A2" w:rsidRDefault="009A5621" w:rsidP="009A5621">
      <w:pPr>
        <w:ind w:firstLine="709"/>
        <w:jc w:val="both"/>
        <w:rPr>
          <w:sz w:val="24"/>
          <w:szCs w:val="24"/>
        </w:rPr>
      </w:pPr>
      <w:proofErr w:type="spellStart"/>
      <w:r w:rsidRPr="00BA49A2">
        <w:rPr>
          <w:sz w:val="24"/>
          <w:szCs w:val="24"/>
        </w:rPr>
        <w:t>Baratto</w:t>
      </w:r>
      <w:proofErr w:type="spellEnd"/>
      <w:r w:rsidRPr="00BA49A2">
        <w:rPr>
          <w:sz w:val="24"/>
          <w:szCs w:val="24"/>
        </w:rPr>
        <w:t xml:space="preserve"> (2011) afirma que a ST é uma forma de recolhimento em que a indústria e os importadores</w:t>
      </w:r>
      <w:r w:rsidRPr="00BA49A2">
        <w:rPr>
          <w:rStyle w:val="Refdecomentrio"/>
          <w:sz w:val="24"/>
          <w:szCs w:val="24"/>
        </w:rPr>
        <w:t xml:space="preserve"> p</w:t>
      </w:r>
      <w:r w:rsidRPr="00BA49A2">
        <w:rPr>
          <w:sz w:val="24"/>
          <w:szCs w:val="24"/>
        </w:rPr>
        <w:t xml:space="preserve">assam a ter a obrigação principal pelo tributo, são eles os primeiros representantes da cadeia de tributação. </w:t>
      </w:r>
    </w:p>
    <w:p w14:paraId="2F7F87A6" w14:textId="77777777" w:rsidR="009A5621" w:rsidRPr="00BA49A2" w:rsidRDefault="009A5621" w:rsidP="009A5621">
      <w:pPr>
        <w:ind w:firstLine="709"/>
        <w:jc w:val="both"/>
        <w:rPr>
          <w:sz w:val="24"/>
          <w:szCs w:val="24"/>
        </w:rPr>
      </w:pPr>
      <w:r w:rsidRPr="00BA49A2">
        <w:rPr>
          <w:color w:val="000000" w:themeColor="text1"/>
          <w:sz w:val="24"/>
          <w:szCs w:val="24"/>
        </w:rPr>
        <w:t xml:space="preserve">Para Neto </w:t>
      </w:r>
      <w:r w:rsidRPr="00BA49A2">
        <w:rPr>
          <w:sz w:val="24"/>
          <w:szCs w:val="24"/>
        </w:rPr>
        <w:t>(2000) a ST tem como objetivo a concentração da responsabilidade tributária numa quantidade menor de contribuintes facilitando a fiscalização e consequentemente aumentando a arrecadação.</w:t>
      </w:r>
    </w:p>
    <w:p w14:paraId="4A83BE2D" w14:textId="77777777" w:rsidR="009A5621" w:rsidRPr="00BA49A2" w:rsidRDefault="009A5621" w:rsidP="009A5621">
      <w:pPr>
        <w:ind w:firstLine="709"/>
        <w:jc w:val="both"/>
        <w:rPr>
          <w:sz w:val="24"/>
          <w:szCs w:val="24"/>
        </w:rPr>
      </w:pPr>
      <w:r w:rsidRPr="00BA49A2">
        <w:rPr>
          <w:sz w:val="24"/>
          <w:szCs w:val="24"/>
        </w:rPr>
        <w:t xml:space="preserve">Existem três tipos de modalidades de ST: antecedente, concomitante, e a subsequente. No antecedente a responsabilidade de pagamento do ICMS ST se dá a fatos já ocorridos anteriormente. Na concomitante a responsabilidade do imposto é atribuída a outro contribuinte, </w:t>
      </w:r>
      <w:r w:rsidRPr="00BA49A2">
        <w:rPr>
          <w:sz w:val="24"/>
          <w:szCs w:val="24"/>
        </w:rPr>
        <w:lastRenderedPageBreak/>
        <w:t>que não seja aquele que está realizando a operação, se inclui nessa modalidade os serviços de transportes de carga. Entretanto, na modalidade subsequente ocorre a antecipação do recolhimento do tributo, que é atribuída ao primeiro da cadeia de comercialização considerando um fato gerador futuro (</w:t>
      </w:r>
      <w:r w:rsidR="007C3E1A" w:rsidRPr="00BA49A2">
        <w:rPr>
          <w:sz w:val="24"/>
          <w:szCs w:val="24"/>
        </w:rPr>
        <w:t>Bezerra</w:t>
      </w:r>
      <w:r w:rsidRPr="00BA49A2">
        <w:rPr>
          <w:sz w:val="24"/>
          <w:szCs w:val="24"/>
        </w:rPr>
        <w:t xml:space="preserve"> </w:t>
      </w:r>
      <w:r w:rsidRPr="00BA49A2">
        <w:rPr>
          <w:i/>
          <w:sz w:val="24"/>
          <w:szCs w:val="24"/>
        </w:rPr>
        <w:t>et al</w:t>
      </w:r>
      <w:r w:rsidRPr="00BA49A2">
        <w:rPr>
          <w:sz w:val="24"/>
          <w:szCs w:val="24"/>
        </w:rPr>
        <w:t>, 2008).</w:t>
      </w:r>
    </w:p>
    <w:p w14:paraId="3B239A24" w14:textId="77777777" w:rsidR="009A5621" w:rsidRPr="00BA49A2" w:rsidRDefault="009A5621" w:rsidP="009A5621">
      <w:pPr>
        <w:ind w:firstLine="709"/>
        <w:jc w:val="both"/>
        <w:rPr>
          <w:sz w:val="24"/>
          <w:szCs w:val="24"/>
        </w:rPr>
      </w:pPr>
      <w:r w:rsidRPr="00BA49A2">
        <w:rPr>
          <w:sz w:val="24"/>
          <w:szCs w:val="24"/>
        </w:rPr>
        <w:t>Na ST há dois tipos de contribuintes, o contribuinte substituto, sendo este o responsável por reter e recolher o imposto nas operações subsequentes e o contribuinte substituído que é aquele que está diretamente ligado ao fato gerador e dispensado da responsabilidade do recolhimento do imposto (B</w:t>
      </w:r>
      <w:r w:rsidR="007C3E1A" w:rsidRPr="00BA49A2">
        <w:rPr>
          <w:sz w:val="24"/>
          <w:szCs w:val="24"/>
        </w:rPr>
        <w:t>ezerra</w:t>
      </w:r>
      <w:r w:rsidRPr="00BA49A2">
        <w:rPr>
          <w:sz w:val="24"/>
          <w:szCs w:val="24"/>
        </w:rPr>
        <w:t xml:space="preserve"> </w:t>
      </w:r>
      <w:r w:rsidRPr="00BA49A2">
        <w:rPr>
          <w:i/>
          <w:sz w:val="24"/>
          <w:szCs w:val="24"/>
        </w:rPr>
        <w:t>et al</w:t>
      </w:r>
      <w:r w:rsidRPr="00BA49A2">
        <w:rPr>
          <w:sz w:val="24"/>
          <w:szCs w:val="24"/>
        </w:rPr>
        <w:t>, 2008).</w:t>
      </w:r>
    </w:p>
    <w:p w14:paraId="5FDD3017" w14:textId="5197AE11" w:rsidR="009A5621" w:rsidRPr="000A20E1" w:rsidRDefault="009A5621" w:rsidP="009A5621">
      <w:pPr>
        <w:ind w:firstLine="709"/>
        <w:jc w:val="both"/>
        <w:rPr>
          <w:sz w:val="24"/>
          <w:szCs w:val="24"/>
        </w:rPr>
      </w:pPr>
      <w:r w:rsidRPr="00BA49A2">
        <w:rPr>
          <w:sz w:val="24"/>
          <w:szCs w:val="24"/>
        </w:rPr>
        <w:t xml:space="preserve">Conforme a LC n.º 87, de 13 de setembro de 1996, a base de cálculo do ICMS ST </w:t>
      </w:r>
      <w:r w:rsidR="001234DE">
        <w:rPr>
          <w:sz w:val="24"/>
          <w:szCs w:val="24"/>
        </w:rPr>
        <w:t>dá-se</w:t>
      </w:r>
      <w:r w:rsidRPr="00BA49A2">
        <w:rPr>
          <w:sz w:val="24"/>
          <w:szCs w:val="24"/>
        </w:rPr>
        <w:t xml:space="preserve"> pelo valor do produto, adicionado de suas despesas e encargos como seguro, frete e IPI, aplicados sobre </w:t>
      </w:r>
      <w:r w:rsidRPr="000A20E1">
        <w:rPr>
          <w:sz w:val="24"/>
          <w:szCs w:val="24"/>
        </w:rPr>
        <w:t>este montante a Margem de Valor Agregado (MVA), individual para cada tipo de mercadoria (</w:t>
      </w:r>
      <w:r w:rsidR="000A20E1" w:rsidRPr="000A20E1">
        <w:rPr>
          <w:rFonts w:eastAsia="Helvetica"/>
          <w:sz w:val="24"/>
          <w:szCs w:val="24"/>
        </w:rPr>
        <w:t>Lei complementar n° 87</w:t>
      </w:r>
      <w:r w:rsidR="001234DE" w:rsidRPr="000A20E1">
        <w:rPr>
          <w:sz w:val="24"/>
          <w:szCs w:val="24"/>
        </w:rPr>
        <w:t>, 1996</w:t>
      </w:r>
      <w:r w:rsidRPr="000A20E1">
        <w:rPr>
          <w:sz w:val="24"/>
          <w:szCs w:val="24"/>
        </w:rPr>
        <w:t>)</w:t>
      </w:r>
    </w:p>
    <w:p w14:paraId="438ADA77" w14:textId="2AB00C9E" w:rsidR="009A5621" w:rsidRPr="000A20E1" w:rsidRDefault="009A5621" w:rsidP="009A5621">
      <w:pPr>
        <w:ind w:firstLine="709"/>
        <w:jc w:val="both"/>
        <w:rPr>
          <w:sz w:val="24"/>
          <w:szCs w:val="24"/>
        </w:rPr>
      </w:pPr>
      <w:r w:rsidRPr="000A20E1">
        <w:rPr>
          <w:sz w:val="24"/>
          <w:szCs w:val="24"/>
        </w:rPr>
        <w:t>A LC n.º 87 define MVA como sendo a estabelecida com base em preços geralmente praticados no mercado, adquiridos por levantamento, por amostragem ou por meio de informações fornecidas por entidades representativas dos setores, aderindo uma média ponderada dos preços apurados de acordo com critérios previstos em lei. Para operações interestaduais, para efeitos de apuração de base de cálculo, utiliza-se a MVA ajustada, ou seja, aplica-se a alíquota interestadual no cálculo da substituição tributária (</w:t>
      </w:r>
      <w:r w:rsidR="000A20E1" w:rsidRPr="000A20E1">
        <w:rPr>
          <w:rFonts w:eastAsia="Helvetica"/>
          <w:sz w:val="24"/>
          <w:szCs w:val="24"/>
        </w:rPr>
        <w:t>Lei complementar n° 87</w:t>
      </w:r>
      <w:r w:rsidR="001234DE" w:rsidRPr="000A20E1">
        <w:rPr>
          <w:sz w:val="24"/>
          <w:szCs w:val="24"/>
        </w:rPr>
        <w:t>, 1986</w:t>
      </w:r>
      <w:r w:rsidRPr="000A20E1">
        <w:rPr>
          <w:sz w:val="24"/>
          <w:szCs w:val="24"/>
        </w:rPr>
        <w:t>).</w:t>
      </w:r>
    </w:p>
    <w:p w14:paraId="40EBE797" w14:textId="77777777" w:rsidR="009A5621" w:rsidRPr="000A20E1" w:rsidRDefault="009A5621" w:rsidP="009A5621">
      <w:pPr>
        <w:ind w:firstLine="709"/>
        <w:jc w:val="both"/>
        <w:rPr>
          <w:sz w:val="24"/>
          <w:szCs w:val="24"/>
        </w:rPr>
      </w:pPr>
      <w:r w:rsidRPr="000A20E1">
        <w:rPr>
          <w:sz w:val="24"/>
          <w:szCs w:val="24"/>
        </w:rPr>
        <w:t>A Tabela 1 apresenta um exemplo de cálculo de Substituição tributária com aplicação da MVA.</w:t>
      </w:r>
    </w:p>
    <w:p w14:paraId="352055F6" w14:textId="77777777" w:rsidR="009A5621" w:rsidRPr="00BA49A2" w:rsidRDefault="009A5621" w:rsidP="009A5621">
      <w:pPr>
        <w:jc w:val="both"/>
        <w:rPr>
          <w:sz w:val="24"/>
          <w:szCs w:val="24"/>
        </w:rPr>
      </w:pPr>
    </w:p>
    <w:p w14:paraId="348E8A7F" w14:textId="77777777" w:rsidR="009A5621" w:rsidRPr="009A5621" w:rsidRDefault="009A5621" w:rsidP="009A5621">
      <w:pPr>
        <w:jc w:val="both"/>
        <w:rPr>
          <w:sz w:val="24"/>
          <w:szCs w:val="24"/>
        </w:rPr>
      </w:pPr>
      <w:r w:rsidRPr="009A5621">
        <w:rPr>
          <w:sz w:val="24"/>
          <w:szCs w:val="24"/>
        </w:rPr>
        <w:t xml:space="preserve">Tabela 1 </w:t>
      </w:r>
    </w:p>
    <w:p w14:paraId="5B63F297" w14:textId="77777777" w:rsidR="009A5621" w:rsidRPr="00BA49A2" w:rsidRDefault="009A5621" w:rsidP="009A5621">
      <w:pPr>
        <w:jc w:val="both"/>
        <w:rPr>
          <w:b/>
          <w:sz w:val="24"/>
          <w:szCs w:val="24"/>
        </w:rPr>
      </w:pPr>
      <w:r w:rsidRPr="00BA49A2">
        <w:rPr>
          <w:b/>
          <w:sz w:val="24"/>
          <w:szCs w:val="24"/>
        </w:rPr>
        <w:t>Exemplo Cálculo Substituição Tributária.</w:t>
      </w:r>
    </w:p>
    <w:tbl>
      <w:tblPr>
        <w:tblW w:w="9387" w:type="dxa"/>
        <w:tblCellMar>
          <w:left w:w="70" w:type="dxa"/>
          <w:right w:w="70" w:type="dxa"/>
        </w:tblCellMar>
        <w:tblLook w:val="04A0" w:firstRow="1" w:lastRow="0" w:firstColumn="1" w:lastColumn="0" w:noHBand="0" w:noVBand="1"/>
      </w:tblPr>
      <w:tblGrid>
        <w:gridCol w:w="7016"/>
        <w:gridCol w:w="2371"/>
      </w:tblGrid>
      <w:tr w:rsidR="009A5621" w:rsidRPr="009A5621" w14:paraId="4421F071" w14:textId="77777777" w:rsidTr="009A5621">
        <w:trPr>
          <w:trHeight w:val="326"/>
        </w:trPr>
        <w:tc>
          <w:tcPr>
            <w:tcW w:w="7016" w:type="dxa"/>
            <w:tcBorders>
              <w:top w:val="single" w:sz="4" w:space="0" w:color="auto"/>
            </w:tcBorders>
            <w:shd w:val="clear" w:color="auto" w:fill="FFFFFF" w:themeFill="background1"/>
            <w:noWrap/>
            <w:vAlign w:val="bottom"/>
            <w:hideMark/>
          </w:tcPr>
          <w:p w14:paraId="245E7D7F" w14:textId="77777777" w:rsidR="009A5621" w:rsidRPr="009A5621" w:rsidRDefault="009A5621" w:rsidP="009A5621">
            <w:pPr>
              <w:jc w:val="both"/>
              <w:rPr>
                <w:color w:val="000000"/>
              </w:rPr>
            </w:pPr>
            <w:r w:rsidRPr="009A5621">
              <w:rPr>
                <w:color w:val="000000"/>
              </w:rPr>
              <w:t>PREÇO AQUISIÇÃO</w:t>
            </w:r>
          </w:p>
        </w:tc>
        <w:tc>
          <w:tcPr>
            <w:tcW w:w="2371" w:type="dxa"/>
            <w:tcBorders>
              <w:top w:val="single" w:sz="4" w:space="0" w:color="auto"/>
              <w:bottom w:val="nil"/>
            </w:tcBorders>
            <w:shd w:val="clear" w:color="auto" w:fill="FFFFFF" w:themeFill="background1"/>
            <w:noWrap/>
            <w:vAlign w:val="bottom"/>
            <w:hideMark/>
          </w:tcPr>
          <w:p w14:paraId="58014787" w14:textId="77777777" w:rsidR="009A5621" w:rsidRPr="009A5621" w:rsidRDefault="009A5621" w:rsidP="009A5621">
            <w:pPr>
              <w:jc w:val="both"/>
              <w:rPr>
                <w:color w:val="000000"/>
              </w:rPr>
            </w:pPr>
            <w:r w:rsidRPr="009A5621">
              <w:rPr>
                <w:color w:val="000000"/>
              </w:rPr>
              <w:t xml:space="preserve"> R$              10.000,00 </w:t>
            </w:r>
          </w:p>
        </w:tc>
      </w:tr>
      <w:tr w:rsidR="009A5621" w:rsidRPr="009A5621" w14:paraId="19E667D4" w14:textId="77777777" w:rsidTr="009A5621">
        <w:trPr>
          <w:trHeight w:val="326"/>
        </w:trPr>
        <w:tc>
          <w:tcPr>
            <w:tcW w:w="7016" w:type="dxa"/>
            <w:tcBorders>
              <w:top w:val="nil"/>
              <w:bottom w:val="nil"/>
              <w:right w:val="nil"/>
            </w:tcBorders>
            <w:shd w:val="clear" w:color="auto" w:fill="FFFFFF" w:themeFill="background1"/>
            <w:noWrap/>
            <w:vAlign w:val="bottom"/>
            <w:hideMark/>
          </w:tcPr>
          <w:p w14:paraId="6511F631" w14:textId="77777777" w:rsidR="009A5621" w:rsidRPr="009A5621" w:rsidRDefault="009A5621" w:rsidP="009A5621">
            <w:pPr>
              <w:jc w:val="both"/>
              <w:rPr>
                <w:color w:val="000000"/>
              </w:rPr>
            </w:pPr>
            <w:r w:rsidRPr="009A5621">
              <w:rPr>
                <w:color w:val="000000"/>
              </w:rPr>
              <w:t>(+) MVA 30%</w:t>
            </w:r>
          </w:p>
        </w:tc>
        <w:tc>
          <w:tcPr>
            <w:tcW w:w="2371" w:type="dxa"/>
            <w:tcBorders>
              <w:top w:val="nil"/>
              <w:left w:val="nil"/>
              <w:bottom w:val="nil"/>
            </w:tcBorders>
            <w:shd w:val="clear" w:color="auto" w:fill="FFFFFF" w:themeFill="background1"/>
            <w:noWrap/>
            <w:vAlign w:val="bottom"/>
            <w:hideMark/>
          </w:tcPr>
          <w:p w14:paraId="7D1E9927" w14:textId="77777777" w:rsidR="009A5621" w:rsidRPr="009A5621" w:rsidRDefault="009A5621" w:rsidP="009A5621">
            <w:pPr>
              <w:jc w:val="both"/>
              <w:rPr>
                <w:color w:val="000000"/>
              </w:rPr>
            </w:pPr>
            <w:r w:rsidRPr="009A5621">
              <w:rPr>
                <w:color w:val="000000"/>
              </w:rPr>
              <w:t xml:space="preserve"> R$                3.000,00</w:t>
            </w:r>
          </w:p>
        </w:tc>
      </w:tr>
      <w:tr w:rsidR="009A5621" w:rsidRPr="009A5621" w14:paraId="70A3D157" w14:textId="77777777" w:rsidTr="009A5621">
        <w:trPr>
          <w:trHeight w:val="326"/>
        </w:trPr>
        <w:tc>
          <w:tcPr>
            <w:tcW w:w="7016" w:type="dxa"/>
            <w:tcBorders>
              <w:top w:val="nil"/>
              <w:bottom w:val="nil"/>
              <w:right w:val="nil"/>
            </w:tcBorders>
            <w:shd w:val="clear" w:color="auto" w:fill="FFFFFF" w:themeFill="background1"/>
            <w:noWrap/>
            <w:vAlign w:val="bottom"/>
            <w:hideMark/>
          </w:tcPr>
          <w:p w14:paraId="3729F0D4" w14:textId="77777777" w:rsidR="009A5621" w:rsidRPr="009A5621" w:rsidRDefault="009A5621" w:rsidP="009A5621">
            <w:pPr>
              <w:jc w:val="both"/>
              <w:rPr>
                <w:color w:val="000000"/>
              </w:rPr>
            </w:pPr>
            <w:r w:rsidRPr="009A5621">
              <w:rPr>
                <w:color w:val="000000"/>
              </w:rPr>
              <w:t>(=) BASE DE CÁLCULO ST</w:t>
            </w:r>
          </w:p>
        </w:tc>
        <w:tc>
          <w:tcPr>
            <w:tcW w:w="2371" w:type="dxa"/>
            <w:tcBorders>
              <w:top w:val="nil"/>
              <w:left w:val="nil"/>
              <w:bottom w:val="nil"/>
            </w:tcBorders>
            <w:shd w:val="clear" w:color="auto" w:fill="FFFFFF" w:themeFill="background1"/>
            <w:noWrap/>
            <w:vAlign w:val="bottom"/>
            <w:hideMark/>
          </w:tcPr>
          <w:p w14:paraId="5F08D36C" w14:textId="77777777" w:rsidR="009A5621" w:rsidRPr="009A5621" w:rsidRDefault="009A5621" w:rsidP="009A5621">
            <w:pPr>
              <w:jc w:val="both"/>
              <w:rPr>
                <w:color w:val="000000"/>
              </w:rPr>
            </w:pPr>
            <w:r w:rsidRPr="009A5621">
              <w:rPr>
                <w:color w:val="000000"/>
              </w:rPr>
              <w:t xml:space="preserve"> R$              13.000,00 </w:t>
            </w:r>
          </w:p>
        </w:tc>
      </w:tr>
      <w:tr w:rsidR="009A5621" w:rsidRPr="009A5621" w14:paraId="26F85DBE" w14:textId="77777777" w:rsidTr="009A5621">
        <w:trPr>
          <w:trHeight w:val="326"/>
        </w:trPr>
        <w:tc>
          <w:tcPr>
            <w:tcW w:w="7016" w:type="dxa"/>
            <w:tcBorders>
              <w:top w:val="nil"/>
              <w:bottom w:val="nil"/>
              <w:right w:val="nil"/>
            </w:tcBorders>
            <w:shd w:val="clear" w:color="auto" w:fill="FFFFFF" w:themeFill="background1"/>
            <w:noWrap/>
            <w:vAlign w:val="bottom"/>
            <w:hideMark/>
          </w:tcPr>
          <w:p w14:paraId="57A2E127" w14:textId="77777777" w:rsidR="009A5621" w:rsidRPr="009A5621" w:rsidRDefault="009A5621" w:rsidP="009A5621">
            <w:pPr>
              <w:jc w:val="both"/>
              <w:rPr>
                <w:color w:val="000000"/>
              </w:rPr>
            </w:pPr>
            <w:r w:rsidRPr="009A5621">
              <w:rPr>
                <w:color w:val="000000"/>
              </w:rPr>
              <w:t>(x) ALIQUOTA INTERNA 17%</w:t>
            </w:r>
          </w:p>
        </w:tc>
        <w:tc>
          <w:tcPr>
            <w:tcW w:w="2371" w:type="dxa"/>
            <w:tcBorders>
              <w:top w:val="nil"/>
              <w:left w:val="nil"/>
              <w:bottom w:val="nil"/>
            </w:tcBorders>
            <w:shd w:val="clear" w:color="auto" w:fill="FFFFFF" w:themeFill="background1"/>
            <w:noWrap/>
            <w:vAlign w:val="bottom"/>
            <w:hideMark/>
          </w:tcPr>
          <w:p w14:paraId="1EA47A66" w14:textId="77777777" w:rsidR="009A5621" w:rsidRPr="009A5621" w:rsidRDefault="009A5621" w:rsidP="009A5621">
            <w:pPr>
              <w:jc w:val="both"/>
              <w:rPr>
                <w:color w:val="000000"/>
              </w:rPr>
            </w:pPr>
            <w:r w:rsidRPr="009A5621">
              <w:rPr>
                <w:color w:val="000000"/>
              </w:rPr>
              <w:t xml:space="preserve"> R$                2.210,00 </w:t>
            </w:r>
          </w:p>
        </w:tc>
      </w:tr>
      <w:tr w:rsidR="009A5621" w:rsidRPr="009A5621" w14:paraId="4DFC9D6B" w14:textId="77777777" w:rsidTr="009A5621">
        <w:trPr>
          <w:trHeight w:val="326"/>
        </w:trPr>
        <w:tc>
          <w:tcPr>
            <w:tcW w:w="7016" w:type="dxa"/>
            <w:tcBorders>
              <w:top w:val="nil"/>
              <w:bottom w:val="nil"/>
              <w:right w:val="nil"/>
            </w:tcBorders>
            <w:shd w:val="clear" w:color="auto" w:fill="FFFFFF" w:themeFill="background1"/>
            <w:noWrap/>
            <w:vAlign w:val="bottom"/>
            <w:hideMark/>
          </w:tcPr>
          <w:p w14:paraId="21310ED4" w14:textId="77777777" w:rsidR="009A5621" w:rsidRPr="009A5621" w:rsidRDefault="009A5621" w:rsidP="009A5621">
            <w:pPr>
              <w:jc w:val="both"/>
              <w:rPr>
                <w:color w:val="000000"/>
              </w:rPr>
            </w:pPr>
            <w:r w:rsidRPr="009A5621">
              <w:rPr>
                <w:color w:val="000000"/>
              </w:rPr>
              <w:t>(-) ICMS DA OPERAÇÃO ANTERIOR</w:t>
            </w:r>
            <w:r>
              <w:rPr>
                <w:color w:val="000000"/>
              </w:rPr>
              <w:t xml:space="preserve"> </w:t>
            </w:r>
            <w:r w:rsidRPr="009A5621">
              <w:rPr>
                <w:color w:val="000000"/>
              </w:rPr>
              <w:t>(10.000 X 17%)</w:t>
            </w:r>
          </w:p>
        </w:tc>
        <w:tc>
          <w:tcPr>
            <w:tcW w:w="2371" w:type="dxa"/>
            <w:tcBorders>
              <w:top w:val="nil"/>
              <w:left w:val="nil"/>
              <w:bottom w:val="nil"/>
            </w:tcBorders>
            <w:shd w:val="clear" w:color="auto" w:fill="FFFFFF" w:themeFill="background1"/>
            <w:noWrap/>
            <w:vAlign w:val="bottom"/>
            <w:hideMark/>
          </w:tcPr>
          <w:p w14:paraId="72129575" w14:textId="77777777" w:rsidR="009A5621" w:rsidRPr="009A5621" w:rsidRDefault="009A5621" w:rsidP="009A5621">
            <w:pPr>
              <w:jc w:val="both"/>
              <w:rPr>
                <w:color w:val="000000"/>
              </w:rPr>
            </w:pPr>
            <w:r w:rsidRPr="009A5621">
              <w:rPr>
                <w:color w:val="000000"/>
              </w:rPr>
              <w:t> R$                1.700,00</w:t>
            </w:r>
          </w:p>
        </w:tc>
      </w:tr>
      <w:tr w:rsidR="009A5621" w:rsidRPr="009A5621" w14:paraId="6E43FCEB" w14:textId="77777777" w:rsidTr="009A5621">
        <w:trPr>
          <w:trHeight w:val="326"/>
        </w:trPr>
        <w:tc>
          <w:tcPr>
            <w:tcW w:w="7016" w:type="dxa"/>
            <w:tcBorders>
              <w:top w:val="nil"/>
              <w:bottom w:val="single" w:sz="4" w:space="0" w:color="auto"/>
              <w:right w:val="nil"/>
            </w:tcBorders>
            <w:shd w:val="clear" w:color="auto" w:fill="FFFFFF" w:themeFill="background1"/>
            <w:noWrap/>
            <w:vAlign w:val="bottom"/>
            <w:hideMark/>
          </w:tcPr>
          <w:p w14:paraId="6F2FEBB5" w14:textId="77777777" w:rsidR="009A5621" w:rsidRPr="009A5621" w:rsidRDefault="009A5621" w:rsidP="009A5621">
            <w:pPr>
              <w:jc w:val="both"/>
              <w:rPr>
                <w:color w:val="000000"/>
              </w:rPr>
            </w:pPr>
            <w:r w:rsidRPr="009A5621">
              <w:rPr>
                <w:color w:val="000000"/>
              </w:rPr>
              <w:t>VALOR DO ICMS ANTECIPADO</w:t>
            </w:r>
          </w:p>
        </w:tc>
        <w:tc>
          <w:tcPr>
            <w:tcW w:w="2371" w:type="dxa"/>
            <w:tcBorders>
              <w:top w:val="nil"/>
              <w:left w:val="nil"/>
              <w:bottom w:val="single" w:sz="4" w:space="0" w:color="auto"/>
            </w:tcBorders>
            <w:shd w:val="clear" w:color="auto" w:fill="FFFFFF" w:themeFill="background1"/>
            <w:noWrap/>
            <w:vAlign w:val="bottom"/>
            <w:hideMark/>
          </w:tcPr>
          <w:p w14:paraId="1C7276CB" w14:textId="77777777" w:rsidR="009A5621" w:rsidRPr="009A5621" w:rsidRDefault="009A5621" w:rsidP="009A5621">
            <w:pPr>
              <w:jc w:val="both"/>
              <w:rPr>
                <w:color w:val="000000"/>
              </w:rPr>
            </w:pPr>
            <w:r w:rsidRPr="009A5621">
              <w:rPr>
                <w:color w:val="000000"/>
              </w:rPr>
              <w:t xml:space="preserve"> R$                   510,00 </w:t>
            </w:r>
          </w:p>
        </w:tc>
      </w:tr>
    </w:tbl>
    <w:p w14:paraId="414AC5E5" w14:textId="77777777" w:rsidR="009A5621" w:rsidRPr="00BA49A2" w:rsidRDefault="009A5621" w:rsidP="009A5621">
      <w:pPr>
        <w:ind w:firstLine="709"/>
        <w:jc w:val="both"/>
        <w:rPr>
          <w:sz w:val="24"/>
          <w:szCs w:val="24"/>
        </w:rPr>
      </w:pPr>
    </w:p>
    <w:p w14:paraId="6C96CC36" w14:textId="77777777" w:rsidR="009A5621" w:rsidRPr="00BA49A2" w:rsidRDefault="009A5621" w:rsidP="009A5621">
      <w:pPr>
        <w:ind w:firstLine="709"/>
        <w:jc w:val="both"/>
        <w:rPr>
          <w:sz w:val="24"/>
          <w:szCs w:val="24"/>
        </w:rPr>
      </w:pPr>
      <w:r w:rsidRPr="00BA49A2">
        <w:rPr>
          <w:sz w:val="24"/>
          <w:szCs w:val="24"/>
        </w:rPr>
        <w:t xml:space="preserve">Para Bezerra </w:t>
      </w:r>
      <w:r w:rsidRPr="00BA49A2">
        <w:rPr>
          <w:i/>
          <w:sz w:val="24"/>
          <w:szCs w:val="24"/>
        </w:rPr>
        <w:t>et al.</w:t>
      </w:r>
      <w:r w:rsidRPr="00BA49A2">
        <w:rPr>
          <w:sz w:val="24"/>
          <w:szCs w:val="24"/>
        </w:rPr>
        <w:t xml:space="preserve"> (2008) o regime da ST deverá ser estabelecido por Lei estadual para ser aplicado no estado, mas a sua instituição interestadual dependerá da celebração de convênios ou protocolos entre os Estados e/ou o Distrito Federal. Muller (2010) destaca que quando o acordo é assinado por todos os Estados e/ou pelo Distrito Federal, passam a existir os convênios. Porém, se firmado por apenas alguns Estados, será denominado protocolo.</w:t>
      </w:r>
    </w:p>
    <w:p w14:paraId="702534A4" w14:textId="77777777" w:rsidR="009A5621" w:rsidRPr="00BA49A2" w:rsidRDefault="009A5621" w:rsidP="009A5621">
      <w:pPr>
        <w:ind w:firstLine="709"/>
        <w:jc w:val="both"/>
        <w:rPr>
          <w:sz w:val="24"/>
          <w:szCs w:val="24"/>
        </w:rPr>
      </w:pPr>
      <w:r w:rsidRPr="00BA49A2">
        <w:rPr>
          <w:sz w:val="24"/>
          <w:szCs w:val="24"/>
        </w:rPr>
        <w:t xml:space="preserve">Segundo </w:t>
      </w:r>
      <w:proofErr w:type="spellStart"/>
      <w:r w:rsidRPr="00BA49A2">
        <w:rPr>
          <w:sz w:val="24"/>
          <w:szCs w:val="24"/>
        </w:rPr>
        <w:t>Pêgas</w:t>
      </w:r>
      <w:proofErr w:type="spellEnd"/>
      <w:r w:rsidRPr="00BA49A2">
        <w:rPr>
          <w:sz w:val="24"/>
          <w:szCs w:val="24"/>
        </w:rPr>
        <w:t xml:space="preserve"> (2007), um estado não é obrigado a instituir a mesma sistemática de tributação para um mesmo produto, para isso é necessário celebrar protocolos para sua regulamentação.</w:t>
      </w:r>
    </w:p>
    <w:p w14:paraId="5E616FB0" w14:textId="77777777" w:rsidR="009A5621" w:rsidRPr="00BA49A2" w:rsidRDefault="009A5621" w:rsidP="009A5621">
      <w:pPr>
        <w:ind w:firstLine="709"/>
        <w:jc w:val="both"/>
        <w:rPr>
          <w:sz w:val="24"/>
          <w:szCs w:val="24"/>
        </w:rPr>
      </w:pPr>
    </w:p>
    <w:p w14:paraId="5B06935E" w14:textId="77777777" w:rsidR="009A5621" w:rsidRPr="00BA49A2" w:rsidRDefault="009A5621" w:rsidP="009A5621">
      <w:pPr>
        <w:jc w:val="both"/>
        <w:rPr>
          <w:b/>
          <w:sz w:val="24"/>
          <w:szCs w:val="24"/>
        </w:rPr>
      </w:pPr>
      <w:r w:rsidRPr="00BA49A2">
        <w:rPr>
          <w:b/>
          <w:sz w:val="24"/>
          <w:szCs w:val="24"/>
        </w:rPr>
        <w:t xml:space="preserve">2.2 Revogação </w:t>
      </w:r>
      <w:r w:rsidR="00E17006">
        <w:rPr>
          <w:b/>
          <w:sz w:val="24"/>
          <w:szCs w:val="24"/>
        </w:rPr>
        <w:t>d</w:t>
      </w:r>
      <w:r w:rsidRPr="00BA49A2">
        <w:rPr>
          <w:b/>
          <w:sz w:val="24"/>
          <w:szCs w:val="24"/>
        </w:rPr>
        <w:t xml:space="preserve">o ICMS-ST.  </w:t>
      </w:r>
    </w:p>
    <w:p w14:paraId="26507496" w14:textId="73C15260" w:rsidR="009A5621" w:rsidRPr="00BA49A2" w:rsidRDefault="009A5621" w:rsidP="009A5621">
      <w:pPr>
        <w:ind w:firstLine="709"/>
        <w:jc w:val="both"/>
        <w:rPr>
          <w:color w:val="000000" w:themeColor="text1"/>
          <w:sz w:val="24"/>
          <w:szCs w:val="24"/>
          <w:shd w:val="clear" w:color="auto" w:fill="FFFFFF"/>
        </w:rPr>
      </w:pPr>
      <w:r w:rsidRPr="00BA49A2">
        <w:rPr>
          <w:sz w:val="24"/>
          <w:szCs w:val="24"/>
        </w:rPr>
        <w:t>A Substituição Tributária nos últimos dois anos vem sofrendo diversas modificações</w:t>
      </w:r>
      <w:r>
        <w:rPr>
          <w:sz w:val="24"/>
          <w:szCs w:val="24"/>
        </w:rPr>
        <w:t>.</w:t>
      </w:r>
      <w:r w:rsidRPr="00BA49A2">
        <w:rPr>
          <w:sz w:val="24"/>
          <w:szCs w:val="24"/>
        </w:rPr>
        <w:t xml:space="preserve"> Em 2017 o Estado de Santa Catarina deu início às mudanças com o </w:t>
      </w:r>
      <w:r w:rsidRPr="00BA49A2">
        <w:rPr>
          <w:sz w:val="24"/>
          <w:szCs w:val="24"/>
          <w:shd w:val="clear" w:color="auto" w:fill="FFFFFF"/>
        </w:rPr>
        <w:t>D</w:t>
      </w:r>
      <w:r w:rsidRPr="00BA49A2">
        <w:rPr>
          <w:color w:val="000000" w:themeColor="text1"/>
          <w:sz w:val="24"/>
          <w:szCs w:val="24"/>
          <w:shd w:val="clear" w:color="auto" w:fill="FFFFFF"/>
        </w:rPr>
        <w:t xml:space="preserve">ecreto n.º 947/2016, que altera o RICMS SC com relação à </w:t>
      </w:r>
      <w:r w:rsidRPr="000A20E1">
        <w:rPr>
          <w:sz w:val="24"/>
          <w:szCs w:val="24"/>
          <w:shd w:val="clear" w:color="auto" w:fill="FFFFFF"/>
        </w:rPr>
        <w:t xml:space="preserve">ST para alguns produtos como brinquedos, produtos de </w:t>
      </w:r>
      <w:r w:rsidRPr="000A20E1">
        <w:rPr>
          <w:sz w:val="24"/>
          <w:szCs w:val="24"/>
          <w:shd w:val="clear" w:color="auto" w:fill="FFFFFF"/>
        </w:rPr>
        <w:lastRenderedPageBreak/>
        <w:t>colchoaria entre outros. Já por meio do Decreto n° 1.173/2017 foram excluídos da ST os produtos eletrônicos, eletroeletrônicos e eletrodomésticos (</w:t>
      </w:r>
      <w:r w:rsidR="000A20E1" w:rsidRPr="000A20E1">
        <w:rPr>
          <w:sz w:val="24"/>
          <w:szCs w:val="24"/>
        </w:rPr>
        <w:t>Decreto Lei nº 1173</w:t>
      </w:r>
      <w:r w:rsidR="00E17006" w:rsidRPr="000A20E1">
        <w:rPr>
          <w:sz w:val="24"/>
          <w:szCs w:val="24"/>
        </w:rPr>
        <w:t>,</w:t>
      </w:r>
      <w:r w:rsidR="00E17006" w:rsidRPr="000A20E1">
        <w:rPr>
          <w:sz w:val="24"/>
          <w:szCs w:val="24"/>
          <w:shd w:val="clear" w:color="auto" w:fill="FFFFFF"/>
        </w:rPr>
        <w:t xml:space="preserve"> 2017</w:t>
      </w:r>
      <w:r w:rsidRPr="000A20E1">
        <w:rPr>
          <w:sz w:val="24"/>
          <w:szCs w:val="24"/>
          <w:shd w:val="clear" w:color="auto" w:fill="FFFFFF"/>
        </w:rPr>
        <w:t xml:space="preserve">). </w:t>
      </w:r>
    </w:p>
    <w:p w14:paraId="7795667F" w14:textId="15722673" w:rsidR="009A5621" w:rsidRPr="000A20E1" w:rsidRDefault="009A5621" w:rsidP="009A5621">
      <w:pPr>
        <w:ind w:firstLine="709"/>
        <w:jc w:val="both"/>
        <w:rPr>
          <w:sz w:val="24"/>
          <w:szCs w:val="24"/>
          <w:shd w:val="clear" w:color="auto" w:fill="FFFFFF"/>
        </w:rPr>
      </w:pPr>
      <w:r w:rsidRPr="00BA49A2">
        <w:rPr>
          <w:color w:val="000000" w:themeColor="text1"/>
          <w:sz w:val="24"/>
          <w:szCs w:val="24"/>
          <w:shd w:val="clear" w:color="auto" w:fill="FFFFFF"/>
        </w:rPr>
        <w:t xml:space="preserve">Entretanto, a Secretaria do Estado da Fazenda reconhece que iniciou o processo de desoneração da cadeia produtiva do Estado em 2018, por meio do Decreto n° </w:t>
      </w:r>
      <w:r w:rsidRPr="00BA49A2">
        <w:rPr>
          <w:color w:val="000000"/>
          <w:sz w:val="24"/>
          <w:szCs w:val="24"/>
          <w:shd w:val="clear" w:color="auto" w:fill="FFFFFF"/>
        </w:rPr>
        <w:t xml:space="preserve">1.432/2017 entrando em vigor </w:t>
      </w:r>
      <w:r w:rsidRPr="000A20E1">
        <w:rPr>
          <w:sz w:val="24"/>
          <w:szCs w:val="24"/>
          <w:shd w:val="clear" w:color="auto" w:fill="FFFFFF"/>
        </w:rPr>
        <w:t>em 1° de janeiro de 2018. Este decreto revoga a ST para os produtos embutidos, massas, biscoitos, entre outros. (</w:t>
      </w:r>
      <w:r w:rsidR="000A20E1" w:rsidRPr="000A20E1">
        <w:rPr>
          <w:sz w:val="24"/>
          <w:szCs w:val="24"/>
        </w:rPr>
        <w:t>Decreto Lei nº 1432, 2017; Decreto Lei nº 1541</w:t>
      </w:r>
      <w:r w:rsidR="00E17006" w:rsidRPr="000A20E1">
        <w:rPr>
          <w:sz w:val="24"/>
          <w:szCs w:val="24"/>
        </w:rPr>
        <w:t>,</w:t>
      </w:r>
      <w:r w:rsidR="00E17006" w:rsidRPr="000A20E1">
        <w:rPr>
          <w:sz w:val="24"/>
          <w:szCs w:val="24"/>
          <w:shd w:val="clear" w:color="auto" w:fill="FFFFFF"/>
        </w:rPr>
        <w:t xml:space="preserve"> 2018</w:t>
      </w:r>
      <w:r w:rsidRPr="000A20E1">
        <w:rPr>
          <w:sz w:val="24"/>
          <w:szCs w:val="24"/>
          <w:shd w:val="clear" w:color="auto" w:fill="FFFFFF"/>
        </w:rPr>
        <w:t>).</w:t>
      </w:r>
    </w:p>
    <w:p w14:paraId="398A0555" w14:textId="5CD37BA5" w:rsidR="009A5621" w:rsidRPr="000A20E1" w:rsidRDefault="009A5621" w:rsidP="009A5621">
      <w:pPr>
        <w:ind w:firstLine="709"/>
        <w:jc w:val="both"/>
        <w:rPr>
          <w:sz w:val="24"/>
          <w:szCs w:val="24"/>
          <w:shd w:val="clear" w:color="auto" w:fill="FFFFFF"/>
        </w:rPr>
      </w:pPr>
      <w:r w:rsidRPr="000A20E1">
        <w:rPr>
          <w:sz w:val="24"/>
          <w:szCs w:val="24"/>
          <w:shd w:val="clear" w:color="auto" w:fill="FFFFFF"/>
        </w:rPr>
        <w:t>Dando continuidade ao processo de desoneração da ST, o Estado de Santa Catarina por meio do Decreto N° 1541/2018 revogou os protocolos que garantiam a cobrança de ICMS por ST para produtos alimentícios, materiais de limpeza e utilidades domésticas. Este decreto entrou em vigor a partir de 1° de abril de 2018, mantendo no regime da ST somente as bebidas, cigarros e combustíveis (</w:t>
      </w:r>
      <w:r w:rsidR="000A20E1" w:rsidRPr="000A20E1">
        <w:rPr>
          <w:sz w:val="24"/>
          <w:szCs w:val="24"/>
        </w:rPr>
        <w:t>Decreto Lei nº 1541</w:t>
      </w:r>
      <w:r w:rsidR="00E17006" w:rsidRPr="000A20E1">
        <w:rPr>
          <w:sz w:val="24"/>
          <w:szCs w:val="24"/>
        </w:rPr>
        <w:t>,</w:t>
      </w:r>
      <w:r w:rsidR="00E17006" w:rsidRPr="000A20E1">
        <w:rPr>
          <w:sz w:val="24"/>
          <w:szCs w:val="24"/>
          <w:shd w:val="clear" w:color="auto" w:fill="FFFFFF"/>
        </w:rPr>
        <w:t xml:space="preserve"> 2018</w:t>
      </w:r>
      <w:r w:rsidRPr="000A20E1">
        <w:rPr>
          <w:sz w:val="24"/>
          <w:szCs w:val="24"/>
          <w:shd w:val="clear" w:color="auto" w:fill="FFFFFF"/>
        </w:rPr>
        <w:t>).</w:t>
      </w:r>
    </w:p>
    <w:p w14:paraId="7EFB56A1" w14:textId="58FB9099" w:rsidR="009A5621" w:rsidRPr="000A20E1" w:rsidRDefault="009A5621" w:rsidP="009A5621">
      <w:pPr>
        <w:ind w:firstLine="709"/>
        <w:jc w:val="both"/>
        <w:rPr>
          <w:sz w:val="24"/>
          <w:szCs w:val="24"/>
          <w:shd w:val="clear" w:color="auto" w:fill="FFFFFF"/>
        </w:rPr>
      </w:pPr>
      <w:r w:rsidRPr="000A20E1">
        <w:rPr>
          <w:sz w:val="24"/>
          <w:szCs w:val="24"/>
          <w:shd w:val="clear" w:color="auto" w:fill="FFFFFF"/>
        </w:rPr>
        <w:t>Para a Secretaria do Estado da Fazenda, o modelo da sistemática da ST até então eficiente ferramenta de arrecadação que concentrava o recolhimento do ICMS no início da cadeia produtiva, vinha causando prejuízos à indústria catarinense. As recentes decisões do Supremo Tribunal Federal (STF) colocam em dúvida a eficiência da ST. Por decisão do STF, o contribuinte deve receber a diferença do imposto nos casos em que o valor da venda do produto tenha sido menor que o presumido pela MVA, aumentando a complexidade para os fiscos diante da dificuldade de processar o ressarcimento do imposto e assim causando maior nível de insegurança para os contribuintes (</w:t>
      </w:r>
      <w:r w:rsidR="000A20E1" w:rsidRPr="000A20E1">
        <w:rPr>
          <w:sz w:val="24"/>
          <w:szCs w:val="24"/>
        </w:rPr>
        <w:t>Decreto Lei nº 1541</w:t>
      </w:r>
      <w:r w:rsidR="00E17006" w:rsidRPr="000A20E1">
        <w:rPr>
          <w:sz w:val="24"/>
          <w:szCs w:val="24"/>
        </w:rPr>
        <w:t>,</w:t>
      </w:r>
      <w:r w:rsidR="00E17006" w:rsidRPr="000A20E1">
        <w:rPr>
          <w:sz w:val="24"/>
          <w:szCs w:val="24"/>
          <w:shd w:val="clear" w:color="auto" w:fill="FFFFFF"/>
        </w:rPr>
        <w:t xml:space="preserve"> 2018</w:t>
      </w:r>
      <w:r w:rsidRPr="000A20E1">
        <w:rPr>
          <w:sz w:val="24"/>
          <w:szCs w:val="24"/>
          <w:shd w:val="clear" w:color="auto" w:fill="FFFFFF"/>
        </w:rPr>
        <w:t>).</w:t>
      </w:r>
    </w:p>
    <w:p w14:paraId="0B376D01" w14:textId="77777777" w:rsidR="009A5621" w:rsidRPr="000A20E1" w:rsidRDefault="009A5621" w:rsidP="009A5621">
      <w:pPr>
        <w:jc w:val="both"/>
        <w:rPr>
          <w:sz w:val="24"/>
          <w:szCs w:val="24"/>
        </w:rPr>
      </w:pPr>
    </w:p>
    <w:p w14:paraId="685D856B" w14:textId="77777777" w:rsidR="009A5621" w:rsidRPr="000A20E1" w:rsidRDefault="009A5621" w:rsidP="009A5621">
      <w:pPr>
        <w:jc w:val="both"/>
        <w:rPr>
          <w:b/>
          <w:sz w:val="24"/>
          <w:szCs w:val="24"/>
        </w:rPr>
      </w:pPr>
      <w:r w:rsidRPr="000A20E1">
        <w:rPr>
          <w:b/>
          <w:sz w:val="24"/>
          <w:szCs w:val="24"/>
        </w:rPr>
        <w:t>2.3 Estudos Relacionados</w:t>
      </w:r>
    </w:p>
    <w:p w14:paraId="66D453B4" w14:textId="77777777" w:rsidR="009A5621" w:rsidRPr="00BA49A2" w:rsidRDefault="009A5621" w:rsidP="009A5621">
      <w:pPr>
        <w:ind w:firstLine="709"/>
        <w:jc w:val="both"/>
        <w:rPr>
          <w:sz w:val="24"/>
          <w:szCs w:val="24"/>
        </w:rPr>
      </w:pPr>
      <w:r w:rsidRPr="000A20E1">
        <w:rPr>
          <w:sz w:val="24"/>
          <w:szCs w:val="24"/>
        </w:rPr>
        <w:t xml:space="preserve">Não foram encontrados estudos similares ao tema do presente artigo. No entanto, foram verificados estudos relacionados ao impacto da ST </w:t>
      </w:r>
      <w:r w:rsidRPr="00BA49A2">
        <w:rPr>
          <w:sz w:val="24"/>
          <w:szCs w:val="24"/>
        </w:rPr>
        <w:t>em diversos setores, à época do seu surgimento. Dentre eles, Carvalho (2016) buscaram identificar o impacto do ICMS na composição do preço de venda de produtos derivados do petróleo no município de Goiânia, levando em conta a ST. Este estudo foi realizado comparando as médias dos valores do ICMS por apuração com o valor do ICMS ST dos combustíveis derivados do petróleo, por meio de dados fornecidos pela ANP. Os autores verificaram que o impacto causado pela utilização do regime de ST nos produtos analisados expôs um acréscimo no valor de venda para o consumidor final, de modo que o regime de ST aumenta a arrecadação e evita a sonegação, porém aumenta o valor do imposto cobrado do contribuinte.</w:t>
      </w:r>
    </w:p>
    <w:p w14:paraId="7A9C0790" w14:textId="77777777" w:rsidR="009A5621" w:rsidRPr="00BA49A2" w:rsidRDefault="009A5621" w:rsidP="009A5621">
      <w:pPr>
        <w:ind w:firstLine="709"/>
        <w:jc w:val="both"/>
        <w:rPr>
          <w:sz w:val="24"/>
          <w:szCs w:val="24"/>
        </w:rPr>
      </w:pPr>
      <w:r w:rsidRPr="00BA49A2">
        <w:rPr>
          <w:sz w:val="24"/>
          <w:szCs w:val="24"/>
        </w:rPr>
        <w:t>Outro estudo relacionado ao impacto da ST foi o de Barreto (2013) que objetivou avaliar o impacto da ST progressiva do ICMS no preço de venda de produtos de informática do setor varejista de Santa Catarina. Os autores realizaram comparativos entre o preço de venda de produtos de informática antes do regime de ST e pós-regime, onde verificaram pontos positivos e negativos, devido a diversos fatores como a margem de lucro estabelecida pelo fisco, sendo superior ao que realmente é praticado pela empresa no mercado.</w:t>
      </w:r>
    </w:p>
    <w:p w14:paraId="4EDB2416" w14:textId="77777777" w:rsidR="009A5621" w:rsidRPr="00BA49A2" w:rsidRDefault="009A5621" w:rsidP="009A5621">
      <w:pPr>
        <w:ind w:firstLine="709"/>
        <w:jc w:val="both"/>
        <w:rPr>
          <w:sz w:val="24"/>
          <w:szCs w:val="24"/>
        </w:rPr>
      </w:pPr>
      <w:r w:rsidRPr="00BA49A2">
        <w:rPr>
          <w:sz w:val="24"/>
          <w:szCs w:val="24"/>
        </w:rPr>
        <w:t xml:space="preserve">Pode-se citar ainda o estudo de </w:t>
      </w:r>
      <w:proofErr w:type="spellStart"/>
      <w:r w:rsidRPr="00BA49A2">
        <w:rPr>
          <w:sz w:val="24"/>
          <w:szCs w:val="24"/>
        </w:rPr>
        <w:t>Faliguski</w:t>
      </w:r>
      <w:proofErr w:type="spellEnd"/>
      <w:r w:rsidRPr="00BA49A2">
        <w:rPr>
          <w:sz w:val="24"/>
          <w:szCs w:val="24"/>
        </w:rPr>
        <w:t xml:space="preserve"> (2010) que buscou verificar o impacto da ST no preço de venda para consumidor final. Para realizar a pesquisa foram selecionados três produtos do setor de higiene e limpeza, nos quais foram aplicados os devidos cálculos e verificado o impacto da ST no preço de venda do varejista.  Assim, os autores verificaram que para os três produtos, a MVA utilizada foi superior à margem efetivamente utilizada no mercado. Também se pode observar que houve um acréscimo no valor de venda da mercadoria para o consumidor final, causado pela utilização do regime da ST. Desta forma, foi constatado </w:t>
      </w:r>
      <w:r w:rsidRPr="00BA49A2">
        <w:rPr>
          <w:sz w:val="24"/>
          <w:szCs w:val="24"/>
        </w:rPr>
        <w:lastRenderedPageBreak/>
        <w:t>que o regime de ST centraliza a fiscalização e aumenta a arrecadação, aumentando também o valor do imposto cobrado do contribuinte e consequentemente impactando num aumento do valor de venda ao consumidor final.</w:t>
      </w:r>
    </w:p>
    <w:p w14:paraId="480434BC" w14:textId="77777777" w:rsidR="009A5621" w:rsidRPr="00BA49A2" w:rsidRDefault="009A5621" w:rsidP="009A5621">
      <w:pPr>
        <w:ind w:firstLine="709"/>
        <w:jc w:val="both"/>
        <w:rPr>
          <w:sz w:val="24"/>
          <w:szCs w:val="24"/>
        </w:rPr>
      </w:pPr>
      <w:r w:rsidRPr="00BA49A2">
        <w:rPr>
          <w:sz w:val="24"/>
          <w:szCs w:val="24"/>
        </w:rPr>
        <w:t>Por fim, o estudo de Ferreira (2011) analisou os aspectos da cobrança do ICMS no regime de ST e a sua relação com a formação de preço de venda de artigos de papelaria. Como resultado constatou-se que com a mudança da sistemática do ICMS ST, os produtos passaram a ter uma carga tributária mais elevada. Concluiu-se ainda que a MVA definida pelo protocolo não era válida para a definição de preço, pois não cobriria todos os gastos.</w:t>
      </w:r>
    </w:p>
    <w:p w14:paraId="6467FAD8" w14:textId="77777777" w:rsidR="009A5621" w:rsidRPr="00BA49A2" w:rsidRDefault="009A5621" w:rsidP="009A5621">
      <w:pPr>
        <w:ind w:firstLine="709"/>
        <w:jc w:val="both"/>
        <w:rPr>
          <w:sz w:val="24"/>
          <w:szCs w:val="24"/>
        </w:rPr>
      </w:pPr>
      <w:r w:rsidRPr="00BA49A2">
        <w:rPr>
          <w:sz w:val="24"/>
          <w:szCs w:val="24"/>
        </w:rPr>
        <w:t>Cabe ressaltar que os estudos citados nesta seção estão relacionados ao impacto da aplicação do ICMS ST. Este estudo, no entanto, analisa o impacto da revogação desse regime de arrecadação, iniciado em 2017 e ampliado para quase todos os produtos em 2018.</w:t>
      </w:r>
    </w:p>
    <w:p w14:paraId="040F158D" w14:textId="77777777" w:rsidR="009A5621" w:rsidRPr="00BA49A2" w:rsidRDefault="009A5621" w:rsidP="009A5621">
      <w:pPr>
        <w:ind w:firstLine="708"/>
        <w:jc w:val="both"/>
        <w:rPr>
          <w:sz w:val="24"/>
          <w:szCs w:val="24"/>
        </w:rPr>
      </w:pPr>
    </w:p>
    <w:p w14:paraId="51BA76F9" w14:textId="77777777" w:rsidR="009A5621" w:rsidRPr="00BA49A2" w:rsidRDefault="009A5621" w:rsidP="009A5621">
      <w:pPr>
        <w:jc w:val="both"/>
        <w:rPr>
          <w:b/>
          <w:sz w:val="24"/>
          <w:szCs w:val="24"/>
        </w:rPr>
      </w:pPr>
      <w:r w:rsidRPr="00BA49A2">
        <w:rPr>
          <w:b/>
          <w:sz w:val="24"/>
          <w:szCs w:val="24"/>
        </w:rPr>
        <w:t>3 Procedimentos Metodológicos</w:t>
      </w:r>
    </w:p>
    <w:p w14:paraId="7973037F" w14:textId="77777777" w:rsidR="009A5621" w:rsidRPr="00BA49A2" w:rsidRDefault="009A5621" w:rsidP="009A5621">
      <w:pPr>
        <w:ind w:firstLine="709"/>
        <w:jc w:val="both"/>
        <w:rPr>
          <w:sz w:val="24"/>
          <w:szCs w:val="24"/>
        </w:rPr>
      </w:pPr>
      <w:r w:rsidRPr="00BA49A2">
        <w:rPr>
          <w:sz w:val="24"/>
          <w:szCs w:val="24"/>
        </w:rPr>
        <w:t>Esta seção esclarece os procedimentos metodológicos que serão utilizados no decorrer do estudo, informando a caracterização desta pesquisa bem como os procedimentos para coletas e análise dos dados.</w:t>
      </w:r>
    </w:p>
    <w:p w14:paraId="4C5A258F" w14:textId="77777777" w:rsidR="009A5621" w:rsidRPr="00BA49A2" w:rsidRDefault="009A5621" w:rsidP="009A5621">
      <w:pPr>
        <w:jc w:val="both"/>
        <w:rPr>
          <w:b/>
          <w:sz w:val="24"/>
          <w:szCs w:val="24"/>
        </w:rPr>
      </w:pPr>
    </w:p>
    <w:p w14:paraId="395FB3B2" w14:textId="77777777" w:rsidR="009A5621" w:rsidRPr="00BA49A2" w:rsidRDefault="009A5621" w:rsidP="009A5621">
      <w:pPr>
        <w:tabs>
          <w:tab w:val="center" w:pos="4535"/>
        </w:tabs>
        <w:jc w:val="both"/>
        <w:rPr>
          <w:b/>
          <w:sz w:val="24"/>
          <w:szCs w:val="24"/>
        </w:rPr>
      </w:pPr>
      <w:r w:rsidRPr="00BA49A2">
        <w:rPr>
          <w:b/>
          <w:sz w:val="24"/>
          <w:szCs w:val="24"/>
        </w:rPr>
        <w:t xml:space="preserve">3.1 Caracterização da Pesquisa </w:t>
      </w:r>
      <w:r w:rsidRPr="00BA49A2">
        <w:rPr>
          <w:b/>
          <w:sz w:val="24"/>
          <w:szCs w:val="24"/>
        </w:rPr>
        <w:tab/>
      </w:r>
    </w:p>
    <w:p w14:paraId="277D77DA" w14:textId="77777777" w:rsidR="009A5621" w:rsidRPr="00BA49A2" w:rsidRDefault="009A5621" w:rsidP="009A5621">
      <w:pPr>
        <w:ind w:firstLine="709"/>
        <w:jc w:val="both"/>
        <w:rPr>
          <w:sz w:val="24"/>
          <w:szCs w:val="24"/>
        </w:rPr>
      </w:pPr>
      <w:r w:rsidRPr="00BA49A2">
        <w:rPr>
          <w:sz w:val="24"/>
          <w:szCs w:val="24"/>
        </w:rPr>
        <w:t xml:space="preserve">Quanto à natureza este artigo caracteriza-se como pesquisa aplicada, dirigida a soluções de problemas específicos. Para atingir os objetivos pretendidos neste estudo foi desenvolvida uma pesquisa descritiva, para Gil (1999) a pesquisa descritiva relata as características de determinada população ou fenômeno estabelecendo uma relação entre os fatores. </w:t>
      </w:r>
    </w:p>
    <w:p w14:paraId="136BA4EA" w14:textId="77777777" w:rsidR="009A5621" w:rsidRPr="00BA49A2" w:rsidRDefault="009A5621" w:rsidP="009A5621">
      <w:pPr>
        <w:ind w:firstLine="709"/>
        <w:jc w:val="both"/>
        <w:rPr>
          <w:sz w:val="24"/>
          <w:szCs w:val="24"/>
        </w:rPr>
      </w:pPr>
      <w:r w:rsidRPr="00BA49A2">
        <w:rPr>
          <w:sz w:val="24"/>
          <w:szCs w:val="24"/>
        </w:rPr>
        <w:t>Quanto aos procedimentos de pesquisa deste artigo, foi realizado um estudo de caso e a análise e interpretação dos dados foi elaborada de forma qualitativa.</w:t>
      </w:r>
    </w:p>
    <w:p w14:paraId="23A259C2" w14:textId="77777777" w:rsidR="009A5621" w:rsidRPr="00BA49A2" w:rsidRDefault="009A5621" w:rsidP="009A5621">
      <w:pPr>
        <w:jc w:val="both"/>
        <w:rPr>
          <w:b/>
          <w:sz w:val="24"/>
          <w:szCs w:val="24"/>
        </w:rPr>
      </w:pPr>
    </w:p>
    <w:p w14:paraId="265A3C86" w14:textId="77777777" w:rsidR="009A5621" w:rsidRPr="00BA49A2" w:rsidRDefault="009A5621" w:rsidP="009A5621">
      <w:pPr>
        <w:jc w:val="both"/>
        <w:rPr>
          <w:b/>
          <w:sz w:val="24"/>
          <w:szCs w:val="24"/>
        </w:rPr>
      </w:pPr>
      <w:r w:rsidRPr="00BA49A2">
        <w:rPr>
          <w:b/>
          <w:sz w:val="24"/>
          <w:szCs w:val="24"/>
        </w:rPr>
        <w:t xml:space="preserve">3.2 Procedimentos para Coleta </w:t>
      </w:r>
      <w:r>
        <w:rPr>
          <w:b/>
          <w:sz w:val="24"/>
          <w:szCs w:val="24"/>
        </w:rPr>
        <w:t>d</w:t>
      </w:r>
      <w:r w:rsidRPr="00BA49A2">
        <w:rPr>
          <w:b/>
          <w:sz w:val="24"/>
          <w:szCs w:val="24"/>
        </w:rPr>
        <w:t xml:space="preserve">e Dados </w:t>
      </w:r>
    </w:p>
    <w:p w14:paraId="6ED09A5F" w14:textId="77777777" w:rsidR="009A5621" w:rsidRPr="00BA49A2" w:rsidRDefault="009A5621" w:rsidP="009A5621">
      <w:pPr>
        <w:ind w:firstLine="709"/>
        <w:jc w:val="both"/>
        <w:rPr>
          <w:sz w:val="24"/>
          <w:szCs w:val="24"/>
        </w:rPr>
      </w:pPr>
      <w:r w:rsidRPr="00BA49A2">
        <w:rPr>
          <w:sz w:val="24"/>
          <w:szCs w:val="24"/>
        </w:rPr>
        <w:t>A abordagem desta pesquisa foi realizada por meio do método de estudo de caso, para Gil (2010) consiste em um estudo detalhado de determinado objeto permitindo seu extenso conhecimento.</w:t>
      </w:r>
    </w:p>
    <w:p w14:paraId="53BF2978" w14:textId="77777777" w:rsidR="009A5621" w:rsidRPr="00BA49A2" w:rsidRDefault="009A5621" w:rsidP="009A5621">
      <w:pPr>
        <w:ind w:firstLine="709"/>
        <w:jc w:val="both"/>
        <w:rPr>
          <w:sz w:val="24"/>
          <w:szCs w:val="24"/>
        </w:rPr>
      </w:pPr>
      <w:r w:rsidRPr="00BA49A2">
        <w:rPr>
          <w:sz w:val="24"/>
          <w:szCs w:val="24"/>
        </w:rPr>
        <w:t xml:space="preserve">Para este estudo, devido à acessibilidade, foi selecionada uma rede de supermercados da grande Florianópolis que conta com um rol de produtos de mais de dez mil itens, atendendo a todas as classes econômicas. Para atender o objetivo, delimitou-se a análise aos itens da cesta básica do DIEESE, sob os quais foi revogado regime de ST. As informações foram obtidas a partir das notas fiscais de entrada, bem como valor de venda dos produtos praticados por esta rede de supermercados e a margem de lucro aplicada. </w:t>
      </w:r>
    </w:p>
    <w:p w14:paraId="67A6BD47" w14:textId="77777777" w:rsidR="009A5621" w:rsidRPr="00BA49A2" w:rsidRDefault="009A5621" w:rsidP="009A5621">
      <w:pPr>
        <w:ind w:firstLine="709"/>
        <w:jc w:val="both"/>
        <w:rPr>
          <w:sz w:val="24"/>
          <w:szCs w:val="24"/>
        </w:rPr>
      </w:pPr>
    </w:p>
    <w:p w14:paraId="02B84116" w14:textId="77777777" w:rsidR="009A5621" w:rsidRPr="00BA49A2" w:rsidRDefault="009A5621" w:rsidP="009A5621">
      <w:pPr>
        <w:jc w:val="both"/>
        <w:rPr>
          <w:b/>
          <w:sz w:val="24"/>
          <w:szCs w:val="24"/>
        </w:rPr>
      </w:pPr>
      <w:r w:rsidRPr="00BA49A2">
        <w:rPr>
          <w:b/>
          <w:sz w:val="24"/>
          <w:szCs w:val="24"/>
        </w:rPr>
        <w:t xml:space="preserve">3.3 Procedimentos para Análise </w:t>
      </w:r>
      <w:r>
        <w:rPr>
          <w:b/>
          <w:sz w:val="24"/>
          <w:szCs w:val="24"/>
        </w:rPr>
        <w:t>d</w:t>
      </w:r>
      <w:r w:rsidRPr="00BA49A2">
        <w:rPr>
          <w:b/>
          <w:sz w:val="24"/>
          <w:szCs w:val="24"/>
        </w:rPr>
        <w:t>e Dados</w:t>
      </w:r>
    </w:p>
    <w:p w14:paraId="71A598DE" w14:textId="77777777" w:rsidR="009A5621" w:rsidRPr="00BA49A2" w:rsidRDefault="009A5621" w:rsidP="009A5621">
      <w:pPr>
        <w:ind w:firstLine="709"/>
        <w:jc w:val="both"/>
        <w:rPr>
          <w:sz w:val="24"/>
          <w:szCs w:val="24"/>
        </w:rPr>
      </w:pPr>
      <w:r w:rsidRPr="00BA49A2">
        <w:rPr>
          <w:sz w:val="24"/>
          <w:szCs w:val="24"/>
        </w:rPr>
        <w:t>Este estudo utilizou-se de uma abordagem qualitativa para a análise e interpretação dos dados. A pesquisa qualitativa atenta-se em analisar e interpretar dados mais profundos, fornecendo análises mais precisas sobre determinado estudo (</w:t>
      </w:r>
      <w:r w:rsidR="00866963" w:rsidRPr="00BA49A2">
        <w:rPr>
          <w:sz w:val="24"/>
          <w:szCs w:val="24"/>
        </w:rPr>
        <w:t>Marconi</w:t>
      </w:r>
      <w:r w:rsidRPr="00BA49A2">
        <w:rPr>
          <w:sz w:val="24"/>
          <w:szCs w:val="24"/>
        </w:rPr>
        <w:t xml:space="preserve"> </w:t>
      </w:r>
      <w:r w:rsidRPr="00BA49A2">
        <w:rPr>
          <w:i/>
          <w:sz w:val="24"/>
          <w:szCs w:val="24"/>
        </w:rPr>
        <w:t>et al</w:t>
      </w:r>
      <w:r w:rsidR="00866963">
        <w:rPr>
          <w:sz w:val="24"/>
          <w:szCs w:val="24"/>
        </w:rPr>
        <w:t>,</w:t>
      </w:r>
      <w:r w:rsidRPr="00BA49A2">
        <w:rPr>
          <w:sz w:val="24"/>
          <w:szCs w:val="24"/>
        </w:rPr>
        <w:t xml:space="preserve"> 2010).</w:t>
      </w:r>
    </w:p>
    <w:p w14:paraId="78E67F79" w14:textId="77777777" w:rsidR="009A5621" w:rsidRPr="00BA49A2" w:rsidRDefault="009A5621" w:rsidP="009A5621">
      <w:pPr>
        <w:ind w:firstLine="709"/>
        <w:jc w:val="both"/>
        <w:rPr>
          <w:sz w:val="24"/>
          <w:szCs w:val="24"/>
        </w:rPr>
      </w:pPr>
      <w:r w:rsidRPr="00BA49A2">
        <w:rPr>
          <w:sz w:val="24"/>
          <w:szCs w:val="24"/>
        </w:rPr>
        <w:t>Para realizar a análise das informações, foi apurado o valor do imposto dos produtos selecionados, com a sistemática de ICMS normal, bem como no regime de ST, realizando assim a comparação dos dados e identificando qual a o impacto da revogação da sistemática da ST para o contribuinte e para o consumidor final.</w:t>
      </w:r>
    </w:p>
    <w:p w14:paraId="7EB529A4" w14:textId="77777777" w:rsidR="005D0287" w:rsidRDefault="005D0287" w:rsidP="009A5621">
      <w:pPr>
        <w:jc w:val="both"/>
        <w:rPr>
          <w:b/>
          <w:sz w:val="24"/>
          <w:szCs w:val="24"/>
        </w:rPr>
      </w:pPr>
    </w:p>
    <w:p w14:paraId="040F3927" w14:textId="2682B060" w:rsidR="009A5621" w:rsidRPr="00BA49A2" w:rsidRDefault="009A5621" w:rsidP="009A5621">
      <w:pPr>
        <w:jc w:val="both"/>
        <w:rPr>
          <w:b/>
          <w:sz w:val="24"/>
          <w:szCs w:val="24"/>
        </w:rPr>
      </w:pPr>
      <w:bookmarkStart w:id="0" w:name="_GoBack"/>
      <w:bookmarkEnd w:id="0"/>
      <w:r w:rsidRPr="00BA49A2">
        <w:rPr>
          <w:b/>
          <w:sz w:val="24"/>
          <w:szCs w:val="24"/>
        </w:rPr>
        <w:lastRenderedPageBreak/>
        <w:t xml:space="preserve">4 Análise </w:t>
      </w:r>
      <w:r>
        <w:rPr>
          <w:b/>
          <w:sz w:val="24"/>
          <w:szCs w:val="24"/>
        </w:rPr>
        <w:t>e</w:t>
      </w:r>
      <w:r w:rsidRPr="00BA49A2">
        <w:rPr>
          <w:b/>
          <w:sz w:val="24"/>
          <w:szCs w:val="24"/>
        </w:rPr>
        <w:t xml:space="preserve"> Discussão </w:t>
      </w:r>
      <w:r>
        <w:rPr>
          <w:b/>
          <w:sz w:val="24"/>
          <w:szCs w:val="24"/>
        </w:rPr>
        <w:t>d</w:t>
      </w:r>
      <w:r w:rsidRPr="00BA49A2">
        <w:rPr>
          <w:b/>
          <w:sz w:val="24"/>
          <w:szCs w:val="24"/>
        </w:rPr>
        <w:t>os Dados</w:t>
      </w:r>
    </w:p>
    <w:p w14:paraId="57104CEE" w14:textId="77777777" w:rsidR="009A5621" w:rsidRPr="00BA49A2" w:rsidRDefault="009A5621" w:rsidP="009A5621">
      <w:pPr>
        <w:jc w:val="both"/>
        <w:rPr>
          <w:b/>
          <w:sz w:val="24"/>
          <w:szCs w:val="24"/>
        </w:rPr>
      </w:pPr>
      <w:r w:rsidRPr="00BA49A2">
        <w:rPr>
          <w:b/>
          <w:sz w:val="24"/>
          <w:szCs w:val="24"/>
        </w:rPr>
        <w:t>4.1 Estruturação dos dados</w:t>
      </w:r>
    </w:p>
    <w:p w14:paraId="27643668" w14:textId="77777777" w:rsidR="009A5621" w:rsidRPr="00BA49A2" w:rsidRDefault="009A5621" w:rsidP="009A5621">
      <w:pPr>
        <w:ind w:firstLine="709"/>
        <w:jc w:val="both"/>
        <w:rPr>
          <w:sz w:val="24"/>
          <w:szCs w:val="24"/>
        </w:rPr>
      </w:pPr>
      <w:r w:rsidRPr="00BA49A2">
        <w:rPr>
          <w:sz w:val="24"/>
          <w:szCs w:val="24"/>
        </w:rPr>
        <w:t>Para a realização desta pesquisa foram selecionados os itens da cesta básica do DIEESE que foram excluídos do regime do ICMS-ST, visto que são produtos de consumo popular. Desta forma, foram identificados quatro produtos como objeto deste estudo: açúcar refinado, óleo de soja, café e manteiga.</w:t>
      </w:r>
    </w:p>
    <w:p w14:paraId="4A87F57E" w14:textId="77777777" w:rsidR="009A5621" w:rsidRPr="00BA49A2" w:rsidRDefault="009A5621" w:rsidP="009A5621">
      <w:pPr>
        <w:ind w:firstLine="709"/>
        <w:jc w:val="both"/>
        <w:rPr>
          <w:sz w:val="24"/>
          <w:szCs w:val="24"/>
        </w:rPr>
      </w:pPr>
      <w:r w:rsidRPr="00BA49A2">
        <w:rPr>
          <w:sz w:val="24"/>
          <w:szCs w:val="24"/>
        </w:rPr>
        <w:t xml:space="preserve">Para a análise do custo de aquisição foram coletados os dados de notas fiscais de fornecedores de uma rede de supermercados da grande Florianópolis, delimitando por fornecedores do Estado de Santa Catarina. Delimitou-se ainda </w:t>
      </w:r>
      <w:r w:rsidR="00866963">
        <w:rPr>
          <w:sz w:val="24"/>
          <w:szCs w:val="24"/>
        </w:rPr>
        <w:t>os</w:t>
      </w:r>
      <w:r w:rsidRPr="00BA49A2">
        <w:rPr>
          <w:sz w:val="24"/>
          <w:szCs w:val="24"/>
        </w:rPr>
        <w:t xml:space="preserve"> fornecedores não optantes pelo Simples Nacional, devido à particularização dos créditos de ICMS. Foram analisadas notas fiscais adquiridas em um período de até sessenta dias antes da exclusão dos itens do ICMS-ST e até sessenta dias após a mesma. </w:t>
      </w:r>
    </w:p>
    <w:p w14:paraId="5CE1C813" w14:textId="77777777" w:rsidR="009A5621" w:rsidRPr="00BA49A2" w:rsidRDefault="009A5621" w:rsidP="009A5621">
      <w:pPr>
        <w:ind w:firstLine="709"/>
        <w:jc w:val="both"/>
        <w:rPr>
          <w:sz w:val="24"/>
          <w:szCs w:val="24"/>
        </w:rPr>
      </w:pPr>
      <w:r w:rsidRPr="00BA49A2">
        <w:rPr>
          <w:sz w:val="24"/>
          <w:szCs w:val="24"/>
        </w:rPr>
        <w:t xml:space="preserve">No RICMS-SC foram encontradas as </w:t>
      </w:r>
      <w:proofErr w:type="spellStart"/>
      <w:r w:rsidRPr="00BA49A2">
        <w:rPr>
          <w:sz w:val="24"/>
          <w:szCs w:val="24"/>
        </w:rPr>
        <w:t>MVAs</w:t>
      </w:r>
      <w:proofErr w:type="spellEnd"/>
      <w:r w:rsidRPr="00BA49A2">
        <w:rPr>
          <w:sz w:val="24"/>
          <w:szCs w:val="24"/>
        </w:rPr>
        <w:t xml:space="preserve"> dos produtos objeto deste estudo, conforme demonstrado n</w:t>
      </w:r>
      <w:r>
        <w:rPr>
          <w:sz w:val="24"/>
          <w:szCs w:val="24"/>
        </w:rPr>
        <w:t>a</w:t>
      </w:r>
      <w:r w:rsidRPr="00BA49A2">
        <w:rPr>
          <w:sz w:val="24"/>
          <w:szCs w:val="24"/>
        </w:rPr>
        <w:t xml:space="preserve"> </w:t>
      </w:r>
      <w:r>
        <w:rPr>
          <w:sz w:val="24"/>
          <w:szCs w:val="24"/>
        </w:rPr>
        <w:t>Tabela</w:t>
      </w:r>
      <w:r w:rsidRPr="00BA49A2">
        <w:rPr>
          <w:sz w:val="24"/>
          <w:szCs w:val="24"/>
        </w:rPr>
        <w:t xml:space="preserve"> 2</w:t>
      </w:r>
      <w:r w:rsidR="00866963">
        <w:rPr>
          <w:sz w:val="24"/>
          <w:szCs w:val="24"/>
        </w:rPr>
        <w:t>.</w:t>
      </w:r>
    </w:p>
    <w:p w14:paraId="5CC570EB" w14:textId="77777777" w:rsidR="009A5621" w:rsidRPr="00BA49A2" w:rsidRDefault="009A5621" w:rsidP="009A5621">
      <w:pPr>
        <w:jc w:val="both"/>
        <w:rPr>
          <w:sz w:val="24"/>
          <w:szCs w:val="24"/>
        </w:rPr>
      </w:pPr>
    </w:p>
    <w:p w14:paraId="1D89D66B" w14:textId="77777777" w:rsidR="009A5621" w:rsidRPr="009A5621" w:rsidRDefault="009A5621" w:rsidP="009A5621">
      <w:pPr>
        <w:jc w:val="both"/>
        <w:rPr>
          <w:sz w:val="24"/>
          <w:szCs w:val="24"/>
        </w:rPr>
      </w:pPr>
      <w:r w:rsidRPr="009A5621">
        <w:rPr>
          <w:sz w:val="24"/>
          <w:szCs w:val="24"/>
        </w:rPr>
        <w:t>Tabela 2</w:t>
      </w:r>
    </w:p>
    <w:p w14:paraId="4BF381B0" w14:textId="77777777" w:rsidR="009A5621" w:rsidRPr="00BA49A2" w:rsidRDefault="009A5621" w:rsidP="009A5621">
      <w:pPr>
        <w:jc w:val="both"/>
        <w:rPr>
          <w:b/>
          <w:sz w:val="24"/>
          <w:szCs w:val="24"/>
        </w:rPr>
      </w:pPr>
      <w:r w:rsidRPr="00BA49A2">
        <w:rPr>
          <w:b/>
          <w:sz w:val="24"/>
          <w:szCs w:val="24"/>
        </w:rPr>
        <w:t>Margem de Valor Agregado dos itens.</w:t>
      </w:r>
    </w:p>
    <w:tbl>
      <w:tblPr>
        <w:tblW w:w="9012" w:type="dxa"/>
        <w:tblInd w:w="55" w:type="dxa"/>
        <w:tblBorders>
          <w:top w:val="single" w:sz="4" w:space="0" w:color="auto"/>
          <w:bottom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3249"/>
        <w:gridCol w:w="3092"/>
        <w:gridCol w:w="2671"/>
      </w:tblGrid>
      <w:tr w:rsidR="009A5621" w:rsidRPr="009A5621" w14:paraId="718772AB" w14:textId="77777777" w:rsidTr="00F332A1">
        <w:trPr>
          <w:trHeight w:val="358"/>
        </w:trPr>
        <w:tc>
          <w:tcPr>
            <w:tcW w:w="3249" w:type="dxa"/>
            <w:tcBorders>
              <w:top w:val="single" w:sz="4" w:space="0" w:color="auto"/>
              <w:bottom w:val="single" w:sz="4" w:space="0" w:color="auto"/>
            </w:tcBorders>
            <w:shd w:val="clear" w:color="auto" w:fill="FFFFFF" w:themeFill="background1"/>
            <w:noWrap/>
            <w:vAlign w:val="center"/>
            <w:hideMark/>
          </w:tcPr>
          <w:p w14:paraId="57C32D54" w14:textId="77777777" w:rsidR="009A5621" w:rsidRPr="009A5621" w:rsidRDefault="00B71B4F" w:rsidP="00F332A1">
            <w:pPr>
              <w:jc w:val="center"/>
              <w:rPr>
                <w:b/>
                <w:bCs/>
                <w:color w:val="000000"/>
              </w:rPr>
            </w:pPr>
            <w:r w:rsidRPr="009A5621">
              <w:rPr>
                <w:b/>
                <w:bCs/>
                <w:color w:val="000000"/>
              </w:rPr>
              <w:t>Produtos</w:t>
            </w:r>
          </w:p>
        </w:tc>
        <w:tc>
          <w:tcPr>
            <w:tcW w:w="3092" w:type="dxa"/>
            <w:tcBorders>
              <w:top w:val="single" w:sz="4" w:space="0" w:color="auto"/>
              <w:bottom w:val="single" w:sz="4" w:space="0" w:color="auto"/>
            </w:tcBorders>
            <w:shd w:val="clear" w:color="auto" w:fill="FFFFFF" w:themeFill="background1"/>
            <w:noWrap/>
            <w:vAlign w:val="center"/>
            <w:hideMark/>
          </w:tcPr>
          <w:p w14:paraId="75AEDB09" w14:textId="77777777" w:rsidR="009A5621" w:rsidRPr="009A5621" w:rsidRDefault="009A5621" w:rsidP="00F332A1">
            <w:pPr>
              <w:jc w:val="center"/>
              <w:rPr>
                <w:b/>
                <w:bCs/>
                <w:color w:val="000000"/>
              </w:rPr>
            </w:pPr>
            <w:r w:rsidRPr="009A5621">
              <w:rPr>
                <w:b/>
                <w:bCs/>
                <w:color w:val="000000"/>
              </w:rPr>
              <w:t>NCM</w:t>
            </w:r>
          </w:p>
        </w:tc>
        <w:tc>
          <w:tcPr>
            <w:tcW w:w="2671" w:type="dxa"/>
            <w:tcBorders>
              <w:top w:val="single" w:sz="4" w:space="0" w:color="auto"/>
              <w:bottom w:val="single" w:sz="4" w:space="0" w:color="auto"/>
            </w:tcBorders>
            <w:shd w:val="clear" w:color="auto" w:fill="FFFFFF" w:themeFill="background1"/>
            <w:noWrap/>
            <w:vAlign w:val="center"/>
            <w:hideMark/>
          </w:tcPr>
          <w:p w14:paraId="5015DB35" w14:textId="77777777" w:rsidR="009A5621" w:rsidRPr="009A5621" w:rsidRDefault="009A5621" w:rsidP="00F332A1">
            <w:pPr>
              <w:jc w:val="center"/>
              <w:rPr>
                <w:b/>
                <w:bCs/>
                <w:color w:val="000000"/>
              </w:rPr>
            </w:pPr>
            <w:r w:rsidRPr="009A5621">
              <w:rPr>
                <w:b/>
                <w:bCs/>
                <w:color w:val="000000"/>
              </w:rPr>
              <w:t>MVA (%)</w:t>
            </w:r>
          </w:p>
        </w:tc>
      </w:tr>
      <w:tr w:rsidR="009A5621" w:rsidRPr="009A5621" w14:paraId="2EB828FA" w14:textId="77777777" w:rsidTr="00F332A1">
        <w:trPr>
          <w:trHeight w:val="311"/>
        </w:trPr>
        <w:tc>
          <w:tcPr>
            <w:tcW w:w="3249" w:type="dxa"/>
            <w:tcBorders>
              <w:top w:val="single" w:sz="4" w:space="0" w:color="auto"/>
            </w:tcBorders>
            <w:shd w:val="clear" w:color="auto" w:fill="FFFFFF" w:themeFill="background1"/>
            <w:noWrap/>
            <w:vAlign w:val="bottom"/>
            <w:hideMark/>
          </w:tcPr>
          <w:p w14:paraId="7446F1F8" w14:textId="77777777" w:rsidR="009A5621" w:rsidRPr="009A5621" w:rsidRDefault="009A5621" w:rsidP="009A5621">
            <w:pPr>
              <w:jc w:val="both"/>
              <w:rPr>
                <w:bCs/>
                <w:color w:val="000000"/>
              </w:rPr>
            </w:pPr>
            <w:r w:rsidRPr="009A5621">
              <w:rPr>
                <w:bCs/>
                <w:color w:val="000000"/>
              </w:rPr>
              <w:t>Açúcar Refinado</w:t>
            </w:r>
          </w:p>
        </w:tc>
        <w:tc>
          <w:tcPr>
            <w:tcW w:w="3092" w:type="dxa"/>
            <w:tcBorders>
              <w:top w:val="single" w:sz="4" w:space="0" w:color="auto"/>
            </w:tcBorders>
            <w:shd w:val="clear" w:color="auto" w:fill="FFFFFF" w:themeFill="background1"/>
            <w:noWrap/>
            <w:vAlign w:val="bottom"/>
            <w:hideMark/>
          </w:tcPr>
          <w:p w14:paraId="60BDAE01" w14:textId="77777777" w:rsidR="009A5621" w:rsidRPr="009A5621" w:rsidRDefault="009A5621" w:rsidP="009A5621">
            <w:pPr>
              <w:jc w:val="center"/>
              <w:rPr>
                <w:color w:val="000000"/>
              </w:rPr>
            </w:pPr>
            <w:r w:rsidRPr="009A5621">
              <w:rPr>
                <w:color w:val="000000"/>
              </w:rPr>
              <w:t>1701.99.00</w:t>
            </w:r>
          </w:p>
        </w:tc>
        <w:tc>
          <w:tcPr>
            <w:tcW w:w="2671" w:type="dxa"/>
            <w:tcBorders>
              <w:top w:val="single" w:sz="4" w:space="0" w:color="auto"/>
            </w:tcBorders>
            <w:shd w:val="clear" w:color="auto" w:fill="FFFFFF" w:themeFill="background1"/>
            <w:noWrap/>
            <w:vAlign w:val="bottom"/>
            <w:hideMark/>
          </w:tcPr>
          <w:p w14:paraId="67C94064" w14:textId="77777777" w:rsidR="009A5621" w:rsidRPr="009A5621" w:rsidRDefault="009A5621" w:rsidP="009A5621">
            <w:pPr>
              <w:jc w:val="center"/>
              <w:rPr>
                <w:color w:val="000000"/>
              </w:rPr>
            </w:pPr>
            <w:r w:rsidRPr="009A5621">
              <w:rPr>
                <w:color w:val="000000"/>
              </w:rPr>
              <w:t>19</w:t>
            </w:r>
          </w:p>
        </w:tc>
      </w:tr>
      <w:tr w:rsidR="009A5621" w:rsidRPr="009A5621" w14:paraId="381CDE7F" w14:textId="77777777" w:rsidTr="009A5621">
        <w:trPr>
          <w:trHeight w:val="311"/>
        </w:trPr>
        <w:tc>
          <w:tcPr>
            <w:tcW w:w="3249" w:type="dxa"/>
            <w:shd w:val="clear" w:color="auto" w:fill="FFFFFF" w:themeFill="background1"/>
            <w:noWrap/>
            <w:vAlign w:val="bottom"/>
            <w:hideMark/>
          </w:tcPr>
          <w:p w14:paraId="6A08C0D4" w14:textId="77777777" w:rsidR="009A5621" w:rsidRPr="009A5621" w:rsidRDefault="009A5621" w:rsidP="009A5621">
            <w:pPr>
              <w:jc w:val="both"/>
              <w:rPr>
                <w:bCs/>
                <w:color w:val="000000"/>
              </w:rPr>
            </w:pPr>
            <w:r w:rsidRPr="009A5621">
              <w:rPr>
                <w:bCs/>
                <w:color w:val="000000"/>
              </w:rPr>
              <w:t>Café</w:t>
            </w:r>
          </w:p>
        </w:tc>
        <w:tc>
          <w:tcPr>
            <w:tcW w:w="3092" w:type="dxa"/>
            <w:shd w:val="clear" w:color="auto" w:fill="FFFFFF" w:themeFill="background1"/>
            <w:noWrap/>
            <w:vAlign w:val="bottom"/>
            <w:hideMark/>
          </w:tcPr>
          <w:p w14:paraId="6CDA8631" w14:textId="77777777" w:rsidR="009A5621" w:rsidRPr="009A5621" w:rsidRDefault="009A5621" w:rsidP="009A5621">
            <w:pPr>
              <w:jc w:val="center"/>
              <w:rPr>
                <w:color w:val="000000"/>
              </w:rPr>
            </w:pPr>
            <w:r w:rsidRPr="009A5621">
              <w:rPr>
                <w:color w:val="000000"/>
              </w:rPr>
              <w:t>0901.21.00</w:t>
            </w:r>
          </w:p>
        </w:tc>
        <w:tc>
          <w:tcPr>
            <w:tcW w:w="2671" w:type="dxa"/>
            <w:shd w:val="clear" w:color="auto" w:fill="FFFFFF" w:themeFill="background1"/>
            <w:noWrap/>
            <w:vAlign w:val="bottom"/>
            <w:hideMark/>
          </w:tcPr>
          <w:p w14:paraId="165AE556" w14:textId="77777777" w:rsidR="009A5621" w:rsidRPr="009A5621" w:rsidRDefault="009A5621" w:rsidP="009A5621">
            <w:pPr>
              <w:jc w:val="center"/>
              <w:rPr>
                <w:color w:val="000000"/>
              </w:rPr>
            </w:pPr>
            <w:r w:rsidRPr="009A5621">
              <w:rPr>
                <w:color w:val="000000"/>
              </w:rPr>
              <w:t>11</w:t>
            </w:r>
          </w:p>
        </w:tc>
      </w:tr>
      <w:tr w:rsidR="009A5621" w:rsidRPr="009A5621" w14:paraId="762E2417" w14:textId="77777777" w:rsidTr="009A5621">
        <w:trPr>
          <w:trHeight w:val="311"/>
        </w:trPr>
        <w:tc>
          <w:tcPr>
            <w:tcW w:w="3249" w:type="dxa"/>
            <w:shd w:val="clear" w:color="auto" w:fill="FFFFFF" w:themeFill="background1"/>
            <w:noWrap/>
            <w:vAlign w:val="bottom"/>
            <w:hideMark/>
          </w:tcPr>
          <w:p w14:paraId="46908833" w14:textId="77777777" w:rsidR="009A5621" w:rsidRPr="009A5621" w:rsidRDefault="009A5621" w:rsidP="009A5621">
            <w:pPr>
              <w:jc w:val="both"/>
              <w:rPr>
                <w:bCs/>
                <w:color w:val="000000"/>
              </w:rPr>
            </w:pPr>
            <w:r w:rsidRPr="009A5621">
              <w:rPr>
                <w:bCs/>
                <w:color w:val="000000"/>
              </w:rPr>
              <w:t>Manteiga</w:t>
            </w:r>
          </w:p>
        </w:tc>
        <w:tc>
          <w:tcPr>
            <w:tcW w:w="3092" w:type="dxa"/>
            <w:shd w:val="clear" w:color="auto" w:fill="FFFFFF" w:themeFill="background1"/>
            <w:noWrap/>
            <w:vAlign w:val="bottom"/>
            <w:hideMark/>
          </w:tcPr>
          <w:p w14:paraId="31C5F31B" w14:textId="77777777" w:rsidR="009A5621" w:rsidRPr="009A5621" w:rsidRDefault="009A5621" w:rsidP="009A5621">
            <w:pPr>
              <w:jc w:val="center"/>
              <w:rPr>
                <w:color w:val="000000"/>
              </w:rPr>
            </w:pPr>
            <w:r w:rsidRPr="009A5621">
              <w:rPr>
                <w:color w:val="000000"/>
              </w:rPr>
              <w:t>0405.10.00</w:t>
            </w:r>
          </w:p>
        </w:tc>
        <w:tc>
          <w:tcPr>
            <w:tcW w:w="2671" w:type="dxa"/>
            <w:shd w:val="clear" w:color="auto" w:fill="FFFFFF" w:themeFill="background1"/>
            <w:noWrap/>
            <w:vAlign w:val="bottom"/>
            <w:hideMark/>
          </w:tcPr>
          <w:p w14:paraId="120C1FD7" w14:textId="77777777" w:rsidR="009A5621" w:rsidRPr="009A5621" w:rsidRDefault="009A5621" w:rsidP="009A5621">
            <w:pPr>
              <w:jc w:val="center"/>
              <w:rPr>
                <w:color w:val="000000"/>
              </w:rPr>
            </w:pPr>
            <w:r w:rsidRPr="009A5621">
              <w:rPr>
                <w:color w:val="000000"/>
              </w:rPr>
              <w:t>34</w:t>
            </w:r>
          </w:p>
        </w:tc>
      </w:tr>
      <w:tr w:rsidR="009A5621" w:rsidRPr="009A5621" w14:paraId="027D5578" w14:textId="77777777" w:rsidTr="009A5621">
        <w:trPr>
          <w:trHeight w:val="311"/>
        </w:trPr>
        <w:tc>
          <w:tcPr>
            <w:tcW w:w="3249" w:type="dxa"/>
            <w:shd w:val="clear" w:color="auto" w:fill="FFFFFF" w:themeFill="background1"/>
            <w:noWrap/>
            <w:vAlign w:val="bottom"/>
            <w:hideMark/>
          </w:tcPr>
          <w:p w14:paraId="632B6DE8" w14:textId="77777777" w:rsidR="009A5621" w:rsidRPr="009A5621" w:rsidRDefault="009A5621" w:rsidP="009A5621">
            <w:pPr>
              <w:jc w:val="both"/>
              <w:rPr>
                <w:bCs/>
                <w:color w:val="000000"/>
              </w:rPr>
            </w:pPr>
            <w:r w:rsidRPr="009A5621">
              <w:rPr>
                <w:bCs/>
                <w:color w:val="000000"/>
              </w:rPr>
              <w:t>Óleo de Soja</w:t>
            </w:r>
          </w:p>
        </w:tc>
        <w:tc>
          <w:tcPr>
            <w:tcW w:w="3092" w:type="dxa"/>
            <w:shd w:val="clear" w:color="auto" w:fill="FFFFFF" w:themeFill="background1"/>
            <w:noWrap/>
            <w:vAlign w:val="bottom"/>
            <w:hideMark/>
          </w:tcPr>
          <w:p w14:paraId="14243852" w14:textId="77777777" w:rsidR="009A5621" w:rsidRPr="009A5621" w:rsidRDefault="009A5621" w:rsidP="009A5621">
            <w:pPr>
              <w:jc w:val="center"/>
              <w:rPr>
                <w:color w:val="000000"/>
              </w:rPr>
            </w:pPr>
            <w:r w:rsidRPr="009A5621">
              <w:rPr>
                <w:color w:val="000000"/>
              </w:rPr>
              <w:t>1507.90.11</w:t>
            </w:r>
          </w:p>
        </w:tc>
        <w:tc>
          <w:tcPr>
            <w:tcW w:w="2671" w:type="dxa"/>
            <w:shd w:val="clear" w:color="auto" w:fill="FFFFFF" w:themeFill="background1"/>
            <w:noWrap/>
            <w:vAlign w:val="bottom"/>
            <w:hideMark/>
          </w:tcPr>
          <w:p w14:paraId="4C916FDD" w14:textId="77777777" w:rsidR="009A5621" w:rsidRPr="009A5621" w:rsidRDefault="009A5621" w:rsidP="009A5621">
            <w:pPr>
              <w:jc w:val="center"/>
              <w:rPr>
                <w:color w:val="000000"/>
              </w:rPr>
            </w:pPr>
            <w:r w:rsidRPr="009A5621">
              <w:rPr>
                <w:color w:val="000000"/>
              </w:rPr>
              <w:t>17</w:t>
            </w:r>
          </w:p>
        </w:tc>
      </w:tr>
    </w:tbl>
    <w:p w14:paraId="1D448A74" w14:textId="77777777" w:rsidR="009A5621" w:rsidRPr="00BA49A2" w:rsidRDefault="009A5621" w:rsidP="009A5621">
      <w:pPr>
        <w:jc w:val="both"/>
        <w:rPr>
          <w:sz w:val="24"/>
          <w:szCs w:val="24"/>
        </w:rPr>
      </w:pPr>
    </w:p>
    <w:p w14:paraId="69803DE9" w14:textId="77777777" w:rsidR="009A5621" w:rsidRPr="00BA49A2" w:rsidRDefault="009A5621" w:rsidP="009A5621">
      <w:pPr>
        <w:ind w:firstLine="709"/>
        <w:jc w:val="both"/>
        <w:rPr>
          <w:sz w:val="24"/>
          <w:szCs w:val="24"/>
        </w:rPr>
      </w:pPr>
      <w:r w:rsidRPr="00BA49A2">
        <w:rPr>
          <w:sz w:val="24"/>
          <w:szCs w:val="24"/>
        </w:rPr>
        <w:t>Por meio das notas fiscais foram coletados os preços de custo de cada produto, incluindo a sua alíquota. As margens de lucro foram coletadas no banco de dados da rede de supermercados, demonstrados n</w:t>
      </w:r>
      <w:r w:rsidR="00933FF0">
        <w:rPr>
          <w:sz w:val="24"/>
          <w:szCs w:val="24"/>
        </w:rPr>
        <w:t>a</w:t>
      </w:r>
      <w:r w:rsidRPr="00BA49A2">
        <w:rPr>
          <w:sz w:val="24"/>
          <w:szCs w:val="24"/>
        </w:rPr>
        <w:t xml:space="preserve"> </w:t>
      </w:r>
      <w:r w:rsidR="00933FF0">
        <w:rPr>
          <w:sz w:val="24"/>
          <w:szCs w:val="24"/>
        </w:rPr>
        <w:t>Tabela</w:t>
      </w:r>
      <w:r w:rsidRPr="00BA49A2">
        <w:rPr>
          <w:sz w:val="24"/>
          <w:szCs w:val="24"/>
        </w:rPr>
        <w:t xml:space="preserve"> 3</w:t>
      </w:r>
      <w:r w:rsidR="00933FF0">
        <w:rPr>
          <w:sz w:val="24"/>
          <w:szCs w:val="24"/>
        </w:rPr>
        <w:t>.</w:t>
      </w:r>
    </w:p>
    <w:p w14:paraId="77D40635" w14:textId="77777777" w:rsidR="009A5621" w:rsidRPr="00BA49A2" w:rsidRDefault="009A5621" w:rsidP="009A5621">
      <w:pPr>
        <w:ind w:firstLine="709"/>
        <w:jc w:val="both"/>
        <w:rPr>
          <w:sz w:val="24"/>
          <w:szCs w:val="24"/>
        </w:rPr>
      </w:pPr>
    </w:p>
    <w:p w14:paraId="1BFF150B" w14:textId="77777777" w:rsidR="00933FF0" w:rsidRPr="00933FF0" w:rsidRDefault="00933FF0" w:rsidP="009A5621">
      <w:pPr>
        <w:jc w:val="both"/>
        <w:rPr>
          <w:sz w:val="24"/>
          <w:szCs w:val="24"/>
        </w:rPr>
      </w:pPr>
      <w:r w:rsidRPr="00933FF0">
        <w:rPr>
          <w:sz w:val="24"/>
          <w:szCs w:val="24"/>
        </w:rPr>
        <w:t>Tabela</w:t>
      </w:r>
      <w:r w:rsidR="009A5621" w:rsidRPr="00933FF0">
        <w:rPr>
          <w:sz w:val="24"/>
          <w:szCs w:val="24"/>
        </w:rPr>
        <w:t xml:space="preserve"> 3</w:t>
      </w:r>
    </w:p>
    <w:p w14:paraId="23D70F27" w14:textId="77777777" w:rsidR="009A5621" w:rsidRPr="00BA49A2" w:rsidRDefault="009A5621" w:rsidP="009A5621">
      <w:pPr>
        <w:jc w:val="both"/>
        <w:rPr>
          <w:b/>
          <w:sz w:val="24"/>
          <w:szCs w:val="24"/>
        </w:rPr>
      </w:pPr>
      <w:r w:rsidRPr="00BA49A2">
        <w:rPr>
          <w:b/>
          <w:sz w:val="24"/>
          <w:szCs w:val="24"/>
        </w:rPr>
        <w:t>Custos e Margem de lucro com base nos dados adquiridos.</w:t>
      </w:r>
    </w:p>
    <w:tbl>
      <w:tblPr>
        <w:tblW w:w="9000" w:type="dxa"/>
        <w:tblInd w:w="55" w:type="dxa"/>
        <w:tblBorders>
          <w:top w:val="single" w:sz="4" w:space="0" w:color="auto"/>
          <w:bottom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260"/>
        <w:gridCol w:w="1540"/>
        <w:gridCol w:w="2620"/>
        <w:gridCol w:w="2580"/>
      </w:tblGrid>
      <w:tr w:rsidR="009A5621" w:rsidRPr="00933FF0" w14:paraId="70D0D533" w14:textId="77777777" w:rsidTr="00F332A1">
        <w:trPr>
          <w:trHeight w:val="345"/>
        </w:trPr>
        <w:tc>
          <w:tcPr>
            <w:tcW w:w="2260" w:type="dxa"/>
            <w:tcBorders>
              <w:top w:val="single" w:sz="4" w:space="0" w:color="auto"/>
              <w:bottom w:val="single" w:sz="4" w:space="0" w:color="auto"/>
            </w:tcBorders>
            <w:shd w:val="clear" w:color="auto" w:fill="FFFFFF" w:themeFill="background1"/>
            <w:noWrap/>
            <w:vAlign w:val="center"/>
            <w:hideMark/>
          </w:tcPr>
          <w:p w14:paraId="0C6D21F0" w14:textId="77777777" w:rsidR="009A5621" w:rsidRPr="00933FF0" w:rsidRDefault="00B71B4F" w:rsidP="00F332A1">
            <w:pPr>
              <w:jc w:val="center"/>
              <w:rPr>
                <w:b/>
                <w:bCs/>
                <w:color w:val="000000"/>
              </w:rPr>
            </w:pPr>
            <w:r w:rsidRPr="00933FF0">
              <w:rPr>
                <w:b/>
                <w:bCs/>
                <w:color w:val="000000"/>
              </w:rPr>
              <w:t>Produtos</w:t>
            </w:r>
          </w:p>
        </w:tc>
        <w:tc>
          <w:tcPr>
            <w:tcW w:w="1540" w:type="dxa"/>
            <w:tcBorders>
              <w:top w:val="single" w:sz="4" w:space="0" w:color="auto"/>
              <w:bottom w:val="single" w:sz="4" w:space="0" w:color="auto"/>
            </w:tcBorders>
            <w:shd w:val="clear" w:color="auto" w:fill="FFFFFF" w:themeFill="background1"/>
            <w:noWrap/>
            <w:vAlign w:val="center"/>
            <w:hideMark/>
          </w:tcPr>
          <w:p w14:paraId="51BBB4B3" w14:textId="77777777" w:rsidR="009A5621" w:rsidRPr="00933FF0" w:rsidRDefault="00B71B4F" w:rsidP="00F332A1">
            <w:pPr>
              <w:jc w:val="center"/>
              <w:rPr>
                <w:b/>
                <w:bCs/>
                <w:color w:val="000000"/>
              </w:rPr>
            </w:pPr>
            <w:r w:rsidRPr="00933FF0">
              <w:rPr>
                <w:b/>
                <w:bCs/>
                <w:color w:val="000000"/>
              </w:rPr>
              <w:t>Custo</w:t>
            </w:r>
          </w:p>
        </w:tc>
        <w:tc>
          <w:tcPr>
            <w:tcW w:w="2620" w:type="dxa"/>
            <w:tcBorders>
              <w:top w:val="single" w:sz="4" w:space="0" w:color="auto"/>
              <w:bottom w:val="single" w:sz="4" w:space="0" w:color="auto"/>
            </w:tcBorders>
            <w:shd w:val="clear" w:color="auto" w:fill="FFFFFF" w:themeFill="background1"/>
            <w:noWrap/>
            <w:vAlign w:val="center"/>
            <w:hideMark/>
          </w:tcPr>
          <w:p w14:paraId="29101FEE" w14:textId="77777777" w:rsidR="009A5621" w:rsidRPr="00933FF0" w:rsidRDefault="00B71B4F" w:rsidP="00F332A1">
            <w:pPr>
              <w:jc w:val="center"/>
              <w:rPr>
                <w:b/>
                <w:bCs/>
                <w:color w:val="000000"/>
              </w:rPr>
            </w:pPr>
            <w:r w:rsidRPr="00933FF0">
              <w:rPr>
                <w:b/>
                <w:bCs/>
                <w:color w:val="000000"/>
              </w:rPr>
              <w:t>Al</w:t>
            </w:r>
            <w:r>
              <w:rPr>
                <w:b/>
                <w:bCs/>
                <w:color w:val="000000"/>
              </w:rPr>
              <w:t>í</w:t>
            </w:r>
            <w:r w:rsidRPr="00933FF0">
              <w:rPr>
                <w:b/>
                <w:bCs/>
                <w:color w:val="000000"/>
              </w:rPr>
              <w:t>quota Interna (%)</w:t>
            </w:r>
          </w:p>
        </w:tc>
        <w:tc>
          <w:tcPr>
            <w:tcW w:w="2580" w:type="dxa"/>
            <w:tcBorders>
              <w:top w:val="single" w:sz="4" w:space="0" w:color="auto"/>
              <w:bottom w:val="single" w:sz="4" w:space="0" w:color="auto"/>
            </w:tcBorders>
            <w:shd w:val="clear" w:color="auto" w:fill="FFFFFF" w:themeFill="background1"/>
            <w:noWrap/>
            <w:vAlign w:val="center"/>
            <w:hideMark/>
          </w:tcPr>
          <w:p w14:paraId="6AA5AC53" w14:textId="77777777" w:rsidR="009A5621" w:rsidRPr="00933FF0" w:rsidRDefault="00B71B4F" w:rsidP="00F332A1">
            <w:pPr>
              <w:jc w:val="center"/>
              <w:rPr>
                <w:b/>
                <w:bCs/>
                <w:color w:val="000000"/>
              </w:rPr>
            </w:pPr>
            <w:r w:rsidRPr="00933FF0">
              <w:rPr>
                <w:b/>
                <w:bCs/>
                <w:color w:val="000000"/>
              </w:rPr>
              <w:t xml:space="preserve">Margem </w:t>
            </w:r>
            <w:r>
              <w:rPr>
                <w:b/>
                <w:bCs/>
                <w:color w:val="000000"/>
              </w:rPr>
              <w:t>d</w:t>
            </w:r>
            <w:r w:rsidRPr="00933FF0">
              <w:rPr>
                <w:b/>
                <w:bCs/>
                <w:color w:val="000000"/>
              </w:rPr>
              <w:t>e Lucro (%)</w:t>
            </w:r>
          </w:p>
        </w:tc>
      </w:tr>
      <w:tr w:rsidR="009A5621" w:rsidRPr="00933FF0" w14:paraId="1D11275E" w14:textId="77777777" w:rsidTr="00F332A1">
        <w:trPr>
          <w:trHeight w:val="300"/>
        </w:trPr>
        <w:tc>
          <w:tcPr>
            <w:tcW w:w="2260" w:type="dxa"/>
            <w:tcBorders>
              <w:top w:val="single" w:sz="4" w:space="0" w:color="auto"/>
            </w:tcBorders>
            <w:shd w:val="clear" w:color="auto" w:fill="FFFFFF" w:themeFill="background1"/>
            <w:noWrap/>
            <w:vAlign w:val="bottom"/>
            <w:hideMark/>
          </w:tcPr>
          <w:p w14:paraId="168FF8B2" w14:textId="77777777" w:rsidR="009A5621" w:rsidRPr="00933FF0" w:rsidRDefault="009A5621" w:rsidP="009A5621">
            <w:pPr>
              <w:jc w:val="both"/>
              <w:rPr>
                <w:bCs/>
                <w:color w:val="000000"/>
              </w:rPr>
            </w:pPr>
            <w:r w:rsidRPr="00933FF0">
              <w:rPr>
                <w:bCs/>
                <w:color w:val="000000"/>
              </w:rPr>
              <w:t>Açúcar Refinado</w:t>
            </w:r>
          </w:p>
        </w:tc>
        <w:tc>
          <w:tcPr>
            <w:tcW w:w="1540" w:type="dxa"/>
            <w:tcBorders>
              <w:top w:val="single" w:sz="4" w:space="0" w:color="auto"/>
            </w:tcBorders>
            <w:shd w:val="clear" w:color="auto" w:fill="FFFFFF" w:themeFill="background1"/>
            <w:noWrap/>
            <w:vAlign w:val="bottom"/>
            <w:hideMark/>
          </w:tcPr>
          <w:p w14:paraId="2C447F2F" w14:textId="77777777" w:rsidR="009A5621" w:rsidRPr="00933FF0" w:rsidRDefault="009A5621" w:rsidP="00933FF0">
            <w:pPr>
              <w:jc w:val="center"/>
              <w:rPr>
                <w:color w:val="000000"/>
              </w:rPr>
            </w:pPr>
            <w:r w:rsidRPr="00933FF0">
              <w:rPr>
                <w:color w:val="000000"/>
              </w:rPr>
              <w:t>1,47</w:t>
            </w:r>
          </w:p>
        </w:tc>
        <w:tc>
          <w:tcPr>
            <w:tcW w:w="2620" w:type="dxa"/>
            <w:tcBorders>
              <w:top w:val="single" w:sz="4" w:space="0" w:color="auto"/>
            </w:tcBorders>
            <w:shd w:val="clear" w:color="auto" w:fill="FFFFFF" w:themeFill="background1"/>
            <w:noWrap/>
            <w:vAlign w:val="bottom"/>
            <w:hideMark/>
          </w:tcPr>
          <w:p w14:paraId="5AD00298" w14:textId="77777777" w:rsidR="009A5621" w:rsidRPr="00933FF0" w:rsidRDefault="009A5621" w:rsidP="00933FF0">
            <w:pPr>
              <w:jc w:val="center"/>
              <w:rPr>
                <w:color w:val="000000"/>
              </w:rPr>
            </w:pPr>
            <w:r w:rsidRPr="00933FF0">
              <w:rPr>
                <w:color w:val="000000"/>
              </w:rPr>
              <w:t>12</w:t>
            </w:r>
          </w:p>
        </w:tc>
        <w:tc>
          <w:tcPr>
            <w:tcW w:w="2580" w:type="dxa"/>
            <w:tcBorders>
              <w:top w:val="single" w:sz="4" w:space="0" w:color="auto"/>
            </w:tcBorders>
            <w:shd w:val="clear" w:color="auto" w:fill="FFFFFF" w:themeFill="background1"/>
            <w:noWrap/>
            <w:vAlign w:val="bottom"/>
            <w:hideMark/>
          </w:tcPr>
          <w:p w14:paraId="790056DC" w14:textId="77777777" w:rsidR="009A5621" w:rsidRPr="00933FF0" w:rsidRDefault="009A5621" w:rsidP="00933FF0">
            <w:pPr>
              <w:jc w:val="center"/>
              <w:rPr>
                <w:color w:val="000000"/>
              </w:rPr>
            </w:pPr>
            <w:r w:rsidRPr="00933FF0">
              <w:rPr>
                <w:color w:val="000000"/>
              </w:rPr>
              <w:t>20</w:t>
            </w:r>
          </w:p>
        </w:tc>
      </w:tr>
      <w:tr w:rsidR="009A5621" w:rsidRPr="00933FF0" w14:paraId="2A5AD9CE" w14:textId="77777777" w:rsidTr="00933FF0">
        <w:trPr>
          <w:trHeight w:val="300"/>
        </w:trPr>
        <w:tc>
          <w:tcPr>
            <w:tcW w:w="2260" w:type="dxa"/>
            <w:shd w:val="clear" w:color="auto" w:fill="FFFFFF" w:themeFill="background1"/>
            <w:noWrap/>
            <w:vAlign w:val="bottom"/>
            <w:hideMark/>
          </w:tcPr>
          <w:p w14:paraId="361FF4ED" w14:textId="77777777" w:rsidR="009A5621" w:rsidRPr="00933FF0" w:rsidRDefault="009A5621" w:rsidP="009A5621">
            <w:pPr>
              <w:jc w:val="both"/>
              <w:rPr>
                <w:bCs/>
                <w:color w:val="000000"/>
              </w:rPr>
            </w:pPr>
            <w:r w:rsidRPr="00933FF0">
              <w:rPr>
                <w:bCs/>
                <w:color w:val="000000"/>
              </w:rPr>
              <w:t>Café</w:t>
            </w:r>
          </w:p>
        </w:tc>
        <w:tc>
          <w:tcPr>
            <w:tcW w:w="1540" w:type="dxa"/>
            <w:shd w:val="clear" w:color="auto" w:fill="FFFFFF" w:themeFill="background1"/>
            <w:noWrap/>
            <w:vAlign w:val="bottom"/>
            <w:hideMark/>
          </w:tcPr>
          <w:p w14:paraId="0303EF49" w14:textId="77777777" w:rsidR="009A5621" w:rsidRPr="00933FF0" w:rsidRDefault="009A5621" w:rsidP="00933FF0">
            <w:pPr>
              <w:jc w:val="center"/>
              <w:rPr>
                <w:color w:val="000000"/>
              </w:rPr>
            </w:pPr>
            <w:r w:rsidRPr="00933FF0">
              <w:rPr>
                <w:color w:val="000000"/>
              </w:rPr>
              <w:t>6,16</w:t>
            </w:r>
          </w:p>
        </w:tc>
        <w:tc>
          <w:tcPr>
            <w:tcW w:w="2620" w:type="dxa"/>
            <w:shd w:val="clear" w:color="auto" w:fill="FFFFFF" w:themeFill="background1"/>
            <w:noWrap/>
            <w:vAlign w:val="bottom"/>
            <w:hideMark/>
          </w:tcPr>
          <w:p w14:paraId="48FF6610" w14:textId="77777777" w:rsidR="009A5621" w:rsidRPr="00933FF0" w:rsidRDefault="009A5621" w:rsidP="00933FF0">
            <w:pPr>
              <w:jc w:val="center"/>
              <w:rPr>
                <w:color w:val="000000"/>
              </w:rPr>
            </w:pPr>
            <w:r w:rsidRPr="00933FF0">
              <w:rPr>
                <w:color w:val="000000"/>
              </w:rPr>
              <w:t>12</w:t>
            </w:r>
          </w:p>
        </w:tc>
        <w:tc>
          <w:tcPr>
            <w:tcW w:w="2580" w:type="dxa"/>
            <w:shd w:val="clear" w:color="auto" w:fill="FFFFFF" w:themeFill="background1"/>
            <w:noWrap/>
            <w:vAlign w:val="bottom"/>
            <w:hideMark/>
          </w:tcPr>
          <w:p w14:paraId="08FB438B" w14:textId="77777777" w:rsidR="009A5621" w:rsidRPr="00933FF0" w:rsidRDefault="009A5621" w:rsidP="00933FF0">
            <w:pPr>
              <w:jc w:val="center"/>
              <w:rPr>
                <w:color w:val="000000"/>
              </w:rPr>
            </w:pPr>
            <w:r w:rsidRPr="00933FF0">
              <w:rPr>
                <w:color w:val="000000"/>
              </w:rPr>
              <w:t>21</w:t>
            </w:r>
          </w:p>
        </w:tc>
      </w:tr>
      <w:tr w:rsidR="009A5621" w:rsidRPr="00933FF0" w14:paraId="11E934FC" w14:textId="77777777" w:rsidTr="00933FF0">
        <w:trPr>
          <w:trHeight w:val="300"/>
        </w:trPr>
        <w:tc>
          <w:tcPr>
            <w:tcW w:w="2260" w:type="dxa"/>
            <w:shd w:val="clear" w:color="auto" w:fill="FFFFFF" w:themeFill="background1"/>
            <w:noWrap/>
            <w:vAlign w:val="bottom"/>
            <w:hideMark/>
          </w:tcPr>
          <w:p w14:paraId="7A62710D" w14:textId="77777777" w:rsidR="009A5621" w:rsidRPr="00933FF0" w:rsidRDefault="009A5621" w:rsidP="009A5621">
            <w:pPr>
              <w:jc w:val="both"/>
              <w:rPr>
                <w:bCs/>
                <w:color w:val="000000"/>
              </w:rPr>
            </w:pPr>
            <w:r w:rsidRPr="00933FF0">
              <w:rPr>
                <w:bCs/>
                <w:color w:val="000000"/>
              </w:rPr>
              <w:t>Manteiga</w:t>
            </w:r>
          </w:p>
        </w:tc>
        <w:tc>
          <w:tcPr>
            <w:tcW w:w="1540" w:type="dxa"/>
            <w:shd w:val="clear" w:color="auto" w:fill="FFFFFF" w:themeFill="background1"/>
            <w:noWrap/>
            <w:vAlign w:val="bottom"/>
            <w:hideMark/>
          </w:tcPr>
          <w:p w14:paraId="2D97E8EC" w14:textId="77777777" w:rsidR="009A5621" w:rsidRPr="00933FF0" w:rsidRDefault="009A5621" w:rsidP="00933FF0">
            <w:pPr>
              <w:jc w:val="center"/>
              <w:rPr>
                <w:color w:val="000000"/>
              </w:rPr>
            </w:pPr>
            <w:r w:rsidRPr="00933FF0">
              <w:rPr>
                <w:color w:val="000000"/>
              </w:rPr>
              <w:t>4,75</w:t>
            </w:r>
          </w:p>
        </w:tc>
        <w:tc>
          <w:tcPr>
            <w:tcW w:w="2620" w:type="dxa"/>
            <w:shd w:val="clear" w:color="auto" w:fill="FFFFFF" w:themeFill="background1"/>
            <w:noWrap/>
            <w:vAlign w:val="bottom"/>
            <w:hideMark/>
          </w:tcPr>
          <w:p w14:paraId="37CF8079" w14:textId="77777777" w:rsidR="009A5621" w:rsidRPr="00933FF0" w:rsidRDefault="009A5621" w:rsidP="00933FF0">
            <w:pPr>
              <w:jc w:val="center"/>
              <w:rPr>
                <w:color w:val="000000"/>
              </w:rPr>
            </w:pPr>
            <w:r w:rsidRPr="00933FF0">
              <w:rPr>
                <w:color w:val="000000"/>
              </w:rPr>
              <w:t>12</w:t>
            </w:r>
          </w:p>
        </w:tc>
        <w:tc>
          <w:tcPr>
            <w:tcW w:w="2580" w:type="dxa"/>
            <w:shd w:val="clear" w:color="auto" w:fill="FFFFFF" w:themeFill="background1"/>
            <w:noWrap/>
            <w:vAlign w:val="bottom"/>
            <w:hideMark/>
          </w:tcPr>
          <w:p w14:paraId="2E807A86" w14:textId="77777777" w:rsidR="009A5621" w:rsidRPr="00933FF0" w:rsidRDefault="009A5621" w:rsidP="00933FF0">
            <w:pPr>
              <w:jc w:val="center"/>
              <w:rPr>
                <w:color w:val="000000"/>
              </w:rPr>
            </w:pPr>
            <w:r w:rsidRPr="00933FF0">
              <w:rPr>
                <w:color w:val="000000"/>
              </w:rPr>
              <w:t>25</w:t>
            </w:r>
          </w:p>
        </w:tc>
      </w:tr>
      <w:tr w:rsidR="009A5621" w:rsidRPr="00933FF0" w14:paraId="4F902801" w14:textId="77777777" w:rsidTr="00933FF0">
        <w:trPr>
          <w:trHeight w:val="300"/>
        </w:trPr>
        <w:tc>
          <w:tcPr>
            <w:tcW w:w="2260" w:type="dxa"/>
            <w:shd w:val="clear" w:color="auto" w:fill="FFFFFF" w:themeFill="background1"/>
            <w:noWrap/>
            <w:vAlign w:val="bottom"/>
            <w:hideMark/>
          </w:tcPr>
          <w:p w14:paraId="3AA253E8" w14:textId="77777777" w:rsidR="009A5621" w:rsidRPr="00933FF0" w:rsidRDefault="009A5621" w:rsidP="009A5621">
            <w:pPr>
              <w:jc w:val="both"/>
              <w:rPr>
                <w:bCs/>
                <w:color w:val="000000"/>
              </w:rPr>
            </w:pPr>
            <w:r w:rsidRPr="00933FF0">
              <w:rPr>
                <w:bCs/>
                <w:color w:val="000000"/>
              </w:rPr>
              <w:t>Óleo de Soja</w:t>
            </w:r>
          </w:p>
        </w:tc>
        <w:tc>
          <w:tcPr>
            <w:tcW w:w="1540" w:type="dxa"/>
            <w:shd w:val="clear" w:color="auto" w:fill="FFFFFF" w:themeFill="background1"/>
            <w:noWrap/>
            <w:vAlign w:val="bottom"/>
            <w:hideMark/>
          </w:tcPr>
          <w:p w14:paraId="0079B324" w14:textId="77777777" w:rsidR="009A5621" w:rsidRPr="00933FF0" w:rsidRDefault="009A5621" w:rsidP="00933FF0">
            <w:pPr>
              <w:jc w:val="center"/>
              <w:rPr>
                <w:color w:val="000000"/>
              </w:rPr>
            </w:pPr>
            <w:r w:rsidRPr="00933FF0">
              <w:rPr>
                <w:color w:val="000000"/>
              </w:rPr>
              <w:t>2,43</w:t>
            </w:r>
          </w:p>
        </w:tc>
        <w:tc>
          <w:tcPr>
            <w:tcW w:w="2620" w:type="dxa"/>
            <w:shd w:val="clear" w:color="auto" w:fill="FFFFFF" w:themeFill="background1"/>
            <w:noWrap/>
            <w:vAlign w:val="bottom"/>
            <w:hideMark/>
          </w:tcPr>
          <w:p w14:paraId="57DA26F8" w14:textId="77777777" w:rsidR="009A5621" w:rsidRPr="00933FF0" w:rsidRDefault="009A5621" w:rsidP="00933FF0">
            <w:pPr>
              <w:jc w:val="center"/>
              <w:rPr>
                <w:color w:val="000000"/>
              </w:rPr>
            </w:pPr>
            <w:r w:rsidRPr="00933FF0">
              <w:rPr>
                <w:color w:val="000000"/>
              </w:rPr>
              <w:t>12</w:t>
            </w:r>
          </w:p>
        </w:tc>
        <w:tc>
          <w:tcPr>
            <w:tcW w:w="2580" w:type="dxa"/>
            <w:shd w:val="clear" w:color="auto" w:fill="FFFFFF" w:themeFill="background1"/>
            <w:noWrap/>
            <w:vAlign w:val="bottom"/>
            <w:hideMark/>
          </w:tcPr>
          <w:p w14:paraId="6715EF74" w14:textId="77777777" w:rsidR="009A5621" w:rsidRPr="00933FF0" w:rsidRDefault="009A5621" w:rsidP="00933FF0">
            <w:pPr>
              <w:jc w:val="center"/>
              <w:rPr>
                <w:color w:val="000000"/>
              </w:rPr>
            </w:pPr>
            <w:r w:rsidRPr="00933FF0">
              <w:rPr>
                <w:color w:val="000000"/>
              </w:rPr>
              <w:t>15</w:t>
            </w:r>
          </w:p>
        </w:tc>
      </w:tr>
    </w:tbl>
    <w:p w14:paraId="685B99A9" w14:textId="77777777" w:rsidR="009A5621" w:rsidRPr="00BA49A2" w:rsidRDefault="009A5621" w:rsidP="009A5621">
      <w:pPr>
        <w:jc w:val="both"/>
        <w:rPr>
          <w:b/>
          <w:sz w:val="24"/>
          <w:szCs w:val="24"/>
        </w:rPr>
      </w:pPr>
    </w:p>
    <w:p w14:paraId="1D22C66F" w14:textId="77777777" w:rsidR="009A5621" w:rsidRPr="00BA49A2" w:rsidRDefault="009A5621" w:rsidP="009A5621">
      <w:pPr>
        <w:jc w:val="both"/>
        <w:rPr>
          <w:b/>
          <w:sz w:val="24"/>
          <w:szCs w:val="24"/>
        </w:rPr>
      </w:pPr>
      <w:r w:rsidRPr="00BA49A2">
        <w:rPr>
          <w:b/>
          <w:sz w:val="24"/>
          <w:szCs w:val="24"/>
        </w:rPr>
        <w:t xml:space="preserve">4.2 Análise e discussão dos resultados </w:t>
      </w:r>
    </w:p>
    <w:p w14:paraId="5A23423A" w14:textId="77777777" w:rsidR="009A5621" w:rsidRDefault="009A5621" w:rsidP="009A5621">
      <w:pPr>
        <w:jc w:val="both"/>
        <w:rPr>
          <w:sz w:val="24"/>
          <w:szCs w:val="24"/>
        </w:rPr>
      </w:pPr>
      <w:r w:rsidRPr="00BA49A2">
        <w:rPr>
          <w:sz w:val="24"/>
          <w:szCs w:val="24"/>
        </w:rPr>
        <w:tab/>
        <w:t>Na análise, foram extraídos das notas fiscais os custos de cada item da cesta básica, a MVA de cada produto e as margens de venda da rede de supermercados, tornando possíveis os cálculos necessários para atingir o objetivo da pesquisa.</w:t>
      </w:r>
    </w:p>
    <w:p w14:paraId="15B083DD" w14:textId="77777777" w:rsidR="009A5621" w:rsidRPr="00BA49A2" w:rsidRDefault="009A5621" w:rsidP="009A5621">
      <w:pPr>
        <w:jc w:val="both"/>
        <w:rPr>
          <w:sz w:val="24"/>
          <w:szCs w:val="24"/>
        </w:rPr>
      </w:pPr>
    </w:p>
    <w:p w14:paraId="2FBF7221" w14:textId="77777777" w:rsidR="00933FF0" w:rsidRPr="00933FF0" w:rsidRDefault="00933FF0" w:rsidP="009A5621">
      <w:pPr>
        <w:jc w:val="both"/>
        <w:rPr>
          <w:sz w:val="24"/>
          <w:szCs w:val="24"/>
        </w:rPr>
      </w:pPr>
      <w:r w:rsidRPr="00933FF0">
        <w:rPr>
          <w:sz w:val="24"/>
          <w:szCs w:val="24"/>
        </w:rPr>
        <w:t>Tabela</w:t>
      </w:r>
      <w:r w:rsidR="009A5621" w:rsidRPr="00933FF0">
        <w:rPr>
          <w:sz w:val="24"/>
          <w:szCs w:val="24"/>
        </w:rPr>
        <w:t xml:space="preserve"> 4</w:t>
      </w:r>
    </w:p>
    <w:p w14:paraId="5E8A2258" w14:textId="77777777" w:rsidR="009A5621" w:rsidRPr="00BA49A2" w:rsidRDefault="009A5621" w:rsidP="009A5621">
      <w:pPr>
        <w:jc w:val="both"/>
        <w:rPr>
          <w:sz w:val="24"/>
          <w:szCs w:val="24"/>
        </w:rPr>
      </w:pPr>
      <w:r w:rsidRPr="00BA49A2">
        <w:rPr>
          <w:b/>
          <w:sz w:val="24"/>
          <w:szCs w:val="24"/>
        </w:rPr>
        <w:t xml:space="preserve">Apuração dos valores com ICMS-ST </w:t>
      </w:r>
    </w:p>
    <w:tbl>
      <w:tblPr>
        <w:tblW w:w="9087" w:type="dxa"/>
        <w:tblInd w:w="5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500"/>
        <w:gridCol w:w="1335"/>
        <w:gridCol w:w="992"/>
        <w:gridCol w:w="1487"/>
        <w:gridCol w:w="1773"/>
      </w:tblGrid>
      <w:tr w:rsidR="009A5621" w:rsidRPr="00933FF0" w14:paraId="1C6BB1FF" w14:textId="77777777" w:rsidTr="00F332A1">
        <w:trPr>
          <w:trHeight w:val="300"/>
        </w:trPr>
        <w:tc>
          <w:tcPr>
            <w:tcW w:w="3500" w:type="dxa"/>
            <w:tcBorders>
              <w:top w:val="single" w:sz="4" w:space="0" w:color="auto"/>
              <w:bottom w:val="single" w:sz="4" w:space="0" w:color="auto"/>
            </w:tcBorders>
            <w:shd w:val="clear" w:color="auto" w:fill="auto"/>
            <w:noWrap/>
            <w:vAlign w:val="center"/>
            <w:hideMark/>
          </w:tcPr>
          <w:p w14:paraId="7454794F" w14:textId="77777777" w:rsidR="009A5621" w:rsidRPr="00933FF0" w:rsidRDefault="00B71B4F" w:rsidP="00933FF0">
            <w:pPr>
              <w:jc w:val="center"/>
              <w:rPr>
                <w:b/>
                <w:bCs/>
                <w:color w:val="000000"/>
              </w:rPr>
            </w:pPr>
            <w:r w:rsidRPr="00933FF0">
              <w:rPr>
                <w:b/>
                <w:bCs/>
                <w:color w:val="000000"/>
              </w:rPr>
              <w:t>I</w:t>
            </w:r>
            <w:r>
              <w:rPr>
                <w:b/>
                <w:bCs/>
                <w:color w:val="000000"/>
              </w:rPr>
              <w:t>CMS</w:t>
            </w:r>
            <w:r w:rsidRPr="00933FF0">
              <w:rPr>
                <w:b/>
                <w:bCs/>
                <w:color w:val="000000"/>
              </w:rPr>
              <w:t xml:space="preserve"> </w:t>
            </w:r>
            <w:r>
              <w:rPr>
                <w:b/>
                <w:bCs/>
                <w:color w:val="000000"/>
              </w:rPr>
              <w:t>c</w:t>
            </w:r>
            <w:r w:rsidRPr="00933FF0">
              <w:rPr>
                <w:b/>
                <w:bCs/>
                <w:color w:val="000000"/>
              </w:rPr>
              <w:t>om S</w:t>
            </w:r>
            <w:r>
              <w:rPr>
                <w:b/>
                <w:bCs/>
                <w:color w:val="000000"/>
              </w:rPr>
              <w:t>T</w:t>
            </w:r>
          </w:p>
        </w:tc>
        <w:tc>
          <w:tcPr>
            <w:tcW w:w="1335" w:type="dxa"/>
            <w:tcBorders>
              <w:top w:val="single" w:sz="4" w:space="0" w:color="auto"/>
              <w:bottom w:val="single" w:sz="4" w:space="0" w:color="auto"/>
            </w:tcBorders>
            <w:shd w:val="clear" w:color="auto" w:fill="auto"/>
            <w:noWrap/>
            <w:vAlign w:val="center"/>
            <w:hideMark/>
          </w:tcPr>
          <w:p w14:paraId="67BEC8C1" w14:textId="77777777" w:rsidR="009A5621" w:rsidRPr="00933FF0" w:rsidRDefault="00B71B4F" w:rsidP="00933FF0">
            <w:pPr>
              <w:jc w:val="center"/>
              <w:rPr>
                <w:b/>
                <w:bCs/>
                <w:color w:val="000000"/>
              </w:rPr>
            </w:pPr>
            <w:r w:rsidRPr="00933FF0">
              <w:rPr>
                <w:b/>
                <w:bCs/>
                <w:color w:val="000000"/>
              </w:rPr>
              <w:t>Açúcar</w:t>
            </w:r>
          </w:p>
        </w:tc>
        <w:tc>
          <w:tcPr>
            <w:tcW w:w="992" w:type="dxa"/>
            <w:tcBorders>
              <w:top w:val="single" w:sz="4" w:space="0" w:color="auto"/>
              <w:bottom w:val="single" w:sz="4" w:space="0" w:color="auto"/>
            </w:tcBorders>
            <w:shd w:val="clear" w:color="auto" w:fill="auto"/>
            <w:noWrap/>
            <w:vAlign w:val="center"/>
            <w:hideMark/>
          </w:tcPr>
          <w:p w14:paraId="1D287419" w14:textId="77777777" w:rsidR="009A5621" w:rsidRPr="00933FF0" w:rsidRDefault="00B71B4F" w:rsidP="00933FF0">
            <w:pPr>
              <w:jc w:val="center"/>
              <w:rPr>
                <w:b/>
                <w:bCs/>
                <w:color w:val="000000"/>
              </w:rPr>
            </w:pPr>
            <w:r w:rsidRPr="00933FF0">
              <w:rPr>
                <w:b/>
                <w:bCs/>
                <w:color w:val="000000"/>
              </w:rPr>
              <w:t>Café</w:t>
            </w:r>
          </w:p>
        </w:tc>
        <w:tc>
          <w:tcPr>
            <w:tcW w:w="1487" w:type="dxa"/>
            <w:tcBorders>
              <w:top w:val="single" w:sz="4" w:space="0" w:color="auto"/>
              <w:bottom w:val="single" w:sz="4" w:space="0" w:color="auto"/>
            </w:tcBorders>
            <w:shd w:val="clear" w:color="auto" w:fill="auto"/>
            <w:noWrap/>
            <w:vAlign w:val="center"/>
            <w:hideMark/>
          </w:tcPr>
          <w:p w14:paraId="33FAB0B5" w14:textId="77777777" w:rsidR="009A5621" w:rsidRPr="00933FF0" w:rsidRDefault="00B71B4F" w:rsidP="00933FF0">
            <w:pPr>
              <w:jc w:val="center"/>
              <w:rPr>
                <w:b/>
                <w:bCs/>
                <w:color w:val="000000"/>
              </w:rPr>
            </w:pPr>
            <w:r w:rsidRPr="00933FF0">
              <w:rPr>
                <w:b/>
                <w:bCs/>
                <w:color w:val="000000"/>
              </w:rPr>
              <w:t>Manteiga</w:t>
            </w:r>
          </w:p>
        </w:tc>
        <w:tc>
          <w:tcPr>
            <w:tcW w:w="1773" w:type="dxa"/>
            <w:tcBorders>
              <w:top w:val="single" w:sz="4" w:space="0" w:color="auto"/>
              <w:bottom w:val="single" w:sz="4" w:space="0" w:color="auto"/>
            </w:tcBorders>
            <w:shd w:val="clear" w:color="auto" w:fill="auto"/>
            <w:noWrap/>
            <w:vAlign w:val="center"/>
            <w:hideMark/>
          </w:tcPr>
          <w:p w14:paraId="3359F07D" w14:textId="77777777" w:rsidR="009A5621" w:rsidRPr="00933FF0" w:rsidRDefault="00B71B4F" w:rsidP="00933FF0">
            <w:pPr>
              <w:jc w:val="center"/>
              <w:rPr>
                <w:b/>
                <w:bCs/>
                <w:color w:val="000000"/>
              </w:rPr>
            </w:pPr>
            <w:r w:rsidRPr="00933FF0">
              <w:rPr>
                <w:b/>
                <w:bCs/>
                <w:color w:val="000000"/>
              </w:rPr>
              <w:t xml:space="preserve">Óleo </w:t>
            </w:r>
            <w:r>
              <w:rPr>
                <w:b/>
                <w:bCs/>
                <w:color w:val="000000"/>
              </w:rPr>
              <w:t>d</w:t>
            </w:r>
            <w:r w:rsidRPr="00933FF0">
              <w:rPr>
                <w:b/>
                <w:bCs/>
                <w:color w:val="000000"/>
              </w:rPr>
              <w:t>e</w:t>
            </w:r>
            <w:r>
              <w:rPr>
                <w:b/>
                <w:bCs/>
                <w:color w:val="000000"/>
              </w:rPr>
              <w:t xml:space="preserve"> </w:t>
            </w:r>
            <w:r w:rsidRPr="00933FF0">
              <w:rPr>
                <w:b/>
                <w:bCs/>
                <w:color w:val="000000"/>
              </w:rPr>
              <w:t>Soja</w:t>
            </w:r>
          </w:p>
        </w:tc>
      </w:tr>
      <w:tr w:rsidR="009A5621" w:rsidRPr="00933FF0" w14:paraId="5B4ECDB0" w14:textId="77777777" w:rsidTr="00F332A1">
        <w:trPr>
          <w:trHeight w:val="300"/>
        </w:trPr>
        <w:tc>
          <w:tcPr>
            <w:tcW w:w="3500" w:type="dxa"/>
            <w:tcBorders>
              <w:top w:val="single" w:sz="4" w:space="0" w:color="auto"/>
            </w:tcBorders>
            <w:shd w:val="clear" w:color="auto" w:fill="auto"/>
            <w:noWrap/>
            <w:vAlign w:val="bottom"/>
            <w:hideMark/>
          </w:tcPr>
          <w:p w14:paraId="6A983B28" w14:textId="77777777" w:rsidR="009A5621" w:rsidRPr="00933FF0" w:rsidRDefault="00933FF0" w:rsidP="009A5621">
            <w:pPr>
              <w:jc w:val="both"/>
              <w:rPr>
                <w:color w:val="000000"/>
              </w:rPr>
            </w:pPr>
            <w:r w:rsidRPr="00933FF0">
              <w:rPr>
                <w:color w:val="000000"/>
              </w:rPr>
              <w:lastRenderedPageBreak/>
              <w:t>Custo Unitário</w:t>
            </w:r>
          </w:p>
        </w:tc>
        <w:tc>
          <w:tcPr>
            <w:tcW w:w="1335" w:type="dxa"/>
            <w:tcBorders>
              <w:top w:val="single" w:sz="4" w:space="0" w:color="auto"/>
            </w:tcBorders>
            <w:shd w:val="clear" w:color="auto" w:fill="auto"/>
            <w:noWrap/>
            <w:vAlign w:val="bottom"/>
            <w:hideMark/>
          </w:tcPr>
          <w:p w14:paraId="6D225E39" w14:textId="77777777" w:rsidR="009A5621" w:rsidRPr="00933FF0" w:rsidRDefault="009A5621" w:rsidP="00933FF0">
            <w:pPr>
              <w:ind w:left="-16" w:firstLine="16"/>
              <w:jc w:val="center"/>
              <w:rPr>
                <w:color w:val="000000"/>
              </w:rPr>
            </w:pPr>
            <w:r w:rsidRPr="00933FF0">
              <w:rPr>
                <w:color w:val="000000"/>
              </w:rPr>
              <w:t>1,470000</w:t>
            </w:r>
          </w:p>
        </w:tc>
        <w:tc>
          <w:tcPr>
            <w:tcW w:w="992" w:type="dxa"/>
            <w:tcBorders>
              <w:top w:val="single" w:sz="4" w:space="0" w:color="auto"/>
            </w:tcBorders>
            <w:shd w:val="clear" w:color="auto" w:fill="auto"/>
            <w:noWrap/>
            <w:vAlign w:val="bottom"/>
            <w:hideMark/>
          </w:tcPr>
          <w:p w14:paraId="5A8591BD" w14:textId="77777777" w:rsidR="009A5621" w:rsidRPr="00933FF0" w:rsidRDefault="009A5621" w:rsidP="00933FF0">
            <w:pPr>
              <w:jc w:val="center"/>
              <w:rPr>
                <w:color w:val="000000"/>
              </w:rPr>
            </w:pPr>
            <w:r w:rsidRPr="00933FF0">
              <w:rPr>
                <w:color w:val="000000"/>
              </w:rPr>
              <w:t>6,160000</w:t>
            </w:r>
          </w:p>
        </w:tc>
        <w:tc>
          <w:tcPr>
            <w:tcW w:w="1487" w:type="dxa"/>
            <w:tcBorders>
              <w:top w:val="single" w:sz="4" w:space="0" w:color="auto"/>
            </w:tcBorders>
            <w:shd w:val="clear" w:color="auto" w:fill="auto"/>
            <w:noWrap/>
            <w:vAlign w:val="bottom"/>
            <w:hideMark/>
          </w:tcPr>
          <w:p w14:paraId="5134E231" w14:textId="77777777" w:rsidR="009A5621" w:rsidRPr="00933FF0" w:rsidRDefault="009A5621" w:rsidP="00933FF0">
            <w:pPr>
              <w:jc w:val="center"/>
              <w:rPr>
                <w:color w:val="000000"/>
              </w:rPr>
            </w:pPr>
            <w:r w:rsidRPr="00933FF0">
              <w:rPr>
                <w:color w:val="000000"/>
              </w:rPr>
              <w:t>4,750000</w:t>
            </w:r>
          </w:p>
        </w:tc>
        <w:tc>
          <w:tcPr>
            <w:tcW w:w="1773" w:type="dxa"/>
            <w:tcBorders>
              <w:top w:val="single" w:sz="4" w:space="0" w:color="auto"/>
            </w:tcBorders>
            <w:shd w:val="clear" w:color="auto" w:fill="auto"/>
            <w:noWrap/>
            <w:vAlign w:val="bottom"/>
            <w:hideMark/>
          </w:tcPr>
          <w:p w14:paraId="74D6462B" w14:textId="77777777" w:rsidR="009A5621" w:rsidRPr="00933FF0" w:rsidRDefault="009A5621" w:rsidP="00933FF0">
            <w:pPr>
              <w:jc w:val="center"/>
              <w:rPr>
                <w:color w:val="000000"/>
              </w:rPr>
            </w:pPr>
            <w:r w:rsidRPr="00933FF0">
              <w:rPr>
                <w:color w:val="000000"/>
              </w:rPr>
              <w:t>2,430000</w:t>
            </w:r>
          </w:p>
        </w:tc>
      </w:tr>
      <w:tr w:rsidR="009A5621" w:rsidRPr="00933FF0" w14:paraId="07CFB120" w14:textId="77777777" w:rsidTr="004633E6">
        <w:trPr>
          <w:trHeight w:val="300"/>
        </w:trPr>
        <w:tc>
          <w:tcPr>
            <w:tcW w:w="3500" w:type="dxa"/>
            <w:shd w:val="clear" w:color="auto" w:fill="auto"/>
            <w:noWrap/>
            <w:vAlign w:val="bottom"/>
            <w:hideMark/>
          </w:tcPr>
          <w:p w14:paraId="7935D2B1" w14:textId="77777777" w:rsidR="009A5621" w:rsidRPr="00933FF0" w:rsidRDefault="00933FF0" w:rsidP="009A5621">
            <w:pPr>
              <w:jc w:val="both"/>
              <w:rPr>
                <w:color w:val="000000"/>
              </w:rPr>
            </w:pPr>
            <w:r w:rsidRPr="00933FF0">
              <w:rPr>
                <w:color w:val="000000"/>
              </w:rPr>
              <w:t>(+) MVA</w:t>
            </w:r>
          </w:p>
        </w:tc>
        <w:tc>
          <w:tcPr>
            <w:tcW w:w="1335" w:type="dxa"/>
            <w:shd w:val="clear" w:color="auto" w:fill="auto"/>
            <w:noWrap/>
            <w:vAlign w:val="bottom"/>
            <w:hideMark/>
          </w:tcPr>
          <w:p w14:paraId="20E0D6E0" w14:textId="77777777" w:rsidR="009A5621" w:rsidRPr="00933FF0" w:rsidRDefault="009A5621" w:rsidP="00933FF0">
            <w:pPr>
              <w:jc w:val="center"/>
              <w:rPr>
                <w:color w:val="000000"/>
              </w:rPr>
            </w:pPr>
            <w:r w:rsidRPr="00933FF0">
              <w:rPr>
                <w:color w:val="000000"/>
              </w:rPr>
              <w:t>0,279300</w:t>
            </w:r>
          </w:p>
        </w:tc>
        <w:tc>
          <w:tcPr>
            <w:tcW w:w="992" w:type="dxa"/>
            <w:shd w:val="clear" w:color="auto" w:fill="auto"/>
            <w:noWrap/>
            <w:vAlign w:val="bottom"/>
            <w:hideMark/>
          </w:tcPr>
          <w:p w14:paraId="6CA00B8A" w14:textId="77777777" w:rsidR="009A5621" w:rsidRPr="00933FF0" w:rsidRDefault="009A5621" w:rsidP="00933FF0">
            <w:pPr>
              <w:jc w:val="center"/>
              <w:rPr>
                <w:color w:val="000000"/>
              </w:rPr>
            </w:pPr>
            <w:r w:rsidRPr="00933FF0">
              <w:rPr>
                <w:color w:val="000000"/>
              </w:rPr>
              <w:t>0,677600</w:t>
            </w:r>
          </w:p>
        </w:tc>
        <w:tc>
          <w:tcPr>
            <w:tcW w:w="1487" w:type="dxa"/>
            <w:shd w:val="clear" w:color="auto" w:fill="auto"/>
            <w:noWrap/>
            <w:vAlign w:val="bottom"/>
            <w:hideMark/>
          </w:tcPr>
          <w:p w14:paraId="52E7A7DD" w14:textId="77777777" w:rsidR="009A5621" w:rsidRPr="00933FF0" w:rsidRDefault="009A5621" w:rsidP="00933FF0">
            <w:pPr>
              <w:jc w:val="center"/>
              <w:rPr>
                <w:color w:val="000000"/>
              </w:rPr>
            </w:pPr>
            <w:r w:rsidRPr="00933FF0">
              <w:rPr>
                <w:color w:val="000000"/>
              </w:rPr>
              <w:t>1,615000</w:t>
            </w:r>
          </w:p>
        </w:tc>
        <w:tc>
          <w:tcPr>
            <w:tcW w:w="1773" w:type="dxa"/>
            <w:shd w:val="clear" w:color="auto" w:fill="auto"/>
            <w:noWrap/>
            <w:vAlign w:val="bottom"/>
            <w:hideMark/>
          </w:tcPr>
          <w:p w14:paraId="1C1FB782" w14:textId="77777777" w:rsidR="009A5621" w:rsidRPr="00933FF0" w:rsidRDefault="009A5621" w:rsidP="00933FF0">
            <w:pPr>
              <w:jc w:val="center"/>
              <w:rPr>
                <w:color w:val="000000"/>
              </w:rPr>
            </w:pPr>
            <w:r w:rsidRPr="00933FF0">
              <w:rPr>
                <w:color w:val="000000"/>
              </w:rPr>
              <w:t>0,413100</w:t>
            </w:r>
          </w:p>
        </w:tc>
      </w:tr>
      <w:tr w:rsidR="009A5621" w:rsidRPr="00933FF0" w14:paraId="5C872A1D" w14:textId="77777777" w:rsidTr="004633E6">
        <w:trPr>
          <w:trHeight w:val="300"/>
        </w:trPr>
        <w:tc>
          <w:tcPr>
            <w:tcW w:w="3500" w:type="dxa"/>
            <w:shd w:val="clear" w:color="auto" w:fill="auto"/>
            <w:noWrap/>
            <w:vAlign w:val="bottom"/>
            <w:hideMark/>
          </w:tcPr>
          <w:p w14:paraId="45CAC342" w14:textId="77777777" w:rsidR="009A5621" w:rsidRPr="00933FF0" w:rsidRDefault="00933FF0" w:rsidP="009A5621">
            <w:pPr>
              <w:jc w:val="both"/>
              <w:rPr>
                <w:color w:val="000000"/>
              </w:rPr>
            </w:pPr>
            <w:r w:rsidRPr="00933FF0">
              <w:rPr>
                <w:color w:val="000000"/>
              </w:rPr>
              <w:t>(=) Base de Cálculo ICMS-ST</w:t>
            </w:r>
          </w:p>
        </w:tc>
        <w:tc>
          <w:tcPr>
            <w:tcW w:w="1335" w:type="dxa"/>
            <w:shd w:val="clear" w:color="auto" w:fill="auto"/>
            <w:noWrap/>
            <w:vAlign w:val="bottom"/>
            <w:hideMark/>
          </w:tcPr>
          <w:p w14:paraId="0EB1A262" w14:textId="77777777" w:rsidR="009A5621" w:rsidRPr="00933FF0" w:rsidRDefault="009A5621" w:rsidP="00933FF0">
            <w:pPr>
              <w:jc w:val="center"/>
              <w:rPr>
                <w:color w:val="000000"/>
              </w:rPr>
            </w:pPr>
            <w:r w:rsidRPr="00933FF0">
              <w:rPr>
                <w:color w:val="000000"/>
              </w:rPr>
              <w:t>1,749300</w:t>
            </w:r>
          </w:p>
        </w:tc>
        <w:tc>
          <w:tcPr>
            <w:tcW w:w="992" w:type="dxa"/>
            <w:shd w:val="clear" w:color="auto" w:fill="auto"/>
            <w:noWrap/>
            <w:vAlign w:val="bottom"/>
            <w:hideMark/>
          </w:tcPr>
          <w:p w14:paraId="4FAF3030" w14:textId="77777777" w:rsidR="009A5621" w:rsidRPr="00933FF0" w:rsidRDefault="009A5621" w:rsidP="00933FF0">
            <w:pPr>
              <w:jc w:val="center"/>
              <w:rPr>
                <w:color w:val="000000"/>
              </w:rPr>
            </w:pPr>
            <w:r w:rsidRPr="00933FF0">
              <w:rPr>
                <w:color w:val="000000"/>
              </w:rPr>
              <w:t>6,837600</w:t>
            </w:r>
          </w:p>
        </w:tc>
        <w:tc>
          <w:tcPr>
            <w:tcW w:w="1487" w:type="dxa"/>
            <w:shd w:val="clear" w:color="auto" w:fill="auto"/>
            <w:noWrap/>
            <w:vAlign w:val="bottom"/>
            <w:hideMark/>
          </w:tcPr>
          <w:p w14:paraId="0ED8902F" w14:textId="77777777" w:rsidR="009A5621" w:rsidRPr="00933FF0" w:rsidRDefault="009A5621" w:rsidP="00933FF0">
            <w:pPr>
              <w:jc w:val="center"/>
              <w:rPr>
                <w:color w:val="000000"/>
              </w:rPr>
            </w:pPr>
            <w:r w:rsidRPr="00933FF0">
              <w:rPr>
                <w:color w:val="000000"/>
              </w:rPr>
              <w:t>6,365000</w:t>
            </w:r>
          </w:p>
        </w:tc>
        <w:tc>
          <w:tcPr>
            <w:tcW w:w="1773" w:type="dxa"/>
            <w:shd w:val="clear" w:color="auto" w:fill="auto"/>
            <w:noWrap/>
            <w:vAlign w:val="bottom"/>
            <w:hideMark/>
          </w:tcPr>
          <w:p w14:paraId="25202063" w14:textId="77777777" w:rsidR="009A5621" w:rsidRPr="00933FF0" w:rsidRDefault="009A5621" w:rsidP="00933FF0">
            <w:pPr>
              <w:jc w:val="center"/>
              <w:rPr>
                <w:color w:val="000000"/>
              </w:rPr>
            </w:pPr>
            <w:r w:rsidRPr="00933FF0">
              <w:rPr>
                <w:color w:val="000000"/>
              </w:rPr>
              <w:t>2,843100</w:t>
            </w:r>
          </w:p>
        </w:tc>
      </w:tr>
      <w:tr w:rsidR="009A5621" w:rsidRPr="00933FF0" w14:paraId="6E21A5AB" w14:textId="77777777" w:rsidTr="004633E6">
        <w:trPr>
          <w:trHeight w:val="300"/>
        </w:trPr>
        <w:tc>
          <w:tcPr>
            <w:tcW w:w="3500" w:type="dxa"/>
            <w:shd w:val="clear" w:color="auto" w:fill="auto"/>
            <w:noWrap/>
            <w:vAlign w:val="bottom"/>
            <w:hideMark/>
          </w:tcPr>
          <w:p w14:paraId="4867848F" w14:textId="77777777" w:rsidR="009A5621" w:rsidRPr="00933FF0" w:rsidRDefault="00933FF0" w:rsidP="009A5621">
            <w:pPr>
              <w:jc w:val="both"/>
              <w:rPr>
                <w:color w:val="000000"/>
              </w:rPr>
            </w:pPr>
            <w:r w:rsidRPr="00933FF0">
              <w:rPr>
                <w:color w:val="000000"/>
              </w:rPr>
              <w:t>ICMS Total</w:t>
            </w:r>
          </w:p>
        </w:tc>
        <w:tc>
          <w:tcPr>
            <w:tcW w:w="1335" w:type="dxa"/>
            <w:shd w:val="clear" w:color="auto" w:fill="auto"/>
            <w:noWrap/>
            <w:vAlign w:val="bottom"/>
            <w:hideMark/>
          </w:tcPr>
          <w:p w14:paraId="46553C9D" w14:textId="77777777" w:rsidR="009A5621" w:rsidRPr="00933FF0" w:rsidRDefault="009A5621" w:rsidP="00933FF0">
            <w:pPr>
              <w:jc w:val="center"/>
              <w:rPr>
                <w:color w:val="000000"/>
              </w:rPr>
            </w:pPr>
            <w:r w:rsidRPr="00933FF0">
              <w:rPr>
                <w:color w:val="000000"/>
              </w:rPr>
              <w:t>0,209916</w:t>
            </w:r>
          </w:p>
        </w:tc>
        <w:tc>
          <w:tcPr>
            <w:tcW w:w="992" w:type="dxa"/>
            <w:shd w:val="clear" w:color="auto" w:fill="auto"/>
            <w:noWrap/>
            <w:vAlign w:val="bottom"/>
            <w:hideMark/>
          </w:tcPr>
          <w:p w14:paraId="4F0324A2" w14:textId="77777777" w:rsidR="009A5621" w:rsidRPr="00933FF0" w:rsidRDefault="009A5621" w:rsidP="00933FF0">
            <w:pPr>
              <w:jc w:val="center"/>
              <w:rPr>
                <w:color w:val="000000"/>
              </w:rPr>
            </w:pPr>
            <w:r w:rsidRPr="00933FF0">
              <w:rPr>
                <w:color w:val="000000"/>
              </w:rPr>
              <w:t>0,820512</w:t>
            </w:r>
          </w:p>
        </w:tc>
        <w:tc>
          <w:tcPr>
            <w:tcW w:w="1487" w:type="dxa"/>
            <w:shd w:val="clear" w:color="auto" w:fill="auto"/>
            <w:noWrap/>
            <w:vAlign w:val="bottom"/>
            <w:hideMark/>
          </w:tcPr>
          <w:p w14:paraId="46A12D46" w14:textId="77777777" w:rsidR="009A5621" w:rsidRPr="00933FF0" w:rsidRDefault="009A5621" w:rsidP="00933FF0">
            <w:pPr>
              <w:jc w:val="center"/>
              <w:rPr>
                <w:color w:val="000000"/>
              </w:rPr>
            </w:pPr>
            <w:r w:rsidRPr="00933FF0">
              <w:rPr>
                <w:color w:val="000000"/>
              </w:rPr>
              <w:t>0,763800</w:t>
            </w:r>
          </w:p>
        </w:tc>
        <w:tc>
          <w:tcPr>
            <w:tcW w:w="1773" w:type="dxa"/>
            <w:shd w:val="clear" w:color="auto" w:fill="auto"/>
            <w:noWrap/>
            <w:vAlign w:val="bottom"/>
            <w:hideMark/>
          </w:tcPr>
          <w:p w14:paraId="3052A8C7" w14:textId="77777777" w:rsidR="009A5621" w:rsidRPr="00933FF0" w:rsidRDefault="009A5621" w:rsidP="00933FF0">
            <w:pPr>
              <w:jc w:val="center"/>
              <w:rPr>
                <w:color w:val="000000"/>
              </w:rPr>
            </w:pPr>
            <w:r w:rsidRPr="00933FF0">
              <w:rPr>
                <w:color w:val="000000"/>
              </w:rPr>
              <w:t>0,341172</w:t>
            </w:r>
          </w:p>
        </w:tc>
      </w:tr>
      <w:tr w:rsidR="009A5621" w:rsidRPr="00933FF0" w14:paraId="391F3920" w14:textId="77777777" w:rsidTr="004633E6">
        <w:trPr>
          <w:trHeight w:val="300"/>
        </w:trPr>
        <w:tc>
          <w:tcPr>
            <w:tcW w:w="3500" w:type="dxa"/>
            <w:shd w:val="clear" w:color="auto" w:fill="auto"/>
            <w:noWrap/>
            <w:vAlign w:val="bottom"/>
            <w:hideMark/>
          </w:tcPr>
          <w:p w14:paraId="1BDD86FC" w14:textId="77777777" w:rsidR="009A5621" w:rsidRPr="00933FF0" w:rsidRDefault="00933FF0" w:rsidP="009A5621">
            <w:pPr>
              <w:jc w:val="both"/>
              <w:rPr>
                <w:color w:val="000000"/>
              </w:rPr>
            </w:pPr>
            <w:r w:rsidRPr="00933FF0">
              <w:rPr>
                <w:color w:val="000000"/>
              </w:rPr>
              <w:t>ICMS Normal</w:t>
            </w:r>
          </w:p>
        </w:tc>
        <w:tc>
          <w:tcPr>
            <w:tcW w:w="1335" w:type="dxa"/>
            <w:shd w:val="clear" w:color="auto" w:fill="auto"/>
            <w:noWrap/>
            <w:vAlign w:val="bottom"/>
            <w:hideMark/>
          </w:tcPr>
          <w:p w14:paraId="1C9040C0" w14:textId="77777777" w:rsidR="009A5621" w:rsidRPr="00933FF0" w:rsidRDefault="009A5621" w:rsidP="00933FF0">
            <w:pPr>
              <w:jc w:val="center"/>
              <w:rPr>
                <w:color w:val="000000"/>
              </w:rPr>
            </w:pPr>
            <w:r w:rsidRPr="00933FF0">
              <w:rPr>
                <w:color w:val="000000"/>
              </w:rPr>
              <w:t>0,176400</w:t>
            </w:r>
          </w:p>
        </w:tc>
        <w:tc>
          <w:tcPr>
            <w:tcW w:w="992" w:type="dxa"/>
            <w:shd w:val="clear" w:color="auto" w:fill="auto"/>
            <w:noWrap/>
            <w:vAlign w:val="bottom"/>
            <w:hideMark/>
          </w:tcPr>
          <w:p w14:paraId="6510B900" w14:textId="77777777" w:rsidR="009A5621" w:rsidRPr="00933FF0" w:rsidRDefault="009A5621" w:rsidP="00933FF0">
            <w:pPr>
              <w:jc w:val="center"/>
              <w:rPr>
                <w:color w:val="000000"/>
              </w:rPr>
            </w:pPr>
            <w:r w:rsidRPr="00933FF0">
              <w:rPr>
                <w:color w:val="000000"/>
              </w:rPr>
              <w:t>0,739200</w:t>
            </w:r>
          </w:p>
        </w:tc>
        <w:tc>
          <w:tcPr>
            <w:tcW w:w="1487" w:type="dxa"/>
            <w:shd w:val="clear" w:color="auto" w:fill="auto"/>
            <w:noWrap/>
            <w:vAlign w:val="bottom"/>
            <w:hideMark/>
          </w:tcPr>
          <w:p w14:paraId="4D961821" w14:textId="77777777" w:rsidR="009A5621" w:rsidRPr="00933FF0" w:rsidRDefault="009A5621" w:rsidP="00933FF0">
            <w:pPr>
              <w:jc w:val="center"/>
              <w:rPr>
                <w:color w:val="000000"/>
              </w:rPr>
            </w:pPr>
            <w:r w:rsidRPr="00933FF0">
              <w:rPr>
                <w:color w:val="000000"/>
              </w:rPr>
              <w:t>0,570000</w:t>
            </w:r>
          </w:p>
        </w:tc>
        <w:tc>
          <w:tcPr>
            <w:tcW w:w="1773" w:type="dxa"/>
            <w:shd w:val="clear" w:color="auto" w:fill="auto"/>
            <w:noWrap/>
            <w:vAlign w:val="bottom"/>
            <w:hideMark/>
          </w:tcPr>
          <w:p w14:paraId="12288FBE" w14:textId="77777777" w:rsidR="009A5621" w:rsidRPr="00933FF0" w:rsidRDefault="009A5621" w:rsidP="00933FF0">
            <w:pPr>
              <w:jc w:val="center"/>
              <w:rPr>
                <w:color w:val="000000"/>
              </w:rPr>
            </w:pPr>
            <w:r w:rsidRPr="00933FF0">
              <w:rPr>
                <w:color w:val="000000"/>
              </w:rPr>
              <w:t>0,291600</w:t>
            </w:r>
          </w:p>
        </w:tc>
      </w:tr>
      <w:tr w:rsidR="009A5621" w:rsidRPr="00933FF0" w14:paraId="46408AAA" w14:textId="77777777" w:rsidTr="004633E6">
        <w:trPr>
          <w:trHeight w:val="300"/>
        </w:trPr>
        <w:tc>
          <w:tcPr>
            <w:tcW w:w="3500" w:type="dxa"/>
            <w:shd w:val="clear" w:color="auto" w:fill="D9D9D9" w:themeFill="background1" w:themeFillShade="D9"/>
            <w:noWrap/>
            <w:vAlign w:val="bottom"/>
            <w:hideMark/>
          </w:tcPr>
          <w:p w14:paraId="7DDF56F0" w14:textId="77777777" w:rsidR="009A5621" w:rsidRPr="00933FF0" w:rsidRDefault="00933FF0" w:rsidP="009A5621">
            <w:pPr>
              <w:jc w:val="both"/>
              <w:rPr>
                <w:color w:val="000000"/>
              </w:rPr>
            </w:pPr>
            <w:r w:rsidRPr="00933FF0">
              <w:rPr>
                <w:color w:val="000000"/>
              </w:rPr>
              <w:t>Valor ICMS-ST</w:t>
            </w:r>
          </w:p>
        </w:tc>
        <w:tc>
          <w:tcPr>
            <w:tcW w:w="1335" w:type="dxa"/>
            <w:shd w:val="clear" w:color="auto" w:fill="D9D9D9" w:themeFill="background1" w:themeFillShade="D9"/>
            <w:noWrap/>
            <w:vAlign w:val="bottom"/>
            <w:hideMark/>
          </w:tcPr>
          <w:p w14:paraId="7C173EFA" w14:textId="77777777" w:rsidR="009A5621" w:rsidRPr="00933FF0" w:rsidRDefault="009A5621" w:rsidP="00933FF0">
            <w:pPr>
              <w:jc w:val="center"/>
              <w:rPr>
                <w:color w:val="000000"/>
              </w:rPr>
            </w:pPr>
            <w:r w:rsidRPr="00933FF0">
              <w:rPr>
                <w:color w:val="000000"/>
              </w:rPr>
              <w:t>0,033516</w:t>
            </w:r>
          </w:p>
        </w:tc>
        <w:tc>
          <w:tcPr>
            <w:tcW w:w="992" w:type="dxa"/>
            <w:shd w:val="clear" w:color="auto" w:fill="D9D9D9" w:themeFill="background1" w:themeFillShade="D9"/>
            <w:noWrap/>
            <w:vAlign w:val="bottom"/>
            <w:hideMark/>
          </w:tcPr>
          <w:p w14:paraId="22D7FE86" w14:textId="77777777" w:rsidR="009A5621" w:rsidRPr="00933FF0" w:rsidRDefault="009A5621" w:rsidP="00933FF0">
            <w:pPr>
              <w:jc w:val="center"/>
              <w:rPr>
                <w:color w:val="000000"/>
              </w:rPr>
            </w:pPr>
            <w:r w:rsidRPr="00933FF0">
              <w:rPr>
                <w:color w:val="000000"/>
              </w:rPr>
              <w:t>0,081312</w:t>
            </w:r>
          </w:p>
        </w:tc>
        <w:tc>
          <w:tcPr>
            <w:tcW w:w="1487" w:type="dxa"/>
            <w:shd w:val="clear" w:color="auto" w:fill="D9D9D9" w:themeFill="background1" w:themeFillShade="D9"/>
            <w:noWrap/>
            <w:vAlign w:val="bottom"/>
            <w:hideMark/>
          </w:tcPr>
          <w:p w14:paraId="534C1E57" w14:textId="77777777" w:rsidR="009A5621" w:rsidRPr="00933FF0" w:rsidRDefault="009A5621" w:rsidP="00933FF0">
            <w:pPr>
              <w:jc w:val="center"/>
              <w:rPr>
                <w:color w:val="000000"/>
              </w:rPr>
            </w:pPr>
            <w:r w:rsidRPr="00933FF0">
              <w:rPr>
                <w:color w:val="000000"/>
              </w:rPr>
              <w:t>0,193800</w:t>
            </w:r>
          </w:p>
        </w:tc>
        <w:tc>
          <w:tcPr>
            <w:tcW w:w="1773" w:type="dxa"/>
            <w:shd w:val="clear" w:color="auto" w:fill="D9D9D9" w:themeFill="background1" w:themeFillShade="D9"/>
            <w:noWrap/>
            <w:vAlign w:val="bottom"/>
            <w:hideMark/>
          </w:tcPr>
          <w:p w14:paraId="2A34CA45" w14:textId="77777777" w:rsidR="009A5621" w:rsidRPr="00933FF0" w:rsidRDefault="009A5621" w:rsidP="00933FF0">
            <w:pPr>
              <w:jc w:val="center"/>
              <w:rPr>
                <w:color w:val="000000"/>
              </w:rPr>
            </w:pPr>
            <w:r w:rsidRPr="00933FF0">
              <w:rPr>
                <w:color w:val="000000"/>
              </w:rPr>
              <w:t>0,049572</w:t>
            </w:r>
          </w:p>
        </w:tc>
      </w:tr>
      <w:tr w:rsidR="009A5621" w:rsidRPr="00933FF0" w14:paraId="2BA823B2" w14:textId="77777777" w:rsidTr="004633E6">
        <w:trPr>
          <w:trHeight w:val="300"/>
        </w:trPr>
        <w:tc>
          <w:tcPr>
            <w:tcW w:w="3500" w:type="dxa"/>
            <w:shd w:val="clear" w:color="auto" w:fill="auto"/>
            <w:noWrap/>
            <w:vAlign w:val="bottom"/>
            <w:hideMark/>
          </w:tcPr>
          <w:p w14:paraId="35146E2E" w14:textId="77777777" w:rsidR="009A5621" w:rsidRPr="00933FF0" w:rsidRDefault="00933FF0" w:rsidP="009A5621">
            <w:pPr>
              <w:jc w:val="both"/>
              <w:rPr>
                <w:color w:val="000000"/>
              </w:rPr>
            </w:pPr>
            <w:r w:rsidRPr="00933FF0">
              <w:rPr>
                <w:color w:val="000000"/>
              </w:rPr>
              <w:t>Custo Total (Custo + ICMS-ST)</w:t>
            </w:r>
          </w:p>
        </w:tc>
        <w:tc>
          <w:tcPr>
            <w:tcW w:w="1335" w:type="dxa"/>
            <w:shd w:val="clear" w:color="auto" w:fill="auto"/>
            <w:noWrap/>
            <w:vAlign w:val="bottom"/>
            <w:hideMark/>
          </w:tcPr>
          <w:p w14:paraId="6BD3AD0E" w14:textId="77777777" w:rsidR="009A5621" w:rsidRPr="00933FF0" w:rsidRDefault="009A5621" w:rsidP="00933FF0">
            <w:pPr>
              <w:jc w:val="center"/>
              <w:rPr>
                <w:color w:val="000000"/>
              </w:rPr>
            </w:pPr>
            <w:r w:rsidRPr="00933FF0">
              <w:rPr>
                <w:color w:val="000000"/>
              </w:rPr>
              <w:t>1,503516</w:t>
            </w:r>
          </w:p>
        </w:tc>
        <w:tc>
          <w:tcPr>
            <w:tcW w:w="992" w:type="dxa"/>
            <w:shd w:val="clear" w:color="auto" w:fill="auto"/>
            <w:noWrap/>
            <w:vAlign w:val="bottom"/>
            <w:hideMark/>
          </w:tcPr>
          <w:p w14:paraId="32A2E3D4" w14:textId="77777777" w:rsidR="009A5621" w:rsidRPr="00933FF0" w:rsidRDefault="009A5621" w:rsidP="00933FF0">
            <w:pPr>
              <w:jc w:val="center"/>
              <w:rPr>
                <w:color w:val="000000"/>
              </w:rPr>
            </w:pPr>
            <w:r w:rsidRPr="00933FF0">
              <w:rPr>
                <w:color w:val="000000"/>
              </w:rPr>
              <w:t>6,241312</w:t>
            </w:r>
          </w:p>
        </w:tc>
        <w:tc>
          <w:tcPr>
            <w:tcW w:w="1487" w:type="dxa"/>
            <w:shd w:val="clear" w:color="auto" w:fill="auto"/>
            <w:noWrap/>
            <w:vAlign w:val="bottom"/>
            <w:hideMark/>
          </w:tcPr>
          <w:p w14:paraId="2E0B0BAA" w14:textId="77777777" w:rsidR="009A5621" w:rsidRPr="00933FF0" w:rsidRDefault="009A5621" w:rsidP="00933FF0">
            <w:pPr>
              <w:jc w:val="center"/>
              <w:rPr>
                <w:color w:val="000000"/>
              </w:rPr>
            </w:pPr>
            <w:r w:rsidRPr="00933FF0">
              <w:rPr>
                <w:color w:val="000000"/>
              </w:rPr>
              <w:t>4,943800</w:t>
            </w:r>
          </w:p>
        </w:tc>
        <w:tc>
          <w:tcPr>
            <w:tcW w:w="1773" w:type="dxa"/>
            <w:shd w:val="clear" w:color="auto" w:fill="auto"/>
            <w:noWrap/>
            <w:vAlign w:val="bottom"/>
            <w:hideMark/>
          </w:tcPr>
          <w:p w14:paraId="78CB55D1" w14:textId="77777777" w:rsidR="009A5621" w:rsidRPr="00933FF0" w:rsidRDefault="009A5621" w:rsidP="00933FF0">
            <w:pPr>
              <w:jc w:val="center"/>
              <w:rPr>
                <w:color w:val="000000"/>
              </w:rPr>
            </w:pPr>
            <w:r w:rsidRPr="00933FF0">
              <w:rPr>
                <w:color w:val="000000"/>
              </w:rPr>
              <w:t>2,479572</w:t>
            </w:r>
          </w:p>
        </w:tc>
      </w:tr>
      <w:tr w:rsidR="009A5621" w:rsidRPr="00933FF0" w14:paraId="32A3798F" w14:textId="77777777" w:rsidTr="004633E6">
        <w:trPr>
          <w:trHeight w:val="300"/>
        </w:trPr>
        <w:tc>
          <w:tcPr>
            <w:tcW w:w="3500" w:type="dxa"/>
            <w:shd w:val="clear" w:color="auto" w:fill="auto"/>
            <w:noWrap/>
            <w:vAlign w:val="bottom"/>
            <w:hideMark/>
          </w:tcPr>
          <w:p w14:paraId="6C6E2560" w14:textId="77777777" w:rsidR="009A5621" w:rsidRPr="00933FF0" w:rsidRDefault="00933FF0" w:rsidP="009A5621">
            <w:pPr>
              <w:jc w:val="both"/>
              <w:rPr>
                <w:color w:val="000000"/>
              </w:rPr>
            </w:pPr>
            <w:r w:rsidRPr="00933FF0">
              <w:rPr>
                <w:color w:val="000000"/>
              </w:rPr>
              <w:t>Margem de Lucro Supermercado</w:t>
            </w:r>
          </w:p>
        </w:tc>
        <w:tc>
          <w:tcPr>
            <w:tcW w:w="1335" w:type="dxa"/>
            <w:shd w:val="clear" w:color="auto" w:fill="auto"/>
            <w:noWrap/>
            <w:vAlign w:val="bottom"/>
            <w:hideMark/>
          </w:tcPr>
          <w:p w14:paraId="589CB92D" w14:textId="77777777" w:rsidR="009A5621" w:rsidRPr="00933FF0" w:rsidRDefault="009A5621" w:rsidP="00933FF0">
            <w:pPr>
              <w:jc w:val="center"/>
              <w:rPr>
                <w:color w:val="000000"/>
              </w:rPr>
            </w:pPr>
            <w:r w:rsidRPr="00933FF0">
              <w:rPr>
                <w:color w:val="000000"/>
              </w:rPr>
              <w:t>0,200000</w:t>
            </w:r>
          </w:p>
        </w:tc>
        <w:tc>
          <w:tcPr>
            <w:tcW w:w="992" w:type="dxa"/>
            <w:shd w:val="clear" w:color="auto" w:fill="auto"/>
            <w:noWrap/>
            <w:vAlign w:val="bottom"/>
            <w:hideMark/>
          </w:tcPr>
          <w:p w14:paraId="0F78E35E" w14:textId="77777777" w:rsidR="009A5621" w:rsidRPr="00933FF0" w:rsidRDefault="009A5621" w:rsidP="00933FF0">
            <w:pPr>
              <w:jc w:val="center"/>
              <w:rPr>
                <w:color w:val="000000"/>
              </w:rPr>
            </w:pPr>
            <w:r w:rsidRPr="00933FF0">
              <w:rPr>
                <w:color w:val="000000"/>
              </w:rPr>
              <w:t>0,210000</w:t>
            </w:r>
          </w:p>
        </w:tc>
        <w:tc>
          <w:tcPr>
            <w:tcW w:w="1487" w:type="dxa"/>
            <w:shd w:val="clear" w:color="auto" w:fill="auto"/>
            <w:noWrap/>
            <w:vAlign w:val="bottom"/>
            <w:hideMark/>
          </w:tcPr>
          <w:p w14:paraId="2BB755D5" w14:textId="77777777" w:rsidR="009A5621" w:rsidRPr="00933FF0" w:rsidRDefault="009A5621" w:rsidP="00933FF0">
            <w:pPr>
              <w:jc w:val="center"/>
              <w:rPr>
                <w:color w:val="000000"/>
              </w:rPr>
            </w:pPr>
            <w:r w:rsidRPr="00933FF0">
              <w:rPr>
                <w:color w:val="000000"/>
              </w:rPr>
              <w:t>0,250000</w:t>
            </w:r>
          </w:p>
        </w:tc>
        <w:tc>
          <w:tcPr>
            <w:tcW w:w="1773" w:type="dxa"/>
            <w:shd w:val="clear" w:color="auto" w:fill="auto"/>
            <w:noWrap/>
            <w:vAlign w:val="bottom"/>
            <w:hideMark/>
          </w:tcPr>
          <w:p w14:paraId="33648733" w14:textId="77777777" w:rsidR="009A5621" w:rsidRPr="00933FF0" w:rsidRDefault="009A5621" w:rsidP="00933FF0">
            <w:pPr>
              <w:jc w:val="center"/>
              <w:rPr>
                <w:color w:val="000000"/>
              </w:rPr>
            </w:pPr>
            <w:r w:rsidRPr="00933FF0">
              <w:rPr>
                <w:color w:val="000000"/>
              </w:rPr>
              <w:t>0,150000</w:t>
            </w:r>
          </w:p>
        </w:tc>
      </w:tr>
      <w:tr w:rsidR="009A5621" w:rsidRPr="00933FF0" w14:paraId="512371E9" w14:textId="77777777" w:rsidTr="004633E6">
        <w:trPr>
          <w:trHeight w:val="300"/>
        </w:trPr>
        <w:tc>
          <w:tcPr>
            <w:tcW w:w="3500" w:type="dxa"/>
            <w:shd w:val="clear" w:color="auto" w:fill="D9D9D9" w:themeFill="background1" w:themeFillShade="D9"/>
            <w:noWrap/>
            <w:vAlign w:val="bottom"/>
            <w:hideMark/>
          </w:tcPr>
          <w:p w14:paraId="447B281C" w14:textId="77777777" w:rsidR="009A5621" w:rsidRPr="00933FF0" w:rsidRDefault="00933FF0" w:rsidP="009A5621">
            <w:pPr>
              <w:jc w:val="both"/>
              <w:rPr>
                <w:color w:val="000000"/>
              </w:rPr>
            </w:pPr>
            <w:r w:rsidRPr="00933FF0">
              <w:rPr>
                <w:color w:val="000000"/>
              </w:rPr>
              <w:t>Preço de Venda Supermercado</w:t>
            </w:r>
          </w:p>
        </w:tc>
        <w:tc>
          <w:tcPr>
            <w:tcW w:w="1335" w:type="dxa"/>
            <w:shd w:val="clear" w:color="auto" w:fill="D9D9D9" w:themeFill="background1" w:themeFillShade="D9"/>
            <w:noWrap/>
            <w:vAlign w:val="bottom"/>
            <w:hideMark/>
          </w:tcPr>
          <w:p w14:paraId="43BE86C0" w14:textId="77777777" w:rsidR="009A5621" w:rsidRPr="00933FF0" w:rsidRDefault="009A5621" w:rsidP="00933FF0">
            <w:pPr>
              <w:jc w:val="center"/>
              <w:rPr>
                <w:color w:val="000000"/>
              </w:rPr>
            </w:pPr>
            <w:r w:rsidRPr="00933FF0">
              <w:rPr>
                <w:color w:val="000000"/>
              </w:rPr>
              <w:t>1,879395</w:t>
            </w:r>
          </w:p>
        </w:tc>
        <w:tc>
          <w:tcPr>
            <w:tcW w:w="992" w:type="dxa"/>
            <w:shd w:val="clear" w:color="auto" w:fill="D9D9D9" w:themeFill="background1" w:themeFillShade="D9"/>
            <w:noWrap/>
            <w:vAlign w:val="bottom"/>
            <w:hideMark/>
          </w:tcPr>
          <w:p w14:paraId="7F443FA6" w14:textId="77777777" w:rsidR="009A5621" w:rsidRPr="00933FF0" w:rsidRDefault="009A5621" w:rsidP="00933FF0">
            <w:pPr>
              <w:jc w:val="center"/>
              <w:rPr>
                <w:color w:val="000000"/>
              </w:rPr>
            </w:pPr>
            <w:r w:rsidRPr="00933FF0">
              <w:rPr>
                <w:color w:val="000000"/>
              </w:rPr>
              <w:t>7,900395</w:t>
            </w:r>
          </w:p>
        </w:tc>
        <w:tc>
          <w:tcPr>
            <w:tcW w:w="1487" w:type="dxa"/>
            <w:shd w:val="clear" w:color="auto" w:fill="D9D9D9" w:themeFill="background1" w:themeFillShade="D9"/>
            <w:noWrap/>
            <w:vAlign w:val="bottom"/>
            <w:hideMark/>
          </w:tcPr>
          <w:p w14:paraId="784AC394" w14:textId="77777777" w:rsidR="009A5621" w:rsidRPr="00933FF0" w:rsidRDefault="009A5621" w:rsidP="00933FF0">
            <w:pPr>
              <w:jc w:val="center"/>
              <w:rPr>
                <w:color w:val="000000"/>
              </w:rPr>
            </w:pPr>
            <w:r w:rsidRPr="00933FF0">
              <w:rPr>
                <w:color w:val="000000"/>
              </w:rPr>
              <w:t>6,591733</w:t>
            </w:r>
          </w:p>
        </w:tc>
        <w:tc>
          <w:tcPr>
            <w:tcW w:w="1773" w:type="dxa"/>
            <w:shd w:val="clear" w:color="auto" w:fill="D9D9D9" w:themeFill="background1" w:themeFillShade="D9"/>
            <w:noWrap/>
            <w:vAlign w:val="bottom"/>
            <w:hideMark/>
          </w:tcPr>
          <w:p w14:paraId="673E03C4" w14:textId="77777777" w:rsidR="009A5621" w:rsidRPr="00933FF0" w:rsidRDefault="009A5621" w:rsidP="00933FF0">
            <w:pPr>
              <w:jc w:val="center"/>
              <w:rPr>
                <w:color w:val="000000"/>
              </w:rPr>
            </w:pPr>
            <w:r w:rsidRPr="00933FF0">
              <w:rPr>
                <w:color w:val="000000"/>
              </w:rPr>
              <w:t>2,917144</w:t>
            </w:r>
          </w:p>
        </w:tc>
      </w:tr>
      <w:tr w:rsidR="009A5621" w:rsidRPr="00933FF0" w14:paraId="73A90F22" w14:textId="77777777" w:rsidTr="004633E6">
        <w:trPr>
          <w:trHeight w:val="300"/>
        </w:trPr>
        <w:tc>
          <w:tcPr>
            <w:tcW w:w="3500" w:type="dxa"/>
            <w:shd w:val="clear" w:color="auto" w:fill="A6A6A6" w:themeFill="background1" w:themeFillShade="A6"/>
            <w:noWrap/>
            <w:vAlign w:val="bottom"/>
            <w:hideMark/>
          </w:tcPr>
          <w:p w14:paraId="57D5CD36" w14:textId="77777777" w:rsidR="009A5621" w:rsidRPr="00933FF0" w:rsidRDefault="00933FF0" w:rsidP="009A5621">
            <w:pPr>
              <w:jc w:val="both"/>
              <w:rPr>
                <w:color w:val="000000"/>
              </w:rPr>
            </w:pPr>
            <w:r w:rsidRPr="00933FF0">
              <w:rPr>
                <w:color w:val="000000"/>
              </w:rPr>
              <w:t>Lucro Supermercado</w:t>
            </w:r>
          </w:p>
        </w:tc>
        <w:tc>
          <w:tcPr>
            <w:tcW w:w="1335" w:type="dxa"/>
            <w:shd w:val="clear" w:color="auto" w:fill="A6A6A6" w:themeFill="background1" w:themeFillShade="A6"/>
            <w:noWrap/>
            <w:vAlign w:val="bottom"/>
            <w:hideMark/>
          </w:tcPr>
          <w:p w14:paraId="402E7B17" w14:textId="77777777" w:rsidR="009A5621" w:rsidRPr="00933FF0" w:rsidRDefault="009A5621" w:rsidP="00933FF0">
            <w:pPr>
              <w:jc w:val="center"/>
              <w:rPr>
                <w:color w:val="000000"/>
              </w:rPr>
            </w:pPr>
            <w:r w:rsidRPr="00933FF0">
              <w:rPr>
                <w:color w:val="000000"/>
              </w:rPr>
              <w:t>0,375879</w:t>
            </w:r>
          </w:p>
        </w:tc>
        <w:tc>
          <w:tcPr>
            <w:tcW w:w="992" w:type="dxa"/>
            <w:shd w:val="clear" w:color="auto" w:fill="A6A6A6" w:themeFill="background1" w:themeFillShade="A6"/>
            <w:noWrap/>
            <w:vAlign w:val="bottom"/>
            <w:hideMark/>
          </w:tcPr>
          <w:p w14:paraId="5234FF77" w14:textId="77777777" w:rsidR="009A5621" w:rsidRPr="00933FF0" w:rsidRDefault="009A5621" w:rsidP="00933FF0">
            <w:pPr>
              <w:jc w:val="center"/>
              <w:rPr>
                <w:color w:val="000000"/>
              </w:rPr>
            </w:pPr>
            <w:r w:rsidRPr="00933FF0">
              <w:rPr>
                <w:color w:val="000000"/>
              </w:rPr>
              <w:t>1,659083</w:t>
            </w:r>
          </w:p>
        </w:tc>
        <w:tc>
          <w:tcPr>
            <w:tcW w:w="1487" w:type="dxa"/>
            <w:shd w:val="clear" w:color="auto" w:fill="A6A6A6" w:themeFill="background1" w:themeFillShade="A6"/>
            <w:noWrap/>
            <w:vAlign w:val="bottom"/>
            <w:hideMark/>
          </w:tcPr>
          <w:p w14:paraId="56395777" w14:textId="77777777" w:rsidR="009A5621" w:rsidRPr="00933FF0" w:rsidRDefault="009A5621" w:rsidP="00933FF0">
            <w:pPr>
              <w:jc w:val="center"/>
              <w:rPr>
                <w:color w:val="000000"/>
              </w:rPr>
            </w:pPr>
            <w:r w:rsidRPr="00933FF0">
              <w:rPr>
                <w:color w:val="000000"/>
              </w:rPr>
              <w:t>1,647933</w:t>
            </w:r>
          </w:p>
        </w:tc>
        <w:tc>
          <w:tcPr>
            <w:tcW w:w="1773" w:type="dxa"/>
            <w:shd w:val="clear" w:color="auto" w:fill="A6A6A6" w:themeFill="background1" w:themeFillShade="A6"/>
            <w:noWrap/>
            <w:vAlign w:val="bottom"/>
            <w:hideMark/>
          </w:tcPr>
          <w:p w14:paraId="70DD44E6" w14:textId="77777777" w:rsidR="009A5621" w:rsidRPr="00933FF0" w:rsidRDefault="009A5621" w:rsidP="00933FF0">
            <w:pPr>
              <w:jc w:val="center"/>
              <w:rPr>
                <w:color w:val="000000"/>
              </w:rPr>
            </w:pPr>
            <w:r w:rsidRPr="00933FF0">
              <w:rPr>
                <w:color w:val="000000"/>
              </w:rPr>
              <w:t>0,437572</w:t>
            </w:r>
          </w:p>
        </w:tc>
      </w:tr>
    </w:tbl>
    <w:p w14:paraId="37B674A0" w14:textId="77777777" w:rsidR="009A5621" w:rsidRPr="00BA49A2" w:rsidRDefault="009A5621" w:rsidP="009A5621">
      <w:pPr>
        <w:jc w:val="both"/>
        <w:rPr>
          <w:sz w:val="24"/>
          <w:szCs w:val="24"/>
        </w:rPr>
      </w:pPr>
    </w:p>
    <w:p w14:paraId="6DA4FFE7" w14:textId="77777777" w:rsidR="009A5621" w:rsidRPr="00BA49A2" w:rsidRDefault="00933FF0" w:rsidP="009A5621">
      <w:pPr>
        <w:ind w:firstLine="709"/>
        <w:jc w:val="both"/>
        <w:rPr>
          <w:sz w:val="24"/>
          <w:szCs w:val="24"/>
        </w:rPr>
      </w:pPr>
      <w:r>
        <w:rPr>
          <w:sz w:val="24"/>
          <w:szCs w:val="24"/>
        </w:rPr>
        <w:t>A Tabela 5</w:t>
      </w:r>
      <w:r w:rsidR="009A5621" w:rsidRPr="00BA49A2">
        <w:rPr>
          <w:sz w:val="24"/>
          <w:szCs w:val="24"/>
        </w:rPr>
        <w:t xml:space="preserve"> demonstra os valores pagos pelo contribuinte no regime de substituição tributária de cada item bem como o preço para consumidor final aplicando a margem de lucro atribuída pelo supermercado apresentando assim o seu lucro com a substituição tributária.</w:t>
      </w:r>
    </w:p>
    <w:p w14:paraId="6DFA42B1" w14:textId="77777777" w:rsidR="009A5621" w:rsidRPr="00BA49A2" w:rsidRDefault="009A5621" w:rsidP="009A5621">
      <w:pPr>
        <w:jc w:val="both"/>
        <w:rPr>
          <w:sz w:val="24"/>
          <w:szCs w:val="24"/>
        </w:rPr>
      </w:pPr>
    </w:p>
    <w:p w14:paraId="34DD7138" w14:textId="77777777" w:rsidR="00933FF0" w:rsidRPr="00933FF0" w:rsidRDefault="00933FF0" w:rsidP="009A5621">
      <w:pPr>
        <w:jc w:val="both"/>
        <w:rPr>
          <w:sz w:val="24"/>
          <w:szCs w:val="24"/>
        </w:rPr>
      </w:pPr>
      <w:r w:rsidRPr="00933FF0">
        <w:rPr>
          <w:sz w:val="24"/>
          <w:szCs w:val="24"/>
        </w:rPr>
        <w:t>Tabela</w:t>
      </w:r>
      <w:r w:rsidR="009A5621" w:rsidRPr="00933FF0">
        <w:rPr>
          <w:sz w:val="24"/>
          <w:szCs w:val="24"/>
        </w:rPr>
        <w:t xml:space="preserve"> 5</w:t>
      </w:r>
    </w:p>
    <w:p w14:paraId="2E4D40FE" w14:textId="77777777" w:rsidR="009A5621" w:rsidRPr="00BA49A2" w:rsidRDefault="009A5621" w:rsidP="009A5621">
      <w:pPr>
        <w:jc w:val="both"/>
        <w:rPr>
          <w:b/>
          <w:sz w:val="24"/>
          <w:szCs w:val="24"/>
        </w:rPr>
      </w:pPr>
      <w:r w:rsidRPr="00BA49A2">
        <w:rPr>
          <w:b/>
          <w:sz w:val="24"/>
          <w:szCs w:val="24"/>
        </w:rPr>
        <w:t>Apuração dos valores com ICMS sem ST</w:t>
      </w:r>
    </w:p>
    <w:tbl>
      <w:tblPr>
        <w:tblW w:w="9087" w:type="dxa"/>
        <w:tblInd w:w="5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500"/>
        <w:gridCol w:w="1335"/>
        <w:gridCol w:w="1255"/>
        <w:gridCol w:w="1263"/>
        <w:gridCol w:w="1734"/>
      </w:tblGrid>
      <w:tr w:rsidR="009A5621" w:rsidRPr="00933FF0" w14:paraId="1EDA7AD5" w14:textId="77777777" w:rsidTr="00F332A1">
        <w:trPr>
          <w:trHeight w:val="300"/>
        </w:trPr>
        <w:tc>
          <w:tcPr>
            <w:tcW w:w="3500" w:type="dxa"/>
            <w:tcBorders>
              <w:top w:val="single" w:sz="4" w:space="0" w:color="auto"/>
              <w:bottom w:val="single" w:sz="4" w:space="0" w:color="auto"/>
            </w:tcBorders>
            <w:shd w:val="clear" w:color="auto" w:fill="auto"/>
            <w:noWrap/>
            <w:vAlign w:val="center"/>
            <w:hideMark/>
          </w:tcPr>
          <w:p w14:paraId="64C32D55" w14:textId="77777777" w:rsidR="009A5621" w:rsidRPr="00933FF0" w:rsidRDefault="00B71B4F" w:rsidP="00933FF0">
            <w:pPr>
              <w:jc w:val="center"/>
              <w:rPr>
                <w:b/>
                <w:bCs/>
                <w:color w:val="000000"/>
              </w:rPr>
            </w:pPr>
            <w:r w:rsidRPr="00933FF0">
              <w:rPr>
                <w:b/>
                <w:bCs/>
                <w:color w:val="000000"/>
              </w:rPr>
              <w:t>I</w:t>
            </w:r>
            <w:r>
              <w:rPr>
                <w:b/>
                <w:bCs/>
                <w:color w:val="000000"/>
              </w:rPr>
              <w:t>CMS s</w:t>
            </w:r>
            <w:r w:rsidRPr="00933FF0">
              <w:rPr>
                <w:b/>
                <w:bCs/>
                <w:color w:val="000000"/>
              </w:rPr>
              <w:t>em S</w:t>
            </w:r>
            <w:r>
              <w:rPr>
                <w:b/>
                <w:bCs/>
                <w:color w:val="000000"/>
              </w:rPr>
              <w:t>T</w:t>
            </w:r>
          </w:p>
        </w:tc>
        <w:tc>
          <w:tcPr>
            <w:tcW w:w="1335" w:type="dxa"/>
            <w:tcBorders>
              <w:top w:val="single" w:sz="4" w:space="0" w:color="auto"/>
              <w:bottom w:val="single" w:sz="4" w:space="0" w:color="auto"/>
            </w:tcBorders>
            <w:shd w:val="clear" w:color="auto" w:fill="auto"/>
            <w:noWrap/>
            <w:vAlign w:val="center"/>
            <w:hideMark/>
          </w:tcPr>
          <w:p w14:paraId="2EAF06A6" w14:textId="77777777" w:rsidR="009A5621" w:rsidRPr="00933FF0" w:rsidRDefault="00B71B4F" w:rsidP="00933FF0">
            <w:pPr>
              <w:jc w:val="center"/>
              <w:rPr>
                <w:b/>
                <w:bCs/>
                <w:color w:val="000000"/>
              </w:rPr>
            </w:pPr>
            <w:r w:rsidRPr="00933FF0">
              <w:rPr>
                <w:b/>
                <w:bCs/>
                <w:color w:val="000000"/>
              </w:rPr>
              <w:t>Açúcar</w:t>
            </w:r>
          </w:p>
        </w:tc>
        <w:tc>
          <w:tcPr>
            <w:tcW w:w="1255" w:type="dxa"/>
            <w:tcBorders>
              <w:top w:val="single" w:sz="4" w:space="0" w:color="auto"/>
              <w:bottom w:val="single" w:sz="4" w:space="0" w:color="auto"/>
            </w:tcBorders>
            <w:shd w:val="clear" w:color="auto" w:fill="auto"/>
            <w:noWrap/>
            <w:vAlign w:val="center"/>
            <w:hideMark/>
          </w:tcPr>
          <w:p w14:paraId="0B9ECFF2" w14:textId="77777777" w:rsidR="009A5621" w:rsidRPr="00933FF0" w:rsidRDefault="00B71B4F" w:rsidP="00933FF0">
            <w:pPr>
              <w:jc w:val="center"/>
              <w:rPr>
                <w:b/>
                <w:bCs/>
                <w:color w:val="000000"/>
              </w:rPr>
            </w:pPr>
            <w:r w:rsidRPr="00933FF0">
              <w:rPr>
                <w:b/>
                <w:bCs/>
                <w:color w:val="000000"/>
              </w:rPr>
              <w:t>Café</w:t>
            </w:r>
          </w:p>
        </w:tc>
        <w:tc>
          <w:tcPr>
            <w:tcW w:w="1263" w:type="dxa"/>
            <w:tcBorders>
              <w:top w:val="single" w:sz="4" w:space="0" w:color="auto"/>
              <w:bottom w:val="single" w:sz="4" w:space="0" w:color="auto"/>
            </w:tcBorders>
            <w:shd w:val="clear" w:color="auto" w:fill="auto"/>
            <w:noWrap/>
            <w:vAlign w:val="center"/>
            <w:hideMark/>
          </w:tcPr>
          <w:p w14:paraId="669C2EE2" w14:textId="77777777" w:rsidR="009A5621" w:rsidRPr="00933FF0" w:rsidRDefault="00B71B4F" w:rsidP="00933FF0">
            <w:pPr>
              <w:jc w:val="center"/>
              <w:rPr>
                <w:b/>
                <w:bCs/>
                <w:color w:val="000000"/>
              </w:rPr>
            </w:pPr>
            <w:r w:rsidRPr="00933FF0">
              <w:rPr>
                <w:b/>
                <w:bCs/>
                <w:color w:val="000000"/>
              </w:rPr>
              <w:t>Manteiga</w:t>
            </w:r>
          </w:p>
        </w:tc>
        <w:tc>
          <w:tcPr>
            <w:tcW w:w="1734" w:type="dxa"/>
            <w:tcBorders>
              <w:top w:val="single" w:sz="4" w:space="0" w:color="auto"/>
              <w:bottom w:val="single" w:sz="4" w:space="0" w:color="auto"/>
            </w:tcBorders>
            <w:shd w:val="clear" w:color="auto" w:fill="auto"/>
            <w:noWrap/>
            <w:vAlign w:val="center"/>
            <w:hideMark/>
          </w:tcPr>
          <w:p w14:paraId="10BF883E" w14:textId="77777777" w:rsidR="009A5621" w:rsidRPr="00933FF0" w:rsidRDefault="00B71B4F" w:rsidP="00933FF0">
            <w:pPr>
              <w:jc w:val="center"/>
              <w:rPr>
                <w:b/>
                <w:bCs/>
                <w:color w:val="000000"/>
              </w:rPr>
            </w:pPr>
            <w:r w:rsidRPr="00933FF0">
              <w:rPr>
                <w:b/>
                <w:bCs/>
                <w:color w:val="000000"/>
              </w:rPr>
              <w:t xml:space="preserve">Óleo </w:t>
            </w:r>
            <w:r>
              <w:rPr>
                <w:b/>
                <w:bCs/>
                <w:color w:val="000000"/>
              </w:rPr>
              <w:t>d</w:t>
            </w:r>
            <w:r w:rsidRPr="00933FF0">
              <w:rPr>
                <w:b/>
                <w:bCs/>
                <w:color w:val="000000"/>
              </w:rPr>
              <w:t>e Soja</w:t>
            </w:r>
          </w:p>
        </w:tc>
      </w:tr>
      <w:tr w:rsidR="009A5621" w:rsidRPr="00933FF0" w14:paraId="488FA92F" w14:textId="77777777" w:rsidTr="00F332A1">
        <w:trPr>
          <w:trHeight w:val="285"/>
        </w:trPr>
        <w:tc>
          <w:tcPr>
            <w:tcW w:w="3500" w:type="dxa"/>
            <w:tcBorders>
              <w:top w:val="single" w:sz="4" w:space="0" w:color="auto"/>
            </w:tcBorders>
            <w:shd w:val="clear" w:color="auto" w:fill="auto"/>
            <w:noWrap/>
            <w:vAlign w:val="bottom"/>
            <w:hideMark/>
          </w:tcPr>
          <w:p w14:paraId="3EA6FBB8" w14:textId="77777777" w:rsidR="009A5621" w:rsidRPr="00933FF0" w:rsidRDefault="00933FF0" w:rsidP="009A5621">
            <w:pPr>
              <w:jc w:val="both"/>
              <w:rPr>
                <w:color w:val="000000"/>
              </w:rPr>
            </w:pPr>
            <w:r w:rsidRPr="00933FF0">
              <w:rPr>
                <w:color w:val="000000"/>
              </w:rPr>
              <w:t>Custo Unitário</w:t>
            </w:r>
          </w:p>
        </w:tc>
        <w:tc>
          <w:tcPr>
            <w:tcW w:w="1335" w:type="dxa"/>
            <w:tcBorders>
              <w:top w:val="single" w:sz="4" w:space="0" w:color="auto"/>
            </w:tcBorders>
            <w:shd w:val="clear" w:color="auto" w:fill="auto"/>
            <w:noWrap/>
            <w:vAlign w:val="bottom"/>
            <w:hideMark/>
          </w:tcPr>
          <w:p w14:paraId="2713A07B" w14:textId="77777777" w:rsidR="009A5621" w:rsidRPr="00933FF0" w:rsidRDefault="009A5621" w:rsidP="00933FF0">
            <w:pPr>
              <w:jc w:val="center"/>
              <w:rPr>
                <w:color w:val="000000"/>
              </w:rPr>
            </w:pPr>
            <w:r w:rsidRPr="00933FF0">
              <w:rPr>
                <w:color w:val="000000"/>
              </w:rPr>
              <w:t>1,47000</w:t>
            </w:r>
          </w:p>
        </w:tc>
        <w:tc>
          <w:tcPr>
            <w:tcW w:w="1255" w:type="dxa"/>
            <w:tcBorders>
              <w:top w:val="single" w:sz="4" w:space="0" w:color="auto"/>
            </w:tcBorders>
            <w:shd w:val="clear" w:color="auto" w:fill="auto"/>
            <w:noWrap/>
            <w:vAlign w:val="bottom"/>
            <w:hideMark/>
          </w:tcPr>
          <w:p w14:paraId="370051F8" w14:textId="77777777" w:rsidR="009A5621" w:rsidRPr="00933FF0" w:rsidRDefault="009A5621" w:rsidP="00933FF0">
            <w:pPr>
              <w:jc w:val="center"/>
              <w:rPr>
                <w:color w:val="000000"/>
              </w:rPr>
            </w:pPr>
            <w:r w:rsidRPr="00933FF0">
              <w:rPr>
                <w:color w:val="000000"/>
              </w:rPr>
              <w:t>6,16000</w:t>
            </w:r>
          </w:p>
        </w:tc>
        <w:tc>
          <w:tcPr>
            <w:tcW w:w="1263" w:type="dxa"/>
            <w:tcBorders>
              <w:top w:val="single" w:sz="4" w:space="0" w:color="auto"/>
            </w:tcBorders>
            <w:shd w:val="clear" w:color="auto" w:fill="auto"/>
            <w:noWrap/>
            <w:vAlign w:val="bottom"/>
            <w:hideMark/>
          </w:tcPr>
          <w:p w14:paraId="22557548" w14:textId="77777777" w:rsidR="009A5621" w:rsidRPr="00933FF0" w:rsidRDefault="009A5621" w:rsidP="00933FF0">
            <w:pPr>
              <w:jc w:val="center"/>
              <w:rPr>
                <w:color w:val="000000"/>
              </w:rPr>
            </w:pPr>
            <w:r w:rsidRPr="00933FF0">
              <w:rPr>
                <w:color w:val="000000"/>
              </w:rPr>
              <w:t>4,75000</w:t>
            </w:r>
          </w:p>
        </w:tc>
        <w:tc>
          <w:tcPr>
            <w:tcW w:w="1734" w:type="dxa"/>
            <w:tcBorders>
              <w:top w:val="single" w:sz="4" w:space="0" w:color="auto"/>
            </w:tcBorders>
            <w:shd w:val="clear" w:color="auto" w:fill="auto"/>
            <w:noWrap/>
            <w:vAlign w:val="bottom"/>
            <w:hideMark/>
          </w:tcPr>
          <w:p w14:paraId="43810AFF" w14:textId="77777777" w:rsidR="009A5621" w:rsidRPr="00933FF0" w:rsidRDefault="009A5621" w:rsidP="00933FF0">
            <w:pPr>
              <w:jc w:val="center"/>
              <w:rPr>
                <w:color w:val="000000"/>
              </w:rPr>
            </w:pPr>
            <w:r w:rsidRPr="00933FF0">
              <w:rPr>
                <w:color w:val="000000"/>
              </w:rPr>
              <w:t>2,43000</w:t>
            </w:r>
          </w:p>
        </w:tc>
      </w:tr>
      <w:tr w:rsidR="009A5621" w:rsidRPr="00933FF0" w14:paraId="56338328" w14:textId="77777777" w:rsidTr="004633E6">
        <w:trPr>
          <w:trHeight w:val="300"/>
        </w:trPr>
        <w:tc>
          <w:tcPr>
            <w:tcW w:w="3500" w:type="dxa"/>
            <w:shd w:val="clear" w:color="auto" w:fill="auto"/>
            <w:noWrap/>
            <w:vAlign w:val="bottom"/>
            <w:hideMark/>
          </w:tcPr>
          <w:p w14:paraId="4A5A5407" w14:textId="77777777" w:rsidR="009A5621" w:rsidRPr="00933FF0" w:rsidRDefault="00933FF0" w:rsidP="009A5621">
            <w:pPr>
              <w:jc w:val="both"/>
              <w:rPr>
                <w:color w:val="000000"/>
              </w:rPr>
            </w:pPr>
            <w:r w:rsidRPr="00933FF0">
              <w:rPr>
                <w:color w:val="000000"/>
              </w:rPr>
              <w:t>Crédito ICMS (Compra)</w:t>
            </w:r>
          </w:p>
        </w:tc>
        <w:tc>
          <w:tcPr>
            <w:tcW w:w="1335" w:type="dxa"/>
            <w:shd w:val="clear" w:color="auto" w:fill="auto"/>
            <w:noWrap/>
            <w:vAlign w:val="bottom"/>
            <w:hideMark/>
          </w:tcPr>
          <w:p w14:paraId="06567639" w14:textId="77777777" w:rsidR="009A5621" w:rsidRPr="00933FF0" w:rsidRDefault="009A5621" w:rsidP="00933FF0">
            <w:pPr>
              <w:jc w:val="center"/>
              <w:rPr>
                <w:color w:val="000000"/>
              </w:rPr>
            </w:pPr>
            <w:r w:rsidRPr="00933FF0">
              <w:rPr>
                <w:color w:val="000000"/>
              </w:rPr>
              <w:t>0,17640</w:t>
            </w:r>
          </w:p>
        </w:tc>
        <w:tc>
          <w:tcPr>
            <w:tcW w:w="1255" w:type="dxa"/>
            <w:shd w:val="clear" w:color="auto" w:fill="auto"/>
            <w:noWrap/>
            <w:vAlign w:val="bottom"/>
            <w:hideMark/>
          </w:tcPr>
          <w:p w14:paraId="3E022ED7" w14:textId="77777777" w:rsidR="009A5621" w:rsidRPr="00933FF0" w:rsidRDefault="009A5621" w:rsidP="00933FF0">
            <w:pPr>
              <w:jc w:val="center"/>
              <w:rPr>
                <w:color w:val="000000"/>
              </w:rPr>
            </w:pPr>
            <w:r w:rsidRPr="00933FF0">
              <w:rPr>
                <w:color w:val="000000"/>
              </w:rPr>
              <w:t>0,73920</w:t>
            </w:r>
          </w:p>
        </w:tc>
        <w:tc>
          <w:tcPr>
            <w:tcW w:w="1263" w:type="dxa"/>
            <w:shd w:val="clear" w:color="auto" w:fill="auto"/>
            <w:noWrap/>
            <w:vAlign w:val="bottom"/>
            <w:hideMark/>
          </w:tcPr>
          <w:p w14:paraId="74CBC88B" w14:textId="77777777" w:rsidR="009A5621" w:rsidRPr="00933FF0" w:rsidRDefault="009A5621" w:rsidP="00933FF0">
            <w:pPr>
              <w:jc w:val="center"/>
              <w:rPr>
                <w:color w:val="000000"/>
              </w:rPr>
            </w:pPr>
            <w:r w:rsidRPr="00933FF0">
              <w:rPr>
                <w:color w:val="000000"/>
              </w:rPr>
              <w:t>0,57000</w:t>
            </w:r>
          </w:p>
        </w:tc>
        <w:tc>
          <w:tcPr>
            <w:tcW w:w="1734" w:type="dxa"/>
            <w:shd w:val="clear" w:color="auto" w:fill="auto"/>
            <w:noWrap/>
            <w:vAlign w:val="bottom"/>
            <w:hideMark/>
          </w:tcPr>
          <w:p w14:paraId="48D95F8D" w14:textId="77777777" w:rsidR="009A5621" w:rsidRPr="00933FF0" w:rsidRDefault="009A5621" w:rsidP="00933FF0">
            <w:pPr>
              <w:jc w:val="center"/>
              <w:rPr>
                <w:color w:val="000000"/>
              </w:rPr>
            </w:pPr>
            <w:r w:rsidRPr="00933FF0">
              <w:rPr>
                <w:color w:val="000000"/>
              </w:rPr>
              <w:t>0,29160</w:t>
            </w:r>
          </w:p>
        </w:tc>
      </w:tr>
      <w:tr w:rsidR="009A5621" w:rsidRPr="00933FF0" w14:paraId="5D1A624F" w14:textId="77777777" w:rsidTr="004633E6">
        <w:trPr>
          <w:trHeight w:val="300"/>
        </w:trPr>
        <w:tc>
          <w:tcPr>
            <w:tcW w:w="3500" w:type="dxa"/>
            <w:shd w:val="clear" w:color="auto" w:fill="auto"/>
            <w:noWrap/>
            <w:vAlign w:val="bottom"/>
            <w:hideMark/>
          </w:tcPr>
          <w:p w14:paraId="113B74B2" w14:textId="77777777" w:rsidR="009A5621" w:rsidRPr="00933FF0" w:rsidRDefault="00933FF0" w:rsidP="009A5621">
            <w:pPr>
              <w:jc w:val="both"/>
              <w:rPr>
                <w:color w:val="000000"/>
              </w:rPr>
            </w:pPr>
            <w:r w:rsidRPr="00933FF0">
              <w:rPr>
                <w:color w:val="000000"/>
              </w:rPr>
              <w:t>Custo Total</w:t>
            </w:r>
          </w:p>
        </w:tc>
        <w:tc>
          <w:tcPr>
            <w:tcW w:w="1335" w:type="dxa"/>
            <w:shd w:val="clear" w:color="auto" w:fill="auto"/>
            <w:noWrap/>
            <w:vAlign w:val="bottom"/>
            <w:hideMark/>
          </w:tcPr>
          <w:p w14:paraId="30F87801" w14:textId="77777777" w:rsidR="009A5621" w:rsidRPr="00933FF0" w:rsidRDefault="009A5621" w:rsidP="00933FF0">
            <w:pPr>
              <w:jc w:val="center"/>
              <w:rPr>
                <w:color w:val="000000"/>
              </w:rPr>
            </w:pPr>
            <w:r w:rsidRPr="00933FF0">
              <w:rPr>
                <w:color w:val="000000"/>
              </w:rPr>
              <w:t>1,29360</w:t>
            </w:r>
          </w:p>
        </w:tc>
        <w:tc>
          <w:tcPr>
            <w:tcW w:w="1255" w:type="dxa"/>
            <w:shd w:val="clear" w:color="auto" w:fill="auto"/>
            <w:noWrap/>
            <w:vAlign w:val="bottom"/>
            <w:hideMark/>
          </w:tcPr>
          <w:p w14:paraId="47207FB3" w14:textId="77777777" w:rsidR="009A5621" w:rsidRPr="00933FF0" w:rsidRDefault="009A5621" w:rsidP="00933FF0">
            <w:pPr>
              <w:jc w:val="center"/>
              <w:rPr>
                <w:color w:val="000000"/>
              </w:rPr>
            </w:pPr>
            <w:r w:rsidRPr="00933FF0">
              <w:rPr>
                <w:color w:val="000000"/>
              </w:rPr>
              <w:t>5,42080</w:t>
            </w:r>
          </w:p>
        </w:tc>
        <w:tc>
          <w:tcPr>
            <w:tcW w:w="1263" w:type="dxa"/>
            <w:shd w:val="clear" w:color="auto" w:fill="auto"/>
            <w:noWrap/>
            <w:vAlign w:val="bottom"/>
            <w:hideMark/>
          </w:tcPr>
          <w:p w14:paraId="44CFDEDA" w14:textId="77777777" w:rsidR="009A5621" w:rsidRPr="00933FF0" w:rsidRDefault="009A5621" w:rsidP="00933FF0">
            <w:pPr>
              <w:jc w:val="center"/>
              <w:rPr>
                <w:color w:val="000000"/>
              </w:rPr>
            </w:pPr>
            <w:r w:rsidRPr="00933FF0">
              <w:rPr>
                <w:color w:val="000000"/>
              </w:rPr>
              <w:t>4,18000</w:t>
            </w:r>
          </w:p>
        </w:tc>
        <w:tc>
          <w:tcPr>
            <w:tcW w:w="1734" w:type="dxa"/>
            <w:shd w:val="clear" w:color="auto" w:fill="auto"/>
            <w:noWrap/>
            <w:vAlign w:val="bottom"/>
            <w:hideMark/>
          </w:tcPr>
          <w:p w14:paraId="75A52F74" w14:textId="77777777" w:rsidR="009A5621" w:rsidRPr="00933FF0" w:rsidRDefault="009A5621" w:rsidP="00933FF0">
            <w:pPr>
              <w:jc w:val="center"/>
              <w:rPr>
                <w:color w:val="000000"/>
              </w:rPr>
            </w:pPr>
            <w:r w:rsidRPr="00933FF0">
              <w:rPr>
                <w:color w:val="000000"/>
              </w:rPr>
              <w:t>2,13840</w:t>
            </w:r>
          </w:p>
        </w:tc>
      </w:tr>
      <w:tr w:rsidR="009A5621" w:rsidRPr="00933FF0" w14:paraId="03479985" w14:textId="77777777" w:rsidTr="004633E6">
        <w:trPr>
          <w:trHeight w:val="300"/>
        </w:trPr>
        <w:tc>
          <w:tcPr>
            <w:tcW w:w="3500" w:type="dxa"/>
            <w:shd w:val="clear" w:color="auto" w:fill="auto"/>
            <w:noWrap/>
            <w:vAlign w:val="bottom"/>
            <w:hideMark/>
          </w:tcPr>
          <w:p w14:paraId="583A6390" w14:textId="77777777" w:rsidR="009A5621" w:rsidRPr="00933FF0" w:rsidRDefault="00933FF0" w:rsidP="009A5621">
            <w:pPr>
              <w:jc w:val="both"/>
              <w:rPr>
                <w:color w:val="000000"/>
              </w:rPr>
            </w:pPr>
            <w:r w:rsidRPr="00933FF0">
              <w:rPr>
                <w:color w:val="000000"/>
              </w:rPr>
              <w:t>Margem de Lucro Supermercado</w:t>
            </w:r>
          </w:p>
        </w:tc>
        <w:tc>
          <w:tcPr>
            <w:tcW w:w="1335" w:type="dxa"/>
            <w:shd w:val="clear" w:color="auto" w:fill="auto"/>
            <w:noWrap/>
            <w:vAlign w:val="bottom"/>
            <w:hideMark/>
          </w:tcPr>
          <w:p w14:paraId="530A769C" w14:textId="77777777" w:rsidR="009A5621" w:rsidRPr="00933FF0" w:rsidRDefault="009A5621" w:rsidP="00933FF0">
            <w:pPr>
              <w:jc w:val="center"/>
              <w:rPr>
                <w:color w:val="000000"/>
              </w:rPr>
            </w:pPr>
            <w:r w:rsidRPr="00933FF0">
              <w:rPr>
                <w:color w:val="000000"/>
              </w:rPr>
              <w:t>0,20000</w:t>
            </w:r>
          </w:p>
        </w:tc>
        <w:tc>
          <w:tcPr>
            <w:tcW w:w="1255" w:type="dxa"/>
            <w:shd w:val="clear" w:color="auto" w:fill="auto"/>
            <w:noWrap/>
            <w:vAlign w:val="bottom"/>
            <w:hideMark/>
          </w:tcPr>
          <w:p w14:paraId="53751CB5" w14:textId="77777777" w:rsidR="009A5621" w:rsidRPr="00933FF0" w:rsidRDefault="009A5621" w:rsidP="00933FF0">
            <w:pPr>
              <w:jc w:val="center"/>
              <w:rPr>
                <w:color w:val="000000"/>
              </w:rPr>
            </w:pPr>
            <w:r w:rsidRPr="00933FF0">
              <w:rPr>
                <w:color w:val="000000"/>
              </w:rPr>
              <w:t>0,21000</w:t>
            </w:r>
          </w:p>
        </w:tc>
        <w:tc>
          <w:tcPr>
            <w:tcW w:w="1263" w:type="dxa"/>
            <w:shd w:val="clear" w:color="auto" w:fill="auto"/>
            <w:noWrap/>
            <w:vAlign w:val="bottom"/>
            <w:hideMark/>
          </w:tcPr>
          <w:p w14:paraId="4EDB2405" w14:textId="77777777" w:rsidR="009A5621" w:rsidRPr="00933FF0" w:rsidRDefault="009A5621" w:rsidP="00933FF0">
            <w:pPr>
              <w:jc w:val="center"/>
              <w:rPr>
                <w:color w:val="000000"/>
              </w:rPr>
            </w:pPr>
            <w:r w:rsidRPr="00933FF0">
              <w:rPr>
                <w:color w:val="000000"/>
              </w:rPr>
              <w:t>0,25000</w:t>
            </w:r>
          </w:p>
        </w:tc>
        <w:tc>
          <w:tcPr>
            <w:tcW w:w="1734" w:type="dxa"/>
            <w:shd w:val="clear" w:color="auto" w:fill="auto"/>
            <w:noWrap/>
            <w:vAlign w:val="bottom"/>
            <w:hideMark/>
          </w:tcPr>
          <w:p w14:paraId="4801AC9B" w14:textId="77777777" w:rsidR="009A5621" w:rsidRPr="00933FF0" w:rsidRDefault="009A5621" w:rsidP="00933FF0">
            <w:pPr>
              <w:jc w:val="center"/>
              <w:rPr>
                <w:color w:val="000000"/>
              </w:rPr>
            </w:pPr>
            <w:r w:rsidRPr="00933FF0">
              <w:rPr>
                <w:color w:val="000000"/>
              </w:rPr>
              <w:t>0,15000</w:t>
            </w:r>
          </w:p>
        </w:tc>
      </w:tr>
      <w:tr w:rsidR="009A5621" w:rsidRPr="00933FF0" w14:paraId="5F9F64B6" w14:textId="77777777" w:rsidTr="004633E6">
        <w:trPr>
          <w:trHeight w:val="300"/>
        </w:trPr>
        <w:tc>
          <w:tcPr>
            <w:tcW w:w="3500" w:type="dxa"/>
            <w:shd w:val="clear" w:color="auto" w:fill="D9D9D9" w:themeFill="background1" w:themeFillShade="D9"/>
            <w:noWrap/>
            <w:vAlign w:val="bottom"/>
            <w:hideMark/>
          </w:tcPr>
          <w:p w14:paraId="6CD9234F" w14:textId="77777777" w:rsidR="009A5621" w:rsidRPr="00933FF0" w:rsidRDefault="00933FF0" w:rsidP="009A5621">
            <w:pPr>
              <w:jc w:val="both"/>
              <w:rPr>
                <w:color w:val="000000"/>
              </w:rPr>
            </w:pPr>
            <w:r w:rsidRPr="00933FF0">
              <w:rPr>
                <w:color w:val="000000"/>
              </w:rPr>
              <w:t>Preço de Venda Supermercado</w:t>
            </w:r>
          </w:p>
        </w:tc>
        <w:tc>
          <w:tcPr>
            <w:tcW w:w="1335" w:type="dxa"/>
            <w:shd w:val="clear" w:color="auto" w:fill="D9D9D9" w:themeFill="background1" w:themeFillShade="D9"/>
            <w:noWrap/>
            <w:vAlign w:val="bottom"/>
            <w:hideMark/>
          </w:tcPr>
          <w:p w14:paraId="612C7D0B" w14:textId="77777777" w:rsidR="009A5621" w:rsidRPr="00933FF0" w:rsidRDefault="009A5621" w:rsidP="00933FF0">
            <w:pPr>
              <w:jc w:val="center"/>
              <w:rPr>
                <w:color w:val="000000"/>
              </w:rPr>
            </w:pPr>
            <w:r w:rsidRPr="00933FF0">
              <w:rPr>
                <w:color w:val="000000"/>
              </w:rPr>
              <w:t>1,83750</w:t>
            </w:r>
          </w:p>
        </w:tc>
        <w:tc>
          <w:tcPr>
            <w:tcW w:w="1255" w:type="dxa"/>
            <w:shd w:val="clear" w:color="auto" w:fill="D9D9D9" w:themeFill="background1" w:themeFillShade="D9"/>
            <w:noWrap/>
            <w:vAlign w:val="bottom"/>
            <w:hideMark/>
          </w:tcPr>
          <w:p w14:paraId="02C5FCC5" w14:textId="77777777" w:rsidR="009A5621" w:rsidRPr="00933FF0" w:rsidRDefault="009A5621" w:rsidP="00933FF0">
            <w:pPr>
              <w:jc w:val="center"/>
              <w:rPr>
                <w:color w:val="000000"/>
              </w:rPr>
            </w:pPr>
            <w:r w:rsidRPr="00933FF0">
              <w:rPr>
                <w:color w:val="000000"/>
              </w:rPr>
              <w:t>7,79747</w:t>
            </w:r>
          </w:p>
        </w:tc>
        <w:tc>
          <w:tcPr>
            <w:tcW w:w="1263" w:type="dxa"/>
            <w:shd w:val="clear" w:color="auto" w:fill="D9D9D9" w:themeFill="background1" w:themeFillShade="D9"/>
            <w:noWrap/>
            <w:vAlign w:val="bottom"/>
            <w:hideMark/>
          </w:tcPr>
          <w:p w14:paraId="007EC904" w14:textId="77777777" w:rsidR="009A5621" w:rsidRPr="00933FF0" w:rsidRDefault="009A5621" w:rsidP="00933FF0">
            <w:pPr>
              <w:jc w:val="center"/>
              <w:rPr>
                <w:color w:val="000000"/>
              </w:rPr>
            </w:pPr>
            <w:r w:rsidRPr="00933FF0">
              <w:rPr>
                <w:color w:val="000000"/>
              </w:rPr>
              <w:t>6,33333</w:t>
            </w:r>
          </w:p>
        </w:tc>
        <w:tc>
          <w:tcPr>
            <w:tcW w:w="1734" w:type="dxa"/>
            <w:shd w:val="clear" w:color="auto" w:fill="D9D9D9" w:themeFill="background1" w:themeFillShade="D9"/>
            <w:noWrap/>
            <w:vAlign w:val="bottom"/>
            <w:hideMark/>
          </w:tcPr>
          <w:p w14:paraId="1AF261D2" w14:textId="77777777" w:rsidR="009A5621" w:rsidRPr="00933FF0" w:rsidRDefault="009A5621" w:rsidP="00933FF0">
            <w:pPr>
              <w:jc w:val="center"/>
              <w:rPr>
                <w:color w:val="000000"/>
              </w:rPr>
            </w:pPr>
            <w:r w:rsidRPr="00933FF0">
              <w:rPr>
                <w:color w:val="000000"/>
              </w:rPr>
              <w:t>2,85882</w:t>
            </w:r>
          </w:p>
        </w:tc>
      </w:tr>
      <w:tr w:rsidR="009A5621" w:rsidRPr="00933FF0" w14:paraId="0BC9F92F" w14:textId="77777777" w:rsidTr="004633E6">
        <w:trPr>
          <w:trHeight w:val="300"/>
        </w:trPr>
        <w:tc>
          <w:tcPr>
            <w:tcW w:w="3500" w:type="dxa"/>
            <w:shd w:val="clear" w:color="auto" w:fill="auto"/>
            <w:noWrap/>
            <w:vAlign w:val="bottom"/>
            <w:hideMark/>
          </w:tcPr>
          <w:p w14:paraId="00E7865B" w14:textId="77777777" w:rsidR="009A5621" w:rsidRPr="00933FF0" w:rsidRDefault="00933FF0" w:rsidP="009A5621">
            <w:pPr>
              <w:jc w:val="both"/>
              <w:rPr>
                <w:color w:val="000000"/>
              </w:rPr>
            </w:pPr>
            <w:r w:rsidRPr="00933FF0">
              <w:rPr>
                <w:color w:val="000000"/>
              </w:rPr>
              <w:t>Débito ICMS (Venda)</w:t>
            </w:r>
          </w:p>
        </w:tc>
        <w:tc>
          <w:tcPr>
            <w:tcW w:w="1335" w:type="dxa"/>
            <w:shd w:val="clear" w:color="auto" w:fill="auto"/>
            <w:noWrap/>
            <w:vAlign w:val="bottom"/>
            <w:hideMark/>
          </w:tcPr>
          <w:p w14:paraId="4D19FFF7" w14:textId="77777777" w:rsidR="009A5621" w:rsidRPr="00933FF0" w:rsidRDefault="009A5621" w:rsidP="00933FF0">
            <w:pPr>
              <w:jc w:val="center"/>
              <w:rPr>
                <w:color w:val="000000"/>
              </w:rPr>
            </w:pPr>
            <w:r w:rsidRPr="00933FF0">
              <w:rPr>
                <w:color w:val="000000"/>
              </w:rPr>
              <w:t>0,22050</w:t>
            </w:r>
          </w:p>
        </w:tc>
        <w:tc>
          <w:tcPr>
            <w:tcW w:w="1255" w:type="dxa"/>
            <w:shd w:val="clear" w:color="auto" w:fill="auto"/>
            <w:noWrap/>
            <w:vAlign w:val="bottom"/>
            <w:hideMark/>
          </w:tcPr>
          <w:p w14:paraId="797D7554" w14:textId="77777777" w:rsidR="009A5621" w:rsidRPr="00933FF0" w:rsidRDefault="009A5621" w:rsidP="00933FF0">
            <w:pPr>
              <w:jc w:val="center"/>
              <w:rPr>
                <w:color w:val="000000"/>
              </w:rPr>
            </w:pPr>
            <w:r w:rsidRPr="00933FF0">
              <w:rPr>
                <w:color w:val="000000"/>
              </w:rPr>
              <w:t>0,93570</w:t>
            </w:r>
          </w:p>
        </w:tc>
        <w:tc>
          <w:tcPr>
            <w:tcW w:w="1263" w:type="dxa"/>
            <w:shd w:val="clear" w:color="auto" w:fill="auto"/>
            <w:noWrap/>
            <w:vAlign w:val="bottom"/>
            <w:hideMark/>
          </w:tcPr>
          <w:p w14:paraId="5D0B1193" w14:textId="77777777" w:rsidR="009A5621" w:rsidRPr="00933FF0" w:rsidRDefault="009A5621" w:rsidP="00933FF0">
            <w:pPr>
              <w:jc w:val="center"/>
              <w:rPr>
                <w:color w:val="000000"/>
              </w:rPr>
            </w:pPr>
            <w:r w:rsidRPr="00933FF0">
              <w:rPr>
                <w:color w:val="000000"/>
              </w:rPr>
              <w:t>0,76000</w:t>
            </w:r>
          </w:p>
        </w:tc>
        <w:tc>
          <w:tcPr>
            <w:tcW w:w="1734" w:type="dxa"/>
            <w:shd w:val="clear" w:color="auto" w:fill="auto"/>
            <w:noWrap/>
            <w:vAlign w:val="bottom"/>
            <w:hideMark/>
          </w:tcPr>
          <w:p w14:paraId="0CAE0A33" w14:textId="77777777" w:rsidR="009A5621" w:rsidRPr="00933FF0" w:rsidRDefault="009A5621" w:rsidP="00933FF0">
            <w:pPr>
              <w:jc w:val="center"/>
              <w:rPr>
                <w:color w:val="000000"/>
              </w:rPr>
            </w:pPr>
            <w:r w:rsidRPr="00933FF0">
              <w:rPr>
                <w:color w:val="000000"/>
              </w:rPr>
              <w:t>0,34306</w:t>
            </w:r>
          </w:p>
        </w:tc>
      </w:tr>
      <w:tr w:rsidR="009A5621" w:rsidRPr="00933FF0" w14:paraId="524E00A5" w14:textId="77777777" w:rsidTr="004633E6">
        <w:trPr>
          <w:trHeight w:val="300"/>
        </w:trPr>
        <w:tc>
          <w:tcPr>
            <w:tcW w:w="3500" w:type="dxa"/>
            <w:shd w:val="clear" w:color="auto" w:fill="D9D9D9" w:themeFill="background1" w:themeFillShade="D9"/>
            <w:noWrap/>
            <w:vAlign w:val="bottom"/>
            <w:hideMark/>
          </w:tcPr>
          <w:p w14:paraId="5E692B75" w14:textId="77777777" w:rsidR="009A5621" w:rsidRPr="00933FF0" w:rsidRDefault="00933FF0" w:rsidP="009A5621">
            <w:pPr>
              <w:jc w:val="both"/>
              <w:rPr>
                <w:color w:val="000000"/>
              </w:rPr>
            </w:pPr>
            <w:r w:rsidRPr="00933FF0">
              <w:rPr>
                <w:color w:val="000000"/>
              </w:rPr>
              <w:t>ICMS a Recolher</w:t>
            </w:r>
          </w:p>
        </w:tc>
        <w:tc>
          <w:tcPr>
            <w:tcW w:w="1335" w:type="dxa"/>
            <w:shd w:val="clear" w:color="auto" w:fill="D9D9D9" w:themeFill="background1" w:themeFillShade="D9"/>
            <w:noWrap/>
            <w:vAlign w:val="bottom"/>
            <w:hideMark/>
          </w:tcPr>
          <w:p w14:paraId="03B507DE" w14:textId="77777777" w:rsidR="009A5621" w:rsidRPr="00933FF0" w:rsidRDefault="009A5621" w:rsidP="00933FF0">
            <w:pPr>
              <w:jc w:val="center"/>
              <w:rPr>
                <w:color w:val="000000"/>
              </w:rPr>
            </w:pPr>
            <w:r w:rsidRPr="00933FF0">
              <w:rPr>
                <w:color w:val="000000"/>
              </w:rPr>
              <w:t>0,04410</w:t>
            </w:r>
          </w:p>
        </w:tc>
        <w:tc>
          <w:tcPr>
            <w:tcW w:w="1255" w:type="dxa"/>
            <w:shd w:val="clear" w:color="auto" w:fill="D9D9D9" w:themeFill="background1" w:themeFillShade="D9"/>
            <w:noWrap/>
            <w:vAlign w:val="bottom"/>
            <w:hideMark/>
          </w:tcPr>
          <w:p w14:paraId="52FB7363" w14:textId="77777777" w:rsidR="009A5621" w:rsidRPr="00933FF0" w:rsidRDefault="009A5621" w:rsidP="00933FF0">
            <w:pPr>
              <w:jc w:val="center"/>
              <w:rPr>
                <w:color w:val="000000"/>
              </w:rPr>
            </w:pPr>
            <w:r w:rsidRPr="00933FF0">
              <w:rPr>
                <w:color w:val="000000"/>
              </w:rPr>
              <w:t>0,19650</w:t>
            </w:r>
          </w:p>
        </w:tc>
        <w:tc>
          <w:tcPr>
            <w:tcW w:w="1263" w:type="dxa"/>
            <w:shd w:val="clear" w:color="auto" w:fill="D9D9D9" w:themeFill="background1" w:themeFillShade="D9"/>
            <w:noWrap/>
            <w:vAlign w:val="bottom"/>
            <w:hideMark/>
          </w:tcPr>
          <w:p w14:paraId="13868F75" w14:textId="77777777" w:rsidR="009A5621" w:rsidRPr="00933FF0" w:rsidRDefault="009A5621" w:rsidP="00933FF0">
            <w:pPr>
              <w:jc w:val="center"/>
              <w:rPr>
                <w:color w:val="000000"/>
              </w:rPr>
            </w:pPr>
            <w:r w:rsidRPr="00933FF0">
              <w:rPr>
                <w:color w:val="000000"/>
              </w:rPr>
              <w:t>0,19000</w:t>
            </w:r>
          </w:p>
        </w:tc>
        <w:tc>
          <w:tcPr>
            <w:tcW w:w="1734" w:type="dxa"/>
            <w:shd w:val="clear" w:color="auto" w:fill="D9D9D9" w:themeFill="background1" w:themeFillShade="D9"/>
            <w:noWrap/>
            <w:vAlign w:val="bottom"/>
            <w:hideMark/>
          </w:tcPr>
          <w:p w14:paraId="2C3A43F6" w14:textId="77777777" w:rsidR="009A5621" w:rsidRPr="00933FF0" w:rsidRDefault="009A5621" w:rsidP="00933FF0">
            <w:pPr>
              <w:jc w:val="center"/>
              <w:rPr>
                <w:color w:val="000000"/>
              </w:rPr>
            </w:pPr>
            <w:r w:rsidRPr="00933FF0">
              <w:rPr>
                <w:color w:val="000000"/>
              </w:rPr>
              <w:t>0,05146</w:t>
            </w:r>
          </w:p>
        </w:tc>
      </w:tr>
      <w:tr w:rsidR="009A5621" w:rsidRPr="00933FF0" w14:paraId="38DA9F77" w14:textId="77777777" w:rsidTr="004633E6">
        <w:trPr>
          <w:trHeight w:val="300"/>
        </w:trPr>
        <w:tc>
          <w:tcPr>
            <w:tcW w:w="3500" w:type="dxa"/>
            <w:shd w:val="clear" w:color="auto" w:fill="A6A6A6" w:themeFill="background1" w:themeFillShade="A6"/>
            <w:noWrap/>
            <w:vAlign w:val="bottom"/>
            <w:hideMark/>
          </w:tcPr>
          <w:p w14:paraId="157B9056" w14:textId="77777777" w:rsidR="009A5621" w:rsidRPr="00933FF0" w:rsidRDefault="00933FF0" w:rsidP="009A5621">
            <w:pPr>
              <w:jc w:val="both"/>
              <w:rPr>
                <w:color w:val="000000"/>
              </w:rPr>
            </w:pPr>
            <w:r w:rsidRPr="00933FF0">
              <w:rPr>
                <w:color w:val="000000"/>
              </w:rPr>
              <w:t>Lucro Supermercado</w:t>
            </w:r>
          </w:p>
        </w:tc>
        <w:tc>
          <w:tcPr>
            <w:tcW w:w="1335" w:type="dxa"/>
            <w:shd w:val="clear" w:color="auto" w:fill="A6A6A6" w:themeFill="background1" w:themeFillShade="A6"/>
            <w:noWrap/>
            <w:vAlign w:val="bottom"/>
            <w:hideMark/>
          </w:tcPr>
          <w:p w14:paraId="405CF747" w14:textId="77777777" w:rsidR="009A5621" w:rsidRPr="00933FF0" w:rsidRDefault="009A5621" w:rsidP="00933FF0">
            <w:pPr>
              <w:jc w:val="center"/>
              <w:rPr>
                <w:color w:val="000000"/>
              </w:rPr>
            </w:pPr>
            <w:r w:rsidRPr="00933FF0">
              <w:rPr>
                <w:color w:val="000000"/>
              </w:rPr>
              <w:t>0,32340</w:t>
            </w:r>
          </w:p>
        </w:tc>
        <w:tc>
          <w:tcPr>
            <w:tcW w:w="1255" w:type="dxa"/>
            <w:shd w:val="clear" w:color="auto" w:fill="A6A6A6" w:themeFill="background1" w:themeFillShade="A6"/>
            <w:noWrap/>
            <w:vAlign w:val="bottom"/>
            <w:hideMark/>
          </w:tcPr>
          <w:p w14:paraId="498735EF" w14:textId="77777777" w:rsidR="009A5621" w:rsidRPr="00933FF0" w:rsidRDefault="009A5621" w:rsidP="00933FF0">
            <w:pPr>
              <w:jc w:val="center"/>
              <w:rPr>
                <w:color w:val="000000"/>
              </w:rPr>
            </w:pPr>
            <w:r w:rsidRPr="00933FF0">
              <w:rPr>
                <w:color w:val="000000"/>
              </w:rPr>
              <w:t>1,44097</w:t>
            </w:r>
          </w:p>
        </w:tc>
        <w:tc>
          <w:tcPr>
            <w:tcW w:w="1263" w:type="dxa"/>
            <w:shd w:val="clear" w:color="auto" w:fill="A6A6A6" w:themeFill="background1" w:themeFillShade="A6"/>
            <w:noWrap/>
            <w:vAlign w:val="bottom"/>
            <w:hideMark/>
          </w:tcPr>
          <w:p w14:paraId="632CF52D" w14:textId="77777777" w:rsidR="009A5621" w:rsidRPr="00933FF0" w:rsidRDefault="009A5621" w:rsidP="00933FF0">
            <w:pPr>
              <w:jc w:val="center"/>
              <w:rPr>
                <w:color w:val="000000"/>
              </w:rPr>
            </w:pPr>
            <w:r w:rsidRPr="00933FF0">
              <w:rPr>
                <w:color w:val="000000"/>
              </w:rPr>
              <w:t>1,39333</w:t>
            </w:r>
          </w:p>
        </w:tc>
        <w:tc>
          <w:tcPr>
            <w:tcW w:w="1734" w:type="dxa"/>
            <w:shd w:val="clear" w:color="auto" w:fill="A6A6A6" w:themeFill="background1" w:themeFillShade="A6"/>
            <w:noWrap/>
            <w:vAlign w:val="bottom"/>
            <w:hideMark/>
          </w:tcPr>
          <w:p w14:paraId="4EC6BA01" w14:textId="77777777" w:rsidR="009A5621" w:rsidRPr="00933FF0" w:rsidRDefault="009A5621" w:rsidP="00933FF0">
            <w:pPr>
              <w:jc w:val="center"/>
              <w:rPr>
                <w:color w:val="000000"/>
              </w:rPr>
            </w:pPr>
            <w:r w:rsidRPr="00933FF0">
              <w:rPr>
                <w:color w:val="000000"/>
              </w:rPr>
              <w:t>0,37736</w:t>
            </w:r>
          </w:p>
        </w:tc>
      </w:tr>
    </w:tbl>
    <w:p w14:paraId="36246FAC" w14:textId="77777777" w:rsidR="009A5621" w:rsidRPr="00BA49A2" w:rsidRDefault="009A5621" w:rsidP="009A5621">
      <w:pPr>
        <w:jc w:val="both"/>
        <w:rPr>
          <w:sz w:val="24"/>
          <w:szCs w:val="24"/>
        </w:rPr>
      </w:pPr>
    </w:p>
    <w:p w14:paraId="2EDCF25A" w14:textId="77777777" w:rsidR="009A5621" w:rsidRPr="00BA49A2" w:rsidRDefault="00933FF0" w:rsidP="009A5621">
      <w:pPr>
        <w:ind w:firstLine="709"/>
        <w:jc w:val="both"/>
        <w:rPr>
          <w:sz w:val="24"/>
          <w:szCs w:val="24"/>
        </w:rPr>
      </w:pPr>
      <w:r>
        <w:rPr>
          <w:sz w:val="24"/>
          <w:szCs w:val="24"/>
        </w:rPr>
        <w:t xml:space="preserve">A Tabela </w:t>
      </w:r>
      <w:r w:rsidR="009A5621" w:rsidRPr="00BA49A2">
        <w:rPr>
          <w:sz w:val="24"/>
          <w:szCs w:val="24"/>
        </w:rPr>
        <w:t>5 apresenta os valores pagos pelo contribuinte após a desoneração do ICMS-ST, considerando o regime não cumulativo do supermercado para o cálculo do ICMS. Apresentando também a formação do preço de venda sugerido para o consumidor final sendo aplicada a mesma margem de lucro do cálculo com ICMS-ST.</w:t>
      </w:r>
    </w:p>
    <w:p w14:paraId="6D4A2A81" w14:textId="77777777" w:rsidR="009A5621" w:rsidRPr="00BA49A2" w:rsidRDefault="009A5621" w:rsidP="009A5621">
      <w:pPr>
        <w:ind w:firstLine="709"/>
        <w:jc w:val="both"/>
        <w:rPr>
          <w:sz w:val="24"/>
          <w:szCs w:val="24"/>
        </w:rPr>
      </w:pPr>
      <w:r w:rsidRPr="00BA49A2">
        <w:rPr>
          <w:sz w:val="24"/>
          <w:szCs w:val="24"/>
        </w:rPr>
        <w:t xml:space="preserve"> Comparando os valores pagos pelo Supermercado nas duas formas de recolhimento do tributo, foi elaborado </w:t>
      </w:r>
      <w:r w:rsidR="00866963">
        <w:rPr>
          <w:sz w:val="24"/>
          <w:szCs w:val="24"/>
        </w:rPr>
        <w:t>a Tabela 6.</w:t>
      </w:r>
    </w:p>
    <w:p w14:paraId="514D7F76" w14:textId="77777777" w:rsidR="009A5621" w:rsidRPr="00BA49A2" w:rsidRDefault="009A5621" w:rsidP="009A5621">
      <w:pPr>
        <w:jc w:val="both"/>
        <w:rPr>
          <w:sz w:val="24"/>
          <w:szCs w:val="24"/>
        </w:rPr>
      </w:pPr>
    </w:p>
    <w:p w14:paraId="251FC196" w14:textId="77777777" w:rsidR="00933FF0" w:rsidRPr="00933FF0" w:rsidRDefault="00933FF0" w:rsidP="009A5621">
      <w:pPr>
        <w:jc w:val="both"/>
        <w:rPr>
          <w:sz w:val="24"/>
          <w:szCs w:val="24"/>
        </w:rPr>
      </w:pPr>
      <w:r w:rsidRPr="00933FF0">
        <w:rPr>
          <w:sz w:val="24"/>
          <w:szCs w:val="24"/>
        </w:rPr>
        <w:t>Tabela</w:t>
      </w:r>
      <w:r w:rsidR="009A5621" w:rsidRPr="00933FF0">
        <w:rPr>
          <w:sz w:val="24"/>
          <w:szCs w:val="24"/>
        </w:rPr>
        <w:t xml:space="preserve"> 6</w:t>
      </w:r>
    </w:p>
    <w:p w14:paraId="4E526AA9" w14:textId="77777777" w:rsidR="009A5621" w:rsidRPr="00BA49A2" w:rsidRDefault="009A5621" w:rsidP="009A5621">
      <w:pPr>
        <w:jc w:val="both"/>
        <w:rPr>
          <w:b/>
          <w:sz w:val="24"/>
          <w:szCs w:val="24"/>
        </w:rPr>
      </w:pPr>
      <w:r w:rsidRPr="00BA49A2">
        <w:rPr>
          <w:b/>
          <w:sz w:val="24"/>
          <w:szCs w:val="24"/>
        </w:rPr>
        <w:t>Comparativo dos impostos recolhido pelo contribuinte</w:t>
      </w:r>
    </w:p>
    <w:tbl>
      <w:tblPr>
        <w:tblW w:w="9087" w:type="dxa"/>
        <w:tblInd w:w="5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567"/>
        <w:gridCol w:w="1559"/>
        <w:gridCol w:w="1276"/>
        <w:gridCol w:w="1843"/>
        <w:gridCol w:w="1842"/>
      </w:tblGrid>
      <w:tr w:rsidR="009A5621" w:rsidRPr="00933FF0" w14:paraId="20E75BCD" w14:textId="77777777" w:rsidTr="00F332A1">
        <w:trPr>
          <w:trHeight w:val="315"/>
        </w:trPr>
        <w:tc>
          <w:tcPr>
            <w:tcW w:w="2567" w:type="dxa"/>
            <w:tcBorders>
              <w:top w:val="single" w:sz="4" w:space="0" w:color="auto"/>
              <w:bottom w:val="single" w:sz="4" w:space="0" w:color="auto"/>
            </w:tcBorders>
            <w:shd w:val="clear" w:color="auto" w:fill="FFFFFF" w:themeFill="background1"/>
            <w:noWrap/>
            <w:vAlign w:val="center"/>
            <w:hideMark/>
          </w:tcPr>
          <w:p w14:paraId="4AD2C70F" w14:textId="77777777" w:rsidR="009A5621" w:rsidRPr="00933FF0" w:rsidRDefault="00B71B4F" w:rsidP="00933FF0">
            <w:pPr>
              <w:jc w:val="center"/>
              <w:rPr>
                <w:b/>
                <w:bCs/>
                <w:color w:val="000000"/>
              </w:rPr>
            </w:pPr>
            <w:r w:rsidRPr="00933FF0">
              <w:rPr>
                <w:b/>
                <w:bCs/>
                <w:color w:val="000000"/>
              </w:rPr>
              <w:t>Recolhimento</w:t>
            </w:r>
          </w:p>
        </w:tc>
        <w:tc>
          <w:tcPr>
            <w:tcW w:w="1559" w:type="dxa"/>
            <w:tcBorders>
              <w:top w:val="single" w:sz="4" w:space="0" w:color="auto"/>
              <w:bottom w:val="single" w:sz="4" w:space="0" w:color="auto"/>
            </w:tcBorders>
            <w:shd w:val="clear" w:color="auto" w:fill="FFFFFF" w:themeFill="background1"/>
            <w:noWrap/>
            <w:vAlign w:val="center"/>
            <w:hideMark/>
          </w:tcPr>
          <w:p w14:paraId="132B7959" w14:textId="77777777" w:rsidR="009A5621" w:rsidRPr="00933FF0" w:rsidRDefault="00B71B4F" w:rsidP="00933FF0">
            <w:pPr>
              <w:jc w:val="center"/>
              <w:rPr>
                <w:b/>
                <w:bCs/>
                <w:color w:val="000000"/>
              </w:rPr>
            </w:pPr>
            <w:r w:rsidRPr="00933FF0">
              <w:rPr>
                <w:b/>
                <w:bCs/>
                <w:color w:val="000000"/>
              </w:rPr>
              <w:t>Açúcar</w:t>
            </w:r>
          </w:p>
        </w:tc>
        <w:tc>
          <w:tcPr>
            <w:tcW w:w="1276" w:type="dxa"/>
            <w:tcBorders>
              <w:top w:val="single" w:sz="4" w:space="0" w:color="auto"/>
              <w:bottom w:val="single" w:sz="4" w:space="0" w:color="auto"/>
            </w:tcBorders>
            <w:shd w:val="clear" w:color="auto" w:fill="FFFFFF" w:themeFill="background1"/>
            <w:noWrap/>
            <w:vAlign w:val="center"/>
            <w:hideMark/>
          </w:tcPr>
          <w:p w14:paraId="05DAF838" w14:textId="77777777" w:rsidR="009A5621" w:rsidRPr="00933FF0" w:rsidRDefault="00B71B4F" w:rsidP="00933FF0">
            <w:pPr>
              <w:jc w:val="center"/>
              <w:rPr>
                <w:b/>
                <w:bCs/>
                <w:color w:val="000000"/>
              </w:rPr>
            </w:pPr>
            <w:r w:rsidRPr="00933FF0">
              <w:rPr>
                <w:b/>
                <w:bCs/>
                <w:color w:val="000000"/>
              </w:rPr>
              <w:t>Café</w:t>
            </w:r>
          </w:p>
        </w:tc>
        <w:tc>
          <w:tcPr>
            <w:tcW w:w="1843" w:type="dxa"/>
            <w:tcBorders>
              <w:top w:val="single" w:sz="4" w:space="0" w:color="auto"/>
              <w:bottom w:val="single" w:sz="4" w:space="0" w:color="auto"/>
            </w:tcBorders>
            <w:shd w:val="clear" w:color="auto" w:fill="FFFFFF" w:themeFill="background1"/>
            <w:noWrap/>
            <w:vAlign w:val="center"/>
            <w:hideMark/>
          </w:tcPr>
          <w:p w14:paraId="3C712841" w14:textId="77777777" w:rsidR="009A5621" w:rsidRPr="00933FF0" w:rsidRDefault="00B71B4F" w:rsidP="00933FF0">
            <w:pPr>
              <w:jc w:val="center"/>
              <w:rPr>
                <w:b/>
                <w:bCs/>
                <w:color w:val="000000"/>
              </w:rPr>
            </w:pPr>
            <w:r w:rsidRPr="00933FF0">
              <w:rPr>
                <w:b/>
                <w:bCs/>
                <w:color w:val="000000"/>
              </w:rPr>
              <w:t>Manteiga</w:t>
            </w:r>
          </w:p>
        </w:tc>
        <w:tc>
          <w:tcPr>
            <w:tcW w:w="1842" w:type="dxa"/>
            <w:tcBorders>
              <w:top w:val="single" w:sz="4" w:space="0" w:color="auto"/>
              <w:bottom w:val="single" w:sz="4" w:space="0" w:color="auto"/>
            </w:tcBorders>
            <w:shd w:val="clear" w:color="auto" w:fill="FFFFFF" w:themeFill="background1"/>
            <w:noWrap/>
            <w:vAlign w:val="center"/>
            <w:hideMark/>
          </w:tcPr>
          <w:p w14:paraId="5C220A05" w14:textId="77777777" w:rsidR="009A5621" w:rsidRPr="00933FF0" w:rsidRDefault="00B71B4F" w:rsidP="00933FF0">
            <w:pPr>
              <w:jc w:val="center"/>
              <w:rPr>
                <w:b/>
                <w:bCs/>
                <w:color w:val="000000"/>
              </w:rPr>
            </w:pPr>
            <w:r w:rsidRPr="00933FF0">
              <w:rPr>
                <w:b/>
                <w:bCs/>
                <w:color w:val="000000"/>
              </w:rPr>
              <w:t xml:space="preserve">Óleo </w:t>
            </w:r>
            <w:r>
              <w:rPr>
                <w:b/>
                <w:bCs/>
                <w:color w:val="000000"/>
              </w:rPr>
              <w:t>d</w:t>
            </w:r>
            <w:r w:rsidRPr="00933FF0">
              <w:rPr>
                <w:b/>
                <w:bCs/>
                <w:color w:val="000000"/>
              </w:rPr>
              <w:t>e Soja</w:t>
            </w:r>
          </w:p>
        </w:tc>
      </w:tr>
      <w:tr w:rsidR="009A5621" w:rsidRPr="00933FF0" w14:paraId="5134C7CE" w14:textId="77777777" w:rsidTr="00F332A1">
        <w:trPr>
          <w:trHeight w:val="300"/>
        </w:trPr>
        <w:tc>
          <w:tcPr>
            <w:tcW w:w="2567" w:type="dxa"/>
            <w:tcBorders>
              <w:top w:val="single" w:sz="4" w:space="0" w:color="auto"/>
            </w:tcBorders>
            <w:shd w:val="clear" w:color="auto" w:fill="FFFFFF" w:themeFill="background1"/>
            <w:noWrap/>
            <w:vAlign w:val="bottom"/>
            <w:hideMark/>
          </w:tcPr>
          <w:p w14:paraId="66B99638" w14:textId="77777777" w:rsidR="009A5621" w:rsidRPr="00933FF0" w:rsidRDefault="009A5621" w:rsidP="009A5621">
            <w:pPr>
              <w:jc w:val="both"/>
              <w:rPr>
                <w:color w:val="000000"/>
              </w:rPr>
            </w:pPr>
            <w:r w:rsidRPr="00933FF0">
              <w:rPr>
                <w:color w:val="000000"/>
              </w:rPr>
              <w:t>ICMS-ST</w:t>
            </w:r>
          </w:p>
        </w:tc>
        <w:tc>
          <w:tcPr>
            <w:tcW w:w="1559" w:type="dxa"/>
            <w:tcBorders>
              <w:top w:val="single" w:sz="4" w:space="0" w:color="auto"/>
            </w:tcBorders>
            <w:shd w:val="clear" w:color="auto" w:fill="FFFFFF" w:themeFill="background1"/>
            <w:noWrap/>
            <w:vAlign w:val="bottom"/>
            <w:hideMark/>
          </w:tcPr>
          <w:p w14:paraId="78C4DEDF" w14:textId="77777777" w:rsidR="009A5621" w:rsidRPr="00933FF0" w:rsidRDefault="009A5621" w:rsidP="00933FF0">
            <w:pPr>
              <w:jc w:val="center"/>
              <w:rPr>
                <w:color w:val="000000"/>
              </w:rPr>
            </w:pPr>
            <w:r w:rsidRPr="00933FF0">
              <w:rPr>
                <w:color w:val="000000"/>
              </w:rPr>
              <w:t>0,03352</w:t>
            </w:r>
          </w:p>
        </w:tc>
        <w:tc>
          <w:tcPr>
            <w:tcW w:w="1276" w:type="dxa"/>
            <w:tcBorders>
              <w:top w:val="single" w:sz="4" w:space="0" w:color="auto"/>
            </w:tcBorders>
            <w:shd w:val="clear" w:color="auto" w:fill="FFFFFF" w:themeFill="background1"/>
            <w:noWrap/>
            <w:vAlign w:val="bottom"/>
            <w:hideMark/>
          </w:tcPr>
          <w:p w14:paraId="33A70CDF" w14:textId="77777777" w:rsidR="009A5621" w:rsidRPr="00933FF0" w:rsidRDefault="009A5621" w:rsidP="00933FF0">
            <w:pPr>
              <w:jc w:val="center"/>
              <w:rPr>
                <w:color w:val="000000"/>
              </w:rPr>
            </w:pPr>
            <w:r w:rsidRPr="00933FF0">
              <w:rPr>
                <w:color w:val="000000"/>
              </w:rPr>
              <w:t>0,08131</w:t>
            </w:r>
          </w:p>
        </w:tc>
        <w:tc>
          <w:tcPr>
            <w:tcW w:w="1843" w:type="dxa"/>
            <w:tcBorders>
              <w:top w:val="single" w:sz="4" w:space="0" w:color="auto"/>
            </w:tcBorders>
            <w:shd w:val="clear" w:color="auto" w:fill="FFFFFF" w:themeFill="background1"/>
            <w:noWrap/>
            <w:vAlign w:val="bottom"/>
            <w:hideMark/>
          </w:tcPr>
          <w:p w14:paraId="2AA5843B" w14:textId="77777777" w:rsidR="009A5621" w:rsidRPr="00933FF0" w:rsidRDefault="009A5621" w:rsidP="00933FF0">
            <w:pPr>
              <w:jc w:val="center"/>
              <w:rPr>
                <w:color w:val="000000"/>
              </w:rPr>
            </w:pPr>
            <w:r w:rsidRPr="00933FF0">
              <w:rPr>
                <w:color w:val="000000"/>
              </w:rPr>
              <w:t>0,19380</w:t>
            </w:r>
          </w:p>
        </w:tc>
        <w:tc>
          <w:tcPr>
            <w:tcW w:w="1842" w:type="dxa"/>
            <w:tcBorders>
              <w:top w:val="single" w:sz="4" w:space="0" w:color="auto"/>
            </w:tcBorders>
            <w:shd w:val="clear" w:color="auto" w:fill="FFFFFF" w:themeFill="background1"/>
            <w:noWrap/>
            <w:vAlign w:val="bottom"/>
            <w:hideMark/>
          </w:tcPr>
          <w:p w14:paraId="2ACE8E45" w14:textId="77777777" w:rsidR="009A5621" w:rsidRPr="00933FF0" w:rsidRDefault="009A5621" w:rsidP="00933FF0">
            <w:pPr>
              <w:jc w:val="center"/>
              <w:rPr>
                <w:color w:val="000000"/>
              </w:rPr>
            </w:pPr>
            <w:r w:rsidRPr="00933FF0">
              <w:rPr>
                <w:color w:val="000000"/>
              </w:rPr>
              <w:t>0,04957</w:t>
            </w:r>
          </w:p>
        </w:tc>
      </w:tr>
      <w:tr w:rsidR="009A5621" w:rsidRPr="00933FF0" w14:paraId="7A6446F4" w14:textId="77777777" w:rsidTr="00933FF0">
        <w:trPr>
          <w:trHeight w:val="300"/>
        </w:trPr>
        <w:tc>
          <w:tcPr>
            <w:tcW w:w="2567" w:type="dxa"/>
            <w:shd w:val="clear" w:color="auto" w:fill="FFFFFF" w:themeFill="background1"/>
            <w:noWrap/>
            <w:vAlign w:val="bottom"/>
            <w:hideMark/>
          </w:tcPr>
          <w:p w14:paraId="70E20266" w14:textId="77777777" w:rsidR="009A5621" w:rsidRPr="00933FF0" w:rsidRDefault="009A5621" w:rsidP="009A5621">
            <w:pPr>
              <w:jc w:val="both"/>
              <w:rPr>
                <w:color w:val="000000"/>
              </w:rPr>
            </w:pPr>
            <w:r w:rsidRPr="00933FF0">
              <w:rPr>
                <w:color w:val="000000"/>
              </w:rPr>
              <w:t xml:space="preserve">ICMS </w:t>
            </w:r>
            <w:r w:rsidR="00933FF0" w:rsidRPr="00933FF0">
              <w:rPr>
                <w:color w:val="000000"/>
              </w:rPr>
              <w:t>sem</w:t>
            </w:r>
            <w:r w:rsidRPr="00933FF0">
              <w:rPr>
                <w:color w:val="000000"/>
              </w:rPr>
              <w:t xml:space="preserve"> ST</w:t>
            </w:r>
          </w:p>
        </w:tc>
        <w:tc>
          <w:tcPr>
            <w:tcW w:w="1559" w:type="dxa"/>
            <w:shd w:val="clear" w:color="auto" w:fill="FFFFFF" w:themeFill="background1"/>
            <w:noWrap/>
            <w:vAlign w:val="bottom"/>
            <w:hideMark/>
          </w:tcPr>
          <w:p w14:paraId="2982F7B8" w14:textId="77777777" w:rsidR="009A5621" w:rsidRPr="00933FF0" w:rsidRDefault="009A5621" w:rsidP="00933FF0">
            <w:pPr>
              <w:jc w:val="center"/>
              <w:rPr>
                <w:color w:val="000000"/>
              </w:rPr>
            </w:pPr>
            <w:r w:rsidRPr="00933FF0">
              <w:rPr>
                <w:color w:val="000000"/>
              </w:rPr>
              <w:t>0,04410</w:t>
            </w:r>
          </w:p>
        </w:tc>
        <w:tc>
          <w:tcPr>
            <w:tcW w:w="1276" w:type="dxa"/>
            <w:shd w:val="clear" w:color="auto" w:fill="FFFFFF" w:themeFill="background1"/>
            <w:noWrap/>
            <w:vAlign w:val="bottom"/>
            <w:hideMark/>
          </w:tcPr>
          <w:p w14:paraId="206620A4" w14:textId="77777777" w:rsidR="009A5621" w:rsidRPr="00933FF0" w:rsidRDefault="009A5621" w:rsidP="00933FF0">
            <w:pPr>
              <w:jc w:val="center"/>
              <w:rPr>
                <w:color w:val="000000"/>
              </w:rPr>
            </w:pPr>
            <w:r w:rsidRPr="00933FF0">
              <w:rPr>
                <w:color w:val="000000"/>
              </w:rPr>
              <w:t>0,19650</w:t>
            </w:r>
          </w:p>
        </w:tc>
        <w:tc>
          <w:tcPr>
            <w:tcW w:w="1843" w:type="dxa"/>
            <w:shd w:val="clear" w:color="auto" w:fill="FFFFFF" w:themeFill="background1"/>
            <w:noWrap/>
            <w:vAlign w:val="bottom"/>
            <w:hideMark/>
          </w:tcPr>
          <w:p w14:paraId="08FF0268" w14:textId="77777777" w:rsidR="009A5621" w:rsidRPr="00933FF0" w:rsidRDefault="009A5621" w:rsidP="00933FF0">
            <w:pPr>
              <w:jc w:val="center"/>
              <w:rPr>
                <w:color w:val="000000"/>
              </w:rPr>
            </w:pPr>
            <w:r w:rsidRPr="00933FF0">
              <w:rPr>
                <w:color w:val="000000"/>
              </w:rPr>
              <w:t>0,19000</w:t>
            </w:r>
          </w:p>
        </w:tc>
        <w:tc>
          <w:tcPr>
            <w:tcW w:w="1842" w:type="dxa"/>
            <w:shd w:val="clear" w:color="auto" w:fill="FFFFFF" w:themeFill="background1"/>
            <w:noWrap/>
            <w:vAlign w:val="bottom"/>
            <w:hideMark/>
          </w:tcPr>
          <w:p w14:paraId="3A0C068E" w14:textId="77777777" w:rsidR="009A5621" w:rsidRPr="00933FF0" w:rsidRDefault="009A5621" w:rsidP="00933FF0">
            <w:pPr>
              <w:jc w:val="center"/>
              <w:rPr>
                <w:color w:val="000000"/>
              </w:rPr>
            </w:pPr>
            <w:r w:rsidRPr="00933FF0">
              <w:rPr>
                <w:color w:val="000000"/>
              </w:rPr>
              <w:t>0,05146</w:t>
            </w:r>
          </w:p>
        </w:tc>
      </w:tr>
      <w:tr w:rsidR="009A5621" w:rsidRPr="00933FF0" w14:paraId="758CB001" w14:textId="77777777" w:rsidTr="00933FF0">
        <w:trPr>
          <w:trHeight w:val="300"/>
        </w:trPr>
        <w:tc>
          <w:tcPr>
            <w:tcW w:w="2567" w:type="dxa"/>
            <w:shd w:val="clear" w:color="auto" w:fill="FFFFFF" w:themeFill="background1"/>
            <w:noWrap/>
            <w:vAlign w:val="bottom"/>
            <w:hideMark/>
          </w:tcPr>
          <w:p w14:paraId="740308E1" w14:textId="77777777" w:rsidR="009A5621" w:rsidRPr="00933FF0" w:rsidRDefault="00933FF0" w:rsidP="009A5621">
            <w:pPr>
              <w:jc w:val="both"/>
              <w:rPr>
                <w:color w:val="000000"/>
              </w:rPr>
            </w:pPr>
            <w:r w:rsidRPr="00933FF0">
              <w:rPr>
                <w:color w:val="000000"/>
              </w:rPr>
              <w:t xml:space="preserve">Diferença </w:t>
            </w:r>
          </w:p>
        </w:tc>
        <w:tc>
          <w:tcPr>
            <w:tcW w:w="1559" w:type="dxa"/>
            <w:shd w:val="clear" w:color="auto" w:fill="FFFFFF" w:themeFill="background1"/>
            <w:noWrap/>
            <w:vAlign w:val="bottom"/>
            <w:hideMark/>
          </w:tcPr>
          <w:p w14:paraId="3378A4E3" w14:textId="77777777" w:rsidR="009A5621" w:rsidRPr="00933FF0" w:rsidRDefault="009A5621" w:rsidP="00933FF0">
            <w:pPr>
              <w:jc w:val="center"/>
              <w:rPr>
                <w:color w:val="000000"/>
              </w:rPr>
            </w:pPr>
            <w:r w:rsidRPr="00933FF0">
              <w:rPr>
                <w:color w:val="000000"/>
              </w:rPr>
              <w:t>0,01058</w:t>
            </w:r>
          </w:p>
        </w:tc>
        <w:tc>
          <w:tcPr>
            <w:tcW w:w="1276" w:type="dxa"/>
            <w:shd w:val="clear" w:color="auto" w:fill="FFFFFF" w:themeFill="background1"/>
            <w:noWrap/>
            <w:vAlign w:val="bottom"/>
            <w:hideMark/>
          </w:tcPr>
          <w:p w14:paraId="365A69C3" w14:textId="77777777" w:rsidR="009A5621" w:rsidRPr="00933FF0" w:rsidRDefault="009A5621" w:rsidP="00933FF0">
            <w:pPr>
              <w:jc w:val="center"/>
              <w:rPr>
                <w:color w:val="000000"/>
              </w:rPr>
            </w:pPr>
            <w:r w:rsidRPr="00933FF0">
              <w:rPr>
                <w:color w:val="000000"/>
              </w:rPr>
              <w:t>0,11518</w:t>
            </w:r>
          </w:p>
        </w:tc>
        <w:tc>
          <w:tcPr>
            <w:tcW w:w="1843" w:type="dxa"/>
            <w:shd w:val="clear" w:color="auto" w:fill="FFFFFF" w:themeFill="background1"/>
            <w:noWrap/>
            <w:vAlign w:val="bottom"/>
            <w:hideMark/>
          </w:tcPr>
          <w:p w14:paraId="45983AC0" w14:textId="77777777" w:rsidR="009A5621" w:rsidRPr="00933FF0" w:rsidRDefault="009A5621" w:rsidP="00933FF0">
            <w:pPr>
              <w:jc w:val="center"/>
              <w:rPr>
                <w:color w:val="000000"/>
              </w:rPr>
            </w:pPr>
            <w:r w:rsidRPr="00933FF0">
              <w:rPr>
                <w:color w:val="000000"/>
              </w:rPr>
              <w:t>-0,00380</w:t>
            </w:r>
          </w:p>
        </w:tc>
        <w:tc>
          <w:tcPr>
            <w:tcW w:w="1842" w:type="dxa"/>
            <w:shd w:val="clear" w:color="auto" w:fill="FFFFFF" w:themeFill="background1"/>
            <w:noWrap/>
            <w:vAlign w:val="bottom"/>
            <w:hideMark/>
          </w:tcPr>
          <w:p w14:paraId="7C12BA94" w14:textId="77777777" w:rsidR="009A5621" w:rsidRPr="00933FF0" w:rsidRDefault="009A5621" w:rsidP="00933FF0">
            <w:pPr>
              <w:jc w:val="center"/>
              <w:rPr>
                <w:color w:val="000000"/>
              </w:rPr>
            </w:pPr>
            <w:r w:rsidRPr="00933FF0">
              <w:rPr>
                <w:color w:val="000000"/>
              </w:rPr>
              <w:t>0,00189</w:t>
            </w:r>
          </w:p>
        </w:tc>
      </w:tr>
      <w:tr w:rsidR="009A5621" w:rsidRPr="00933FF0" w14:paraId="0D8CC3C0" w14:textId="77777777" w:rsidTr="00933FF0">
        <w:trPr>
          <w:trHeight w:val="300"/>
        </w:trPr>
        <w:tc>
          <w:tcPr>
            <w:tcW w:w="2567" w:type="dxa"/>
            <w:shd w:val="clear" w:color="auto" w:fill="FFFFFF" w:themeFill="background1"/>
            <w:noWrap/>
            <w:vAlign w:val="bottom"/>
            <w:hideMark/>
          </w:tcPr>
          <w:p w14:paraId="31491A77" w14:textId="77777777" w:rsidR="009A5621" w:rsidRPr="00933FF0" w:rsidRDefault="00933FF0" w:rsidP="009A5621">
            <w:pPr>
              <w:jc w:val="both"/>
              <w:rPr>
                <w:color w:val="000000"/>
              </w:rPr>
            </w:pPr>
            <w:r w:rsidRPr="00933FF0">
              <w:rPr>
                <w:color w:val="000000"/>
              </w:rPr>
              <w:t>Diferença %</w:t>
            </w:r>
          </w:p>
        </w:tc>
        <w:tc>
          <w:tcPr>
            <w:tcW w:w="1559" w:type="dxa"/>
            <w:shd w:val="clear" w:color="auto" w:fill="FFFFFF" w:themeFill="background1"/>
            <w:noWrap/>
            <w:vAlign w:val="bottom"/>
            <w:hideMark/>
          </w:tcPr>
          <w:p w14:paraId="5C8903B2" w14:textId="77777777" w:rsidR="009A5621" w:rsidRPr="00933FF0" w:rsidRDefault="009A5621" w:rsidP="00933FF0">
            <w:pPr>
              <w:jc w:val="center"/>
              <w:rPr>
                <w:color w:val="000000"/>
              </w:rPr>
            </w:pPr>
            <w:r w:rsidRPr="00933FF0">
              <w:rPr>
                <w:color w:val="000000"/>
              </w:rPr>
              <w:t>31,58%</w:t>
            </w:r>
          </w:p>
        </w:tc>
        <w:tc>
          <w:tcPr>
            <w:tcW w:w="1276" w:type="dxa"/>
            <w:shd w:val="clear" w:color="auto" w:fill="FFFFFF" w:themeFill="background1"/>
            <w:noWrap/>
            <w:vAlign w:val="bottom"/>
            <w:hideMark/>
          </w:tcPr>
          <w:p w14:paraId="0F5FB3E9" w14:textId="77777777" w:rsidR="009A5621" w:rsidRPr="00933FF0" w:rsidRDefault="009A5621" w:rsidP="00933FF0">
            <w:pPr>
              <w:jc w:val="center"/>
              <w:rPr>
                <w:color w:val="000000"/>
              </w:rPr>
            </w:pPr>
            <w:r w:rsidRPr="00933FF0">
              <w:rPr>
                <w:color w:val="000000"/>
              </w:rPr>
              <w:t>141,66%</w:t>
            </w:r>
          </w:p>
        </w:tc>
        <w:tc>
          <w:tcPr>
            <w:tcW w:w="1843" w:type="dxa"/>
            <w:shd w:val="clear" w:color="auto" w:fill="FFFFFF" w:themeFill="background1"/>
            <w:noWrap/>
            <w:vAlign w:val="bottom"/>
            <w:hideMark/>
          </w:tcPr>
          <w:p w14:paraId="6585A8DD" w14:textId="77777777" w:rsidR="009A5621" w:rsidRPr="00933FF0" w:rsidRDefault="009A5621" w:rsidP="00933FF0">
            <w:pPr>
              <w:jc w:val="center"/>
              <w:rPr>
                <w:color w:val="000000"/>
              </w:rPr>
            </w:pPr>
            <w:r w:rsidRPr="00933FF0">
              <w:rPr>
                <w:color w:val="000000"/>
              </w:rPr>
              <w:t>-1,96%</w:t>
            </w:r>
          </w:p>
        </w:tc>
        <w:tc>
          <w:tcPr>
            <w:tcW w:w="1842" w:type="dxa"/>
            <w:shd w:val="clear" w:color="auto" w:fill="FFFFFF" w:themeFill="background1"/>
            <w:noWrap/>
            <w:vAlign w:val="bottom"/>
            <w:hideMark/>
          </w:tcPr>
          <w:p w14:paraId="53AC2177" w14:textId="77777777" w:rsidR="009A5621" w:rsidRPr="00933FF0" w:rsidRDefault="009A5621" w:rsidP="00933FF0">
            <w:pPr>
              <w:jc w:val="center"/>
              <w:rPr>
                <w:color w:val="000000"/>
              </w:rPr>
            </w:pPr>
            <w:r w:rsidRPr="00933FF0">
              <w:rPr>
                <w:color w:val="000000"/>
              </w:rPr>
              <w:t>3,81%</w:t>
            </w:r>
          </w:p>
        </w:tc>
      </w:tr>
    </w:tbl>
    <w:p w14:paraId="6C3E5757" w14:textId="77777777" w:rsidR="009A5621" w:rsidRPr="00BA49A2" w:rsidRDefault="009A5621" w:rsidP="009A5621">
      <w:pPr>
        <w:tabs>
          <w:tab w:val="center" w:pos="4535"/>
        </w:tabs>
        <w:jc w:val="both"/>
        <w:rPr>
          <w:sz w:val="24"/>
          <w:szCs w:val="24"/>
        </w:rPr>
      </w:pPr>
    </w:p>
    <w:p w14:paraId="2EA9A675" w14:textId="77777777" w:rsidR="009A5621" w:rsidRPr="00BA49A2" w:rsidRDefault="009A5621" w:rsidP="009A5621">
      <w:pPr>
        <w:tabs>
          <w:tab w:val="center" w:pos="4535"/>
        </w:tabs>
        <w:ind w:firstLine="709"/>
        <w:jc w:val="both"/>
        <w:rPr>
          <w:sz w:val="24"/>
          <w:szCs w:val="24"/>
        </w:rPr>
      </w:pPr>
      <w:r w:rsidRPr="00BA49A2">
        <w:rPr>
          <w:sz w:val="24"/>
          <w:szCs w:val="24"/>
        </w:rPr>
        <w:lastRenderedPageBreak/>
        <w:t>Conforme demonstrado n</w:t>
      </w:r>
      <w:r w:rsidR="00933FF0">
        <w:rPr>
          <w:sz w:val="24"/>
          <w:szCs w:val="24"/>
        </w:rPr>
        <w:t>a</w:t>
      </w:r>
      <w:r w:rsidRPr="00BA49A2">
        <w:rPr>
          <w:sz w:val="24"/>
          <w:szCs w:val="24"/>
        </w:rPr>
        <w:t xml:space="preserve"> </w:t>
      </w:r>
      <w:r w:rsidR="00933FF0">
        <w:rPr>
          <w:sz w:val="24"/>
          <w:szCs w:val="24"/>
        </w:rPr>
        <w:t>Tabela</w:t>
      </w:r>
      <w:r w:rsidRPr="00BA49A2">
        <w:rPr>
          <w:sz w:val="24"/>
          <w:szCs w:val="24"/>
        </w:rPr>
        <w:t xml:space="preserve"> 6, foi verificado que na maioria dos itens selecionados, o valor do imposto recolhido pelo Supermercado foi maior no regime de ICMS normal, exceto a manteiga que apresentou uma queda de 1,96% no imposto recolhido após a revogação da ST. No restante dos itens o valor recolhido obteve um acréscimo de 31,58% no açúcar, 141,66% no café e 3,81% no óleo de soja.</w:t>
      </w:r>
    </w:p>
    <w:p w14:paraId="3D63A81A" w14:textId="77777777" w:rsidR="009A5621" w:rsidRPr="00BA49A2" w:rsidRDefault="009A5621" w:rsidP="009A5621">
      <w:pPr>
        <w:tabs>
          <w:tab w:val="center" w:pos="4535"/>
        </w:tabs>
        <w:ind w:firstLine="709"/>
        <w:jc w:val="both"/>
        <w:rPr>
          <w:sz w:val="24"/>
          <w:szCs w:val="24"/>
        </w:rPr>
      </w:pPr>
      <w:r w:rsidRPr="00BA49A2">
        <w:rPr>
          <w:sz w:val="24"/>
          <w:szCs w:val="24"/>
        </w:rPr>
        <w:t>Para a análise do impacto para o consumidor final foi elaborad</w:t>
      </w:r>
      <w:r w:rsidR="00933FF0">
        <w:rPr>
          <w:sz w:val="24"/>
          <w:szCs w:val="24"/>
        </w:rPr>
        <w:t>a a Tabela 7.</w:t>
      </w:r>
    </w:p>
    <w:p w14:paraId="3334BFDE" w14:textId="77777777" w:rsidR="009A5621" w:rsidRPr="00BA49A2" w:rsidRDefault="009A5621" w:rsidP="009A5621">
      <w:pPr>
        <w:tabs>
          <w:tab w:val="center" w:pos="4535"/>
        </w:tabs>
        <w:ind w:firstLine="709"/>
        <w:jc w:val="both"/>
        <w:rPr>
          <w:b/>
          <w:sz w:val="24"/>
          <w:szCs w:val="24"/>
        </w:rPr>
      </w:pPr>
    </w:p>
    <w:p w14:paraId="09B17A00" w14:textId="77777777" w:rsidR="00933FF0" w:rsidRPr="00933FF0" w:rsidRDefault="00933FF0" w:rsidP="009A5621">
      <w:pPr>
        <w:jc w:val="both"/>
        <w:rPr>
          <w:sz w:val="24"/>
          <w:szCs w:val="24"/>
        </w:rPr>
      </w:pPr>
      <w:r w:rsidRPr="00933FF0">
        <w:rPr>
          <w:sz w:val="24"/>
          <w:szCs w:val="24"/>
        </w:rPr>
        <w:t>Tabela</w:t>
      </w:r>
      <w:r w:rsidR="009A5621" w:rsidRPr="00933FF0">
        <w:rPr>
          <w:sz w:val="24"/>
          <w:szCs w:val="24"/>
        </w:rPr>
        <w:t xml:space="preserve"> 7</w:t>
      </w:r>
    </w:p>
    <w:p w14:paraId="78A1F703" w14:textId="77777777" w:rsidR="009A5621" w:rsidRPr="00BA49A2" w:rsidRDefault="009A5621" w:rsidP="009A5621">
      <w:pPr>
        <w:jc w:val="both"/>
        <w:rPr>
          <w:b/>
          <w:sz w:val="24"/>
          <w:szCs w:val="24"/>
        </w:rPr>
      </w:pPr>
      <w:r w:rsidRPr="00BA49A2">
        <w:rPr>
          <w:b/>
          <w:sz w:val="24"/>
          <w:szCs w:val="24"/>
        </w:rPr>
        <w:t>Comparativo do Preço de venda para o consumidor final.</w:t>
      </w:r>
    </w:p>
    <w:tbl>
      <w:tblPr>
        <w:tblW w:w="9087" w:type="dxa"/>
        <w:tblInd w:w="55" w:type="dxa"/>
        <w:tblBorders>
          <w:top w:val="single" w:sz="4" w:space="0" w:color="auto"/>
          <w:bottom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425"/>
        <w:gridCol w:w="1559"/>
        <w:gridCol w:w="1276"/>
        <w:gridCol w:w="1701"/>
        <w:gridCol w:w="2126"/>
      </w:tblGrid>
      <w:tr w:rsidR="009A5621" w:rsidRPr="00933FF0" w14:paraId="69CEDB59" w14:textId="77777777" w:rsidTr="00F332A1">
        <w:trPr>
          <w:trHeight w:val="315"/>
        </w:trPr>
        <w:tc>
          <w:tcPr>
            <w:tcW w:w="2425" w:type="dxa"/>
            <w:tcBorders>
              <w:top w:val="single" w:sz="4" w:space="0" w:color="auto"/>
              <w:bottom w:val="single" w:sz="4" w:space="0" w:color="auto"/>
            </w:tcBorders>
            <w:shd w:val="clear" w:color="auto" w:fill="FFFFFF" w:themeFill="background1"/>
            <w:noWrap/>
            <w:vAlign w:val="center"/>
            <w:hideMark/>
          </w:tcPr>
          <w:p w14:paraId="788E23F3" w14:textId="77777777" w:rsidR="009A5621" w:rsidRPr="00933FF0" w:rsidRDefault="00B71B4F" w:rsidP="00F332A1">
            <w:pPr>
              <w:jc w:val="center"/>
              <w:rPr>
                <w:b/>
                <w:bCs/>
                <w:color w:val="000000"/>
              </w:rPr>
            </w:pPr>
            <w:r w:rsidRPr="00933FF0">
              <w:rPr>
                <w:b/>
                <w:bCs/>
                <w:color w:val="000000"/>
              </w:rPr>
              <w:t>Preço Venda</w:t>
            </w:r>
          </w:p>
        </w:tc>
        <w:tc>
          <w:tcPr>
            <w:tcW w:w="1559" w:type="dxa"/>
            <w:tcBorders>
              <w:top w:val="single" w:sz="4" w:space="0" w:color="auto"/>
              <w:bottom w:val="single" w:sz="4" w:space="0" w:color="auto"/>
            </w:tcBorders>
            <w:shd w:val="clear" w:color="auto" w:fill="FFFFFF" w:themeFill="background1"/>
            <w:noWrap/>
            <w:vAlign w:val="center"/>
            <w:hideMark/>
          </w:tcPr>
          <w:p w14:paraId="000616D8" w14:textId="77777777" w:rsidR="009A5621" w:rsidRPr="00933FF0" w:rsidRDefault="00B71B4F" w:rsidP="00F332A1">
            <w:pPr>
              <w:jc w:val="center"/>
              <w:rPr>
                <w:b/>
                <w:bCs/>
                <w:color w:val="000000"/>
              </w:rPr>
            </w:pPr>
            <w:r w:rsidRPr="00933FF0">
              <w:rPr>
                <w:b/>
                <w:bCs/>
                <w:color w:val="000000"/>
              </w:rPr>
              <w:t>Aç</w:t>
            </w:r>
            <w:r>
              <w:rPr>
                <w:b/>
                <w:bCs/>
                <w:color w:val="000000"/>
              </w:rPr>
              <w:t>ú</w:t>
            </w:r>
            <w:r w:rsidRPr="00933FF0">
              <w:rPr>
                <w:b/>
                <w:bCs/>
                <w:color w:val="000000"/>
              </w:rPr>
              <w:t>car</w:t>
            </w:r>
          </w:p>
        </w:tc>
        <w:tc>
          <w:tcPr>
            <w:tcW w:w="1276" w:type="dxa"/>
            <w:tcBorders>
              <w:top w:val="single" w:sz="4" w:space="0" w:color="auto"/>
              <w:bottom w:val="single" w:sz="4" w:space="0" w:color="auto"/>
            </w:tcBorders>
            <w:shd w:val="clear" w:color="auto" w:fill="FFFFFF" w:themeFill="background1"/>
            <w:noWrap/>
            <w:vAlign w:val="center"/>
            <w:hideMark/>
          </w:tcPr>
          <w:p w14:paraId="04A70FCC" w14:textId="77777777" w:rsidR="009A5621" w:rsidRPr="00933FF0" w:rsidRDefault="00B71B4F" w:rsidP="00F332A1">
            <w:pPr>
              <w:jc w:val="center"/>
              <w:rPr>
                <w:b/>
                <w:bCs/>
                <w:color w:val="000000"/>
              </w:rPr>
            </w:pPr>
            <w:r w:rsidRPr="00933FF0">
              <w:rPr>
                <w:b/>
                <w:bCs/>
                <w:color w:val="000000"/>
              </w:rPr>
              <w:t>Café</w:t>
            </w:r>
          </w:p>
        </w:tc>
        <w:tc>
          <w:tcPr>
            <w:tcW w:w="1701" w:type="dxa"/>
            <w:tcBorders>
              <w:top w:val="single" w:sz="4" w:space="0" w:color="auto"/>
              <w:bottom w:val="single" w:sz="4" w:space="0" w:color="auto"/>
            </w:tcBorders>
            <w:shd w:val="clear" w:color="auto" w:fill="FFFFFF" w:themeFill="background1"/>
            <w:noWrap/>
            <w:vAlign w:val="center"/>
            <w:hideMark/>
          </w:tcPr>
          <w:p w14:paraId="1815C8D9" w14:textId="77777777" w:rsidR="009A5621" w:rsidRPr="00933FF0" w:rsidRDefault="00B71B4F" w:rsidP="00F332A1">
            <w:pPr>
              <w:jc w:val="center"/>
              <w:rPr>
                <w:b/>
                <w:bCs/>
                <w:color w:val="000000"/>
              </w:rPr>
            </w:pPr>
            <w:r w:rsidRPr="00933FF0">
              <w:rPr>
                <w:b/>
                <w:bCs/>
                <w:color w:val="000000"/>
              </w:rPr>
              <w:t>Manteiga</w:t>
            </w:r>
          </w:p>
        </w:tc>
        <w:tc>
          <w:tcPr>
            <w:tcW w:w="2126" w:type="dxa"/>
            <w:tcBorders>
              <w:top w:val="single" w:sz="4" w:space="0" w:color="auto"/>
              <w:bottom w:val="single" w:sz="4" w:space="0" w:color="auto"/>
            </w:tcBorders>
            <w:shd w:val="clear" w:color="auto" w:fill="FFFFFF" w:themeFill="background1"/>
            <w:noWrap/>
            <w:vAlign w:val="center"/>
            <w:hideMark/>
          </w:tcPr>
          <w:p w14:paraId="16C6F5C2" w14:textId="77777777" w:rsidR="009A5621" w:rsidRPr="00933FF0" w:rsidRDefault="00B71B4F" w:rsidP="00F332A1">
            <w:pPr>
              <w:jc w:val="center"/>
              <w:rPr>
                <w:b/>
                <w:bCs/>
                <w:color w:val="000000"/>
              </w:rPr>
            </w:pPr>
            <w:r w:rsidRPr="00933FF0">
              <w:rPr>
                <w:b/>
                <w:bCs/>
                <w:color w:val="000000"/>
              </w:rPr>
              <w:t xml:space="preserve">Óleo </w:t>
            </w:r>
            <w:r>
              <w:rPr>
                <w:b/>
                <w:bCs/>
                <w:color w:val="000000"/>
              </w:rPr>
              <w:t>d</w:t>
            </w:r>
            <w:r w:rsidRPr="00933FF0">
              <w:rPr>
                <w:b/>
                <w:bCs/>
                <w:color w:val="000000"/>
              </w:rPr>
              <w:t>e Soja</w:t>
            </w:r>
          </w:p>
        </w:tc>
      </w:tr>
      <w:tr w:rsidR="009A5621" w:rsidRPr="00933FF0" w14:paraId="729ABA26" w14:textId="77777777" w:rsidTr="00F332A1">
        <w:trPr>
          <w:trHeight w:val="300"/>
        </w:trPr>
        <w:tc>
          <w:tcPr>
            <w:tcW w:w="2425" w:type="dxa"/>
            <w:tcBorders>
              <w:top w:val="single" w:sz="4" w:space="0" w:color="auto"/>
            </w:tcBorders>
            <w:shd w:val="clear" w:color="auto" w:fill="FFFFFF" w:themeFill="background1"/>
            <w:noWrap/>
            <w:vAlign w:val="bottom"/>
            <w:hideMark/>
          </w:tcPr>
          <w:p w14:paraId="3FC1E51B" w14:textId="77777777" w:rsidR="009A5621" w:rsidRPr="00933FF0" w:rsidRDefault="009A5621" w:rsidP="009A5621">
            <w:pPr>
              <w:jc w:val="both"/>
              <w:rPr>
                <w:color w:val="000000"/>
              </w:rPr>
            </w:pPr>
            <w:r w:rsidRPr="00933FF0">
              <w:rPr>
                <w:color w:val="000000"/>
              </w:rPr>
              <w:t>C</w:t>
            </w:r>
            <w:r w:rsidR="00933FF0" w:rsidRPr="00933FF0">
              <w:rPr>
                <w:color w:val="000000"/>
              </w:rPr>
              <w:t>om</w:t>
            </w:r>
            <w:r w:rsidRPr="00933FF0">
              <w:rPr>
                <w:color w:val="000000"/>
              </w:rPr>
              <w:t xml:space="preserve"> ICMS-ST</w:t>
            </w:r>
          </w:p>
        </w:tc>
        <w:tc>
          <w:tcPr>
            <w:tcW w:w="1559" w:type="dxa"/>
            <w:tcBorders>
              <w:top w:val="single" w:sz="4" w:space="0" w:color="auto"/>
            </w:tcBorders>
            <w:shd w:val="clear" w:color="auto" w:fill="FFFFFF" w:themeFill="background1"/>
            <w:noWrap/>
            <w:vAlign w:val="bottom"/>
            <w:hideMark/>
          </w:tcPr>
          <w:p w14:paraId="0C7F032B" w14:textId="77777777" w:rsidR="009A5621" w:rsidRPr="00933FF0" w:rsidRDefault="009A5621" w:rsidP="00933FF0">
            <w:pPr>
              <w:jc w:val="center"/>
              <w:rPr>
                <w:color w:val="000000"/>
              </w:rPr>
            </w:pPr>
            <w:r w:rsidRPr="00933FF0">
              <w:rPr>
                <w:color w:val="000000"/>
              </w:rPr>
              <w:t>1,87940</w:t>
            </w:r>
          </w:p>
        </w:tc>
        <w:tc>
          <w:tcPr>
            <w:tcW w:w="1276" w:type="dxa"/>
            <w:tcBorders>
              <w:top w:val="single" w:sz="4" w:space="0" w:color="auto"/>
            </w:tcBorders>
            <w:shd w:val="clear" w:color="auto" w:fill="FFFFFF" w:themeFill="background1"/>
            <w:noWrap/>
            <w:vAlign w:val="bottom"/>
            <w:hideMark/>
          </w:tcPr>
          <w:p w14:paraId="7FA95199" w14:textId="77777777" w:rsidR="009A5621" w:rsidRPr="00933FF0" w:rsidRDefault="009A5621" w:rsidP="00933FF0">
            <w:pPr>
              <w:jc w:val="center"/>
              <w:rPr>
                <w:color w:val="000000"/>
              </w:rPr>
            </w:pPr>
            <w:r w:rsidRPr="00933FF0">
              <w:rPr>
                <w:color w:val="000000"/>
              </w:rPr>
              <w:t>7,90039</w:t>
            </w:r>
          </w:p>
        </w:tc>
        <w:tc>
          <w:tcPr>
            <w:tcW w:w="1701" w:type="dxa"/>
            <w:tcBorders>
              <w:top w:val="single" w:sz="4" w:space="0" w:color="auto"/>
            </w:tcBorders>
            <w:shd w:val="clear" w:color="auto" w:fill="FFFFFF" w:themeFill="background1"/>
            <w:noWrap/>
            <w:vAlign w:val="bottom"/>
            <w:hideMark/>
          </w:tcPr>
          <w:p w14:paraId="1DAC57A4" w14:textId="77777777" w:rsidR="009A5621" w:rsidRPr="00933FF0" w:rsidRDefault="009A5621" w:rsidP="00933FF0">
            <w:pPr>
              <w:jc w:val="center"/>
              <w:rPr>
                <w:color w:val="000000"/>
              </w:rPr>
            </w:pPr>
            <w:r w:rsidRPr="00933FF0">
              <w:rPr>
                <w:color w:val="000000"/>
              </w:rPr>
              <w:t>6,59173</w:t>
            </w:r>
          </w:p>
        </w:tc>
        <w:tc>
          <w:tcPr>
            <w:tcW w:w="2126" w:type="dxa"/>
            <w:tcBorders>
              <w:top w:val="single" w:sz="4" w:space="0" w:color="auto"/>
            </w:tcBorders>
            <w:shd w:val="clear" w:color="auto" w:fill="FFFFFF" w:themeFill="background1"/>
            <w:noWrap/>
            <w:vAlign w:val="bottom"/>
            <w:hideMark/>
          </w:tcPr>
          <w:p w14:paraId="77AAE832" w14:textId="77777777" w:rsidR="009A5621" w:rsidRPr="00933FF0" w:rsidRDefault="009A5621" w:rsidP="00933FF0">
            <w:pPr>
              <w:jc w:val="center"/>
              <w:rPr>
                <w:color w:val="000000"/>
              </w:rPr>
            </w:pPr>
            <w:r w:rsidRPr="00933FF0">
              <w:rPr>
                <w:color w:val="000000"/>
              </w:rPr>
              <w:t>2,91714</w:t>
            </w:r>
          </w:p>
        </w:tc>
      </w:tr>
      <w:tr w:rsidR="009A5621" w:rsidRPr="00933FF0" w14:paraId="3D5D459E" w14:textId="77777777" w:rsidTr="00933FF0">
        <w:trPr>
          <w:trHeight w:val="300"/>
        </w:trPr>
        <w:tc>
          <w:tcPr>
            <w:tcW w:w="2425" w:type="dxa"/>
            <w:shd w:val="clear" w:color="auto" w:fill="FFFFFF" w:themeFill="background1"/>
            <w:noWrap/>
            <w:vAlign w:val="bottom"/>
            <w:hideMark/>
          </w:tcPr>
          <w:p w14:paraId="34E44AE7" w14:textId="77777777" w:rsidR="009A5621" w:rsidRPr="00933FF0" w:rsidRDefault="009A5621" w:rsidP="009A5621">
            <w:pPr>
              <w:jc w:val="both"/>
              <w:rPr>
                <w:color w:val="000000"/>
              </w:rPr>
            </w:pPr>
            <w:r w:rsidRPr="00933FF0">
              <w:rPr>
                <w:color w:val="000000"/>
              </w:rPr>
              <w:t>S</w:t>
            </w:r>
            <w:r w:rsidR="00933FF0" w:rsidRPr="00933FF0">
              <w:rPr>
                <w:color w:val="000000"/>
              </w:rPr>
              <w:t>em</w:t>
            </w:r>
            <w:r w:rsidRPr="00933FF0">
              <w:rPr>
                <w:color w:val="000000"/>
              </w:rPr>
              <w:t xml:space="preserve"> ICMS-ST </w:t>
            </w:r>
          </w:p>
        </w:tc>
        <w:tc>
          <w:tcPr>
            <w:tcW w:w="1559" w:type="dxa"/>
            <w:shd w:val="clear" w:color="auto" w:fill="FFFFFF" w:themeFill="background1"/>
            <w:noWrap/>
            <w:vAlign w:val="bottom"/>
            <w:hideMark/>
          </w:tcPr>
          <w:p w14:paraId="351A4694" w14:textId="77777777" w:rsidR="009A5621" w:rsidRPr="00933FF0" w:rsidRDefault="009A5621" w:rsidP="00933FF0">
            <w:pPr>
              <w:jc w:val="center"/>
              <w:rPr>
                <w:color w:val="000000"/>
              </w:rPr>
            </w:pPr>
            <w:r w:rsidRPr="00933FF0">
              <w:rPr>
                <w:color w:val="000000"/>
              </w:rPr>
              <w:t>1,83750</w:t>
            </w:r>
          </w:p>
        </w:tc>
        <w:tc>
          <w:tcPr>
            <w:tcW w:w="1276" w:type="dxa"/>
            <w:shd w:val="clear" w:color="auto" w:fill="FFFFFF" w:themeFill="background1"/>
            <w:noWrap/>
            <w:vAlign w:val="bottom"/>
            <w:hideMark/>
          </w:tcPr>
          <w:p w14:paraId="4C125A41" w14:textId="77777777" w:rsidR="009A5621" w:rsidRPr="00933FF0" w:rsidRDefault="009A5621" w:rsidP="00933FF0">
            <w:pPr>
              <w:jc w:val="center"/>
              <w:rPr>
                <w:color w:val="000000"/>
              </w:rPr>
            </w:pPr>
            <w:r w:rsidRPr="00933FF0">
              <w:rPr>
                <w:color w:val="000000"/>
              </w:rPr>
              <w:t>7,79747</w:t>
            </w:r>
          </w:p>
        </w:tc>
        <w:tc>
          <w:tcPr>
            <w:tcW w:w="1701" w:type="dxa"/>
            <w:shd w:val="clear" w:color="auto" w:fill="FFFFFF" w:themeFill="background1"/>
            <w:noWrap/>
            <w:vAlign w:val="bottom"/>
            <w:hideMark/>
          </w:tcPr>
          <w:p w14:paraId="771D5C2E" w14:textId="77777777" w:rsidR="009A5621" w:rsidRPr="00933FF0" w:rsidRDefault="009A5621" w:rsidP="00933FF0">
            <w:pPr>
              <w:jc w:val="center"/>
              <w:rPr>
                <w:color w:val="000000"/>
              </w:rPr>
            </w:pPr>
            <w:r w:rsidRPr="00933FF0">
              <w:rPr>
                <w:color w:val="000000"/>
              </w:rPr>
              <w:t>6,33333</w:t>
            </w:r>
          </w:p>
        </w:tc>
        <w:tc>
          <w:tcPr>
            <w:tcW w:w="2126" w:type="dxa"/>
            <w:shd w:val="clear" w:color="auto" w:fill="FFFFFF" w:themeFill="background1"/>
            <w:noWrap/>
            <w:vAlign w:val="bottom"/>
            <w:hideMark/>
          </w:tcPr>
          <w:p w14:paraId="3C66587B" w14:textId="77777777" w:rsidR="009A5621" w:rsidRPr="00933FF0" w:rsidRDefault="009A5621" w:rsidP="00933FF0">
            <w:pPr>
              <w:jc w:val="center"/>
              <w:rPr>
                <w:color w:val="000000"/>
              </w:rPr>
            </w:pPr>
            <w:r w:rsidRPr="00933FF0">
              <w:rPr>
                <w:color w:val="000000"/>
              </w:rPr>
              <w:t>2,85882</w:t>
            </w:r>
          </w:p>
        </w:tc>
      </w:tr>
      <w:tr w:rsidR="009A5621" w:rsidRPr="00933FF0" w14:paraId="6D7C3FD5" w14:textId="77777777" w:rsidTr="00933FF0">
        <w:trPr>
          <w:trHeight w:val="300"/>
        </w:trPr>
        <w:tc>
          <w:tcPr>
            <w:tcW w:w="2425" w:type="dxa"/>
            <w:shd w:val="clear" w:color="auto" w:fill="FFFFFF" w:themeFill="background1"/>
            <w:noWrap/>
            <w:vAlign w:val="bottom"/>
            <w:hideMark/>
          </w:tcPr>
          <w:p w14:paraId="3E449D8F" w14:textId="77777777" w:rsidR="009A5621" w:rsidRPr="00933FF0" w:rsidRDefault="00933FF0" w:rsidP="009A5621">
            <w:pPr>
              <w:jc w:val="both"/>
              <w:rPr>
                <w:color w:val="000000"/>
              </w:rPr>
            </w:pPr>
            <w:r w:rsidRPr="00933FF0">
              <w:rPr>
                <w:color w:val="000000"/>
              </w:rPr>
              <w:t>Diferença</w:t>
            </w:r>
          </w:p>
        </w:tc>
        <w:tc>
          <w:tcPr>
            <w:tcW w:w="1559" w:type="dxa"/>
            <w:shd w:val="clear" w:color="auto" w:fill="FFFFFF" w:themeFill="background1"/>
            <w:noWrap/>
            <w:vAlign w:val="bottom"/>
            <w:hideMark/>
          </w:tcPr>
          <w:p w14:paraId="695D44A6" w14:textId="77777777" w:rsidR="009A5621" w:rsidRPr="00933FF0" w:rsidRDefault="009A5621" w:rsidP="00933FF0">
            <w:pPr>
              <w:jc w:val="center"/>
              <w:rPr>
                <w:color w:val="000000"/>
              </w:rPr>
            </w:pPr>
            <w:r w:rsidRPr="00933FF0">
              <w:rPr>
                <w:color w:val="000000"/>
              </w:rPr>
              <w:t>-0,04189</w:t>
            </w:r>
          </w:p>
        </w:tc>
        <w:tc>
          <w:tcPr>
            <w:tcW w:w="1276" w:type="dxa"/>
            <w:shd w:val="clear" w:color="auto" w:fill="FFFFFF" w:themeFill="background1"/>
            <w:noWrap/>
            <w:vAlign w:val="bottom"/>
            <w:hideMark/>
          </w:tcPr>
          <w:p w14:paraId="3A1F7C02" w14:textId="77777777" w:rsidR="009A5621" w:rsidRPr="00933FF0" w:rsidRDefault="009A5621" w:rsidP="00933FF0">
            <w:pPr>
              <w:jc w:val="center"/>
              <w:rPr>
                <w:color w:val="000000"/>
              </w:rPr>
            </w:pPr>
            <w:r w:rsidRPr="00933FF0">
              <w:rPr>
                <w:color w:val="000000"/>
              </w:rPr>
              <w:t>-0,10293</w:t>
            </w:r>
          </w:p>
        </w:tc>
        <w:tc>
          <w:tcPr>
            <w:tcW w:w="1701" w:type="dxa"/>
            <w:shd w:val="clear" w:color="auto" w:fill="FFFFFF" w:themeFill="background1"/>
            <w:noWrap/>
            <w:vAlign w:val="bottom"/>
            <w:hideMark/>
          </w:tcPr>
          <w:p w14:paraId="64E51B30" w14:textId="77777777" w:rsidR="009A5621" w:rsidRPr="00933FF0" w:rsidRDefault="009A5621" w:rsidP="00933FF0">
            <w:pPr>
              <w:jc w:val="center"/>
              <w:rPr>
                <w:color w:val="000000"/>
              </w:rPr>
            </w:pPr>
            <w:r w:rsidRPr="00933FF0">
              <w:rPr>
                <w:color w:val="000000"/>
              </w:rPr>
              <w:t>-0,25840</w:t>
            </w:r>
          </w:p>
        </w:tc>
        <w:tc>
          <w:tcPr>
            <w:tcW w:w="2126" w:type="dxa"/>
            <w:shd w:val="clear" w:color="auto" w:fill="FFFFFF" w:themeFill="background1"/>
            <w:noWrap/>
            <w:vAlign w:val="bottom"/>
            <w:hideMark/>
          </w:tcPr>
          <w:p w14:paraId="4450DEB3" w14:textId="77777777" w:rsidR="009A5621" w:rsidRPr="00933FF0" w:rsidRDefault="009A5621" w:rsidP="00933FF0">
            <w:pPr>
              <w:jc w:val="center"/>
              <w:rPr>
                <w:color w:val="000000"/>
              </w:rPr>
            </w:pPr>
            <w:r w:rsidRPr="00933FF0">
              <w:rPr>
                <w:color w:val="000000"/>
              </w:rPr>
              <w:t>-0,05832</w:t>
            </w:r>
          </w:p>
        </w:tc>
      </w:tr>
      <w:tr w:rsidR="009A5621" w:rsidRPr="00933FF0" w14:paraId="370AD8B2" w14:textId="77777777" w:rsidTr="00933FF0">
        <w:trPr>
          <w:trHeight w:val="285"/>
        </w:trPr>
        <w:tc>
          <w:tcPr>
            <w:tcW w:w="2425" w:type="dxa"/>
            <w:shd w:val="clear" w:color="auto" w:fill="FFFFFF" w:themeFill="background1"/>
            <w:noWrap/>
            <w:vAlign w:val="bottom"/>
            <w:hideMark/>
          </w:tcPr>
          <w:p w14:paraId="52A9C12B" w14:textId="77777777" w:rsidR="009A5621" w:rsidRPr="00933FF0" w:rsidRDefault="00933FF0" w:rsidP="009A5621">
            <w:pPr>
              <w:jc w:val="both"/>
              <w:rPr>
                <w:color w:val="000000"/>
              </w:rPr>
            </w:pPr>
            <w:r w:rsidRPr="00933FF0">
              <w:rPr>
                <w:color w:val="000000"/>
              </w:rPr>
              <w:t>Diferença %</w:t>
            </w:r>
          </w:p>
        </w:tc>
        <w:tc>
          <w:tcPr>
            <w:tcW w:w="1559" w:type="dxa"/>
            <w:shd w:val="clear" w:color="auto" w:fill="FFFFFF" w:themeFill="background1"/>
            <w:noWrap/>
            <w:vAlign w:val="bottom"/>
          </w:tcPr>
          <w:p w14:paraId="556472F3" w14:textId="77777777" w:rsidR="009A5621" w:rsidRPr="00933FF0" w:rsidRDefault="009A5621" w:rsidP="00933FF0">
            <w:pPr>
              <w:jc w:val="center"/>
              <w:rPr>
                <w:color w:val="000000"/>
              </w:rPr>
            </w:pPr>
            <w:r w:rsidRPr="00933FF0">
              <w:rPr>
                <w:color w:val="000000"/>
              </w:rPr>
              <w:t>-2,23%</w:t>
            </w:r>
          </w:p>
        </w:tc>
        <w:tc>
          <w:tcPr>
            <w:tcW w:w="1276" w:type="dxa"/>
            <w:shd w:val="clear" w:color="auto" w:fill="FFFFFF" w:themeFill="background1"/>
            <w:noWrap/>
            <w:vAlign w:val="bottom"/>
          </w:tcPr>
          <w:p w14:paraId="099AB670" w14:textId="77777777" w:rsidR="009A5621" w:rsidRPr="00933FF0" w:rsidRDefault="009A5621" w:rsidP="00933FF0">
            <w:pPr>
              <w:jc w:val="center"/>
              <w:rPr>
                <w:color w:val="000000"/>
              </w:rPr>
            </w:pPr>
            <w:r w:rsidRPr="00933FF0">
              <w:rPr>
                <w:color w:val="000000"/>
              </w:rPr>
              <w:t>-1,30%</w:t>
            </w:r>
          </w:p>
        </w:tc>
        <w:tc>
          <w:tcPr>
            <w:tcW w:w="1701" w:type="dxa"/>
            <w:shd w:val="clear" w:color="auto" w:fill="FFFFFF" w:themeFill="background1"/>
            <w:noWrap/>
            <w:vAlign w:val="bottom"/>
          </w:tcPr>
          <w:p w14:paraId="0F559838" w14:textId="77777777" w:rsidR="009A5621" w:rsidRPr="00933FF0" w:rsidRDefault="009A5621" w:rsidP="00933FF0">
            <w:pPr>
              <w:jc w:val="center"/>
              <w:rPr>
                <w:color w:val="000000"/>
              </w:rPr>
            </w:pPr>
            <w:r w:rsidRPr="00933FF0">
              <w:rPr>
                <w:color w:val="000000"/>
              </w:rPr>
              <w:t>-3,92%</w:t>
            </w:r>
          </w:p>
        </w:tc>
        <w:tc>
          <w:tcPr>
            <w:tcW w:w="2126" w:type="dxa"/>
            <w:shd w:val="clear" w:color="auto" w:fill="FFFFFF" w:themeFill="background1"/>
            <w:noWrap/>
            <w:vAlign w:val="bottom"/>
          </w:tcPr>
          <w:p w14:paraId="61BD524A" w14:textId="77777777" w:rsidR="009A5621" w:rsidRPr="00933FF0" w:rsidRDefault="009A5621" w:rsidP="00933FF0">
            <w:pPr>
              <w:jc w:val="center"/>
              <w:rPr>
                <w:color w:val="000000"/>
              </w:rPr>
            </w:pPr>
            <w:r w:rsidRPr="00933FF0">
              <w:rPr>
                <w:color w:val="000000"/>
              </w:rPr>
              <w:t>-2,00%</w:t>
            </w:r>
          </w:p>
        </w:tc>
      </w:tr>
    </w:tbl>
    <w:p w14:paraId="3627E926" w14:textId="77777777" w:rsidR="009A5621" w:rsidRPr="00BA49A2" w:rsidRDefault="009A5621" w:rsidP="009A5621">
      <w:pPr>
        <w:jc w:val="both"/>
        <w:rPr>
          <w:sz w:val="24"/>
          <w:szCs w:val="24"/>
        </w:rPr>
      </w:pPr>
    </w:p>
    <w:p w14:paraId="34283165" w14:textId="77777777" w:rsidR="009A5621" w:rsidRPr="00BA49A2" w:rsidRDefault="00933FF0" w:rsidP="009A5621">
      <w:pPr>
        <w:ind w:firstLine="709"/>
        <w:jc w:val="both"/>
        <w:rPr>
          <w:sz w:val="24"/>
          <w:szCs w:val="24"/>
        </w:rPr>
      </w:pPr>
      <w:r>
        <w:rPr>
          <w:sz w:val="24"/>
          <w:szCs w:val="24"/>
        </w:rPr>
        <w:t>A Tabela 7</w:t>
      </w:r>
      <w:r w:rsidR="009A5621" w:rsidRPr="00BA49A2">
        <w:rPr>
          <w:sz w:val="24"/>
          <w:szCs w:val="24"/>
        </w:rPr>
        <w:t xml:space="preserve"> apresenta o preço de venda para o consumidor final nas duas formas de tributação aplicando a mesma margem de lucro. Nota-se que houve uma queda no preço de venda de todos os itens selecionados, o açúcar apresentou uma queda de 2,23%, o café 1,30%, a manteiga 3,92% e o óleo de soja 2%. </w:t>
      </w:r>
    </w:p>
    <w:p w14:paraId="04FBBA53" w14:textId="77777777" w:rsidR="009A5621" w:rsidRDefault="009A5621" w:rsidP="009A5621">
      <w:pPr>
        <w:ind w:firstLine="709"/>
        <w:jc w:val="both"/>
        <w:rPr>
          <w:sz w:val="24"/>
          <w:szCs w:val="24"/>
        </w:rPr>
      </w:pPr>
      <w:r w:rsidRPr="00BA49A2">
        <w:rPr>
          <w:sz w:val="24"/>
          <w:szCs w:val="24"/>
        </w:rPr>
        <w:t>Analisou-se também o lucro obtido pelo supermercado, considerando as duas formas de tributação,</w:t>
      </w:r>
      <w:r w:rsidR="004633E6">
        <w:rPr>
          <w:sz w:val="24"/>
          <w:szCs w:val="24"/>
        </w:rPr>
        <w:t xml:space="preserve"> apresentada pela Tabela 8. </w:t>
      </w:r>
    </w:p>
    <w:p w14:paraId="4827B255" w14:textId="77777777" w:rsidR="004633E6" w:rsidRPr="00BA49A2" w:rsidRDefault="004633E6" w:rsidP="009A5621">
      <w:pPr>
        <w:ind w:firstLine="709"/>
        <w:jc w:val="both"/>
        <w:rPr>
          <w:sz w:val="24"/>
          <w:szCs w:val="24"/>
        </w:rPr>
      </w:pPr>
    </w:p>
    <w:p w14:paraId="35F138DA" w14:textId="77777777" w:rsidR="004633E6" w:rsidRPr="004633E6" w:rsidRDefault="004633E6" w:rsidP="009A5621">
      <w:pPr>
        <w:jc w:val="both"/>
        <w:rPr>
          <w:sz w:val="24"/>
          <w:szCs w:val="24"/>
        </w:rPr>
      </w:pPr>
      <w:r w:rsidRPr="004633E6">
        <w:rPr>
          <w:sz w:val="24"/>
          <w:szCs w:val="24"/>
        </w:rPr>
        <w:t>Tabela</w:t>
      </w:r>
      <w:r w:rsidR="009A5621" w:rsidRPr="004633E6">
        <w:rPr>
          <w:sz w:val="24"/>
          <w:szCs w:val="24"/>
        </w:rPr>
        <w:t xml:space="preserve"> 8</w:t>
      </w:r>
    </w:p>
    <w:p w14:paraId="021ED219" w14:textId="77777777" w:rsidR="009A5621" w:rsidRPr="00BA49A2" w:rsidRDefault="009A5621" w:rsidP="009A5621">
      <w:pPr>
        <w:jc w:val="both"/>
        <w:rPr>
          <w:b/>
          <w:sz w:val="24"/>
          <w:szCs w:val="24"/>
        </w:rPr>
      </w:pPr>
      <w:r w:rsidRPr="00BA49A2">
        <w:rPr>
          <w:b/>
          <w:sz w:val="24"/>
          <w:szCs w:val="24"/>
        </w:rPr>
        <w:t>Comparativo do Lucro para o Supermercado.</w:t>
      </w:r>
    </w:p>
    <w:tbl>
      <w:tblPr>
        <w:tblW w:w="9087" w:type="dxa"/>
        <w:tblInd w:w="55" w:type="dxa"/>
        <w:tblBorders>
          <w:top w:val="single" w:sz="4" w:space="0" w:color="auto"/>
          <w:bottom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425"/>
        <w:gridCol w:w="1559"/>
        <w:gridCol w:w="1276"/>
        <w:gridCol w:w="1701"/>
        <w:gridCol w:w="2126"/>
      </w:tblGrid>
      <w:tr w:rsidR="009A5621" w:rsidRPr="004633E6" w14:paraId="270FEFB7" w14:textId="77777777" w:rsidTr="00F332A1">
        <w:trPr>
          <w:trHeight w:val="315"/>
        </w:trPr>
        <w:tc>
          <w:tcPr>
            <w:tcW w:w="2425" w:type="dxa"/>
            <w:tcBorders>
              <w:top w:val="single" w:sz="4" w:space="0" w:color="auto"/>
              <w:bottom w:val="single" w:sz="4" w:space="0" w:color="auto"/>
            </w:tcBorders>
            <w:shd w:val="clear" w:color="auto" w:fill="FFFFFF" w:themeFill="background1"/>
            <w:noWrap/>
            <w:vAlign w:val="center"/>
            <w:hideMark/>
          </w:tcPr>
          <w:p w14:paraId="736EC6D2" w14:textId="77777777" w:rsidR="009A5621" w:rsidRPr="004633E6" w:rsidRDefault="00B71B4F" w:rsidP="00F332A1">
            <w:pPr>
              <w:jc w:val="center"/>
              <w:rPr>
                <w:b/>
                <w:bCs/>
                <w:color w:val="000000"/>
              </w:rPr>
            </w:pPr>
            <w:r w:rsidRPr="004633E6">
              <w:rPr>
                <w:b/>
                <w:bCs/>
                <w:color w:val="000000"/>
              </w:rPr>
              <w:t>Lucro</w:t>
            </w:r>
          </w:p>
        </w:tc>
        <w:tc>
          <w:tcPr>
            <w:tcW w:w="1559" w:type="dxa"/>
            <w:tcBorders>
              <w:top w:val="single" w:sz="4" w:space="0" w:color="auto"/>
              <w:bottom w:val="single" w:sz="4" w:space="0" w:color="auto"/>
            </w:tcBorders>
            <w:shd w:val="clear" w:color="auto" w:fill="FFFFFF" w:themeFill="background1"/>
            <w:noWrap/>
            <w:vAlign w:val="center"/>
            <w:hideMark/>
          </w:tcPr>
          <w:p w14:paraId="7BCE59E7" w14:textId="77777777" w:rsidR="009A5621" w:rsidRPr="004633E6" w:rsidRDefault="00B71B4F" w:rsidP="00F332A1">
            <w:pPr>
              <w:jc w:val="center"/>
              <w:rPr>
                <w:b/>
                <w:bCs/>
                <w:color w:val="000000"/>
              </w:rPr>
            </w:pPr>
            <w:r w:rsidRPr="004633E6">
              <w:rPr>
                <w:b/>
                <w:bCs/>
                <w:color w:val="000000"/>
              </w:rPr>
              <w:t>Aç</w:t>
            </w:r>
            <w:r>
              <w:rPr>
                <w:b/>
                <w:bCs/>
                <w:color w:val="000000"/>
              </w:rPr>
              <w:t>ú</w:t>
            </w:r>
            <w:r w:rsidRPr="004633E6">
              <w:rPr>
                <w:b/>
                <w:bCs/>
                <w:color w:val="000000"/>
              </w:rPr>
              <w:t>car</w:t>
            </w:r>
          </w:p>
        </w:tc>
        <w:tc>
          <w:tcPr>
            <w:tcW w:w="1276" w:type="dxa"/>
            <w:tcBorders>
              <w:top w:val="single" w:sz="4" w:space="0" w:color="auto"/>
              <w:bottom w:val="single" w:sz="4" w:space="0" w:color="auto"/>
            </w:tcBorders>
            <w:shd w:val="clear" w:color="auto" w:fill="FFFFFF" w:themeFill="background1"/>
            <w:noWrap/>
            <w:vAlign w:val="center"/>
            <w:hideMark/>
          </w:tcPr>
          <w:p w14:paraId="365BEE2D" w14:textId="77777777" w:rsidR="009A5621" w:rsidRPr="004633E6" w:rsidRDefault="00B71B4F" w:rsidP="00F332A1">
            <w:pPr>
              <w:jc w:val="center"/>
              <w:rPr>
                <w:b/>
                <w:bCs/>
                <w:color w:val="000000"/>
              </w:rPr>
            </w:pPr>
            <w:r w:rsidRPr="004633E6">
              <w:rPr>
                <w:b/>
                <w:bCs/>
                <w:color w:val="000000"/>
              </w:rPr>
              <w:t>Café</w:t>
            </w:r>
          </w:p>
        </w:tc>
        <w:tc>
          <w:tcPr>
            <w:tcW w:w="1701" w:type="dxa"/>
            <w:tcBorders>
              <w:top w:val="single" w:sz="4" w:space="0" w:color="auto"/>
              <w:bottom w:val="single" w:sz="4" w:space="0" w:color="auto"/>
            </w:tcBorders>
            <w:shd w:val="clear" w:color="auto" w:fill="FFFFFF" w:themeFill="background1"/>
            <w:noWrap/>
            <w:vAlign w:val="center"/>
            <w:hideMark/>
          </w:tcPr>
          <w:p w14:paraId="7FCD068A" w14:textId="77777777" w:rsidR="009A5621" w:rsidRPr="004633E6" w:rsidRDefault="00B71B4F" w:rsidP="00F332A1">
            <w:pPr>
              <w:jc w:val="center"/>
              <w:rPr>
                <w:b/>
                <w:bCs/>
                <w:color w:val="000000"/>
              </w:rPr>
            </w:pPr>
            <w:r w:rsidRPr="004633E6">
              <w:rPr>
                <w:b/>
                <w:bCs/>
                <w:color w:val="000000"/>
              </w:rPr>
              <w:t>Manteiga</w:t>
            </w:r>
          </w:p>
        </w:tc>
        <w:tc>
          <w:tcPr>
            <w:tcW w:w="2126" w:type="dxa"/>
            <w:tcBorders>
              <w:top w:val="single" w:sz="4" w:space="0" w:color="auto"/>
              <w:bottom w:val="single" w:sz="4" w:space="0" w:color="auto"/>
            </w:tcBorders>
            <w:shd w:val="clear" w:color="auto" w:fill="FFFFFF" w:themeFill="background1"/>
            <w:noWrap/>
            <w:vAlign w:val="center"/>
            <w:hideMark/>
          </w:tcPr>
          <w:p w14:paraId="7780E64C" w14:textId="77777777" w:rsidR="009A5621" w:rsidRPr="004633E6" w:rsidRDefault="00B71B4F" w:rsidP="00F332A1">
            <w:pPr>
              <w:jc w:val="center"/>
              <w:rPr>
                <w:b/>
                <w:bCs/>
                <w:color w:val="000000"/>
              </w:rPr>
            </w:pPr>
            <w:r w:rsidRPr="004633E6">
              <w:rPr>
                <w:b/>
                <w:bCs/>
                <w:color w:val="000000"/>
              </w:rPr>
              <w:t xml:space="preserve">Óleo </w:t>
            </w:r>
            <w:r>
              <w:rPr>
                <w:b/>
                <w:bCs/>
                <w:color w:val="000000"/>
              </w:rPr>
              <w:t>d</w:t>
            </w:r>
            <w:r w:rsidRPr="004633E6">
              <w:rPr>
                <w:b/>
                <w:bCs/>
                <w:color w:val="000000"/>
              </w:rPr>
              <w:t>e Soja</w:t>
            </w:r>
          </w:p>
        </w:tc>
      </w:tr>
      <w:tr w:rsidR="009A5621" w:rsidRPr="004633E6" w14:paraId="240BE424" w14:textId="77777777" w:rsidTr="00F332A1">
        <w:trPr>
          <w:trHeight w:val="300"/>
        </w:trPr>
        <w:tc>
          <w:tcPr>
            <w:tcW w:w="2425" w:type="dxa"/>
            <w:tcBorders>
              <w:top w:val="single" w:sz="4" w:space="0" w:color="auto"/>
            </w:tcBorders>
            <w:shd w:val="clear" w:color="auto" w:fill="FFFFFF" w:themeFill="background1"/>
            <w:noWrap/>
            <w:vAlign w:val="bottom"/>
            <w:hideMark/>
          </w:tcPr>
          <w:p w14:paraId="296C0DEF" w14:textId="77777777" w:rsidR="009A5621" w:rsidRPr="004633E6" w:rsidRDefault="004633E6" w:rsidP="009A5621">
            <w:pPr>
              <w:jc w:val="both"/>
              <w:rPr>
                <w:color w:val="000000"/>
              </w:rPr>
            </w:pPr>
            <w:r w:rsidRPr="004633E6">
              <w:rPr>
                <w:color w:val="000000"/>
              </w:rPr>
              <w:t xml:space="preserve">Lucro </w:t>
            </w:r>
            <w:r>
              <w:rPr>
                <w:color w:val="000000"/>
              </w:rPr>
              <w:t>c</w:t>
            </w:r>
            <w:r w:rsidRPr="004633E6">
              <w:rPr>
                <w:color w:val="000000"/>
              </w:rPr>
              <w:t>om S</w:t>
            </w:r>
            <w:r>
              <w:rPr>
                <w:color w:val="000000"/>
              </w:rPr>
              <w:t>T</w:t>
            </w:r>
          </w:p>
        </w:tc>
        <w:tc>
          <w:tcPr>
            <w:tcW w:w="1559" w:type="dxa"/>
            <w:tcBorders>
              <w:top w:val="single" w:sz="4" w:space="0" w:color="auto"/>
            </w:tcBorders>
            <w:shd w:val="clear" w:color="auto" w:fill="FFFFFF" w:themeFill="background1"/>
            <w:noWrap/>
            <w:vAlign w:val="bottom"/>
            <w:hideMark/>
          </w:tcPr>
          <w:p w14:paraId="315F441F" w14:textId="77777777" w:rsidR="009A5621" w:rsidRPr="004633E6" w:rsidRDefault="009A5621" w:rsidP="004633E6">
            <w:pPr>
              <w:jc w:val="center"/>
              <w:rPr>
                <w:color w:val="000000"/>
              </w:rPr>
            </w:pPr>
            <w:r w:rsidRPr="004633E6">
              <w:rPr>
                <w:color w:val="000000"/>
              </w:rPr>
              <w:t>0,37588</w:t>
            </w:r>
          </w:p>
        </w:tc>
        <w:tc>
          <w:tcPr>
            <w:tcW w:w="1276" w:type="dxa"/>
            <w:tcBorders>
              <w:top w:val="single" w:sz="4" w:space="0" w:color="auto"/>
            </w:tcBorders>
            <w:shd w:val="clear" w:color="auto" w:fill="FFFFFF" w:themeFill="background1"/>
            <w:noWrap/>
            <w:vAlign w:val="bottom"/>
            <w:hideMark/>
          </w:tcPr>
          <w:p w14:paraId="2EC518E1" w14:textId="77777777" w:rsidR="009A5621" w:rsidRPr="004633E6" w:rsidRDefault="009A5621" w:rsidP="004633E6">
            <w:pPr>
              <w:jc w:val="center"/>
              <w:rPr>
                <w:color w:val="000000"/>
              </w:rPr>
            </w:pPr>
            <w:r w:rsidRPr="004633E6">
              <w:rPr>
                <w:color w:val="000000"/>
              </w:rPr>
              <w:t>1,65908</w:t>
            </w:r>
          </w:p>
        </w:tc>
        <w:tc>
          <w:tcPr>
            <w:tcW w:w="1701" w:type="dxa"/>
            <w:tcBorders>
              <w:top w:val="single" w:sz="4" w:space="0" w:color="auto"/>
            </w:tcBorders>
            <w:shd w:val="clear" w:color="auto" w:fill="FFFFFF" w:themeFill="background1"/>
            <w:noWrap/>
            <w:vAlign w:val="bottom"/>
            <w:hideMark/>
          </w:tcPr>
          <w:p w14:paraId="5A582B61" w14:textId="77777777" w:rsidR="009A5621" w:rsidRPr="004633E6" w:rsidRDefault="009A5621" w:rsidP="004633E6">
            <w:pPr>
              <w:jc w:val="center"/>
              <w:rPr>
                <w:color w:val="000000"/>
              </w:rPr>
            </w:pPr>
            <w:r w:rsidRPr="004633E6">
              <w:rPr>
                <w:color w:val="000000"/>
              </w:rPr>
              <w:t>1,64793</w:t>
            </w:r>
          </w:p>
        </w:tc>
        <w:tc>
          <w:tcPr>
            <w:tcW w:w="2126" w:type="dxa"/>
            <w:tcBorders>
              <w:top w:val="single" w:sz="4" w:space="0" w:color="auto"/>
            </w:tcBorders>
            <w:shd w:val="clear" w:color="auto" w:fill="FFFFFF" w:themeFill="background1"/>
            <w:noWrap/>
            <w:vAlign w:val="bottom"/>
            <w:hideMark/>
          </w:tcPr>
          <w:p w14:paraId="0385188F" w14:textId="77777777" w:rsidR="009A5621" w:rsidRPr="004633E6" w:rsidRDefault="009A5621" w:rsidP="004633E6">
            <w:pPr>
              <w:jc w:val="center"/>
              <w:rPr>
                <w:color w:val="000000"/>
              </w:rPr>
            </w:pPr>
            <w:r w:rsidRPr="004633E6">
              <w:rPr>
                <w:color w:val="000000"/>
              </w:rPr>
              <w:t>0,43757</w:t>
            </w:r>
          </w:p>
        </w:tc>
      </w:tr>
      <w:tr w:rsidR="009A5621" w:rsidRPr="004633E6" w14:paraId="63E1E9B8" w14:textId="77777777" w:rsidTr="004633E6">
        <w:trPr>
          <w:trHeight w:val="300"/>
        </w:trPr>
        <w:tc>
          <w:tcPr>
            <w:tcW w:w="2425" w:type="dxa"/>
            <w:shd w:val="clear" w:color="auto" w:fill="FFFFFF" w:themeFill="background1"/>
            <w:noWrap/>
            <w:vAlign w:val="bottom"/>
            <w:hideMark/>
          </w:tcPr>
          <w:p w14:paraId="773C09C6" w14:textId="77777777" w:rsidR="009A5621" w:rsidRPr="004633E6" w:rsidRDefault="004633E6" w:rsidP="009A5621">
            <w:pPr>
              <w:jc w:val="both"/>
              <w:rPr>
                <w:color w:val="000000"/>
              </w:rPr>
            </w:pPr>
            <w:r w:rsidRPr="004633E6">
              <w:rPr>
                <w:color w:val="000000"/>
              </w:rPr>
              <w:t xml:space="preserve">Lucro </w:t>
            </w:r>
            <w:r>
              <w:rPr>
                <w:color w:val="000000"/>
              </w:rPr>
              <w:t>s</w:t>
            </w:r>
            <w:r w:rsidRPr="004633E6">
              <w:rPr>
                <w:color w:val="000000"/>
              </w:rPr>
              <w:t>em S</w:t>
            </w:r>
            <w:r>
              <w:rPr>
                <w:color w:val="000000"/>
              </w:rPr>
              <w:t>T</w:t>
            </w:r>
          </w:p>
        </w:tc>
        <w:tc>
          <w:tcPr>
            <w:tcW w:w="1559" w:type="dxa"/>
            <w:shd w:val="clear" w:color="auto" w:fill="FFFFFF" w:themeFill="background1"/>
            <w:noWrap/>
            <w:vAlign w:val="bottom"/>
            <w:hideMark/>
          </w:tcPr>
          <w:p w14:paraId="554FE2D2" w14:textId="77777777" w:rsidR="009A5621" w:rsidRPr="004633E6" w:rsidRDefault="009A5621" w:rsidP="004633E6">
            <w:pPr>
              <w:jc w:val="center"/>
              <w:rPr>
                <w:color w:val="000000"/>
              </w:rPr>
            </w:pPr>
            <w:r w:rsidRPr="004633E6">
              <w:rPr>
                <w:color w:val="000000"/>
              </w:rPr>
              <w:t>0,32340</w:t>
            </w:r>
          </w:p>
        </w:tc>
        <w:tc>
          <w:tcPr>
            <w:tcW w:w="1276" w:type="dxa"/>
            <w:shd w:val="clear" w:color="auto" w:fill="FFFFFF" w:themeFill="background1"/>
            <w:noWrap/>
            <w:vAlign w:val="bottom"/>
            <w:hideMark/>
          </w:tcPr>
          <w:p w14:paraId="74BD6FB9" w14:textId="77777777" w:rsidR="009A5621" w:rsidRPr="004633E6" w:rsidRDefault="009A5621" w:rsidP="004633E6">
            <w:pPr>
              <w:jc w:val="center"/>
              <w:rPr>
                <w:color w:val="000000"/>
              </w:rPr>
            </w:pPr>
            <w:r w:rsidRPr="004633E6">
              <w:rPr>
                <w:color w:val="000000"/>
              </w:rPr>
              <w:t>1,44097</w:t>
            </w:r>
          </w:p>
        </w:tc>
        <w:tc>
          <w:tcPr>
            <w:tcW w:w="1701" w:type="dxa"/>
            <w:shd w:val="clear" w:color="auto" w:fill="FFFFFF" w:themeFill="background1"/>
            <w:noWrap/>
            <w:vAlign w:val="bottom"/>
            <w:hideMark/>
          </w:tcPr>
          <w:p w14:paraId="2273F974" w14:textId="77777777" w:rsidR="009A5621" w:rsidRPr="004633E6" w:rsidRDefault="009A5621" w:rsidP="004633E6">
            <w:pPr>
              <w:jc w:val="center"/>
              <w:rPr>
                <w:color w:val="000000"/>
              </w:rPr>
            </w:pPr>
            <w:r w:rsidRPr="004633E6">
              <w:rPr>
                <w:color w:val="000000"/>
              </w:rPr>
              <w:t>1,39333</w:t>
            </w:r>
          </w:p>
        </w:tc>
        <w:tc>
          <w:tcPr>
            <w:tcW w:w="2126" w:type="dxa"/>
            <w:shd w:val="clear" w:color="auto" w:fill="FFFFFF" w:themeFill="background1"/>
            <w:noWrap/>
            <w:vAlign w:val="bottom"/>
            <w:hideMark/>
          </w:tcPr>
          <w:p w14:paraId="5635AAAF" w14:textId="77777777" w:rsidR="009A5621" w:rsidRPr="004633E6" w:rsidRDefault="009A5621" w:rsidP="004633E6">
            <w:pPr>
              <w:jc w:val="center"/>
              <w:rPr>
                <w:color w:val="000000"/>
              </w:rPr>
            </w:pPr>
            <w:r w:rsidRPr="004633E6">
              <w:rPr>
                <w:color w:val="000000"/>
              </w:rPr>
              <w:t>0,37736</w:t>
            </w:r>
          </w:p>
        </w:tc>
      </w:tr>
      <w:tr w:rsidR="009A5621" w:rsidRPr="004633E6" w14:paraId="0D506975" w14:textId="77777777" w:rsidTr="004633E6">
        <w:trPr>
          <w:trHeight w:val="300"/>
        </w:trPr>
        <w:tc>
          <w:tcPr>
            <w:tcW w:w="2425" w:type="dxa"/>
            <w:shd w:val="clear" w:color="auto" w:fill="FFFFFF" w:themeFill="background1"/>
            <w:noWrap/>
            <w:vAlign w:val="bottom"/>
            <w:hideMark/>
          </w:tcPr>
          <w:p w14:paraId="6CD01221" w14:textId="77777777" w:rsidR="009A5621" w:rsidRPr="004633E6" w:rsidRDefault="004633E6" w:rsidP="009A5621">
            <w:pPr>
              <w:jc w:val="both"/>
              <w:rPr>
                <w:color w:val="000000"/>
              </w:rPr>
            </w:pPr>
            <w:r w:rsidRPr="004633E6">
              <w:rPr>
                <w:color w:val="000000"/>
              </w:rPr>
              <w:t>Diferença</w:t>
            </w:r>
          </w:p>
        </w:tc>
        <w:tc>
          <w:tcPr>
            <w:tcW w:w="1559" w:type="dxa"/>
            <w:shd w:val="clear" w:color="auto" w:fill="FFFFFF" w:themeFill="background1"/>
            <w:noWrap/>
            <w:vAlign w:val="bottom"/>
            <w:hideMark/>
          </w:tcPr>
          <w:p w14:paraId="05547779" w14:textId="77777777" w:rsidR="009A5621" w:rsidRPr="004633E6" w:rsidRDefault="009A5621" w:rsidP="004633E6">
            <w:pPr>
              <w:jc w:val="center"/>
              <w:rPr>
                <w:color w:val="000000"/>
              </w:rPr>
            </w:pPr>
            <w:r w:rsidRPr="004633E6">
              <w:rPr>
                <w:color w:val="000000"/>
              </w:rPr>
              <w:t>-0,05248</w:t>
            </w:r>
          </w:p>
        </w:tc>
        <w:tc>
          <w:tcPr>
            <w:tcW w:w="1276" w:type="dxa"/>
            <w:shd w:val="clear" w:color="auto" w:fill="FFFFFF" w:themeFill="background1"/>
            <w:noWrap/>
            <w:vAlign w:val="bottom"/>
            <w:hideMark/>
          </w:tcPr>
          <w:p w14:paraId="14781DA0" w14:textId="77777777" w:rsidR="009A5621" w:rsidRPr="004633E6" w:rsidRDefault="009A5621" w:rsidP="004633E6">
            <w:pPr>
              <w:jc w:val="center"/>
              <w:rPr>
                <w:color w:val="000000"/>
              </w:rPr>
            </w:pPr>
            <w:r w:rsidRPr="004633E6">
              <w:rPr>
                <w:color w:val="000000"/>
              </w:rPr>
              <w:t>-0,21811</w:t>
            </w:r>
          </w:p>
        </w:tc>
        <w:tc>
          <w:tcPr>
            <w:tcW w:w="1701" w:type="dxa"/>
            <w:shd w:val="clear" w:color="auto" w:fill="FFFFFF" w:themeFill="background1"/>
            <w:noWrap/>
            <w:vAlign w:val="bottom"/>
            <w:hideMark/>
          </w:tcPr>
          <w:p w14:paraId="5F152D3C" w14:textId="77777777" w:rsidR="009A5621" w:rsidRPr="004633E6" w:rsidRDefault="009A5621" w:rsidP="004633E6">
            <w:pPr>
              <w:jc w:val="center"/>
              <w:rPr>
                <w:color w:val="000000"/>
              </w:rPr>
            </w:pPr>
            <w:r w:rsidRPr="004633E6">
              <w:rPr>
                <w:color w:val="000000"/>
              </w:rPr>
              <w:t>-0,25460</w:t>
            </w:r>
          </w:p>
        </w:tc>
        <w:tc>
          <w:tcPr>
            <w:tcW w:w="2126" w:type="dxa"/>
            <w:shd w:val="clear" w:color="auto" w:fill="FFFFFF" w:themeFill="background1"/>
            <w:noWrap/>
            <w:vAlign w:val="bottom"/>
            <w:hideMark/>
          </w:tcPr>
          <w:p w14:paraId="4A7533C8" w14:textId="77777777" w:rsidR="009A5621" w:rsidRPr="004633E6" w:rsidRDefault="009A5621" w:rsidP="004633E6">
            <w:pPr>
              <w:jc w:val="center"/>
              <w:rPr>
                <w:color w:val="000000"/>
              </w:rPr>
            </w:pPr>
            <w:r w:rsidRPr="004633E6">
              <w:rPr>
                <w:color w:val="000000"/>
              </w:rPr>
              <w:t>-0,06021</w:t>
            </w:r>
          </w:p>
        </w:tc>
      </w:tr>
      <w:tr w:rsidR="009A5621" w:rsidRPr="004633E6" w14:paraId="5CA1D68C" w14:textId="77777777" w:rsidTr="004633E6">
        <w:trPr>
          <w:trHeight w:val="300"/>
        </w:trPr>
        <w:tc>
          <w:tcPr>
            <w:tcW w:w="2425" w:type="dxa"/>
            <w:shd w:val="clear" w:color="auto" w:fill="FFFFFF" w:themeFill="background1"/>
            <w:noWrap/>
            <w:vAlign w:val="bottom"/>
            <w:hideMark/>
          </w:tcPr>
          <w:p w14:paraId="60EA7343" w14:textId="77777777" w:rsidR="009A5621" w:rsidRPr="004633E6" w:rsidRDefault="004633E6" w:rsidP="009A5621">
            <w:pPr>
              <w:jc w:val="both"/>
              <w:rPr>
                <w:color w:val="000000"/>
              </w:rPr>
            </w:pPr>
            <w:r w:rsidRPr="004633E6">
              <w:rPr>
                <w:color w:val="000000"/>
              </w:rPr>
              <w:t>Diferença %</w:t>
            </w:r>
          </w:p>
        </w:tc>
        <w:tc>
          <w:tcPr>
            <w:tcW w:w="1559" w:type="dxa"/>
            <w:shd w:val="clear" w:color="auto" w:fill="FFFFFF" w:themeFill="background1"/>
            <w:noWrap/>
            <w:vAlign w:val="bottom"/>
          </w:tcPr>
          <w:p w14:paraId="1D54AF4D" w14:textId="77777777" w:rsidR="009A5621" w:rsidRPr="004633E6" w:rsidRDefault="009A5621" w:rsidP="004633E6">
            <w:pPr>
              <w:jc w:val="center"/>
              <w:rPr>
                <w:color w:val="000000"/>
              </w:rPr>
            </w:pPr>
            <w:r w:rsidRPr="004633E6">
              <w:rPr>
                <w:color w:val="000000"/>
              </w:rPr>
              <w:t>-13,96%</w:t>
            </w:r>
          </w:p>
        </w:tc>
        <w:tc>
          <w:tcPr>
            <w:tcW w:w="1276" w:type="dxa"/>
            <w:shd w:val="clear" w:color="auto" w:fill="FFFFFF" w:themeFill="background1"/>
            <w:noWrap/>
            <w:vAlign w:val="bottom"/>
          </w:tcPr>
          <w:p w14:paraId="54D5EE45" w14:textId="77777777" w:rsidR="009A5621" w:rsidRPr="004633E6" w:rsidRDefault="009A5621" w:rsidP="004633E6">
            <w:pPr>
              <w:jc w:val="center"/>
              <w:rPr>
                <w:color w:val="000000"/>
              </w:rPr>
            </w:pPr>
            <w:r w:rsidRPr="004633E6">
              <w:rPr>
                <w:color w:val="000000"/>
              </w:rPr>
              <w:t>-13,15%</w:t>
            </w:r>
          </w:p>
        </w:tc>
        <w:tc>
          <w:tcPr>
            <w:tcW w:w="1701" w:type="dxa"/>
            <w:shd w:val="clear" w:color="auto" w:fill="FFFFFF" w:themeFill="background1"/>
            <w:noWrap/>
            <w:vAlign w:val="bottom"/>
          </w:tcPr>
          <w:p w14:paraId="2E22A9FB" w14:textId="77777777" w:rsidR="009A5621" w:rsidRPr="004633E6" w:rsidRDefault="009A5621" w:rsidP="004633E6">
            <w:pPr>
              <w:jc w:val="center"/>
              <w:rPr>
                <w:color w:val="000000"/>
              </w:rPr>
            </w:pPr>
            <w:r w:rsidRPr="004633E6">
              <w:rPr>
                <w:color w:val="000000"/>
              </w:rPr>
              <w:t>-15,45%</w:t>
            </w:r>
          </w:p>
        </w:tc>
        <w:tc>
          <w:tcPr>
            <w:tcW w:w="2126" w:type="dxa"/>
            <w:shd w:val="clear" w:color="auto" w:fill="FFFFFF" w:themeFill="background1"/>
            <w:noWrap/>
            <w:vAlign w:val="bottom"/>
          </w:tcPr>
          <w:p w14:paraId="02DFBEA8" w14:textId="77777777" w:rsidR="009A5621" w:rsidRPr="004633E6" w:rsidRDefault="009A5621" w:rsidP="004633E6">
            <w:pPr>
              <w:jc w:val="center"/>
              <w:rPr>
                <w:color w:val="000000"/>
              </w:rPr>
            </w:pPr>
            <w:r w:rsidRPr="004633E6">
              <w:rPr>
                <w:color w:val="000000"/>
              </w:rPr>
              <w:t>-13,76%</w:t>
            </w:r>
          </w:p>
        </w:tc>
      </w:tr>
    </w:tbl>
    <w:p w14:paraId="47B09672" w14:textId="77777777" w:rsidR="009A5621" w:rsidRPr="00BA49A2" w:rsidRDefault="009A5621" w:rsidP="009A5621">
      <w:pPr>
        <w:jc w:val="both"/>
        <w:rPr>
          <w:b/>
          <w:sz w:val="24"/>
          <w:szCs w:val="24"/>
        </w:rPr>
      </w:pPr>
    </w:p>
    <w:p w14:paraId="5C887F3C" w14:textId="77777777" w:rsidR="009A5621" w:rsidRPr="00BA49A2" w:rsidRDefault="004633E6" w:rsidP="009A5621">
      <w:pPr>
        <w:ind w:firstLine="709"/>
        <w:jc w:val="both"/>
        <w:rPr>
          <w:sz w:val="24"/>
          <w:szCs w:val="24"/>
        </w:rPr>
      </w:pPr>
      <w:r>
        <w:rPr>
          <w:sz w:val="24"/>
          <w:szCs w:val="24"/>
        </w:rPr>
        <w:t>A Tabela</w:t>
      </w:r>
      <w:r w:rsidR="009A5621" w:rsidRPr="00BA49A2">
        <w:rPr>
          <w:sz w:val="24"/>
          <w:szCs w:val="24"/>
        </w:rPr>
        <w:t xml:space="preserve"> 8 demonstra que com a revogação da ST, o Supermercado apresentou uma queda no lucro em todos os produtos selecionados, no açúcar a queda foi de 13,96%, no café 13,15%, na manteiga 15,45% e no óleo de soja 13,76%.</w:t>
      </w:r>
    </w:p>
    <w:p w14:paraId="7B86093E" w14:textId="77777777" w:rsidR="009A5621" w:rsidRPr="00BA49A2" w:rsidRDefault="009A5621" w:rsidP="009A5621">
      <w:pPr>
        <w:ind w:firstLine="709"/>
        <w:jc w:val="both"/>
        <w:rPr>
          <w:sz w:val="24"/>
          <w:szCs w:val="24"/>
        </w:rPr>
      </w:pPr>
      <w:r w:rsidRPr="00BA49A2">
        <w:rPr>
          <w:sz w:val="24"/>
          <w:szCs w:val="24"/>
        </w:rPr>
        <w:t>Para demonstrar o impacto caudado pela revogação do ICMS-ST, foi elaborado um quadro com os itens selecionados para o estudo e suas respectivas quantidades mensais de acordo com DIEESE.</w:t>
      </w:r>
    </w:p>
    <w:p w14:paraId="63B1D6D7" w14:textId="77777777" w:rsidR="00257FAD" w:rsidRPr="00BA49A2" w:rsidRDefault="00257FAD" w:rsidP="009A5621">
      <w:pPr>
        <w:jc w:val="both"/>
        <w:rPr>
          <w:sz w:val="24"/>
          <w:szCs w:val="24"/>
        </w:rPr>
      </w:pPr>
    </w:p>
    <w:p w14:paraId="6A50569B" w14:textId="77777777" w:rsidR="004633E6" w:rsidRPr="004633E6" w:rsidRDefault="004633E6" w:rsidP="009A5621">
      <w:pPr>
        <w:jc w:val="both"/>
        <w:rPr>
          <w:sz w:val="24"/>
          <w:szCs w:val="24"/>
        </w:rPr>
      </w:pPr>
      <w:r w:rsidRPr="004633E6">
        <w:rPr>
          <w:sz w:val="24"/>
          <w:szCs w:val="24"/>
        </w:rPr>
        <w:t>Tabela</w:t>
      </w:r>
      <w:r w:rsidR="009A5621" w:rsidRPr="004633E6">
        <w:rPr>
          <w:sz w:val="24"/>
          <w:szCs w:val="24"/>
        </w:rPr>
        <w:t xml:space="preserve"> 9</w:t>
      </w:r>
    </w:p>
    <w:p w14:paraId="27177032" w14:textId="77777777" w:rsidR="009A5621" w:rsidRPr="00BA49A2" w:rsidRDefault="009A5621" w:rsidP="009A5621">
      <w:pPr>
        <w:jc w:val="both"/>
        <w:rPr>
          <w:b/>
          <w:sz w:val="24"/>
          <w:szCs w:val="24"/>
        </w:rPr>
      </w:pPr>
      <w:r w:rsidRPr="00BA49A2">
        <w:rPr>
          <w:b/>
          <w:sz w:val="24"/>
          <w:szCs w:val="24"/>
        </w:rPr>
        <w:t>Diferença do Impacto na Cesta Básica.</w:t>
      </w:r>
    </w:p>
    <w:tbl>
      <w:tblPr>
        <w:tblW w:w="9017" w:type="dxa"/>
        <w:tblInd w:w="55" w:type="dxa"/>
        <w:tblBorders>
          <w:top w:val="single" w:sz="4" w:space="0" w:color="auto"/>
          <w:bottom w:val="single"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938"/>
        <w:gridCol w:w="708"/>
        <w:gridCol w:w="567"/>
        <w:gridCol w:w="993"/>
        <w:gridCol w:w="1134"/>
        <w:gridCol w:w="992"/>
        <w:gridCol w:w="1276"/>
        <w:gridCol w:w="992"/>
        <w:gridCol w:w="1417"/>
      </w:tblGrid>
      <w:tr w:rsidR="009A5621" w:rsidRPr="006B65C8" w14:paraId="602C79E2" w14:textId="77777777" w:rsidTr="008E4574">
        <w:trPr>
          <w:cantSplit/>
          <w:trHeight w:val="1417"/>
        </w:trPr>
        <w:tc>
          <w:tcPr>
            <w:tcW w:w="938" w:type="dxa"/>
            <w:tcBorders>
              <w:top w:val="single" w:sz="4" w:space="0" w:color="auto"/>
              <w:bottom w:val="single" w:sz="4" w:space="0" w:color="auto"/>
            </w:tcBorders>
            <w:shd w:val="clear" w:color="auto" w:fill="FFFFFF" w:themeFill="background1"/>
            <w:textDirection w:val="btLr"/>
            <w:vAlign w:val="center"/>
            <w:hideMark/>
          </w:tcPr>
          <w:p w14:paraId="4937F99E" w14:textId="77777777" w:rsidR="009A5621" w:rsidRPr="006B65C8" w:rsidRDefault="006B65C8" w:rsidP="006B65C8">
            <w:pPr>
              <w:ind w:left="113" w:right="113"/>
              <w:jc w:val="center"/>
              <w:rPr>
                <w:b/>
                <w:color w:val="000000"/>
              </w:rPr>
            </w:pPr>
            <w:r w:rsidRPr="006B65C8">
              <w:rPr>
                <w:b/>
                <w:color w:val="000000"/>
              </w:rPr>
              <w:t>Produto</w:t>
            </w:r>
          </w:p>
        </w:tc>
        <w:tc>
          <w:tcPr>
            <w:tcW w:w="708" w:type="dxa"/>
            <w:tcBorders>
              <w:top w:val="single" w:sz="4" w:space="0" w:color="auto"/>
              <w:bottom w:val="single" w:sz="4" w:space="0" w:color="auto"/>
            </w:tcBorders>
            <w:shd w:val="clear" w:color="auto" w:fill="FFFFFF" w:themeFill="background1"/>
            <w:textDirection w:val="btLr"/>
            <w:vAlign w:val="center"/>
            <w:hideMark/>
          </w:tcPr>
          <w:p w14:paraId="036FF8DF" w14:textId="77777777" w:rsidR="009A5621" w:rsidRPr="006B65C8" w:rsidRDefault="006B65C8" w:rsidP="006B65C8">
            <w:pPr>
              <w:ind w:left="113" w:right="113"/>
              <w:jc w:val="center"/>
              <w:rPr>
                <w:b/>
                <w:bCs/>
                <w:color w:val="000000"/>
              </w:rPr>
            </w:pPr>
            <w:r w:rsidRPr="006B65C8">
              <w:rPr>
                <w:b/>
                <w:bCs/>
                <w:color w:val="000000"/>
              </w:rPr>
              <w:t xml:space="preserve">Cálculos (Gr </w:t>
            </w:r>
            <w:r>
              <w:rPr>
                <w:b/>
                <w:bCs/>
                <w:color w:val="000000"/>
              </w:rPr>
              <w:t>o</w:t>
            </w:r>
            <w:r w:rsidRPr="006B65C8">
              <w:rPr>
                <w:b/>
                <w:bCs/>
                <w:color w:val="000000"/>
              </w:rPr>
              <w:t>u Ml)</w:t>
            </w:r>
          </w:p>
        </w:tc>
        <w:tc>
          <w:tcPr>
            <w:tcW w:w="567" w:type="dxa"/>
            <w:tcBorders>
              <w:top w:val="single" w:sz="4" w:space="0" w:color="auto"/>
              <w:bottom w:val="single" w:sz="4" w:space="0" w:color="auto"/>
            </w:tcBorders>
            <w:shd w:val="clear" w:color="auto" w:fill="FFFFFF" w:themeFill="background1"/>
            <w:textDirection w:val="btLr"/>
            <w:vAlign w:val="center"/>
            <w:hideMark/>
          </w:tcPr>
          <w:p w14:paraId="79AB27A6" w14:textId="77777777" w:rsidR="009A5621" w:rsidRPr="006B65C8" w:rsidRDefault="006B65C8" w:rsidP="006B65C8">
            <w:pPr>
              <w:ind w:left="113" w:right="113"/>
              <w:jc w:val="center"/>
              <w:rPr>
                <w:b/>
                <w:bCs/>
                <w:color w:val="000000"/>
              </w:rPr>
            </w:pPr>
            <w:r w:rsidRPr="006B65C8">
              <w:rPr>
                <w:b/>
                <w:bCs/>
                <w:color w:val="000000"/>
              </w:rPr>
              <w:t>Cesta Básica (Gr Ou Ml)</w:t>
            </w:r>
          </w:p>
        </w:tc>
        <w:tc>
          <w:tcPr>
            <w:tcW w:w="993" w:type="dxa"/>
            <w:tcBorders>
              <w:top w:val="single" w:sz="4" w:space="0" w:color="auto"/>
              <w:bottom w:val="single" w:sz="4" w:space="0" w:color="auto"/>
            </w:tcBorders>
            <w:shd w:val="clear" w:color="auto" w:fill="FFFFFF" w:themeFill="background1"/>
            <w:textDirection w:val="btLr"/>
            <w:vAlign w:val="center"/>
            <w:hideMark/>
          </w:tcPr>
          <w:p w14:paraId="361D04B0" w14:textId="77777777" w:rsidR="009A5621" w:rsidRPr="006B65C8" w:rsidRDefault="006B65C8" w:rsidP="006B65C8">
            <w:pPr>
              <w:ind w:left="113" w:right="113"/>
              <w:jc w:val="center"/>
              <w:rPr>
                <w:b/>
                <w:bCs/>
                <w:color w:val="000000"/>
              </w:rPr>
            </w:pPr>
            <w:r w:rsidRPr="006B65C8">
              <w:rPr>
                <w:b/>
                <w:bCs/>
                <w:color w:val="000000"/>
              </w:rPr>
              <w:t>Diferença Arrecadação</w:t>
            </w:r>
          </w:p>
        </w:tc>
        <w:tc>
          <w:tcPr>
            <w:tcW w:w="1134" w:type="dxa"/>
            <w:tcBorders>
              <w:top w:val="single" w:sz="4" w:space="0" w:color="auto"/>
              <w:bottom w:val="single" w:sz="4" w:space="0" w:color="auto"/>
            </w:tcBorders>
            <w:shd w:val="clear" w:color="auto" w:fill="FFFFFF" w:themeFill="background1"/>
            <w:textDirection w:val="btLr"/>
            <w:vAlign w:val="center"/>
            <w:hideMark/>
          </w:tcPr>
          <w:p w14:paraId="1249B7AC" w14:textId="77777777" w:rsidR="009A5621" w:rsidRPr="006B65C8" w:rsidRDefault="006B65C8" w:rsidP="006B65C8">
            <w:pPr>
              <w:ind w:left="113" w:right="113"/>
              <w:jc w:val="center"/>
              <w:rPr>
                <w:b/>
                <w:bCs/>
                <w:color w:val="000000"/>
              </w:rPr>
            </w:pPr>
            <w:r w:rsidRPr="006B65C8">
              <w:rPr>
                <w:b/>
                <w:bCs/>
                <w:color w:val="000000"/>
              </w:rPr>
              <w:t xml:space="preserve">Diferença Arrecadação </w:t>
            </w:r>
            <w:r>
              <w:rPr>
                <w:b/>
                <w:bCs/>
                <w:color w:val="000000"/>
              </w:rPr>
              <w:t>n</w:t>
            </w:r>
            <w:r w:rsidRPr="006B65C8">
              <w:rPr>
                <w:b/>
                <w:bCs/>
                <w:color w:val="000000"/>
              </w:rPr>
              <w:t>a Cesta Básica</w:t>
            </w:r>
          </w:p>
        </w:tc>
        <w:tc>
          <w:tcPr>
            <w:tcW w:w="992" w:type="dxa"/>
            <w:tcBorders>
              <w:top w:val="single" w:sz="4" w:space="0" w:color="auto"/>
              <w:bottom w:val="single" w:sz="4" w:space="0" w:color="auto"/>
            </w:tcBorders>
            <w:shd w:val="clear" w:color="auto" w:fill="FFFFFF" w:themeFill="background1"/>
            <w:textDirection w:val="btLr"/>
            <w:vAlign w:val="center"/>
            <w:hideMark/>
          </w:tcPr>
          <w:p w14:paraId="3117EBE5" w14:textId="77777777" w:rsidR="009A5621" w:rsidRPr="006B65C8" w:rsidRDefault="006B65C8" w:rsidP="006B65C8">
            <w:pPr>
              <w:ind w:left="113" w:right="113"/>
              <w:jc w:val="center"/>
              <w:rPr>
                <w:b/>
                <w:bCs/>
                <w:color w:val="000000"/>
              </w:rPr>
            </w:pPr>
            <w:r w:rsidRPr="006B65C8">
              <w:rPr>
                <w:b/>
                <w:bCs/>
                <w:color w:val="000000"/>
              </w:rPr>
              <w:t xml:space="preserve">Diferença Preço </w:t>
            </w:r>
            <w:r>
              <w:rPr>
                <w:b/>
                <w:bCs/>
                <w:color w:val="000000"/>
              </w:rPr>
              <w:t>d</w:t>
            </w:r>
            <w:r w:rsidRPr="006B65C8">
              <w:rPr>
                <w:b/>
                <w:bCs/>
                <w:color w:val="000000"/>
              </w:rPr>
              <w:t>e Venda</w:t>
            </w:r>
          </w:p>
        </w:tc>
        <w:tc>
          <w:tcPr>
            <w:tcW w:w="1276" w:type="dxa"/>
            <w:tcBorders>
              <w:top w:val="single" w:sz="4" w:space="0" w:color="auto"/>
              <w:bottom w:val="single" w:sz="4" w:space="0" w:color="auto"/>
            </w:tcBorders>
            <w:shd w:val="clear" w:color="auto" w:fill="FFFFFF" w:themeFill="background1"/>
            <w:textDirection w:val="btLr"/>
            <w:vAlign w:val="center"/>
            <w:hideMark/>
          </w:tcPr>
          <w:p w14:paraId="7DC182AF" w14:textId="77777777" w:rsidR="009A5621" w:rsidRPr="006B65C8" w:rsidRDefault="006B65C8" w:rsidP="006B65C8">
            <w:pPr>
              <w:ind w:left="113" w:right="113"/>
              <w:jc w:val="center"/>
              <w:rPr>
                <w:b/>
                <w:bCs/>
                <w:color w:val="000000"/>
              </w:rPr>
            </w:pPr>
            <w:r w:rsidRPr="006B65C8">
              <w:rPr>
                <w:b/>
                <w:bCs/>
                <w:color w:val="000000"/>
              </w:rPr>
              <w:t xml:space="preserve">Diferença Preço </w:t>
            </w:r>
            <w:r>
              <w:rPr>
                <w:b/>
                <w:bCs/>
                <w:color w:val="000000"/>
              </w:rPr>
              <w:t>d</w:t>
            </w:r>
            <w:r w:rsidRPr="006B65C8">
              <w:rPr>
                <w:b/>
                <w:bCs/>
                <w:color w:val="000000"/>
              </w:rPr>
              <w:t xml:space="preserve">e Venda </w:t>
            </w:r>
            <w:r>
              <w:rPr>
                <w:b/>
                <w:bCs/>
                <w:color w:val="000000"/>
              </w:rPr>
              <w:t>n</w:t>
            </w:r>
            <w:r w:rsidRPr="006B65C8">
              <w:rPr>
                <w:b/>
                <w:bCs/>
                <w:color w:val="000000"/>
              </w:rPr>
              <w:t>a Cesta Básica</w:t>
            </w:r>
          </w:p>
        </w:tc>
        <w:tc>
          <w:tcPr>
            <w:tcW w:w="992" w:type="dxa"/>
            <w:tcBorders>
              <w:top w:val="single" w:sz="4" w:space="0" w:color="auto"/>
              <w:bottom w:val="single" w:sz="4" w:space="0" w:color="auto"/>
            </w:tcBorders>
            <w:shd w:val="clear" w:color="auto" w:fill="FFFFFF" w:themeFill="background1"/>
            <w:textDirection w:val="btLr"/>
            <w:vAlign w:val="center"/>
            <w:hideMark/>
          </w:tcPr>
          <w:p w14:paraId="03BF7342" w14:textId="77777777" w:rsidR="009A5621" w:rsidRPr="006B65C8" w:rsidRDefault="006B65C8" w:rsidP="006B65C8">
            <w:pPr>
              <w:ind w:left="113" w:right="113"/>
              <w:jc w:val="center"/>
              <w:rPr>
                <w:b/>
                <w:bCs/>
                <w:color w:val="000000"/>
              </w:rPr>
            </w:pPr>
            <w:r w:rsidRPr="006B65C8">
              <w:rPr>
                <w:b/>
                <w:bCs/>
                <w:color w:val="000000"/>
              </w:rPr>
              <w:t>Diferença Lucro</w:t>
            </w:r>
          </w:p>
        </w:tc>
        <w:tc>
          <w:tcPr>
            <w:tcW w:w="1417" w:type="dxa"/>
            <w:tcBorders>
              <w:top w:val="single" w:sz="4" w:space="0" w:color="auto"/>
              <w:bottom w:val="single" w:sz="4" w:space="0" w:color="auto"/>
            </w:tcBorders>
            <w:shd w:val="clear" w:color="auto" w:fill="FFFFFF" w:themeFill="background1"/>
            <w:textDirection w:val="btLr"/>
            <w:vAlign w:val="center"/>
            <w:hideMark/>
          </w:tcPr>
          <w:p w14:paraId="62B54BDE" w14:textId="77777777" w:rsidR="009A5621" w:rsidRPr="006B65C8" w:rsidRDefault="006B65C8" w:rsidP="006B65C8">
            <w:pPr>
              <w:ind w:left="113" w:right="113"/>
              <w:jc w:val="center"/>
              <w:rPr>
                <w:b/>
                <w:bCs/>
                <w:color w:val="000000"/>
              </w:rPr>
            </w:pPr>
            <w:r w:rsidRPr="006B65C8">
              <w:rPr>
                <w:b/>
                <w:bCs/>
                <w:color w:val="000000"/>
              </w:rPr>
              <w:t xml:space="preserve">Diferença Lucro </w:t>
            </w:r>
            <w:r>
              <w:rPr>
                <w:b/>
                <w:bCs/>
                <w:color w:val="000000"/>
              </w:rPr>
              <w:t>n</w:t>
            </w:r>
            <w:r w:rsidRPr="006B65C8">
              <w:rPr>
                <w:b/>
                <w:bCs/>
                <w:color w:val="000000"/>
              </w:rPr>
              <w:t>a Cesta Básica</w:t>
            </w:r>
          </w:p>
        </w:tc>
      </w:tr>
      <w:tr w:rsidR="009A5621" w:rsidRPr="006B65C8" w14:paraId="5F2FAF73" w14:textId="77777777" w:rsidTr="008E4574">
        <w:trPr>
          <w:trHeight w:val="300"/>
        </w:trPr>
        <w:tc>
          <w:tcPr>
            <w:tcW w:w="938" w:type="dxa"/>
            <w:tcBorders>
              <w:top w:val="single" w:sz="4" w:space="0" w:color="auto"/>
            </w:tcBorders>
            <w:shd w:val="clear" w:color="auto" w:fill="FFFFFF" w:themeFill="background1"/>
            <w:noWrap/>
            <w:vAlign w:val="center"/>
            <w:hideMark/>
          </w:tcPr>
          <w:p w14:paraId="254CC512" w14:textId="77777777" w:rsidR="009A5621" w:rsidRPr="006B65C8" w:rsidRDefault="009A5621" w:rsidP="006B65C8">
            <w:pPr>
              <w:jc w:val="center"/>
              <w:rPr>
                <w:bCs/>
                <w:color w:val="000000"/>
              </w:rPr>
            </w:pPr>
            <w:r w:rsidRPr="006B65C8">
              <w:rPr>
                <w:bCs/>
                <w:color w:val="000000"/>
              </w:rPr>
              <w:lastRenderedPageBreak/>
              <w:t>Açúcar</w:t>
            </w:r>
          </w:p>
        </w:tc>
        <w:tc>
          <w:tcPr>
            <w:tcW w:w="708" w:type="dxa"/>
            <w:tcBorders>
              <w:top w:val="single" w:sz="4" w:space="0" w:color="auto"/>
            </w:tcBorders>
            <w:shd w:val="clear" w:color="auto" w:fill="FFFFFF" w:themeFill="background1"/>
            <w:noWrap/>
            <w:vAlign w:val="center"/>
            <w:hideMark/>
          </w:tcPr>
          <w:p w14:paraId="0D310195" w14:textId="77777777" w:rsidR="009A5621" w:rsidRPr="006B65C8" w:rsidRDefault="009A5621" w:rsidP="006B65C8">
            <w:pPr>
              <w:jc w:val="center"/>
              <w:rPr>
                <w:color w:val="000000"/>
              </w:rPr>
            </w:pPr>
            <w:r w:rsidRPr="006B65C8">
              <w:rPr>
                <w:color w:val="000000"/>
              </w:rPr>
              <w:t>1000</w:t>
            </w:r>
          </w:p>
        </w:tc>
        <w:tc>
          <w:tcPr>
            <w:tcW w:w="567" w:type="dxa"/>
            <w:tcBorders>
              <w:top w:val="single" w:sz="4" w:space="0" w:color="auto"/>
            </w:tcBorders>
            <w:shd w:val="clear" w:color="auto" w:fill="FFFFFF" w:themeFill="background1"/>
            <w:noWrap/>
            <w:vAlign w:val="center"/>
            <w:hideMark/>
          </w:tcPr>
          <w:p w14:paraId="2C1673E4" w14:textId="77777777" w:rsidR="009A5621" w:rsidRPr="006B65C8" w:rsidRDefault="009A5621" w:rsidP="006B65C8">
            <w:pPr>
              <w:jc w:val="center"/>
              <w:rPr>
                <w:color w:val="000000"/>
              </w:rPr>
            </w:pPr>
            <w:r w:rsidRPr="006B65C8">
              <w:rPr>
                <w:color w:val="000000"/>
              </w:rPr>
              <w:t>3000</w:t>
            </w:r>
          </w:p>
        </w:tc>
        <w:tc>
          <w:tcPr>
            <w:tcW w:w="993" w:type="dxa"/>
            <w:tcBorders>
              <w:top w:val="single" w:sz="4" w:space="0" w:color="auto"/>
            </w:tcBorders>
            <w:shd w:val="clear" w:color="auto" w:fill="FFFFFF" w:themeFill="background1"/>
            <w:noWrap/>
            <w:vAlign w:val="center"/>
            <w:hideMark/>
          </w:tcPr>
          <w:p w14:paraId="7468C598" w14:textId="77777777" w:rsidR="009A5621" w:rsidRPr="006B65C8" w:rsidRDefault="009A5621" w:rsidP="006B65C8">
            <w:pPr>
              <w:jc w:val="center"/>
              <w:rPr>
                <w:color w:val="000000"/>
              </w:rPr>
            </w:pPr>
            <w:r w:rsidRPr="006B65C8">
              <w:rPr>
                <w:color w:val="000000"/>
              </w:rPr>
              <w:t>0,01058</w:t>
            </w:r>
          </w:p>
        </w:tc>
        <w:tc>
          <w:tcPr>
            <w:tcW w:w="1134" w:type="dxa"/>
            <w:tcBorders>
              <w:top w:val="single" w:sz="4" w:space="0" w:color="auto"/>
            </w:tcBorders>
            <w:shd w:val="clear" w:color="auto" w:fill="FFFFFF" w:themeFill="background1"/>
            <w:noWrap/>
            <w:vAlign w:val="center"/>
            <w:hideMark/>
          </w:tcPr>
          <w:p w14:paraId="72715B44" w14:textId="77777777" w:rsidR="009A5621" w:rsidRPr="006B65C8" w:rsidRDefault="009A5621" w:rsidP="006B65C8">
            <w:pPr>
              <w:jc w:val="center"/>
              <w:rPr>
                <w:color w:val="000000"/>
              </w:rPr>
            </w:pPr>
            <w:r w:rsidRPr="006B65C8">
              <w:rPr>
                <w:color w:val="000000"/>
              </w:rPr>
              <w:t>0,03174</w:t>
            </w:r>
          </w:p>
        </w:tc>
        <w:tc>
          <w:tcPr>
            <w:tcW w:w="992" w:type="dxa"/>
            <w:tcBorders>
              <w:top w:val="single" w:sz="4" w:space="0" w:color="auto"/>
            </w:tcBorders>
            <w:shd w:val="clear" w:color="auto" w:fill="FFFFFF" w:themeFill="background1"/>
            <w:noWrap/>
            <w:vAlign w:val="center"/>
            <w:hideMark/>
          </w:tcPr>
          <w:p w14:paraId="01C73412" w14:textId="77777777" w:rsidR="009A5621" w:rsidRPr="006B65C8" w:rsidRDefault="009A5621" w:rsidP="006B65C8">
            <w:pPr>
              <w:jc w:val="center"/>
              <w:rPr>
                <w:color w:val="000000"/>
              </w:rPr>
            </w:pPr>
            <w:r w:rsidRPr="006B65C8">
              <w:rPr>
                <w:color w:val="000000"/>
              </w:rPr>
              <w:t>- 0,04189</w:t>
            </w:r>
          </w:p>
        </w:tc>
        <w:tc>
          <w:tcPr>
            <w:tcW w:w="1276" w:type="dxa"/>
            <w:tcBorders>
              <w:top w:val="single" w:sz="4" w:space="0" w:color="auto"/>
            </w:tcBorders>
            <w:shd w:val="clear" w:color="auto" w:fill="FFFFFF" w:themeFill="background1"/>
            <w:noWrap/>
            <w:vAlign w:val="center"/>
            <w:hideMark/>
          </w:tcPr>
          <w:p w14:paraId="52254D76" w14:textId="77777777" w:rsidR="009A5621" w:rsidRPr="006B65C8" w:rsidRDefault="009A5621" w:rsidP="006B65C8">
            <w:pPr>
              <w:jc w:val="center"/>
              <w:rPr>
                <w:color w:val="000000"/>
              </w:rPr>
            </w:pPr>
            <w:r w:rsidRPr="006B65C8">
              <w:rPr>
                <w:color w:val="000000"/>
              </w:rPr>
              <w:t>-</w:t>
            </w:r>
            <w:r w:rsidR="008E4574">
              <w:rPr>
                <w:color w:val="000000"/>
              </w:rPr>
              <w:t xml:space="preserve"> </w:t>
            </w:r>
            <w:r w:rsidRPr="006B65C8">
              <w:rPr>
                <w:color w:val="000000"/>
              </w:rPr>
              <w:t>0,12567</w:t>
            </w:r>
          </w:p>
        </w:tc>
        <w:tc>
          <w:tcPr>
            <w:tcW w:w="992" w:type="dxa"/>
            <w:tcBorders>
              <w:top w:val="single" w:sz="4" w:space="0" w:color="auto"/>
            </w:tcBorders>
            <w:shd w:val="clear" w:color="auto" w:fill="FFFFFF" w:themeFill="background1"/>
            <w:noWrap/>
            <w:vAlign w:val="center"/>
            <w:hideMark/>
          </w:tcPr>
          <w:p w14:paraId="7C19872D" w14:textId="77777777" w:rsidR="009A5621" w:rsidRPr="006B65C8" w:rsidRDefault="009A5621" w:rsidP="006B65C8">
            <w:pPr>
              <w:jc w:val="center"/>
              <w:rPr>
                <w:color w:val="000000"/>
              </w:rPr>
            </w:pPr>
            <w:r w:rsidRPr="006B65C8">
              <w:rPr>
                <w:color w:val="000000"/>
              </w:rPr>
              <w:t>- 0,05248</w:t>
            </w:r>
          </w:p>
        </w:tc>
        <w:tc>
          <w:tcPr>
            <w:tcW w:w="1417" w:type="dxa"/>
            <w:tcBorders>
              <w:top w:val="single" w:sz="4" w:space="0" w:color="auto"/>
            </w:tcBorders>
            <w:shd w:val="clear" w:color="auto" w:fill="FFFFFF" w:themeFill="background1"/>
            <w:noWrap/>
            <w:vAlign w:val="center"/>
            <w:hideMark/>
          </w:tcPr>
          <w:p w14:paraId="7A63BBFC" w14:textId="77777777" w:rsidR="009A5621" w:rsidRPr="006B65C8" w:rsidRDefault="009A5621" w:rsidP="006B65C8">
            <w:pPr>
              <w:jc w:val="center"/>
              <w:rPr>
                <w:color w:val="000000"/>
              </w:rPr>
            </w:pPr>
            <w:r w:rsidRPr="006B65C8">
              <w:rPr>
                <w:color w:val="000000"/>
              </w:rPr>
              <w:t>- 0,15744</w:t>
            </w:r>
          </w:p>
        </w:tc>
      </w:tr>
      <w:tr w:rsidR="009A5621" w:rsidRPr="006B65C8" w14:paraId="71FD1BF2" w14:textId="77777777" w:rsidTr="008E4574">
        <w:trPr>
          <w:trHeight w:val="300"/>
        </w:trPr>
        <w:tc>
          <w:tcPr>
            <w:tcW w:w="938" w:type="dxa"/>
            <w:shd w:val="clear" w:color="auto" w:fill="FFFFFF" w:themeFill="background1"/>
            <w:noWrap/>
            <w:vAlign w:val="center"/>
            <w:hideMark/>
          </w:tcPr>
          <w:p w14:paraId="436AC730" w14:textId="77777777" w:rsidR="009A5621" w:rsidRPr="006B65C8" w:rsidRDefault="009A5621" w:rsidP="006B65C8">
            <w:pPr>
              <w:jc w:val="center"/>
              <w:rPr>
                <w:bCs/>
                <w:color w:val="000000"/>
              </w:rPr>
            </w:pPr>
            <w:r w:rsidRPr="006B65C8">
              <w:rPr>
                <w:bCs/>
                <w:color w:val="000000"/>
              </w:rPr>
              <w:t>Café</w:t>
            </w:r>
          </w:p>
        </w:tc>
        <w:tc>
          <w:tcPr>
            <w:tcW w:w="708" w:type="dxa"/>
            <w:shd w:val="clear" w:color="auto" w:fill="FFFFFF" w:themeFill="background1"/>
            <w:noWrap/>
            <w:vAlign w:val="center"/>
            <w:hideMark/>
          </w:tcPr>
          <w:p w14:paraId="7268524D" w14:textId="77777777" w:rsidR="009A5621" w:rsidRPr="006B65C8" w:rsidRDefault="009A5621" w:rsidP="006B65C8">
            <w:pPr>
              <w:jc w:val="center"/>
              <w:rPr>
                <w:color w:val="000000"/>
              </w:rPr>
            </w:pPr>
            <w:r w:rsidRPr="006B65C8">
              <w:rPr>
                <w:color w:val="000000"/>
              </w:rPr>
              <w:t>500</w:t>
            </w:r>
          </w:p>
        </w:tc>
        <w:tc>
          <w:tcPr>
            <w:tcW w:w="567" w:type="dxa"/>
            <w:shd w:val="clear" w:color="auto" w:fill="FFFFFF" w:themeFill="background1"/>
            <w:noWrap/>
            <w:vAlign w:val="center"/>
            <w:hideMark/>
          </w:tcPr>
          <w:p w14:paraId="272A5A52" w14:textId="77777777" w:rsidR="009A5621" w:rsidRPr="006B65C8" w:rsidRDefault="009A5621" w:rsidP="006B65C8">
            <w:pPr>
              <w:jc w:val="center"/>
              <w:rPr>
                <w:color w:val="000000"/>
              </w:rPr>
            </w:pPr>
            <w:r w:rsidRPr="006B65C8">
              <w:rPr>
                <w:color w:val="000000"/>
              </w:rPr>
              <w:t>600</w:t>
            </w:r>
          </w:p>
        </w:tc>
        <w:tc>
          <w:tcPr>
            <w:tcW w:w="993" w:type="dxa"/>
            <w:shd w:val="clear" w:color="auto" w:fill="FFFFFF" w:themeFill="background1"/>
            <w:noWrap/>
            <w:vAlign w:val="center"/>
            <w:hideMark/>
          </w:tcPr>
          <w:p w14:paraId="1ED7C97E" w14:textId="77777777" w:rsidR="009A5621" w:rsidRPr="006B65C8" w:rsidRDefault="009A5621" w:rsidP="006B65C8">
            <w:pPr>
              <w:jc w:val="center"/>
              <w:rPr>
                <w:color w:val="000000"/>
              </w:rPr>
            </w:pPr>
            <w:r w:rsidRPr="006B65C8">
              <w:rPr>
                <w:color w:val="000000"/>
              </w:rPr>
              <w:t>0,11518</w:t>
            </w:r>
          </w:p>
        </w:tc>
        <w:tc>
          <w:tcPr>
            <w:tcW w:w="1134" w:type="dxa"/>
            <w:shd w:val="clear" w:color="auto" w:fill="FFFFFF" w:themeFill="background1"/>
            <w:noWrap/>
            <w:vAlign w:val="center"/>
            <w:hideMark/>
          </w:tcPr>
          <w:p w14:paraId="5759A81C" w14:textId="77777777" w:rsidR="009A5621" w:rsidRPr="006B65C8" w:rsidRDefault="009A5621" w:rsidP="006B65C8">
            <w:pPr>
              <w:jc w:val="center"/>
              <w:rPr>
                <w:color w:val="000000"/>
              </w:rPr>
            </w:pPr>
            <w:r w:rsidRPr="006B65C8">
              <w:rPr>
                <w:color w:val="000000"/>
              </w:rPr>
              <w:t>0,13822</w:t>
            </w:r>
          </w:p>
        </w:tc>
        <w:tc>
          <w:tcPr>
            <w:tcW w:w="992" w:type="dxa"/>
            <w:shd w:val="clear" w:color="auto" w:fill="FFFFFF" w:themeFill="background1"/>
            <w:noWrap/>
            <w:vAlign w:val="center"/>
            <w:hideMark/>
          </w:tcPr>
          <w:p w14:paraId="25932300" w14:textId="77777777" w:rsidR="009A5621" w:rsidRPr="006B65C8" w:rsidRDefault="009A5621" w:rsidP="006B65C8">
            <w:pPr>
              <w:jc w:val="center"/>
              <w:rPr>
                <w:color w:val="000000"/>
              </w:rPr>
            </w:pPr>
            <w:r w:rsidRPr="006B65C8">
              <w:rPr>
                <w:color w:val="000000"/>
              </w:rPr>
              <w:t>- 0,10293</w:t>
            </w:r>
          </w:p>
        </w:tc>
        <w:tc>
          <w:tcPr>
            <w:tcW w:w="1276" w:type="dxa"/>
            <w:shd w:val="clear" w:color="auto" w:fill="FFFFFF" w:themeFill="background1"/>
            <w:noWrap/>
            <w:vAlign w:val="center"/>
            <w:hideMark/>
          </w:tcPr>
          <w:p w14:paraId="18B26EE6" w14:textId="77777777" w:rsidR="009A5621" w:rsidRPr="006B65C8" w:rsidRDefault="009A5621" w:rsidP="006B65C8">
            <w:pPr>
              <w:jc w:val="center"/>
              <w:rPr>
                <w:color w:val="000000"/>
              </w:rPr>
            </w:pPr>
            <w:r w:rsidRPr="006B65C8">
              <w:rPr>
                <w:color w:val="000000"/>
              </w:rPr>
              <w:t>- 0,12352</w:t>
            </w:r>
          </w:p>
        </w:tc>
        <w:tc>
          <w:tcPr>
            <w:tcW w:w="992" w:type="dxa"/>
            <w:shd w:val="clear" w:color="auto" w:fill="FFFFFF" w:themeFill="background1"/>
            <w:noWrap/>
            <w:vAlign w:val="center"/>
            <w:hideMark/>
          </w:tcPr>
          <w:p w14:paraId="1055345D" w14:textId="77777777" w:rsidR="009A5621" w:rsidRPr="006B65C8" w:rsidRDefault="009A5621" w:rsidP="006B65C8">
            <w:pPr>
              <w:jc w:val="center"/>
              <w:rPr>
                <w:color w:val="000000"/>
              </w:rPr>
            </w:pPr>
            <w:r w:rsidRPr="006B65C8">
              <w:rPr>
                <w:color w:val="000000"/>
              </w:rPr>
              <w:t>- 0,21811</w:t>
            </w:r>
          </w:p>
        </w:tc>
        <w:tc>
          <w:tcPr>
            <w:tcW w:w="1417" w:type="dxa"/>
            <w:shd w:val="clear" w:color="auto" w:fill="FFFFFF" w:themeFill="background1"/>
            <w:noWrap/>
            <w:vAlign w:val="center"/>
            <w:hideMark/>
          </w:tcPr>
          <w:p w14:paraId="2FC6A037" w14:textId="77777777" w:rsidR="009A5621" w:rsidRPr="006B65C8" w:rsidRDefault="009A5621" w:rsidP="006B65C8">
            <w:pPr>
              <w:jc w:val="center"/>
              <w:rPr>
                <w:color w:val="000000"/>
              </w:rPr>
            </w:pPr>
            <w:r w:rsidRPr="006B65C8">
              <w:rPr>
                <w:color w:val="000000"/>
              </w:rPr>
              <w:t>- 0,26173</w:t>
            </w:r>
          </w:p>
        </w:tc>
      </w:tr>
      <w:tr w:rsidR="009A5621" w:rsidRPr="006B65C8" w14:paraId="3EAE3E30" w14:textId="77777777" w:rsidTr="008E4574">
        <w:trPr>
          <w:trHeight w:val="300"/>
        </w:trPr>
        <w:tc>
          <w:tcPr>
            <w:tcW w:w="938" w:type="dxa"/>
            <w:shd w:val="clear" w:color="auto" w:fill="FFFFFF" w:themeFill="background1"/>
            <w:noWrap/>
            <w:vAlign w:val="center"/>
            <w:hideMark/>
          </w:tcPr>
          <w:p w14:paraId="1625F513" w14:textId="77777777" w:rsidR="009A5621" w:rsidRPr="006B65C8" w:rsidRDefault="009A5621" w:rsidP="006B65C8">
            <w:pPr>
              <w:jc w:val="center"/>
              <w:rPr>
                <w:bCs/>
                <w:color w:val="000000"/>
              </w:rPr>
            </w:pPr>
            <w:r w:rsidRPr="006B65C8">
              <w:rPr>
                <w:bCs/>
                <w:color w:val="000000"/>
              </w:rPr>
              <w:t>Manteiga</w:t>
            </w:r>
          </w:p>
        </w:tc>
        <w:tc>
          <w:tcPr>
            <w:tcW w:w="708" w:type="dxa"/>
            <w:shd w:val="clear" w:color="auto" w:fill="FFFFFF" w:themeFill="background1"/>
            <w:noWrap/>
            <w:vAlign w:val="center"/>
            <w:hideMark/>
          </w:tcPr>
          <w:p w14:paraId="49378B94" w14:textId="77777777" w:rsidR="009A5621" w:rsidRPr="006B65C8" w:rsidRDefault="009A5621" w:rsidP="006B65C8">
            <w:pPr>
              <w:jc w:val="center"/>
              <w:rPr>
                <w:color w:val="000000"/>
              </w:rPr>
            </w:pPr>
            <w:r w:rsidRPr="006B65C8">
              <w:rPr>
                <w:color w:val="000000"/>
              </w:rPr>
              <w:t>250</w:t>
            </w:r>
          </w:p>
        </w:tc>
        <w:tc>
          <w:tcPr>
            <w:tcW w:w="567" w:type="dxa"/>
            <w:shd w:val="clear" w:color="auto" w:fill="FFFFFF" w:themeFill="background1"/>
            <w:noWrap/>
            <w:vAlign w:val="center"/>
            <w:hideMark/>
          </w:tcPr>
          <w:p w14:paraId="72F29703" w14:textId="77777777" w:rsidR="009A5621" w:rsidRPr="006B65C8" w:rsidRDefault="009A5621" w:rsidP="006B65C8">
            <w:pPr>
              <w:jc w:val="center"/>
              <w:rPr>
                <w:color w:val="000000"/>
              </w:rPr>
            </w:pPr>
            <w:r w:rsidRPr="006B65C8">
              <w:rPr>
                <w:color w:val="000000"/>
              </w:rPr>
              <w:t>750</w:t>
            </w:r>
          </w:p>
        </w:tc>
        <w:tc>
          <w:tcPr>
            <w:tcW w:w="993" w:type="dxa"/>
            <w:shd w:val="clear" w:color="auto" w:fill="FFFFFF" w:themeFill="background1"/>
            <w:noWrap/>
            <w:vAlign w:val="center"/>
            <w:hideMark/>
          </w:tcPr>
          <w:p w14:paraId="5F983DA8" w14:textId="77777777" w:rsidR="009A5621" w:rsidRPr="006B65C8" w:rsidRDefault="009A5621" w:rsidP="006B65C8">
            <w:pPr>
              <w:jc w:val="center"/>
              <w:rPr>
                <w:color w:val="000000"/>
              </w:rPr>
            </w:pPr>
            <w:r w:rsidRPr="006B65C8">
              <w:rPr>
                <w:color w:val="000000"/>
              </w:rPr>
              <w:t>-</w:t>
            </w:r>
            <w:r w:rsidR="008E4574">
              <w:rPr>
                <w:color w:val="000000"/>
              </w:rPr>
              <w:t xml:space="preserve"> </w:t>
            </w:r>
            <w:r w:rsidRPr="006B65C8">
              <w:rPr>
                <w:color w:val="000000"/>
              </w:rPr>
              <w:t>0,00380</w:t>
            </w:r>
          </w:p>
        </w:tc>
        <w:tc>
          <w:tcPr>
            <w:tcW w:w="1134" w:type="dxa"/>
            <w:shd w:val="clear" w:color="auto" w:fill="FFFFFF" w:themeFill="background1"/>
            <w:noWrap/>
            <w:vAlign w:val="center"/>
            <w:hideMark/>
          </w:tcPr>
          <w:p w14:paraId="6E8241B3" w14:textId="77777777" w:rsidR="009A5621" w:rsidRPr="006B65C8" w:rsidRDefault="009A5621" w:rsidP="006B65C8">
            <w:pPr>
              <w:jc w:val="center"/>
              <w:rPr>
                <w:color w:val="000000"/>
              </w:rPr>
            </w:pPr>
            <w:r w:rsidRPr="006B65C8">
              <w:rPr>
                <w:color w:val="000000"/>
              </w:rPr>
              <w:t>- 0,01140</w:t>
            </w:r>
          </w:p>
        </w:tc>
        <w:tc>
          <w:tcPr>
            <w:tcW w:w="992" w:type="dxa"/>
            <w:shd w:val="clear" w:color="auto" w:fill="FFFFFF" w:themeFill="background1"/>
            <w:noWrap/>
            <w:vAlign w:val="center"/>
            <w:hideMark/>
          </w:tcPr>
          <w:p w14:paraId="161F70E8" w14:textId="77777777" w:rsidR="009A5621" w:rsidRPr="006B65C8" w:rsidRDefault="009A5621" w:rsidP="006B65C8">
            <w:pPr>
              <w:jc w:val="center"/>
              <w:rPr>
                <w:color w:val="000000"/>
              </w:rPr>
            </w:pPr>
            <w:r w:rsidRPr="006B65C8">
              <w:rPr>
                <w:color w:val="000000"/>
              </w:rPr>
              <w:t>- 0,25840</w:t>
            </w:r>
          </w:p>
        </w:tc>
        <w:tc>
          <w:tcPr>
            <w:tcW w:w="1276" w:type="dxa"/>
            <w:shd w:val="clear" w:color="auto" w:fill="FFFFFF" w:themeFill="background1"/>
            <w:noWrap/>
            <w:vAlign w:val="center"/>
            <w:hideMark/>
          </w:tcPr>
          <w:p w14:paraId="4F3B37F1" w14:textId="77777777" w:rsidR="009A5621" w:rsidRPr="006B65C8" w:rsidRDefault="009A5621" w:rsidP="006B65C8">
            <w:pPr>
              <w:jc w:val="center"/>
              <w:rPr>
                <w:color w:val="000000"/>
              </w:rPr>
            </w:pPr>
            <w:r w:rsidRPr="006B65C8">
              <w:rPr>
                <w:color w:val="000000"/>
              </w:rPr>
              <w:t>- 0,77520</w:t>
            </w:r>
          </w:p>
        </w:tc>
        <w:tc>
          <w:tcPr>
            <w:tcW w:w="992" w:type="dxa"/>
            <w:shd w:val="clear" w:color="auto" w:fill="FFFFFF" w:themeFill="background1"/>
            <w:noWrap/>
            <w:vAlign w:val="center"/>
            <w:hideMark/>
          </w:tcPr>
          <w:p w14:paraId="2DDDF337" w14:textId="77777777" w:rsidR="009A5621" w:rsidRPr="006B65C8" w:rsidRDefault="009A5621" w:rsidP="006B65C8">
            <w:pPr>
              <w:jc w:val="center"/>
              <w:rPr>
                <w:color w:val="000000"/>
              </w:rPr>
            </w:pPr>
            <w:r w:rsidRPr="006B65C8">
              <w:rPr>
                <w:color w:val="000000"/>
              </w:rPr>
              <w:t>- 0,25460</w:t>
            </w:r>
          </w:p>
        </w:tc>
        <w:tc>
          <w:tcPr>
            <w:tcW w:w="1417" w:type="dxa"/>
            <w:shd w:val="clear" w:color="auto" w:fill="FFFFFF" w:themeFill="background1"/>
            <w:noWrap/>
            <w:vAlign w:val="center"/>
            <w:hideMark/>
          </w:tcPr>
          <w:p w14:paraId="36C85694" w14:textId="77777777" w:rsidR="009A5621" w:rsidRPr="006B65C8" w:rsidRDefault="009A5621" w:rsidP="006B65C8">
            <w:pPr>
              <w:jc w:val="center"/>
              <w:rPr>
                <w:color w:val="000000"/>
              </w:rPr>
            </w:pPr>
            <w:r w:rsidRPr="006B65C8">
              <w:rPr>
                <w:color w:val="000000"/>
              </w:rPr>
              <w:t>- 0,76380</w:t>
            </w:r>
          </w:p>
        </w:tc>
      </w:tr>
      <w:tr w:rsidR="009A5621" w:rsidRPr="006B65C8" w14:paraId="64A2F6B1" w14:textId="77777777" w:rsidTr="008E4574">
        <w:trPr>
          <w:trHeight w:val="300"/>
        </w:trPr>
        <w:tc>
          <w:tcPr>
            <w:tcW w:w="938" w:type="dxa"/>
            <w:shd w:val="clear" w:color="auto" w:fill="FFFFFF" w:themeFill="background1"/>
            <w:noWrap/>
            <w:vAlign w:val="center"/>
            <w:hideMark/>
          </w:tcPr>
          <w:p w14:paraId="3D9489C9" w14:textId="77777777" w:rsidR="009A5621" w:rsidRPr="006B65C8" w:rsidRDefault="009A5621" w:rsidP="006B65C8">
            <w:pPr>
              <w:jc w:val="center"/>
              <w:rPr>
                <w:bCs/>
                <w:color w:val="000000"/>
              </w:rPr>
            </w:pPr>
            <w:r w:rsidRPr="006B65C8">
              <w:rPr>
                <w:bCs/>
                <w:color w:val="000000"/>
              </w:rPr>
              <w:t>Óleo de soja</w:t>
            </w:r>
          </w:p>
        </w:tc>
        <w:tc>
          <w:tcPr>
            <w:tcW w:w="708" w:type="dxa"/>
            <w:shd w:val="clear" w:color="auto" w:fill="FFFFFF" w:themeFill="background1"/>
            <w:noWrap/>
            <w:vAlign w:val="center"/>
            <w:hideMark/>
          </w:tcPr>
          <w:p w14:paraId="0676AF67" w14:textId="77777777" w:rsidR="009A5621" w:rsidRPr="006B65C8" w:rsidRDefault="009A5621" w:rsidP="006B65C8">
            <w:pPr>
              <w:jc w:val="center"/>
              <w:rPr>
                <w:color w:val="000000"/>
              </w:rPr>
            </w:pPr>
            <w:r w:rsidRPr="006B65C8">
              <w:rPr>
                <w:color w:val="000000"/>
              </w:rPr>
              <w:t>900</w:t>
            </w:r>
          </w:p>
        </w:tc>
        <w:tc>
          <w:tcPr>
            <w:tcW w:w="567" w:type="dxa"/>
            <w:shd w:val="clear" w:color="auto" w:fill="FFFFFF" w:themeFill="background1"/>
            <w:noWrap/>
            <w:vAlign w:val="center"/>
            <w:hideMark/>
          </w:tcPr>
          <w:p w14:paraId="1233AB8F" w14:textId="77777777" w:rsidR="009A5621" w:rsidRPr="006B65C8" w:rsidRDefault="009A5621" w:rsidP="006B65C8">
            <w:pPr>
              <w:jc w:val="center"/>
              <w:rPr>
                <w:color w:val="000000"/>
              </w:rPr>
            </w:pPr>
            <w:r w:rsidRPr="006B65C8">
              <w:rPr>
                <w:color w:val="000000"/>
              </w:rPr>
              <w:t>900</w:t>
            </w:r>
          </w:p>
        </w:tc>
        <w:tc>
          <w:tcPr>
            <w:tcW w:w="993" w:type="dxa"/>
            <w:shd w:val="clear" w:color="auto" w:fill="FFFFFF" w:themeFill="background1"/>
            <w:noWrap/>
            <w:vAlign w:val="center"/>
            <w:hideMark/>
          </w:tcPr>
          <w:p w14:paraId="634935B5" w14:textId="77777777" w:rsidR="009A5621" w:rsidRPr="006B65C8" w:rsidRDefault="009A5621" w:rsidP="006B65C8">
            <w:pPr>
              <w:jc w:val="center"/>
              <w:rPr>
                <w:color w:val="000000"/>
              </w:rPr>
            </w:pPr>
            <w:r w:rsidRPr="006B65C8">
              <w:rPr>
                <w:color w:val="000000"/>
              </w:rPr>
              <w:t>0,00189</w:t>
            </w:r>
          </w:p>
        </w:tc>
        <w:tc>
          <w:tcPr>
            <w:tcW w:w="1134" w:type="dxa"/>
            <w:shd w:val="clear" w:color="auto" w:fill="FFFFFF" w:themeFill="background1"/>
            <w:noWrap/>
            <w:vAlign w:val="center"/>
            <w:hideMark/>
          </w:tcPr>
          <w:p w14:paraId="0A9E59C4" w14:textId="77777777" w:rsidR="009A5621" w:rsidRPr="006B65C8" w:rsidRDefault="009A5621" w:rsidP="006B65C8">
            <w:pPr>
              <w:jc w:val="center"/>
              <w:rPr>
                <w:color w:val="000000"/>
              </w:rPr>
            </w:pPr>
            <w:r w:rsidRPr="006B65C8">
              <w:rPr>
                <w:color w:val="000000"/>
              </w:rPr>
              <w:t>0,00189</w:t>
            </w:r>
          </w:p>
        </w:tc>
        <w:tc>
          <w:tcPr>
            <w:tcW w:w="992" w:type="dxa"/>
            <w:shd w:val="clear" w:color="auto" w:fill="FFFFFF" w:themeFill="background1"/>
            <w:noWrap/>
            <w:vAlign w:val="center"/>
            <w:hideMark/>
          </w:tcPr>
          <w:p w14:paraId="77E67517" w14:textId="77777777" w:rsidR="009A5621" w:rsidRPr="006B65C8" w:rsidRDefault="009A5621" w:rsidP="006B65C8">
            <w:pPr>
              <w:jc w:val="center"/>
              <w:rPr>
                <w:color w:val="000000"/>
              </w:rPr>
            </w:pPr>
            <w:r w:rsidRPr="006B65C8">
              <w:rPr>
                <w:color w:val="000000"/>
              </w:rPr>
              <w:t>- 0,05832</w:t>
            </w:r>
          </w:p>
        </w:tc>
        <w:tc>
          <w:tcPr>
            <w:tcW w:w="1276" w:type="dxa"/>
            <w:shd w:val="clear" w:color="auto" w:fill="FFFFFF" w:themeFill="background1"/>
            <w:noWrap/>
            <w:vAlign w:val="center"/>
            <w:hideMark/>
          </w:tcPr>
          <w:p w14:paraId="5F26D8BB" w14:textId="77777777" w:rsidR="009A5621" w:rsidRPr="006B65C8" w:rsidRDefault="009A5621" w:rsidP="006B65C8">
            <w:pPr>
              <w:jc w:val="center"/>
              <w:rPr>
                <w:color w:val="000000"/>
              </w:rPr>
            </w:pPr>
            <w:r w:rsidRPr="006B65C8">
              <w:rPr>
                <w:color w:val="000000"/>
              </w:rPr>
              <w:t>- 0,05832</w:t>
            </w:r>
          </w:p>
        </w:tc>
        <w:tc>
          <w:tcPr>
            <w:tcW w:w="992" w:type="dxa"/>
            <w:shd w:val="clear" w:color="auto" w:fill="FFFFFF" w:themeFill="background1"/>
            <w:noWrap/>
            <w:vAlign w:val="center"/>
            <w:hideMark/>
          </w:tcPr>
          <w:p w14:paraId="705574FE" w14:textId="77777777" w:rsidR="009A5621" w:rsidRPr="006B65C8" w:rsidRDefault="009A5621" w:rsidP="006B65C8">
            <w:pPr>
              <w:jc w:val="center"/>
              <w:rPr>
                <w:color w:val="000000"/>
              </w:rPr>
            </w:pPr>
            <w:r w:rsidRPr="006B65C8">
              <w:rPr>
                <w:color w:val="000000"/>
              </w:rPr>
              <w:t>- 0,06021</w:t>
            </w:r>
          </w:p>
        </w:tc>
        <w:tc>
          <w:tcPr>
            <w:tcW w:w="1417" w:type="dxa"/>
            <w:shd w:val="clear" w:color="auto" w:fill="FFFFFF" w:themeFill="background1"/>
            <w:noWrap/>
            <w:vAlign w:val="center"/>
            <w:hideMark/>
          </w:tcPr>
          <w:p w14:paraId="1976262B" w14:textId="77777777" w:rsidR="009A5621" w:rsidRPr="006B65C8" w:rsidRDefault="009A5621" w:rsidP="006B65C8">
            <w:pPr>
              <w:jc w:val="center"/>
              <w:rPr>
                <w:color w:val="000000"/>
              </w:rPr>
            </w:pPr>
            <w:r w:rsidRPr="006B65C8">
              <w:rPr>
                <w:color w:val="000000"/>
              </w:rPr>
              <w:t>- 0,06021</w:t>
            </w:r>
          </w:p>
        </w:tc>
      </w:tr>
      <w:tr w:rsidR="009A5621" w:rsidRPr="006B65C8" w14:paraId="5FB26B62" w14:textId="77777777" w:rsidTr="008E4574">
        <w:trPr>
          <w:trHeight w:val="300"/>
        </w:trPr>
        <w:tc>
          <w:tcPr>
            <w:tcW w:w="938" w:type="dxa"/>
            <w:shd w:val="clear" w:color="auto" w:fill="FFFFFF" w:themeFill="background1"/>
            <w:noWrap/>
            <w:vAlign w:val="center"/>
            <w:hideMark/>
          </w:tcPr>
          <w:p w14:paraId="5ADED18B" w14:textId="77777777" w:rsidR="009A5621" w:rsidRPr="006B65C8" w:rsidRDefault="004633E6" w:rsidP="006B65C8">
            <w:pPr>
              <w:jc w:val="center"/>
              <w:rPr>
                <w:color w:val="000000"/>
              </w:rPr>
            </w:pPr>
            <w:r w:rsidRPr="006B65C8">
              <w:rPr>
                <w:color w:val="000000"/>
              </w:rPr>
              <w:t>Total</w:t>
            </w:r>
          </w:p>
        </w:tc>
        <w:tc>
          <w:tcPr>
            <w:tcW w:w="708" w:type="dxa"/>
            <w:shd w:val="clear" w:color="auto" w:fill="FFFFFF" w:themeFill="background1"/>
            <w:noWrap/>
            <w:vAlign w:val="center"/>
            <w:hideMark/>
          </w:tcPr>
          <w:p w14:paraId="3119BB41" w14:textId="77777777" w:rsidR="009A5621" w:rsidRPr="006B65C8" w:rsidRDefault="009A5621" w:rsidP="006B65C8">
            <w:pPr>
              <w:jc w:val="center"/>
              <w:rPr>
                <w:color w:val="000000"/>
              </w:rPr>
            </w:pPr>
          </w:p>
        </w:tc>
        <w:tc>
          <w:tcPr>
            <w:tcW w:w="567" w:type="dxa"/>
            <w:shd w:val="clear" w:color="auto" w:fill="FFFFFF" w:themeFill="background1"/>
            <w:noWrap/>
            <w:vAlign w:val="center"/>
            <w:hideMark/>
          </w:tcPr>
          <w:p w14:paraId="43318CD2" w14:textId="77777777" w:rsidR="009A5621" w:rsidRPr="006B65C8" w:rsidRDefault="009A5621" w:rsidP="006B65C8">
            <w:pPr>
              <w:jc w:val="center"/>
              <w:rPr>
                <w:color w:val="000000"/>
              </w:rPr>
            </w:pPr>
          </w:p>
        </w:tc>
        <w:tc>
          <w:tcPr>
            <w:tcW w:w="993" w:type="dxa"/>
            <w:shd w:val="clear" w:color="auto" w:fill="FFFFFF" w:themeFill="background1"/>
            <w:noWrap/>
            <w:vAlign w:val="center"/>
            <w:hideMark/>
          </w:tcPr>
          <w:p w14:paraId="5EF436D1" w14:textId="77777777" w:rsidR="009A5621" w:rsidRPr="006B65C8" w:rsidRDefault="009A5621" w:rsidP="006B65C8">
            <w:pPr>
              <w:jc w:val="center"/>
              <w:rPr>
                <w:color w:val="000000"/>
              </w:rPr>
            </w:pPr>
          </w:p>
        </w:tc>
        <w:tc>
          <w:tcPr>
            <w:tcW w:w="1134" w:type="dxa"/>
            <w:shd w:val="clear" w:color="auto" w:fill="FFFFFF" w:themeFill="background1"/>
            <w:noWrap/>
            <w:vAlign w:val="center"/>
            <w:hideMark/>
          </w:tcPr>
          <w:p w14:paraId="59E7EAA8" w14:textId="77777777" w:rsidR="009A5621" w:rsidRPr="006B65C8" w:rsidRDefault="009A5621" w:rsidP="006B65C8">
            <w:pPr>
              <w:jc w:val="center"/>
              <w:rPr>
                <w:color w:val="000000"/>
              </w:rPr>
            </w:pPr>
            <w:r w:rsidRPr="006B65C8">
              <w:rPr>
                <w:color w:val="000000"/>
              </w:rPr>
              <w:t>R$</w:t>
            </w:r>
            <w:r w:rsidR="006B65C8">
              <w:rPr>
                <w:color w:val="000000"/>
              </w:rPr>
              <w:t xml:space="preserve"> </w:t>
            </w:r>
            <w:r w:rsidRPr="006B65C8">
              <w:rPr>
                <w:color w:val="000000"/>
              </w:rPr>
              <w:t>0,16045</w:t>
            </w:r>
          </w:p>
        </w:tc>
        <w:tc>
          <w:tcPr>
            <w:tcW w:w="992" w:type="dxa"/>
            <w:shd w:val="clear" w:color="auto" w:fill="FFFFFF" w:themeFill="background1"/>
            <w:noWrap/>
            <w:vAlign w:val="center"/>
            <w:hideMark/>
          </w:tcPr>
          <w:p w14:paraId="31221D1A" w14:textId="77777777" w:rsidR="009A5621" w:rsidRPr="006B65C8" w:rsidRDefault="009A5621" w:rsidP="006B65C8">
            <w:pPr>
              <w:jc w:val="center"/>
              <w:rPr>
                <w:color w:val="000000"/>
              </w:rPr>
            </w:pPr>
          </w:p>
        </w:tc>
        <w:tc>
          <w:tcPr>
            <w:tcW w:w="1276" w:type="dxa"/>
            <w:shd w:val="clear" w:color="auto" w:fill="FFFFFF" w:themeFill="background1"/>
            <w:noWrap/>
            <w:vAlign w:val="center"/>
            <w:hideMark/>
          </w:tcPr>
          <w:p w14:paraId="04C341C5" w14:textId="77777777" w:rsidR="009A5621" w:rsidRPr="006B65C8" w:rsidRDefault="009A5621" w:rsidP="006B65C8">
            <w:pPr>
              <w:jc w:val="center"/>
              <w:rPr>
                <w:color w:val="000000"/>
              </w:rPr>
            </w:pPr>
            <w:r w:rsidRPr="006B65C8">
              <w:rPr>
                <w:color w:val="000000"/>
              </w:rPr>
              <w:t>-R$ 1,08271</w:t>
            </w:r>
          </w:p>
        </w:tc>
        <w:tc>
          <w:tcPr>
            <w:tcW w:w="992" w:type="dxa"/>
            <w:shd w:val="clear" w:color="auto" w:fill="FFFFFF" w:themeFill="background1"/>
            <w:noWrap/>
            <w:vAlign w:val="center"/>
            <w:hideMark/>
          </w:tcPr>
          <w:p w14:paraId="51BED571" w14:textId="77777777" w:rsidR="009A5621" w:rsidRPr="006B65C8" w:rsidRDefault="009A5621" w:rsidP="006B65C8">
            <w:pPr>
              <w:jc w:val="center"/>
              <w:rPr>
                <w:color w:val="000000"/>
              </w:rPr>
            </w:pPr>
          </w:p>
        </w:tc>
        <w:tc>
          <w:tcPr>
            <w:tcW w:w="1417" w:type="dxa"/>
            <w:shd w:val="clear" w:color="auto" w:fill="FFFFFF" w:themeFill="background1"/>
            <w:noWrap/>
            <w:vAlign w:val="center"/>
            <w:hideMark/>
          </w:tcPr>
          <w:p w14:paraId="210F36B4" w14:textId="77777777" w:rsidR="009A5621" w:rsidRPr="006B65C8" w:rsidRDefault="009A5621" w:rsidP="006B65C8">
            <w:pPr>
              <w:jc w:val="center"/>
              <w:rPr>
                <w:color w:val="000000"/>
              </w:rPr>
            </w:pPr>
            <w:r w:rsidRPr="006B65C8">
              <w:rPr>
                <w:color w:val="000000"/>
              </w:rPr>
              <w:t>-R$ 1,24318</w:t>
            </w:r>
          </w:p>
        </w:tc>
      </w:tr>
    </w:tbl>
    <w:p w14:paraId="5ACE8031" w14:textId="77777777" w:rsidR="009A5621" w:rsidRPr="00BA49A2" w:rsidRDefault="009A5621" w:rsidP="009A5621">
      <w:pPr>
        <w:ind w:firstLine="709"/>
        <w:jc w:val="both"/>
        <w:rPr>
          <w:sz w:val="24"/>
          <w:szCs w:val="24"/>
        </w:rPr>
      </w:pPr>
    </w:p>
    <w:p w14:paraId="3F18BFBA" w14:textId="77777777" w:rsidR="009A5621" w:rsidRPr="00BA49A2" w:rsidRDefault="009A5621" w:rsidP="009A5621">
      <w:pPr>
        <w:ind w:firstLine="709"/>
        <w:jc w:val="both"/>
        <w:rPr>
          <w:sz w:val="24"/>
          <w:szCs w:val="24"/>
        </w:rPr>
      </w:pPr>
      <w:r w:rsidRPr="00BA49A2">
        <w:rPr>
          <w:sz w:val="24"/>
          <w:szCs w:val="24"/>
        </w:rPr>
        <w:t>A revogação do ICMS-ST representa em uma cesta básica do DIEESE, um aumento de R$ 0,16 no recolhimento do imposto, uma queda de R$ 1,08 no preço de venda e também uma diminuição de R$ 1,24 no lucro para o supermercado.</w:t>
      </w:r>
    </w:p>
    <w:p w14:paraId="338019F0" w14:textId="77777777" w:rsidR="009A5621" w:rsidRPr="00BA49A2" w:rsidRDefault="009A5621" w:rsidP="009A5621">
      <w:pPr>
        <w:ind w:firstLine="709"/>
        <w:jc w:val="both"/>
        <w:rPr>
          <w:sz w:val="24"/>
          <w:szCs w:val="24"/>
        </w:rPr>
      </w:pPr>
      <w:r w:rsidRPr="00BA49A2">
        <w:rPr>
          <w:sz w:val="24"/>
          <w:szCs w:val="24"/>
        </w:rPr>
        <w:t>Este estudo de caso foi realizado em uma determinada rede de supermercados da grande Florianópolis, sendo utilizadas suas margens de lucro, ressaltando que cada supermercado possui a sua margem, o que poderia modificar os resultados obtidos.</w:t>
      </w:r>
    </w:p>
    <w:p w14:paraId="546FDE15" w14:textId="77777777" w:rsidR="009A5621" w:rsidRPr="00BA49A2" w:rsidRDefault="009A5621" w:rsidP="009A5621">
      <w:pPr>
        <w:ind w:firstLine="709"/>
        <w:jc w:val="both"/>
        <w:rPr>
          <w:sz w:val="24"/>
          <w:szCs w:val="24"/>
        </w:rPr>
      </w:pPr>
      <w:r w:rsidRPr="00BA49A2">
        <w:rPr>
          <w:sz w:val="24"/>
          <w:szCs w:val="24"/>
        </w:rPr>
        <w:t>Deve-se destacar que os itens selecionados para este estudo incidem alíquota zero para PIS e COFINS, visto que são produtos que integram a cesta básica, sendo assim não interferem nos custos das análises apresentadas.</w:t>
      </w:r>
    </w:p>
    <w:p w14:paraId="62A7B9EC" w14:textId="77777777" w:rsidR="009A5621" w:rsidRPr="00BA49A2" w:rsidRDefault="009A5621" w:rsidP="009A5621">
      <w:pPr>
        <w:jc w:val="both"/>
        <w:rPr>
          <w:b/>
          <w:sz w:val="24"/>
          <w:szCs w:val="24"/>
        </w:rPr>
      </w:pPr>
    </w:p>
    <w:p w14:paraId="57947AF5" w14:textId="77777777" w:rsidR="009A5621" w:rsidRPr="00BA49A2" w:rsidRDefault="009A5621" w:rsidP="009A5621">
      <w:pPr>
        <w:jc w:val="both"/>
        <w:rPr>
          <w:sz w:val="24"/>
          <w:szCs w:val="24"/>
        </w:rPr>
      </w:pPr>
      <w:r w:rsidRPr="00BA49A2">
        <w:rPr>
          <w:b/>
          <w:sz w:val="24"/>
          <w:szCs w:val="24"/>
        </w:rPr>
        <w:t xml:space="preserve">5 </w:t>
      </w:r>
      <w:r w:rsidR="004633E6" w:rsidRPr="00BA49A2">
        <w:rPr>
          <w:b/>
          <w:sz w:val="24"/>
          <w:szCs w:val="24"/>
        </w:rPr>
        <w:t>Considerações Finais</w:t>
      </w:r>
    </w:p>
    <w:p w14:paraId="763DFC3E" w14:textId="77777777" w:rsidR="009A5621" w:rsidRPr="00BA49A2" w:rsidRDefault="009A5621" w:rsidP="009A5621">
      <w:pPr>
        <w:ind w:firstLine="709"/>
        <w:jc w:val="both"/>
        <w:rPr>
          <w:sz w:val="24"/>
          <w:szCs w:val="24"/>
        </w:rPr>
      </w:pPr>
      <w:r w:rsidRPr="00BA49A2">
        <w:rPr>
          <w:sz w:val="24"/>
          <w:szCs w:val="24"/>
        </w:rPr>
        <w:t>Ao analisar o impacto da desoneração do ICMS-ST em uma rede de supermercados por meio dos dados coletados, observa-se que houve o impacto tanto para o consumidor como para o contribuinte.</w:t>
      </w:r>
    </w:p>
    <w:p w14:paraId="4302BE4D" w14:textId="77777777" w:rsidR="009A5621" w:rsidRPr="00BA49A2" w:rsidRDefault="009A5621" w:rsidP="009A5621">
      <w:pPr>
        <w:ind w:firstLine="709"/>
        <w:jc w:val="both"/>
        <w:rPr>
          <w:sz w:val="24"/>
          <w:szCs w:val="24"/>
        </w:rPr>
      </w:pPr>
      <w:r w:rsidRPr="00BA49A2">
        <w:rPr>
          <w:sz w:val="24"/>
          <w:szCs w:val="24"/>
        </w:rPr>
        <w:t xml:space="preserve">O imposto recolhido com ICMS-ST é pago sobre o valor agregado </w:t>
      </w:r>
      <w:r w:rsidR="00866963">
        <w:rPr>
          <w:sz w:val="24"/>
          <w:szCs w:val="24"/>
        </w:rPr>
        <w:t>a</w:t>
      </w:r>
      <w:r w:rsidRPr="00BA49A2">
        <w:rPr>
          <w:sz w:val="24"/>
          <w:szCs w:val="24"/>
        </w:rPr>
        <w:t xml:space="preserve"> partir da MVA, já a forma de cálculo do ICMS normal é o resultado da diferença entre o ICMS sobre o preço de venda e o ICMS sobre o preço de compra. O impacto causado pela desoneração do ICMS-ST para o contribuinte, com relação ao imposto recolhido, apresentou um acréscimo em três dos quatro itens analisados, devido a diferente forma de cálculo entre as duas sistemáticas. </w:t>
      </w:r>
    </w:p>
    <w:p w14:paraId="5B4B597A" w14:textId="77777777" w:rsidR="009A5621" w:rsidRPr="00BA49A2" w:rsidRDefault="009A5621" w:rsidP="009A5621">
      <w:pPr>
        <w:ind w:firstLine="709"/>
        <w:jc w:val="both"/>
        <w:rPr>
          <w:sz w:val="24"/>
          <w:szCs w:val="24"/>
        </w:rPr>
      </w:pPr>
      <w:r w:rsidRPr="00BA49A2">
        <w:rPr>
          <w:sz w:val="24"/>
          <w:szCs w:val="24"/>
        </w:rPr>
        <w:t>Já para o consumidor final o impacto foi positivo, apresentando uma queda no preço final em todos os itens analisados, destacando que os produtos que obtiveram a maior diferença entre a MVA e a margem de lucro do supermercado, apresentaram o maior impacto no preço de venda para o consumidor final.</w:t>
      </w:r>
    </w:p>
    <w:p w14:paraId="74B47E6D" w14:textId="77777777" w:rsidR="009A5621" w:rsidRPr="00BA49A2" w:rsidRDefault="009A5621" w:rsidP="009A5621">
      <w:pPr>
        <w:ind w:firstLine="709"/>
        <w:jc w:val="both"/>
        <w:rPr>
          <w:sz w:val="24"/>
          <w:szCs w:val="24"/>
        </w:rPr>
      </w:pPr>
      <w:r w:rsidRPr="00BA49A2">
        <w:rPr>
          <w:sz w:val="24"/>
          <w:szCs w:val="24"/>
        </w:rPr>
        <w:t>Apesar do aumento no valor do imposto recolhido utilizando a mesma margem de lucro aplicada, houve uma queda no lucro do supermercado devido aos diferentes custos apresentados e suas formas de cálculo. Assim, percebe-se que para que o supermercado consiga atingir o mesmo lucro, terá que aumentar a sua margem repassando o custo para o consumidor.</w:t>
      </w:r>
    </w:p>
    <w:p w14:paraId="4B630505" w14:textId="77777777" w:rsidR="009A5621" w:rsidRPr="00BA49A2" w:rsidRDefault="009A5621" w:rsidP="009A5621">
      <w:pPr>
        <w:ind w:firstLine="709"/>
        <w:jc w:val="both"/>
        <w:rPr>
          <w:sz w:val="24"/>
          <w:szCs w:val="24"/>
        </w:rPr>
      </w:pPr>
      <w:r w:rsidRPr="00BA49A2">
        <w:rPr>
          <w:sz w:val="24"/>
          <w:szCs w:val="24"/>
        </w:rPr>
        <w:t>Dessa forma conclui-se que a desoneração do ICMS-ST provocou prejuízos para uma das partes envolvidas no processo da cadeia produtiva, o supermercado terá que se adaptar a esta nova realidade e tentar minimizar os efeitos causados pela revogação e manter-se no mercado competitivo.</w:t>
      </w:r>
    </w:p>
    <w:p w14:paraId="30C48089" w14:textId="77777777" w:rsidR="009A5621" w:rsidRPr="00BA49A2" w:rsidRDefault="009A5621" w:rsidP="009A5621">
      <w:pPr>
        <w:ind w:firstLine="709"/>
        <w:jc w:val="both"/>
        <w:rPr>
          <w:sz w:val="24"/>
          <w:szCs w:val="24"/>
        </w:rPr>
      </w:pPr>
      <w:r w:rsidRPr="00BA49A2">
        <w:rPr>
          <w:sz w:val="24"/>
          <w:szCs w:val="24"/>
        </w:rPr>
        <w:t xml:space="preserve">Assim também é de suma importância a figura do administrador, que </w:t>
      </w:r>
      <w:r w:rsidR="00866963" w:rsidRPr="00BA49A2">
        <w:rPr>
          <w:sz w:val="24"/>
          <w:szCs w:val="24"/>
        </w:rPr>
        <w:t>irá</w:t>
      </w:r>
      <w:r w:rsidRPr="00BA49A2">
        <w:rPr>
          <w:sz w:val="24"/>
          <w:szCs w:val="24"/>
        </w:rPr>
        <w:t xml:space="preserve"> encontrar a melhor alternativa para que a empresa </w:t>
      </w:r>
      <w:r w:rsidR="00866963" w:rsidRPr="00BA49A2">
        <w:rPr>
          <w:sz w:val="24"/>
          <w:szCs w:val="24"/>
        </w:rPr>
        <w:t>se mantenha</w:t>
      </w:r>
      <w:r w:rsidRPr="00BA49A2">
        <w:rPr>
          <w:sz w:val="24"/>
          <w:szCs w:val="24"/>
        </w:rPr>
        <w:t xml:space="preserve"> bem estruturada no mercado.</w:t>
      </w:r>
    </w:p>
    <w:p w14:paraId="7D83DAF0" w14:textId="77777777" w:rsidR="009A5621" w:rsidRPr="00BA49A2" w:rsidRDefault="009A5621" w:rsidP="009A5621">
      <w:pPr>
        <w:ind w:firstLine="709"/>
        <w:jc w:val="both"/>
        <w:rPr>
          <w:sz w:val="24"/>
          <w:szCs w:val="24"/>
        </w:rPr>
      </w:pPr>
      <w:r w:rsidRPr="00BA49A2">
        <w:rPr>
          <w:sz w:val="24"/>
          <w:szCs w:val="24"/>
        </w:rPr>
        <w:t>Por fim, como sugestão para estudos futuros cabe evidenciar se com a revogação do ICMS-ST, os fornecedores estão retirando o valor da ST do custo do produto que é repassado para os supermercados e em consequência para o consumidor final.</w:t>
      </w:r>
    </w:p>
    <w:p w14:paraId="46731ADB" w14:textId="0AF44B98" w:rsidR="009A5621" w:rsidRDefault="009A5621" w:rsidP="009A5621">
      <w:pPr>
        <w:pStyle w:val="SemEspaamento"/>
        <w:jc w:val="both"/>
        <w:rPr>
          <w:rFonts w:ascii="Times New Roman" w:hAnsi="Times New Roman" w:cs="Times New Roman"/>
          <w:sz w:val="24"/>
          <w:szCs w:val="24"/>
        </w:rPr>
      </w:pPr>
    </w:p>
    <w:p w14:paraId="5904B74C" w14:textId="77777777" w:rsidR="00123B1C" w:rsidRPr="00BA49A2" w:rsidRDefault="00123B1C" w:rsidP="009A5621">
      <w:pPr>
        <w:pStyle w:val="SemEspaamento"/>
        <w:jc w:val="both"/>
        <w:rPr>
          <w:rFonts w:ascii="Times New Roman" w:hAnsi="Times New Roman" w:cs="Times New Roman"/>
          <w:sz w:val="24"/>
          <w:szCs w:val="24"/>
        </w:rPr>
      </w:pPr>
    </w:p>
    <w:p w14:paraId="48DA0C2A" w14:textId="77777777" w:rsidR="009A5621" w:rsidRPr="00BA49A2" w:rsidRDefault="009A5621" w:rsidP="009A5621">
      <w:pPr>
        <w:pStyle w:val="SemEspaamento"/>
        <w:jc w:val="both"/>
        <w:rPr>
          <w:rFonts w:ascii="Times New Roman" w:hAnsi="Times New Roman" w:cs="Times New Roman"/>
          <w:sz w:val="24"/>
          <w:szCs w:val="24"/>
        </w:rPr>
      </w:pPr>
      <w:r w:rsidRPr="00BA49A2">
        <w:rPr>
          <w:rFonts w:ascii="Times New Roman" w:hAnsi="Times New Roman" w:cs="Times New Roman"/>
          <w:b/>
          <w:sz w:val="24"/>
          <w:szCs w:val="24"/>
        </w:rPr>
        <w:lastRenderedPageBreak/>
        <w:t>REFERÊNCIAS</w:t>
      </w:r>
    </w:p>
    <w:p w14:paraId="70118178" w14:textId="77777777" w:rsidR="009A5621" w:rsidRPr="00CA3496" w:rsidRDefault="009A5621" w:rsidP="009A5621">
      <w:pPr>
        <w:pStyle w:val="SemEspaamento"/>
        <w:jc w:val="both"/>
        <w:rPr>
          <w:rFonts w:ascii="Times New Roman" w:hAnsi="Times New Roman" w:cs="Times New Roman"/>
          <w:b/>
          <w:sz w:val="24"/>
          <w:szCs w:val="24"/>
        </w:rPr>
      </w:pPr>
    </w:p>
    <w:p w14:paraId="6AA0CD1B" w14:textId="77777777" w:rsidR="009A5621" w:rsidRPr="00CA3496" w:rsidRDefault="009A5621" w:rsidP="00123B1C">
      <w:pPr>
        <w:pStyle w:val="SemEspaamento"/>
        <w:jc w:val="both"/>
        <w:rPr>
          <w:rFonts w:ascii="Times New Roman" w:hAnsi="Times New Roman" w:cs="Times New Roman"/>
          <w:sz w:val="24"/>
          <w:szCs w:val="24"/>
          <w:shd w:val="clear" w:color="auto" w:fill="FFFFFF"/>
        </w:rPr>
      </w:pPr>
      <w:proofErr w:type="spellStart"/>
      <w:r w:rsidRPr="00CA3496">
        <w:rPr>
          <w:rFonts w:ascii="Times New Roman" w:hAnsi="Times New Roman" w:cs="Times New Roman"/>
          <w:sz w:val="24"/>
          <w:szCs w:val="24"/>
          <w:shd w:val="clear" w:color="auto" w:fill="FFFFFF"/>
        </w:rPr>
        <w:t>B</w:t>
      </w:r>
      <w:r w:rsidR="00941AAF" w:rsidRPr="00CA3496">
        <w:rPr>
          <w:rFonts w:ascii="Times New Roman" w:hAnsi="Times New Roman" w:cs="Times New Roman"/>
          <w:sz w:val="24"/>
          <w:szCs w:val="24"/>
          <w:shd w:val="clear" w:color="auto" w:fill="FFFFFF"/>
        </w:rPr>
        <w:t>aratto</w:t>
      </w:r>
      <w:proofErr w:type="spellEnd"/>
      <w:r w:rsidRPr="00CA3496">
        <w:rPr>
          <w:rFonts w:ascii="Times New Roman" w:hAnsi="Times New Roman" w:cs="Times New Roman"/>
          <w:sz w:val="24"/>
          <w:szCs w:val="24"/>
          <w:shd w:val="clear" w:color="auto" w:fill="FFFFFF"/>
        </w:rPr>
        <w:t>, G</w:t>
      </w:r>
      <w:r w:rsidR="00F332A1" w:rsidRPr="00CA3496">
        <w:rPr>
          <w:rFonts w:ascii="Times New Roman" w:hAnsi="Times New Roman" w:cs="Times New Roman"/>
          <w:sz w:val="24"/>
          <w:szCs w:val="24"/>
          <w:shd w:val="clear" w:color="auto" w:fill="FFFFFF"/>
        </w:rPr>
        <w:t>.</w:t>
      </w:r>
      <w:r w:rsidR="009979CA" w:rsidRPr="00CA3496">
        <w:rPr>
          <w:rFonts w:ascii="Times New Roman" w:hAnsi="Times New Roman" w:cs="Times New Roman"/>
          <w:sz w:val="24"/>
          <w:szCs w:val="24"/>
          <w:shd w:val="clear" w:color="auto" w:fill="FFFFFF"/>
        </w:rPr>
        <w:t xml:space="preserve"> &amp;</w:t>
      </w:r>
      <w:r w:rsidRPr="00CA3496">
        <w:rPr>
          <w:rFonts w:ascii="Times New Roman" w:hAnsi="Times New Roman" w:cs="Times New Roman"/>
          <w:sz w:val="24"/>
          <w:szCs w:val="24"/>
          <w:shd w:val="clear" w:color="auto" w:fill="FFFFFF"/>
        </w:rPr>
        <w:t xml:space="preserve"> M</w:t>
      </w:r>
      <w:r w:rsidR="00941AAF" w:rsidRPr="00CA3496">
        <w:rPr>
          <w:rFonts w:ascii="Times New Roman" w:hAnsi="Times New Roman" w:cs="Times New Roman"/>
          <w:sz w:val="24"/>
          <w:szCs w:val="24"/>
          <w:shd w:val="clear" w:color="auto" w:fill="FFFFFF"/>
        </w:rPr>
        <w:t>acedo</w:t>
      </w:r>
      <w:r w:rsidRPr="00CA3496">
        <w:rPr>
          <w:rFonts w:ascii="Times New Roman" w:hAnsi="Times New Roman" w:cs="Times New Roman"/>
          <w:sz w:val="24"/>
          <w:szCs w:val="24"/>
          <w:shd w:val="clear" w:color="auto" w:fill="FFFFFF"/>
        </w:rPr>
        <w:t>, M</w:t>
      </w:r>
      <w:r w:rsidR="00F332A1" w:rsidRPr="00CA3496">
        <w:rPr>
          <w:rFonts w:ascii="Times New Roman" w:hAnsi="Times New Roman" w:cs="Times New Roman"/>
          <w:sz w:val="24"/>
          <w:szCs w:val="24"/>
          <w:shd w:val="clear" w:color="auto" w:fill="FFFFFF"/>
        </w:rPr>
        <w:t>. M.</w:t>
      </w:r>
      <w:r w:rsidRPr="00CA3496">
        <w:rPr>
          <w:rFonts w:ascii="Times New Roman" w:hAnsi="Times New Roman" w:cs="Times New Roman"/>
          <w:sz w:val="24"/>
          <w:szCs w:val="24"/>
          <w:shd w:val="clear" w:color="auto" w:fill="FFFFFF"/>
        </w:rPr>
        <w:t xml:space="preserve"> </w:t>
      </w:r>
      <w:r w:rsidR="00F332A1" w:rsidRPr="00CA3496">
        <w:rPr>
          <w:rFonts w:ascii="Times New Roman" w:hAnsi="Times New Roman" w:cs="Times New Roman"/>
          <w:sz w:val="24"/>
          <w:szCs w:val="24"/>
          <w:shd w:val="clear" w:color="auto" w:fill="FFFFFF"/>
        </w:rPr>
        <w:t xml:space="preserve">(2011). </w:t>
      </w:r>
      <w:r w:rsidRPr="00CA3496">
        <w:rPr>
          <w:rFonts w:ascii="Times New Roman" w:hAnsi="Times New Roman" w:cs="Times New Roman"/>
          <w:sz w:val="24"/>
          <w:szCs w:val="24"/>
          <w:shd w:val="clear" w:color="auto" w:fill="FFFFFF"/>
        </w:rPr>
        <w:t xml:space="preserve">Regime tributário do ICMS nas transações interestaduais-harmonização tributária ou autonomia </w:t>
      </w:r>
      <w:proofErr w:type="gramStart"/>
      <w:r w:rsidRPr="00CA3496">
        <w:rPr>
          <w:rFonts w:ascii="Times New Roman" w:hAnsi="Times New Roman" w:cs="Times New Roman"/>
          <w:sz w:val="24"/>
          <w:szCs w:val="24"/>
          <w:shd w:val="clear" w:color="auto" w:fill="FFFFFF"/>
        </w:rPr>
        <w:t>estadual?.</w:t>
      </w:r>
      <w:proofErr w:type="gramEnd"/>
      <w:r w:rsidRPr="00CA3496">
        <w:rPr>
          <w:rFonts w:ascii="Times New Roman" w:hAnsi="Times New Roman" w:cs="Times New Roman"/>
          <w:sz w:val="24"/>
          <w:szCs w:val="24"/>
          <w:shd w:val="clear" w:color="auto" w:fill="FFFFFF"/>
        </w:rPr>
        <w:t> </w:t>
      </w:r>
      <w:r w:rsidRPr="00CA3496">
        <w:rPr>
          <w:rFonts w:ascii="Times New Roman" w:hAnsi="Times New Roman" w:cs="Times New Roman"/>
          <w:bCs/>
          <w:i/>
          <w:sz w:val="24"/>
          <w:szCs w:val="24"/>
          <w:shd w:val="clear" w:color="auto" w:fill="FFFFFF"/>
        </w:rPr>
        <w:t>Revista Paranaense de Desenvolvimento-RPD</w:t>
      </w:r>
      <w:r w:rsidRPr="00CA3496">
        <w:rPr>
          <w:rFonts w:ascii="Times New Roman" w:hAnsi="Times New Roman" w:cs="Times New Roman"/>
          <w:sz w:val="24"/>
          <w:szCs w:val="24"/>
          <w:shd w:val="clear" w:color="auto" w:fill="FFFFFF"/>
        </w:rPr>
        <w:t>, n. 113, p. 09-30.</w:t>
      </w:r>
    </w:p>
    <w:p w14:paraId="35E97008" w14:textId="77777777" w:rsidR="009A5621" w:rsidRPr="00CA3496" w:rsidRDefault="009A5621" w:rsidP="00123B1C">
      <w:pPr>
        <w:pStyle w:val="SemEspaamento"/>
        <w:jc w:val="both"/>
        <w:rPr>
          <w:rFonts w:ascii="Times New Roman" w:hAnsi="Times New Roman" w:cs="Times New Roman"/>
          <w:sz w:val="24"/>
          <w:szCs w:val="24"/>
          <w:shd w:val="clear" w:color="auto" w:fill="FFFFFF"/>
        </w:rPr>
      </w:pPr>
    </w:p>
    <w:p w14:paraId="577BB9F9" w14:textId="77777777" w:rsidR="009A5621" w:rsidRPr="00CA3496" w:rsidRDefault="009A5621" w:rsidP="00123B1C">
      <w:pPr>
        <w:pStyle w:val="SemEspaamento"/>
        <w:jc w:val="both"/>
        <w:rPr>
          <w:rFonts w:ascii="Times New Roman" w:hAnsi="Times New Roman" w:cs="Times New Roman"/>
          <w:sz w:val="24"/>
          <w:szCs w:val="24"/>
        </w:rPr>
      </w:pPr>
      <w:r w:rsidRPr="00CA3496">
        <w:rPr>
          <w:rFonts w:ascii="Times New Roman" w:hAnsi="Times New Roman" w:cs="Times New Roman"/>
          <w:sz w:val="24"/>
          <w:szCs w:val="24"/>
        </w:rPr>
        <w:t>B</w:t>
      </w:r>
      <w:r w:rsidR="00941AAF" w:rsidRPr="00CA3496">
        <w:rPr>
          <w:rFonts w:ascii="Times New Roman" w:hAnsi="Times New Roman" w:cs="Times New Roman"/>
          <w:sz w:val="24"/>
          <w:szCs w:val="24"/>
        </w:rPr>
        <w:t>arreto</w:t>
      </w:r>
      <w:r w:rsidRPr="00CA3496">
        <w:rPr>
          <w:rFonts w:ascii="Times New Roman" w:hAnsi="Times New Roman" w:cs="Times New Roman"/>
          <w:sz w:val="24"/>
          <w:szCs w:val="24"/>
        </w:rPr>
        <w:t>, M</w:t>
      </w:r>
      <w:r w:rsidR="00F332A1" w:rsidRPr="00CA3496">
        <w:rPr>
          <w:rFonts w:ascii="Times New Roman" w:hAnsi="Times New Roman" w:cs="Times New Roman"/>
          <w:sz w:val="24"/>
          <w:szCs w:val="24"/>
        </w:rPr>
        <w:t xml:space="preserve"> (2013)</w:t>
      </w:r>
      <w:r w:rsidRPr="00CA3496">
        <w:rPr>
          <w:rFonts w:ascii="Times New Roman" w:hAnsi="Times New Roman" w:cs="Times New Roman"/>
          <w:sz w:val="24"/>
          <w:szCs w:val="24"/>
        </w:rPr>
        <w:t xml:space="preserve">. </w:t>
      </w:r>
      <w:r w:rsidRPr="00CA3496">
        <w:rPr>
          <w:rFonts w:ascii="Times New Roman" w:hAnsi="Times New Roman" w:cs="Times New Roman"/>
          <w:i/>
          <w:sz w:val="24"/>
          <w:szCs w:val="24"/>
        </w:rPr>
        <w:t>O impacto da Substituição Tributária Progressiva do ICMS no preço de venda de produtos de informática do setor varejista no estado de Santa Catarina.</w:t>
      </w:r>
      <w:r w:rsidRPr="00CA3496">
        <w:rPr>
          <w:rFonts w:ascii="Times New Roman" w:hAnsi="Times New Roman" w:cs="Times New Roman"/>
          <w:sz w:val="24"/>
          <w:szCs w:val="24"/>
        </w:rPr>
        <w:t xml:space="preserve"> 117 f. Trabalho de Conclusão de Curso (Bacharelado em Ciências Contábeis) - Universidade do Extremo Sul Catarinense – UNESC, Criciúma.</w:t>
      </w:r>
    </w:p>
    <w:p w14:paraId="409A61D8" w14:textId="77777777" w:rsidR="009A5621" w:rsidRPr="00CA3496" w:rsidRDefault="009A5621" w:rsidP="00123B1C">
      <w:pPr>
        <w:pStyle w:val="SemEspaamento"/>
        <w:jc w:val="both"/>
        <w:rPr>
          <w:rFonts w:ascii="Times New Roman" w:hAnsi="Times New Roman" w:cs="Times New Roman"/>
          <w:b/>
          <w:sz w:val="24"/>
          <w:szCs w:val="24"/>
        </w:rPr>
      </w:pPr>
    </w:p>
    <w:p w14:paraId="7DA873E1" w14:textId="77777777" w:rsidR="009A5621" w:rsidRPr="00CA3496" w:rsidRDefault="009A5621" w:rsidP="00123B1C">
      <w:pPr>
        <w:jc w:val="both"/>
        <w:rPr>
          <w:sz w:val="24"/>
          <w:szCs w:val="24"/>
        </w:rPr>
      </w:pPr>
      <w:r w:rsidRPr="00CA3496">
        <w:rPr>
          <w:sz w:val="24"/>
          <w:szCs w:val="24"/>
        </w:rPr>
        <w:t>B</w:t>
      </w:r>
      <w:r w:rsidR="00941AAF" w:rsidRPr="00CA3496">
        <w:rPr>
          <w:sz w:val="24"/>
          <w:szCs w:val="24"/>
        </w:rPr>
        <w:t>ezerra</w:t>
      </w:r>
      <w:r w:rsidRPr="00CA3496">
        <w:rPr>
          <w:sz w:val="24"/>
          <w:szCs w:val="24"/>
        </w:rPr>
        <w:t>, S</w:t>
      </w:r>
      <w:r w:rsidR="00F332A1" w:rsidRPr="00CA3496">
        <w:rPr>
          <w:sz w:val="24"/>
          <w:szCs w:val="24"/>
        </w:rPr>
        <w:t>.</w:t>
      </w:r>
      <w:r w:rsidRPr="00CA3496">
        <w:rPr>
          <w:sz w:val="24"/>
          <w:szCs w:val="24"/>
        </w:rPr>
        <w:t xml:space="preserve"> R</w:t>
      </w:r>
      <w:r w:rsidR="00F332A1" w:rsidRPr="00CA3496">
        <w:rPr>
          <w:sz w:val="24"/>
          <w:szCs w:val="24"/>
        </w:rPr>
        <w:t>.</w:t>
      </w:r>
      <w:r w:rsidRPr="00CA3496">
        <w:rPr>
          <w:sz w:val="24"/>
          <w:szCs w:val="24"/>
        </w:rPr>
        <w:t xml:space="preserve"> A</w:t>
      </w:r>
      <w:r w:rsidR="00F332A1" w:rsidRPr="00CA3496">
        <w:rPr>
          <w:sz w:val="24"/>
          <w:szCs w:val="24"/>
        </w:rPr>
        <w:t>.</w:t>
      </w:r>
      <w:r w:rsidR="009979CA" w:rsidRPr="00CA3496">
        <w:rPr>
          <w:sz w:val="24"/>
          <w:szCs w:val="24"/>
        </w:rPr>
        <w:t>,</w:t>
      </w:r>
      <w:r w:rsidRPr="00CA3496">
        <w:rPr>
          <w:sz w:val="24"/>
          <w:szCs w:val="24"/>
        </w:rPr>
        <w:t xml:space="preserve"> M</w:t>
      </w:r>
      <w:r w:rsidR="00941AAF" w:rsidRPr="00CA3496">
        <w:rPr>
          <w:sz w:val="24"/>
          <w:szCs w:val="24"/>
        </w:rPr>
        <w:t>ariano</w:t>
      </w:r>
      <w:r w:rsidRPr="00CA3496">
        <w:rPr>
          <w:sz w:val="24"/>
          <w:szCs w:val="24"/>
        </w:rPr>
        <w:t xml:space="preserve">, </w:t>
      </w:r>
      <w:r w:rsidR="00F332A1" w:rsidRPr="00CA3496">
        <w:rPr>
          <w:sz w:val="24"/>
          <w:szCs w:val="24"/>
        </w:rPr>
        <w:t>P.</w:t>
      </w:r>
      <w:r w:rsidRPr="00CA3496">
        <w:rPr>
          <w:sz w:val="24"/>
          <w:szCs w:val="24"/>
        </w:rPr>
        <w:t xml:space="preserve"> A</w:t>
      </w:r>
      <w:r w:rsidR="00F332A1" w:rsidRPr="00CA3496">
        <w:rPr>
          <w:sz w:val="24"/>
          <w:szCs w:val="24"/>
        </w:rPr>
        <w:t>.</w:t>
      </w:r>
      <w:r w:rsidR="009979CA" w:rsidRPr="00CA3496">
        <w:rPr>
          <w:sz w:val="24"/>
          <w:szCs w:val="24"/>
        </w:rPr>
        <w:t xml:space="preserve"> &amp;</w:t>
      </w:r>
      <w:r w:rsidRPr="00CA3496">
        <w:rPr>
          <w:sz w:val="24"/>
          <w:szCs w:val="24"/>
        </w:rPr>
        <w:t xml:space="preserve"> W</w:t>
      </w:r>
      <w:r w:rsidR="00941AAF" w:rsidRPr="00CA3496">
        <w:rPr>
          <w:sz w:val="24"/>
          <w:szCs w:val="24"/>
        </w:rPr>
        <w:t>erneck</w:t>
      </w:r>
      <w:r w:rsidRPr="00CA3496">
        <w:rPr>
          <w:sz w:val="24"/>
          <w:szCs w:val="24"/>
        </w:rPr>
        <w:t>, R.</w:t>
      </w:r>
      <w:r w:rsidR="00F332A1" w:rsidRPr="00CA3496">
        <w:rPr>
          <w:sz w:val="24"/>
          <w:szCs w:val="24"/>
        </w:rPr>
        <w:t xml:space="preserve"> (2008).</w:t>
      </w:r>
      <w:r w:rsidRPr="00CA3496">
        <w:rPr>
          <w:sz w:val="24"/>
          <w:szCs w:val="24"/>
        </w:rPr>
        <w:t xml:space="preserve"> </w:t>
      </w:r>
      <w:r w:rsidRPr="00CA3496">
        <w:rPr>
          <w:i/>
          <w:sz w:val="24"/>
          <w:szCs w:val="24"/>
        </w:rPr>
        <w:t>Substituição Tributária de ICMS</w:t>
      </w:r>
      <w:r w:rsidR="00F332A1" w:rsidRPr="00CA3496">
        <w:rPr>
          <w:i/>
          <w:sz w:val="24"/>
          <w:szCs w:val="24"/>
        </w:rPr>
        <w:t>:</w:t>
      </w:r>
      <w:r w:rsidRPr="00CA3496">
        <w:rPr>
          <w:i/>
          <w:sz w:val="24"/>
          <w:szCs w:val="24"/>
        </w:rPr>
        <w:t xml:space="preserve"> Aspectos Jurídicos e Práticos</w:t>
      </w:r>
      <w:r w:rsidR="009979CA" w:rsidRPr="00CA3496">
        <w:rPr>
          <w:sz w:val="24"/>
          <w:szCs w:val="24"/>
        </w:rPr>
        <w:t>,</w:t>
      </w:r>
      <w:r w:rsidRPr="00CA3496">
        <w:rPr>
          <w:sz w:val="24"/>
          <w:szCs w:val="24"/>
        </w:rPr>
        <w:t xml:space="preserve"> 3</w:t>
      </w:r>
      <w:r w:rsidR="009979CA" w:rsidRPr="00CA3496">
        <w:rPr>
          <w:sz w:val="24"/>
          <w:szCs w:val="24"/>
        </w:rPr>
        <w:t>.</w:t>
      </w:r>
      <w:r w:rsidRPr="00CA3496">
        <w:rPr>
          <w:sz w:val="24"/>
          <w:szCs w:val="24"/>
        </w:rPr>
        <w:t xml:space="preserve"> São Paulo: IOB.</w:t>
      </w:r>
    </w:p>
    <w:p w14:paraId="42728BD4" w14:textId="77777777" w:rsidR="009A5621" w:rsidRPr="00CA3496" w:rsidRDefault="009A5621" w:rsidP="00123B1C">
      <w:pPr>
        <w:jc w:val="both"/>
        <w:rPr>
          <w:sz w:val="24"/>
          <w:szCs w:val="24"/>
        </w:rPr>
      </w:pPr>
    </w:p>
    <w:p w14:paraId="3F6B1F0E" w14:textId="77777777" w:rsidR="009A5621" w:rsidRPr="00CA3496" w:rsidRDefault="009A5621" w:rsidP="00123B1C">
      <w:pPr>
        <w:pStyle w:val="SemEspaamento"/>
        <w:jc w:val="both"/>
        <w:rPr>
          <w:rFonts w:ascii="Times New Roman" w:hAnsi="Times New Roman" w:cs="Times New Roman"/>
          <w:b/>
          <w:sz w:val="24"/>
          <w:szCs w:val="24"/>
        </w:rPr>
      </w:pPr>
      <w:r w:rsidRPr="00CA3496">
        <w:rPr>
          <w:rFonts w:ascii="Times New Roman" w:hAnsi="Times New Roman" w:cs="Times New Roman"/>
          <w:sz w:val="24"/>
          <w:szCs w:val="24"/>
        </w:rPr>
        <w:t>B</w:t>
      </w:r>
      <w:r w:rsidR="00941AAF" w:rsidRPr="00CA3496">
        <w:rPr>
          <w:rFonts w:ascii="Times New Roman" w:hAnsi="Times New Roman" w:cs="Times New Roman"/>
          <w:sz w:val="24"/>
          <w:szCs w:val="24"/>
        </w:rPr>
        <w:t>orges</w:t>
      </w:r>
      <w:r w:rsidRPr="00CA3496">
        <w:rPr>
          <w:rFonts w:ascii="Times New Roman" w:hAnsi="Times New Roman" w:cs="Times New Roman"/>
          <w:sz w:val="24"/>
          <w:szCs w:val="24"/>
        </w:rPr>
        <w:t>, J</w:t>
      </w:r>
      <w:r w:rsidR="00F332A1" w:rsidRPr="00CA3496">
        <w:rPr>
          <w:rFonts w:ascii="Times New Roman" w:hAnsi="Times New Roman" w:cs="Times New Roman"/>
          <w:sz w:val="24"/>
          <w:szCs w:val="24"/>
        </w:rPr>
        <w:t>.</w:t>
      </w:r>
      <w:r w:rsidRPr="00CA3496">
        <w:rPr>
          <w:rFonts w:ascii="Times New Roman" w:hAnsi="Times New Roman" w:cs="Times New Roman"/>
          <w:sz w:val="24"/>
          <w:szCs w:val="24"/>
        </w:rPr>
        <w:t xml:space="preserve"> C.</w:t>
      </w:r>
      <w:r w:rsidR="009979CA" w:rsidRPr="00CA3496">
        <w:rPr>
          <w:rFonts w:ascii="Times New Roman" w:hAnsi="Times New Roman" w:cs="Times New Roman"/>
          <w:sz w:val="24"/>
          <w:szCs w:val="24"/>
        </w:rPr>
        <w:t xml:space="preserve"> &amp;</w:t>
      </w:r>
      <w:r w:rsidRPr="00CA3496">
        <w:rPr>
          <w:rFonts w:ascii="Times New Roman" w:hAnsi="Times New Roman" w:cs="Times New Roman"/>
          <w:sz w:val="24"/>
          <w:szCs w:val="24"/>
        </w:rPr>
        <w:t xml:space="preserve"> R</w:t>
      </w:r>
      <w:r w:rsidR="00941AAF" w:rsidRPr="00CA3496">
        <w:rPr>
          <w:rFonts w:ascii="Times New Roman" w:hAnsi="Times New Roman" w:cs="Times New Roman"/>
          <w:sz w:val="24"/>
          <w:szCs w:val="24"/>
        </w:rPr>
        <w:t>eis</w:t>
      </w:r>
      <w:r w:rsidRPr="00CA3496">
        <w:rPr>
          <w:rFonts w:ascii="Times New Roman" w:hAnsi="Times New Roman" w:cs="Times New Roman"/>
          <w:sz w:val="24"/>
          <w:szCs w:val="24"/>
        </w:rPr>
        <w:t>, M</w:t>
      </w:r>
      <w:r w:rsidR="00F332A1" w:rsidRPr="00CA3496">
        <w:rPr>
          <w:rFonts w:ascii="Times New Roman" w:hAnsi="Times New Roman" w:cs="Times New Roman"/>
          <w:sz w:val="24"/>
          <w:szCs w:val="24"/>
        </w:rPr>
        <w:t>.</w:t>
      </w:r>
      <w:r w:rsidRPr="00CA3496">
        <w:rPr>
          <w:rFonts w:ascii="Times New Roman" w:hAnsi="Times New Roman" w:cs="Times New Roman"/>
          <w:sz w:val="24"/>
          <w:szCs w:val="24"/>
        </w:rPr>
        <w:t xml:space="preserve"> L.</w:t>
      </w:r>
      <w:r w:rsidR="009979CA" w:rsidRPr="00CA3496">
        <w:rPr>
          <w:rFonts w:ascii="Times New Roman" w:hAnsi="Times New Roman" w:cs="Times New Roman"/>
          <w:sz w:val="24"/>
          <w:szCs w:val="24"/>
        </w:rPr>
        <w:t xml:space="preserve"> </w:t>
      </w:r>
      <w:r w:rsidRPr="00CA3496">
        <w:rPr>
          <w:rFonts w:ascii="Times New Roman" w:hAnsi="Times New Roman" w:cs="Times New Roman"/>
          <w:sz w:val="24"/>
          <w:szCs w:val="24"/>
        </w:rPr>
        <w:t>A.</w:t>
      </w:r>
      <w:r w:rsidR="009979CA" w:rsidRPr="00CA3496">
        <w:rPr>
          <w:rFonts w:ascii="Times New Roman" w:hAnsi="Times New Roman" w:cs="Times New Roman"/>
          <w:sz w:val="24"/>
          <w:szCs w:val="24"/>
        </w:rPr>
        <w:t xml:space="preserve"> (2015).</w:t>
      </w:r>
      <w:r w:rsidRPr="00CA3496">
        <w:rPr>
          <w:rFonts w:ascii="Times New Roman" w:hAnsi="Times New Roman" w:cs="Times New Roman"/>
          <w:sz w:val="24"/>
          <w:szCs w:val="24"/>
        </w:rPr>
        <w:t xml:space="preserve"> </w:t>
      </w:r>
      <w:r w:rsidRPr="00CA3496">
        <w:rPr>
          <w:rFonts w:ascii="Times New Roman" w:hAnsi="Times New Roman" w:cs="Times New Roman"/>
          <w:i/>
          <w:sz w:val="24"/>
          <w:szCs w:val="24"/>
        </w:rPr>
        <w:t>ICMS ao alcance de todos: parte geral</w:t>
      </w:r>
      <w:r w:rsidR="009979CA" w:rsidRPr="00CA3496">
        <w:rPr>
          <w:rFonts w:ascii="Times New Roman" w:hAnsi="Times New Roman" w:cs="Times New Roman"/>
          <w:sz w:val="24"/>
          <w:szCs w:val="24"/>
        </w:rPr>
        <w:t>,</w:t>
      </w:r>
      <w:r w:rsidRPr="00CA3496">
        <w:rPr>
          <w:rFonts w:ascii="Times New Roman" w:hAnsi="Times New Roman" w:cs="Times New Roman"/>
          <w:sz w:val="24"/>
          <w:szCs w:val="24"/>
        </w:rPr>
        <w:t xml:space="preserve"> 5. Rio de Janeiro: Freitas Bastos.</w:t>
      </w:r>
    </w:p>
    <w:p w14:paraId="5FA6AEEF" w14:textId="77777777" w:rsidR="00123B1C" w:rsidRDefault="00123B1C" w:rsidP="00123B1C">
      <w:pPr>
        <w:jc w:val="both"/>
        <w:rPr>
          <w:sz w:val="24"/>
          <w:szCs w:val="24"/>
        </w:rPr>
      </w:pPr>
    </w:p>
    <w:p w14:paraId="46EB8B1A" w14:textId="56463D33" w:rsidR="00123B1C" w:rsidRPr="00CA3496" w:rsidRDefault="00123B1C" w:rsidP="00123B1C">
      <w:pPr>
        <w:jc w:val="both"/>
        <w:rPr>
          <w:sz w:val="24"/>
          <w:szCs w:val="24"/>
        </w:rPr>
      </w:pPr>
      <w:proofErr w:type="spellStart"/>
      <w:r w:rsidRPr="00CA3496">
        <w:rPr>
          <w:sz w:val="24"/>
          <w:szCs w:val="24"/>
        </w:rPr>
        <w:t>Carrazza</w:t>
      </w:r>
      <w:proofErr w:type="spellEnd"/>
      <w:r w:rsidRPr="00CA3496">
        <w:rPr>
          <w:sz w:val="24"/>
          <w:szCs w:val="24"/>
        </w:rPr>
        <w:t>, R. A. (2006). ICMS,</w:t>
      </w:r>
      <w:r w:rsidRPr="00CA3496">
        <w:rPr>
          <w:b/>
          <w:sz w:val="24"/>
          <w:szCs w:val="24"/>
        </w:rPr>
        <w:t xml:space="preserve"> </w:t>
      </w:r>
      <w:r w:rsidRPr="00CA3496">
        <w:rPr>
          <w:sz w:val="24"/>
          <w:szCs w:val="24"/>
        </w:rPr>
        <w:t>11. São Paulo.</w:t>
      </w:r>
    </w:p>
    <w:p w14:paraId="55445177" w14:textId="77777777" w:rsidR="00123B1C" w:rsidRPr="00CA3496" w:rsidRDefault="00123B1C" w:rsidP="00123B1C">
      <w:pPr>
        <w:jc w:val="both"/>
        <w:rPr>
          <w:sz w:val="24"/>
          <w:szCs w:val="24"/>
        </w:rPr>
      </w:pPr>
    </w:p>
    <w:p w14:paraId="38F62716" w14:textId="77777777" w:rsidR="00123B1C" w:rsidRPr="00CA3496" w:rsidRDefault="00123B1C" w:rsidP="00123B1C">
      <w:pPr>
        <w:jc w:val="both"/>
        <w:rPr>
          <w:sz w:val="24"/>
          <w:szCs w:val="24"/>
        </w:rPr>
      </w:pPr>
      <w:r w:rsidRPr="00CA3496">
        <w:rPr>
          <w:sz w:val="24"/>
          <w:szCs w:val="24"/>
          <w:shd w:val="clear" w:color="auto" w:fill="FFFFFF"/>
        </w:rPr>
        <w:t>Carvalho, L. L. (2016). O impacto do ICMS substituição tributária no preço de venda de produtos derivados do petróleo em Goiânia para o consumidor final</w:t>
      </w:r>
      <w:r w:rsidRPr="00CA3496">
        <w:rPr>
          <w:b/>
          <w:sz w:val="24"/>
          <w:szCs w:val="24"/>
          <w:shd w:val="clear" w:color="auto" w:fill="FFFFFF"/>
        </w:rPr>
        <w:t>.</w:t>
      </w:r>
      <w:r w:rsidRPr="00CA3496">
        <w:rPr>
          <w:sz w:val="24"/>
          <w:szCs w:val="24"/>
          <w:shd w:val="clear" w:color="auto" w:fill="FFFFFF"/>
        </w:rPr>
        <w:t xml:space="preserve"> </w:t>
      </w:r>
      <w:r w:rsidRPr="00CA3496">
        <w:rPr>
          <w:sz w:val="24"/>
          <w:szCs w:val="24"/>
        </w:rPr>
        <w:t>36 f. Trabalho de Conclusão de Curso (Bacharelado em Ciências Contábeis) - Faculdade de Administração, Ciências Contábeis e Ciências Econômicas-FACE.</w:t>
      </w:r>
    </w:p>
    <w:p w14:paraId="0B932A2A" w14:textId="77777777" w:rsidR="009A5621" w:rsidRPr="00CA3496" w:rsidRDefault="009A5621" w:rsidP="00123B1C">
      <w:pPr>
        <w:pStyle w:val="Ttulo1"/>
        <w:shd w:val="clear" w:color="auto" w:fill="FFFFFF"/>
        <w:spacing w:before="0" w:line="240" w:lineRule="auto"/>
        <w:jc w:val="both"/>
        <w:rPr>
          <w:rFonts w:ascii="Times New Roman" w:hAnsi="Times New Roman" w:cs="Times New Roman"/>
          <w:color w:val="auto"/>
          <w:sz w:val="24"/>
          <w:szCs w:val="24"/>
        </w:rPr>
      </w:pPr>
    </w:p>
    <w:p w14:paraId="27C54B13" w14:textId="0FE7571D" w:rsidR="00F332A1" w:rsidRPr="00CA3496" w:rsidRDefault="00F332A1" w:rsidP="00123B1C">
      <w:pPr>
        <w:pStyle w:val="SemEspaamento"/>
        <w:jc w:val="both"/>
        <w:rPr>
          <w:rFonts w:ascii="Times New Roman" w:eastAsia="Arial" w:hAnsi="Times New Roman" w:cs="Times New Roman"/>
          <w:sz w:val="24"/>
          <w:szCs w:val="24"/>
        </w:rPr>
      </w:pPr>
      <w:r w:rsidRPr="00CA3496">
        <w:rPr>
          <w:rStyle w:val="Forte"/>
          <w:rFonts w:ascii="Times New Roman" w:eastAsia="Helvetica" w:hAnsi="Times New Roman" w:cs="Times New Roman"/>
          <w:b w:val="0"/>
          <w:i/>
          <w:sz w:val="24"/>
          <w:szCs w:val="24"/>
          <w:shd w:val="clear" w:color="auto" w:fill="FFFFFF"/>
        </w:rPr>
        <w:t>Constituição da República Federativa do Brasil</w:t>
      </w:r>
      <w:r w:rsidR="003460DA" w:rsidRPr="00CA3496">
        <w:rPr>
          <w:rStyle w:val="Forte"/>
          <w:rFonts w:ascii="Times New Roman" w:eastAsia="Helvetica" w:hAnsi="Times New Roman" w:cs="Times New Roman"/>
          <w:b w:val="0"/>
          <w:i/>
          <w:sz w:val="24"/>
          <w:szCs w:val="24"/>
          <w:shd w:val="clear" w:color="auto" w:fill="FFFFFF"/>
        </w:rPr>
        <w:t xml:space="preserve"> (CF)</w:t>
      </w:r>
      <w:r w:rsidRPr="00CA3496">
        <w:rPr>
          <w:rFonts w:ascii="Times New Roman" w:eastAsia="Helvetica" w:hAnsi="Times New Roman" w:cs="Times New Roman"/>
          <w:sz w:val="24"/>
          <w:szCs w:val="24"/>
          <w:shd w:val="clear" w:color="auto" w:fill="FFFFFF"/>
        </w:rPr>
        <w:t xml:space="preserve">, de 05 de outubro de 1988. </w:t>
      </w:r>
      <w:r w:rsidR="009979CA" w:rsidRPr="00CA3496">
        <w:rPr>
          <w:rFonts w:ascii="Times New Roman" w:eastAsia="Helvetica" w:hAnsi="Times New Roman" w:cs="Times New Roman"/>
          <w:sz w:val="24"/>
          <w:szCs w:val="24"/>
          <w:shd w:val="clear" w:color="auto" w:fill="FFFFFF"/>
        </w:rPr>
        <w:t xml:space="preserve">Recuperado </w:t>
      </w:r>
      <w:r w:rsidR="003460DA" w:rsidRPr="00CA3496">
        <w:rPr>
          <w:rFonts w:ascii="Times New Roman" w:eastAsia="Helvetica" w:hAnsi="Times New Roman" w:cs="Times New Roman"/>
          <w:sz w:val="24"/>
          <w:szCs w:val="24"/>
          <w:shd w:val="clear" w:color="auto" w:fill="FFFFFF"/>
        </w:rPr>
        <w:t xml:space="preserve">em 14 abril, 2018, de </w:t>
      </w:r>
      <w:r w:rsidR="000A20E1" w:rsidRPr="00CA3496">
        <w:rPr>
          <w:rFonts w:ascii="Times New Roman" w:hAnsi="Times New Roman" w:cs="Times New Roman"/>
          <w:sz w:val="24"/>
          <w:szCs w:val="24"/>
        </w:rPr>
        <w:t>http://</w:t>
      </w:r>
      <w:r w:rsidR="003460DA" w:rsidRPr="00CA3496">
        <w:rPr>
          <w:rFonts w:ascii="Times New Roman" w:eastAsia="Helvetica" w:hAnsi="Times New Roman" w:cs="Times New Roman"/>
          <w:sz w:val="24"/>
          <w:szCs w:val="24"/>
          <w:shd w:val="clear" w:color="auto" w:fill="FFFFFF"/>
        </w:rPr>
        <w:t>w</w:t>
      </w:r>
      <w:r w:rsidRPr="00CA3496">
        <w:rPr>
          <w:rStyle w:val="Forte"/>
          <w:rFonts w:ascii="Times New Roman" w:eastAsia="Helvetica" w:hAnsi="Times New Roman" w:cs="Times New Roman"/>
          <w:b w:val="0"/>
          <w:sz w:val="24"/>
          <w:szCs w:val="24"/>
          <w:shd w:val="clear" w:color="auto" w:fill="FFFFFF"/>
        </w:rPr>
        <w:t>ww.planalto.gov.br/ccivil_03/constituicao.htm</w:t>
      </w:r>
    </w:p>
    <w:p w14:paraId="56DDEC1F" w14:textId="77777777" w:rsidR="00F332A1" w:rsidRPr="00CA3496" w:rsidRDefault="00F332A1" w:rsidP="00123B1C">
      <w:pPr>
        <w:pStyle w:val="SemEspaamento"/>
        <w:jc w:val="both"/>
        <w:rPr>
          <w:rFonts w:ascii="Times New Roman" w:eastAsia="Arial" w:hAnsi="Times New Roman" w:cs="Times New Roman"/>
          <w:sz w:val="24"/>
          <w:szCs w:val="24"/>
        </w:rPr>
      </w:pPr>
    </w:p>
    <w:p w14:paraId="7022F462" w14:textId="77777777" w:rsidR="00CA3496" w:rsidRPr="00CA3496" w:rsidRDefault="00CA3496" w:rsidP="00123B1C">
      <w:pPr>
        <w:jc w:val="both"/>
        <w:rPr>
          <w:rFonts w:eastAsia="Arial"/>
          <w:sz w:val="24"/>
          <w:szCs w:val="24"/>
        </w:rPr>
      </w:pPr>
      <w:r w:rsidRPr="00CA3496">
        <w:rPr>
          <w:sz w:val="24"/>
          <w:szCs w:val="24"/>
        </w:rPr>
        <w:t xml:space="preserve">Decreto Lei nº 406, de 31 de dezembro de 1968 (1968). </w:t>
      </w:r>
      <w:r w:rsidRPr="00CA3496">
        <w:rPr>
          <w:rFonts w:eastAsia="Helvetica"/>
          <w:i/>
          <w:sz w:val="24"/>
          <w:szCs w:val="24"/>
        </w:rPr>
        <w:t>Estabelece normas gerais de direito financeiro, aplicáveis aos impostos sobre operações relativas à circulação de mercadorias e sobre serviços de qualquer natureza, e dá outras providências</w:t>
      </w:r>
      <w:r w:rsidRPr="00CA3496">
        <w:rPr>
          <w:sz w:val="24"/>
          <w:szCs w:val="24"/>
        </w:rPr>
        <w:t xml:space="preserve">. </w:t>
      </w:r>
      <w:r w:rsidRPr="00CA3496">
        <w:rPr>
          <w:rFonts w:eastAsia="Helvetica"/>
          <w:sz w:val="24"/>
          <w:szCs w:val="24"/>
          <w:shd w:val="clear" w:color="auto" w:fill="FFFFFF"/>
        </w:rPr>
        <w:t xml:space="preserve">Recuperado em 14 abril, 2018, de </w:t>
      </w:r>
      <w:r w:rsidRPr="00CA3496">
        <w:rPr>
          <w:sz w:val="24"/>
          <w:szCs w:val="24"/>
        </w:rPr>
        <w:t>http://www.planalto.gov.br/CCivil_03/Decreto-Lei/Del0406.htm</w:t>
      </w:r>
    </w:p>
    <w:p w14:paraId="08063CCE" w14:textId="77777777" w:rsidR="00CA3496" w:rsidRPr="00CA3496" w:rsidRDefault="00CA3496" w:rsidP="00123B1C">
      <w:pPr>
        <w:jc w:val="both"/>
        <w:rPr>
          <w:rFonts w:eastAsia="Arial"/>
          <w:sz w:val="24"/>
          <w:szCs w:val="24"/>
        </w:rPr>
      </w:pPr>
    </w:p>
    <w:p w14:paraId="72575F35" w14:textId="77777777" w:rsidR="00CA3496" w:rsidRPr="00CA3496" w:rsidRDefault="00CA3496" w:rsidP="00123B1C">
      <w:pPr>
        <w:jc w:val="both"/>
        <w:rPr>
          <w:rFonts w:eastAsia="Arial"/>
          <w:sz w:val="24"/>
          <w:szCs w:val="24"/>
        </w:rPr>
      </w:pPr>
      <w:r w:rsidRPr="00CA3496">
        <w:rPr>
          <w:sz w:val="24"/>
          <w:szCs w:val="24"/>
        </w:rPr>
        <w:t xml:space="preserve">Decreto Lei nº 947, de 11 de novembro de 2016 (2016). </w:t>
      </w:r>
      <w:r w:rsidRPr="00CA3496">
        <w:rPr>
          <w:rFonts w:eastAsia="Helvetica"/>
          <w:i/>
          <w:sz w:val="24"/>
          <w:szCs w:val="24"/>
        </w:rPr>
        <w:t>Introduz alterações no RICMS/SC.01 e estabelece outras providências</w:t>
      </w:r>
      <w:r w:rsidRPr="00CA3496">
        <w:rPr>
          <w:sz w:val="24"/>
          <w:szCs w:val="24"/>
        </w:rPr>
        <w:t xml:space="preserve">. </w:t>
      </w:r>
      <w:r w:rsidRPr="00CA3496">
        <w:rPr>
          <w:rFonts w:eastAsia="Helvetica"/>
          <w:sz w:val="24"/>
          <w:szCs w:val="24"/>
          <w:shd w:val="clear" w:color="auto" w:fill="FFFFFF"/>
        </w:rPr>
        <w:t>Recuperado em 14 abril, 2018, de</w:t>
      </w:r>
      <w:r w:rsidRPr="00CA3496">
        <w:rPr>
          <w:sz w:val="24"/>
          <w:szCs w:val="24"/>
        </w:rPr>
        <w:t xml:space="preserve"> http://legislacao.sef.sc.gov.br/html/decretos/2016/dec_16_0947.htm</w:t>
      </w:r>
    </w:p>
    <w:p w14:paraId="1CEC732F" w14:textId="77777777" w:rsidR="00CA3496" w:rsidRPr="00CA3496" w:rsidRDefault="00CA3496" w:rsidP="00123B1C">
      <w:pPr>
        <w:jc w:val="both"/>
        <w:rPr>
          <w:rFonts w:eastAsia="Arial"/>
          <w:sz w:val="24"/>
          <w:szCs w:val="24"/>
        </w:rPr>
      </w:pPr>
    </w:p>
    <w:p w14:paraId="360BA086" w14:textId="77777777" w:rsidR="00CA3496" w:rsidRPr="00CA3496" w:rsidRDefault="00CA3496" w:rsidP="00123B1C">
      <w:pPr>
        <w:jc w:val="both"/>
        <w:rPr>
          <w:rFonts w:eastAsia="Arial"/>
          <w:sz w:val="24"/>
          <w:szCs w:val="24"/>
        </w:rPr>
      </w:pPr>
      <w:r w:rsidRPr="00CA3496">
        <w:rPr>
          <w:sz w:val="24"/>
          <w:szCs w:val="24"/>
        </w:rPr>
        <w:t xml:space="preserve">Decreto Lei nº 1173, de 5 de junho de 2017 (2017). </w:t>
      </w:r>
      <w:r w:rsidRPr="00CA3496">
        <w:rPr>
          <w:rFonts w:eastAsia="Helvetica"/>
          <w:i/>
          <w:sz w:val="24"/>
          <w:szCs w:val="24"/>
        </w:rPr>
        <w:t>Introduz alterações no RICMS/SC.01 e estabelece outras providências</w:t>
      </w:r>
      <w:r w:rsidRPr="00CA3496">
        <w:rPr>
          <w:sz w:val="24"/>
          <w:szCs w:val="24"/>
        </w:rPr>
        <w:t xml:space="preserve">. </w:t>
      </w:r>
      <w:r w:rsidRPr="00CA3496">
        <w:rPr>
          <w:rFonts w:eastAsia="Helvetica"/>
          <w:sz w:val="24"/>
          <w:szCs w:val="24"/>
          <w:shd w:val="clear" w:color="auto" w:fill="FFFFFF"/>
        </w:rPr>
        <w:t>Recuperado em 14 abril, 2018, de</w:t>
      </w:r>
      <w:r w:rsidRPr="00CA3496">
        <w:rPr>
          <w:sz w:val="24"/>
          <w:szCs w:val="24"/>
        </w:rPr>
        <w:t xml:space="preserve"> http://legislacao.sef.sc.gov.br/html/decretos/2017/dec_17_1173.htm</w:t>
      </w:r>
    </w:p>
    <w:p w14:paraId="771A1556" w14:textId="77777777" w:rsidR="00CA3496" w:rsidRPr="00CA3496" w:rsidRDefault="00CA3496" w:rsidP="00123B1C">
      <w:pPr>
        <w:jc w:val="both"/>
        <w:rPr>
          <w:rFonts w:eastAsia="Arial"/>
          <w:sz w:val="24"/>
          <w:szCs w:val="24"/>
        </w:rPr>
      </w:pPr>
    </w:p>
    <w:p w14:paraId="3EB16A38" w14:textId="77777777" w:rsidR="00CA3496" w:rsidRPr="00CA3496" w:rsidRDefault="00CA3496" w:rsidP="00123B1C">
      <w:pPr>
        <w:jc w:val="both"/>
        <w:rPr>
          <w:rFonts w:eastAsia="Arial"/>
          <w:sz w:val="24"/>
          <w:szCs w:val="24"/>
        </w:rPr>
      </w:pPr>
      <w:r w:rsidRPr="00CA3496">
        <w:rPr>
          <w:sz w:val="24"/>
          <w:szCs w:val="24"/>
        </w:rPr>
        <w:t xml:space="preserve">Decreto Lei nº 1432, de 21 de dezembro de 2017 (2017). </w:t>
      </w:r>
      <w:r w:rsidRPr="00CA3496">
        <w:rPr>
          <w:rFonts w:eastAsia="Helvetica"/>
          <w:i/>
          <w:sz w:val="24"/>
          <w:szCs w:val="24"/>
        </w:rPr>
        <w:t>Introduz alterações no RICMS/SC.01 e estabelece outras providências</w:t>
      </w:r>
      <w:r w:rsidRPr="00CA3496">
        <w:rPr>
          <w:sz w:val="24"/>
          <w:szCs w:val="24"/>
        </w:rPr>
        <w:t xml:space="preserve">. </w:t>
      </w:r>
      <w:r w:rsidRPr="00CA3496">
        <w:rPr>
          <w:rFonts w:eastAsia="Helvetica"/>
          <w:sz w:val="24"/>
          <w:szCs w:val="24"/>
          <w:shd w:val="clear" w:color="auto" w:fill="FFFFFF"/>
        </w:rPr>
        <w:t>Recuperado em 14 abril, 2018, de</w:t>
      </w:r>
      <w:r w:rsidRPr="00CA3496">
        <w:rPr>
          <w:sz w:val="24"/>
          <w:szCs w:val="24"/>
        </w:rPr>
        <w:t xml:space="preserve"> http://legislacao.sef.sc.gov.br/html/decretos/2017/dec_17_1432.htm</w:t>
      </w:r>
    </w:p>
    <w:p w14:paraId="3744C86D" w14:textId="77777777" w:rsidR="00CA3496" w:rsidRPr="00CA3496" w:rsidRDefault="00CA3496" w:rsidP="00123B1C">
      <w:pPr>
        <w:jc w:val="both"/>
        <w:rPr>
          <w:rFonts w:eastAsia="Arial"/>
          <w:sz w:val="24"/>
          <w:szCs w:val="24"/>
        </w:rPr>
      </w:pPr>
    </w:p>
    <w:p w14:paraId="64C9CE85" w14:textId="77777777" w:rsidR="00CA3496" w:rsidRPr="00CA3496" w:rsidRDefault="00CA3496" w:rsidP="00123B1C">
      <w:pPr>
        <w:jc w:val="both"/>
        <w:rPr>
          <w:rFonts w:eastAsia="Arial"/>
          <w:sz w:val="24"/>
          <w:szCs w:val="24"/>
        </w:rPr>
      </w:pPr>
      <w:r w:rsidRPr="00CA3496">
        <w:rPr>
          <w:sz w:val="24"/>
          <w:szCs w:val="24"/>
        </w:rPr>
        <w:lastRenderedPageBreak/>
        <w:t xml:space="preserve">Decreto Lei nº 1541, de 21 de março de 2018 (2018). </w:t>
      </w:r>
      <w:r w:rsidRPr="00CA3496">
        <w:rPr>
          <w:rFonts w:eastAsia="Helvetica"/>
          <w:i/>
          <w:sz w:val="24"/>
          <w:szCs w:val="24"/>
        </w:rPr>
        <w:t>Introduz alterações no RICMS/SC.01 e estabelece outras providências</w:t>
      </w:r>
      <w:r w:rsidRPr="00CA3496">
        <w:rPr>
          <w:sz w:val="24"/>
          <w:szCs w:val="24"/>
        </w:rPr>
        <w:t xml:space="preserve">. </w:t>
      </w:r>
      <w:r w:rsidRPr="00CA3496">
        <w:rPr>
          <w:rFonts w:eastAsia="Helvetica"/>
          <w:sz w:val="24"/>
          <w:szCs w:val="24"/>
          <w:shd w:val="clear" w:color="auto" w:fill="FFFFFF"/>
        </w:rPr>
        <w:t>Recuperado em 14 abril, 2018, de</w:t>
      </w:r>
      <w:r w:rsidRPr="00CA3496">
        <w:rPr>
          <w:sz w:val="24"/>
          <w:szCs w:val="24"/>
        </w:rPr>
        <w:t xml:space="preserve"> http://legislacao.sef.sc.gov.br/legtrib_internet/html/decretos/2018/dec_18_1541.htm</w:t>
      </w:r>
    </w:p>
    <w:p w14:paraId="09ADEB27" w14:textId="77777777" w:rsidR="00CA3496" w:rsidRPr="00CA3496" w:rsidRDefault="00CA3496" w:rsidP="00123B1C">
      <w:pPr>
        <w:pStyle w:val="SemEspaamento"/>
        <w:jc w:val="both"/>
        <w:rPr>
          <w:rFonts w:ascii="Times New Roman" w:eastAsia="Arial" w:hAnsi="Times New Roman" w:cs="Times New Roman"/>
          <w:sz w:val="24"/>
          <w:szCs w:val="24"/>
        </w:rPr>
      </w:pPr>
    </w:p>
    <w:p w14:paraId="7AD401EE" w14:textId="77777777" w:rsidR="00CA3496" w:rsidRPr="00CA3496" w:rsidRDefault="00CA3496" w:rsidP="00123B1C">
      <w:pPr>
        <w:jc w:val="both"/>
        <w:rPr>
          <w:rFonts w:eastAsia="Arial"/>
          <w:sz w:val="24"/>
          <w:szCs w:val="24"/>
        </w:rPr>
      </w:pPr>
      <w:r w:rsidRPr="00CA3496">
        <w:rPr>
          <w:sz w:val="24"/>
          <w:szCs w:val="24"/>
        </w:rPr>
        <w:t xml:space="preserve">Decreto Lei nº 1790, de 29 de abril de 1997 (1997). </w:t>
      </w:r>
      <w:r w:rsidRPr="00CA3496">
        <w:rPr>
          <w:i/>
          <w:sz w:val="24"/>
          <w:szCs w:val="24"/>
        </w:rPr>
        <w:t>Regulamento do Imposto sobre Operações Relativas à Circulação de Mercadorias e sobre Prestações de Serviços de Transporte Interestadual e Intermunicipal e de Comunicação - RICMS-SC</w:t>
      </w:r>
      <w:r w:rsidRPr="00CA3496">
        <w:rPr>
          <w:sz w:val="24"/>
          <w:szCs w:val="24"/>
        </w:rPr>
        <w:t xml:space="preserve">. </w:t>
      </w:r>
      <w:r w:rsidRPr="00CA3496">
        <w:rPr>
          <w:rFonts w:eastAsia="Helvetica"/>
          <w:sz w:val="24"/>
          <w:szCs w:val="24"/>
          <w:shd w:val="clear" w:color="auto" w:fill="FFFFFF"/>
        </w:rPr>
        <w:t>Recuperado em 14 abril, 2018, de</w:t>
      </w:r>
      <w:r w:rsidRPr="00CA3496">
        <w:rPr>
          <w:sz w:val="24"/>
          <w:szCs w:val="24"/>
        </w:rPr>
        <w:t xml:space="preserve"> http://legislacao.sef.sc.gov.br/html/regulamentos/anteriores/ricms97.htm</w:t>
      </w:r>
    </w:p>
    <w:p w14:paraId="573DD9A9" w14:textId="77777777" w:rsidR="00CA3496" w:rsidRPr="00CA3496" w:rsidRDefault="00CA3496" w:rsidP="00123B1C">
      <w:pPr>
        <w:pStyle w:val="SemEspaamento"/>
        <w:jc w:val="both"/>
        <w:rPr>
          <w:rFonts w:ascii="Times New Roman" w:eastAsia="Arial" w:hAnsi="Times New Roman" w:cs="Times New Roman"/>
          <w:sz w:val="24"/>
          <w:szCs w:val="24"/>
        </w:rPr>
      </w:pPr>
    </w:p>
    <w:p w14:paraId="15F21AAC" w14:textId="77777777" w:rsidR="00F332A1" w:rsidRPr="00CA3496" w:rsidRDefault="00F332A1" w:rsidP="00123B1C">
      <w:pPr>
        <w:jc w:val="both"/>
        <w:rPr>
          <w:sz w:val="24"/>
          <w:szCs w:val="24"/>
        </w:rPr>
      </w:pPr>
      <w:proofErr w:type="spellStart"/>
      <w:r w:rsidRPr="00CA3496">
        <w:rPr>
          <w:sz w:val="24"/>
          <w:szCs w:val="24"/>
          <w:shd w:val="clear" w:color="auto" w:fill="FFFFFF"/>
        </w:rPr>
        <w:t>F</w:t>
      </w:r>
      <w:r w:rsidR="00941AAF" w:rsidRPr="00CA3496">
        <w:rPr>
          <w:sz w:val="24"/>
          <w:szCs w:val="24"/>
          <w:shd w:val="clear" w:color="auto" w:fill="FFFFFF"/>
        </w:rPr>
        <w:t>aliguski</w:t>
      </w:r>
      <w:proofErr w:type="spellEnd"/>
      <w:r w:rsidRPr="00CA3496">
        <w:rPr>
          <w:sz w:val="24"/>
          <w:szCs w:val="24"/>
          <w:shd w:val="clear" w:color="auto" w:fill="FFFFFF"/>
        </w:rPr>
        <w:t xml:space="preserve">, I. </w:t>
      </w:r>
      <w:r w:rsidR="009979CA" w:rsidRPr="00CA3496">
        <w:rPr>
          <w:sz w:val="24"/>
          <w:szCs w:val="24"/>
          <w:shd w:val="clear" w:color="auto" w:fill="FFFFFF"/>
        </w:rPr>
        <w:t xml:space="preserve">(2010). </w:t>
      </w:r>
      <w:r w:rsidRPr="00CA3496">
        <w:rPr>
          <w:i/>
          <w:sz w:val="24"/>
          <w:szCs w:val="24"/>
          <w:shd w:val="clear" w:color="auto" w:fill="FFFFFF"/>
        </w:rPr>
        <w:t>O impacto da substituição tributária no preço de venda para consumidor final.</w:t>
      </w:r>
      <w:r w:rsidRPr="00CA3496">
        <w:rPr>
          <w:b/>
          <w:sz w:val="24"/>
          <w:szCs w:val="24"/>
          <w:shd w:val="clear" w:color="auto" w:fill="FFFFFF"/>
        </w:rPr>
        <w:t xml:space="preserve"> </w:t>
      </w:r>
      <w:r w:rsidRPr="00CA3496">
        <w:rPr>
          <w:sz w:val="24"/>
          <w:szCs w:val="24"/>
          <w:shd w:val="clear" w:color="auto" w:fill="FFFFFF"/>
        </w:rPr>
        <w:t>23 f. Tr</w:t>
      </w:r>
      <w:r w:rsidRPr="00CA3496">
        <w:rPr>
          <w:sz w:val="24"/>
          <w:szCs w:val="24"/>
        </w:rPr>
        <w:t>abalho de Conclusão de Curso (Bacharelado em Ciências Contábeis) – Universidade Federal do Rio Grande do Sul-UFRGS, 2010.</w:t>
      </w:r>
    </w:p>
    <w:p w14:paraId="03F5F34F" w14:textId="77777777" w:rsidR="00F332A1" w:rsidRPr="00CA3496" w:rsidRDefault="00F332A1" w:rsidP="00123B1C">
      <w:pPr>
        <w:pStyle w:val="SemEspaamento"/>
        <w:jc w:val="both"/>
        <w:rPr>
          <w:rFonts w:ascii="Times New Roman" w:hAnsi="Times New Roman" w:cs="Times New Roman"/>
          <w:sz w:val="24"/>
          <w:szCs w:val="24"/>
        </w:rPr>
      </w:pPr>
    </w:p>
    <w:p w14:paraId="0D83C15E" w14:textId="77777777" w:rsidR="009A5621" w:rsidRPr="00CA3496" w:rsidRDefault="009979CA" w:rsidP="00123B1C">
      <w:pPr>
        <w:pStyle w:val="SemEspaamento"/>
        <w:jc w:val="both"/>
        <w:rPr>
          <w:rFonts w:ascii="Times New Roman" w:hAnsi="Times New Roman" w:cs="Times New Roman"/>
          <w:sz w:val="24"/>
          <w:szCs w:val="24"/>
          <w:shd w:val="clear" w:color="auto" w:fill="FFFFFF"/>
        </w:rPr>
      </w:pPr>
      <w:r w:rsidRPr="00CA3496">
        <w:rPr>
          <w:rFonts w:ascii="Times New Roman" w:hAnsi="Times New Roman" w:cs="Times New Roman"/>
          <w:sz w:val="24"/>
          <w:szCs w:val="24"/>
          <w:shd w:val="clear" w:color="auto" w:fill="FFFFFF"/>
        </w:rPr>
        <w:t xml:space="preserve">Ferreira, L. F., </w:t>
      </w:r>
      <w:proofErr w:type="spellStart"/>
      <w:r w:rsidRPr="00CA3496">
        <w:rPr>
          <w:rFonts w:ascii="Times New Roman" w:hAnsi="Times New Roman" w:cs="Times New Roman"/>
          <w:sz w:val="24"/>
          <w:szCs w:val="24"/>
          <w:shd w:val="clear" w:color="auto" w:fill="FFFFFF"/>
        </w:rPr>
        <w:t>Lorandi</w:t>
      </w:r>
      <w:proofErr w:type="spellEnd"/>
      <w:r w:rsidRPr="00CA3496">
        <w:rPr>
          <w:rFonts w:ascii="Times New Roman" w:hAnsi="Times New Roman" w:cs="Times New Roman"/>
          <w:sz w:val="24"/>
          <w:szCs w:val="24"/>
          <w:shd w:val="clear" w:color="auto" w:fill="FFFFFF"/>
        </w:rPr>
        <w:t xml:space="preserve">, J. A., &amp; </w:t>
      </w:r>
      <w:proofErr w:type="spellStart"/>
      <w:r w:rsidRPr="00CA3496">
        <w:rPr>
          <w:rFonts w:ascii="Times New Roman" w:hAnsi="Times New Roman" w:cs="Times New Roman"/>
          <w:sz w:val="24"/>
          <w:szCs w:val="24"/>
          <w:shd w:val="clear" w:color="auto" w:fill="FFFFFF"/>
        </w:rPr>
        <w:t>Imbrosio</w:t>
      </w:r>
      <w:proofErr w:type="spellEnd"/>
      <w:r w:rsidRPr="00CA3496">
        <w:rPr>
          <w:rFonts w:ascii="Times New Roman" w:hAnsi="Times New Roman" w:cs="Times New Roman"/>
          <w:sz w:val="24"/>
          <w:szCs w:val="24"/>
          <w:shd w:val="clear" w:color="auto" w:fill="FFFFFF"/>
        </w:rPr>
        <w:t>, M.</w:t>
      </w:r>
      <w:r w:rsidR="006B65C8" w:rsidRPr="00CA3496">
        <w:rPr>
          <w:rFonts w:ascii="Times New Roman" w:hAnsi="Times New Roman" w:cs="Times New Roman"/>
          <w:sz w:val="24"/>
          <w:szCs w:val="24"/>
          <w:shd w:val="clear" w:color="auto" w:fill="FFFFFF"/>
        </w:rPr>
        <w:t xml:space="preserve"> A.</w:t>
      </w:r>
      <w:r w:rsidRPr="00CA3496">
        <w:rPr>
          <w:rFonts w:ascii="Times New Roman" w:hAnsi="Times New Roman" w:cs="Times New Roman"/>
          <w:sz w:val="24"/>
          <w:szCs w:val="24"/>
          <w:shd w:val="clear" w:color="auto" w:fill="FFFFFF"/>
        </w:rPr>
        <w:t xml:space="preserve"> (2011). ICMS por Substituição Tributária e a formação do preço de venda de artigos de Papelaria. In </w:t>
      </w:r>
      <w:r w:rsidRPr="00CA3496">
        <w:rPr>
          <w:rFonts w:ascii="Times New Roman" w:hAnsi="Times New Roman" w:cs="Times New Roman"/>
          <w:i/>
          <w:iCs/>
          <w:sz w:val="24"/>
          <w:szCs w:val="24"/>
          <w:shd w:val="clear" w:color="auto" w:fill="FFFFFF"/>
        </w:rPr>
        <w:t>Anais do Congresso Brasileiro de Custos-ABC</w:t>
      </w:r>
      <w:r w:rsidRPr="00CA3496">
        <w:rPr>
          <w:rFonts w:ascii="Times New Roman" w:hAnsi="Times New Roman" w:cs="Times New Roman"/>
          <w:sz w:val="24"/>
          <w:szCs w:val="24"/>
          <w:shd w:val="clear" w:color="auto" w:fill="FFFFFF"/>
        </w:rPr>
        <w:t>.</w:t>
      </w:r>
    </w:p>
    <w:p w14:paraId="129DF84F" w14:textId="77777777" w:rsidR="009979CA" w:rsidRPr="00CA3496" w:rsidRDefault="009979CA" w:rsidP="00123B1C">
      <w:pPr>
        <w:pStyle w:val="SemEspaamento"/>
        <w:jc w:val="both"/>
        <w:rPr>
          <w:rFonts w:ascii="Times New Roman" w:hAnsi="Times New Roman" w:cs="Times New Roman"/>
          <w:b/>
          <w:sz w:val="24"/>
          <w:szCs w:val="24"/>
        </w:rPr>
      </w:pPr>
    </w:p>
    <w:p w14:paraId="514BBB46" w14:textId="77777777" w:rsidR="009A5621" w:rsidRPr="00CA3496" w:rsidRDefault="009A5621" w:rsidP="00123B1C">
      <w:pPr>
        <w:pStyle w:val="Ttulo1"/>
        <w:shd w:val="clear" w:color="auto" w:fill="FFFFFF"/>
        <w:spacing w:before="0" w:line="240" w:lineRule="auto"/>
        <w:jc w:val="both"/>
        <w:rPr>
          <w:rFonts w:ascii="Times New Roman" w:hAnsi="Times New Roman" w:cs="Times New Roman"/>
          <w:color w:val="auto"/>
          <w:sz w:val="24"/>
          <w:szCs w:val="24"/>
        </w:rPr>
      </w:pPr>
      <w:r w:rsidRPr="00CA3496">
        <w:rPr>
          <w:rFonts w:ascii="Times New Roman" w:hAnsi="Times New Roman" w:cs="Times New Roman"/>
          <w:color w:val="auto"/>
          <w:sz w:val="24"/>
          <w:szCs w:val="24"/>
        </w:rPr>
        <w:t>F</w:t>
      </w:r>
      <w:r w:rsidR="00941AAF" w:rsidRPr="00CA3496">
        <w:rPr>
          <w:rFonts w:ascii="Times New Roman" w:hAnsi="Times New Roman" w:cs="Times New Roman"/>
          <w:color w:val="auto"/>
          <w:sz w:val="24"/>
          <w:szCs w:val="24"/>
        </w:rPr>
        <w:t>ilho</w:t>
      </w:r>
      <w:r w:rsidRPr="00CA3496">
        <w:rPr>
          <w:rFonts w:ascii="Times New Roman" w:hAnsi="Times New Roman" w:cs="Times New Roman"/>
          <w:color w:val="auto"/>
          <w:sz w:val="24"/>
          <w:szCs w:val="24"/>
        </w:rPr>
        <w:t>, L</w:t>
      </w:r>
      <w:r w:rsidR="00941AAF" w:rsidRPr="00CA3496">
        <w:rPr>
          <w:rFonts w:ascii="Times New Roman" w:hAnsi="Times New Roman" w:cs="Times New Roman"/>
          <w:color w:val="auto"/>
          <w:sz w:val="24"/>
          <w:szCs w:val="24"/>
        </w:rPr>
        <w:t>.</w:t>
      </w:r>
      <w:r w:rsidRPr="00CA3496">
        <w:rPr>
          <w:rFonts w:ascii="Times New Roman" w:hAnsi="Times New Roman" w:cs="Times New Roman"/>
          <w:color w:val="auto"/>
          <w:sz w:val="24"/>
          <w:szCs w:val="24"/>
        </w:rPr>
        <w:t xml:space="preserve"> A</w:t>
      </w:r>
      <w:r w:rsidR="00941AAF" w:rsidRPr="00CA3496">
        <w:rPr>
          <w:rFonts w:ascii="Times New Roman" w:hAnsi="Times New Roman" w:cs="Times New Roman"/>
          <w:color w:val="auto"/>
          <w:sz w:val="24"/>
          <w:szCs w:val="24"/>
        </w:rPr>
        <w:t>.</w:t>
      </w:r>
      <w:r w:rsidRPr="00CA3496">
        <w:rPr>
          <w:rFonts w:ascii="Times New Roman" w:hAnsi="Times New Roman" w:cs="Times New Roman"/>
          <w:color w:val="auto"/>
          <w:sz w:val="24"/>
          <w:szCs w:val="24"/>
        </w:rPr>
        <w:t xml:space="preserve"> P</w:t>
      </w:r>
      <w:r w:rsidR="00941AAF" w:rsidRPr="00CA3496">
        <w:rPr>
          <w:rFonts w:ascii="Times New Roman" w:hAnsi="Times New Roman" w:cs="Times New Roman"/>
          <w:color w:val="auto"/>
          <w:sz w:val="24"/>
          <w:szCs w:val="24"/>
        </w:rPr>
        <w:t>. &amp;</w:t>
      </w:r>
      <w:r w:rsidRPr="00CA3496">
        <w:rPr>
          <w:rFonts w:ascii="Times New Roman" w:hAnsi="Times New Roman" w:cs="Times New Roman"/>
          <w:b/>
          <w:color w:val="auto"/>
          <w:sz w:val="24"/>
          <w:szCs w:val="24"/>
        </w:rPr>
        <w:t xml:space="preserve"> </w:t>
      </w:r>
      <w:r w:rsidR="00941AAF" w:rsidRPr="00CA3496">
        <w:rPr>
          <w:rFonts w:ascii="Times New Roman" w:hAnsi="Times New Roman" w:cs="Times New Roman"/>
          <w:color w:val="auto"/>
          <w:sz w:val="24"/>
          <w:szCs w:val="24"/>
        </w:rPr>
        <w:t xml:space="preserve">Brasil </w:t>
      </w:r>
      <w:r w:rsidRPr="00CA3496">
        <w:rPr>
          <w:rFonts w:ascii="Times New Roman" w:hAnsi="Times New Roman" w:cs="Times New Roman"/>
          <w:color w:val="auto"/>
          <w:sz w:val="24"/>
          <w:szCs w:val="24"/>
        </w:rPr>
        <w:t>J</w:t>
      </w:r>
      <w:r w:rsidR="00941AAF" w:rsidRPr="00CA3496">
        <w:rPr>
          <w:rFonts w:ascii="Times New Roman" w:hAnsi="Times New Roman" w:cs="Times New Roman"/>
          <w:color w:val="auto"/>
          <w:sz w:val="24"/>
          <w:szCs w:val="24"/>
        </w:rPr>
        <w:t>r</w:t>
      </w:r>
      <w:r w:rsidRPr="00CA3496">
        <w:rPr>
          <w:rFonts w:ascii="Times New Roman" w:hAnsi="Times New Roman" w:cs="Times New Roman"/>
          <w:color w:val="auto"/>
          <w:sz w:val="24"/>
          <w:szCs w:val="24"/>
        </w:rPr>
        <w:t>, V</w:t>
      </w:r>
      <w:r w:rsidR="00941AAF" w:rsidRPr="00CA3496">
        <w:rPr>
          <w:rFonts w:ascii="Times New Roman" w:hAnsi="Times New Roman" w:cs="Times New Roman"/>
          <w:color w:val="auto"/>
          <w:sz w:val="24"/>
          <w:szCs w:val="24"/>
        </w:rPr>
        <w:t>. (2005).</w:t>
      </w:r>
      <w:r w:rsidRPr="00CA3496">
        <w:rPr>
          <w:rFonts w:ascii="Times New Roman" w:hAnsi="Times New Roman" w:cs="Times New Roman"/>
          <w:b/>
          <w:color w:val="auto"/>
          <w:sz w:val="24"/>
          <w:szCs w:val="24"/>
        </w:rPr>
        <w:t xml:space="preserve"> </w:t>
      </w:r>
      <w:r w:rsidRPr="00CA3496">
        <w:rPr>
          <w:rFonts w:ascii="Times New Roman" w:hAnsi="Times New Roman" w:cs="Times New Roman"/>
          <w:i/>
          <w:color w:val="auto"/>
          <w:sz w:val="24"/>
          <w:szCs w:val="24"/>
        </w:rPr>
        <w:t>Manual Prático do ICMS para o RS.</w:t>
      </w:r>
      <w:r w:rsidRPr="00CA3496">
        <w:rPr>
          <w:rFonts w:ascii="Times New Roman" w:hAnsi="Times New Roman" w:cs="Times New Roman"/>
          <w:b/>
          <w:color w:val="auto"/>
          <w:sz w:val="24"/>
          <w:szCs w:val="24"/>
        </w:rPr>
        <w:t xml:space="preserve"> </w:t>
      </w:r>
      <w:r w:rsidRPr="00CA3496">
        <w:rPr>
          <w:rFonts w:ascii="Times New Roman" w:hAnsi="Times New Roman" w:cs="Times New Roman"/>
          <w:color w:val="auto"/>
          <w:sz w:val="24"/>
          <w:szCs w:val="24"/>
        </w:rPr>
        <w:t>Curitiba. Editora Juruá.</w:t>
      </w:r>
    </w:p>
    <w:p w14:paraId="615C5EB2" w14:textId="77777777" w:rsidR="009A5621" w:rsidRPr="00CA3496" w:rsidRDefault="009A5621" w:rsidP="00123B1C">
      <w:pPr>
        <w:jc w:val="both"/>
        <w:rPr>
          <w:sz w:val="24"/>
          <w:szCs w:val="24"/>
        </w:rPr>
      </w:pPr>
    </w:p>
    <w:p w14:paraId="2FA9AC94" w14:textId="77777777" w:rsidR="009A5621" w:rsidRPr="00CA3496" w:rsidRDefault="009A5621" w:rsidP="00123B1C">
      <w:pPr>
        <w:jc w:val="both"/>
        <w:rPr>
          <w:sz w:val="24"/>
          <w:szCs w:val="24"/>
        </w:rPr>
      </w:pPr>
      <w:r w:rsidRPr="00CA3496">
        <w:rPr>
          <w:sz w:val="24"/>
          <w:szCs w:val="24"/>
        </w:rPr>
        <w:t>F</w:t>
      </w:r>
      <w:r w:rsidR="00941AAF" w:rsidRPr="00CA3496">
        <w:rPr>
          <w:sz w:val="24"/>
          <w:szCs w:val="24"/>
        </w:rPr>
        <w:t>onseca</w:t>
      </w:r>
      <w:r w:rsidRPr="00CA3496">
        <w:rPr>
          <w:sz w:val="24"/>
          <w:szCs w:val="24"/>
        </w:rPr>
        <w:t>, J. J. S.</w:t>
      </w:r>
      <w:r w:rsidR="00941AAF" w:rsidRPr="00CA3496">
        <w:rPr>
          <w:sz w:val="24"/>
          <w:szCs w:val="24"/>
        </w:rPr>
        <w:t xml:space="preserve"> (2002).</w:t>
      </w:r>
      <w:r w:rsidRPr="00CA3496">
        <w:rPr>
          <w:sz w:val="24"/>
          <w:szCs w:val="24"/>
        </w:rPr>
        <w:t xml:space="preserve"> </w:t>
      </w:r>
      <w:r w:rsidRPr="00CA3496">
        <w:rPr>
          <w:i/>
          <w:sz w:val="24"/>
          <w:szCs w:val="24"/>
        </w:rPr>
        <w:t>Metodologia da pesquisa científica.</w:t>
      </w:r>
      <w:r w:rsidRPr="00CA3496">
        <w:rPr>
          <w:sz w:val="24"/>
          <w:szCs w:val="24"/>
        </w:rPr>
        <w:t xml:space="preserve"> Fortaleza: UEC.</w:t>
      </w:r>
    </w:p>
    <w:p w14:paraId="1B4E8269" w14:textId="77777777" w:rsidR="009A5621" w:rsidRPr="00CA3496" w:rsidRDefault="009A5621" w:rsidP="00123B1C">
      <w:pPr>
        <w:jc w:val="both"/>
        <w:rPr>
          <w:sz w:val="24"/>
          <w:szCs w:val="24"/>
        </w:rPr>
      </w:pPr>
    </w:p>
    <w:p w14:paraId="2DEDA50D" w14:textId="77777777" w:rsidR="009A5621" w:rsidRPr="00CA3496" w:rsidRDefault="009A5621" w:rsidP="00123B1C">
      <w:pPr>
        <w:pStyle w:val="Ttulo1"/>
        <w:shd w:val="clear" w:color="auto" w:fill="FFFFFF"/>
        <w:spacing w:before="0" w:line="240" w:lineRule="auto"/>
        <w:jc w:val="both"/>
        <w:rPr>
          <w:rFonts w:ascii="Times New Roman" w:hAnsi="Times New Roman" w:cs="Times New Roman"/>
          <w:color w:val="auto"/>
          <w:sz w:val="24"/>
          <w:szCs w:val="24"/>
        </w:rPr>
      </w:pPr>
      <w:r w:rsidRPr="00CA3496">
        <w:rPr>
          <w:rFonts w:ascii="Times New Roman" w:hAnsi="Times New Roman" w:cs="Times New Roman"/>
          <w:color w:val="auto"/>
          <w:sz w:val="24"/>
          <w:szCs w:val="24"/>
        </w:rPr>
        <w:t>G</w:t>
      </w:r>
      <w:r w:rsidR="00941AAF" w:rsidRPr="00CA3496">
        <w:rPr>
          <w:rFonts w:ascii="Times New Roman" w:hAnsi="Times New Roman" w:cs="Times New Roman"/>
          <w:color w:val="auto"/>
          <w:sz w:val="24"/>
          <w:szCs w:val="24"/>
        </w:rPr>
        <w:t>arcia</w:t>
      </w:r>
      <w:r w:rsidRPr="00CA3496">
        <w:rPr>
          <w:rFonts w:ascii="Times New Roman" w:hAnsi="Times New Roman" w:cs="Times New Roman"/>
          <w:color w:val="auto"/>
          <w:sz w:val="24"/>
          <w:szCs w:val="24"/>
        </w:rPr>
        <w:t>, F</w:t>
      </w:r>
      <w:r w:rsidR="00941AAF" w:rsidRPr="00CA3496">
        <w:rPr>
          <w:rFonts w:ascii="Times New Roman" w:hAnsi="Times New Roman" w:cs="Times New Roman"/>
          <w:color w:val="auto"/>
          <w:sz w:val="24"/>
          <w:szCs w:val="24"/>
        </w:rPr>
        <w:t>.</w:t>
      </w:r>
      <w:r w:rsidRPr="00CA3496">
        <w:rPr>
          <w:rFonts w:ascii="Times New Roman" w:hAnsi="Times New Roman" w:cs="Times New Roman"/>
          <w:color w:val="auto"/>
          <w:sz w:val="24"/>
          <w:szCs w:val="24"/>
        </w:rPr>
        <w:t xml:space="preserve"> F</w:t>
      </w:r>
      <w:r w:rsidR="00941AAF" w:rsidRPr="00CA3496">
        <w:rPr>
          <w:rFonts w:ascii="Times New Roman" w:hAnsi="Times New Roman" w:cs="Times New Roman"/>
          <w:color w:val="auto"/>
          <w:sz w:val="24"/>
          <w:szCs w:val="24"/>
        </w:rPr>
        <w:t>.</w:t>
      </w:r>
      <w:r w:rsidRPr="00CA3496">
        <w:rPr>
          <w:rFonts w:ascii="Times New Roman" w:hAnsi="Times New Roman" w:cs="Times New Roman"/>
          <w:color w:val="auto"/>
          <w:sz w:val="24"/>
          <w:szCs w:val="24"/>
        </w:rPr>
        <w:t xml:space="preserve"> S</w:t>
      </w:r>
      <w:r w:rsidR="00941AAF" w:rsidRPr="00CA3496">
        <w:rPr>
          <w:rFonts w:ascii="Times New Roman" w:hAnsi="Times New Roman" w:cs="Times New Roman"/>
          <w:color w:val="auto"/>
          <w:sz w:val="24"/>
          <w:szCs w:val="24"/>
        </w:rPr>
        <w:t>. (1995).</w:t>
      </w:r>
      <w:r w:rsidRPr="00CA3496">
        <w:rPr>
          <w:rFonts w:ascii="Times New Roman" w:hAnsi="Times New Roman" w:cs="Times New Roman"/>
          <w:color w:val="auto"/>
          <w:sz w:val="24"/>
          <w:szCs w:val="24"/>
        </w:rPr>
        <w:t xml:space="preserve"> </w:t>
      </w:r>
      <w:r w:rsidRPr="00CA3496">
        <w:rPr>
          <w:rFonts w:ascii="Times New Roman" w:hAnsi="Times New Roman" w:cs="Times New Roman"/>
          <w:i/>
          <w:color w:val="auto"/>
          <w:sz w:val="24"/>
          <w:szCs w:val="24"/>
        </w:rPr>
        <w:t>Curso de Direito Tributário</w:t>
      </w:r>
      <w:r w:rsidR="00941AAF" w:rsidRPr="00CA3496">
        <w:rPr>
          <w:rFonts w:ascii="Times New Roman" w:hAnsi="Times New Roman" w:cs="Times New Roman"/>
          <w:i/>
          <w:color w:val="auto"/>
          <w:sz w:val="24"/>
          <w:szCs w:val="24"/>
        </w:rPr>
        <w:t>,</w:t>
      </w:r>
      <w:r w:rsidRPr="00CA3496">
        <w:rPr>
          <w:rFonts w:ascii="Times New Roman" w:hAnsi="Times New Roman" w:cs="Times New Roman"/>
          <w:b/>
          <w:color w:val="auto"/>
          <w:sz w:val="24"/>
          <w:szCs w:val="24"/>
        </w:rPr>
        <w:t xml:space="preserve"> </w:t>
      </w:r>
      <w:r w:rsidRPr="00CA3496">
        <w:rPr>
          <w:rFonts w:ascii="Times New Roman" w:hAnsi="Times New Roman" w:cs="Times New Roman"/>
          <w:color w:val="auto"/>
          <w:sz w:val="24"/>
          <w:szCs w:val="24"/>
        </w:rPr>
        <w:t>4</w:t>
      </w:r>
      <w:r w:rsidR="00941AAF" w:rsidRPr="00CA3496">
        <w:rPr>
          <w:rFonts w:ascii="Times New Roman" w:hAnsi="Times New Roman" w:cs="Times New Roman"/>
          <w:color w:val="auto"/>
          <w:sz w:val="24"/>
          <w:szCs w:val="24"/>
        </w:rPr>
        <w:t>.</w:t>
      </w:r>
      <w:r w:rsidRPr="00CA3496">
        <w:rPr>
          <w:rFonts w:ascii="Times New Roman" w:hAnsi="Times New Roman" w:cs="Times New Roman"/>
          <w:color w:val="auto"/>
          <w:sz w:val="24"/>
          <w:szCs w:val="24"/>
        </w:rPr>
        <w:t xml:space="preserve"> São Paulo.</w:t>
      </w:r>
    </w:p>
    <w:p w14:paraId="10E1B253" w14:textId="77777777" w:rsidR="009A5621" w:rsidRPr="00CA3496" w:rsidRDefault="009A5621" w:rsidP="00123B1C">
      <w:pPr>
        <w:jc w:val="both"/>
        <w:rPr>
          <w:sz w:val="24"/>
          <w:szCs w:val="24"/>
        </w:rPr>
      </w:pPr>
    </w:p>
    <w:p w14:paraId="3D82E262" w14:textId="77777777" w:rsidR="009A5621" w:rsidRPr="00CA3496" w:rsidRDefault="009A5621" w:rsidP="00123B1C">
      <w:pPr>
        <w:jc w:val="both"/>
        <w:rPr>
          <w:sz w:val="24"/>
          <w:szCs w:val="24"/>
        </w:rPr>
      </w:pPr>
      <w:r w:rsidRPr="00CA3496">
        <w:rPr>
          <w:sz w:val="24"/>
          <w:szCs w:val="24"/>
        </w:rPr>
        <w:t>G</w:t>
      </w:r>
      <w:r w:rsidR="00941AAF" w:rsidRPr="00CA3496">
        <w:rPr>
          <w:sz w:val="24"/>
          <w:szCs w:val="24"/>
        </w:rPr>
        <w:t>il</w:t>
      </w:r>
      <w:r w:rsidRPr="00CA3496">
        <w:rPr>
          <w:sz w:val="24"/>
          <w:szCs w:val="24"/>
        </w:rPr>
        <w:t>, A</w:t>
      </w:r>
      <w:r w:rsidR="00941AAF" w:rsidRPr="00CA3496">
        <w:rPr>
          <w:sz w:val="24"/>
          <w:szCs w:val="24"/>
        </w:rPr>
        <w:t>.</w:t>
      </w:r>
      <w:r w:rsidRPr="00CA3496">
        <w:rPr>
          <w:sz w:val="24"/>
          <w:szCs w:val="24"/>
        </w:rPr>
        <w:t xml:space="preserve"> C</w:t>
      </w:r>
      <w:r w:rsidR="00941AAF" w:rsidRPr="00CA3496">
        <w:rPr>
          <w:sz w:val="24"/>
          <w:szCs w:val="24"/>
        </w:rPr>
        <w:t>. (1999).</w:t>
      </w:r>
      <w:r w:rsidRPr="00CA3496">
        <w:rPr>
          <w:sz w:val="24"/>
          <w:szCs w:val="24"/>
        </w:rPr>
        <w:t xml:space="preserve"> </w:t>
      </w:r>
      <w:r w:rsidRPr="00CA3496">
        <w:rPr>
          <w:i/>
          <w:sz w:val="24"/>
          <w:szCs w:val="24"/>
        </w:rPr>
        <w:t>Métodos e Técnicas de pesquisa social.</w:t>
      </w:r>
      <w:r w:rsidRPr="00CA3496">
        <w:rPr>
          <w:b/>
          <w:sz w:val="24"/>
          <w:szCs w:val="24"/>
        </w:rPr>
        <w:t xml:space="preserve"> </w:t>
      </w:r>
      <w:r w:rsidRPr="00CA3496">
        <w:rPr>
          <w:sz w:val="24"/>
          <w:szCs w:val="24"/>
        </w:rPr>
        <w:t xml:space="preserve">São Paulo: Atlas. </w:t>
      </w:r>
    </w:p>
    <w:p w14:paraId="6133A756" w14:textId="77777777" w:rsidR="009A5621" w:rsidRPr="00CA3496" w:rsidRDefault="009A5621" w:rsidP="00123B1C">
      <w:pPr>
        <w:tabs>
          <w:tab w:val="left" w:pos="720"/>
        </w:tabs>
        <w:jc w:val="both"/>
        <w:rPr>
          <w:sz w:val="24"/>
          <w:szCs w:val="24"/>
        </w:rPr>
      </w:pPr>
    </w:p>
    <w:p w14:paraId="15A77100" w14:textId="77777777" w:rsidR="009A5621" w:rsidRPr="00CA3496" w:rsidRDefault="009A5621" w:rsidP="00123B1C">
      <w:pPr>
        <w:jc w:val="both"/>
        <w:rPr>
          <w:sz w:val="24"/>
          <w:szCs w:val="24"/>
        </w:rPr>
      </w:pPr>
      <w:r w:rsidRPr="00CA3496">
        <w:rPr>
          <w:sz w:val="24"/>
          <w:szCs w:val="24"/>
        </w:rPr>
        <w:t>G</w:t>
      </w:r>
      <w:r w:rsidR="00941AAF" w:rsidRPr="00CA3496">
        <w:rPr>
          <w:sz w:val="24"/>
          <w:szCs w:val="24"/>
        </w:rPr>
        <w:t>il</w:t>
      </w:r>
      <w:r w:rsidRPr="00CA3496">
        <w:rPr>
          <w:sz w:val="24"/>
          <w:szCs w:val="24"/>
        </w:rPr>
        <w:t>, A</w:t>
      </w:r>
      <w:r w:rsidR="00941AAF" w:rsidRPr="00CA3496">
        <w:rPr>
          <w:sz w:val="24"/>
          <w:szCs w:val="24"/>
        </w:rPr>
        <w:t>.</w:t>
      </w:r>
      <w:r w:rsidRPr="00CA3496">
        <w:rPr>
          <w:sz w:val="24"/>
          <w:szCs w:val="24"/>
        </w:rPr>
        <w:t xml:space="preserve"> C</w:t>
      </w:r>
      <w:r w:rsidR="00941AAF" w:rsidRPr="00CA3496">
        <w:rPr>
          <w:sz w:val="24"/>
          <w:szCs w:val="24"/>
        </w:rPr>
        <w:t>. (2010).</w:t>
      </w:r>
      <w:r w:rsidRPr="00CA3496">
        <w:rPr>
          <w:sz w:val="24"/>
          <w:szCs w:val="24"/>
        </w:rPr>
        <w:t> </w:t>
      </w:r>
      <w:r w:rsidRPr="00CA3496">
        <w:rPr>
          <w:bCs/>
          <w:i/>
          <w:sz w:val="24"/>
          <w:szCs w:val="24"/>
        </w:rPr>
        <w:t>Como elaborar projetos de pesquisa</w:t>
      </w:r>
      <w:r w:rsidR="00941AAF" w:rsidRPr="00CA3496">
        <w:rPr>
          <w:bCs/>
          <w:i/>
          <w:sz w:val="24"/>
          <w:szCs w:val="24"/>
        </w:rPr>
        <w:t>,</w:t>
      </w:r>
      <w:r w:rsidRPr="00CA3496">
        <w:rPr>
          <w:b/>
          <w:bCs/>
          <w:sz w:val="24"/>
          <w:szCs w:val="24"/>
        </w:rPr>
        <w:t> </w:t>
      </w:r>
      <w:r w:rsidRPr="00CA3496">
        <w:rPr>
          <w:sz w:val="24"/>
          <w:szCs w:val="24"/>
        </w:rPr>
        <w:t>5. São Paulo: Atlas.</w:t>
      </w:r>
    </w:p>
    <w:p w14:paraId="53A6CFE9" w14:textId="77777777" w:rsidR="009A5621" w:rsidRPr="00CA3496" w:rsidRDefault="009A5621" w:rsidP="00123B1C">
      <w:pPr>
        <w:jc w:val="both"/>
        <w:rPr>
          <w:sz w:val="24"/>
          <w:szCs w:val="24"/>
        </w:rPr>
      </w:pPr>
    </w:p>
    <w:p w14:paraId="4182FF5A" w14:textId="77777777" w:rsidR="009A5621" w:rsidRPr="00CA3496" w:rsidRDefault="009A5621" w:rsidP="00123B1C">
      <w:pPr>
        <w:jc w:val="both"/>
        <w:rPr>
          <w:sz w:val="24"/>
          <w:szCs w:val="24"/>
        </w:rPr>
      </w:pPr>
      <w:proofErr w:type="spellStart"/>
      <w:r w:rsidRPr="00CA3496">
        <w:rPr>
          <w:sz w:val="24"/>
          <w:szCs w:val="24"/>
        </w:rPr>
        <w:t>H</w:t>
      </w:r>
      <w:r w:rsidR="00941AAF" w:rsidRPr="00CA3496">
        <w:rPr>
          <w:sz w:val="24"/>
          <w:szCs w:val="24"/>
        </w:rPr>
        <w:t>ack</w:t>
      </w:r>
      <w:proofErr w:type="spellEnd"/>
      <w:r w:rsidRPr="00CA3496">
        <w:rPr>
          <w:sz w:val="24"/>
          <w:szCs w:val="24"/>
        </w:rPr>
        <w:t xml:space="preserve">, </w:t>
      </w:r>
      <w:r w:rsidR="00941AAF" w:rsidRPr="00CA3496">
        <w:rPr>
          <w:sz w:val="24"/>
          <w:szCs w:val="24"/>
        </w:rPr>
        <w:t>E</w:t>
      </w:r>
      <w:r w:rsidRPr="00CA3496">
        <w:rPr>
          <w:sz w:val="24"/>
          <w:szCs w:val="24"/>
        </w:rPr>
        <w:t>.</w:t>
      </w:r>
      <w:r w:rsidR="00941AAF" w:rsidRPr="00CA3496">
        <w:rPr>
          <w:sz w:val="24"/>
          <w:szCs w:val="24"/>
        </w:rPr>
        <w:t xml:space="preserve"> (2015).</w:t>
      </w:r>
      <w:r w:rsidRPr="00CA3496">
        <w:rPr>
          <w:sz w:val="24"/>
          <w:szCs w:val="24"/>
        </w:rPr>
        <w:t xml:space="preserve"> </w:t>
      </w:r>
      <w:r w:rsidRPr="00CA3496">
        <w:rPr>
          <w:i/>
          <w:sz w:val="24"/>
          <w:szCs w:val="24"/>
        </w:rPr>
        <w:t>Direito tributário brasileiro</w:t>
      </w:r>
      <w:r w:rsidR="00941AAF" w:rsidRPr="00CA3496">
        <w:rPr>
          <w:i/>
          <w:sz w:val="24"/>
          <w:szCs w:val="24"/>
        </w:rPr>
        <w:t>,</w:t>
      </w:r>
      <w:r w:rsidRPr="00CA3496">
        <w:rPr>
          <w:i/>
          <w:sz w:val="24"/>
          <w:szCs w:val="24"/>
        </w:rPr>
        <w:t xml:space="preserve"> </w:t>
      </w:r>
      <w:r w:rsidRPr="00CA3496">
        <w:rPr>
          <w:sz w:val="24"/>
          <w:szCs w:val="24"/>
        </w:rPr>
        <w:t xml:space="preserve">1. Curitiba: </w:t>
      </w:r>
      <w:proofErr w:type="spellStart"/>
      <w:r w:rsidRPr="00CA3496">
        <w:rPr>
          <w:sz w:val="24"/>
          <w:szCs w:val="24"/>
        </w:rPr>
        <w:t>Intersaberes</w:t>
      </w:r>
      <w:proofErr w:type="spellEnd"/>
      <w:r w:rsidR="00941AAF" w:rsidRPr="00CA3496">
        <w:rPr>
          <w:sz w:val="24"/>
          <w:szCs w:val="24"/>
        </w:rPr>
        <w:t>.</w:t>
      </w:r>
    </w:p>
    <w:p w14:paraId="598AF423" w14:textId="77777777" w:rsidR="009A5621" w:rsidRPr="00CA3496" w:rsidRDefault="009A5621" w:rsidP="00123B1C">
      <w:pPr>
        <w:jc w:val="both"/>
        <w:rPr>
          <w:sz w:val="24"/>
          <w:szCs w:val="24"/>
        </w:rPr>
      </w:pPr>
    </w:p>
    <w:p w14:paraId="42C4D7C1" w14:textId="77777777" w:rsidR="009A5621" w:rsidRPr="00CA3496" w:rsidRDefault="00941AAF" w:rsidP="00123B1C">
      <w:pPr>
        <w:jc w:val="both"/>
        <w:rPr>
          <w:sz w:val="24"/>
          <w:szCs w:val="24"/>
          <w:shd w:val="clear" w:color="auto" w:fill="FFFFFF"/>
        </w:rPr>
      </w:pPr>
      <w:r w:rsidRPr="00CA3496">
        <w:rPr>
          <w:sz w:val="24"/>
          <w:szCs w:val="24"/>
          <w:shd w:val="clear" w:color="auto" w:fill="FFFFFF"/>
        </w:rPr>
        <w:t xml:space="preserve">Júnior, R. B., &amp; </w:t>
      </w:r>
      <w:proofErr w:type="spellStart"/>
      <w:r w:rsidRPr="00CA3496">
        <w:rPr>
          <w:sz w:val="24"/>
          <w:szCs w:val="24"/>
          <w:shd w:val="clear" w:color="auto" w:fill="FFFFFF"/>
        </w:rPr>
        <w:t>Oyadomari</w:t>
      </w:r>
      <w:proofErr w:type="spellEnd"/>
      <w:r w:rsidRPr="00CA3496">
        <w:rPr>
          <w:sz w:val="24"/>
          <w:szCs w:val="24"/>
          <w:shd w:val="clear" w:color="auto" w:fill="FFFFFF"/>
        </w:rPr>
        <w:t>, J. C. T. (2010). Impactos da Substituição Tributária do ICMS na lucratividade e nos custos empresariais. </w:t>
      </w:r>
      <w:r w:rsidRPr="00CA3496">
        <w:rPr>
          <w:i/>
          <w:iCs/>
          <w:sz w:val="24"/>
          <w:szCs w:val="24"/>
          <w:shd w:val="clear" w:color="auto" w:fill="FFFFFF"/>
        </w:rPr>
        <w:t>Revista de Contabilidade da UFBA</w:t>
      </w:r>
      <w:r w:rsidRPr="00CA3496">
        <w:rPr>
          <w:sz w:val="24"/>
          <w:szCs w:val="24"/>
          <w:shd w:val="clear" w:color="auto" w:fill="FFFFFF"/>
        </w:rPr>
        <w:t>, </w:t>
      </w:r>
      <w:r w:rsidRPr="00CA3496">
        <w:rPr>
          <w:i/>
          <w:iCs/>
          <w:sz w:val="24"/>
          <w:szCs w:val="24"/>
          <w:shd w:val="clear" w:color="auto" w:fill="FFFFFF"/>
        </w:rPr>
        <w:t>4</w:t>
      </w:r>
      <w:r w:rsidRPr="00CA3496">
        <w:rPr>
          <w:sz w:val="24"/>
          <w:szCs w:val="24"/>
          <w:shd w:val="clear" w:color="auto" w:fill="FFFFFF"/>
        </w:rPr>
        <w:t>(2), 71-91.</w:t>
      </w:r>
    </w:p>
    <w:p w14:paraId="1495D651" w14:textId="77777777" w:rsidR="00941AAF" w:rsidRPr="00CA3496" w:rsidRDefault="00941AAF" w:rsidP="00123B1C">
      <w:pPr>
        <w:jc w:val="both"/>
        <w:rPr>
          <w:sz w:val="24"/>
          <w:szCs w:val="24"/>
        </w:rPr>
      </w:pPr>
    </w:p>
    <w:p w14:paraId="534B94AD" w14:textId="77777777" w:rsidR="00941AAF" w:rsidRPr="00CA3496" w:rsidRDefault="00941AAF" w:rsidP="00123B1C">
      <w:pPr>
        <w:jc w:val="both"/>
        <w:rPr>
          <w:sz w:val="24"/>
          <w:szCs w:val="24"/>
          <w:shd w:val="clear" w:color="auto" w:fill="FFFFFF"/>
        </w:rPr>
      </w:pPr>
      <w:r w:rsidRPr="00CA3496">
        <w:rPr>
          <w:sz w:val="24"/>
          <w:szCs w:val="24"/>
          <w:shd w:val="clear" w:color="auto" w:fill="FFFFFF"/>
        </w:rPr>
        <w:t>Lakatos, E. M., &amp; de Andrade Marconi, M. (2010). </w:t>
      </w:r>
      <w:r w:rsidRPr="00CA3496">
        <w:rPr>
          <w:i/>
          <w:iCs/>
          <w:sz w:val="24"/>
          <w:szCs w:val="24"/>
          <w:shd w:val="clear" w:color="auto" w:fill="FFFFFF"/>
        </w:rPr>
        <w:t>Metodologia científica: ciência e conhecimento científico, métodos científicos, teoria, hipóteses e variáveis, metodologia jurídica</w:t>
      </w:r>
      <w:r w:rsidRPr="00CA3496">
        <w:rPr>
          <w:sz w:val="24"/>
          <w:szCs w:val="24"/>
          <w:shd w:val="clear" w:color="auto" w:fill="FFFFFF"/>
        </w:rPr>
        <w:t>, 5. São Paulo: Atlas.</w:t>
      </w:r>
    </w:p>
    <w:p w14:paraId="159393FB" w14:textId="15ABB979" w:rsidR="009A5621" w:rsidRDefault="009A5621" w:rsidP="00123B1C">
      <w:pPr>
        <w:jc w:val="both"/>
        <w:rPr>
          <w:sz w:val="24"/>
          <w:szCs w:val="24"/>
        </w:rPr>
      </w:pPr>
    </w:p>
    <w:p w14:paraId="5A5B2160" w14:textId="77777777" w:rsidR="00123B1C" w:rsidRPr="00CA3496" w:rsidRDefault="00123B1C" w:rsidP="00123B1C">
      <w:pPr>
        <w:jc w:val="both"/>
        <w:rPr>
          <w:rFonts w:eastAsia="Arial"/>
          <w:sz w:val="24"/>
          <w:szCs w:val="24"/>
        </w:rPr>
      </w:pPr>
      <w:r w:rsidRPr="00CA3496">
        <w:rPr>
          <w:rFonts w:eastAsia="Helvetica"/>
          <w:sz w:val="24"/>
          <w:szCs w:val="24"/>
        </w:rPr>
        <w:t xml:space="preserve">Lei complementar n° 44, de 7 de dezembro de 1983 (1983). </w:t>
      </w:r>
      <w:r w:rsidRPr="00CA3496">
        <w:rPr>
          <w:i/>
          <w:sz w:val="24"/>
          <w:szCs w:val="24"/>
        </w:rPr>
        <w:t>Altera o Decreto-lei nº 406, de 31 de dezembro de 1968, que estabelece normas gerais de Direito tributário, e dá outras providências</w:t>
      </w:r>
      <w:r w:rsidRPr="00CA3496">
        <w:rPr>
          <w:sz w:val="24"/>
          <w:szCs w:val="24"/>
        </w:rPr>
        <w:t>.</w:t>
      </w:r>
      <w:r w:rsidRPr="00CA3496">
        <w:rPr>
          <w:rFonts w:eastAsia="Helvetica"/>
          <w:sz w:val="24"/>
          <w:szCs w:val="24"/>
        </w:rPr>
        <w:t xml:space="preserve"> </w:t>
      </w:r>
      <w:r w:rsidRPr="00CA3496">
        <w:rPr>
          <w:rFonts w:eastAsia="Helvetica"/>
          <w:sz w:val="24"/>
          <w:szCs w:val="24"/>
          <w:shd w:val="clear" w:color="auto" w:fill="FFFFFF"/>
        </w:rPr>
        <w:t>Recuperado em 14 abril, 2018, de</w:t>
      </w:r>
      <w:r w:rsidRPr="00CA3496">
        <w:rPr>
          <w:rFonts w:eastAsia="Helvetica"/>
          <w:sz w:val="24"/>
          <w:szCs w:val="24"/>
        </w:rPr>
        <w:t xml:space="preserve"> http://www.planalto.gov.br/ccivil_03/leis/lcp/lcp44.htm</w:t>
      </w:r>
    </w:p>
    <w:p w14:paraId="751C4ACB" w14:textId="77777777" w:rsidR="00123B1C" w:rsidRPr="00CA3496" w:rsidRDefault="00123B1C" w:rsidP="00123B1C">
      <w:pPr>
        <w:jc w:val="both"/>
        <w:rPr>
          <w:rFonts w:eastAsia="Arial"/>
          <w:sz w:val="24"/>
          <w:szCs w:val="24"/>
        </w:rPr>
      </w:pPr>
    </w:p>
    <w:p w14:paraId="596E55AA" w14:textId="77777777" w:rsidR="00123B1C" w:rsidRPr="00CA3496" w:rsidRDefault="00123B1C" w:rsidP="00123B1C">
      <w:pPr>
        <w:jc w:val="both"/>
        <w:rPr>
          <w:rFonts w:eastAsia="Arial"/>
          <w:sz w:val="24"/>
          <w:szCs w:val="24"/>
        </w:rPr>
      </w:pPr>
      <w:r w:rsidRPr="00CA3496">
        <w:rPr>
          <w:rFonts w:eastAsia="Helvetica"/>
          <w:sz w:val="24"/>
          <w:szCs w:val="24"/>
        </w:rPr>
        <w:t xml:space="preserve">Lei complementar n° 87, de 13 de setembro de 1996 (1996). </w:t>
      </w:r>
      <w:r w:rsidRPr="00CA3496">
        <w:rPr>
          <w:i/>
          <w:sz w:val="24"/>
          <w:szCs w:val="24"/>
        </w:rPr>
        <w:t xml:space="preserve">Dispõe sobre o imposto dos Estados e do Distrito Federal sobre operações relativas à circulação de mercadorias e sobre prestações de serviços de transporte interestadual e intermunicipal e de comunicação, e dá </w:t>
      </w:r>
      <w:r w:rsidRPr="00CA3496">
        <w:rPr>
          <w:i/>
          <w:sz w:val="24"/>
          <w:szCs w:val="24"/>
        </w:rPr>
        <w:lastRenderedPageBreak/>
        <w:t>outras providências</w:t>
      </w:r>
      <w:r w:rsidRPr="00CA3496">
        <w:rPr>
          <w:sz w:val="24"/>
          <w:szCs w:val="24"/>
        </w:rPr>
        <w:t xml:space="preserve">. (LEI KANDIR). </w:t>
      </w:r>
      <w:r w:rsidRPr="00CA3496">
        <w:rPr>
          <w:rFonts w:eastAsia="Helvetica"/>
          <w:sz w:val="24"/>
          <w:szCs w:val="24"/>
          <w:shd w:val="clear" w:color="auto" w:fill="FFFFFF"/>
        </w:rPr>
        <w:t>Recuperado em 14 abril, 2018, de</w:t>
      </w:r>
      <w:r w:rsidRPr="00CA3496">
        <w:rPr>
          <w:rFonts w:eastAsia="Helvetica"/>
          <w:sz w:val="24"/>
          <w:szCs w:val="24"/>
        </w:rPr>
        <w:t xml:space="preserve"> http://www.planalto.gov.br/ccivil_03/leis/lcp/lcp87.htm</w:t>
      </w:r>
    </w:p>
    <w:p w14:paraId="78D947C6" w14:textId="77777777" w:rsidR="00123B1C" w:rsidRPr="00CA3496" w:rsidRDefault="00123B1C" w:rsidP="00123B1C">
      <w:pPr>
        <w:pStyle w:val="SemEspaamento"/>
        <w:jc w:val="both"/>
        <w:rPr>
          <w:rFonts w:ascii="Times New Roman" w:eastAsia="Arial" w:hAnsi="Times New Roman" w:cs="Times New Roman"/>
          <w:sz w:val="24"/>
          <w:szCs w:val="24"/>
        </w:rPr>
      </w:pPr>
    </w:p>
    <w:p w14:paraId="42A38226" w14:textId="77777777" w:rsidR="00123B1C" w:rsidRPr="00CA3496" w:rsidRDefault="00123B1C" w:rsidP="00123B1C">
      <w:pPr>
        <w:jc w:val="both"/>
        <w:rPr>
          <w:rFonts w:eastAsia="Arial"/>
          <w:sz w:val="24"/>
          <w:szCs w:val="24"/>
        </w:rPr>
      </w:pPr>
      <w:r w:rsidRPr="00CA3496">
        <w:rPr>
          <w:rFonts w:eastAsia="Helvetica"/>
          <w:sz w:val="24"/>
          <w:szCs w:val="24"/>
        </w:rPr>
        <w:t xml:space="preserve">Lei nº 5172, de 25 de outubro de 1966 (1966). Dispõe sobre o Sistema Tributário Nacional e institui normas gerais de direito tributário aplicáveis à União, Estados e Municípios. </w:t>
      </w:r>
      <w:r w:rsidRPr="00CA3496">
        <w:rPr>
          <w:rFonts w:eastAsia="Helvetica"/>
          <w:sz w:val="24"/>
          <w:szCs w:val="24"/>
          <w:shd w:val="clear" w:color="auto" w:fill="FFFFFF"/>
        </w:rPr>
        <w:t xml:space="preserve">Recuperado em 14 abril, 2018, de </w:t>
      </w:r>
      <w:r w:rsidRPr="00CA3496">
        <w:rPr>
          <w:sz w:val="24"/>
          <w:szCs w:val="24"/>
        </w:rPr>
        <w:t>http://</w:t>
      </w:r>
      <w:r w:rsidRPr="00CA3496">
        <w:rPr>
          <w:rFonts w:eastAsia="Helvetica"/>
          <w:sz w:val="24"/>
          <w:szCs w:val="24"/>
        </w:rPr>
        <w:t>www.planalto.gov.br/ccivil_03/leis/L5172.htm</w:t>
      </w:r>
    </w:p>
    <w:p w14:paraId="77F703D6" w14:textId="77777777" w:rsidR="00123B1C" w:rsidRPr="00CA3496" w:rsidRDefault="00123B1C" w:rsidP="00123B1C">
      <w:pPr>
        <w:jc w:val="both"/>
        <w:rPr>
          <w:sz w:val="24"/>
          <w:szCs w:val="24"/>
        </w:rPr>
      </w:pPr>
    </w:p>
    <w:p w14:paraId="59A0C392" w14:textId="77777777" w:rsidR="009A5621" w:rsidRPr="00CA3496" w:rsidRDefault="009A5621" w:rsidP="00123B1C">
      <w:pPr>
        <w:jc w:val="both"/>
        <w:rPr>
          <w:sz w:val="24"/>
          <w:szCs w:val="24"/>
        </w:rPr>
      </w:pPr>
      <w:r w:rsidRPr="00CA3496">
        <w:rPr>
          <w:sz w:val="24"/>
          <w:szCs w:val="24"/>
        </w:rPr>
        <w:t>M</w:t>
      </w:r>
      <w:r w:rsidR="00941AAF" w:rsidRPr="00CA3496">
        <w:rPr>
          <w:sz w:val="24"/>
          <w:szCs w:val="24"/>
        </w:rPr>
        <w:t>ariano</w:t>
      </w:r>
      <w:r w:rsidRPr="00CA3496">
        <w:rPr>
          <w:sz w:val="24"/>
          <w:szCs w:val="24"/>
        </w:rPr>
        <w:t>, A</w:t>
      </w:r>
      <w:r w:rsidR="00941AAF" w:rsidRPr="00CA3496">
        <w:rPr>
          <w:sz w:val="24"/>
          <w:szCs w:val="24"/>
        </w:rPr>
        <w:t>.</w:t>
      </w:r>
      <w:r w:rsidRPr="00CA3496">
        <w:rPr>
          <w:sz w:val="24"/>
          <w:szCs w:val="24"/>
        </w:rPr>
        <w:t xml:space="preserve"> P</w:t>
      </w:r>
      <w:r w:rsidR="00941AAF" w:rsidRPr="00CA3496">
        <w:rPr>
          <w:sz w:val="24"/>
          <w:szCs w:val="24"/>
        </w:rPr>
        <w:t>.,</w:t>
      </w:r>
      <w:r w:rsidRPr="00CA3496">
        <w:rPr>
          <w:sz w:val="24"/>
          <w:szCs w:val="24"/>
        </w:rPr>
        <w:t xml:space="preserve"> W</w:t>
      </w:r>
      <w:r w:rsidR="00941AAF" w:rsidRPr="00CA3496">
        <w:rPr>
          <w:sz w:val="24"/>
          <w:szCs w:val="24"/>
        </w:rPr>
        <w:t>erneck</w:t>
      </w:r>
      <w:r w:rsidRPr="00CA3496">
        <w:rPr>
          <w:sz w:val="24"/>
          <w:szCs w:val="24"/>
        </w:rPr>
        <w:t>, R</w:t>
      </w:r>
      <w:r w:rsidR="00941AAF" w:rsidRPr="00CA3496">
        <w:rPr>
          <w:sz w:val="24"/>
          <w:szCs w:val="24"/>
        </w:rPr>
        <w:t>.,</w:t>
      </w:r>
      <w:r w:rsidRPr="00CA3496">
        <w:rPr>
          <w:sz w:val="24"/>
          <w:szCs w:val="24"/>
        </w:rPr>
        <w:t xml:space="preserve"> B</w:t>
      </w:r>
      <w:r w:rsidR="00941AAF" w:rsidRPr="00CA3496">
        <w:rPr>
          <w:sz w:val="24"/>
          <w:szCs w:val="24"/>
        </w:rPr>
        <w:t>ezerra</w:t>
      </w:r>
      <w:r w:rsidRPr="00CA3496">
        <w:rPr>
          <w:sz w:val="24"/>
          <w:szCs w:val="24"/>
        </w:rPr>
        <w:t>, S</w:t>
      </w:r>
      <w:r w:rsidR="00941AAF" w:rsidRPr="00CA3496">
        <w:rPr>
          <w:sz w:val="24"/>
          <w:szCs w:val="24"/>
        </w:rPr>
        <w:t>.</w:t>
      </w:r>
      <w:r w:rsidRPr="00CA3496">
        <w:rPr>
          <w:sz w:val="24"/>
          <w:szCs w:val="24"/>
        </w:rPr>
        <w:t xml:space="preserve"> R</w:t>
      </w:r>
      <w:r w:rsidR="00941AAF" w:rsidRPr="00CA3496">
        <w:rPr>
          <w:sz w:val="24"/>
          <w:szCs w:val="24"/>
        </w:rPr>
        <w:t>.</w:t>
      </w:r>
      <w:r w:rsidRPr="00CA3496">
        <w:rPr>
          <w:sz w:val="24"/>
          <w:szCs w:val="24"/>
        </w:rPr>
        <w:t xml:space="preserve"> A</w:t>
      </w:r>
      <w:r w:rsidR="00941AAF" w:rsidRPr="00CA3496">
        <w:rPr>
          <w:sz w:val="24"/>
          <w:szCs w:val="24"/>
        </w:rPr>
        <w:t>. &amp;</w:t>
      </w:r>
      <w:r w:rsidRPr="00CA3496">
        <w:rPr>
          <w:sz w:val="24"/>
          <w:szCs w:val="24"/>
        </w:rPr>
        <w:t xml:space="preserve"> F</w:t>
      </w:r>
      <w:r w:rsidR="00941AAF" w:rsidRPr="00CA3496">
        <w:rPr>
          <w:sz w:val="24"/>
          <w:szCs w:val="24"/>
        </w:rPr>
        <w:t>aria</w:t>
      </w:r>
      <w:r w:rsidRPr="00CA3496">
        <w:rPr>
          <w:sz w:val="24"/>
          <w:szCs w:val="24"/>
        </w:rPr>
        <w:t>, L</w:t>
      </w:r>
      <w:r w:rsidR="00941AAF" w:rsidRPr="00CA3496">
        <w:rPr>
          <w:sz w:val="24"/>
          <w:szCs w:val="24"/>
        </w:rPr>
        <w:t>.</w:t>
      </w:r>
      <w:r w:rsidRPr="00CA3496">
        <w:rPr>
          <w:sz w:val="24"/>
          <w:szCs w:val="24"/>
        </w:rPr>
        <w:t xml:space="preserve"> C</w:t>
      </w:r>
      <w:r w:rsidR="00941AAF" w:rsidRPr="00CA3496">
        <w:rPr>
          <w:sz w:val="24"/>
          <w:szCs w:val="24"/>
        </w:rPr>
        <w:t>.</w:t>
      </w:r>
      <w:r w:rsidRPr="00CA3496">
        <w:rPr>
          <w:sz w:val="24"/>
          <w:szCs w:val="24"/>
        </w:rPr>
        <w:t xml:space="preserve"> S</w:t>
      </w:r>
      <w:r w:rsidR="00941AAF" w:rsidRPr="00CA3496">
        <w:rPr>
          <w:sz w:val="24"/>
          <w:szCs w:val="24"/>
        </w:rPr>
        <w:t>. (2014).</w:t>
      </w:r>
      <w:r w:rsidRPr="00CA3496">
        <w:rPr>
          <w:sz w:val="24"/>
          <w:szCs w:val="24"/>
        </w:rPr>
        <w:t xml:space="preserve"> </w:t>
      </w:r>
      <w:r w:rsidRPr="00CA3496">
        <w:rPr>
          <w:i/>
          <w:sz w:val="24"/>
          <w:szCs w:val="24"/>
        </w:rPr>
        <w:t>Da substituição tributária do ICMS.</w:t>
      </w:r>
      <w:r w:rsidRPr="00CA3496">
        <w:rPr>
          <w:sz w:val="24"/>
          <w:szCs w:val="24"/>
        </w:rPr>
        <w:t xml:space="preserve"> Curitiba: Editora Juruá.</w:t>
      </w:r>
    </w:p>
    <w:p w14:paraId="077BAB82" w14:textId="77777777" w:rsidR="009A5621" w:rsidRPr="00CA3496" w:rsidRDefault="009A5621" w:rsidP="00123B1C">
      <w:pPr>
        <w:pStyle w:val="Ttulo1"/>
        <w:shd w:val="clear" w:color="auto" w:fill="FFFFFF"/>
        <w:spacing w:before="0" w:line="240" w:lineRule="auto"/>
        <w:jc w:val="both"/>
        <w:rPr>
          <w:rFonts w:ascii="Times New Roman" w:hAnsi="Times New Roman" w:cs="Times New Roman"/>
          <w:b/>
          <w:color w:val="auto"/>
          <w:sz w:val="24"/>
          <w:szCs w:val="24"/>
        </w:rPr>
      </w:pPr>
    </w:p>
    <w:p w14:paraId="2E6F4A2F" w14:textId="77777777" w:rsidR="009A5621" w:rsidRPr="00CA3496" w:rsidRDefault="009A5621" w:rsidP="00123B1C">
      <w:pPr>
        <w:jc w:val="both"/>
        <w:rPr>
          <w:sz w:val="24"/>
          <w:szCs w:val="24"/>
        </w:rPr>
      </w:pPr>
      <w:r w:rsidRPr="00CA3496">
        <w:rPr>
          <w:sz w:val="24"/>
          <w:szCs w:val="24"/>
        </w:rPr>
        <w:t>M</w:t>
      </w:r>
      <w:r w:rsidR="00941AAF" w:rsidRPr="00CA3496">
        <w:rPr>
          <w:sz w:val="24"/>
          <w:szCs w:val="24"/>
        </w:rPr>
        <w:t>üller</w:t>
      </w:r>
      <w:r w:rsidRPr="00CA3496">
        <w:rPr>
          <w:sz w:val="24"/>
          <w:szCs w:val="24"/>
        </w:rPr>
        <w:t>, N.</w:t>
      </w:r>
      <w:r w:rsidR="006B65C8" w:rsidRPr="00CA3496">
        <w:rPr>
          <w:sz w:val="24"/>
          <w:szCs w:val="24"/>
        </w:rPr>
        <w:t xml:space="preserve"> (2010).</w:t>
      </w:r>
      <w:r w:rsidRPr="00CA3496">
        <w:rPr>
          <w:sz w:val="24"/>
          <w:szCs w:val="24"/>
        </w:rPr>
        <w:t xml:space="preserve"> </w:t>
      </w:r>
      <w:r w:rsidRPr="00CA3496">
        <w:rPr>
          <w:i/>
          <w:sz w:val="24"/>
          <w:szCs w:val="24"/>
        </w:rPr>
        <w:t>Substituição Tributária.</w:t>
      </w:r>
      <w:r w:rsidRPr="00CA3496">
        <w:rPr>
          <w:b/>
          <w:sz w:val="24"/>
          <w:szCs w:val="24"/>
        </w:rPr>
        <w:t xml:space="preserve"> </w:t>
      </w:r>
      <w:r w:rsidRPr="00CA3496">
        <w:rPr>
          <w:sz w:val="24"/>
          <w:szCs w:val="24"/>
        </w:rPr>
        <w:t>Florianópolis. 41f. Apostila da disciplina Planejamento Tributário, Curso de Ciências Contábeis, UFSC.</w:t>
      </w:r>
    </w:p>
    <w:p w14:paraId="7E7DAA23" w14:textId="77777777" w:rsidR="009A5621" w:rsidRPr="00CA3496" w:rsidRDefault="009A5621" w:rsidP="00123B1C">
      <w:pPr>
        <w:jc w:val="both"/>
        <w:rPr>
          <w:sz w:val="24"/>
          <w:szCs w:val="24"/>
        </w:rPr>
      </w:pPr>
    </w:p>
    <w:p w14:paraId="35F50257" w14:textId="77777777" w:rsidR="009A5621" w:rsidRPr="00CA3496" w:rsidRDefault="00EC0BBE" w:rsidP="00123B1C">
      <w:pPr>
        <w:jc w:val="both"/>
        <w:rPr>
          <w:sz w:val="24"/>
          <w:szCs w:val="24"/>
          <w:shd w:val="clear" w:color="auto" w:fill="FFFFFF"/>
        </w:rPr>
      </w:pPr>
      <w:r w:rsidRPr="00CA3496">
        <w:rPr>
          <w:sz w:val="24"/>
          <w:szCs w:val="24"/>
          <w:shd w:val="clear" w:color="auto" w:fill="FFFFFF"/>
        </w:rPr>
        <w:t xml:space="preserve">Lima Neto, M. C. D. (2000). </w:t>
      </w:r>
      <w:r w:rsidRPr="00CA3496">
        <w:rPr>
          <w:i/>
          <w:sz w:val="24"/>
          <w:szCs w:val="24"/>
          <w:shd w:val="clear" w:color="auto" w:fill="FFFFFF"/>
        </w:rPr>
        <w:t>Substituição tributária: uma visão do Instituto no Ordenamento jurídico brasileiro e sua aplicação na esfera do ICMS</w:t>
      </w:r>
      <w:r w:rsidRPr="00CA3496">
        <w:rPr>
          <w:sz w:val="24"/>
          <w:szCs w:val="24"/>
          <w:shd w:val="clear" w:color="auto" w:fill="FFFFFF"/>
        </w:rPr>
        <w:t>. </w:t>
      </w:r>
      <w:r w:rsidRPr="00CA3496">
        <w:rPr>
          <w:iCs/>
          <w:sz w:val="24"/>
          <w:szCs w:val="24"/>
          <w:shd w:val="clear" w:color="auto" w:fill="FFFFFF"/>
        </w:rPr>
        <w:t>Curitiba: Juruá</w:t>
      </w:r>
      <w:r w:rsidRPr="00CA3496">
        <w:rPr>
          <w:sz w:val="24"/>
          <w:szCs w:val="24"/>
          <w:shd w:val="clear" w:color="auto" w:fill="FFFFFF"/>
        </w:rPr>
        <w:t>.</w:t>
      </w:r>
    </w:p>
    <w:p w14:paraId="1367A6BD" w14:textId="77777777" w:rsidR="00EC0BBE" w:rsidRPr="00CA3496" w:rsidRDefault="00EC0BBE" w:rsidP="00123B1C">
      <w:pPr>
        <w:jc w:val="both"/>
        <w:rPr>
          <w:sz w:val="24"/>
          <w:szCs w:val="24"/>
        </w:rPr>
      </w:pPr>
    </w:p>
    <w:p w14:paraId="0A74600E" w14:textId="77777777" w:rsidR="00F332A1" w:rsidRPr="00CA3496" w:rsidRDefault="00F332A1" w:rsidP="00123B1C">
      <w:pPr>
        <w:pStyle w:val="Ttulo1"/>
        <w:shd w:val="clear" w:color="auto" w:fill="FFFFFF"/>
        <w:spacing w:before="0" w:line="240" w:lineRule="auto"/>
        <w:jc w:val="both"/>
        <w:rPr>
          <w:rFonts w:ascii="Times New Roman" w:hAnsi="Times New Roman" w:cs="Times New Roman"/>
          <w:color w:val="auto"/>
          <w:sz w:val="24"/>
          <w:szCs w:val="24"/>
        </w:rPr>
      </w:pPr>
      <w:proofErr w:type="spellStart"/>
      <w:r w:rsidRPr="00CA3496">
        <w:rPr>
          <w:rFonts w:ascii="Times New Roman" w:hAnsi="Times New Roman" w:cs="Times New Roman"/>
          <w:color w:val="auto"/>
          <w:sz w:val="24"/>
          <w:szCs w:val="24"/>
        </w:rPr>
        <w:t>P</w:t>
      </w:r>
      <w:r w:rsidR="00941AAF" w:rsidRPr="00CA3496">
        <w:rPr>
          <w:rFonts w:ascii="Times New Roman" w:hAnsi="Times New Roman" w:cs="Times New Roman"/>
          <w:color w:val="auto"/>
          <w:sz w:val="24"/>
          <w:szCs w:val="24"/>
        </w:rPr>
        <w:t>êgas</w:t>
      </w:r>
      <w:proofErr w:type="spellEnd"/>
      <w:r w:rsidRPr="00CA3496">
        <w:rPr>
          <w:rFonts w:ascii="Times New Roman" w:hAnsi="Times New Roman" w:cs="Times New Roman"/>
          <w:color w:val="auto"/>
          <w:sz w:val="24"/>
          <w:szCs w:val="24"/>
        </w:rPr>
        <w:t>, P</w:t>
      </w:r>
      <w:r w:rsidR="006B65C8" w:rsidRPr="00CA3496">
        <w:rPr>
          <w:rFonts w:ascii="Times New Roman" w:hAnsi="Times New Roman" w:cs="Times New Roman"/>
          <w:color w:val="auto"/>
          <w:sz w:val="24"/>
          <w:szCs w:val="24"/>
        </w:rPr>
        <w:t>.</w:t>
      </w:r>
      <w:r w:rsidRPr="00CA3496">
        <w:rPr>
          <w:rFonts w:ascii="Times New Roman" w:hAnsi="Times New Roman" w:cs="Times New Roman"/>
          <w:color w:val="auto"/>
          <w:sz w:val="24"/>
          <w:szCs w:val="24"/>
        </w:rPr>
        <w:t xml:space="preserve"> H</w:t>
      </w:r>
      <w:r w:rsidR="006B65C8" w:rsidRPr="00CA3496">
        <w:rPr>
          <w:rFonts w:ascii="Times New Roman" w:hAnsi="Times New Roman" w:cs="Times New Roman"/>
          <w:color w:val="auto"/>
          <w:sz w:val="24"/>
          <w:szCs w:val="24"/>
        </w:rPr>
        <w:t>.</w:t>
      </w:r>
      <w:r w:rsidR="00EC0BBE" w:rsidRPr="00CA3496">
        <w:rPr>
          <w:rFonts w:ascii="Times New Roman" w:hAnsi="Times New Roman" w:cs="Times New Roman"/>
          <w:color w:val="auto"/>
          <w:sz w:val="24"/>
          <w:szCs w:val="24"/>
        </w:rPr>
        <w:t xml:space="preserve"> (2007).</w:t>
      </w:r>
      <w:r w:rsidRPr="00CA3496">
        <w:rPr>
          <w:rFonts w:ascii="Times New Roman" w:hAnsi="Times New Roman" w:cs="Times New Roman"/>
          <w:b/>
          <w:color w:val="auto"/>
          <w:sz w:val="24"/>
          <w:szCs w:val="24"/>
        </w:rPr>
        <w:t xml:space="preserve"> </w:t>
      </w:r>
      <w:r w:rsidRPr="00CA3496">
        <w:rPr>
          <w:rFonts w:ascii="Times New Roman" w:hAnsi="Times New Roman" w:cs="Times New Roman"/>
          <w:i/>
          <w:color w:val="auto"/>
          <w:sz w:val="24"/>
          <w:szCs w:val="24"/>
        </w:rPr>
        <w:t>Manual de contabilidade tributária</w:t>
      </w:r>
      <w:r w:rsidR="00EC0BBE" w:rsidRPr="00CA3496">
        <w:rPr>
          <w:rFonts w:ascii="Times New Roman" w:hAnsi="Times New Roman" w:cs="Times New Roman"/>
          <w:i/>
          <w:color w:val="auto"/>
          <w:sz w:val="24"/>
          <w:szCs w:val="24"/>
        </w:rPr>
        <w:t>,</w:t>
      </w:r>
      <w:r w:rsidRPr="00CA3496">
        <w:rPr>
          <w:rFonts w:ascii="Times New Roman" w:hAnsi="Times New Roman" w:cs="Times New Roman"/>
          <w:color w:val="auto"/>
          <w:sz w:val="24"/>
          <w:szCs w:val="24"/>
        </w:rPr>
        <w:t xml:space="preserve"> 5. Rio de Janeiro: Freitas Bastos.</w:t>
      </w:r>
    </w:p>
    <w:p w14:paraId="2D959FD3" w14:textId="77777777" w:rsidR="00F332A1" w:rsidRPr="00CA3496" w:rsidRDefault="00F332A1" w:rsidP="00123B1C">
      <w:pPr>
        <w:jc w:val="both"/>
        <w:rPr>
          <w:sz w:val="24"/>
          <w:szCs w:val="24"/>
        </w:rPr>
      </w:pPr>
    </w:p>
    <w:p w14:paraId="602137F8" w14:textId="77777777" w:rsidR="009A5621" w:rsidRPr="00CA3496" w:rsidRDefault="009A5621" w:rsidP="00123B1C">
      <w:pPr>
        <w:jc w:val="both"/>
        <w:rPr>
          <w:sz w:val="24"/>
          <w:szCs w:val="24"/>
        </w:rPr>
      </w:pPr>
      <w:r w:rsidRPr="00CA3496">
        <w:rPr>
          <w:sz w:val="24"/>
          <w:szCs w:val="24"/>
        </w:rPr>
        <w:t>R</w:t>
      </w:r>
      <w:r w:rsidR="00941AAF" w:rsidRPr="00CA3496">
        <w:rPr>
          <w:sz w:val="24"/>
          <w:szCs w:val="24"/>
        </w:rPr>
        <w:t>osa</w:t>
      </w:r>
      <w:r w:rsidRPr="00CA3496">
        <w:rPr>
          <w:sz w:val="24"/>
          <w:szCs w:val="24"/>
        </w:rPr>
        <w:t>, J</w:t>
      </w:r>
      <w:r w:rsidR="00EC0BBE" w:rsidRPr="00CA3496">
        <w:rPr>
          <w:sz w:val="24"/>
          <w:szCs w:val="24"/>
        </w:rPr>
        <w:t>.</w:t>
      </w:r>
      <w:r w:rsidRPr="00CA3496">
        <w:rPr>
          <w:sz w:val="24"/>
          <w:szCs w:val="24"/>
        </w:rPr>
        <w:t xml:space="preserve"> R</w:t>
      </w:r>
      <w:r w:rsidR="00EC0BBE" w:rsidRPr="00CA3496">
        <w:rPr>
          <w:sz w:val="24"/>
          <w:szCs w:val="24"/>
        </w:rPr>
        <w:t>.</w:t>
      </w:r>
      <w:r w:rsidRPr="00CA3496">
        <w:rPr>
          <w:sz w:val="24"/>
          <w:szCs w:val="24"/>
        </w:rPr>
        <w:t xml:space="preserve"> </w:t>
      </w:r>
      <w:r w:rsidR="00EC0BBE" w:rsidRPr="00CA3496">
        <w:rPr>
          <w:sz w:val="24"/>
          <w:szCs w:val="24"/>
        </w:rPr>
        <w:t xml:space="preserve">(2008). </w:t>
      </w:r>
      <w:r w:rsidRPr="00CA3496">
        <w:rPr>
          <w:i/>
          <w:sz w:val="24"/>
          <w:szCs w:val="24"/>
        </w:rPr>
        <w:t>Curso de ICMS – com o professor José Rosa</w:t>
      </w:r>
      <w:r w:rsidR="00EC0BBE" w:rsidRPr="00CA3496">
        <w:rPr>
          <w:sz w:val="24"/>
          <w:szCs w:val="24"/>
        </w:rPr>
        <w:t>,</w:t>
      </w:r>
      <w:r w:rsidRPr="00CA3496">
        <w:rPr>
          <w:sz w:val="24"/>
          <w:szCs w:val="24"/>
        </w:rPr>
        <w:t xml:space="preserve"> 1</w:t>
      </w:r>
      <w:r w:rsidR="00EC0BBE" w:rsidRPr="00CA3496">
        <w:rPr>
          <w:sz w:val="24"/>
          <w:szCs w:val="24"/>
        </w:rPr>
        <w:t>.</w:t>
      </w:r>
      <w:r w:rsidRPr="00CA3496">
        <w:rPr>
          <w:sz w:val="24"/>
          <w:szCs w:val="24"/>
        </w:rPr>
        <w:t xml:space="preserve"> São Paulo: Ottoni. </w:t>
      </w:r>
    </w:p>
    <w:p w14:paraId="756D0885" w14:textId="77777777" w:rsidR="009A5621" w:rsidRPr="00CA3496" w:rsidRDefault="009A5621" w:rsidP="00123B1C">
      <w:pPr>
        <w:jc w:val="both"/>
        <w:rPr>
          <w:sz w:val="24"/>
          <w:szCs w:val="24"/>
        </w:rPr>
      </w:pPr>
    </w:p>
    <w:p w14:paraId="72ECD7F1" w14:textId="6796E46F" w:rsidR="009A5621" w:rsidRPr="00CA3496" w:rsidRDefault="009A5621" w:rsidP="00123B1C">
      <w:pPr>
        <w:jc w:val="both"/>
        <w:rPr>
          <w:sz w:val="24"/>
          <w:szCs w:val="24"/>
        </w:rPr>
      </w:pPr>
      <w:r w:rsidRPr="00CA3496">
        <w:rPr>
          <w:sz w:val="24"/>
          <w:szCs w:val="24"/>
        </w:rPr>
        <w:t>SECRETARIA DO ESTADO DA FAZENDA</w:t>
      </w:r>
      <w:r w:rsidR="003460DA" w:rsidRPr="00CA3496">
        <w:rPr>
          <w:sz w:val="24"/>
          <w:szCs w:val="24"/>
        </w:rPr>
        <w:t xml:space="preserve"> (SEF)</w:t>
      </w:r>
      <w:r w:rsidRPr="00CA3496">
        <w:rPr>
          <w:sz w:val="24"/>
          <w:szCs w:val="24"/>
        </w:rPr>
        <w:t xml:space="preserve">. </w:t>
      </w:r>
      <w:r w:rsidRPr="00CA3496">
        <w:rPr>
          <w:i/>
          <w:sz w:val="24"/>
          <w:szCs w:val="24"/>
        </w:rPr>
        <w:t>Santa Catarina inicia processo de desoneração da cadeia produtiva do estado.</w:t>
      </w:r>
      <w:r w:rsidRPr="00CA3496">
        <w:rPr>
          <w:sz w:val="24"/>
          <w:szCs w:val="24"/>
        </w:rPr>
        <w:t xml:space="preserve"> Florianópolis: 2018. </w:t>
      </w:r>
      <w:r w:rsidRPr="00CA3496">
        <w:rPr>
          <w:sz w:val="24"/>
          <w:szCs w:val="24"/>
          <w:shd w:val="clear" w:color="auto" w:fill="FFFFFF"/>
        </w:rPr>
        <w:t>Disponível em: Acesso em: 14 abril 2018.</w:t>
      </w:r>
    </w:p>
    <w:p w14:paraId="03251BAF" w14:textId="77777777" w:rsidR="009A5621" w:rsidRPr="00CA3496" w:rsidRDefault="009A5621" w:rsidP="00123B1C">
      <w:pPr>
        <w:jc w:val="both"/>
        <w:rPr>
          <w:sz w:val="24"/>
          <w:szCs w:val="24"/>
        </w:rPr>
      </w:pPr>
    </w:p>
    <w:p w14:paraId="41A3C80A" w14:textId="77777777" w:rsidR="009A5621" w:rsidRPr="00CA3496" w:rsidRDefault="009A5621" w:rsidP="00123B1C">
      <w:pPr>
        <w:jc w:val="both"/>
        <w:rPr>
          <w:sz w:val="24"/>
          <w:szCs w:val="24"/>
        </w:rPr>
      </w:pPr>
      <w:r w:rsidRPr="00CA3496">
        <w:rPr>
          <w:sz w:val="24"/>
          <w:szCs w:val="24"/>
        </w:rPr>
        <w:t>S</w:t>
      </w:r>
      <w:r w:rsidR="00941AAF" w:rsidRPr="00CA3496">
        <w:rPr>
          <w:sz w:val="24"/>
          <w:szCs w:val="24"/>
        </w:rPr>
        <w:t>ilva</w:t>
      </w:r>
      <w:r w:rsidRPr="00CA3496">
        <w:rPr>
          <w:sz w:val="24"/>
          <w:szCs w:val="24"/>
        </w:rPr>
        <w:t>, L</w:t>
      </w:r>
      <w:r w:rsidR="00EC0BBE" w:rsidRPr="00CA3496">
        <w:rPr>
          <w:sz w:val="24"/>
          <w:szCs w:val="24"/>
        </w:rPr>
        <w:t>.</w:t>
      </w:r>
      <w:r w:rsidRPr="00CA3496">
        <w:rPr>
          <w:sz w:val="24"/>
          <w:szCs w:val="24"/>
        </w:rPr>
        <w:t xml:space="preserve"> F</w:t>
      </w:r>
      <w:r w:rsidR="00EC0BBE" w:rsidRPr="00CA3496">
        <w:rPr>
          <w:sz w:val="24"/>
          <w:szCs w:val="24"/>
        </w:rPr>
        <w:t>. (2009).</w:t>
      </w:r>
      <w:r w:rsidRPr="00CA3496">
        <w:rPr>
          <w:sz w:val="24"/>
          <w:szCs w:val="24"/>
        </w:rPr>
        <w:t xml:space="preserve"> </w:t>
      </w:r>
      <w:r w:rsidRPr="00CA3496">
        <w:rPr>
          <w:i/>
          <w:sz w:val="24"/>
          <w:szCs w:val="24"/>
        </w:rPr>
        <w:t>Substituição tributária do ICMS no estado de São Paulo.</w:t>
      </w:r>
      <w:r w:rsidRPr="00CA3496">
        <w:rPr>
          <w:sz w:val="24"/>
          <w:szCs w:val="24"/>
        </w:rPr>
        <w:t xml:space="preserve"> São Paulo: MP Editora.</w:t>
      </w:r>
    </w:p>
    <w:p w14:paraId="433DFBB4" w14:textId="77777777" w:rsidR="009A5621" w:rsidRPr="00CA3496" w:rsidRDefault="009A5621" w:rsidP="00123B1C">
      <w:pPr>
        <w:jc w:val="both"/>
        <w:rPr>
          <w:sz w:val="24"/>
          <w:szCs w:val="24"/>
        </w:rPr>
      </w:pPr>
    </w:p>
    <w:p w14:paraId="3BEE1197" w14:textId="77777777" w:rsidR="009A5621" w:rsidRPr="00CA3496" w:rsidRDefault="009A5621" w:rsidP="00123B1C">
      <w:pPr>
        <w:tabs>
          <w:tab w:val="left" w:pos="720"/>
        </w:tabs>
        <w:jc w:val="both"/>
        <w:rPr>
          <w:rFonts w:eastAsia="Times"/>
          <w:sz w:val="24"/>
          <w:szCs w:val="24"/>
        </w:rPr>
      </w:pPr>
      <w:r w:rsidRPr="00CA3496">
        <w:rPr>
          <w:rFonts w:eastAsia="Times"/>
          <w:sz w:val="24"/>
          <w:szCs w:val="24"/>
        </w:rPr>
        <w:t>S</w:t>
      </w:r>
      <w:r w:rsidR="00941AAF" w:rsidRPr="00CA3496">
        <w:rPr>
          <w:rFonts w:eastAsia="Times"/>
          <w:sz w:val="24"/>
          <w:szCs w:val="24"/>
        </w:rPr>
        <w:t>oares</w:t>
      </w:r>
      <w:r w:rsidRPr="00CA3496">
        <w:rPr>
          <w:rFonts w:eastAsia="Times"/>
          <w:sz w:val="24"/>
          <w:szCs w:val="24"/>
        </w:rPr>
        <w:t>, E</w:t>
      </w:r>
      <w:r w:rsidR="00EC0BBE" w:rsidRPr="00CA3496">
        <w:rPr>
          <w:rFonts w:eastAsia="Times"/>
          <w:sz w:val="24"/>
          <w:szCs w:val="24"/>
        </w:rPr>
        <w:t>. (2003).</w:t>
      </w:r>
      <w:r w:rsidRPr="00CA3496">
        <w:rPr>
          <w:rFonts w:eastAsia="Times"/>
          <w:sz w:val="24"/>
          <w:szCs w:val="24"/>
        </w:rPr>
        <w:t xml:space="preserve"> </w:t>
      </w:r>
      <w:r w:rsidRPr="00CA3496">
        <w:rPr>
          <w:rFonts w:eastAsia="Times"/>
          <w:i/>
          <w:sz w:val="24"/>
          <w:szCs w:val="24"/>
        </w:rPr>
        <w:t>Metodologia científica: lógica, epistemologia e normas</w:t>
      </w:r>
      <w:r w:rsidRPr="00CA3496">
        <w:rPr>
          <w:rFonts w:eastAsia="Times"/>
          <w:sz w:val="24"/>
          <w:szCs w:val="24"/>
        </w:rPr>
        <w:t>. São Paulo: Atlas.</w:t>
      </w:r>
    </w:p>
    <w:p w14:paraId="3725A898" w14:textId="77777777" w:rsidR="009A5621" w:rsidRPr="00CA3496" w:rsidRDefault="009A5621" w:rsidP="00123B1C">
      <w:pPr>
        <w:jc w:val="both"/>
        <w:rPr>
          <w:sz w:val="24"/>
          <w:szCs w:val="24"/>
        </w:rPr>
      </w:pPr>
    </w:p>
    <w:p w14:paraId="3AC1A7C9" w14:textId="77777777" w:rsidR="009A5621" w:rsidRPr="00CA3496" w:rsidRDefault="009A5621" w:rsidP="00123B1C">
      <w:pPr>
        <w:jc w:val="both"/>
        <w:rPr>
          <w:sz w:val="24"/>
          <w:szCs w:val="24"/>
          <w:shd w:val="clear" w:color="auto" w:fill="FFFFFF"/>
        </w:rPr>
      </w:pPr>
      <w:r w:rsidRPr="00CA3496">
        <w:rPr>
          <w:sz w:val="24"/>
          <w:szCs w:val="24"/>
          <w:shd w:val="clear" w:color="auto" w:fill="FFFFFF"/>
        </w:rPr>
        <w:t>S</w:t>
      </w:r>
      <w:r w:rsidR="00941AAF" w:rsidRPr="00CA3496">
        <w:rPr>
          <w:sz w:val="24"/>
          <w:szCs w:val="24"/>
          <w:shd w:val="clear" w:color="auto" w:fill="FFFFFF"/>
        </w:rPr>
        <w:t>ouza</w:t>
      </w:r>
      <w:r w:rsidRPr="00CA3496">
        <w:rPr>
          <w:sz w:val="24"/>
          <w:szCs w:val="24"/>
          <w:shd w:val="clear" w:color="auto" w:fill="FFFFFF"/>
        </w:rPr>
        <w:t>, H</w:t>
      </w:r>
      <w:r w:rsidR="00EC0BBE" w:rsidRPr="00CA3496">
        <w:rPr>
          <w:sz w:val="24"/>
          <w:szCs w:val="24"/>
          <w:shd w:val="clear" w:color="auto" w:fill="FFFFFF"/>
        </w:rPr>
        <w:t>.</w:t>
      </w:r>
      <w:r w:rsidRPr="00CA3496">
        <w:rPr>
          <w:sz w:val="24"/>
          <w:szCs w:val="24"/>
          <w:shd w:val="clear" w:color="auto" w:fill="FFFFFF"/>
        </w:rPr>
        <w:t xml:space="preserve"> D</w:t>
      </w:r>
      <w:r w:rsidR="00EC0BBE" w:rsidRPr="00CA3496">
        <w:rPr>
          <w:sz w:val="24"/>
          <w:szCs w:val="24"/>
          <w:shd w:val="clear" w:color="auto" w:fill="FFFFFF"/>
        </w:rPr>
        <w:t>. (2002).</w:t>
      </w:r>
      <w:r w:rsidRPr="00CA3496">
        <w:rPr>
          <w:sz w:val="24"/>
          <w:szCs w:val="24"/>
          <w:shd w:val="clear" w:color="auto" w:fill="FFFFFF"/>
        </w:rPr>
        <w:t xml:space="preserve"> O ICMS na Lei Complementar nº 87/96. </w:t>
      </w:r>
      <w:r w:rsidRPr="00CA3496">
        <w:rPr>
          <w:bCs/>
          <w:i/>
          <w:sz w:val="24"/>
          <w:szCs w:val="24"/>
          <w:shd w:val="clear" w:color="auto" w:fill="FFFFFF"/>
        </w:rPr>
        <w:t>Repertório IOB de Jurisprudência</w:t>
      </w:r>
      <w:r w:rsidRPr="00CA3496">
        <w:rPr>
          <w:sz w:val="24"/>
          <w:szCs w:val="24"/>
          <w:shd w:val="clear" w:color="auto" w:fill="FFFFFF"/>
        </w:rPr>
        <w:t>, 1, p. 10590.</w:t>
      </w:r>
    </w:p>
    <w:p w14:paraId="324E9852" w14:textId="77777777" w:rsidR="009A5621" w:rsidRPr="00CA3496" w:rsidRDefault="009A5621" w:rsidP="00123B1C">
      <w:pPr>
        <w:jc w:val="both"/>
        <w:rPr>
          <w:sz w:val="24"/>
          <w:szCs w:val="24"/>
          <w:shd w:val="clear" w:color="auto" w:fill="FFFFFF"/>
        </w:rPr>
      </w:pPr>
    </w:p>
    <w:p w14:paraId="0C365483" w14:textId="77777777" w:rsidR="009A5621" w:rsidRPr="00CA3496" w:rsidRDefault="009A5621" w:rsidP="00123B1C">
      <w:pPr>
        <w:jc w:val="both"/>
        <w:rPr>
          <w:rFonts w:eastAsia="Arial"/>
          <w:sz w:val="24"/>
          <w:szCs w:val="24"/>
        </w:rPr>
      </w:pPr>
      <w:r w:rsidRPr="00CA3496">
        <w:rPr>
          <w:sz w:val="24"/>
          <w:szCs w:val="24"/>
        </w:rPr>
        <w:t>S</w:t>
      </w:r>
      <w:r w:rsidR="00941AAF" w:rsidRPr="00CA3496">
        <w:rPr>
          <w:sz w:val="24"/>
          <w:szCs w:val="24"/>
        </w:rPr>
        <w:t>ouza</w:t>
      </w:r>
      <w:r w:rsidRPr="00CA3496">
        <w:rPr>
          <w:sz w:val="24"/>
          <w:szCs w:val="24"/>
        </w:rPr>
        <w:t>, F</w:t>
      </w:r>
      <w:r w:rsidR="00EC0BBE" w:rsidRPr="00CA3496">
        <w:rPr>
          <w:sz w:val="24"/>
          <w:szCs w:val="24"/>
        </w:rPr>
        <w:t>.</w:t>
      </w:r>
      <w:r w:rsidRPr="00CA3496">
        <w:rPr>
          <w:sz w:val="24"/>
          <w:szCs w:val="24"/>
        </w:rPr>
        <w:t xml:space="preserve"> F</w:t>
      </w:r>
      <w:r w:rsidR="00EC0BBE" w:rsidRPr="00CA3496">
        <w:rPr>
          <w:sz w:val="24"/>
          <w:szCs w:val="24"/>
        </w:rPr>
        <w:t>.</w:t>
      </w:r>
      <w:r w:rsidRPr="00CA3496">
        <w:rPr>
          <w:sz w:val="24"/>
          <w:szCs w:val="24"/>
        </w:rPr>
        <w:t xml:space="preserve"> R</w:t>
      </w:r>
      <w:r w:rsidR="00EC0BBE" w:rsidRPr="00CA3496">
        <w:rPr>
          <w:sz w:val="24"/>
          <w:szCs w:val="24"/>
        </w:rPr>
        <w:t>. (2010).</w:t>
      </w:r>
      <w:r w:rsidRPr="00CA3496">
        <w:rPr>
          <w:sz w:val="24"/>
          <w:szCs w:val="24"/>
        </w:rPr>
        <w:t xml:space="preserve"> </w:t>
      </w:r>
      <w:r w:rsidRPr="00CA3496">
        <w:rPr>
          <w:i/>
          <w:sz w:val="24"/>
          <w:szCs w:val="24"/>
        </w:rPr>
        <w:t>Curso de Direito Tributário</w:t>
      </w:r>
      <w:r w:rsidR="00EC0BBE" w:rsidRPr="00CA3496">
        <w:rPr>
          <w:sz w:val="24"/>
          <w:szCs w:val="24"/>
        </w:rPr>
        <w:t>,</w:t>
      </w:r>
      <w:r w:rsidRPr="00CA3496">
        <w:rPr>
          <w:sz w:val="24"/>
          <w:szCs w:val="24"/>
        </w:rPr>
        <w:t xml:space="preserve"> 12. São Paulo.</w:t>
      </w:r>
    </w:p>
    <w:sectPr w:rsidR="009A5621" w:rsidRPr="00CA3496" w:rsidSect="00C04F45">
      <w:headerReference w:type="default" r:id="rId17"/>
      <w:footerReference w:type="default" r:id="rId1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760D2" w14:textId="77777777" w:rsidR="00FB3B38" w:rsidRDefault="00FB3B38" w:rsidP="008A5824">
      <w:r>
        <w:separator/>
      </w:r>
    </w:p>
  </w:endnote>
  <w:endnote w:type="continuationSeparator" w:id="0">
    <w:p w14:paraId="6F22537B" w14:textId="77777777" w:rsidR="00FB3B38" w:rsidRDefault="00FB3B3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14:paraId="54918405" w14:textId="77777777" w:rsidR="003460DA" w:rsidRDefault="003460DA">
        <w:pPr>
          <w:pStyle w:val="Rodap"/>
          <w:jc w:val="right"/>
          <w:rPr>
            <w:rFonts w:ascii="Times New Roman" w:hAnsi="Times New Roman" w:cs="Times New Roman"/>
          </w:rPr>
        </w:pPr>
      </w:p>
      <w:p w14:paraId="6D828A35" w14:textId="77777777" w:rsidR="003460DA" w:rsidRPr="00C04F45" w:rsidRDefault="003460DA">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61FE0A05" wp14:editId="69D34CD0">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CA3496">
          <w:rPr>
            <w:rFonts w:ascii="Times New Roman" w:hAnsi="Times New Roman" w:cs="Times New Roman"/>
            <w:noProof/>
          </w:rPr>
          <w:t>15</w:t>
        </w:r>
        <w:r w:rsidRPr="00C04F45">
          <w:rPr>
            <w:rFonts w:ascii="Times New Roman" w:hAnsi="Times New Roman" w:cs="Times New Roman"/>
          </w:rPr>
          <w:fldChar w:fldCharType="end"/>
        </w:r>
      </w:p>
    </w:sdtContent>
  </w:sdt>
  <w:p w14:paraId="43FCFDA7" w14:textId="77777777" w:rsidR="003460DA" w:rsidRDefault="003460DA">
    <w:pPr>
      <w:pStyle w:val="Rodap"/>
      <w:rPr>
        <w:rFonts w:ascii="Times New Roman" w:hAnsi="Times New Roman" w:cs="Times New Roman"/>
      </w:rPr>
    </w:pPr>
  </w:p>
  <w:p w14:paraId="5B9BC6CF" w14:textId="77777777" w:rsidR="003460DA" w:rsidRPr="00C04F45" w:rsidRDefault="003460DA"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52406" w14:textId="77777777" w:rsidR="00FB3B38" w:rsidRDefault="00FB3B38" w:rsidP="008A5824">
      <w:r>
        <w:separator/>
      </w:r>
    </w:p>
  </w:footnote>
  <w:footnote w:type="continuationSeparator" w:id="0">
    <w:p w14:paraId="7E624166" w14:textId="77777777" w:rsidR="00FB3B38" w:rsidRDefault="00FB3B38"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C27D4" w14:textId="77777777" w:rsidR="003460DA" w:rsidRPr="00E361F4" w:rsidRDefault="003460DA" w:rsidP="00E361F4">
    <w:pPr>
      <w:pStyle w:val="Cabealho"/>
    </w:pPr>
    <w:r>
      <w:rPr>
        <w:noProof/>
        <w:lang w:eastAsia="pt-BR"/>
      </w:rPr>
      <w:drawing>
        <wp:inline distT="0" distB="0" distL="0" distR="0" wp14:anchorId="0D1073D8" wp14:editId="4B38ED8D">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F00DA"/>
    <w:multiLevelType w:val="multilevel"/>
    <w:tmpl w:val="96A2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24"/>
    <w:rsid w:val="00067126"/>
    <w:rsid w:val="000A20E1"/>
    <w:rsid w:val="001234DE"/>
    <w:rsid w:val="00123B1C"/>
    <w:rsid w:val="0016220D"/>
    <w:rsid w:val="00194BA9"/>
    <w:rsid w:val="001A4423"/>
    <w:rsid w:val="001C328B"/>
    <w:rsid w:val="001E5A23"/>
    <w:rsid w:val="001F6A6D"/>
    <w:rsid w:val="00257FAD"/>
    <w:rsid w:val="002844C9"/>
    <w:rsid w:val="002B0015"/>
    <w:rsid w:val="002B2B78"/>
    <w:rsid w:val="003460DA"/>
    <w:rsid w:val="0036377D"/>
    <w:rsid w:val="0038579D"/>
    <w:rsid w:val="003B2168"/>
    <w:rsid w:val="004020EB"/>
    <w:rsid w:val="0040536D"/>
    <w:rsid w:val="004633E6"/>
    <w:rsid w:val="00473887"/>
    <w:rsid w:val="00491708"/>
    <w:rsid w:val="004C2027"/>
    <w:rsid w:val="00525788"/>
    <w:rsid w:val="005D0287"/>
    <w:rsid w:val="006064A3"/>
    <w:rsid w:val="00631DCF"/>
    <w:rsid w:val="00686527"/>
    <w:rsid w:val="006B65C8"/>
    <w:rsid w:val="0072578D"/>
    <w:rsid w:val="0078498B"/>
    <w:rsid w:val="007C3E1A"/>
    <w:rsid w:val="00834CDE"/>
    <w:rsid w:val="00860B20"/>
    <w:rsid w:val="00866963"/>
    <w:rsid w:val="008A5824"/>
    <w:rsid w:val="008D4F05"/>
    <w:rsid w:val="008E4574"/>
    <w:rsid w:val="00933FF0"/>
    <w:rsid w:val="00941AAF"/>
    <w:rsid w:val="009833D5"/>
    <w:rsid w:val="009979CA"/>
    <w:rsid w:val="009A5621"/>
    <w:rsid w:val="00A86ECF"/>
    <w:rsid w:val="00B32719"/>
    <w:rsid w:val="00B41CAF"/>
    <w:rsid w:val="00B71B4F"/>
    <w:rsid w:val="00BD0F13"/>
    <w:rsid w:val="00C04F45"/>
    <w:rsid w:val="00C30374"/>
    <w:rsid w:val="00CA2367"/>
    <w:rsid w:val="00CA25AA"/>
    <w:rsid w:val="00CA3496"/>
    <w:rsid w:val="00CE5296"/>
    <w:rsid w:val="00CF645C"/>
    <w:rsid w:val="00D91EAD"/>
    <w:rsid w:val="00DB206A"/>
    <w:rsid w:val="00E17006"/>
    <w:rsid w:val="00E35C65"/>
    <w:rsid w:val="00E361F4"/>
    <w:rsid w:val="00E6136F"/>
    <w:rsid w:val="00EC0BBE"/>
    <w:rsid w:val="00ED7A83"/>
    <w:rsid w:val="00F332A1"/>
    <w:rsid w:val="00FB3B38"/>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E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9A5621"/>
    <w:pPr>
      <w:keepNext/>
      <w:keepLines/>
      <w:suppressAutoHyphens w:val="0"/>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5621"/>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styleId="SemEspaamento">
    <w:name w:val="No Spacing"/>
    <w:uiPriority w:val="1"/>
    <w:qFormat/>
    <w:rsid w:val="009A5621"/>
    <w:rPr>
      <w:sz w:val="22"/>
      <w:szCs w:val="22"/>
    </w:rPr>
  </w:style>
  <w:style w:type="paragraph" w:customStyle="1" w:styleId="Standard">
    <w:name w:val="Standard"/>
    <w:rsid w:val="009A5621"/>
    <w:pPr>
      <w:suppressAutoHyphens/>
      <w:autoSpaceDN w:val="0"/>
      <w:spacing w:after="200" w:line="276" w:lineRule="auto"/>
      <w:textAlignment w:val="baseline"/>
    </w:pPr>
    <w:rPr>
      <w:rFonts w:ascii="Calibri" w:eastAsia="SimSun" w:hAnsi="Calibri" w:cs="Calibri"/>
      <w:kern w:val="3"/>
      <w:sz w:val="22"/>
      <w:szCs w:val="22"/>
    </w:rPr>
  </w:style>
  <w:style w:type="character" w:styleId="Forte">
    <w:name w:val="Strong"/>
    <w:basedOn w:val="Fontepargpadro"/>
    <w:uiPriority w:val="22"/>
    <w:qFormat/>
    <w:rsid w:val="009A5621"/>
    <w:rPr>
      <w:b/>
      <w:bCs/>
    </w:rPr>
  </w:style>
  <w:style w:type="character" w:customStyle="1" w:styleId="apple-converted-space">
    <w:name w:val="apple-converted-space"/>
    <w:basedOn w:val="Fontepargpadro"/>
    <w:rsid w:val="009A5621"/>
  </w:style>
  <w:style w:type="paragraph" w:styleId="Textodenotaderodap">
    <w:name w:val="footnote text"/>
    <w:basedOn w:val="Normal"/>
    <w:link w:val="TextodenotaderodapChar"/>
    <w:uiPriority w:val="99"/>
    <w:unhideWhenUsed/>
    <w:rsid w:val="009A5621"/>
    <w:pPr>
      <w:suppressAutoHyphens w:val="0"/>
    </w:pPr>
    <w:rPr>
      <w:rFonts w:asciiTheme="minorHAnsi" w:eastAsiaTheme="minorHAnsi" w:hAnsiTheme="minorHAnsi" w:cstheme="minorBidi"/>
      <w:lang w:eastAsia="en-US"/>
    </w:rPr>
  </w:style>
  <w:style w:type="character" w:customStyle="1" w:styleId="TextodenotaderodapChar">
    <w:name w:val="Texto de nota de rodapé Char"/>
    <w:basedOn w:val="Fontepargpadro"/>
    <w:link w:val="Textodenotaderodap"/>
    <w:uiPriority w:val="99"/>
    <w:rsid w:val="009A5621"/>
    <w:rPr>
      <w:sz w:val="20"/>
      <w:szCs w:val="20"/>
    </w:rPr>
  </w:style>
  <w:style w:type="paragraph" w:customStyle="1" w:styleId="Default">
    <w:name w:val="Default"/>
    <w:rsid w:val="009A5621"/>
    <w:pPr>
      <w:autoSpaceDE w:val="0"/>
      <w:autoSpaceDN w:val="0"/>
      <w:adjustRightInd w:val="0"/>
    </w:pPr>
    <w:rPr>
      <w:rFonts w:ascii="Times New Roman" w:hAnsi="Times New Roman" w:cs="Times New Roman"/>
      <w:color w:val="000000"/>
    </w:rPr>
  </w:style>
  <w:style w:type="paragraph" w:customStyle="1" w:styleId="texto1">
    <w:name w:val="texto1"/>
    <w:basedOn w:val="Normal"/>
    <w:rsid w:val="009A5621"/>
    <w:pPr>
      <w:suppressAutoHyphens w:val="0"/>
      <w:spacing w:before="100" w:beforeAutospacing="1" w:after="100" w:afterAutospacing="1"/>
    </w:pPr>
    <w:rPr>
      <w:sz w:val="24"/>
      <w:szCs w:val="24"/>
    </w:rPr>
  </w:style>
  <w:style w:type="paragraph" w:customStyle="1" w:styleId="texto2">
    <w:name w:val="texto2"/>
    <w:basedOn w:val="Normal"/>
    <w:rsid w:val="009A5621"/>
    <w:pPr>
      <w:suppressAutoHyphens w:val="0"/>
      <w:spacing w:before="100" w:beforeAutospacing="1" w:after="100" w:afterAutospacing="1"/>
    </w:pPr>
    <w:rPr>
      <w:sz w:val="24"/>
      <w:szCs w:val="24"/>
    </w:rPr>
  </w:style>
  <w:style w:type="character" w:styleId="Refdecomentrio">
    <w:name w:val="annotation reference"/>
    <w:basedOn w:val="Fontepargpadro"/>
    <w:uiPriority w:val="99"/>
    <w:semiHidden/>
    <w:unhideWhenUsed/>
    <w:rsid w:val="009A5621"/>
    <w:rPr>
      <w:sz w:val="16"/>
      <w:szCs w:val="16"/>
    </w:rPr>
  </w:style>
  <w:style w:type="character" w:customStyle="1" w:styleId="TextodecomentrioChar">
    <w:name w:val="Texto de comentário Char"/>
    <w:basedOn w:val="Fontepargpadro"/>
    <w:link w:val="Textodecomentrio"/>
    <w:uiPriority w:val="99"/>
    <w:semiHidden/>
    <w:rsid w:val="009A5621"/>
    <w:rPr>
      <w:sz w:val="20"/>
      <w:szCs w:val="20"/>
    </w:rPr>
  </w:style>
  <w:style w:type="paragraph" w:styleId="Textodecomentrio">
    <w:name w:val="annotation text"/>
    <w:basedOn w:val="Normal"/>
    <w:link w:val="TextodecomentrioChar"/>
    <w:uiPriority w:val="99"/>
    <w:semiHidden/>
    <w:unhideWhenUsed/>
    <w:rsid w:val="009A5621"/>
    <w:pPr>
      <w:suppressAutoHyphens w:val="0"/>
      <w:spacing w:after="160"/>
    </w:pPr>
    <w:rPr>
      <w:rFonts w:asciiTheme="minorHAnsi" w:eastAsiaTheme="minorHAnsi" w:hAnsiTheme="minorHAnsi" w:cstheme="minorBidi"/>
      <w:lang w:eastAsia="en-US"/>
    </w:rPr>
  </w:style>
  <w:style w:type="character" w:customStyle="1" w:styleId="AssuntodocomentrioChar">
    <w:name w:val="Assunto do comentário Char"/>
    <w:basedOn w:val="TextodecomentrioChar"/>
    <w:link w:val="Assuntodocomentrio"/>
    <w:uiPriority w:val="99"/>
    <w:semiHidden/>
    <w:rsid w:val="009A5621"/>
    <w:rPr>
      <w:b/>
      <w:bCs/>
      <w:sz w:val="20"/>
      <w:szCs w:val="20"/>
    </w:rPr>
  </w:style>
  <w:style w:type="paragraph" w:styleId="Assuntodocomentrio">
    <w:name w:val="annotation subject"/>
    <w:basedOn w:val="Textodecomentrio"/>
    <w:next w:val="Textodecomentrio"/>
    <w:link w:val="AssuntodocomentrioChar"/>
    <w:uiPriority w:val="99"/>
    <w:semiHidden/>
    <w:unhideWhenUsed/>
    <w:rsid w:val="009A5621"/>
    <w:rPr>
      <w:b/>
      <w:bCs/>
    </w:rPr>
  </w:style>
  <w:style w:type="paragraph" w:styleId="Legenda">
    <w:name w:val="caption"/>
    <w:basedOn w:val="Normal"/>
    <w:next w:val="Normal"/>
    <w:uiPriority w:val="35"/>
    <w:unhideWhenUsed/>
    <w:qFormat/>
    <w:rsid w:val="009A5621"/>
    <w:pPr>
      <w:suppressAutoHyphens w:val="0"/>
      <w:spacing w:after="200"/>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388722775">
      <w:bodyDiv w:val="1"/>
      <w:marLeft w:val="0"/>
      <w:marRight w:val="0"/>
      <w:marTop w:val="0"/>
      <w:marBottom w:val="0"/>
      <w:divBdr>
        <w:top w:val="none" w:sz="0" w:space="0" w:color="auto"/>
        <w:left w:val="none" w:sz="0" w:space="0" w:color="auto"/>
        <w:bottom w:val="none" w:sz="0" w:space="0" w:color="auto"/>
        <w:right w:val="none" w:sz="0" w:space="0" w:color="auto"/>
      </w:divBdr>
    </w:div>
    <w:div w:id="1418944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0EBEB7-2718-487B-84CA-E1E1CA4789A9}" type="doc">
      <dgm:prSet loTypeId="urn:microsoft.com/office/officeart/2005/8/layout/hProcess9" loCatId="process" qsTypeId="urn:microsoft.com/office/officeart/2005/8/quickstyle/simple1" qsCatId="simple" csTypeId="urn:microsoft.com/office/officeart/2005/8/colors/accent6_2" csCatId="accent6" phldr="1"/>
      <dgm:spPr/>
    </dgm:pt>
    <dgm:pt modelId="{C69386AC-2630-4280-82FA-6E780BF159FA}">
      <dgm:prSet phldrT="[Texto]" custT="1"/>
      <dgm:spPr/>
      <dgm:t>
        <a:bodyPr/>
        <a:lstStyle/>
        <a:p>
          <a:pPr algn="ctr"/>
          <a:r>
            <a:rPr lang="pt-BR" sz="1000">
              <a:latin typeface="Times New Roman" panose="02020603050405020304" pitchFamily="18" charset="0"/>
              <a:cs typeface="Times New Roman" panose="02020603050405020304" pitchFamily="18" charset="0"/>
            </a:rPr>
            <a:t>1922</a:t>
          </a:r>
        </a:p>
        <a:p>
          <a:pPr algn="ctr"/>
          <a:r>
            <a:rPr lang="pt-BR" sz="1000">
              <a:latin typeface="Times New Roman" panose="02020603050405020304" pitchFamily="18" charset="0"/>
              <a:cs typeface="Times New Roman" panose="02020603050405020304" pitchFamily="18" charset="0"/>
            </a:rPr>
            <a:t>IVM, Imposto sobre Vendas Mercantis, primeiro registro de tributação sobre o consumo</a:t>
          </a:r>
        </a:p>
      </dgm:t>
    </dgm:pt>
    <dgm:pt modelId="{9DE3282D-310E-4F1A-A1DC-8F0431335A7B}" type="parTrans" cxnId="{EBFAAAA1-3E35-414B-8BEF-6B50F705CEA9}">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337CEBCA-B6B8-4E71-ABB0-6E42BD979FE5}" type="sibTrans" cxnId="{EBFAAAA1-3E35-414B-8BEF-6B50F705CEA9}">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99F0191F-6740-4898-A093-CD973192F563}">
      <dgm:prSet phldrT="[Texto]" custT="1"/>
      <dgm:spPr/>
      <dgm:t>
        <a:bodyPr/>
        <a:lstStyle/>
        <a:p>
          <a:pPr algn="ctr"/>
          <a:r>
            <a:rPr lang="pt-BR" sz="1000">
              <a:latin typeface="Times New Roman" panose="02020603050405020304" pitchFamily="18" charset="0"/>
              <a:cs typeface="Times New Roman" panose="02020603050405020304" pitchFamily="18" charset="0"/>
            </a:rPr>
            <a:t>1934</a:t>
          </a:r>
        </a:p>
        <a:p>
          <a:pPr algn="ctr"/>
          <a:r>
            <a:rPr lang="pt-BR" sz="1000">
              <a:latin typeface="Times New Roman" panose="02020603050405020304" pitchFamily="18" charset="0"/>
              <a:cs typeface="Times New Roman" panose="02020603050405020304" pitchFamily="18" charset="0"/>
            </a:rPr>
            <a:t>IVC, Imposto  sobre Vendas e Consignações, Passa a recair também sobre  consignações.</a:t>
          </a:r>
        </a:p>
      </dgm:t>
    </dgm:pt>
    <dgm:pt modelId="{085B440C-9E38-41CC-B7E7-26B340483A86}" type="parTrans" cxnId="{D9C8FC9E-8F46-4028-A2E2-E1BEFC3CD743}">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CD816180-D7CB-4720-BF06-1362525EAECB}" type="sibTrans" cxnId="{D9C8FC9E-8F46-4028-A2E2-E1BEFC3CD743}">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833C4311-05F4-4281-98CC-7C117AC728C3}">
      <dgm:prSet phldrT="[Texto]" custT="1"/>
      <dgm:spPr/>
      <dgm:t>
        <a:bodyPr/>
        <a:lstStyle/>
        <a:p>
          <a:pPr algn="ctr"/>
          <a:r>
            <a:rPr lang="pt-BR" sz="1000">
              <a:latin typeface="Times New Roman" panose="02020603050405020304" pitchFamily="18" charset="0"/>
              <a:cs typeface="Times New Roman" panose="02020603050405020304" pitchFamily="18" charset="0"/>
            </a:rPr>
            <a:t>1965</a:t>
          </a:r>
        </a:p>
        <a:p>
          <a:pPr algn="ctr"/>
          <a:r>
            <a:rPr lang="pt-BR" sz="1000">
              <a:latin typeface="Times New Roman" panose="02020603050405020304" pitchFamily="18" charset="0"/>
              <a:cs typeface="Times New Roman" panose="02020603050405020304" pitchFamily="18" charset="0"/>
            </a:rPr>
            <a:t>ICM, Imposto sobre Circulaçãp de Mercadorias, Surge o principio da não cumulatividade, evitando o efeito cascata.</a:t>
          </a:r>
        </a:p>
      </dgm:t>
    </dgm:pt>
    <dgm:pt modelId="{1257BFA3-54D5-459D-BA65-92AADFE5108B}" type="parTrans" cxnId="{8543A743-2F60-4CEE-9C5B-5518C8264F69}">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E668B26F-C4FA-455F-856D-6B2D2DC9AE82}" type="sibTrans" cxnId="{8543A743-2F60-4CEE-9C5B-5518C8264F69}">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CF84AFA9-2E82-437E-8D05-2DDAB007EBF0}">
      <dgm:prSet phldrT="[Texto]" custT="1"/>
      <dgm:spPr/>
      <dgm:t>
        <a:bodyPr/>
        <a:lstStyle/>
        <a:p>
          <a:pPr algn="ctr"/>
          <a:r>
            <a:rPr lang="pt-BR" sz="1000">
              <a:latin typeface="Times New Roman" panose="02020603050405020304" pitchFamily="18" charset="0"/>
              <a:cs typeface="Times New Roman" panose="02020603050405020304" pitchFamily="18" charset="0"/>
            </a:rPr>
            <a:t>1988</a:t>
          </a:r>
        </a:p>
        <a:p>
          <a:pPr algn="ctr"/>
          <a:r>
            <a:rPr lang="pt-BR" sz="1000">
              <a:latin typeface="Times New Roman" panose="02020603050405020304" pitchFamily="18" charset="0"/>
              <a:cs typeface="Times New Roman" panose="02020603050405020304" pitchFamily="18" charset="0"/>
            </a:rPr>
            <a:t>ICMS, Imposto sobre Circulação de Mercadorias e prestação de serviços  de transportes e de comunicação.</a:t>
          </a:r>
        </a:p>
      </dgm:t>
    </dgm:pt>
    <dgm:pt modelId="{A0110319-0171-4493-AD54-0C9ACB74D423}" type="parTrans" cxnId="{D1C6C71A-D2D6-4E17-A41F-2486F81F842C}">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9CE0C41D-55A4-419D-A9D9-AD82CB50F53B}" type="sibTrans" cxnId="{D1C6C71A-D2D6-4E17-A41F-2486F81F842C}">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A9A65BAB-41FF-4349-8F53-DD19DB7C31C2}">
      <dgm:prSet phldrT="[Texto]" custT="1"/>
      <dgm:spPr/>
      <dgm:t>
        <a:bodyPr/>
        <a:lstStyle/>
        <a:p>
          <a:pPr algn="ctr"/>
          <a:r>
            <a:rPr lang="pt-BR" sz="1000">
              <a:latin typeface="Times New Roman" panose="02020603050405020304" pitchFamily="18" charset="0"/>
              <a:cs typeface="Times New Roman" panose="02020603050405020304" pitchFamily="18" charset="0"/>
            </a:rPr>
            <a:t>1996</a:t>
          </a:r>
        </a:p>
        <a:p>
          <a:pPr algn="ctr"/>
          <a:r>
            <a:rPr lang="pt-BR" sz="1000">
              <a:latin typeface="Times New Roman" panose="02020603050405020304" pitchFamily="18" charset="0"/>
              <a:cs typeface="Times New Roman" panose="02020603050405020304" pitchFamily="18" charset="0"/>
            </a:rPr>
            <a:t>LC 87 normatizando o ICMS, a partir de regras de incidência deduções  e seus aspectos.</a:t>
          </a:r>
        </a:p>
      </dgm:t>
    </dgm:pt>
    <dgm:pt modelId="{C83F7FB2-FB63-4B0D-8523-A54951852568}" type="sibTrans" cxnId="{73E1B8F4-96A1-47AB-856E-B7FDD96A9C0E}">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E2DF2AB3-5F88-4B0C-8603-68A36C701F05}" type="parTrans" cxnId="{73E1B8F4-96A1-47AB-856E-B7FDD96A9C0E}">
      <dgm:prSet/>
      <dgm:spPr/>
      <dgm:t>
        <a:bodyPr/>
        <a:lstStyle/>
        <a:p>
          <a:pPr algn="ctr"/>
          <a:endParaRPr lang="pt-BR" sz="1000">
            <a:latin typeface="Times New Roman" panose="02020603050405020304" pitchFamily="18" charset="0"/>
            <a:cs typeface="Times New Roman" panose="02020603050405020304" pitchFamily="18" charset="0"/>
          </a:endParaRPr>
        </a:p>
      </dgm:t>
    </dgm:pt>
    <dgm:pt modelId="{12078813-596B-4AFF-9D91-C7F56C3FA554}" type="pres">
      <dgm:prSet presAssocID="{600EBEB7-2718-487B-84CA-E1E1CA4789A9}" presName="CompostProcess" presStyleCnt="0">
        <dgm:presLayoutVars>
          <dgm:dir/>
          <dgm:resizeHandles val="exact"/>
        </dgm:presLayoutVars>
      </dgm:prSet>
      <dgm:spPr/>
    </dgm:pt>
    <dgm:pt modelId="{48BAD0F3-4B00-4F23-8BD4-868EE6212B94}" type="pres">
      <dgm:prSet presAssocID="{600EBEB7-2718-487B-84CA-E1E1CA4789A9}" presName="arrow" presStyleLbl="bgShp" presStyleIdx="0" presStyleCnt="1" custLinFactNeighborX="877" custLinFactNeighborY="912"/>
      <dgm:spPr/>
    </dgm:pt>
    <dgm:pt modelId="{B46E9B60-CA06-477C-A0A2-046A6F7D6C67}" type="pres">
      <dgm:prSet presAssocID="{600EBEB7-2718-487B-84CA-E1E1CA4789A9}" presName="linearProcess" presStyleCnt="0"/>
      <dgm:spPr/>
    </dgm:pt>
    <dgm:pt modelId="{60F4A971-2C5D-4E65-A280-D98B29582959}" type="pres">
      <dgm:prSet presAssocID="{C69386AC-2630-4280-82FA-6E780BF159FA}" presName="textNode" presStyleLbl="node1" presStyleIdx="0" presStyleCnt="5" custScaleY="146739" custLinFactNeighborX="19845">
        <dgm:presLayoutVars>
          <dgm:bulletEnabled val="1"/>
        </dgm:presLayoutVars>
      </dgm:prSet>
      <dgm:spPr/>
    </dgm:pt>
    <dgm:pt modelId="{1B52CDC0-154E-4B5A-BA6D-CA29D7C7A8A8}" type="pres">
      <dgm:prSet presAssocID="{337CEBCA-B6B8-4E71-ABB0-6E42BD979FE5}" presName="sibTrans" presStyleCnt="0"/>
      <dgm:spPr/>
    </dgm:pt>
    <dgm:pt modelId="{01D87763-73AC-453D-9096-6DE7CCEF3756}" type="pres">
      <dgm:prSet presAssocID="{99F0191F-6740-4898-A093-CD973192F563}" presName="textNode" presStyleLbl="node1" presStyleIdx="1" presStyleCnt="5" custScaleY="146739" custLinFactNeighborX="19578" custLinFactNeighborY="2138">
        <dgm:presLayoutVars>
          <dgm:bulletEnabled val="1"/>
        </dgm:presLayoutVars>
      </dgm:prSet>
      <dgm:spPr/>
    </dgm:pt>
    <dgm:pt modelId="{E9DB8084-AA66-46A0-AA4A-5C5D64D6B833}" type="pres">
      <dgm:prSet presAssocID="{CD816180-D7CB-4720-BF06-1362525EAECB}" presName="sibTrans" presStyleCnt="0"/>
      <dgm:spPr/>
    </dgm:pt>
    <dgm:pt modelId="{61B92179-25DE-41A4-B158-21F2C59CD503}" type="pres">
      <dgm:prSet presAssocID="{833C4311-05F4-4281-98CC-7C117AC728C3}" presName="textNode" presStyleLbl="node1" presStyleIdx="2" presStyleCnt="5" custScaleX="112623" custScaleY="146739" custLinFactNeighborX="27785" custLinFactNeighborY="-514">
        <dgm:presLayoutVars>
          <dgm:bulletEnabled val="1"/>
        </dgm:presLayoutVars>
      </dgm:prSet>
      <dgm:spPr/>
    </dgm:pt>
    <dgm:pt modelId="{A6DD09A5-E2BB-430F-A57A-76396CECE2C8}" type="pres">
      <dgm:prSet presAssocID="{E668B26F-C4FA-455F-856D-6B2D2DC9AE82}" presName="sibTrans" presStyleCnt="0"/>
      <dgm:spPr/>
    </dgm:pt>
    <dgm:pt modelId="{CE4A4141-AC4F-458E-9206-8856A45D352B}" type="pres">
      <dgm:prSet presAssocID="{CF84AFA9-2E82-437E-8D05-2DDAB007EBF0}" presName="textNode" presStyleLbl="node1" presStyleIdx="3" presStyleCnt="5" custScaleY="146739">
        <dgm:presLayoutVars>
          <dgm:bulletEnabled val="1"/>
        </dgm:presLayoutVars>
      </dgm:prSet>
      <dgm:spPr/>
    </dgm:pt>
    <dgm:pt modelId="{F1A61F4F-27D1-4BB6-8023-DFBB261E3C9C}" type="pres">
      <dgm:prSet presAssocID="{9CE0C41D-55A4-419D-A9D9-AD82CB50F53B}" presName="sibTrans" presStyleCnt="0"/>
      <dgm:spPr/>
    </dgm:pt>
    <dgm:pt modelId="{B16C6AD2-6163-4B9F-BE0B-C02FC4B5FC87}" type="pres">
      <dgm:prSet presAssocID="{A9A65BAB-41FF-4349-8F53-DD19DB7C31C2}" presName="textNode" presStyleLbl="node1" presStyleIdx="4" presStyleCnt="5" custScaleY="146739" custLinFactNeighborX="-23814">
        <dgm:presLayoutVars>
          <dgm:bulletEnabled val="1"/>
        </dgm:presLayoutVars>
      </dgm:prSet>
      <dgm:spPr/>
    </dgm:pt>
  </dgm:ptLst>
  <dgm:cxnLst>
    <dgm:cxn modelId="{62445714-3EF3-4E1B-9E46-9E95A1B15341}" type="presOf" srcId="{A9A65BAB-41FF-4349-8F53-DD19DB7C31C2}" destId="{B16C6AD2-6163-4B9F-BE0B-C02FC4B5FC87}" srcOrd="0" destOrd="0" presId="urn:microsoft.com/office/officeart/2005/8/layout/hProcess9"/>
    <dgm:cxn modelId="{97C6BF16-C379-4C41-B010-723A4EC51D36}" type="presOf" srcId="{CF84AFA9-2E82-437E-8D05-2DDAB007EBF0}" destId="{CE4A4141-AC4F-458E-9206-8856A45D352B}" srcOrd="0" destOrd="0" presId="urn:microsoft.com/office/officeart/2005/8/layout/hProcess9"/>
    <dgm:cxn modelId="{D1C6C71A-D2D6-4E17-A41F-2486F81F842C}" srcId="{600EBEB7-2718-487B-84CA-E1E1CA4789A9}" destId="{CF84AFA9-2E82-437E-8D05-2DDAB007EBF0}" srcOrd="3" destOrd="0" parTransId="{A0110319-0171-4493-AD54-0C9ACB74D423}" sibTransId="{9CE0C41D-55A4-419D-A9D9-AD82CB50F53B}"/>
    <dgm:cxn modelId="{8543A743-2F60-4CEE-9C5B-5518C8264F69}" srcId="{600EBEB7-2718-487B-84CA-E1E1CA4789A9}" destId="{833C4311-05F4-4281-98CC-7C117AC728C3}" srcOrd="2" destOrd="0" parTransId="{1257BFA3-54D5-459D-BA65-92AADFE5108B}" sibTransId="{E668B26F-C4FA-455F-856D-6B2D2DC9AE82}"/>
    <dgm:cxn modelId="{E47B2199-2BA6-4877-BD83-99CFB3769317}" type="presOf" srcId="{C69386AC-2630-4280-82FA-6E780BF159FA}" destId="{60F4A971-2C5D-4E65-A280-D98B29582959}" srcOrd="0" destOrd="0" presId="urn:microsoft.com/office/officeart/2005/8/layout/hProcess9"/>
    <dgm:cxn modelId="{D9C8FC9E-8F46-4028-A2E2-E1BEFC3CD743}" srcId="{600EBEB7-2718-487B-84CA-E1E1CA4789A9}" destId="{99F0191F-6740-4898-A093-CD973192F563}" srcOrd="1" destOrd="0" parTransId="{085B440C-9E38-41CC-B7E7-26B340483A86}" sibTransId="{CD816180-D7CB-4720-BF06-1362525EAECB}"/>
    <dgm:cxn modelId="{EBFAAAA1-3E35-414B-8BEF-6B50F705CEA9}" srcId="{600EBEB7-2718-487B-84CA-E1E1CA4789A9}" destId="{C69386AC-2630-4280-82FA-6E780BF159FA}" srcOrd="0" destOrd="0" parTransId="{9DE3282D-310E-4F1A-A1DC-8F0431335A7B}" sibTransId="{337CEBCA-B6B8-4E71-ABB0-6E42BD979FE5}"/>
    <dgm:cxn modelId="{48A2C6D1-EFFF-43D9-86B7-B90BF7FE2C3B}" type="presOf" srcId="{833C4311-05F4-4281-98CC-7C117AC728C3}" destId="{61B92179-25DE-41A4-B158-21F2C59CD503}" srcOrd="0" destOrd="0" presId="urn:microsoft.com/office/officeart/2005/8/layout/hProcess9"/>
    <dgm:cxn modelId="{CD9D5ED3-CBB9-4CBC-B2E0-D8FB675C3AFA}" type="presOf" srcId="{99F0191F-6740-4898-A093-CD973192F563}" destId="{01D87763-73AC-453D-9096-6DE7CCEF3756}" srcOrd="0" destOrd="0" presId="urn:microsoft.com/office/officeart/2005/8/layout/hProcess9"/>
    <dgm:cxn modelId="{0A9AA0EE-C622-425C-AC0B-3EBDAD7CC50B}" type="presOf" srcId="{600EBEB7-2718-487B-84CA-E1E1CA4789A9}" destId="{12078813-596B-4AFF-9D91-C7F56C3FA554}" srcOrd="0" destOrd="0" presId="urn:microsoft.com/office/officeart/2005/8/layout/hProcess9"/>
    <dgm:cxn modelId="{73E1B8F4-96A1-47AB-856E-B7FDD96A9C0E}" srcId="{600EBEB7-2718-487B-84CA-E1E1CA4789A9}" destId="{A9A65BAB-41FF-4349-8F53-DD19DB7C31C2}" srcOrd="4" destOrd="0" parTransId="{E2DF2AB3-5F88-4B0C-8603-68A36C701F05}" sibTransId="{C83F7FB2-FB63-4B0D-8523-A54951852568}"/>
    <dgm:cxn modelId="{063A9E0A-A5CF-42E1-970A-0EF848EAE2CF}" type="presParOf" srcId="{12078813-596B-4AFF-9D91-C7F56C3FA554}" destId="{48BAD0F3-4B00-4F23-8BD4-868EE6212B94}" srcOrd="0" destOrd="0" presId="urn:microsoft.com/office/officeart/2005/8/layout/hProcess9"/>
    <dgm:cxn modelId="{E3D09A0B-0BCB-4CDE-B726-E368DB670DB8}" type="presParOf" srcId="{12078813-596B-4AFF-9D91-C7F56C3FA554}" destId="{B46E9B60-CA06-477C-A0A2-046A6F7D6C67}" srcOrd="1" destOrd="0" presId="urn:microsoft.com/office/officeart/2005/8/layout/hProcess9"/>
    <dgm:cxn modelId="{55ADC464-EABF-4A5A-8DF8-CDF95FC64DC5}" type="presParOf" srcId="{B46E9B60-CA06-477C-A0A2-046A6F7D6C67}" destId="{60F4A971-2C5D-4E65-A280-D98B29582959}" srcOrd="0" destOrd="0" presId="urn:microsoft.com/office/officeart/2005/8/layout/hProcess9"/>
    <dgm:cxn modelId="{54D21D8B-ACC8-40FC-A2B7-8BE9E53B65FE}" type="presParOf" srcId="{B46E9B60-CA06-477C-A0A2-046A6F7D6C67}" destId="{1B52CDC0-154E-4B5A-BA6D-CA29D7C7A8A8}" srcOrd="1" destOrd="0" presId="urn:microsoft.com/office/officeart/2005/8/layout/hProcess9"/>
    <dgm:cxn modelId="{06ECBB06-2514-4ACF-B2C7-101EC2FF38C3}" type="presParOf" srcId="{B46E9B60-CA06-477C-A0A2-046A6F7D6C67}" destId="{01D87763-73AC-453D-9096-6DE7CCEF3756}" srcOrd="2" destOrd="0" presId="urn:microsoft.com/office/officeart/2005/8/layout/hProcess9"/>
    <dgm:cxn modelId="{15B48D5C-9405-45DA-B10D-7F6C726FA9E1}" type="presParOf" srcId="{B46E9B60-CA06-477C-A0A2-046A6F7D6C67}" destId="{E9DB8084-AA66-46A0-AA4A-5C5D64D6B833}" srcOrd="3" destOrd="0" presId="urn:microsoft.com/office/officeart/2005/8/layout/hProcess9"/>
    <dgm:cxn modelId="{7974909B-3437-46DD-814B-A1CE41E79377}" type="presParOf" srcId="{B46E9B60-CA06-477C-A0A2-046A6F7D6C67}" destId="{61B92179-25DE-41A4-B158-21F2C59CD503}" srcOrd="4" destOrd="0" presId="urn:microsoft.com/office/officeart/2005/8/layout/hProcess9"/>
    <dgm:cxn modelId="{B42DEF0D-1C44-4851-A086-8744BED326A0}" type="presParOf" srcId="{B46E9B60-CA06-477C-A0A2-046A6F7D6C67}" destId="{A6DD09A5-E2BB-430F-A57A-76396CECE2C8}" srcOrd="5" destOrd="0" presId="urn:microsoft.com/office/officeart/2005/8/layout/hProcess9"/>
    <dgm:cxn modelId="{1BA42AA7-414F-42C1-8191-60394D7CD109}" type="presParOf" srcId="{B46E9B60-CA06-477C-A0A2-046A6F7D6C67}" destId="{CE4A4141-AC4F-458E-9206-8856A45D352B}" srcOrd="6" destOrd="0" presId="urn:microsoft.com/office/officeart/2005/8/layout/hProcess9"/>
    <dgm:cxn modelId="{8AE5B2E0-11A1-41EE-9B26-482AD619F037}" type="presParOf" srcId="{B46E9B60-CA06-477C-A0A2-046A6F7D6C67}" destId="{F1A61F4F-27D1-4BB6-8023-DFBB261E3C9C}" srcOrd="7" destOrd="0" presId="urn:microsoft.com/office/officeart/2005/8/layout/hProcess9"/>
    <dgm:cxn modelId="{F6430F33-72F3-4AE8-9A1E-F4BDD1A4B87A}" type="presParOf" srcId="{B46E9B60-CA06-477C-A0A2-046A6F7D6C67}" destId="{B16C6AD2-6163-4B9F-BE0B-C02FC4B5FC87}" srcOrd="8" destOrd="0" presId="urn:microsoft.com/office/officeart/2005/8/layout/hProcess9"/>
  </dgm:cxnLst>
  <dgm:bg/>
  <dgm:whole>
    <a:ln>
      <a:solidFill>
        <a:schemeClr val="tx1"/>
      </a:solidFill>
    </a:ln>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813248-6BF0-4666-AC16-7422C3F327BB}" type="doc">
      <dgm:prSet loTypeId="urn:microsoft.com/office/officeart/2005/8/layout/process5" loCatId="process" qsTypeId="urn:microsoft.com/office/officeart/2005/8/quickstyle/simple1" qsCatId="simple" csTypeId="urn:microsoft.com/office/officeart/2005/8/colors/accent6_2" csCatId="accent6" phldr="1"/>
      <dgm:spPr/>
    </dgm:pt>
    <dgm:pt modelId="{DDB5B6C2-EFB0-438B-9259-D44938F3E7F6}">
      <dgm:prSet phldrT="[Texto]" custT="1"/>
      <dgm:spPr/>
      <dgm:t>
        <a:bodyPr/>
        <a:lstStyle/>
        <a:p>
          <a:r>
            <a:rPr lang="pt-BR" sz="1000">
              <a:latin typeface="Times New Roman" panose="02020603050405020304" pitchFamily="18" charset="0"/>
              <a:cs typeface="Times New Roman" panose="02020603050405020304" pitchFamily="18" charset="0"/>
            </a:rPr>
            <a:t>1966</a:t>
          </a:r>
        </a:p>
        <a:p>
          <a:r>
            <a:rPr lang="pt-BR" sz="1000">
              <a:latin typeface="Times New Roman" panose="02020603050405020304" pitchFamily="18" charset="0"/>
              <a:cs typeface="Times New Roman" panose="02020603050405020304" pitchFamily="18" charset="0"/>
            </a:rPr>
            <a:t>Lei 5172, Criação do responsável pelo imposto </a:t>
          </a:r>
        </a:p>
      </dgm:t>
    </dgm:pt>
    <dgm:pt modelId="{9B92E226-F87B-4ACC-BF69-A5CD4C3F4AF5}" type="parTrans" cxnId="{5196A32C-2E9B-4BE1-965D-736A2D5CF165}">
      <dgm:prSet/>
      <dgm:spPr/>
      <dgm:t>
        <a:bodyPr/>
        <a:lstStyle/>
        <a:p>
          <a:endParaRPr lang="pt-BR" sz="1000">
            <a:latin typeface="Times New Roman" panose="02020603050405020304" pitchFamily="18" charset="0"/>
            <a:cs typeface="Times New Roman" panose="02020603050405020304" pitchFamily="18" charset="0"/>
          </a:endParaRPr>
        </a:p>
      </dgm:t>
    </dgm:pt>
    <dgm:pt modelId="{2A4501E4-D9D2-44E8-9D82-ACE18DEF9203}" type="sibTrans" cxnId="{5196A32C-2E9B-4BE1-965D-736A2D5CF165}">
      <dgm:prSet custT="1"/>
      <dgm:spPr/>
      <dgm:t>
        <a:bodyPr/>
        <a:lstStyle/>
        <a:p>
          <a:endParaRPr lang="pt-BR" sz="1000">
            <a:latin typeface="Times New Roman" panose="02020603050405020304" pitchFamily="18" charset="0"/>
            <a:cs typeface="Times New Roman" panose="02020603050405020304" pitchFamily="18" charset="0"/>
          </a:endParaRPr>
        </a:p>
      </dgm:t>
    </dgm:pt>
    <dgm:pt modelId="{E6F1305D-4F5C-4CB4-AD86-6557CD00588B}">
      <dgm:prSet phldrT="[Texto]" custT="1"/>
      <dgm:spPr/>
      <dgm:t>
        <a:bodyPr/>
        <a:lstStyle/>
        <a:p>
          <a:r>
            <a:rPr lang="pt-BR" sz="1000">
              <a:latin typeface="Times New Roman" panose="02020603050405020304" pitchFamily="18" charset="0"/>
              <a:cs typeface="Times New Roman" panose="02020603050405020304" pitchFamily="18" charset="0"/>
            </a:rPr>
            <a:t>1968</a:t>
          </a:r>
        </a:p>
        <a:p>
          <a:r>
            <a:rPr lang="pt-BR" sz="1000">
              <a:latin typeface="Times New Roman" panose="02020603050405020304" pitchFamily="18" charset="0"/>
              <a:cs typeface="Times New Roman" panose="02020603050405020304" pitchFamily="18" charset="0"/>
            </a:rPr>
            <a:t>Decreto Lei 406, Revogação do responsável pela sistemática da ST.</a:t>
          </a:r>
        </a:p>
      </dgm:t>
    </dgm:pt>
    <dgm:pt modelId="{BB16CF3C-8785-4D9A-91FC-498F0646C5ED}" type="parTrans" cxnId="{57432C4F-439E-43F8-8845-B62352D1FA7A}">
      <dgm:prSet/>
      <dgm:spPr/>
      <dgm:t>
        <a:bodyPr/>
        <a:lstStyle/>
        <a:p>
          <a:endParaRPr lang="pt-BR" sz="1000">
            <a:latin typeface="Times New Roman" panose="02020603050405020304" pitchFamily="18" charset="0"/>
            <a:cs typeface="Times New Roman" panose="02020603050405020304" pitchFamily="18" charset="0"/>
          </a:endParaRPr>
        </a:p>
      </dgm:t>
    </dgm:pt>
    <dgm:pt modelId="{B05910CB-D7E7-4C85-8840-55A16B9CA2E9}" type="sibTrans" cxnId="{57432C4F-439E-43F8-8845-B62352D1FA7A}">
      <dgm:prSet custT="1"/>
      <dgm:spPr/>
      <dgm:t>
        <a:bodyPr/>
        <a:lstStyle/>
        <a:p>
          <a:endParaRPr lang="pt-BR" sz="1000">
            <a:latin typeface="Times New Roman" panose="02020603050405020304" pitchFamily="18" charset="0"/>
            <a:cs typeface="Times New Roman" panose="02020603050405020304" pitchFamily="18" charset="0"/>
          </a:endParaRPr>
        </a:p>
      </dgm:t>
    </dgm:pt>
    <dgm:pt modelId="{ACB190A9-F7F9-43C9-8890-79C15CB40E47}">
      <dgm:prSet phldrT="[Texto]" custT="1"/>
      <dgm:spPr/>
      <dgm:t>
        <a:bodyPr/>
        <a:lstStyle/>
        <a:p>
          <a:r>
            <a:rPr lang="pt-BR" sz="1000">
              <a:latin typeface="Times New Roman" panose="02020603050405020304" pitchFamily="18" charset="0"/>
              <a:cs typeface="Times New Roman" panose="02020603050405020304" pitchFamily="18" charset="0"/>
            </a:rPr>
            <a:t>1983</a:t>
          </a:r>
        </a:p>
        <a:p>
          <a:r>
            <a:rPr lang="pt-BR" sz="1000">
              <a:latin typeface="Times New Roman" panose="02020603050405020304" pitchFamily="18" charset="0"/>
              <a:cs typeface="Times New Roman" panose="02020603050405020304" pitchFamily="18" charset="0"/>
            </a:rPr>
            <a:t>LC 44, Retornou  a concessão do responsável pelo  imposto</a:t>
          </a:r>
        </a:p>
      </dgm:t>
    </dgm:pt>
    <dgm:pt modelId="{1CE3D87C-92EB-48FC-AE04-E594E24B245B}" type="parTrans" cxnId="{B01A5C6E-7279-443A-B536-7714247BC05F}">
      <dgm:prSet/>
      <dgm:spPr/>
      <dgm:t>
        <a:bodyPr/>
        <a:lstStyle/>
        <a:p>
          <a:endParaRPr lang="pt-BR" sz="1000">
            <a:latin typeface="Times New Roman" panose="02020603050405020304" pitchFamily="18" charset="0"/>
            <a:cs typeface="Times New Roman" panose="02020603050405020304" pitchFamily="18" charset="0"/>
          </a:endParaRPr>
        </a:p>
      </dgm:t>
    </dgm:pt>
    <dgm:pt modelId="{D15CE0E2-65FE-4137-827A-E3428E99E15C}" type="sibTrans" cxnId="{B01A5C6E-7279-443A-B536-7714247BC05F}">
      <dgm:prSet custT="1"/>
      <dgm:spPr/>
      <dgm:t>
        <a:bodyPr/>
        <a:lstStyle/>
        <a:p>
          <a:endParaRPr lang="pt-BR" sz="1000">
            <a:latin typeface="Times New Roman" panose="02020603050405020304" pitchFamily="18" charset="0"/>
            <a:cs typeface="Times New Roman" panose="02020603050405020304" pitchFamily="18" charset="0"/>
          </a:endParaRPr>
        </a:p>
      </dgm:t>
    </dgm:pt>
    <dgm:pt modelId="{1916946A-050E-43EF-9847-FB338691BDD6}">
      <dgm:prSet phldrT="[Texto]" custT="1"/>
      <dgm:spPr/>
      <dgm:t>
        <a:bodyPr/>
        <a:lstStyle/>
        <a:p>
          <a:r>
            <a:rPr lang="pt-BR" sz="1000">
              <a:latin typeface="Times New Roman" panose="02020603050405020304" pitchFamily="18" charset="0"/>
              <a:cs typeface="Times New Roman" panose="02020603050405020304" pitchFamily="18" charset="0"/>
            </a:rPr>
            <a:t>1988</a:t>
          </a:r>
        </a:p>
        <a:p>
          <a:r>
            <a:rPr lang="pt-BR" sz="1000">
              <a:latin typeface="Times New Roman" panose="02020603050405020304" pitchFamily="18" charset="0"/>
              <a:cs typeface="Times New Roman" panose="02020603050405020304" pitchFamily="18" charset="0"/>
            </a:rPr>
            <a:t>Oficialmente Promulgada</a:t>
          </a:r>
        </a:p>
      </dgm:t>
    </dgm:pt>
    <dgm:pt modelId="{FD66BBAF-A65D-42A6-9BB9-025E244093EA}" type="parTrans" cxnId="{F2691B1E-EE91-4D7F-B577-97A56B7CBA97}">
      <dgm:prSet/>
      <dgm:spPr/>
      <dgm:t>
        <a:bodyPr/>
        <a:lstStyle/>
        <a:p>
          <a:endParaRPr lang="pt-BR" sz="1000">
            <a:latin typeface="Times New Roman" panose="02020603050405020304" pitchFamily="18" charset="0"/>
            <a:cs typeface="Times New Roman" panose="02020603050405020304" pitchFamily="18" charset="0"/>
          </a:endParaRPr>
        </a:p>
      </dgm:t>
    </dgm:pt>
    <dgm:pt modelId="{A8883B83-85AD-4D22-9309-87592F1E5D2E}" type="sibTrans" cxnId="{F2691B1E-EE91-4D7F-B577-97A56B7CBA97}">
      <dgm:prSet custT="1"/>
      <dgm:spPr/>
      <dgm:t>
        <a:bodyPr/>
        <a:lstStyle/>
        <a:p>
          <a:endParaRPr lang="pt-BR" sz="1000">
            <a:latin typeface="Times New Roman" panose="02020603050405020304" pitchFamily="18" charset="0"/>
            <a:cs typeface="Times New Roman" panose="02020603050405020304" pitchFamily="18" charset="0"/>
          </a:endParaRPr>
        </a:p>
      </dgm:t>
    </dgm:pt>
    <dgm:pt modelId="{8AD21A08-94B0-4873-BC64-DB38C9E7A792}">
      <dgm:prSet phldrT="[Texto]" custT="1"/>
      <dgm:spPr/>
      <dgm:t>
        <a:bodyPr/>
        <a:lstStyle/>
        <a:p>
          <a:r>
            <a:rPr lang="pt-BR" sz="1000">
              <a:latin typeface="Times New Roman" panose="02020603050405020304" pitchFamily="18" charset="0"/>
              <a:cs typeface="Times New Roman" panose="02020603050405020304" pitchFamily="18" charset="0"/>
            </a:rPr>
            <a:t>1996</a:t>
          </a:r>
        </a:p>
        <a:p>
          <a:r>
            <a:rPr lang="pt-BR" sz="1000">
              <a:latin typeface="Times New Roman" panose="02020603050405020304" pitchFamily="18" charset="0"/>
              <a:cs typeface="Times New Roman" panose="02020603050405020304" pitchFamily="18" charset="0"/>
            </a:rPr>
            <a:t>Fixação de  normas e regulamentos  para a existência da ST.</a:t>
          </a:r>
        </a:p>
      </dgm:t>
    </dgm:pt>
    <dgm:pt modelId="{26863799-5C3F-4F36-BEC8-9F8D8DD59694}" type="parTrans" cxnId="{124CBB81-F22C-4CAF-AE35-F343803F005F}">
      <dgm:prSet/>
      <dgm:spPr/>
      <dgm:t>
        <a:bodyPr/>
        <a:lstStyle/>
        <a:p>
          <a:endParaRPr lang="pt-BR" sz="1000">
            <a:latin typeface="Times New Roman" panose="02020603050405020304" pitchFamily="18" charset="0"/>
            <a:cs typeface="Times New Roman" panose="02020603050405020304" pitchFamily="18" charset="0"/>
          </a:endParaRPr>
        </a:p>
      </dgm:t>
    </dgm:pt>
    <dgm:pt modelId="{01FD7BFB-4AD4-4674-8E9C-1576B382B10A}" type="sibTrans" cxnId="{124CBB81-F22C-4CAF-AE35-F343803F005F}">
      <dgm:prSet/>
      <dgm:spPr/>
      <dgm:t>
        <a:bodyPr/>
        <a:lstStyle/>
        <a:p>
          <a:endParaRPr lang="pt-BR" sz="1000">
            <a:latin typeface="Times New Roman" panose="02020603050405020304" pitchFamily="18" charset="0"/>
            <a:cs typeface="Times New Roman" panose="02020603050405020304" pitchFamily="18" charset="0"/>
          </a:endParaRPr>
        </a:p>
      </dgm:t>
    </dgm:pt>
    <dgm:pt modelId="{35DBC709-AD58-44F1-85C3-03595AEC4ECE}" type="pres">
      <dgm:prSet presAssocID="{E4813248-6BF0-4666-AC16-7422C3F327BB}" presName="diagram" presStyleCnt="0">
        <dgm:presLayoutVars>
          <dgm:dir/>
          <dgm:resizeHandles val="exact"/>
        </dgm:presLayoutVars>
      </dgm:prSet>
      <dgm:spPr/>
    </dgm:pt>
    <dgm:pt modelId="{0C975188-67B5-4556-BE0D-FBAC710FC4E7}" type="pres">
      <dgm:prSet presAssocID="{DDB5B6C2-EFB0-438B-9259-D44938F3E7F6}" presName="node" presStyleLbl="node1" presStyleIdx="0" presStyleCnt="5" custLinFactNeighborX="3825">
        <dgm:presLayoutVars>
          <dgm:bulletEnabled val="1"/>
        </dgm:presLayoutVars>
      </dgm:prSet>
      <dgm:spPr/>
    </dgm:pt>
    <dgm:pt modelId="{285C8A41-4690-4FA1-8E97-BC8A7CAF667E}" type="pres">
      <dgm:prSet presAssocID="{2A4501E4-D9D2-44E8-9D82-ACE18DEF9203}" presName="sibTrans" presStyleLbl="sibTrans2D1" presStyleIdx="0" presStyleCnt="4"/>
      <dgm:spPr/>
    </dgm:pt>
    <dgm:pt modelId="{C88EF608-DEA3-4E81-B2FA-9E94E39B212C}" type="pres">
      <dgm:prSet presAssocID="{2A4501E4-D9D2-44E8-9D82-ACE18DEF9203}" presName="connectorText" presStyleLbl="sibTrans2D1" presStyleIdx="0" presStyleCnt="4"/>
      <dgm:spPr/>
    </dgm:pt>
    <dgm:pt modelId="{B01B36ED-D989-4495-B99F-6D82DEB6616C}" type="pres">
      <dgm:prSet presAssocID="{E6F1305D-4F5C-4CB4-AD86-6557CD00588B}" presName="node" presStyleLbl="node1" presStyleIdx="1" presStyleCnt="5">
        <dgm:presLayoutVars>
          <dgm:bulletEnabled val="1"/>
        </dgm:presLayoutVars>
      </dgm:prSet>
      <dgm:spPr/>
    </dgm:pt>
    <dgm:pt modelId="{D3794A68-4643-4584-9741-33CB3D690123}" type="pres">
      <dgm:prSet presAssocID="{B05910CB-D7E7-4C85-8840-55A16B9CA2E9}" presName="sibTrans" presStyleLbl="sibTrans2D1" presStyleIdx="1" presStyleCnt="4"/>
      <dgm:spPr/>
    </dgm:pt>
    <dgm:pt modelId="{2439919C-6EA3-48BD-B420-1BE29696F4D5}" type="pres">
      <dgm:prSet presAssocID="{B05910CB-D7E7-4C85-8840-55A16B9CA2E9}" presName="connectorText" presStyleLbl="sibTrans2D1" presStyleIdx="1" presStyleCnt="4"/>
      <dgm:spPr/>
    </dgm:pt>
    <dgm:pt modelId="{802BA9E2-91C9-4EC7-B06C-53AC5512CE5F}" type="pres">
      <dgm:prSet presAssocID="{ACB190A9-F7F9-43C9-8890-79C15CB40E47}" presName="node" presStyleLbl="node1" presStyleIdx="2" presStyleCnt="5" custLinFactNeighborX="-4250">
        <dgm:presLayoutVars>
          <dgm:bulletEnabled val="1"/>
        </dgm:presLayoutVars>
      </dgm:prSet>
      <dgm:spPr/>
    </dgm:pt>
    <dgm:pt modelId="{73FF5DD5-2DD9-48CA-BE9C-31EAA0924521}" type="pres">
      <dgm:prSet presAssocID="{D15CE0E2-65FE-4137-827A-E3428E99E15C}" presName="sibTrans" presStyleLbl="sibTrans2D1" presStyleIdx="2" presStyleCnt="4"/>
      <dgm:spPr/>
    </dgm:pt>
    <dgm:pt modelId="{12A06575-C61A-45E9-9E26-2245DA56A138}" type="pres">
      <dgm:prSet presAssocID="{D15CE0E2-65FE-4137-827A-E3428E99E15C}" presName="connectorText" presStyleLbl="sibTrans2D1" presStyleIdx="2" presStyleCnt="4"/>
      <dgm:spPr/>
    </dgm:pt>
    <dgm:pt modelId="{9409FDF2-CA5C-4150-9C5E-696E297D1327}" type="pres">
      <dgm:prSet presAssocID="{1916946A-050E-43EF-9847-FB338691BDD6}" presName="node" presStyleLbl="node1" presStyleIdx="3" presStyleCnt="5" custLinFactNeighborX="-4250">
        <dgm:presLayoutVars>
          <dgm:bulletEnabled val="1"/>
        </dgm:presLayoutVars>
      </dgm:prSet>
      <dgm:spPr/>
    </dgm:pt>
    <dgm:pt modelId="{199589E0-143F-4959-8B41-FEA372E8D3B9}" type="pres">
      <dgm:prSet presAssocID="{A8883B83-85AD-4D22-9309-87592F1E5D2E}" presName="sibTrans" presStyleLbl="sibTrans2D1" presStyleIdx="3" presStyleCnt="4"/>
      <dgm:spPr/>
    </dgm:pt>
    <dgm:pt modelId="{D049FE2B-41FA-450B-9E55-0C502BDD6566}" type="pres">
      <dgm:prSet presAssocID="{A8883B83-85AD-4D22-9309-87592F1E5D2E}" presName="connectorText" presStyleLbl="sibTrans2D1" presStyleIdx="3" presStyleCnt="4"/>
      <dgm:spPr/>
    </dgm:pt>
    <dgm:pt modelId="{EDEBBCEE-428D-4D8B-9D19-9E77E79DC3F0}" type="pres">
      <dgm:prSet presAssocID="{8AD21A08-94B0-4873-BC64-DB38C9E7A792}" presName="node" presStyleLbl="node1" presStyleIdx="4" presStyleCnt="5" custLinFactNeighborX="-2550">
        <dgm:presLayoutVars>
          <dgm:bulletEnabled val="1"/>
        </dgm:presLayoutVars>
      </dgm:prSet>
      <dgm:spPr/>
    </dgm:pt>
  </dgm:ptLst>
  <dgm:cxnLst>
    <dgm:cxn modelId="{D89B8809-35E4-49F2-B48C-AF593615F00F}" type="presOf" srcId="{B05910CB-D7E7-4C85-8840-55A16B9CA2E9}" destId="{D3794A68-4643-4584-9741-33CB3D690123}" srcOrd="0" destOrd="0" presId="urn:microsoft.com/office/officeart/2005/8/layout/process5"/>
    <dgm:cxn modelId="{92840C0E-CDDE-4EA2-8DAC-BF6AF78A0B1B}" type="presOf" srcId="{D15CE0E2-65FE-4137-827A-E3428E99E15C}" destId="{12A06575-C61A-45E9-9E26-2245DA56A138}" srcOrd="1" destOrd="0" presId="urn:microsoft.com/office/officeart/2005/8/layout/process5"/>
    <dgm:cxn modelId="{2900E41C-2653-4FBE-81D1-9DD1D1155C85}" type="presOf" srcId="{D15CE0E2-65FE-4137-827A-E3428E99E15C}" destId="{73FF5DD5-2DD9-48CA-BE9C-31EAA0924521}" srcOrd="0" destOrd="0" presId="urn:microsoft.com/office/officeart/2005/8/layout/process5"/>
    <dgm:cxn modelId="{F2691B1E-EE91-4D7F-B577-97A56B7CBA97}" srcId="{E4813248-6BF0-4666-AC16-7422C3F327BB}" destId="{1916946A-050E-43EF-9847-FB338691BDD6}" srcOrd="3" destOrd="0" parTransId="{FD66BBAF-A65D-42A6-9BB9-025E244093EA}" sibTransId="{A8883B83-85AD-4D22-9309-87592F1E5D2E}"/>
    <dgm:cxn modelId="{68601523-7B4B-4505-A7A7-74D1CA17D566}" type="presOf" srcId="{ACB190A9-F7F9-43C9-8890-79C15CB40E47}" destId="{802BA9E2-91C9-4EC7-B06C-53AC5512CE5F}" srcOrd="0" destOrd="0" presId="urn:microsoft.com/office/officeart/2005/8/layout/process5"/>
    <dgm:cxn modelId="{5196A32C-2E9B-4BE1-965D-736A2D5CF165}" srcId="{E4813248-6BF0-4666-AC16-7422C3F327BB}" destId="{DDB5B6C2-EFB0-438B-9259-D44938F3E7F6}" srcOrd="0" destOrd="0" parTransId="{9B92E226-F87B-4ACC-BF69-A5CD4C3F4AF5}" sibTransId="{2A4501E4-D9D2-44E8-9D82-ACE18DEF9203}"/>
    <dgm:cxn modelId="{D2FC6637-37BD-4CE8-90E4-695168E71AF8}" type="presOf" srcId="{A8883B83-85AD-4D22-9309-87592F1E5D2E}" destId="{D049FE2B-41FA-450B-9E55-0C502BDD6566}" srcOrd="1" destOrd="0" presId="urn:microsoft.com/office/officeart/2005/8/layout/process5"/>
    <dgm:cxn modelId="{57ABB269-5868-4097-AF12-F245D533E244}" type="presOf" srcId="{E4813248-6BF0-4666-AC16-7422C3F327BB}" destId="{35DBC709-AD58-44F1-85C3-03595AEC4ECE}" srcOrd="0" destOrd="0" presId="urn:microsoft.com/office/officeart/2005/8/layout/process5"/>
    <dgm:cxn modelId="{9C622C6C-2D2C-478A-B8E7-87467E80B34C}" type="presOf" srcId="{2A4501E4-D9D2-44E8-9D82-ACE18DEF9203}" destId="{285C8A41-4690-4FA1-8E97-BC8A7CAF667E}" srcOrd="0" destOrd="0" presId="urn:microsoft.com/office/officeart/2005/8/layout/process5"/>
    <dgm:cxn modelId="{B01A5C6E-7279-443A-B536-7714247BC05F}" srcId="{E4813248-6BF0-4666-AC16-7422C3F327BB}" destId="{ACB190A9-F7F9-43C9-8890-79C15CB40E47}" srcOrd="2" destOrd="0" parTransId="{1CE3D87C-92EB-48FC-AE04-E594E24B245B}" sibTransId="{D15CE0E2-65FE-4137-827A-E3428E99E15C}"/>
    <dgm:cxn modelId="{57432C4F-439E-43F8-8845-B62352D1FA7A}" srcId="{E4813248-6BF0-4666-AC16-7422C3F327BB}" destId="{E6F1305D-4F5C-4CB4-AD86-6557CD00588B}" srcOrd="1" destOrd="0" parTransId="{BB16CF3C-8785-4D9A-91FC-498F0646C5ED}" sibTransId="{B05910CB-D7E7-4C85-8840-55A16B9CA2E9}"/>
    <dgm:cxn modelId="{6484217A-C037-4E7E-81A0-47429C41F79E}" type="presOf" srcId="{E6F1305D-4F5C-4CB4-AD86-6557CD00588B}" destId="{B01B36ED-D989-4495-B99F-6D82DEB6616C}" srcOrd="0" destOrd="0" presId="urn:microsoft.com/office/officeart/2005/8/layout/process5"/>
    <dgm:cxn modelId="{124CBB81-F22C-4CAF-AE35-F343803F005F}" srcId="{E4813248-6BF0-4666-AC16-7422C3F327BB}" destId="{8AD21A08-94B0-4873-BC64-DB38C9E7A792}" srcOrd="4" destOrd="0" parTransId="{26863799-5C3F-4F36-BEC8-9F8D8DD59694}" sibTransId="{01FD7BFB-4AD4-4674-8E9C-1576B382B10A}"/>
    <dgm:cxn modelId="{BC2A9A84-D8C2-4EB7-B919-10202EF1059F}" type="presOf" srcId="{A8883B83-85AD-4D22-9309-87592F1E5D2E}" destId="{199589E0-143F-4959-8B41-FEA372E8D3B9}" srcOrd="0" destOrd="0" presId="urn:microsoft.com/office/officeart/2005/8/layout/process5"/>
    <dgm:cxn modelId="{7715289D-2926-4CDE-A549-A5F2F4CB508F}" type="presOf" srcId="{DDB5B6C2-EFB0-438B-9259-D44938F3E7F6}" destId="{0C975188-67B5-4556-BE0D-FBAC710FC4E7}" srcOrd="0" destOrd="0" presId="urn:microsoft.com/office/officeart/2005/8/layout/process5"/>
    <dgm:cxn modelId="{336851B4-8846-4D4D-803A-8729058189E6}" type="presOf" srcId="{2A4501E4-D9D2-44E8-9D82-ACE18DEF9203}" destId="{C88EF608-DEA3-4E81-B2FA-9E94E39B212C}" srcOrd="1" destOrd="0" presId="urn:microsoft.com/office/officeart/2005/8/layout/process5"/>
    <dgm:cxn modelId="{65A5D8ED-383A-4385-9C2B-0AD0B6B1A890}" type="presOf" srcId="{B05910CB-D7E7-4C85-8840-55A16B9CA2E9}" destId="{2439919C-6EA3-48BD-B420-1BE29696F4D5}" srcOrd="1" destOrd="0" presId="urn:microsoft.com/office/officeart/2005/8/layout/process5"/>
    <dgm:cxn modelId="{CB73B6FE-B4C5-4687-94C4-F282AECC9EF1}" type="presOf" srcId="{1916946A-050E-43EF-9847-FB338691BDD6}" destId="{9409FDF2-CA5C-4150-9C5E-696E297D1327}" srcOrd="0" destOrd="0" presId="urn:microsoft.com/office/officeart/2005/8/layout/process5"/>
    <dgm:cxn modelId="{B1D94CFF-1B75-473D-9210-6A00783CDE93}" type="presOf" srcId="{8AD21A08-94B0-4873-BC64-DB38C9E7A792}" destId="{EDEBBCEE-428D-4D8B-9D19-9E77E79DC3F0}" srcOrd="0" destOrd="0" presId="urn:microsoft.com/office/officeart/2005/8/layout/process5"/>
    <dgm:cxn modelId="{5FFFAF7A-F88A-4016-A62C-7ED2849EE748}" type="presParOf" srcId="{35DBC709-AD58-44F1-85C3-03595AEC4ECE}" destId="{0C975188-67B5-4556-BE0D-FBAC710FC4E7}" srcOrd="0" destOrd="0" presId="urn:microsoft.com/office/officeart/2005/8/layout/process5"/>
    <dgm:cxn modelId="{A09EC3B5-877F-491D-B157-78C12E4CDABA}" type="presParOf" srcId="{35DBC709-AD58-44F1-85C3-03595AEC4ECE}" destId="{285C8A41-4690-4FA1-8E97-BC8A7CAF667E}" srcOrd="1" destOrd="0" presId="urn:microsoft.com/office/officeart/2005/8/layout/process5"/>
    <dgm:cxn modelId="{C43E7C88-DDAC-4CE7-886D-46AD545E6960}" type="presParOf" srcId="{285C8A41-4690-4FA1-8E97-BC8A7CAF667E}" destId="{C88EF608-DEA3-4E81-B2FA-9E94E39B212C}" srcOrd="0" destOrd="0" presId="urn:microsoft.com/office/officeart/2005/8/layout/process5"/>
    <dgm:cxn modelId="{E9FD60E8-8668-499C-B508-B2969B191863}" type="presParOf" srcId="{35DBC709-AD58-44F1-85C3-03595AEC4ECE}" destId="{B01B36ED-D989-4495-B99F-6D82DEB6616C}" srcOrd="2" destOrd="0" presId="urn:microsoft.com/office/officeart/2005/8/layout/process5"/>
    <dgm:cxn modelId="{2EED04E4-1FCF-401C-B5FC-C57729FAB938}" type="presParOf" srcId="{35DBC709-AD58-44F1-85C3-03595AEC4ECE}" destId="{D3794A68-4643-4584-9741-33CB3D690123}" srcOrd="3" destOrd="0" presId="urn:microsoft.com/office/officeart/2005/8/layout/process5"/>
    <dgm:cxn modelId="{67A7846F-5F1F-4920-AF3B-22F4A0E367B1}" type="presParOf" srcId="{D3794A68-4643-4584-9741-33CB3D690123}" destId="{2439919C-6EA3-48BD-B420-1BE29696F4D5}" srcOrd="0" destOrd="0" presId="urn:microsoft.com/office/officeart/2005/8/layout/process5"/>
    <dgm:cxn modelId="{9BA58DCC-3357-4476-8E2A-8653BDA256E0}" type="presParOf" srcId="{35DBC709-AD58-44F1-85C3-03595AEC4ECE}" destId="{802BA9E2-91C9-4EC7-B06C-53AC5512CE5F}" srcOrd="4" destOrd="0" presId="urn:microsoft.com/office/officeart/2005/8/layout/process5"/>
    <dgm:cxn modelId="{B1A3994F-0896-492E-9CFF-3B33B24E9B75}" type="presParOf" srcId="{35DBC709-AD58-44F1-85C3-03595AEC4ECE}" destId="{73FF5DD5-2DD9-48CA-BE9C-31EAA0924521}" srcOrd="5" destOrd="0" presId="urn:microsoft.com/office/officeart/2005/8/layout/process5"/>
    <dgm:cxn modelId="{981D588D-A383-4A5E-A27B-CFB0D13CF739}" type="presParOf" srcId="{73FF5DD5-2DD9-48CA-BE9C-31EAA0924521}" destId="{12A06575-C61A-45E9-9E26-2245DA56A138}" srcOrd="0" destOrd="0" presId="urn:microsoft.com/office/officeart/2005/8/layout/process5"/>
    <dgm:cxn modelId="{7BCC3824-FE95-4126-921D-7F10E639BA4B}" type="presParOf" srcId="{35DBC709-AD58-44F1-85C3-03595AEC4ECE}" destId="{9409FDF2-CA5C-4150-9C5E-696E297D1327}" srcOrd="6" destOrd="0" presId="urn:microsoft.com/office/officeart/2005/8/layout/process5"/>
    <dgm:cxn modelId="{575BC0E1-B577-493B-BC66-D524B900B4F3}" type="presParOf" srcId="{35DBC709-AD58-44F1-85C3-03595AEC4ECE}" destId="{199589E0-143F-4959-8B41-FEA372E8D3B9}" srcOrd="7" destOrd="0" presId="urn:microsoft.com/office/officeart/2005/8/layout/process5"/>
    <dgm:cxn modelId="{64DDEB19-6C3A-4ADD-82A8-5259A69B972A}" type="presParOf" srcId="{199589E0-143F-4959-8B41-FEA372E8D3B9}" destId="{D049FE2B-41FA-450B-9E55-0C502BDD6566}" srcOrd="0" destOrd="0" presId="urn:microsoft.com/office/officeart/2005/8/layout/process5"/>
    <dgm:cxn modelId="{DD5DB3BD-8DD6-4B69-A149-7AD2D28C49E2}" type="presParOf" srcId="{35DBC709-AD58-44F1-85C3-03595AEC4ECE}" destId="{EDEBBCEE-428D-4D8B-9D19-9E77E79DC3F0}" srcOrd="8" destOrd="0" presId="urn:microsoft.com/office/officeart/2005/8/layout/process5"/>
  </dgm:cxnLst>
  <dgm:bg/>
  <dgm:whole>
    <a:ln>
      <a:solidFill>
        <a:schemeClr val="tx1"/>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AD0F3-4B00-4F23-8BD4-868EE6212B94}">
      <dsp:nvSpPr>
        <dsp:cNvPr id="0" name=""/>
        <dsp:cNvSpPr/>
      </dsp:nvSpPr>
      <dsp:spPr>
        <a:xfrm>
          <a:off x="474630" y="0"/>
          <a:ext cx="4892833" cy="2336800"/>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0F4A971-2C5D-4E65-A280-D98B29582959}">
      <dsp:nvSpPr>
        <dsp:cNvPr id="0" name=""/>
        <dsp:cNvSpPr/>
      </dsp:nvSpPr>
      <dsp:spPr>
        <a:xfrm>
          <a:off x="33507" y="482600"/>
          <a:ext cx="1000584" cy="137159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1922</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IVM, Imposto sobre Vendas Mercantis, primeiro registro de tributação sobre o consumo</a:t>
          </a:r>
        </a:p>
      </dsp:txBody>
      <dsp:txXfrm>
        <a:off x="82351" y="531444"/>
        <a:ext cx="902896" cy="1273910"/>
      </dsp:txXfrm>
    </dsp:sp>
    <dsp:sp modelId="{01D87763-73AC-453D-9096-6DE7CCEF3756}">
      <dsp:nvSpPr>
        <dsp:cNvPr id="0" name=""/>
        <dsp:cNvSpPr/>
      </dsp:nvSpPr>
      <dsp:spPr>
        <a:xfrm>
          <a:off x="1189107" y="502584"/>
          <a:ext cx="1000584" cy="137159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1934</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IVC, Imposto  sobre Vendas e Consignações, Passa a recair também sobre  consignações.</a:t>
          </a:r>
        </a:p>
      </dsp:txBody>
      <dsp:txXfrm>
        <a:off x="1237951" y="551428"/>
        <a:ext cx="902896" cy="1273910"/>
      </dsp:txXfrm>
    </dsp:sp>
    <dsp:sp modelId="{61B92179-25DE-41A4-B158-21F2C59CD503}">
      <dsp:nvSpPr>
        <dsp:cNvPr id="0" name=""/>
        <dsp:cNvSpPr/>
      </dsp:nvSpPr>
      <dsp:spPr>
        <a:xfrm>
          <a:off x="2357879" y="477796"/>
          <a:ext cx="1126888" cy="137159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1965</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ICM, Imposto sobre Circulaçãp de Mercadorias, Surge o principio da não cumulatividade, evitando o efeito cascata.</a:t>
          </a:r>
        </a:p>
      </dsp:txBody>
      <dsp:txXfrm>
        <a:off x="2412889" y="532806"/>
        <a:ext cx="1016868" cy="1261578"/>
      </dsp:txXfrm>
    </dsp:sp>
    <dsp:sp modelId="{CE4A4141-AC4F-458E-9206-8856A45D352B}">
      <dsp:nvSpPr>
        <dsp:cNvPr id="0" name=""/>
        <dsp:cNvSpPr/>
      </dsp:nvSpPr>
      <dsp:spPr>
        <a:xfrm>
          <a:off x="3597012" y="482600"/>
          <a:ext cx="1000584" cy="137159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1988</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ICMS, Imposto sobre Circulação de Mercadorias e prestação de serviços  de transportes e de comunicação.</a:t>
          </a:r>
        </a:p>
      </dsp:txBody>
      <dsp:txXfrm>
        <a:off x="3645856" y="531444"/>
        <a:ext cx="902896" cy="1273910"/>
      </dsp:txXfrm>
    </dsp:sp>
    <dsp:sp modelId="{B16C6AD2-6163-4B9F-BE0B-C02FC4B5FC87}">
      <dsp:nvSpPr>
        <dsp:cNvPr id="0" name=""/>
        <dsp:cNvSpPr/>
      </dsp:nvSpPr>
      <dsp:spPr>
        <a:xfrm>
          <a:off x="4716013" y="482600"/>
          <a:ext cx="1000584" cy="137159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1996</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LC 87 normatizando o ICMS, a partir de regras de incidência deduções  e seus aspectos.</a:t>
          </a:r>
        </a:p>
      </dsp:txBody>
      <dsp:txXfrm>
        <a:off x="4764857" y="531444"/>
        <a:ext cx="902896" cy="1273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975188-67B5-4556-BE0D-FBAC710FC4E7}">
      <dsp:nvSpPr>
        <dsp:cNvPr id="0" name=""/>
        <dsp:cNvSpPr/>
      </dsp:nvSpPr>
      <dsp:spPr>
        <a:xfrm>
          <a:off x="62170" y="115569"/>
          <a:ext cx="1494631" cy="8967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1966</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Lei 5172, Criação do responsável pelo imposto </a:t>
          </a:r>
        </a:p>
      </dsp:txBody>
      <dsp:txXfrm>
        <a:off x="88436" y="141835"/>
        <a:ext cx="1442099" cy="844246"/>
      </dsp:txXfrm>
    </dsp:sp>
    <dsp:sp modelId="{285C8A41-4690-4FA1-8E97-BC8A7CAF667E}">
      <dsp:nvSpPr>
        <dsp:cNvPr id="0" name=""/>
        <dsp:cNvSpPr/>
      </dsp:nvSpPr>
      <dsp:spPr>
        <a:xfrm>
          <a:off x="1675751" y="378625"/>
          <a:ext cx="286561" cy="37066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anose="02020603050405020304" pitchFamily="18" charset="0"/>
            <a:cs typeface="Times New Roman" panose="02020603050405020304" pitchFamily="18" charset="0"/>
          </a:endParaRPr>
        </a:p>
      </dsp:txBody>
      <dsp:txXfrm>
        <a:off x="1675751" y="452759"/>
        <a:ext cx="200593" cy="222400"/>
      </dsp:txXfrm>
    </dsp:sp>
    <dsp:sp modelId="{B01B36ED-D989-4495-B99F-6D82DEB6616C}">
      <dsp:nvSpPr>
        <dsp:cNvPr id="0" name=""/>
        <dsp:cNvSpPr/>
      </dsp:nvSpPr>
      <dsp:spPr>
        <a:xfrm>
          <a:off x="2097484" y="115569"/>
          <a:ext cx="1494631" cy="8967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1968</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Decreto Lei 406, Revogação do responsável pela sistemática da ST.</a:t>
          </a:r>
        </a:p>
      </dsp:txBody>
      <dsp:txXfrm>
        <a:off x="2123750" y="141835"/>
        <a:ext cx="1442099" cy="844246"/>
      </dsp:txXfrm>
    </dsp:sp>
    <dsp:sp modelId="{D3794A68-4643-4584-9741-33CB3D690123}">
      <dsp:nvSpPr>
        <dsp:cNvPr id="0" name=""/>
        <dsp:cNvSpPr/>
      </dsp:nvSpPr>
      <dsp:spPr>
        <a:xfrm>
          <a:off x="3709668" y="378625"/>
          <a:ext cx="283195" cy="37066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anose="02020603050405020304" pitchFamily="18" charset="0"/>
            <a:cs typeface="Times New Roman" panose="02020603050405020304" pitchFamily="18" charset="0"/>
          </a:endParaRPr>
        </a:p>
      </dsp:txBody>
      <dsp:txXfrm>
        <a:off x="3709668" y="452759"/>
        <a:ext cx="198237" cy="222400"/>
      </dsp:txXfrm>
    </dsp:sp>
    <dsp:sp modelId="{802BA9E2-91C9-4EC7-B06C-53AC5512CE5F}">
      <dsp:nvSpPr>
        <dsp:cNvPr id="0" name=""/>
        <dsp:cNvSpPr/>
      </dsp:nvSpPr>
      <dsp:spPr>
        <a:xfrm>
          <a:off x="4126446" y="115569"/>
          <a:ext cx="1494631" cy="8967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1983</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LC 44, Retornou  a concessão do responsável pelo  imposto</a:t>
          </a:r>
        </a:p>
      </dsp:txBody>
      <dsp:txXfrm>
        <a:off x="4152712" y="141835"/>
        <a:ext cx="1442099" cy="844246"/>
      </dsp:txXfrm>
    </dsp:sp>
    <dsp:sp modelId="{73FF5DD5-2DD9-48CA-BE9C-31EAA0924521}">
      <dsp:nvSpPr>
        <dsp:cNvPr id="0" name=""/>
        <dsp:cNvSpPr/>
      </dsp:nvSpPr>
      <dsp:spPr>
        <a:xfrm rot="5400000">
          <a:off x="4715331" y="1116972"/>
          <a:ext cx="316861" cy="37066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anose="02020603050405020304" pitchFamily="18" charset="0"/>
            <a:cs typeface="Times New Roman" panose="02020603050405020304" pitchFamily="18" charset="0"/>
          </a:endParaRPr>
        </a:p>
      </dsp:txBody>
      <dsp:txXfrm rot="-5400000">
        <a:off x="4762562" y="1143875"/>
        <a:ext cx="222400" cy="221803"/>
      </dsp:txXfrm>
    </dsp:sp>
    <dsp:sp modelId="{9409FDF2-CA5C-4150-9C5E-696E297D1327}">
      <dsp:nvSpPr>
        <dsp:cNvPr id="0" name=""/>
        <dsp:cNvSpPr/>
      </dsp:nvSpPr>
      <dsp:spPr>
        <a:xfrm>
          <a:off x="4126446" y="1610201"/>
          <a:ext cx="1494631" cy="8967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1988</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Oficialmente Promulgada</a:t>
          </a:r>
        </a:p>
      </dsp:txBody>
      <dsp:txXfrm>
        <a:off x="4152712" y="1636467"/>
        <a:ext cx="1442099" cy="844246"/>
      </dsp:txXfrm>
    </dsp:sp>
    <dsp:sp modelId="{199589E0-143F-4959-8B41-FEA372E8D3B9}">
      <dsp:nvSpPr>
        <dsp:cNvPr id="0" name=""/>
        <dsp:cNvSpPr/>
      </dsp:nvSpPr>
      <dsp:spPr>
        <a:xfrm rot="10800000">
          <a:off x="3697113" y="1873256"/>
          <a:ext cx="303395" cy="37066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anose="02020603050405020304" pitchFamily="18" charset="0"/>
            <a:cs typeface="Times New Roman" panose="02020603050405020304" pitchFamily="18" charset="0"/>
          </a:endParaRPr>
        </a:p>
      </dsp:txBody>
      <dsp:txXfrm rot="10800000">
        <a:off x="3788131" y="1947390"/>
        <a:ext cx="212377" cy="222400"/>
      </dsp:txXfrm>
    </dsp:sp>
    <dsp:sp modelId="{EDEBBCEE-428D-4D8B-9D19-9E77E79DC3F0}">
      <dsp:nvSpPr>
        <dsp:cNvPr id="0" name=""/>
        <dsp:cNvSpPr/>
      </dsp:nvSpPr>
      <dsp:spPr>
        <a:xfrm>
          <a:off x="2059371" y="1610201"/>
          <a:ext cx="1494631" cy="8967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1996</a:t>
          </a:r>
        </a:p>
        <a:p>
          <a:pPr marL="0" lvl="0" indent="0" algn="ctr" defTabSz="444500">
            <a:lnSpc>
              <a:spcPct val="90000"/>
            </a:lnSpc>
            <a:spcBef>
              <a:spcPct val="0"/>
            </a:spcBef>
            <a:spcAft>
              <a:spcPct val="35000"/>
            </a:spcAft>
            <a:buNone/>
          </a:pPr>
          <a:r>
            <a:rPr lang="pt-BR" sz="1000" kern="1200">
              <a:latin typeface="Times New Roman" panose="02020603050405020304" pitchFamily="18" charset="0"/>
              <a:cs typeface="Times New Roman" panose="02020603050405020304" pitchFamily="18" charset="0"/>
            </a:rPr>
            <a:t>Fixação de  normas e regulamentos  para a existência da ST.</a:t>
          </a:r>
        </a:p>
      </dsp:txBody>
      <dsp:txXfrm>
        <a:off x="2085637" y="1636467"/>
        <a:ext cx="1442099" cy="84424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5925</Words>
  <Characters>31996</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2018-05-07T17:53:00Z</dcterms:created>
  <dcterms:modified xsi:type="dcterms:W3CDTF">2018-05-07T17:57:00Z</dcterms:modified>
</cp:coreProperties>
</file>