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77D" w:rsidRPr="001C1503" w:rsidRDefault="0036377D" w:rsidP="001C1503">
      <w:pPr>
        <w:jc w:val="both"/>
        <w:rPr>
          <w:b/>
          <w:sz w:val="24"/>
          <w:szCs w:val="24"/>
        </w:rPr>
      </w:pPr>
    </w:p>
    <w:p w:rsidR="00B41AC1" w:rsidRPr="001C1503" w:rsidRDefault="001C1503" w:rsidP="00637061">
      <w:pPr>
        <w:jc w:val="center"/>
        <w:rPr>
          <w:color w:val="999999"/>
          <w:sz w:val="24"/>
          <w:szCs w:val="24"/>
        </w:rPr>
      </w:pPr>
      <w:r w:rsidRPr="001C1503">
        <w:rPr>
          <w:b/>
          <w:sz w:val="24"/>
          <w:szCs w:val="24"/>
        </w:rPr>
        <w:t>O Grau de Evidenciação da Demonstração dos Fluxos de Caixa nos Municípios do Estado do Pará</w:t>
      </w:r>
    </w:p>
    <w:p w:rsidR="00B41AC1" w:rsidRPr="001C1503" w:rsidRDefault="00B41AC1" w:rsidP="00637061">
      <w:pPr>
        <w:jc w:val="center"/>
        <w:rPr>
          <w:color w:val="999999"/>
          <w:sz w:val="24"/>
          <w:szCs w:val="24"/>
        </w:rPr>
      </w:pPr>
    </w:p>
    <w:p w:rsidR="001C1503" w:rsidRPr="001C1503" w:rsidRDefault="001C1503" w:rsidP="001C1503">
      <w:pPr>
        <w:jc w:val="both"/>
        <w:rPr>
          <w:color w:val="999999"/>
          <w:sz w:val="24"/>
          <w:szCs w:val="24"/>
        </w:rPr>
      </w:pPr>
    </w:p>
    <w:p w:rsidR="001C1503" w:rsidRPr="001C1503" w:rsidRDefault="001C1503" w:rsidP="009345B2">
      <w:pPr>
        <w:widowControl w:val="0"/>
        <w:jc w:val="right"/>
        <w:rPr>
          <w:b/>
          <w:sz w:val="24"/>
          <w:szCs w:val="24"/>
        </w:rPr>
      </w:pPr>
      <w:r w:rsidRPr="001C1503">
        <w:rPr>
          <w:b/>
          <w:sz w:val="24"/>
          <w:szCs w:val="24"/>
        </w:rPr>
        <w:t>Pamela Thalia de Sousa da Silveira</w:t>
      </w:r>
    </w:p>
    <w:p w:rsidR="001C1503" w:rsidRPr="001C1503" w:rsidRDefault="001C1503" w:rsidP="009345B2">
      <w:pPr>
        <w:widowControl w:val="0"/>
        <w:jc w:val="right"/>
        <w:rPr>
          <w:b/>
          <w:sz w:val="24"/>
          <w:szCs w:val="24"/>
        </w:rPr>
      </w:pPr>
      <w:r w:rsidRPr="001C1503">
        <w:rPr>
          <w:b/>
          <w:sz w:val="24"/>
          <w:szCs w:val="24"/>
        </w:rPr>
        <w:t>Universidade Federal Rural da Amazônia (UFRA)</w:t>
      </w:r>
    </w:p>
    <w:p w:rsidR="001C1503" w:rsidRPr="001C1503" w:rsidRDefault="001C1503" w:rsidP="009345B2">
      <w:pPr>
        <w:widowControl w:val="0"/>
        <w:jc w:val="right"/>
        <w:rPr>
          <w:b/>
          <w:sz w:val="24"/>
          <w:szCs w:val="24"/>
        </w:rPr>
      </w:pPr>
      <w:r w:rsidRPr="001C1503">
        <w:rPr>
          <w:b/>
          <w:sz w:val="24"/>
          <w:szCs w:val="24"/>
        </w:rPr>
        <w:t xml:space="preserve">E-mail: </w:t>
      </w:r>
      <w:hyperlink r:id="rId8" w:history="1">
        <w:r w:rsidRPr="001C1503">
          <w:rPr>
            <w:rStyle w:val="Hyperlink"/>
            <w:rFonts w:eastAsiaTheme="majorEastAsia"/>
            <w:sz w:val="24"/>
            <w:szCs w:val="24"/>
          </w:rPr>
          <w:t>pamela.silveira97@gmail.com</w:t>
        </w:r>
      </w:hyperlink>
    </w:p>
    <w:p w:rsidR="001C1503" w:rsidRPr="001C1503" w:rsidRDefault="001C1503" w:rsidP="009345B2">
      <w:pPr>
        <w:widowControl w:val="0"/>
        <w:jc w:val="right"/>
        <w:rPr>
          <w:b/>
          <w:sz w:val="24"/>
          <w:szCs w:val="24"/>
        </w:rPr>
      </w:pPr>
    </w:p>
    <w:p w:rsidR="001C1503" w:rsidRPr="001C1503" w:rsidRDefault="001C1503" w:rsidP="009345B2">
      <w:pPr>
        <w:jc w:val="right"/>
        <w:rPr>
          <w:b/>
          <w:sz w:val="24"/>
          <w:szCs w:val="24"/>
        </w:rPr>
      </w:pPr>
      <w:r w:rsidRPr="001C1503">
        <w:rPr>
          <w:b/>
          <w:sz w:val="24"/>
          <w:szCs w:val="24"/>
        </w:rPr>
        <w:t xml:space="preserve">Alexandre de Sousa Leal </w:t>
      </w:r>
    </w:p>
    <w:p w:rsidR="001C1503" w:rsidRPr="001C1503" w:rsidRDefault="001C1503" w:rsidP="009345B2">
      <w:pPr>
        <w:jc w:val="right"/>
        <w:rPr>
          <w:b/>
          <w:sz w:val="24"/>
          <w:szCs w:val="24"/>
        </w:rPr>
      </w:pPr>
      <w:r w:rsidRPr="001C1503">
        <w:rPr>
          <w:b/>
          <w:sz w:val="24"/>
          <w:szCs w:val="24"/>
        </w:rPr>
        <w:t>Universidade Federal Rural da Amazônia (UFRA)</w:t>
      </w:r>
    </w:p>
    <w:p w:rsidR="001C1503" w:rsidRPr="001C1503" w:rsidRDefault="001C1503" w:rsidP="009345B2">
      <w:pPr>
        <w:jc w:val="right"/>
        <w:rPr>
          <w:sz w:val="24"/>
          <w:szCs w:val="24"/>
        </w:rPr>
      </w:pPr>
      <w:r w:rsidRPr="001C1503">
        <w:rPr>
          <w:b/>
          <w:sz w:val="24"/>
          <w:szCs w:val="24"/>
        </w:rPr>
        <w:t xml:space="preserve">E-mail: </w:t>
      </w:r>
      <w:hyperlink r:id="rId9" w:history="1">
        <w:r w:rsidRPr="001C1503">
          <w:rPr>
            <w:rStyle w:val="Hyperlink"/>
            <w:rFonts w:eastAsiaTheme="majorEastAsia"/>
            <w:sz w:val="24"/>
            <w:szCs w:val="24"/>
          </w:rPr>
          <w:t>leal.alexandre11@gmail.com</w:t>
        </w:r>
      </w:hyperlink>
    </w:p>
    <w:p w:rsidR="001C1503" w:rsidRPr="001C1503" w:rsidRDefault="001C1503" w:rsidP="009345B2">
      <w:pPr>
        <w:widowControl w:val="0"/>
        <w:jc w:val="right"/>
        <w:rPr>
          <w:b/>
          <w:sz w:val="24"/>
          <w:szCs w:val="24"/>
        </w:rPr>
      </w:pPr>
    </w:p>
    <w:p w:rsidR="001C1503" w:rsidRPr="001C1503" w:rsidRDefault="001C1503" w:rsidP="009345B2">
      <w:pPr>
        <w:widowControl w:val="0"/>
        <w:jc w:val="right"/>
        <w:rPr>
          <w:b/>
          <w:sz w:val="24"/>
          <w:szCs w:val="24"/>
        </w:rPr>
      </w:pPr>
      <w:r w:rsidRPr="001C1503">
        <w:rPr>
          <w:b/>
          <w:sz w:val="24"/>
          <w:szCs w:val="24"/>
        </w:rPr>
        <w:t>Luann Yago Oliveira Maciel</w:t>
      </w:r>
    </w:p>
    <w:p w:rsidR="001C1503" w:rsidRPr="001C1503" w:rsidRDefault="001C1503" w:rsidP="009345B2">
      <w:pPr>
        <w:widowControl w:val="0"/>
        <w:jc w:val="right"/>
        <w:rPr>
          <w:b/>
          <w:sz w:val="24"/>
          <w:szCs w:val="24"/>
        </w:rPr>
      </w:pPr>
      <w:r w:rsidRPr="001C1503">
        <w:rPr>
          <w:b/>
          <w:sz w:val="24"/>
          <w:szCs w:val="24"/>
        </w:rPr>
        <w:t>Universidade Federal do Pará (UFPA)</w:t>
      </w:r>
    </w:p>
    <w:p w:rsidR="001C1503" w:rsidRPr="001C1503" w:rsidRDefault="00F04DFE" w:rsidP="009345B2">
      <w:pPr>
        <w:widowControl w:val="0"/>
        <w:jc w:val="right"/>
        <w:rPr>
          <w:b/>
          <w:sz w:val="24"/>
          <w:szCs w:val="24"/>
        </w:rPr>
      </w:pPr>
      <w:hyperlink r:id="rId10" w:history="1">
        <w:r w:rsidR="001C1503" w:rsidRPr="001C1503">
          <w:rPr>
            <w:rStyle w:val="Hyperlink"/>
            <w:rFonts w:eastAsiaTheme="majorEastAsia"/>
            <w:sz w:val="24"/>
            <w:szCs w:val="24"/>
          </w:rPr>
          <w:t>luannmaciel@gmail.com</w:t>
        </w:r>
      </w:hyperlink>
    </w:p>
    <w:p w:rsidR="001C1503" w:rsidRPr="001C1503" w:rsidRDefault="001C1503" w:rsidP="009345B2">
      <w:pPr>
        <w:widowControl w:val="0"/>
        <w:jc w:val="right"/>
        <w:rPr>
          <w:b/>
          <w:sz w:val="24"/>
          <w:szCs w:val="24"/>
        </w:rPr>
      </w:pPr>
    </w:p>
    <w:p w:rsidR="001C1503" w:rsidRPr="001C1503" w:rsidRDefault="001C1503" w:rsidP="009345B2">
      <w:pPr>
        <w:widowControl w:val="0"/>
        <w:jc w:val="right"/>
        <w:rPr>
          <w:b/>
          <w:sz w:val="24"/>
          <w:szCs w:val="24"/>
        </w:rPr>
      </w:pPr>
      <w:r w:rsidRPr="001C1503">
        <w:rPr>
          <w:b/>
          <w:sz w:val="24"/>
          <w:szCs w:val="24"/>
        </w:rPr>
        <w:t>Maria de Nazareth Oliveira Maciel</w:t>
      </w:r>
    </w:p>
    <w:p w:rsidR="001C1503" w:rsidRPr="001C1503" w:rsidRDefault="001C1503" w:rsidP="009345B2">
      <w:pPr>
        <w:widowControl w:val="0"/>
        <w:jc w:val="right"/>
        <w:rPr>
          <w:b/>
          <w:sz w:val="24"/>
          <w:szCs w:val="24"/>
        </w:rPr>
      </w:pPr>
      <w:r w:rsidRPr="001C1503">
        <w:rPr>
          <w:b/>
          <w:sz w:val="24"/>
          <w:szCs w:val="24"/>
        </w:rPr>
        <w:t>Universidade Federal Rural da Amazônia (UFRA)</w:t>
      </w:r>
    </w:p>
    <w:p w:rsidR="001C1503" w:rsidRPr="001C1503" w:rsidRDefault="00F04DFE" w:rsidP="009345B2">
      <w:pPr>
        <w:widowControl w:val="0"/>
        <w:jc w:val="right"/>
        <w:rPr>
          <w:sz w:val="24"/>
          <w:szCs w:val="24"/>
        </w:rPr>
      </w:pPr>
      <w:hyperlink r:id="rId11" w:history="1">
        <w:r w:rsidR="001C1503" w:rsidRPr="001C1503">
          <w:rPr>
            <w:rStyle w:val="Hyperlink"/>
            <w:rFonts w:eastAsiaTheme="majorEastAsia"/>
            <w:sz w:val="24"/>
            <w:szCs w:val="24"/>
          </w:rPr>
          <w:t>nazarethmaciel@ufra.edu.br</w:t>
        </w:r>
      </w:hyperlink>
    </w:p>
    <w:p w:rsidR="00B41AC1" w:rsidRPr="001C1503" w:rsidRDefault="00B41AC1" w:rsidP="009345B2">
      <w:pPr>
        <w:jc w:val="right"/>
        <w:rPr>
          <w:b/>
          <w:color w:val="999999"/>
          <w:sz w:val="24"/>
          <w:szCs w:val="24"/>
        </w:rPr>
      </w:pPr>
    </w:p>
    <w:p w:rsidR="001C1503" w:rsidRPr="001C1503" w:rsidRDefault="001C1503" w:rsidP="001C1503">
      <w:pPr>
        <w:jc w:val="both"/>
        <w:rPr>
          <w:b/>
          <w:color w:val="999999"/>
          <w:sz w:val="24"/>
          <w:szCs w:val="24"/>
        </w:rPr>
      </w:pPr>
    </w:p>
    <w:p w:rsidR="001C1503" w:rsidRPr="001C1503" w:rsidRDefault="00B41AC1" w:rsidP="001C1503">
      <w:pPr>
        <w:jc w:val="both"/>
        <w:rPr>
          <w:b/>
          <w:sz w:val="24"/>
          <w:szCs w:val="24"/>
        </w:rPr>
      </w:pPr>
      <w:r w:rsidRPr="001C1503">
        <w:rPr>
          <w:b/>
          <w:sz w:val="24"/>
          <w:szCs w:val="24"/>
        </w:rPr>
        <w:t xml:space="preserve">Resumo: </w:t>
      </w:r>
    </w:p>
    <w:p w:rsidR="009345B2" w:rsidRPr="001C1503" w:rsidRDefault="001C1503" w:rsidP="001C1503">
      <w:pPr>
        <w:jc w:val="both"/>
        <w:rPr>
          <w:sz w:val="24"/>
          <w:szCs w:val="24"/>
        </w:rPr>
      </w:pPr>
      <w:r w:rsidRPr="00D67FE9">
        <w:rPr>
          <w:sz w:val="24"/>
          <w:szCs w:val="24"/>
        </w:rPr>
        <w:t>O Artigo</w:t>
      </w:r>
      <w:r w:rsidR="00E26692" w:rsidRPr="00D67FE9">
        <w:rPr>
          <w:sz w:val="24"/>
          <w:szCs w:val="24"/>
        </w:rPr>
        <w:t xml:space="preserve"> teve o objetivo de responder a indagação: Qual o grau de evidenciação da demonstração de fluxo do caixa nos municípios do estado do Pará? De forma mais especifica buscou-se: a) comparar o grau de evidenciação do quadro pr</w:t>
      </w:r>
      <w:r w:rsidR="002461CB" w:rsidRPr="00D67FE9">
        <w:rPr>
          <w:sz w:val="24"/>
          <w:szCs w:val="24"/>
        </w:rPr>
        <w:t xml:space="preserve">incipal e dos acessórios da DFC, consoante o MCASP </w:t>
      </w:r>
      <w:r w:rsidR="00E26692" w:rsidRPr="00D67FE9">
        <w:rPr>
          <w:sz w:val="24"/>
          <w:szCs w:val="24"/>
        </w:rPr>
        <w:t>nos 144 municípios paraenses nos anos de 2015 e 2016.</w:t>
      </w:r>
      <w:r w:rsidR="009345B2">
        <w:rPr>
          <w:sz w:val="24"/>
          <w:szCs w:val="24"/>
        </w:rPr>
        <w:t xml:space="preserve"> </w:t>
      </w:r>
      <w:r w:rsidRPr="00D67FE9">
        <w:rPr>
          <w:sz w:val="24"/>
          <w:szCs w:val="24"/>
        </w:rPr>
        <w:t>A pesquisa foi exploratória com leitura d</w:t>
      </w:r>
      <w:r w:rsidR="009345B2">
        <w:rPr>
          <w:sz w:val="24"/>
          <w:szCs w:val="24"/>
        </w:rPr>
        <w:t xml:space="preserve">a literatura, manuais e normas numa </w:t>
      </w:r>
      <w:r w:rsidRPr="00D67FE9">
        <w:rPr>
          <w:sz w:val="24"/>
          <w:szCs w:val="24"/>
        </w:rPr>
        <w:t xml:space="preserve">abordagem quantiqualitativa, traduzindo em números opiniões e informações e classificando-as numa compreensão aos fenômenos por descrição e interpretação. </w:t>
      </w:r>
      <w:r w:rsidR="009345B2">
        <w:rPr>
          <w:sz w:val="24"/>
          <w:szCs w:val="24"/>
        </w:rPr>
        <w:t xml:space="preserve">Quanto aos </w:t>
      </w:r>
      <w:r w:rsidRPr="00D67FE9">
        <w:rPr>
          <w:sz w:val="24"/>
          <w:szCs w:val="24"/>
        </w:rPr>
        <w:t xml:space="preserve">Procedimentos técnicos </w:t>
      </w:r>
      <w:r w:rsidR="009345B2">
        <w:rPr>
          <w:sz w:val="24"/>
          <w:szCs w:val="24"/>
        </w:rPr>
        <w:t xml:space="preserve">foram </w:t>
      </w:r>
      <w:r w:rsidRPr="00D67FE9">
        <w:rPr>
          <w:sz w:val="24"/>
          <w:szCs w:val="24"/>
        </w:rPr>
        <w:t xml:space="preserve">documentais, no exame de dados primários de DFC originais, retiradas do Balanço Geral dos municípios. Para realizar a identificação foi criado um grau de evidenciação atribuindo um percentual </w:t>
      </w:r>
      <w:r w:rsidR="009345B2">
        <w:rPr>
          <w:sz w:val="24"/>
          <w:szCs w:val="24"/>
        </w:rPr>
        <w:t>para fazer um ranque dos municípios que evidenciam os</w:t>
      </w:r>
      <w:r w:rsidRPr="00D67FE9">
        <w:rPr>
          <w:sz w:val="24"/>
          <w:szCs w:val="24"/>
        </w:rPr>
        <w:t xml:space="preserve"> quadro</w:t>
      </w:r>
      <w:r w:rsidR="009345B2">
        <w:rPr>
          <w:sz w:val="24"/>
          <w:szCs w:val="24"/>
        </w:rPr>
        <w:t>s principal e acessório da</w:t>
      </w:r>
      <w:r w:rsidRPr="00D67FE9">
        <w:rPr>
          <w:sz w:val="24"/>
          <w:szCs w:val="24"/>
        </w:rPr>
        <w:t xml:space="preserve"> DFC. Os resultados estampam que no estado do Pará dos 144 municípios apenas 42 em 2015 e 47 em 2016 demonstraram a DFC completa, enquanto que os outros municípios o fazem de forma incompleta deixando de trazer informações de forma mais cristalina, efetiva e transparente, conforme MCASP, voltadas às análises, interpretação e mensuração adequada do patrimônio público e sobre a gestão pública</w:t>
      </w:r>
      <w:r w:rsidR="009345B2">
        <w:rPr>
          <w:sz w:val="24"/>
          <w:szCs w:val="24"/>
        </w:rPr>
        <w:t xml:space="preserve">. Resta concluído </w:t>
      </w:r>
      <w:r w:rsidR="00A507BC">
        <w:rPr>
          <w:sz w:val="24"/>
          <w:szCs w:val="24"/>
        </w:rPr>
        <w:t xml:space="preserve">que o </w:t>
      </w:r>
      <w:r w:rsidR="009345B2">
        <w:rPr>
          <w:sz w:val="24"/>
          <w:szCs w:val="24"/>
        </w:rPr>
        <w:t>estado esta descumprindo a</w:t>
      </w:r>
      <w:r w:rsidR="009345B2" w:rsidRPr="001C1503">
        <w:rPr>
          <w:sz w:val="24"/>
          <w:szCs w:val="24"/>
        </w:rPr>
        <w:t xml:space="preserve">s Normas Brasileiras de Contabilidade Aplicadas ao Setor Público (NBCASP) </w:t>
      </w:r>
      <w:r w:rsidR="00A507BC">
        <w:rPr>
          <w:sz w:val="24"/>
          <w:szCs w:val="24"/>
        </w:rPr>
        <w:t>Ficando evidente que o a Nova Contabilidade Aplicada ao Setor público ainda não chegou aos municípios paraenses.</w:t>
      </w:r>
    </w:p>
    <w:p w:rsidR="001C1503" w:rsidRPr="001C1503" w:rsidRDefault="001C1503" w:rsidP="001C1503">
      <w:pPr>
        <w:autoSpaceDE w:val="0"/>
        <w:autoSpaceDN w:val="0"/>
        <w:adjustRightInd w:val="0"/>
        <w:ind w:firstLine="709"/>
        <w:jc w:val="both"/>
        <w:rPr>
          <w:rFonts w:eastAsiaTheme="minorEastAsia"/>
          <w:sz w:val="24"/>
          <w:szCs w:val="24"/>
        </w:rPr>
      </w:pPr>
    </w:p>
    <w:p w:rsidR="001C1503" w:rsidRPr="001C1503" w:rsidRDefault="001C1503" w:rsidP="001C1503">
      <w:pPr>
        <w:spacing w:line="254" w:lineRule="auto"/>
        <w:jc w:val="both"/>
        <w:rPr>
          <w:sz w:val="24"/>
          <w:szCs w:val="24"/>
        </w:rPr>
      </w:pPr>
      <w:r w:rsidRPr="001C1503">
        <w:rPr>
          <w:b/>
          <w:sz w:val="24"/>
          <w:szCs w:val="24"/>
        </w:rPr>
        <w:t xml:space="preserve">Palavras-Chave: </w:t>
      </w:r>
      <w:r w:rsidRPr="001C1503">
        <w:rPr>
          <w:sz w:val="24"/>
          <w:szCs w:val="24"/>
        </w:rPr>
        <w:t xml:space="preserve">DEMONSTRAÇÃO CONTÁBIL; MUNICÍPIOS; MANUAL DE CONTABILIDADE. </w:t>
      </w:r>
    </w:p>
    <w:p w:rsidR="00B41AC1" w:rsidRPr="001C1503" w:rsidRDefault="001C1503" w:rsidP="001C1503">
      <w:pPr>
        <w:spacing w:line="254" w:lineRule="auto"/>
        <w:jc w:val="both"/>
        <w:rPr>
          <w:sz w:val="24"/>
          <w:szCs w:val="24"/>
        </w:rPr>
      </w:pPr>
      <w:r w:rsidRPr="001C1503">
        <w:rPr>
          <w:sz w:val="24"/>
          <w:szCs w:val="24"/>
        </w:rPr>
        <w:t xml:space="preserve"> </w:t>
      </w:r>
    </w:p>
    <w:p w:rsidR="001C1503" w:rsidRPr="001C1503" w:rsidRDefault="00B41AC1" w:rsidP="001C1503">
      <w:pPr>
        <w:widowControl w:val="0"/>
        <w:jc w:val="both"/>
        <w:rPr>
          <w:b/>
          <w:sz w:val="24"/>
          <w:szCs w:val="24"/>
        </w:rPr>
      </w:pPr>
      <w:r w:rsidRPr="001C1503">
        <w:rPr>
          <w:b/>
          <w:sz w:val="24"/>
          <w:szCs w:val="24"/>
        </w:rPr>
        <w:t xml:space="preserve">Linha Temática: </w:t>
      </w:r>
      <w:r w:rsidR="001C1503" w:rsidRPr="001C1503">
        <w:rPr>
          <w:rStyle w:val="Forte"/>
          <w:sz w:val="24"/>
          <w:szCs w:val="24"/>
          <w:shd w:val="clear" w:color="auto" w:fill="FFFFFF"/>
        </w:rPr>
        <w:t>Outros temas relevantes em contabilidade</w:t>
      </w:r>
      <w:r w:rsidR="001C1503" w:rsidRPr="001C1503">
        <w:rPr>
          <w:b/>
          <w:sz w:val="24"/>
          <w:szCs w:val="24"/>
        </w:rPr>
        <w:t>.</w:t>
      </w:r>
    </w:p>
    <w:p w:rsidR="00B41AC1" w:rsidRPr="001C1503" w:rsidRDefault="00B41AC1" w:rsidP="001C1503">
      <w:pPr>
        <w:jc w:val="both"/>
        <w:rPr>
          <w:sz w:val="24"/>
          <w:szCs w:val="24"/>
        </w:rPr>
      </w:pPr>
    </w:p>
    <w:p w:rsidR="00B41AC1" w:rsidRPr="001C1503" w:rsidRDefault="00B41AC1" w:rsidP="001C1503">
      <w:pPr>
        <w:jc w:val="both"/>
        <w:rPr>
          <w:sz w:val="24"/>
          <w:szCs w:val="24"/>
        </w:rPr>
      </w:pPr>
    </w:p>
    <w:p w:rsidR="001C1503" w:rsidRDefault="001C1503" w:rsidP="001C1503">
      <w:pPr>
        <w:spacing w:line="254" w:lineRule="auto"/>
        <w:jc w:val="both"/>
        <w:rPr>
          <w:sz w:val="24"/>
          <w:szCs w:val="24"/>
        </w:rPr>
      </w:pPr>
      <w:bookmarkStart w:id="0" w:name="_Hlk512260074"/>
    </w:p>
    <w:p w:rsidR="001C1503" w:rsidRPr="00E26692" w:rsidRDefault="00E26692" w:rsidP="00E26692">
      <w:pPr>
        <w:pStyle w:val="Ttulo1"/>
        <w:numPr>
          <w:ilvl w:val="0"/>
          <w:numId w:val="0"/>
        </w:numPr>
        <w:ind w:left="432" w:hanging="432"/>
        <w:rPr>
          <w:rFonts w:cs="Times New Roman"/>
          <w:szCs w:val="24"/>
        </w:rPr>
      </w:pPr>
      <w:bookmarkStart w:id="1" w:name="_GoBack"/>
      <w:bookmarkEnd w:id="1"/>
      <w:r w:rsidRPr="001C1503">
        <w:rPr>
          <w:rFonts w:cs="Times New Roman"/>
          <w:caps w:val="0"/>
          <w:szCs w:val="24"/>
        </w:rPr>
        <w:lastRenderedPageBreak/>
        <w:t xml:space="preserve">Introdução </w:t>
      </w:r>
    </w:p>
    <w:p w:rsidR="001C1503" w:rsidRPr="001C1503" w:rsidRDefault="001C1503" w:rsidP="001C1503">
      <w:pPr>
        <w:ind w:firstLine="709"/>
        <w:jc w:val="both"/>
        <w:rPr>
          <w:sz w:val="24"/>
          <w:szCs w:val="24"/>
        </w:rPr>
      </w:pPr>
      <w:r w:rsidRPr="001C1503">
        <w:rPr>
          <w:sz w:val="24"/>
          <w:szCs w:val="24"/>
        </w:rPr>
        <w:t>O contexto econômico global exige adoção de conceitos e procedimentos da contabilidade governamental, reconhecidos internacionalmente. O Esforço brasileiro tem sido de buscar padronizar seus procedimentos no rastro da transparência, confiança e comparabilidade das demonstrações contábeis (Klein &amp; Souza, 2017). Para Takamatsu &amp; Fávelo (2017) os dados c</w:t>
      </w:r>
      <w:r w:rsidR="009B01C0">
        <w:rPr>
          <w:sz w:val="24"/>
          <w:szCs w:val="24"/>
        </w:rPr>
        <w:t xml:space="preserve">ontábeis são mais informativos e transparentes </w:t>
      </w:r>
      <w:r w:rsidRPr="001C1503">
        <w:rPr>
          <w:sz w:val="24"/>
          <w:szCs w:val="24"/>
        </w:rPr>
        <w:t xml:space="preserve">quando seguem as normas internacionais.  </w:t>
      </w:r>
    </w:p>
    <w:p w:rsidR="001C1503" w:rsidRPr="001C1503" w:rsidRDefault="001C1503" w:rsidP="001C1503">
      <w:pPr>
        <w:ind w:firstLine="709"/>
        <w:jc w:val="both"/>
        <w:rPr>
          <w:sz w:val="24"/>
          <w:szCs w:val="24"/>
          <w:u w:val="single"/>
        </w:rPr>
      </w:pPr>
      <w:r w:rsidRPr="001C1503">
        <w:rPr>
          <w:sz w:val="24"/>
          <w:szCs w:val="24"/>
        </w:rPr>
        <w:t>No Brasil o processo de convergência das normas públicas ao</w:t>
      </w:r>
      <w:r w:rsidR="009B01C0">
        <w:rPr>
          <w:sz w:val="24"/>
          <w:szCs w:val="24"/>
        </w:rPr>
        <w:t xml:space="preserve">s padrões internacionais inicia </w:t>
      </w:r>
      <w:r w:rsidRPr="001C1503">
        <w:rPr>
          <w:sz w:val="24"/>
          <w:szCs w:val="24"/>
        </w:rPr>
        <w:t>no ano de 2007. Em 2008, a Portaria MF nº 184 atribuiu à Secretaria do Tesouro Nacional (STN</w:t>
      </w:r>
      <w:bookmarkStart w:id="2" w:name="OLE_LINK6"/>
      <w:bookmarkStart w:id="3" w:name="OLE_LINK5"/>
      <w:bookmarkStart w:id="4" w:name="OLE_LINK4"/>
      <w:r w:rsidRPr="001C1503">
        <w:rPr>
          <w:sz w:val="24"/>
          <w:szCs w:val="24"/>
        </w:rPr>
        <w:t>)</w:t>
      </w:r>
      <w:bookmarkEnd w:id="2"/>
      <w:bookmarkEnd w:id="3"/>
      <w:bookmarkEnd w:id="4"/>
      <w:r w:rsidRPr="001C1503">
        <w:rPr>
          <w:sz w:val="24"/>
          <w:szCs w:val="24"/>
        </w:rPr>
        <w:t xml:space="preserve"> a função de intensificar e ampliar as ações com vistas ao processo de convergência, a partir da elaboração de normativos, manuais, instruções </w:t>
      </w:r>
      <w:r w:rsidR="009B01C0">
        <w:rPr>
          <w:sz w:val="24"/>
          <w:szCs w:val="24"/>
        </w:rPr>
        <w:t>e procedimentos contábeis. O marco de mudança foi a implantação do</w:t>
      </w:r>
      <w:r w:rsidRPr="001C1503">
        <w:rPr>
          <w:sz w:val="24"/>
          <w:szCs w:val="24"/>
        </w:rPr>
        <w:t xml:space="preserve"> Plano de Contas Nacional</w:t>
      </w:r>
      <w:r w:rsidR="009B01C0">
        <w:rPr>
          <w:sz w:val="24"/>
          <w:szCs w:val="24"/>
        </w:rPr>
        <w:t xml:space="preserve"> (PCASP) e do</w:t>
      </w:r>
      <w:r w:rsidR="009B01C0" w:rsidRPr="009B01C0">
        <w:rPr>
          <w:sz w:val="24"/>
          <w:szCs w:val="24"/>
        </w:rPr>
        <w:t xml:space="preserve"> </w:t>
      </w:r>
      <w:r w:rsidR="009B01C0" w:rsidRPr="001C1503">
        <w:rPr>
          <w:sz w:val="24"/>
          <w:szCs w:val="24"/>
        </w:rPr>
        <w:t>Manual de Contabilid</w:t>
      </w:r>
      <w:r w:rsidR="009B01C0">
        <w:rPr>
          <w:sz w:val="24"/>
          <w:szCs w:val="24"/>
        </w:rPr>
        <w:t>ade Aplicada</w:t>
      </w:r>
      <w:r w:rsidR="009B01C0" w:rsidRPr="001C1503">
        <w:rPr>
          <w:sz w:val="24"/>
          <w:szCs w:val="24"/>
        </w:rPr>
        <w:t xml:space="preserve"> ao Setor Público</w:t>
      </w:r>
      <w:r w:rsidR="009B01C0">
        <w:rPr>
          <w:sz w:val="24"/>
          <w:szCs w:val="24"/>
        </w:rPr>
        <w:t xml:space="preserve"> (MCASP)</w:t>
      </w:r>
      <w:r w:rsidRPr="001C1503">
        <w:rPr>
          <w:sz w:val="24"/>
          <w:szCs w:val="24"/>
        </w:rPr>
        <w:t xml:space="preserve"> (Meneses &amp; Peter, 2011; Ribeiro &amp; Bizerra, 2011).  </w:t>
      </w:r>
    </w:p>
    <w:p w:rsidR="008D26C7" w:rsidRDefault="001C1503" w:rsidP="008D26C7">
      <w:pPr>
        <w:ind w:firstLine="709"/>
        <w:jc w:val="both"/>
        <w:rPr>
          <w:sz w:val="24"/>
          <w:szCs w:val="24"/>
        </w:rPr>
      </w:pPr>
      <w:r w:rsidRPr="001C1503">
        <w:rPr>
          <w:sz w:val="24"/>
          <w:szCs w:val="24"/>
        </w:rPr>
        <w:t xml:space="preserve">O </w:t>
      </w:r>
      <w:r w:rsidR="000E2A54">
        <w:rPr>
          <w:sz w:val="24"/>
          <w:szCs w:val="24"/>
        </w:rPr>
        <w:t xml:space="preserve">MCASP </w:t>
      </w:r>
      <w:r w:rsidR="009B01C0">
        <w:rPr>
          <w:sz w:val="24"/>
          <w:szCs w:val="24"/>
        </w:rPr>
        <w:t>inaugura um olhar novo sobre os modelos e padrões até aquele momento conhecidos e usados no setor público brasileiro. Sua missão era mesmo inovar padrões de normas e de modelos, com a finalidade de aproximar os padrões dos relatórios, demonstrativos contábeis aos modelos normatizados</w:t>
      </w:r>
      <w:r w:rsidR="000E2A54">
        <w:rPr>
          <w:sz w:val="24"/>
          <w:szCs w:val="24"/>
        </w:rPr>
        <w:t xml:space="preserve"> </w:t>
      </w:r>
      <w:r w:rsidR="009B01C0">
        <w:rPr>
          <w:sz w:val="24"/>
          <w:szCs w:val="24"/>
        </w:rPr>
        <w:t>internacionalmente.</w:t>
      </w:r>
      <w:r w:rsidRPr="001C1503">
        <w:rPr>
          <w:sz w:val="24"/>
          <w:szCs w:val="24"/>
        </w:rPr>
        <w:t xml:space="preserve"> </w:t>
      </w:r>
      <w:r w:rsidR="009B01C0">
        <w:rPr>
          <w:sz w:val="24"/>
          <w:szCs w:val="24"/>
        </w:rPr>
        <w:t>Tais mudanças inauguram exigências de</w:t>
      </w:r>
      <w:r w:rsidR="00A95B9A">
        <w:rPr>
          <w:sz w:val="24"/>
          <w:szCs w:val="24"/>
        </w:rPr>
        <w:t xml:space="preserve"> </w:t>
      </w:r>
      <w:r w:rsidR="009B01C0">
        <w:rPr>
          <w:sz w:val="24"/>
          <w:szCs w:val="24"/>
        </w:rPr>
        <w:t>novos relatórios serem de utilização obrigatória pelos Entes federados como é o caso</w:t>
      </w:r>
      <w:r w:rsidR="00A95B9A">
        <w:rPr>
          <w:sz w:val="24"/>
          <w:szCs w:val="24"/>
        </w:rPr>
        <w:t xml:space="preserve"> </w:t>
      </w:r>
      <w:r w:rsidR="009B01C0">
        <w:rPr>
          <w:sz w:val="24"/>
          <w:szCs w:val="24"/>
        </w:rPr>
        <w:t>d</w:t>
      </w:r>
      <w:r w:rsidRPr="001C1503">
        <w:rPr>
          <w:sz w:val="24"/>
          <w:szCs w:val="24"/>
        </w:rPr>
        <w:t>a D</w:t>
      </w:r>
      <w:r w:rsidR="009B01C0">
        <w:rPr>
          <w:sz w:val="24"/>
          <w:szCs w:val="24"/>
        </w:rPr>
        <w:t>emonstr</w:t>
      </w:r>
      <w:r w:rsidR="00A95B9A">
        <w:rPr>
          <w:sz w:val="24"/>
          <w:szCs w:val="24"/>
        </w:rPr>
        <w:t>ação dos Fluxos de Caixa (DFC). Em 2008 a</w:t>
      </w:r>
      <w:r w:rsidRPr="001C1503">
        <w:rPr>
          <w:sz w:val="24"/>
          <w:szCs w:val="24"/>
        </w:rPr>
        <w:t xml:space="preserve"> resolução do CFC nº 1.133 </w:t>
      </w:r>
      <w:r w:rsidR="00A95B9A">
        <w:rPr>
          <w:sz w:val="24"/>
          <w:szCs w:val="24"/>
        </w:rPr>
        <w:t>aprova</w:t>
      </w:r>
      <w:r w:rsidRPr="001C1503">
        <w:rPr>
          <w:sz w:val="24"/>
          <w:szCs w:val="24"/>
        </w:rPr>
        <w:t xml:space="preserve"> a NBC T </w:t>
      </w:r>
      <w:r w:rsidR="00A95B9A">
        <w:rPr>
          <w:sz w:val="24"/>
          <w:szCs w:val="24"/>
        </w:rPr>
        <w:t>16.6 – Demonstrações contábeis tendo em seu bojo além das demonstrações de praxe como Balanço Orçamentário, Balanço F</w:t>
      </w:r>
      <w:r w:rsidR="00711A9B">
        <w:rPr>
          <w:sz w:val="24"/>
          <w:szCs w:val="24"/>
        </w:rPr>
        <w:t xml:space="preserve">inanceiro e Balanço Patrimonial e outros, </w:t>
      </w:r>
      <w:r w:rsidR="00A95B9A">
        <w:rPr>
          <w:sz w:val="24"/>
          <w:szCs w:val="24"/>
        </w:rPr>
        <w:t>a exigência de elaboração de da DFC</w:t>
      </w:r>
      <w:r w:rsidR="00A95B9A" w:rsidRPr="00A95B9A">
        <w:rPr>
          <w:sz w:val="24"/>
          <w:szCs w:val="24"/>
        </w:rPr>
        <w:t xml:space="preserve"> </w:t>
      </w:r>
      <w:r w:rsidR="00A95B9A">
        <w:rPr>
          <w:sz w:val="24"/>
          <w:szCs w:val="24"/>
        </w:rPr>
        <w:t>que oferece de forma</w:t>
      </w:r>
      <w:r w:rsidR="008D26C7">
        <w:rPr>
          <w:sz w:val="24"/>
          <w:szCs w:val="24"/>
        </w:rPr>
        <w:t xml:space="preserve"> objetiva e clara as</w:t>
      </w:r>
      <w:r w:rsidR="00A95B9A">
        <w:rPr>
          <w:sz w:val="24"/>
          <w:szCs w:val="24"/>
        </w:rPr>
        <w:t xml:space="preserve"> informações </w:t>
      </w:r>
      <w:r w:rsidR="00A95B9A" w:rsidRPr="001C1503">
        <w:rPr>
          <w:sz w:val="24"/>
          <w:szCs w:val="24"/>
        </w:rPr>
        <w:t>financeira</w:t>
      </w:r>
      <w:r w:rsidR="00A95B9A">
        <w:rPr>
          <w:sz w:val="24"/>
          <w:szCs w:val="24"/>
        </w:rPr>
        <w:t>s</w:t>
      </w:r>
      <w:r w:rsidR="00A95B9A" w:rsidRPr="001C1503">
        <w:rPr>
          <w:sz w:val="24"/>
          <w:szCs w:val="24"/>
        </w:rPr>
        <w:t xml:space="preserve"> da</w:t>
      </w:r>
      <w:r w:rsidR="00A95B9A">
        <w:rPr>
          <w:sz w:val="24"/>
          <w:szCs w:val="24"/>
        </w:rPr>
        <w:t>s</w:t>
      </w:r>
      <w:r w:rsidR="00A95B9A" w:rsidRPr="001C1503">
        <w:rPr>
          <w:sz w:val="24"/>
          <w:szCs w:val="24"/>
        </w:rPr>
        <w:t xml:space="preserve"> entidade</w:t>
      </w:r>
      <w:r w:rsidR="008D26C7">
        <w:rPr>
          <w:sz w:val="24"/>
          <w:szCs w:val="24"/>
        </w:rPr>
        <w:t xml:space="preserve">s. </w:t>
      </w:r>
    </w:p>
    <w:p w:rsidR="001C1503" w:rsidRPr="001C1503" w:rsidRDefault="008D26C7" w:rsidP="008D26C7">
      <w:pPr>
        <w:ind w:firstLine="709"/>
        <w:jc w:val="both"/>
        <w:rPr>
          <w:sz w:val="24"/>
          <w:szCs w:val="24"/>
        </w:rPr>
      </w:pPr>
      <w:r>
        <w:rPr>
          <w:sz w:val="24"/>
          <w:szCs w:val="24"/>
        </w:rPr>
        <w:t xml:space="preserve">Em 2013 </w:t>
      </w:r>
      <w:r w:rsidRPr="001C1503">
        <w:rPr>
          <w:sz w:val="24"/>
          <w:szCs w:val="24"/>
        </w:rPr>
        <w:t xml:space="preserve">a Secretaria do Tesouro Nacional por meio </w:t>
      </w:r>
      <w:r>
        <w:rPr>
          <w:sz w:val="24"/>
          <w:szCs w:val="24"/>
        </w:rPr>
        <w:t xml:space="preserve">do MCASP tornou obrigatória a </w:t>
      </w:r>
      <w:r w:rsidRPr="001C1503">
        <w:rPr>
          <w:sz w:val="24"/>
          <w:szCs w:val="24"/>
        </w:rPr>
        <w:t>divulgação</w:t>
      </w:r>
      <w:r>
        <w:rPr>
          <w:sz w:val="24"/>
          <w:szCs w:val="24"/>
        </w:rPr>
        <w:t xml:space="preserve"> da DFC pelos entes da Federação que deve ser elaborada em</w:t>
      </w:r>
      <w:r w:rsidR="00A95B9A">
        <w:rPr>
          <w:sz w:val="24"/>
          <w:szCs w:val="24"/>
        </w:rPr>
        <w:t xml:space="preserve"> cinco </w:t>
      </w:r>
      <w:r>
        <w:rPr>
          <w:sz w:val="24"/>
          <w:szCs w:val="24"/>
        </w:rPr>
        <w:t xml:space="preserve">relatórios </w:t>
      </w:r>
      <w:r w:rsidR="00A95B9A">
        <w:rPr>
          <w:sz w:val="24"/>
          <w:szCs w:val="24"/>
        </w:rPr>
        <w:t>obrigatórios de confecção, intitulados quadros,</w:t>
      </w:r>
      <w:r w:rsidR="00A95B9A" w:rsidRPr="001C1503">
        <w:rPr>
          <w:sz w:val="24"/>
          <w:szCs w:val="24"/>
        </w:rPr>
        <w:t xml:space="preserve"> um quadro principal e quatro quadros acessórios </w:t>
      </w:r>
      <w:r w:rsidR="00A95B9A">
        <w:rPr>
          <w:sz w:val="24"/>
          <w:szCs w:val="24"/>
        </w:rPr>
        <w:t xml:space="preserve">para </w:t>
      </w:r>
      <w:r w:rsidR="00A95B9A" w:rsidRPr="001C1503">
        <w:rPr>
          <w:sz w:val="24"/>
          <w:szCs w:val="24"/>
        </w:rPr>
        <w:t xml:space="preserve">detalhar contas que se encontram no fluxo de caixa operacional. </w:t>
      </w:r>
      <w:r>
        <w:rPr>
          <w:sz w:val="24"/>
          <w:szCs w:val="24"/>
        </w:rPr>
        <w:t xml:space="preserve"> O objetivo da DFC é</w:t>
      </w:r>
      <w:r w:rsidR="001C1503" w:rsidRPr="001C1503">
        <w:rPr>
          <w:sz w:val="24"/>
          <w:szCs w:val="24"/>
        </w:rPr>
        <w:t xml:space="preserve"> evidencia</w:t>
      </w:r>
      <w:r>
        <w:rPr>
          <w:sz w:val="24"/>
          <w:szCs w:val="24"/>
        </w:rPr>
        <w:t xml:space="preserve">r variações financeiras e </w:t>
      </w:r>
      <w:r w:rsidR="001C1503" w:rsidRPr="001C1503">
        <w:rPr>
          <w:sz w:val="24"/>
          <w:szCs w:val="24"/>
        </w:rPr>
        <w:t xml:space="preserve">movimentações relacionadas ao caixa e aos equivalentes de caixa (Brasil, 2017). Campos (2014) destaca </w:t>
      </w:r>
      <w:r>
        <w:rPr>
          <w:sz w:val="24"/>
          <w:szCs w:val="24"/>
        </w:rPr>
        <w:t xml:space="preserve">o </w:t>
      </w:r>
      <w:r w:rsidR="001C1503" w:rsidRPr="001C1503">
        <w:rPr>
          <w:sz w:val="24"/>
          <w:szCs w:val="24"/>
        </w:rPr>
        <w:t xml:space="preserve">fato </w:t>
      </w:r>
      <w:r w:rsidRPr="001C1503">
        <w:rPr>
          <w:sz w:val="24"/>
          <w:szCs w:val="24"/>
        </w:rPr>
        <w:t>de a demonstração evidenciar</w:t>
      </w:r>
      <w:r>
        <w:rPr>
          <w:sz w:val="24"/>
          <w:szCs w:val="24"/>
        </w:rPr>
        <w:t xml:space="preserve"> a movimentação de caixa </w:t>
      </w:r>
      <w:r w:rsidR="001C1503" w:rsidRPr="001C1503">
        <w:rPr>
          <w:sz w:val="24"/>
          <w:szCs w:val="24"/>
        </w:rPr>
        <w:t>permite a visualização das aplicações de recursos públicos e das ações governamentais, possibilitando uma gestão transparente.</w:t>
      </w:r>
    </w:p>
    <w:p w:rsidR="001C1503" w:rsidRDefault="001C1503" w:rsidP="001C1503">
      <w:pPr>
        <w:ind w:firstLine="709"/>
        <w:jc w:val="both"/>
        <w:rPr>
          <w:sz w:val="24"/>
          <w:szCs w:val="24"/>
        </w:rPr>
      </w:pPr>
      <w:r w:rsidRPr="001C1503">
        <w:rPr>
          <w:sz w:val="24"/>
          <w:szCs w:val="24"/>
        </w:rPr>
        <w:t xml:space="preserve">Suas informações subsidiam o controle financeiro do período, que por sua vez auxilia </w:t>
      </w:r>
      <w:r w:rsidR="00694F2F">
        <w:rPr>
          <w:sz w:val="24"/>
          <w:szCs w:val="24"/>
        </w:rPr>
        <w:t xml:space="preserve">no dever de </w:t>
      </w:r>
      <w:r w:rsidRPr="001C1503">
        <w:rPr>
          <w:sz w:val="24"/>
          <w:szCs w:val="24"/>
        </w:rPr>
        <w:t xml:space="preserve">prestação de </w:t>
      </w:r>
      <w:r w:rsidR="00514F08">
        <w:rPr>
          <w:sz w:val="24"/>
          <w:szCs w:val="24"/>
        </w:rPr>
        <w:t xml:space="preserve">contas à sociedade sobre as movimentações de entradas e saídas de recursos públicos no Caixa e Equivalentes de </w:t>
      </w:r>
      <w:r w:rsidR="00694F2F">
        <w:rPr>
          <w:sz w:val="24"/>
          <w:szCs w:val="24"/>
        </w:rPr>
        <w:t>C</w:t>
      </w:r>
      <w:r w:rsidR="00514F08">
        <w:rPr>
          <w:sz w:val="24"/>
          <w:szCs w:val="24"/>
        </w:rPr>
        <w:t xml:space="preserve">aixa da Entidade </w:t>
      </w:r>
      <w:r w:rsidRPr="001C1503">
        <w:rPr>
          <w:sz w:val="24"/>
          <w:szCs w:val="24"/>
        </w:rPr>
        <w:t xml:space="preserve">(Brasil, 2017). Silva e Macedo (1998) afirmam que a falta do controle oferece um viés para o desperdício e uso inadequado de recursos, até mesmo atos ilícitos como: desvios, improbidade administrativa e corrupção no setor público. </w:t>
      </w:r>
    </w:p>
    <w:p w:rsidR="007410D8" w:rsidRDefault="007410D8" w:rsidP="007410D8">
      <w:pPr>
        <w:ind w:firstLine="709"/>
        <w:jc w:val="both"/>
        <w:rPr>
          <w:sz w:val="24"/>
          <w:szCs w:val="24"/>
        </w:rPr>
      </w:pPr>
      <w:r w:rsidRPr="001C1503">
        <w:rPr>
          <w:sz w:val="24"/>
          <w:szCs w:val="24"/>
        </w:rPr>
        <w:t xml:space="preserve">Nessa linha de raciocínio o objetivo da pesquisa é responder: Qual o grau de evidenciação da demonstração de fluxo do caixa nos municípios do estado do Pará? Tendo como objetivo comparar o grau de evidenciação do quadro principal e dos acessórios da DFC </w:t>
      </w:r>
      <w:r w:rsidR="002461CB">
        <w:rPr>
          <w:sz w:val="24"/>
          <w:szCs w:val="24"/>
        </w:rPr>
        <w:t xml:space="preserve">consoante o MCAS, </w:t>
      </w:r>
      <w:r w:rsidRPr="001C1503">
        <w:rPr>
          <w:sz w:val="24"/>
          <w:szCs w:val="24"/>
        </w:rPr>
        <w:t>nos 144 municípios paraenses nos anos de 2015 e 2016.</w:t>
      </w:r>
      <w:r>
        <w:rPr>
          <w:sz w:val="24"/>
          <w:szCs w:val="24"/>
        </w:rPr>
        <w:t xml:space="preserve"> </w:t>
      </w:r>
    </w:p>
    <w:p w:rsidR="001C1503" w:rsidRPr="001C1503" w:rsidRDefault="002461CB" w:rsidP="002461CB">
      <w:pPr>
        <w:ind w:firstLine="709"/>
        <w:jc w:val="both"/>
        <w:rPr>
          <w:sz w:val="24"/>
          <w:szCs w:val="24"/>
        </w:rPr>
      </w:pPr>
      <w:r>
        <w:rPr>
          <w:sz w:val="24"/>
          <w:szCs w:val="24"/>
        </w:rPr>
        <w:t xml:space="preserve">A pesquisa se justifica pela falta de analises sobre a evidenciação desta nova demonstração nos municípios do estado do Pará. </w:t>
      </w:r>
      <w:r w:rsidR="001C1503" w:rsidRPr="001C1503">
        <w:rPr>
          <w:sz w:val="24"/>
          <w:szCs w:val="24"/>
        </w:rPr>
        <w:t xml:space="preserve">Meneses (2011) </w:t>
      </w:r>
      <w:r w:rsidR="007410D8">
        <w:rPr>
          <w:sz w:val="24"/>
          <w:szCs w:val="24"/>
        </w:rPr>
        <w:t xml:space="preserve">investigou </w:t>
      </w:r>
      <w:r w:rsidR="001C1503" w:rsidRPr="001C1503">
        <w:rPr>
          <w:sz w:val="24"/>
          <w:szCs w:val="24"/>
        </w:rPr>
        <w:t>as demonstrações contábeis publicadas pelos Estados brasileiros e pela União nos anos de 20</w:t>
      </w:r>
      <w:r w:rsidR="007410D8">
        <w:rPr>
          <w:sz w:val="24"/>
          <w:szCs w:val="24"/>
        </w:rPr>
        <w:t>09 e 2010 a fim de se observar seus níveis</w:t>
      </w:r>
      <w:r w:rsidR="001C1503" w:rsidRPr="001C1503">
        <w:rPr>
          <w:sz w:val="24"/>
          <w:szCs w:val="24"/>
        </w:rPr>
        <w:t xml:space="preserve"> de evidenciação </w:t>
      </w:r>
      <w:r w:rsidR="007410D8">
        <w:rPr>
          <w:sz w:val="24"/>
          <w:szCs w:val="24"/>
        </w:rPr>
        <w:t xml:space="preserve">e </w:t>
      </w:r>
      <w:r w:rsidR="001C1503" w:rsidRPr="001C1503">
        <w:rPr>
          <w:sz w:val="24"/>
          <w:szCs w:val="24"/>
        </w:rPr>
        <w:t>conformidade com o processo de convergência</w:t>
      </w:r>
      <w:r>
        <w:rPr>
          <w:sz w:val="24"/>
          <w:szCs w:val="24"/>
        </w:rPr>
        <w:t xml:space="preserve">. </w:t>
      </w:r>
      <w:r w:rsidR="001C1503" w:rsidRPr="001C1503">
        <w:rPr>
          <w:sz w:val="24"/>
          <w:szCs w:val="24"/>
        </w:rPr>
        <w:t xml:space="preserve">Santos et al (2017) </w:t>
      </w:r>
      <w:r>
        <w:rPr>
          <w:sz w:val="24"/>
          <w:szCs w:val="24"/>
        </w:rPr>
        <w:t xml:space="preserve">fizeram pesquisa sobre </w:t>
      </w:r>
      <w:r w:rsidR="001C1503" w:rsidRPr="001C1503">
        <w:rPr>
          <w:sz w:val="24"/>
          <w:szCs w:val="24"/>
        </w:rPr>
        <w:t xml:space="preserve">demonstrações contábeis dos municípios do Estado de Rondônia nos anos de 2013 e 2014 para se verificar o nível de evidenciação das demonstrações contábeis em consonância ao processo de convergência das </w:t>
      </w:r>
      <w:r w:rsidR="001C1503" w:rsidRPr="001C1503">
        <w:rPr>
          <w:sz w:val="24"/>
          <w:szCs w:val="24"/>
        </w:rPr>
        <w:lastRenderedPageBreak/>
        <w:t>Normas de Contabilidade Aplicadas ao seto</w:t>
      </w:r>
      <w:r>
        <w:rPr>
          <w:sz w:val="24"/>
          <w:szCs w:val="24"/>
        </w:rPr>
        <w:t>r Público. A investigação proposta neste artigo é</w:t>
      </w:r>
      <w:r w:rsidR="001C1503" w:rsidRPr="001C1503">
        <w:rPr>
          <w:sz w:val="24"/>
          <w:szCs w:val="24"/>
        </w:rPr>
        <w:t xml:space="preserve"> realizar uma pesquisa regional com ênfase na evidenciação da Demonstração dos Fluxos de</w:t>
      </w:r>
      <w:r>
        <w:rPr>
          <w:sz w:val="24"/>
          <w:szCs w:val="24"/>
        </w:rPr>
        <w:t xml:space="preserve"> Caixa dos municípios Paraenses, considerando as exigências do MCASP.</w:t>
      </w:r>
    </w:p>
    <w:p w:rsidR="002461CB" w:rsidRDefault="002461CB" w:rsidP="007F1B5E">
      <w:pPr>
        <w:ind w:firstLine="709"/>
        <w:jc w:val="both"/>
        <w:rPr>
          <w:sz w:val="24"/>
          <w:szCs w:val="24"/>
        </w:rPr>
      </w:pPr>
      <w:r>
        <w:rPr>
          <w:sz w:val="24"/>
          <w:szCs w:val="24"/>
        </w:rPr>
        <w:t>O</w:t>
      </w:r>
      <w:r w:rsidR="001C1503" w:rsidRPr="001C1503">
        <w:rPr>
          <w:sz w:val="24"/>
          <w:szCs w:val="24"/>
        </w:rPr>
        <w:t xml:space="preserve"> tema tem relevância </w:t>
      </w:r>
      <w:r>
        <w:rPr>
          <w:sz w:val="24"/>
          <w:szCs w:val="24"/>
        </w:rPr>
        <w:t>social, por ser uma peça parte</w:t>
      </w:r>
      <w:r w:rsidR="001C1503" w:rsidRPr="001C1503">
        <w:rPr>
          <w:sz w:val="24"/>
          <w:szCs w:val="24"/>
        </w:rPr>
        <w:t xml:space="preserve"> da prestação de contas anual</w:t>
      </w:r>
      <w:r>
        <w:rPr>
          <w:sz w:val="24"/>
          <w:szCs w:val="24"/>
        </w:rPr>
        <w:t xml:space="preserve"> dos prefeitos cuja utilização e feitura correta</w:t>
      </w:r>
      <w:r w:rsidR="001C1503" w:rsidRPr="001C1503">
        <w:rPr>
          <w:sz w:val="24"/>
          <w:szCs w:val="24"/>
        </w:rPr>
        <w:t xml:space="preserve">, permite clareza, transparência e evidência para </w:t>
      </w:r>
      <w:r>
        <w:rPr>
          <w:sz w:val="24"/>
          <w:szCs w:val="24"/>
        </w:rPr>
        <w:t>das</w:t>
      </w:r>
      <w:r w:rsidR="00AD79EB">
        <w:rPr>
          <w:sz w:val="24"/>
          <w:szCs w:val="24"/>
        </w:rPr>
        <w:t xml:space="preserve"> </w:t>
      </w:r>
      <w:r>
        <w:rPr>
          <w:sz w:val="24"/>
          <w:szCs w:val="24"/>
        </w:rPr>
        <w:t>análise</w:t>
      </w:r>
      <w:r w:rsidR="00AD79EB">
        <w:rPr>
          <w:sz w:val="24"/>
          <w:szCs w:val="24"/>
        </w:rPr>
        <w:t>s</w:t>
      </w:r>
      <w:r>
        <w:rPr>
          <w:sz w:val="24"/>
          <w:szCs w:val="24"/>
        </w:rPr>
        <w:t xml:space="preserve"> sobre atuação dos gestores. </w:t>
      </w:r>
      <w:r w:rsidR="001C1503" w:rsidRPr="001C1503">
        <w:rPr>
          <w:sz w:val="24"/>
          <w:szCs w:val="24"/>
        </w:rPr>
        <w:t>Santos et al (2017) a</w:t>
      </w:r>
      <w:r>
        <w:rPr>
          <w:sz w:val="24"/>
          <w:szCs w:val="24"/>
        </w:rPr>
        <w:t>firma que tratar das demonstrações contábeis é uma</w:t>
      </w:r>
      <w:r w:rsidR="001C1503" w:rsidRPr="001C1503">
        <w:rPr>
          <w:sz w:val="24"/>
          <w:szCs w:val="24"/>
        </w:rPr>
        <w:t xml:space="preserve"> temática </w:t>
      </w:r>
      <w:r>
        <w:rPr>
          <w:sz w:val="24"/>
          <w:szCs w:val="24"/>
        </w:rPr>
        <w:t xml:space="preserve">importante para </w:t>
      </w:r>
      <w:r w:rsidR="001C1503" w:rsidRPr="001C1503">
        <w:rPr>
          <w:sz w:val="24"/>
          <w:szCs w:val="24"/>
        </w:rPr>
        <w:t>dissemina</w:t>
      </w:r>
      <w:r>
        <w:rPr>
          <w:sz w:val="24"/>
          <w:szCs w:val="24"/>
        </w:rPr>
        <w:t>r</w:t>
      </w:r>
      <w:r w:rsidR="001C1503" w:rsidRPr="001C1503">
        <w:rPr>
          <w:sz w:val="24"/>
          <w:szCs w:val="24"/>
        </w:rPr>
        <w:t xml:space="preserve"> informações aos usuários sobre as obrigações do Estado em prestar contas.</w:t>
      </w:r>
      <w:r w:rsidRPr="002461CB">
        <w:rPr>
          <w:sz w:val="24"/>
          <w:szCs w:val="24"/>
        </w:rPr>
        <w:t xml:space="preserve"> </w:t>
      </w:r>
      <w:r>
        <w:rPr>
          <w:sz w:val="24"/>
          <w:szCs w:val="24"/>
        </w:rPr>
        <w:t xml:space="preserve">A temática ainda terá o condão de </w:t>
      </w:r>
      <w:r w:rsidRPr="001C1503">
        <w:rPr>
          <w:sz w:val="24"/>
          <w:szCs w:val="24"/>
        </w:rPr>
        <w:t>diminuir a escassez de produções ci</w:t>
      </w:r>
      <w:r>
        <w:rPr>
          <w:sz w:val="24"/>
          <w:szCs w:val="24"/>
        </w:rPr>
        <w:t xml:space="preserve">entificas sobre o tema </w:t>
      </w:r>
      <w:r w:rsidR="007F1B5E">
        <w:rPr>
          <w:sz w:val="24"/>
          <w:szCs w:val="24"/>
        </w:rPr>
        <w:t xml:space="preserve">numa abordagem diferenciada </w:t>
      </w:r>
      <w:r w:rsidR="001C1503" w:rsidRPr="001C1503">
        <w:rPr>
          <w:sz w:val="24"/>
          <w:szCs w:val="24"/>
        </w:rPr>
        <w:t>das encontradas em Menese</w:t>
      </w:r>
      <w:r w:rsidR="007F1B5E">
        <w:rPr>
          <w:sz w:val="24"/>
          <w:szCs w:val="24"/>
        </w:rPr>
        <w:t>s (2011) e Santos et al (2017)</w:t>
      </w:r>
      <w:r w:rsidR="00AD79EB">
        <w:rPr>
          <w:sz w:val="24"/>
          <w:szCs w:val="24"/>
        </w:rPr>
        <w:t xml:space="preserve"> </w:t>
      </w:r>
      <w:r w:rsidR="007F1B5E">
        <w:rPr>
          <w:sz w:val="24"/>
          <w:szCs w:val="24"/>
        </w:rPr>
        <w:t>com análise da integralidade de um estado com 144 municípios dividido em regiões intermediárias singulares e divergentes entre si. A</w:t>
      </w:r>
      <w:r w:rsidR="001C1503" w:rsidRPr="001C1503">
        <w:rPr>
          <w:sz w:val="24"/>
          <w:szCs w:val="24"/>
        </w:rPr>
        <w:t>té a presente data, não existe</w:t>
      </w:r>
      <w:r w:rsidR="007F1B5E">
        <w:rPr>
          <w:sz w:val="24"/>
          <w:szCs w:val="24"/>
        </w:rPr>
        <w:t>m</w:t>
      </w:r>
      <w:r w:rsidR="001C1503" w:rsidRPr="001C1503">
        <w:rPr>
          <w:sz w:val="24"/>
          <w:szCs w:val="24"/>
        </w:rPr>
        <w:t xml:space="preserve"> estudo</w:t>
      </w:r>
      <w:r w:rsidR="007F1B5E">
        <w:rPr>
          <w:sz w:val="24"/>
          <w:szCs w:val="24"/>
        </w:rPr>
        <w:t>s</w:t>
      </w:r>
      <w:r w:rsidR="001C1503" w:rsidRPr="001C1503">
        <w:rPr>
          <w:sz w:val="24"/>
          <w:szCs w:val="24"/>
        </w:rPr>
        <w:t xml:space="preserve"> publicado</w:t>
      </w:r>
      <w:r w:rsidR="007F1B5E">
        <w:rPr>
          <w:sz w:val="24"/>
          <w:szCs w:val="24"/>
        </w:rPr>
        <w:t>s</w:t>
      </w:r>
      <w:r w:rsidR="001C1503" w:rsidRPr="001C1503">
        <w:rPr>
          <w:sz w:val="24"/>
          <w:szCs w:val="24"/>
        </w:rPr>
        <w:t xml:space="preserve"> </w:t>
      </w:r>
      <w:r w:rsidR="007F1B5E">
        <w:rPr>
          <w:sz w:val="24"/>
          <w:szCs w:val="24"/>
        </w:rPr>
        <w:t>com esta abordagem te</w:t>
      </w:r>
      <w:r w:rsidR="001C1503" w:rsidRPr="001C1503">
        <w:rPr>
          <w:sz w:val="24"/>
          <w:szCs w:val="24"/>
        </w:rPr>
        <w:t>mática.</w:t>
      </w:r>
    </w:p>
    <w:p w:rsidR="001C1503" w:rsidRPr="001C1503" w:rsidRDefault="001C1503" w:rsidP="002461CB">
      <w:pPr>
        <w:ind w:firstLine="709"/>
        <w:jc w:val="both"/>
        <w:rPr>
          <w:sz w:val="24"/>
          <w:szCs w:val="24"/>
        </w:rPr>
      </w:pPr>
      <w:r w:rsidRPr="001C1503">
        <w:rPr>
          <w:sz w:val="24"/>
          <w:szCs w:val="24"/>
        </w:rPr>
        <w:t>O estudo foi realizado com base nas Demonstrações dos fluxos de Caixa nos anos de 2015 e 2016 que estão disponibilizados no Sistema de Processo Eletrônico do site do Tribunal de Contas do Estado do Pará (TCM/PA), cujo regimento prescreve que as atividades dos órgãos e entidad</w:t>
      </w:r>
      <w:r w:rsidR="007F1B5E">
        <w:rPr>
          <w:sz w:val="24"/>
          <w:szCs w:val="24"/>
        </w:rPr>
        <w:t>es jurisdicionadas ao TCM/PA, ”</w:t>
      </w:r>
      <w:r w:rsidRPr="001C1503">
        <w:rPr>
          <w:sz w:val="24"/>
          <w:szCs w:val="24"/>
        </w:rPr>
        <w:t>serão acompanhadas de forma seletiva e concomitante, mediante informações obtidas por meio de publicação no Diário Oficial do Estado e nos órgãos oficiais de imprensa municipais e mediante consulta aos sistemas informat</w:t>
      </w:r>
      <w:r w:rsidR="007F1B5E">
        <w:rPr>
          <w:sz w:val="24"/>
          <w:szCs w:val="24"/>
        </w:rPr>
        <w:t xml:space="preserve">izados adotados pelo Tribunal.” </w:t>
      </w:r>
      <w:r w:rsidRPr="001C1503">
        <w:rPr>
          <w:sz w:val="24"/>
          <w:szCs w:val="24"/>
        </w:rPr>
        <w:t>(PARÁ, 2014, p. 40).</w:t>
      </w:r>
    </w:p>
    <w:p w:rsidR="001C1503" w:rsidRPr="001C1503" w:rsidRDefault="001C1503" w:rsidP="001C1503">
      <w:pPr>
        <w:ind w:firstLine="709"/>
        <w:jc w:val="both"/>
        <w:rPr>
          <w:sz w:val="24"/>
          <w:szCs w:val="24"/>
        </w:rPr>
      </w:pPr>
      <w:r w:rsidRPr="001C1503">
        <w:rPr>
          <w:sz w:val="24"/>
          <w:szCs w:val="24"/>
        </w:rPr>
        <w:t xml:space="preserve"> O Artigo está dividido </w:t>
      </w:r>
      <w:r w:rsidR="007F1B5E">
        <w:rPr>
          <w:sz w:val="24"/>
          <w:szCs w:val="24"/>
        </w:rPr>
        <w:t>em cinco partes. Al</w:t>
      </w:r>
      <w:r w:rsidRPr="001C1503">
        <w:rPr>
          <w:sz w:val="24"/>
          <w:szCs w:val="24"/>
        </w:rPr>
        <w:t xml:space="preserve">ém desta introdução, a </w:t>
      </w:r>
      <w:r w:rsidR="007F1B5E">
        <w:rPr>
          <w:sz w:val="24"/>
          <w:szCs w:val="24"/>
        </w:rPr>
        <w:t xml:space="preserve">segunda </w:t>
      </w:r>
      <w:r w:rsidRPr="001C1503">
        <w:rPr>
          <w:sz w:val="24"/>
          <w:szCs w:val="24"/>
        </w:rPr>
        <w:t xml:space="preserve">parte irá tratar dos principais temas </w:t>
      </w:r>
      <w:r w:rsidR="007F1B5E">
        <w:rPr>
          <w:sz w:val="24"/>
          <w:szCs w:val="24"/>
        </w:rPr>
        <w:t>que darão respaldo, fundamentos referenciarão os dados. A terceira parte trata dos procedimentos</w:t>
      </w:r>
      <w:r w:rsidRPr="001C1503">
        <w:rPr>
          <w:sz w:val="24"/>
          <w:szCs w:val="24"/>
        </w:rPr>
        <w:t xml:space="preserve"> metodológico</w:t>
      </w:r>
      <w:r w:rsidR="007F1B5E">
        <w:rPr>
          <w:sz w:val="24"/>
          <w:szCs w:val="24"/>
        </w:rPr>
        <w:t xml:space="preserve"> da pesquisa, esclarecendo os</w:t>
      </w:r>
      <w:r w:rsidRPr="001C1503">
        <w:rPr>
          <w:sz w:val="24"/>
          <w:szCs w:val="24"/>
        </w:rPr>
        <w:t xml:space="preserve"> meios utilizados </w:t>
      </w:r>
      <w:r w:rsidR="007F1B5E">
        <w:rPr>
          <w:sz w:val="24"/>
          <w:szCs w:val="24"/>
        </w:rPr>
        <w:t xml:space="preserve">para coleta, tratamento e organização dos achados. A quinta parte relata a conclusão de </w:t>
      </w:r>
      <w:r w:rsidR="00487E61">
        <w:rPr>
          <w:sz w:val="24"/>
          <w:szCs w:val="24"/>
        </w:rPr>
        <w:t>pesquisa</w:t>
      </w:r>
      <w:r w:rsidR="007F1B5E">
        <w:rPr>
          <w:sz w:val="24"/>
          <w:szCs w:val="24"/>
        </w:rPr>
        <w:t>.</w:t>
      </w:r>
      <w:r w:rsidRPr="001C1503">
        <w:rPr>
          <w:sz w:val="24"/>
          <w:szCs w:val="24"/>
        </w:rPr>
        <w:t xml:space="preserve"> </w:t>
      </w:r>
    </w:p>
    <w:p w:rsidR="001C1503" w:rsidRPr="001C1503" w:rsidRDefault="001C1503" w:rsidP="00E26692">
      <w:pPr>
        <w:pStyle w:val="Ttulo1"/>
        <w:numPr>
          <w:ilvl w:val="0"/>
          <w:numId w:val="0"/>
        </w:numPr>
        <w:ind w:left="432" w:hanging="432"/>
        <w:rPr>
          <w:rFonts w:cs="Times New Roman"/>
          <w:szCs w:val="24"/>
        </w:rPr>
      </w:pPr>
      <w:r w:rsidRPr="001C1503">
        <w:rPr>
          <w:rFonts w:cs="Times New Roman"/>
          <w:caps w:val="0"/>
          <w:szCs w:val="24"/>
        </w:rPr>
        <w:t xml:space="preserve">Revisão da Literatura </w:t>
      </w:r>
    </w:p>
    <w:p w:rsidR="001C1503" w:rsidRPr="001C1503" w:rsidRDefault="001C1503" w:rsidP="001C1503">
      <w:pPr>
        <w:ind w:firstLine="709"/>
        <w:jc w:val="both"/>
        <w:rPr>
          <w:sz w:val="24"/>
          <w:szCs w:val="24"/>
        </w:rPr>
      </w:pPr>
      <w:r w:rsidRPr="001C1503">
        <w:rPr>
          <w:sz w:val="24"/>
          <w:szCs w:val="24"/>
        </w:rPr>
        <w:t xml:space="preserve">A seção </w:t>
      </w:r>
      <w:r w:rsidR="00487E61">
        <w:rPr>
          <w:sz w:val="24"/>
          <w:szCs w:val="24"/>
        </w:rPr>
        <w:t xml:space="preserve">traz conceitos sobre o tema, </w:t>
      </w:r>
      <w:r w:rsidR="000D2EA5">
        <w:rPr>
          <w:sz w:val="24"/>
          <w:szCs w:val="24"/>
        </w:rPr>
        <w:t xml:space="preserve">a partir de temas como a </w:t>
      </w:r>
      <w:r w:rsidR="00487E61">
        <w:rPr>
          <w:sz w:val="24"/>
          <w:szCs w:val="24"/>
        </w:rPr>
        <w:t>Contabilidade Aplicada</w:t>
      </w:r>
      <w:r w:rsidR="000D2EA5">
        <w:rPr>
          <w:sz w:val="24"/>
          <w:szCs w:val="24"/>
        </w:rPr>
        <w:t xml:space="preserve"> ao Setor Público e Demonstração </w:t>
      </w:r>
      <w:r w:rsidR="00632CA3">
        <w:rPr>
          <w:sz w:val="24"/>
          <w:szCs w:val="24"/>
        </w:rPr>
        <w:t>dos Fluxos</w:t>
      </w:r>
      <w:r w:rsidR="000D2EA5">
        <w:rPr>
          <w:sz w:val="24"/>
          <w:szCs w:val="24"/>
        </w:rPr>
        <w:t xml:space="preserve"> de Caixa.</w:t>
      </w:r>
    </w:p>
    <w:p w:rsidR="001C1503" w:rsidRPr="001C1503" w:rsidRDefault="001C1503" w:rsidP="001C1503">
      <w:pPr>
        <w:spacing w:line="254" w:lineRule="auto"/>
        <w:ind w:left="568"/>
        <w:jc w:val="both"/>
        <w:rPr>
          <w:sz w:val="24"/>
          <w:szCs w:val="24"/>
        </w:rPr>
      </w:pPr>
      <w:r w:rsidRPr="001C1503">
        <w:rPr>
          <w:sz w:val="24"/>
          <w:szCs w:val="24"/>
        </w:rPr>
        <w:t xml:space="preserve"> </w:t>
      </w:r>
    </w:p>
    <w:p w:rsidR="001C1503" w:rsidRPr="001C1503" w:rsidRDefault="001C1503" w:rsidP="001C1503">
      <w:pPr>
        <w:pStyle w:val="Ttulo2"/>
        <w:ind w:left="-5"/>
        <w:jc w:val="both"/>
        <w:rPr>
          <w:color w:val="auto"/>
          <w:szCs w:val="24"/>
        </w:rPr>
      </w:pPr>
      <w:r w:rsidRPr="001C1503">
        <w:rPr>
          <w:color w:val="auto"/>
          <w:szCs w:val="24"/>
        </w:rPr>
        <w:t>A Contabil</w:t>
      </w:r>
      <w:r w:rsidR="000D2EA5">
        <w:rPr>
          <w:color w:val="auto"/>
          <w:szCs w:val="24"/>
        </w:rPr>
        <w:t>idade Aplicada ao Setor Público.</w:t>
      </w:r>
    </w:p>
    <w:p w:rsidR="000D2EA5" w:rsidRDefault="000D2EA5" w:rsidP="001C1503">
      <w:pPr>
        <w:ind w:firstLine="709"/>
        <w:jc w:val="both"/>
        <w:rPr>
          <w:sz w:val="24"/>
          <w:szCs w:val="24"/>
        </w:rPr>
      </w:pPr>
    </w:p>
    <w:p w:rsidR="001C1503" w:rsidRPr="001C1503" w:rsidRDefault="000D2EA5" w:rsidP="001C1503">
      <w:pPr>
        <w:ind w:firstLine="709"/>
        <w:jc w:val="both"/>
        <w:rPr>
          <w:sz w:val="24"/>
          <w:szCs w:val="24"/>
        </w:rPr>
      </w:pPr>
      <w:r>
        <w:rPr>
          <w:sz w:val="24"/>
          <w:szCs w:val="24"/>
        </w:rPr>
        <w:t xml:space="preserve">Para o </w:t>
      </w:r>
      <w:r w:rsidR="001C1503" w:rsidRPr="001C1503">
        <w:rPr>
          <w:sz w:val="24"/>
          <w:szCs w:val="24"/>
        </w:rPr>
        <w:t>Manual de Contabilidade Aplicada ao Setor Público (MCASP</w:t>
      </w:r>
      <w:r w:rsidR="00EA3CC7">
        <w:rPr>
          <w:sz w:val="24"/>
          <w:szCs w:val="24"/>
        </w:rPr>
        <w:t>, 2014</w:t>
      </w:r>
      <w:r w:rsidR="001C1503" w:rsidRPr="001C1503">
        <w:rPr>
          <w:sz w:val="24"/>
          <w:szCs w:val="24"/>
        </w:rPr>
        <w:t>), a finalidade da Ciência Contábil é registrar, expor e controlar os fatos contábeis relativos ao Patrimônio Público.  Algumas</w:t>
      </w:r>
      <w:r>
        <w:rPr>
          <w:sz w:val="24"/>
          <w:szCs w:val="24"/>
        </w:rPr>
        <w:t xml:space="preserve"> teorias </w:t>
      </w:r>
      <w:r w:rsidR="001C1503" w:rsidRPr="001C1503">
        <w:rPr>
          <w:sz w:val="24"/>
          <w:szCs w:val="24"/>
        </w:rPr>
        <w:t>torna</w:t>
      </w:r>
      <w:r>
        <w:rPr>
          <w:sz w:val="24"/>
          <w:szCs w:val="24"/>
        </w:rPr>
        <w:t xml:space="preserve">m clara a definição, explicado, inclusive seu contexto é o caso da </w:t>
      </w:r>
      <w:r w:rsidR="00161591">
        <w:rPr>
          <w:sz w:val="24"/>
          <w:szCs w:val="24"/>
        </w:rPr>
        <w:t>Teoria N</w:t>
      </w:r>
      <w:r w:rsidR="001C1503" w:rsidRPr="001C1503">
        <w:rPr>
          <w:sz w:val="24"/>
          <w:szCs w:val="24"/>
        </w:rPr>
        <w:t xml:space="preserve">ormativa que demonstra como a contabilidade </w:t>
      </w:r>
      <w:r w:rsidR="00161591">
        <w:rPr>
          <w:sz w:val="24"/>
          <w:szCs w:val="24"/>
        </w:rPr>
        <w:t xml:space="preserve">conforme a norma prescrita sobre a qual não cabem ajustes ou interposições. Todas as regras para elaborar demonstrações contábeis prescritas em leis e </w:t>
      </w:r>
      <w:r w:rsidR="00161591" w:rsidRPr="001C1503">
        <w:rPr>
          <w:sz w:val="24"/>
          <w:szCs w:val="24"/>
        </w:rPr>
        <w:t xml:space="preserve">pronunciamentos técnicos, que deixam claro a forma de como </w:t>
      </w:r>
      <w:r w:rsidR="00867C74">
        <w:rPr>
          <w:sz w:val="24"/>
          <w:szCs w:val="24"/>
        </w:rPr>
        <w:t xml:space="preserve">aplicar </w:t>
      </w:r>
      <w:r w:rsidR="00161591" w:rsidRPr="001C1503">
        <w:rPr>
          <w:sz w:val="24"/>
          <w:szCs w:val="24"/>
        </w:rPr>
        <w:t>conceitos, que deverão ser justos e não enviesados</w:t>
      </w:r>
      <w:r w:rsidR="00161591">
        <w:rPr>
          <w:sz w:val="24"/>
          <w:szCs w:val="24"/>
        </w:rPr>
        <w:t>. A</w:t>
      </w:r>
      <w:r>
        <w:rPr>
          <w:sz w:val="24"/>
          <w:szCs w:val="24"/>
        </w:rPr>
        <w:t>inda</w:t>
      </w:r>
      <w:r w:rsidR="00B3568F">
        <w:rPr>
          <w:sz w:val="24"/>
          <w:szCs w:val="24"/>
        </w:rPr>
        <w:t>,</w:t>
      </w:r>
      <w:r>
        <w:rPr>
          <w:sz w:val="24"/>
          <w:szCs w:val="24"/>
        </w:rPr>
        <w:t xml:space="preserve"> define sua finalidade de acompanhar registrando as mudanças e incrementos ao Patrimônio das Entidades, fortalecendo</w:t>
      </w:r>
      <w:r w:rsidR="00161591">
        <w:rPr>
          <w:sz w:val="24"/>
          <w:szCs w:val="24"/>
        </w:rPr>
        <w:t xml:space="preserve"> </w:t>
      </w:r>
      <w:r>
        <w:rPr>
          <w:sz w:val="24"/>
          <w:szCs w:val="24"/>
        </w:rPr>
        <w:t>a ideia de que os</w:t>
      </w:r>
      <w:r w:rsidR="001C1503" w:rsidRPr="001C1503">
        <w:rPr>
          <w:sz w:val="24"/>
          <w:szCs w:val="24"/>
        </w:rPr>
        <w:t xml:space="preserve"> dados </w:t>
      </w:r>
      <w:r>
        <w:rPr>
          <w:sz w:val="24"/>
          <w:szCs w:val="24"/>
        </w:rPr>
        <w:t xml:space="preserve">contábeis, </w:t>
      </w:r>
      <w:r w:rsidR="001C1503" w:rsidRPr="001C1503">
        <w:rPr>
          <w:sz w:val="24"/>
          <w:szCs w:val="24"/>
        </w:rPr>
        <w:t xml:space="preserve">são </w:t>
      </w:r>
      <w:r>
        <w:rPr>
          <w:sz w:val="24"/>
          <w:szCs w:val="24"/>
        </w:rPr>
        <w:t xml:space="preserve">os registros fies e </w:t>
      </w:r>
      <w:r w:rsidR="001C1503" w:rsidRPr="001C1503">
        <w:rPr>
          <w:sz w:val="24"/>
          <w:szCs w:val="24"/>
        </w:rPr>
        <w:t>indiscutíveis</w:t>
      </w:r>
      <w:r>
        <w:rPr>
          <w:sz w:val="24"/>
          <w:szCs w:val="24"/>
        </w:rPr>
        <w:t xml:space="preserve"> das mudanças diárias da instituição, por isso </w:t>
      </w:r>
      <w:r w:rsidR="00161591">
        <w:rPr>
          <w:sz w:val="24"/>
          <w:szCs w:val="24"/>
        </w:rPr>
        <w:t>devem ser elaborados</w:t>
      </w:r>
      <w:r>
        <w:rPr>
          <w:sz w:val="24"/>
          <w:szCs w:val="24"/>
        </w:rPr>
        <w:t xml:space="preserve"> dentro de critérios legais consoantes as Normas Brasileiras de Contabilidade</w:t>
      </w:r>
      <w:r w:rsidR="00161591">
        <w:rPr>
          <w:sz w:val="24"/>
          <w:szCs w:val="24"/>
        </w:rPr>
        <w:t xml:space="preserve"> (NBC) </w:t>
      </w:r>
      <w:r w:rsidR="001C1503" w:rsidRPr="001C1503">
        <w:rPr>
          <w:sz w:val="24"/>
          <w:szCs w:val="24"/>
        </w:rPr>
        <w:t xml:space="preserve">(Iudícibus, 2015). </w:t>
      </w:r>
    </w:p>
    <w:p w:rsidR="001C1503" w:rsidRPr="001C1503" w:rsidRDefault="00161591" w:rsidP="00632CA3">
      <w:pPr>
        <w:ind w:firstLine="709"/>
        <w:jc w:val="both"/>
        <w:rPr>
          <w:sz w:val="24"/>
          <w:szCs w:val="24"/>
        </w:rPr>
      </w:pPr>
      <w:r>
        <w:rPr>
          <w:sz w:val="24"/>
          <w:szCs w:val="24"/>
        </w:rPr>
        <w:t>A T</w:t>
      </w:r>
      <w:r w:rsidR="001C1503" w:rsidRPr="001C1503">
        <w:rPr>
          <w:sz w:val="24"/>
          <w:szCs w:val="24"/>
        </w:rPr>
        <w:t>eoria</w:t>
      </w:r>
      <w:r>
        <w:rPr>
          <w:sz w:val="24"/>
          <w:szCs w:val="24"/>
        </w:rPr>
        <w:t xml:space="preserve"> Normativa </w:t>
      </w:r>
      <w:r w:rsidR="001C1503" w:rsidRPr="001C1503">
        <w:rPr>
          <w:sz w:val="24"/>
          <w:szCs w:val="24"/>
        </w:rPr>
        <w:t>revela que as leis que regem a Contabilidade Aplicada ao Setor Público devem ser seguidas de fo</w:t>
      </w:r>
      <w:r>
        <w:rPr>
          <w:sz w:val="24"/>
          <w:szCs w:val="24"/>
        </w:rPr>
        <w:t xml:space="preserve">rma indiscutível e irrefutável, de acordo com os </w:t>
      </w:r>
      <w:r w:rsidR="001C1503" w:rsidRPr="001C1503">
        <w:rPr>
          <w:sz w:val="24"/>
          <w:szCs w:val="24"/>
        </w:rPr>
        <w:t xml:space="preserve">padrões e regras </w:t>
      </w:r>
      <w:r>
        <w:rPr>
          <w:sz w:val="24"/>
          <w:szCs w:val="24"/>
        </w:rPr>
        <w:t>definidas nas Normas Brasileiras de Contabilidade Técnicas Aplicadas ao Setor Público (NBC. T SP)</w:t>
      </w:r>
      <w:r w:rsidR="00632CA3">
        <w:rPr>
          <w:sz w:val="24"/>
          <w:szCs w:val="24"/>
        </w:rPr>
        <w:t xml:space="preserve">. </w:t>
      </w:r>
      <w:r w:rsidR="001C1503" w:rsidRPr="001C1503">
        <w:rPr>
          <w:sz w:val="24"/>
          <w:szCs w:val="24"/>
        </w:rPr>
        <w:t>As de</w:t>
      </w:r>
      <w:r w:rsidR="00632CA3">
        <w:rPr>
          <w:sz w:val="24"/>
          <w:szCs w:val="24"/>
        </w:rPr>
        <w:t>monstrações contábei</w:t>
      </w:r>
      <w:r w:rsidR="00EA3CC7">
        <w:rPr>
          <w:sz w:val="24"/>
          <w:szCs w:val="24"/>
        </w:rPr>
        <w:t>s previstas, conforme CASP (2014</w:t>
      </w:r>
      <w:r w:rsidR="00632CA3">
        <w:rPr>
          <w:sz w:val="24"/>
          <w:szCs w:val="24"/>
        </w:rPr>
        <w:t>) devem</w:t>
      </w:r>
      <w:r w:rsidR="001C1503" w:rsidRPr="001C1503">
        <w:rPr>
          <w:sz w:val="24"/>
          <w:szCs w:val="24"/>
        </w:rPr>
        <w:t xml:space="preserve"> ser divulgadas consolidadas e devem compor </w:t>
      </w:r>
      <w:r w:rsidR="00632CA3">
        <w:rPr>
          <w:sz w:val="24"/>
          <w:szCs w:val="24"/>
        </w:rPr>
        <w:t>a prestação de contas anual de G</w:t>
      </w:r>
      <w:r w:rsidR="001C1503" w:rsidRPr="001C1503">
        <w:rPr>
          <w:sz w:val="24"/>
          <w:szCs w:val="24"/>
        </w:rPr>
        <w:t>overno</w:t>
      </w:r>
      <w:r w:rsidR="00632CA3">
        <w:rPr>
          <w:sz w:val="24"/>
          <w:szCs w:val="24"/>
        </w:rPr>
        <w:t>. Estas</w:t>
      </w:r>
      <w:r w:rsidR="00632CA3" w:rsidRPr="001C1503">
        <w:rPr>
          <w:sz w:val="24"/>
          <w:szCs w:val="24"/>
        </w:rPr>
        <w:t xml:space="preserve"> receberão</w:t>
      </w:r>
      <w:r w:rsidR="00632CA3">
        <w:rPr>
          <w:sz w:val="24"/>
          <w:szCs w:val="24"/>
        </w:rPr>
        <w:t xml:space="preserve"> parecer prévio do Tribunal de Contas competente. As</w:t>
      </w:r>
      <w:r w:rsidR="001C1503" w:rsidRPr="001C1503">
        <w:rPr>
          <w:sz w:val="24"/>
          <w:szCs w:val="24"/>
        </w:rPr>
        <w:t xml:space="preserve"> Demonstrações Contábeis </w:t>
      </w:r>
      <w:r w:rsidR="001C1503" w:rsidRPr="001C1503">
        <w:rPr>
          <w:sz w:val="24"/>
          <w:szCs w:val="24"/>
        </w:rPr>
        <w:lastRenderedPageBreak/>
        <w:t>não consolidadas devem compor a tomada</w:t>
      </w:r>
      <w:r w:rsidR="00632CA3">
        <w:rPr>
          <w:sz w:val="24"/>
          <w:szCs w:val="24"/>
        </w:rPr>
        <w:t xml:space="preserve"> de contas </w:t>
      </w:r>
      <w:r w:rsidR="001C1503" w:rsidRPr="001C1503">
        <w:rPr>
          <w:sz w:val="24"/>
          <w:szCs w:val="24"/>
        </w:rPr>
        <w:t xml:space="preserve">ou prestação de contas anuais dos administradores públicos (Brasil, 2017). </w:t>
      </w:r>
    </w:p>
    <w:p w:rsidR="00632CA3" w:rsidRDefault="001C1503" w:rsidP="00632CA3">
      <w:pPr>
        <w:ind w:firstLine="709"/>
        <w:jc w:val="both"/>
        <w:rPr>
          <w:sz w:val="24"/>
          <w:szCs w:val="24"/>
        </w:rPr>
      </w:pPr>
      <w:r w:rsidRPr="001C1503">
        <w:rPr>
          <w:sz w:val="24"/>
          <w:szCs w:val="24"/>
        </w:rPr>
        <w:t>O MCASP</w:t>
      </w:r>
      <w:r w:rsidR="00632CA3">
        <w:rPr>
          <w:sz w:val="24"/>
          <w:szCs w:val="24"/>
        </w:rPr>
        <w:t xml:space="preserve"> (2013)</w:t>
      </w:r>
      <w:r w:rsidRPr="001C1503">
        <w:rPr>
          <w:sz w:val="24"/>
          <w:szCs w:val="24"/>
        </w:rPr>
        <w:t xml:space="preserve"> enumera, segundo a Lei nº 4.320/1964, as demonstrações exigidas pela NBC T 16.6, como as Demonstrações Contábeis e demonstrações exigidas pela</w:t>
      </w:r>
      <w:r w:rsidR="00632CA3">
        <w:rPr>
          <w:sz w:val="24"/>
          <w:szCs w:val="24"/>
        </w:rPr>
        <w:t xml:space="preserve"> Lei Complementar 101/2000, quais sejam</w:t>
      </w:r>
      <w:r w:rsidRPr="001C1503">
        <w:rPr>
          <w:sz w:val="24"/>
          <w:szCs w:val="24"/>
        </w:rPr>
        <w:t xml:space="preserve">: Balanço Orçamentário; Balanço Financeiro; Balanço Patrimonial; Demonstração das Variações Patrimoniais; Demonstração dos Fluxos de Caixa (DFC); e Demonstração das Mutações do Patrimônio Líquido (DMPL). </w:t>
      </w:r>
    </w:p>
    <w:p w:rsidR="001C1503" w:rsidRPr="001C1503" w:rsidRDefault="00632CA3" w:rsidP="00632CA3">
      <w:pPr>
        <w:ind w:firstLine="709"/>
        <w:jc w:val="both"/>
        <w:rPr>
          <w:sz w:val="24"/>
          <w:szCs w:val="24"/>
        </w:rPr>
      </w:pPr>
      <w:r>
        <w:rPr>
          <w:sz w:val="24"/>
          <w:szCs w:val="24"/>
        </w:rPr>
        <w:t>A Contabilidade Aplicada ao Setor Público (CASP) desenvolve</w:t>
      </w:r>
      <w:r w:rsidR="001C1503" w:rsidRPr="001C1503">
        <w:rPr>
          <w:sz w:val="24"/>
          <w:szCs w:val="24"/>
        </w:rPr>
        <w:t xml:space="preserve"> processo</w:t>
      </w:r>
      <w:r>
        <w:rPr>
          <w:sz w:val="24"/>
          <w:szCs w:val="24"/>
        </w:rPr>
        <w:t>s</w:t>
      </w:r>
      <w:r w:rsidR="001C1503" w:rsidRPr="001C1503">
        <w:rPr>
          <w:sz w:val="24"/>
          <w:szCs w:val="24"/>
        </w:rPr>
        <w:t xml:space="preserve"> para p</w:t>
      </w:r>
      <w:r>
        <w:rPr>
          <w:sz w:val="24"/>
          <w:szCs w:val="24"/>
        </w:rPr>
        <w:t xml:space="preserve">restação de contas satisfatória, para </w:t>
      </w:r>
      <w:r w:rsidR="001C1503" w:rsidRPr="001C1503">
        <w:rPr>
          <w:sz w:val="24"/>
          <w:szCs w:val="24"/>
        </w:rPr>
        <w:t xml:space="preserve">acudir os gestores na tomada de decisão </w:t>
      </w:r>
      <w:r>
        <w:rPr>
          <w:sz w:val="24"/>
          <w:szCs w:val="24"/>
        </w:rPr>
        <w:t>(Brasil, 2017). Seu escopo é o Patrimônio P</w:t>
      </w:r>
      <w:r w:rsidR="001C1503" w:rsidRPr="001C1503">
        <w:rPr>
          <w:sz w:val="24"/>
          <w:szCs w:val="24"/>
        </w:rPr>
        <w:t xml:space="preserve">úblico, gerando conhecimentos sobre os fatos percebidos, apresentando a natureza orçamentária, econômica, financeira e física do setor público.  </w:t>
      </w:r>
      <w:r>
        <w:rPr>
          <w:sz w:val="24"/>
          <w:szCs w:val="24"/>
        </w:rPr>
        <w:t xml:space="preserve">O Campo de aplicação da </w:t>
      </w:r>
      <w:r w:rsidR="001C1503" w:rsidRPr="001C1503">
        <w:rPr>
          <w:sz w:val="24"/>
          <w:szCs w:val="24"/>
        </w:rPr>
        <w:t xml:space="preserve">CASP </w:t>
      </w:r>
      <w:r>
        <w:rPr>
          <w:sz w:val="24"/>
          <w:szCs w:val="24"/>
        </w:rPr>
        <w:t xml:space="preserve">são </w:t>
      </w:r>
      <w:r w:rsidR="001C1503" w:rsidRPr="001C1503">
        <w:rPr>
          <w:sz w:val="24"/>
          <w:szCs w:val="24"/>
        </w:rPr>
        <w:t>os órgãos e entidades da administração</w:t>
      </w:r>
      <w:r>
        <w:rPr>
          <w:sz w:val="24"/>
          <w:szCs w:val="24"/>
        </w:rPr>
        <w:t xml:space="preserve"> pública direta, indireta e empresas publicas </w:t>
      </w:r>
      <w:r w:rsidR="001C1503" w:rsidRPr="001C1503">
        <w:rPr>
          <w:sz w:val="24"/>
          <w:szCs w:val="24"/>
        </w:rPr>
        <w:t xml:space="preserve">impingidos a cumprir a legislação, normas e procedimentos </w:t>
      </w:r>
      <w:r>
        <w:rPr>
          <w:sz w:val="24"/>
          <w:szCs w:val="24"/>
        </w:rPr>
        <w:t xml:space="preserve">aplicados ao </w:t>
      </w:r>
      <w:r w:rsidR="001C1503" w:rsidRPr="001C1503">
        <w:rPr>
          <w:sz w:val="24"/>
          <w:szCs w:val="24"/>
        </w:rPr>
        <w:t xml:space="preserve">setor público </w:t>
      </w:r>
      <w:bookmarkStart w:id="5" w:name="_Hlk512844948"/>
      <w:r w:rsidR="001C1503" w:rsidRPr="001C1503">
        <w:rPr>
          <w:sz w:val="24"/>
          <w:szCs w:val="24"/>
        </w:rPr>
        <w:t>(Bezerra Filho, 2014).</w:t>
      </w:r>
      <w:bookmarkEnd w:id="5"/>
      <w:r w:rsidR="001C1503" w:rsidRPr="001C1503">
        <w:rPr>
          <w:sz w:val="24"/>
          <w:szCs w:val="24"/>
        </w:rPr>
        <w:t xml:space="preserve"> </w:t>
      </w:r>
    </w:p>
    <w:p w:rsidR="001C1503" w:rsidRPr="00BF3939" w:rsidRDefault="00632CA3" w:rsidP="00BF3939">
      <w:pPr>
        <w:autoSpaceDE w:val="0"/>
        <w:autoSpaceDN w:val="0"/>
        <w:adjustRightInd w:val="0"/>
        <w:ind w:firstLine="709"/>
        <w:jc w:val="both"/>
        <w:rPr>
          <w:rFonts w:eastAsiaTheme="minorEastAsia"/>
          <w:sz w:val="24"/>
          <w:szCs w:val="24"/>
        </w:rPr>
      </w:pPr>
      <w:r>
        <w:rPr>
          <w:rFonts w:eastAsiaTheme="minorEastAsia"/>
          <w:sz w:val="24"/>
          <w:szCs w:val="24"/>
        </w:rPr>
        <w:t xml:space="preserve">A </w:t>
      </w:r>
      <w:r w:rsidR="001C1503" w:rsidRPr="001C1503">
        <w:rPr>
          <w:rFonts w:eastAsiaTheme="minorEastAsia"/>
          <w:sz w:val="24"/>
          <w:szCs w:val="24"/>
        </w:rPr>
        <w:t xml:space="preserve">instrumentalização do controle social </w:t>
      </w:r>
      <w:r>
        <w:rPr>
          <w:rFonts w:eastAsiaTheme="minorEastAsia"/>
          <w:sz w:val="24"/>
          <w:szCs w:val="24"/>
        </w:rPr>
        <w:t>para a o exercício da cidadani</w:t>
      </w:r>
      <w:r w:rsidR="00BF3939">
        <w:rPr>
          <w:rFonts w:eastAsiaTheme="minorEastAsia"/>
          <w:sz w:val="24"/>
          <w:szCs w:val="24"/>
        </w:rPr>
        <w:t>a é uma finalidade do MCASP melhorando</w:t>
      </w:r>
      <w:r w:rsidR="001C1503" w:rsidRPr="001C1503">
        <w:rPr>
          <w:rFonts w:eastAsiaTheme="minorEastAsia"/>
          <w:sz w:val="24"/>
          <w:szCs w:val="24"/>
        </w:rPr>
        <w:t xml:space="preserve"> a consi</w:t>
      </w:r>
      <w:r w:rsidR="00BF3939">
        <w:rPr>
          <w:rFonts w:eastAsiaTheme="minorEastAsia"/>
          <w:sz w:val="24"/>
          <w:szCs w:val="24"/>
        </w:rPr>
        <w:t xml:space="preserve">stência das informações </w:t>
      </w:r>
      <w:r w:rsidR="001C1503" w:rsidRPr="001C1503">
        <w:rPr>
          <w:rFonts w:eastAsiaTheme="minorEastAsia"/>
          <w:sz w:val="24"/>
          <w:szCs w:val="24"/>
        </w:rPr>
        <w:t xml:space="preserve">prestadas para a sociedade com o intuito de promover o aperfeiçoamento da gestão pública. </w:t>
      </w:r>
      <w:r w:rsidR="001C1503" w:rsidRPr="001C1503">
        <w:rPr>
          <w:sz w:val="24"/>
          <w:szCs w:val="24"/>
        </w:rPr>
        <w:t xml:space="preserve">O controle </w:t>
      </w:r>
      <w:r w:rsidR="00BF3939">
        <w:rPr>
          <w:sz w:val="24"/>
          <w:szCs w:val="24"/>
        </w:rPr>
        <w:t xml:space="preserve">da sociedade </w:t>
      </w:r>
      <w:r w:rsidR="001C1503" w:rsidRPr="001C1503">
        <w:rPr>
          <w:sz w:val="24"/>
          <w:szCs w:val="24"/>
        </w:rPr>
        <w:t>se caracteriza pela vivência da própria democracia, por se relacionar intimamente a particip</w:t>
      </w:r>
      <w:r w:rsidR="00BF3939">
        <w:rPr>
          <w:sz w:val="24"/>
          <w:szCs w:val="24"/>
        </w:rPr>
        <w:t xml:space="preserve">ação do povo à gestão pública, </w:t>
      </w:r>
      <w:r w:rsidR="001C1503" w:rsidRPr="001C1503">
        <w:rPr>
          <w:sz w:val="24"/>
          <w:szCs w:val="24"/>
        </w:rPr>
        <w:t xml:space="preserve">garantido ao cidadão a participação e fiscalização contínua quanto </w:t>
      </w:r>
      <w:r w:rsidR="00BF3939">
        <w:rPr>
          <w:sz w:val="24"/>
          <w:szCs w:val="24"/>
        </w:rPr>
        <w:t>à</w:t>
      </w:r>
      <w:r w:rsidR="001C1503" w:rsidRPr="001C1503">
        <w:rPr>
          <w:sz w:val="24"/>
          <w:szCs w:val="24"/>
        </w:rPr>
        <w:t xml:space="preserve"> aplicação dos recursos públicos. </w:t>
      </w:r>
      <w:r w:rsidR="00BF3939">
        <w:rPr>
          <w:rFonts w:eastAsiaTheme="minorEastAsia"/>
          <w:sz w:val="24"/>
          <w:szCs w:val="24"/>
        </w:rPr>
        <w:t xml:space="preserve">Assim, a contabilidade é </w:t>
      </w:r>
      <w:r w:rsidR="001C1503" w:rsidRPr="001C1503">
        <w:rPr>
          <w:sz w:val="24"/>
          <w:szCs w:val="24"/>
        </w:rPr>
        <w:t xml:space="preserve">ferramenta de controle social por propiciar à sociedade empoderamento no exercício da democracia, </w:t>
      </w:r>
      <w:r w:rsidR="00BF3939">
        <w:rPr>
          <w:sz w:val="24"/>
          <w:szCs w:val="24"/>
        </w:rPr>
        <w:t xml:space="preserve">s subsidiando </w:t>
      </w:r>
      <w:r w:rsidR="001C1503" w:rsidRPr="001C1503">
        <w:rPr>
          <w:sz w:val="24"/>
          <w:szCs w:val="24"/>
        </w:rPr>
        <w:t>o cidadão sobre o uso d</w:t>
      </w:r>
      <w:r w:rsidR="00BF3939">
        <w:rPr>
          <w:sz w:val="24"/>
          <w:szCs w:val="24"/>
        </w:rPr>
        <w:t xml:space="preserve">os recursos públicos (Barbosa </w:t>
      </w:r>
      <w:r w:rsidR="00BF3939" w:rsidRPr="001C1503">
        <w:rPr>
          <w:sz w:val="24"/>
          <w:szCs w:val="24"/>
        </w:rPr>
        <w:t>2013</w:t>
      </w:r>
      <w:r w:rsidR="00BF3939">
        <w:rPr>
          <w:sz w:val="24"/>
          <w:szCs w:val="24"/>
        </w:rPr>
        <w:t>;</w:t>
      </w:r>
      <w:r w:rsidR="001C1503" w:rsidRPr="001C1503">
        <w:rPr>
          <w:sz w:val="24"/>
          <w:szCs w:val="24"/>
        </w:rPr>
        <w:t xml:space="preserve"> Oliveira</w:t>
      </w:r>
      <w:r w:rsidR="00BF3939">
        <w:rPr>
          <w:sz w:val="24"/>
          <w:szCs w:val="24"/>
        </w:rPr>
        <w:t xml:space="preserve"> &amp; Pisa 2015;</w:t>
      </w:r>
      <w:r w:rsidR="001C1503" w:rsidRPr="001C1503">
        <w:rPr>
          <w:sz w:val="24"/>
          <w:szCs w:val="24"/>
        </w:rPr>
        <w:t xml:space="preserve"> Guimarães, 2015). </w:t>
      </w:r>
    </w:p>
    <w:p w:rsidR="001C1503" w:rsidRPr="00BF3939" w:rsidRDefault="001C1503" w:rsidP="00BF3939">
      <w:pPr>
        <w:ind w:firstLine="709"/>
        <w:jc w:val="both"/>
        <w:rPr>
          <w:sz w:val="24"/>
          <w:szCs w:val="24"/>
        </w:rPr>
      </w:pPr>
      <w:r w:rsidRPr="001C1503">
        <w:rPr>
          <w:sz w:val="24"/>
          <w:szCs w:val="24"/>
        </w:rPr>
        <w:t>Segundo Oliveira e Pisa (2015) a participação dos cidadãos se dá principalmente de duas maneiras: participação nas eleições para escolha dos representantes do povo; e a participação nas organizações da sociedade civil.</w:t>
      </w:r>
      <w:r w:rsidR="00BF3939">
        <w:rPr>
          <w:sz w:val="24"/>
          <w:szCs w:val="24"/>
        </w:rPr>
        <w:t xml:space="preserve"> </w:t>
      </w:r>
      <w:r w:rsidRPr="001C1503">
        <w:rPr>
          <w:sz w:val="24"/>
          <w:szCs w:val="24"/>
        </w:rPr>
        <w:t>Dentre essas organizações podem ser citados os orçamentos participativos, conselhos de programas e políticas públicas que contribuem estreitar a relação entre o Estado e a sociedade.</w:t>
      </w:r>
      <w:r w:rsidR="00BF3939">
        <w:rPr>
          <w:sz w:val="24"/>
          <w:szCs w:val="24"/>
        </w:rPr>
        <w:t xml:space="preserve"> P</w:t>
      </w:r>
      <w:r w:rsidRPr="001C1503">
        <w:rPr>
          <w:sz w:val="24"/>
          <w:szCs w:val="24"/>
        </w:rPr>
        <w:t>ara que exista um efetivo controle social é preci</w:t>
      </w:r>
      <w:r w:rsidR="00BF3939">
        <w:rPr>
          <w:sz w:val="24"/>
          <w:szCs w:val="24"/>
        </w:rPr>
        <w:t xml:space="preserve">so da participação da sociedade, </w:t>
      </w:r>
      <w:r w:rsidRPr="001C1503">
        <w:rPr>
          <w:sz w:val="24"/>
          <w:szCs w:val="24"/>
        </w:rPr>
        <w:t>fomentada por meio de regimes democráticos de participação (Monteiro, Pereira &amp; Thomaz, 2016)</w:t>
      </w:r>
      <w:r w:rsidRPr="001C1503">
        <w:rPr>
          <w:b/>
          <w:sz w:val="24"/>
          <w:szCs w:val="24"/>
        </w:rPr>
        <w:t>.</w:t>
      </w:r>
    </w:p>
    <w:p w:rsidR="001C1503" w:rsidRPr="001C1503" w:rsidRDefault="001C1503" w:rsidP="001C1503">
      <w:pPr>
        <w:ind w:firstLine="709"/>
        <w:jc w:val="both"/>
        <w:rPr>
          <w:sz w:val="24"/>
          <w:szCs w:val="24"/>
        </w:rPr>
      </w:pPr>
      <w:r w:rsidRPr="001C1503">
        <w:rPr>
          <w:sz w:val="24"/>
          <w:szCs w:val="24"/>
        </w:rPr>
        <w:t xml:space="preserve">A Lei de Responsabilidade Fiscal surge de maneira a corrigir os possíveis desvios que afetam as contas públicas, bem como instrumentalizar o cidadão para que este tenha </w:t>
      </w:r>
      <w:r w:rsidR="00BF3939">
        <w:rPr>
          <w:sz w:val="24"/>
          <w:szCs w:val="24"/>
        </w:rPr>
        <w:t xml:space="preserve">mecanismos </w:t>
      </w:r>
      <w:r w:rsidRPr="001C1503">
        <w:rPr>
          <w:sz w:val="24"/>
          <w:szCs w:val="24"/>
        </w:rPr>
        <w:t xml:space="preserve">necessários para acompanhar </w:t>
      </w:r>
      <w:r w:rsidR="00BF3939">
        <w:rPr>
          <w:sz w:val="24"/>
          <w:szCs w:val="24"/>
        </w:rPr>
        <w:t>aplicação dos dinheiros públicos.</w:t>
      </w:r>
      <w:r w:rsidRPr="001C1503">
        <w:rPr>
          <w:sz w:val="24"/>
          <w:szCs w:val="24"/>
        </w:rPr>
        <w:t xml:space="preserve"> </w:t>
      </w:r>
    </w:p>
    <w:p w:rsidR="001C1503" w:rsidRPr="001C1503" w:rsidRDefault="001C1503" w:rsidP="001C1503">
      <w:pPr>
        <w:ind w:firstLine="709"/>
        <w:jc w:val="both"/>
        <w:rPr>
          <w:sz w:val="24"/>
          <w:szCs w:val="24"/>
        </w:rPr>
      </w:pPr>
      <w:r w:rsidRPr="001C1503">
        <w:rPr>
          <w:sz w:val="24"/>
          <w:szCs w:val="24"/>
        </w:rPr>
        <w:t xml:space="preserve">Ribeiro e Bizerra (2011) afirmam que em 1922, com a edição do Código de contabilidade pública, foi dado início à normatização da contabilidade na área pública no Brasil. Para Barbosa (2013) são três seus momentos históricos, a edição da Lei n° 4.320/1964, a publicação da Lei Complementar n° 101/2000, conhecida como Lei de Responsabilidade Fiscal (LRF), e o início do processo de convergência das normas internacionais, a partir de 2007.  </w:t>
      </w:r>
    </w:p>
    <w:p w:rsidR="001C1503" w:rsidRPr="001C1503" w:rsidRDefault="001C1503" w:rsidP="001C1503">
      <w:pPr>
        <w:ind w:firstLine="709"/>
        <w:jc w:val="both"/>
        <w:rPr>
          <w:sz w:val="24"/>
          <w:szCs w:val="24"/>
        </w:rPr>
      </w:pPr>
      <w:r w:rsidRPr="001C1503">
        <w:rPr>
          <w:sz w:val="24"/>
          <w:szCs w:val="24"/>
        </w:rPr>
        <w:t>Nas palavras de Souza e Gonçalves (2013), a criação da Lei nº 4.320/1964, em substituição ao Decreto-lei n° 2.416/1940, conduziu à elaboração inicial do controle do orçamento e balanços das entidades públicas da União, Estados, Municípios e do Distrito Federal, estabelecendo normas para elaboração e controle do orçamento d</w:t>
      </w:r>
      <w:r w:rsidR="00EC0D8B">
        <w:rPr>
          <w:sz w:val="24"/>
          <w:szCs w:val="24"/>
        </w:rPr>
        <w:t>estes E</w:t>
      </w:r>
      <w:r w:rsidRPr="001C1503">
        <w:rPr>
          <w:sz w:val="24"/>
          <w:szCs w:val="24"/>
        </w:rPr>
        <w:t xml:space="preserve">ntes.  Ribeiro e Bizerra (2011) lembram que no ano de 1967 foi publicado o Decreto-lei nº 200, que objetivou fixar diretrizes e princípios </w:t>
      </w:r>
      <w:r w:rsidR="00EC0D8B">
        <w:rPr>
          <w:sz w:val="24"/>
          <w:szCs w:val="24"/>
        </w:rPr>
        <w:t xml:space="preserve">de </w:t>
      </w:r>
      <w:r w:rsidRPr="001C1503">
        <w:rPr>
          <w:sz w:val="24"/>
          <w:szCs w:val="24"/>
        </w:rPr>
        <w:t xml:space="preserve">funcionalidade à administração pública nacional.  </w:t>
      </w:r>
    </w:p>
    <w:p w:rsidR="001C1503" w:rsidRPr="001C1503" w:rsidRDefault="001C1503" w:rsidP="001C1503">
      <w:pPr>
        <w:ind w:firstLine="709"/>
        <w:jc w:val="both"/>
        <w:rPr>
          <w:sz w:val="24"/>
          <w:szCs w:val="24"/>
        </w:rPr>
      </w:pPr>
      <w:r w:rsidRPr="001C1503">
        <w:rPr>
          <w:sz w:val="24"/>
          <w:szCs w:val="24"/>
        </w:rPr>
        <w:t>Em 1986, confor</w:t>
      </w:r>
      <w:r w:rsidR="00BF3939">
        <w:rPr>
          <w:sz w:val="24"/>
          <w:szCs w:val="24"/>
        </w:rPr>
        <w:t>me explicam Soares &amp;</w:t>
      </w:r>
      <w:r w:rsidRPr="001C1503">
        <w:rPr>
          <w:sz w:val="24"/>
          <w:szCs w:val="24"/>
        </w:rPr>
        <w:t xml:space="preserve"> Scarpin (2010), foram criados o STN e o Sistema Integrado de Administração Financeira do Governo Federal – SIAFI em 1987. Já no início deste século XXI, com o surgimento da Lei Complementar nº 101 de 4 de maio de 2000 - Lei de Responsabilidade Fiscal (LRF) - e a Lei nº</w:t>
      </w:r>
      <w:r w:rsidR="00EC0D8B">
        <w:rPr>
          <w:sz w:val="24"/>
          <w:szCs w:val="24"/>
        </w:rPr>
        <w:t xml:space="preserve"> 10.028/2000, foram estabelecida</w:t>
      </w:r>
      <w:r w:rsidRPr="001C1503">
        <w:rPr>
          <w:sz w:val="24"/>
          <w:szCs w:val="24"/>
        </w:rPr>
        <w:t xml:space="preserve">s penalidades administrativas e </w:t>
      </w:r>
      <w:r w:rsidR="00EC0D8B">
        <w:rPr>
          <w:sz w:val="24"/>
          <w:szCs w:val="24"/>
        </w:rPr>
        <w:t xml:space="preserve">criminais aos entes </w:t>
      </w:r>
      <w:r w:rsidRPr="001C1503">
        <w:rPr>
          <w:sz w:val="24"/>
          <w:szCs w:val="24"/>
        </w:rPr>
        <w:t xml:space="preserve">estatais e os gestores </w:t>
      </w:r>
      <w:r w:rsidR="00EC0D8B">
        <w:rPr>
          <w:sz w:val="24"/>
          <w:szCs w:val="24"/>
        </w:rPr>
        <w:t>pela falta de cumprimento d</w:t>
      </w:r>
      <w:r w:rsidRPr="001C1503">
        <w:rPr>
          <w:sz w:val="24"/>
          <w:szCs w:val="24"/>
        </w:rPr>
        <w:t xml:space="preserve">a legislação pública (Capiberibe &amp; Martins, 2011).  </w:t>
      </w:r>
    </w:p>
    <w:p w:rsidR="001C1503" w:rsidRPr="001C1503" w:rsidRDefault="001C1503" w:rsidP="00F07552">
      <w:pPr>
        <w:ind w:firstLine="709"/>
        <w:jc w:val="both"/>
        <w:rPr>
          <w:sz w:val="24"/>
          <w:szCs w:val="24"/>
        </w:rPr>
      </w:pPr>
      <w:r w:rsidRPr="001C1503">
        <w:rPr>
          <w:sz w:val="24"/>
          <w:szCs w:val="24"/>
        </w:rPr>
        <w:lastRenderedPageBreak/>
        <w:t>Ainda nesta linha, a LRF reforça a obrigatoriedade do controle por parte das entidades públicas e gestores públicos, ampliar a transparência pública cerne e fundamento do gasto do Estado (Ribeiro e Bizzera, 2011).  A LRF inaugura nova percepção para a administ</w:t>
      </w:r>
      <w:r w:rsidR="00FD1680">
        <w:rPr>
          <w:sz w:val="24"/>
          <w:szCs w:val="24"/>
        </w:rPr>
        <w:t>ração pública das três esferas, (</w:t>
      </w:r>
      <w:r w:rsidRPr="001C1503">
        <w:rPr>
          <w:sz w:val="24"/>
          <w:szCs w:val="24"/>
        </w:rPr>
        <w:t>Municipal, Estadual e Federal</w:t>
      </w:r>
      <w:r w:rsidR="00FD1680">
        <w:rPr>
          <w:sz w:val="24"/>
          <w:szCs w:val="24"/>
        </w:rPr>
        <w:t>)</w:t>
      </w:r>
      <w:r w:rsidRPr="001C1503">
        <w:rPr>
          <w:sz w:val="24"/>
          <w:szCs w:val="24"/>
        </w:rPr>
        <w:t>, pois</w:t>
      </w:r>
      <w:r w:rsidR="0061474D" w:rsidRPr="001C1503">
        <w:rPr>
          <w:sz w:val="24"/>
          <w:szCs w:val="24"/>
        </w:rPr>
        <w:t xml:space="preserve"> </w:t>
      </w:r>
      <w:r w:rsidR="00FD1680">
        <w:rPr>
          <w:sz w:val="24"/>
          <w:szCs w:val="24"/>
        </w:rPr>
        <w:t xml:space="preserve">que, as </w:t>
      </w:r>
      <w:r w:rsidRPr="001C1503">
        <w:rPr>
          <w:sz w:val="24"/>
          <w:szCs w:val="24"/>
        </w:rPr>
        <w:t>normas financeiras com foco no con</w:t>
      </w:r>
      <w:r w:rsidR="00FD1680">
        <w:rPr>
          <w:sz w:val="24"/>
          <w:szCs w:val="24"/>
        </w:rPr>
        <w:t>trole na gestão fiscal, evitam</w:t>
      </w:r>
      <w:r w:rsidRPr="001C1503">
        <w:rPr>
          <w:sz w:val="24"/>
          <w:szCs w:val="24"/>
        </w:rPr>
        <w:t xml:space="preserve"> o gasto público “irresponsável”. </w:t>
      </w:r>
      <w:r w:rsidR="00FD1680">
        <w:rPr>
          <w:sz w:val="24"/>
          <w:szCs w:val="24"/>
        </w:rPr>
        <w:t xml:space="preserve">As </w:t>
      </w:r>
      <w:r w:rsidRPr="001C1503">
        <w:rPr>
          <w:sz w:val="24"/>
          <w:szCs w:val="24"/>
        </w:rPr>
        <w:t>metas e ações de planejamento e transparência no processo</w:t>
      </w:r>
      <w:r w:rsidR="0061474D">
        <w:rPr>
          <w:sz w:val="24"/>
          <w:szCs w:val="24"/>
        </w:rPr>
        <w:t xml:space="preserve"> são </w:t>
      </w:r>
      <w:r w:rsidRPr="001C1503">
        <w:rPr>
          <w:sz w:val="24"/>
          <w:szCs w:val="24"/>
        </w:rPr>
        <w:t>fundante</w:t>
      </w:r>
      <w:r w:rsidR="0061474D">
        <w:rPr>
          <w:sz w:val="24"/>
          <w:szCs w:val="24"/>
        </w:rPr>
        <w:t>s no aprimoramento da</w:t>
      </w:r>
      <w:r w:rsidRPr="001C1503">
        <w:rPr>
          <w:sz w:val="24"/>
          <w:szCs w:val="24"/>
        </w:rPr>
        <w:t xml:space="preserve"> execução do futuro e a transparência se torna </w:t>
      </w:r>
      <w:r w:rsidR="0061474D">
        <w:rPr>
          <w:sz w:val="24"/>
          <w:szCs w:val="24"/>
        </w:rPr>
        <w:t xml:space="preserve">crucial </w:t>
      </w:r>
      <w:r w:rsidRPr="001C1503">
        <w:rPr>
          <w:sz w:val="24"/>
          <w:szCs w:val="24"/>
        </w:rPr>
        <w:t xml:space="preserve">à credibilidade das ações, garantindo assim a saúde financeira das instituições públicas (Quintana, 2011).  </w:t>
      </w:r>
      <w:r w:rsidR="00F07552">
        <w:rPr>
          <w:sz w:val="24"/>
          <w:szCs w:val="24"/>
        </w:rPr>
        <w:t xml:space="preserve">A ampla divulgação e </w:t>
      </w:r>
      <w:r w:rsidR="00F07552" w:rsidRPr="001C1503">
        <w:rPr>
          <w:sz w:val="24"/>
          <w:szCs w:val="24"/>
        </w:rPr>
        <w:t xml:space="preserve">uso de meios eletrônicos de acesso público </w:t>
      </w:r>
      <w:r w:rsidR="00F07552">
        <w:rPr>
          <w:sz w:val="24"/>
          <w:szCs w:val="24"/>
        </w:rPr>
        <w:t>gar</w:t>
      </w:r>
      <w:r w:rsidR="00F07552" w:rsidRPr="001C1503">
        <w:rPr>
          <w:sz w:val="24"/>
          <w:szCs w:val="24"/>
        </w:rPr>
        <w:t>a</w:t>
      </w:r>
      <w:r w:rsidR="00F07552">
        <w:rPr>
          <w:sz w:val="24"/>
          <w:szCs w:val="24"/>
        </w:rPr>
        <w:t>nte</w:t>
      </w:r>
      <w:r w:rsidRPr="001C1503">
        <w:rPr>
          <w:sz w:val="24"/>
          <w:szCs w:val="24"/>
        </w:rPr>
        <w:t xml:space="preserve"> transparência da gestão fiscal, com a publicação dos instrumentos que vão desde o planejamento e desembocam na execução.  </w:t>
      </w:r>
    </w:p>
    <w:p w:rsidR="001C1503" w:rsidRPr="001C1503" w:rsidRDefault="00491D41" w:rsidP="001C1503">
      <w:pPr>
        <w:ind w:firstLine="709"/>
        <w:jc w:val="both"/>
        <w:rPr>
          <w:sz w:val="24"/>
          <w:szCs w:val="24"/>
        </w:rPr>
      </w:pPr>
      <w:r>
        <w:rPr>
          <w:sz w:val="24"/>
          <w:szCs w:val="24"/>
        </w:rPr>
        <w:t>Todas as</w:t>
      </w:r>
      <w:r w:rsidR="001C1503" w:rsidRPr="001C1503">
        <w:rPr>
          <w:sz w:val="24"/>
          <w:szCs w:val="24"/>
        </w:rPr>
        <w:t xml:space="preserve"> informações devem ser disponibilizadas tempestivamente e de forma compreensível (Batista, 2003, Ribeiro &amp;</w:t>
      </w:r>
      <w:r>
        <w:rPr>
          <w:sz w:val="24"/>
          <w:szCs w:val="24"/>
        </w:rPr>
        <w:t xml:space="preserve"> Bizzera, 2011), num</w:t>
      </w:r>
      <w:r w:rsidR="001C1503" w:rsidRPr="001C1503">
        <w:rPr>
          <w:sz w:val="24"/>
          <w:szCs w:val="24"/>
        </w:rPr>
        <w:t xml:space="preserve"> processo aperfeiçoado pela convergência da contabilidade</w:t>
      </w:r>
      <w:r>
        <w:rPr>
          <w:sz w:val="24"/>
          <w:szCs w:val="24"/>
        </w:rPr>
        <w:t xml:space="preserve"> governamental, consoante às</w:t>
      </w:r>
      <w:r w:rsidR="001C1503" w:rsidRPr="001C1503">
        <w:rPr>
          <w:sz w:val="24"/>
          <w:szCs w:val="24"/>
        </w:rPr>
        <w:t xml:space="preserve"> normas internacionais. </w:t>
      </w:r>
      <w:r>
        <w:rPr>
          <w:sz w:val="24"/>
          <w:szCs w:val="24"/>
        </w:rPr>
        <w:t>A</w:t>
      </w:r>
      <w:r w:rsidR="001C1503" w:rsidRPr="001C1503">
        <w:rPr>
          <w:sz w:val="24"/>
          <w:szCs w:val="24"/>
        </w:rPr>
        <w:t xml:space="preserve">s normas internacionais emitidas pela IFAC foram fundamentais para o estabelecimento das diretrizes no Brasil, a partir de ações desenvolvidas pelo Conselho Federal de Contabilidade (CFC) e a Secretaria do Tesouro Nacional (STN).  </w:t>
      </w:r>
    </w:p>
    <w:p w:rsidR="001C1503" w:rsidRPr="001C1503" w:rsidRDefault="001C1503" w:rsidP="001C1503">
      <w:pPr>
        <w:ind w:firstLine="709"/>
        <w:jc w:val="both"/>
        <w:rPr>
          <w:sz w:val="24"/>
          <w:szCs w:val="24"/>
        </w:rPr>
      </w:pPr>
      <w:r w:rsidRPr="001C1503">
        <w:rPr>
          <w:sz w:val="24"/>
          <w:szCs w:val="24"/>
        </w:rPr>
        <w:t>O contexto torna claro que</w:t>
      </w:r>
      <w:r w:rsidR="00491D41">
        <w:rPr>
          <w:sz w:val="24"/>
          <w:szCs w:val="24"/>
        </w:rPr>
        <w:t xml:space="preserve"> mudanças estão acontecendo e em parte ainda se encontram </w:t>
      </w:r>
      <w:r w:rsidRPr="001C1503">
        <w:rPr>
          <w:sz w:val="24"/>
          <w:szCs w:val="24"/>
        </w:rPr>
        <w:t xml:space="preserve">em construção, testes e adaptações. Este novo modelo de contabilidade aplicada ao setor público com enfoque não somente no orçamento, mas como também no controle patrimonial resgata a ideia da contabilidade como ciência </w:t>
      </w:r>
      <w:r w:rsidR="00491D41">
        <w:rPr>
          <w:sz w:val="24"/>
          <w:szCs w:val="24"/>
        </w:rPr>
        <w:t xml:space="preserve">cujo </w:t>
      </w:r>
      <w:r w:rsidRPr="001C1503">
        <w:rPr>
          <w:sz w:val="24"/>
          <w:szCs w:val="24"/>
        </w:rPr>
        <w:t xml:space="preserve">objeto de estudo </w:t>
      </w:r>
      <w:r w:rsidR="00491D41">
        <w:rPr>
          <w:sz w:val="24"/>
          <w:szCs w:val="24"/>
        </w:rPr>
        <w:t xml:space="preserve">é o </w:t>
      </w:r>
      <w:r w:rsidRPr="001C1503">
        <w:rPr>
          <w:sz w:val="24"/>
          <w:szCs w:val="24"/>
        </w:rPr>
        <w:t xml:space="preserve">patrimônio público (Santos et al., 2017).  </w:t>
      </w:r>
    </w:p>
    <w:p w:rsidR="001C1503" w:rsidRPr="001C1503" w:rsidRDefault="001C1503" w:rsidP="001C1503">
      <w:pPr>
        <w:spacing w:line="254" w:lineRule="auto"/>
        <w:ind w:firstLine="568"/>
        <w:jc w:val="both"/>
        <w:rPr>
          <w:sz w:val="24"/>
          <w:szCs w:val="24"/>
        </w:rPr>
      </w:pPr>
    </w:p>
    <w:p w:rsidR="001C1503" w:rsidRPr="001C1503" w:rsidRDefault="001C1503" w:rsidP="001C1503">
      <w:pPr>
        <w:pStyle w:val="Ttulo2"/>
        <w:ind w:left="-5"/>
        <w:jc w:val="both"/>
        <w:rPr>
          <w:color w:val="auto"/>
          <w:szCs w:val="24"/>
        </w:rPr>
      </w:pPr>
      <w:r w:rsidRPr="001C1503">
        <w:rPr>
          <w:color w:val="auto"/>
          <w:szCs w:val="24"/>
        </w:rPr>
        <w:t xml:space="preserve">Demonstração dos fluxos de caixa e sua obrigatoriedade </w:t>
      </w:r>
    </w:p>
    <w:p w:rsidR="001C1503" w:rsidRPr="001C1503" w:rsidRDefault="001C1503" w:rsidP="001C1503">
      <w:pPr>
        <w:ind w:firstLine="709"/>
        <w:jc w:val="both"/>
        <w:rPr>
          <w:sz w:val="24"/>
          <w:szCs w:val="24"/>
        </w:rPr>
      </w:pPr>
      <w:r w:rsidRPr="001C1503">
        <w:rPr>
          <w:sz w:val="24"/>
          <w:szCs w:val="24"/>
        </w:rPr>
        <w:t xml:space="preserve">A demonstração do Fluxo de Caixa é instrumento de gestão que permite visualizar o real cenário financeiro de uma organização e vislumbrar os melhores momentos em que a entidade deverá atuar como captadora ou aplicadora de recursos (Reis, 2017). Sua vigência foi introduzida a partir das Normas Internacionais de Contabilidade em atendimento à Portaria MF nº 184/2008 e ao Decreto nº 6976/2009. Sua análise permite que a entidade identifique </w:t>
      </w:r>
      <w:r w:rsidR="00AA2880">
        <w:rPr>
          <w:sz w:val="24"/>
          <w:szCs w:val="24"/>
        </w:rPr>
        <w:t>a capacidade de gerar Caixa e Equivalentes de C</w:t>
      </w:r>
      <w:r w:rsidRPr="001C1503">
        <w:rPr>
          <w:sz w:val="24"/>
          <w:szCs w:val="24"/>
        </w:rPr>
        <w:t xml:space="preserve">aixa, bem como identificar a utilização de recursos próprios e de terceiros em suas atividades (Brasil, 2017). </w:t>
      </w:r>
    </w:p>
    <w:p w:rsidR="00AA2880" w:rsidRDefault="00AA2880" w:rsidP="00AA2880">
      <w:pPr>
        <w:ind w:firstLine="709"/>
        <w:jc w:val="both"/>
        <w:rPr>
          <w:sz w:val="24"/>
          <w:szCs w:val="24"/>
        </w:rPr>
      </w:pPr>
      <w:r>
        <w:rPr>
          <w:sz w:val="24"/>
          <w:szCs w:val="24"/>
        </w:rPr>
        <w:t>A DFC corretamente confeccionada</w:t>
      </w:r>
      <w:r w:rsidRPr="001C1503">
        <w:rPr>
          <w:sz w:val="24"/>
          <w:szCs w:val="24"/>
        </w:rPr>
        <w:t xml:space="preserve"> possibilita</w:t>
      </w:r>
      <w:r w:rsidR="001C1503" w:rsidRPr="001C1503">
        <w:rPr>
          <w:sz w:val="24"/>
          <w:szCs w:val="24"/>
        </w:rPr>
        <w:t xml:space="preserve"> identificar possíveis ajustes, de modo que a receita não seja superestimada, além de evitar que se criem acúmulos excessivos de passiv</w:t>
      </w:r>
      <w:r>
        <w:rPr>
          <w:sz w:val="24"/>
          <w:szCs w:val="24"/>
        </w:rPr>
        <w:t xml:space="preserve">o financeiro (Campos, 2014).  Esse </w:t>
      </w:r>
      <w:r w:rsidR="001C1503" w:rsidRPr="001C1503">
        <w:rPr>
          <w:sz w:val="24"/>
          <w:szCs w:val="24"/>
        </w:rPr>
        <w:t>relatório contábil permite que os gestores adquiram maior controle financeiro sobre os gastos públicos, classificando as re</w:t>
      </w:r>
      <w:r>
        <w:rPr>
          <w:sz w:val="24"/>
          <w:szCs w:val="24"/>
        </w:rPr>
        <w:t>ais necessidades,</w:t>
      </w:r>
      <w:r w:rsidR="001C1503" w:rsidRPr="001C1503">
        <w:rPr>
          <w:sz w:val="24"/>
          <w:szCs w:val="24"/>
        </w:rPr>
        <w:t xml:space="preserve"> despertando </w:t>
      </w:r>
      <w:r>
        <w:rPr>
          <w:sz w:val="24"/>
          <w:szCs w:val="24"/>
        </w:rPr>
        <w:t xml:space="preserve">para a segurança da </w:t>
      </w:r>
      <w:r w:rsidR="001C1503" w:rsidRPr="001C1503">
        <w:rPr>
          <w:sz w:val="24"/>
          <w:szCs w:val="24"/>
        </w:rPr>
        <w:t>tomada de decisão e</w:t>
      </w:r>
      <w:r>
        <w:rPr>
          <w:sz w:val="24"/>
          <w:szCs w:val="24"/>
        </w:rPr>
        <w:t>, ainda, e não menos importante,</w:t>
      </w:r>
      <w:r w:rsidR="001C1503" w:rsidRPr="001C1503">
        <w:rPr>
          <w:sz w:val="24"/>
          <w:szCs w:val="24"/>
        </w:rPr>
        <w:t xml:space="preserve"> fomentando a transparência sobre as informações financeira</w:t>
      </w:r>
      <w:r>
        <w:rPr>
          <w:sz w:val="24"/>
          <w:szCs w:val="24"/>
        </w:rPr>
        <w:t>s</w:t>
      </w:r>
      <w:r w:rsidR="001C1503" w:rsidRPr="001C1503">
        <w:rPr>
          <w:sz w:val="24"/>
          <w:szCs w:val="24"/>
        </w:rPr>
        <w:t xml:space="preserve">. </w:t>
      </w:r>
    </w:p>
    <w:p w:rsidR="001C1503" w:rsidRPr="001C1503" w:rsidRDefault="00AA2880" w:rsidP="00AA2880">
      <w:pPr>
        <w:ind w:firstLine="709"/>
        <w:jc w:val="both"/>
        <w:rPr>
          <w:sz w:val="24"/>
          <w:szCs w:val="24"/>
        </w:rPr>
      </w:pPr>
      <w:r>
        <w:rPr>
          <w:sz w:val="24"/>
          <w:szCs w:val="24"/>
        </w:rPr>
        <w:t>A Demonstração dos Fluxos de C</w:t>
      </w:r>
      <w:r w:rsidR="001C1503" w:rsidRPr="001C1503">
        <w:rPr>
          <w:sz w:val="24"/>
          <w:szCs w:val="24"/>
        </w:rPr>
        <w:t>aixa</w:t>
      </w:r>
      <w:r>
        <w:rPr>
          <w:sz w:val="24"/>
          <w:szCs w:val="24"/>
        </w:rPr>
        <w:t xml:space="preserve"> (DFC)</w:t>
      </w:r>
      <w:r w:rsidR="001C1503" w:rsidRPr="001C1503">
        <w:rPr>
          <w:sz w:val="24"/>
          <w:szCs w:val="24"/>
        </w:rPr>
        <w:t xml:space="preserve"> deverá ser elaborada pelo método direto ou indireto e evidencia as movimentações ocorridas, como entradas e saídas de caixa e equivalentes de caixa classificando-as em: Fluxos operacionais, de i</w:t>
      </w:r>
      <w:r w:rsidR="00EA3CC7">
        <w:rPr>
          <w:sz w:val="24"/>
          <w:szCs w:val="24"/>
        </w:rPr>
        <w:t xml:space="preserve">nvestimento e de financiamento, tornando </w:t>
      </w:r>
      <w:r w:rsidR="001C1503" w:rsidRPr="001C1503">
        <w:rPr>
          <w:sz w:val="24"/>
          <w:szCs w:val="24"/>
        </w:rPr>
        <w:t>possível analisar a capacidade de geração de caixa do ente público utilizando recursos próprios e de terceiros (Brasil, 2017). É composta por um quadro principal e qua</w:t>
      </w:r>
      <w:r w:rsidR="00EA3CC7">
        <w:rPr>
          <w:sz w:val="24"/>
          <w:szCs w:val="24"/>
        </w:rPr>
        <w:t xml:space="preserve">tro quadros acessórios para </w:t>
      </w:r>
      <w:r w:rsidR="001C1503" w:rsidRPr="001C1503">
        <w:rPr>
          <w:sz w:val="24"/>
          <w:szCs w:val="24"/>
        </w:rPr>
        <w:t xml:space="preserve">detalhar contas que se encontram no fluxo de caixa operacional. </w:t>
      </w:r>
    </w:p>
    <w:p w:rsidR="001C1503" w:rsidRPr="001C1503" w:rsidRDefault="001C1503" w:rsidP="00EA3CC7">
      <w:pPr>
        <w:ind w:firstLine="709"/>
        <w:jc w:val="both"/>
        <w:rPr>
          <w:sz w:val="24"/>
          <w:szCs w:val="24"/>
        </w:rPr>
      </w:pPr>
      <w:r w:rsidRPr="001C1503">
        <w:rPr>
          <w:sz w:val="24"/>
          <w:szCs w:val="24"/>
        </w:rPr>
        <w:t>No quadro principal é</w:t>
      </w:r>
      <w:r w:rsidR="00EA3CC7">
        <w:rPr>
          <w:sz w:val="24"/>
          <w:szCs w:val="24"/>
        </w:rPr>
        <w:t xml:space="preserve"> detalhada a diferença entre o C</w:t>
      </w:r>
      <w:r w:rsidRPr="001C1503">
        <w:rPr>
          <w:sz w:val="24"/>
          <w:szCs w:val="24"/>
        </w:rPr>
        <w:t xml:space="preserve">aixa Inicial e o </w:t>
      </w:r>
      <w:r w:rsidR="00EA3CC7">
        <w:rPr>
          <w:sz w:val="24"/>
          <w:szCs w:val="24"/>
        </w:rPr>
        <w:t>Caixa Final do P</w:t>
      </w:r>
      <w:r w:rsidRPr="001C1503">
        <w:rPr>
          <w:sz w:val="24"/>
          <w:szCs w:val="24"/>
        </w:rPr>
        <w:t>eríodo, subdividido em fluxo operacional, fluxo de investimento e fluxo de financiamento, segundo diretrizes do Manual de Contabilidade Aplicado ao Setor público (MCASP</w:t>
      </w:r>
      <w:r w:rsidR="00EA3CC7">
        <w:rPr>
          <w:sz w:val="24"/>
          <w:szCs w:val="24"/>
        </w:rPr>
        <w:t>/2014</w:t>
      </w:r>
      <w:r w:rsidRPr="001C1503">
        <w:rPr>
          <w:sz w:val="24"/>
          <w:szCs w:val="24"/>
        </w:rPr>
        <w:t>). O Fluxo de caixa operacional compreende as receitas relativas às atividades operacionais liquidas e despesas relativas às ações públicas.</w:t>
      </w:r>
      <w:r w:rsidR="00EA3CC7">
        <w:rPr>
          <w:sz w:val="24"/>
          <w:szCs w:val="24"/>
        </w:rPr>
        <w:t xml:space="preserve"> </w:t>
      </w:r>
      <w:r w:rsidRPr="001C1503">
        <w:rPr>
          <w:sz w:val="24"/>
          <w:szCs w:val="24"/>
        </w:rPr>
        <w:t xml:space="preserve">O Fluxo de caixa de investimentos é composto de receitas e despesas onde as primeiras são provenientes de alienação de ativos não </w:t>
      </w:r>
      <w:r w:rsidRPr="001C1503">
        <w:rPr>
          <w:sz w:val="24"/>
          <w:szCs w:val="24"/>
        </w:rPr>
        <w:lastRenderedPageBreak/>
        <w:t xml:space="preserve">circulantes e as segundas da compra de ativos não circulantes (Brasil, 2017). </w:t>
      </w:r>
      <w:r w:rsidR="00EA3CC7">
        <w:rPr>
          <w:sz w:val="24"/>
          <w:szCs w:val="24"/>
        </w:rPr>
        <w:t xml:space="preserve"> </w:t>
      </w:r>
      <w:r w:rsidRPr="001C1503">
        <w:rPr>
          <w:sz w:val="24"/>
          <w:szCs w:val="24"/>
        </w:rPr>
        <w:t xml:space="preserve">O Fluxo De Caixa de Financiamentos, segundo o MCASP (2017) compreende a obtenção de receita por empréstimos, financiamentos e operações de créditos e desembolso por amortização e refinanciamento de dívidas. </w:t>
      </w:r>
    </w:p>
    <w:p w:rsidR="001C1503" w:rsidRPr="001C1503" w:rsidRDefault="001C1503" w:rsidP="00EA3CC7">
      <w:pPr>
        <w:ind w:firstLine="709"/>
        <w:jc w:val="both"/>
        <w:rPr>
          <w:sz w:val="24"/>
          <w:szCs w:val="24"/>
        </w:rPr>
      </w:pPr>
      <w:r w:rsidRPr="001C1503">
        <w:rPr>
          <w:sz w:val="24"/>
          <w:szCs w:val="24"/>
        </w:rPr>
        <w:t xml:space="preserve">No </w:t>
      </w:r>
      <w:r w:rsidR="00EA3CC7">
        <w:rPr>
          <w:sz w:val="24"/>
          <w:szCs w:val="24"/>
        </w:rPr>
        <w:t xml:space="preserve">tocante aos quadros acessórios são quatro relatórios </w:t>
      </w:r>
      <w:r w:rsidRPr="001C1503">
        <w:rPr>
          <w:sz w:val="24"/>
          <w:szCs w:val="24"/>
        </w:rPr>
        <w:t>que detalham contas pertinentes do</w:t>
      </w:r>
      <w:r w:rsidR="00EA3CC7">
        <w:rPr>
          <w:sz w:val="24"/>
          <w:szCs w:val="24"/>
        </w:rPr>
        <w:t xml:space="preserve"> Fluxo de caixa operacional</w:t>
      </w:r>
      <w:r w:rsidRPr="001C1503">
        <w:rPr>
          <w:sz w:val="24"/>
          <w:szCs w:val="24"/>
        </w:rPr>
        <w:t>: receitas derivadas e ordinárias; desembolso com pessoal; transferências concedidas e recebidas; e juros e encargos da dívida (Brasil, 2017).</w:t>
      </w:r>
      <w:r w:rsidR="00EA3CC7">
        <w:rPr>
          <w:sz w:val="24"/>
          <w:szCs w:val="24"/>
        </w:rPr>
        <w:t xml:space="preserve"> O </w:t>
      </w:r>
      <w:r w:rsidRPr="001C1503">
        <w:rPr>
          <w:sz w:val="24"/>
          <w:szCs w:val="24"/>
        </w:rPr>
        <w:t>Quadro de Rec</w:t>
      </w:r>
      <w:r w:rsidR="00EA3CC7">
        <w:rPr>
          <w:sz w:val="24"/>
          <w:szCs w:val="24"/>
        </w:rPr>
        <w:t xml:space="preserve">eitas Derivadas e Originárias, </w:t>
      </w:r>
      <w:r w:rsidRPr="001C1503">
        <w:rPr>
          <w:sz w:val="24"/>
          <w:szCs w:val="24"/>
        </w:rPr>
        <w:t xml:space="preserve">composto de receitas arrecadadas pelo município dividindo-as de acordo com a sua origem. Obrigação prevista no artigo 156 da constituição federal de 1988. A Lei de Responsabilidade Fiscal em seu artigo 11 trata da responsabilidade da gestão instituir, prever e arrecadar os tributos de sua competência. Seu descumprimento os impede de realizar transferências voluntárias. A negligência quanto à arrecadação dos tributos causa prejuízos ao erário e simboliza improbidade administrativa, conforme preceitos do inciso X, artigo 10 da Lei 8.429 de 2 de junho de 1992. </w:t>
      </w:r>
    </w:p>
    <w:p w:rsidR="001C1503" w:rsidRPr="001C1503" w:rsidRDefault="001C1503" w:rsidP="001C1503">
      <w:pPr>
        <w:ind w:firstLine="709"/>
        <w:jc w:val="both"/>
        <w:rPr>
          <w:sz w:val="24"/>
          <w:szCs w:val="24"/>
        </w:rPr>
      </w:pPr>
      <w:r w:rsidRPr="001C1503">
        <w:rPr>
          <w:sz w:val="24"/>
          <w:szCs w:val="24"/>
        </w:rPr>
        <w:t xml:space="preserve">Quadro de Transferências Recebidas e Concedidas – trata da repartição com os das receitas tributárias ínclitas na Constituição Federal, através do Fundo de Participação dos Municípios (FPM) e do Fundo para Desenvolvimento da Educação Básica e de Valorização dos Profissionais da Educação (Brasil, 1988). A Lei de Responsabilidade Fiscal (LRF) também considera os repasses de recursos correntes ou de capital a outro ente da federação que deseje auxílio financeiro ou cooperação (Brasil, 2017). Esse quadro demonstra legalidade dos seus atos praticados pelos gestores (Milesky, Scheren &amp; Galante, 2016). </w:t>
      </w:r>
    </w:p>
    <w:p w:rsidR="001C1503" w:rsidRPr="001C1503" w:rsidRDefault="001C1503" w:rsidP="001C1503">
      <w:pPr>
        <w:ind w:firstLine="709"/>
        <w:jc w:val="both"/>
        <w:rPr>
          <w:sz w:val="24"/>
          <w:szCs w:val="24"/>
        </w:rPr>
      </w:pPr>
      <w:r w:rsidRPr="001C1503">
        <w:rPr>
          <w:sz w:val="24"/>
          <w:szCs w:val="24"/>
        </w:rPr>
        <w:t xml:space="preserve">Quadro de Desembolso com Pessoal e Demais Despesas por Função – neste quadro estão os gastos da gestão com seus funcionários conforme funções. A LRF estabelece os limites de gastos com pessoal da administração direta e dos três poderes. O município é limitado a gastar com pessoal 60% da receita corrente liquida. Caso o município ultrapasse os limites estabelecidos algumas medidas constitucionais serão tomadas e LRF prevê que, enquanto perdurar excesso, o ente não poderá receber transferências voluntárias. </w:t>
      </w:r>
    </w:p>
    <w:p w:rsidR="001C1503" w:rsidRPr="001C1503" w:rsidRDefault="001C1503" w:rsidP="001C1503">
      <w:pPr>
        <w:ind w:firstLine="709"/>
        <w:jc w:val="both"/>
        <w:rPr>
          <w:sz w:val="24"/>
          <w:szCs w:val="24"/>
        </w:rPr>
      </w:pPr>
      <w:r w:rsidRPr="001C1503">
        <w:rPr>
          <w:sz w:val="24"/>
          <w:szCs w:val="24"/>
        </w:rPr>
        <w:t xml:space="preserve">Quadro de Juros e Encargos da Dívida – demonstra informações sobre os juros da dívida pública (interno, quando se relaciona às dividas existentes no país, externo, quando são dívidas no exterior e outros encargos da dívida para os demais desembolsos). Segundo o MCASP (2017) os juros e encargos da dívida pública podem ser definidos como uma despesa orçamentária. </w:t>
      </w:r>
    </w:p>
    <w:p w:rsidR="001C1503" w:rsidRPr="001C1503" w:rsidRDefault="001C1503" w:rsidP="001C1503">
      <w:pPr>
        <w:spacing w:line="254" w:lineRule="auto"/>
        <w:ind w:left="568"/>
        <w:jc w:val="both"/>
        <w:rPr>
          <w:sz w:val="24"/>
          <w:szCs w:val="24"/>
        </w:rPr>
      </w:pPr>
      <w:r w:rsidRPr="001C1503">
        <w:rPr>
          <w:sz w:val="24"/>
          <w:szCs w:val="24"/>
        </w:rPr>
        <w:t xml:space="preserve"> </w:t>
      </w:r>
    </w:p>
    <w:p w:rsidR="001C1503" w:rsidRPr="001C1503" w:rsidRDefault="00E26692" w:rsidP="001C1503">
      <w:pPr>
        <w:spacing w:line="254" w:lineRule="auto"/>
        <w:ind w:left="-5" w:hanging="10"/>
        <w:jc w:val="both"/>
        <w:rPr>
          <w:b/>
          <w:sz w:val="24"/>
          <w:szCs w:val="24"/>
        </w:rPr>
      </w:pPr>
      <w:r>
        <w:rPr>
          <w:b/>
          <w:sz w:val="24"/>
          <w:szCs w:val="24"/>
        </w:rPr>
        <w:t>Procedimentos</w:t>
      </w:r>
      <w:r w:rsidR="001C1503" w:rsidRPr="001C1503">
        <w:rPr>
          <w:b/>
          <w:sz w:val="24"/>
          <w:szCs w:val="24"/>
        </w:rPr>
        <w:t xml:space="preserve"> Metodológico</w:t>
      </w:r>
      <w:r>
        <w:rPr>
          <w:b/>
          <w:sz w:val="24"/>
          <w:szCs w:val="24"/>
        </w:rPr>
        <w:t>s</w:t>
      </w:r>
      <w:r w:rsidR="001C1503" w:rsidRPr="001C1503">
        <w:rPr>
          <w:b/>
          <w:sz w:val="24"/>
          <w:szCs w:val="24"/>
        </w:rPr>
        <w:t xml:space="preserve"> da Pesquisa.  </w:t>
      </w:r>
    </w:p>
    <w:p w:rsidR="001C1503" w:rsidRPr="001C1503" w:rsidRDefault="001C1503" w:rsidP="001C1503">
      <w:pPr>
        <w:spacing w:line="254" w:lineRule="auto"/>
        <w:ind w:left="-5" w:hanging="10"/>
        <w:jc w:val="both"/>
        <w:rPr>
          <w:sz w:val="24"/>
          <w:szCs w:val="24"/>
        </w:rPr>
      </w:pPr>
    </w:p>
    <w:p w:rsidR="00EA3CC7" w:rsidRDefault="001C1503" w:rsidP="00EA3CC7">
      <w:pPr>
        <w:ind w:firstLine="709"/>
        <w:jc w:val="both"/>
        <w:rPr>
          <w:sz w:val="24"/>
          <w:szCs w:val="24"/>
        </w:rPr>
      </w:pPr>
      <w:r w:rsidRPr="001C1503">
        <w:rPr>
          <w:sz w:val="24"/>
          <w:szCs w:val="24"/>
        </w:rPr>
        <w:t xml:space="preserve">Este trabalho é </w:t>
      </w:r>
      <w:r w:rsidR="00EA3CC7" w:rsidRPr="001C1503">
        <w:rPr>
          <w:sz w:val="24"/>
          <w:szCs w:val="24"/>
        </w:rPr>
        <w:t>c</w:t>
      </w:r>
      <w:r w:rsidR="00EA3CC7">
        <w:rPr>
          <w:sz w:val="24"/>
          <w:szCs w:val="24"/>
        </w:rPr>
        <w:t>aracterizado como exploratório e documental, com análises de artigos publicados em periódicos e congressos qualis, manual e leis, que na visão de Marconi e Lakatos, (</w:t>
      </w:r>
      <w:r w:rsidRPr="001C1503">
        <w:rPr>
          <w:sz w:val="24"/>
          <w:szCs w:val="24"/>
        </w:rPr>
        <w:t xml:space="preserve">2010) </w:t>
      </w:r>
      <w:r w:rsidR="00EA3CC7">
        <w:rPr>
          <w:sz w:val="24"/>
          <w:szCs w:val="24"/>
        </w:rPr>
        <w:t>localizam as</w:t>
      </w:r>
      <w:r w:rsidRPr="001C1503">
        <w:rPr>
          <w:sz w:val="24"/>
          <w:szCs w:val="24"/>
        </w:rPr>
        <w:t xml:space="preserve"> informações com o intuito de melhor compreender o tema a ser estudado.</w:t>
      </w:r>
      <w:r w:rsidR="00EA3CC7">
        <w:rPr>
          <w:sz w:val="24"/>
          <w:szCs w:val="24"/>
        </w:rPr>
        <w:t xml:space="preserve"> Os </w:t>
      </w:r>
      <w:r w:rsidRPr="001C1503">
        <w:rPr>
          <w:sz w:val="24"/>
          <w:szCs w:val="24"/>
        </w:rPr>
        <w:t>Procedimentos técnicos de caráter documental</w:t>
      </w:r>
      <w:r w:rsidR="00EA3CC7">
        <w:rPr>
          <w:sz w:val="24"/>
          <w:szCs w:val="24"/>
        </w:rPr>
        <w:t>, segundo os mesmos autores, se devem ao fato da analise direta das</w:t>
      </w:r>
      <w:r w:rsidRPr="001C1503">
        <w:rPr>
          <w:sz w:val="24"/>
          <w:szCs w:val="24"/>
        </w:rPr>
        <w:t xml:space="preserve"> Demonstrações dos Fluxos de Caixa, a partir de ma</w:t>
      </w:r>
      <w:r w:rsidR="00EA3CC7">
        <w:rPr>
          <w:sz w:val="24"/>
          <w:szCs w:val="24"/>
        </w:rPr>
        <w:t xml:space="preserve">terial bruto das prefeituras dispostos em plataforma </w:t>
      </w:r>
      <w:r w:rsidR="00EA3CC7" w:rsidRPr="00EA3CC7">
        <w:rPr>
          <w:i/>
          <w:sz w:val="24"/>
          <w:szCs w:val="24"/>
        </w:rPr>
        <w:t>online,</w:t>
      </w:r>
      <w:r w:rsidR="00EA3CC7">
        <w:rPr>
          <w:sz w:val="24"/>
          <w:szCs w:val="24"/>
        </w:rPr>
        <w:t xml:space="preserve"> sem tratamento, </w:t>
      </w:r>
      <w:r w:rsidRPr="001C1503">
        <w:rPr>
          <w:sz w:val="24"/>
          <w:szCs w:val="24"/>
        </w:rPr>
        <w:t>provenientes de documentos originais, retirados do Balanço Geral dos municípios (Farias Filho &amp; Arruda Filho, 2013).</w:t>
      </w:r>
    </w:p>
    <w:p w:rsidR="001C1503" w:rsidRPr="001C1503" w:rsidRDefault="001C1503" w:rsidP="00EA3CC7">
      <w:pPr>
        <w:ind w:firstLine="709"/>
        <w:jc w:val="both"/>
        <w:rPr>
          <w:sz w:val="24"/>
          <w:szCs w:val="24"/>
        </w:rPr>
      </w:pPr>
      <w:r w:rsidRPr="001C1503">
        <w:rPr>
          <w:sz w:val="24"/>
          <w:szCs w:val="24"/>
        </w:rPr>
        <w:t>Quanto</w:t>
      </w:r>
      <w:r w:rsidR="00B47F92">
        <w:rPr>
          <w:sz w:val="24"/>
          <w:szCs w:val="24"/>
        </w:rPr>
        <w:t xml:space="preserve"> à sua natureza </w:t>
      </w:r>
      <w:r w:rsidR="00EA3CC7">
        <w:rPr>
          <w:sz w:val="24"/>
          <w:szCs w:val="24"/>
        </w:rPr>
        <w:t xml:space="preserve">a </w:t>
      </w:r>
      <w:r w:rsidRPr="001C1503">
        <w:rPr>
          <w:sz w:val="24"/>
          <w:szCs w:val="24"/>
        </w:rPr>
        <w:t xml:space="preserve">abordagem </w:t>
      </w:r>
      <w:r w:rsidR="00B47F92">
        <w:rPr>
          <w:sz w:val="24"/>
          <w:szCs w:val="24"/>
        </w:rPr>
        <w:t xml:space="preserve">da pesquisa foi </w:t>
      </w:r>
      <w:r w:rsidRPr="001C1503">
        <w:rPr>
          <w:sz w:val="24"/>
          <w:szCs w:val="24"/>
        </w:rPr>
        <w:t xml:space="preserve">quantiqualitativa, pois seus dados se traduzem em números opiniões e informações, classificando-as e analisando, oferecendo compreensão aos fenômenos da informação através de descrição e interpretação (Teixeira, 2013). </w:t>
      </w:r>
    </w:p>
    <w:p w:rsidR="001C1503" w:rsidRPr="001C1503" w:rsidRDefault="001C1503" w:rsidP="001C1503">
      <w:pPr>
        <w:ind w:firstLine="709"/>
        <w:jc w:val="both"/>
        <w:rPr>
          <w:sz w:val="24"/>
          <w:szCs w:val="24"/>
        </w:rPr>
      </w:pPr>
      <w:r w:rsidRPr="001C1503">
        <w:rPr>
          <w:sz w:val="24"/>
          <w:szCs w:val="24"/>
        </w:rPr>
        <w:t xml:space="preserve">As Demonstrações dos Fluxos de Caixa dos anos de 2015 e 2016 dos municípios paraenses foram baixadas na plataforma SPE (Sistema de Processos Eletrônicos) localizado </w:t>
      </w:r>
      <w:r w:rsidRPr="001C1503">
        <w:rPr>
          <w:sz w:val="24"/>
          <w:szCs w:val="24"/>
        </w:rPr>
        <w:lastRenderedPageBreak/>
        <w:t xml:space="preserve">no site do TCM-PA, no período de 02 a 30 de janeiro de 2018. </w:t>
      </w:r>
      <w:r w:rsidR="00B47F92">
        <w:rPr>
          <w:sz w:val="24"/>
          <w:szCs w:val="24"/>
        </w:rPr>
        <w:t>As investigações e tratamentos feitos pelos autores foram inicialmente para conhecer os</w:t>
      </w:r>
      <w:r w:rsidRPr="001C1503">
        <w:rPr>
          <w:sz w:val="24"/>
          <w:szCs w:val="24"/>
        </w:rPr>
        <w:t xml:space="preserve"> quadros</w:t>
      </w:r>
      <w:r w:rsidR="00B47F92">
        <w:rPr>
          <w:sz w:val="24"/>
          <w:szCs w:val="24"/>
        </w:rPr>
        <w:t xml:space="preserve"> da DFC, e verificar conformidade co MCASP, se estavam, os cinco quadros, </w:t>
      </w:r>
      <w:r w:rsidRPr="001C1503">
        <w:rPr>
          <w:sz w:val="24"/>
          <w:szCs w:val="24"/>
        </w:rPr>
        <w:t xml:space="preserve">sendo divulgados conforme </w:t>
      </w:r>
      <w:r w:rsidR="00B47F92">
        <w:rPr>
          <w:sz w:val="24"/>
          <w:szCs w:val="24"/>
        </w:rPr>
        <w:t xml:space="preserve">o </w:t>
      </w:r>
      <w:r w:rsidRPr="001C1503">
        <w:rPr>
          <w:sz w:val="24"/>
          <w:szCs w:val="24"/>
        </w:rPr>
        <w:t xml:space="preserve">disposto no Manual de Contabilidade Aplicado ao Setor Público (MCASP). </w:t>
      </w:r>
    </w:p>
    <w:p w:rsidR="001C1503" w:rsidRPr="001C1503" w:rsidRDefault="001C1503" w:rsidP="001C1503">
      <w:pPr>
        <w:ind w:firstLine="709"/>
        <w:jc w:val="both"/>
        <w:rPr>
          <w:sz w:val="24"/>
          <w:szCs w:val="24"/>
        </w:rPr>
      </w:pPr>
      <w:r w:rsidRPr="001C1503">
        <w:rPr>
          <w:sz w:val="24"/>
          <w:szCs w:val="24"/>
        </w:rPr>
        <w:t>Para</w:t>
      </w:r>
      <w:r w:rsidR="00B47F92">
        <w:rPr>
          <w:sz w:val="24"/>
          <w:szCs w:val="24"/>
        </w:rPr>
        <w:t xml:space="preserve"> tal desiderato foram atribuídos índices em percentuais (pesos) para cada um dos quadros, </w:t>
      </w:r>
      <w:r w:rsidRPr="001C1503">
        <w:rPr>
          <w:sz w:val="24"/>
          <w:szCs w:val="24"/>
        </w:rPr>
        <w:t xml:space="preserve">de acordo com o nível de informações que </w:t>
      </w:r>
      <w:r w:rsidR="00B47F92" w:rsidRPr="001C1503">
        <w:rPr>
          <w:sz w:val="24"/>
          <w:szCs w:val="24"/>
        </w:rPr>
        <w:t>contém</w:t>
      </w:r>
      <w:r w:rsidR="00877B94">
        <w:rPr>
          <w:sz w:val="24"/>
          <w:szCs w:val="24"/>
        </w:rPr>
        <w:t xml:space="preserve"> que demonstra o grau de evidenciação, conforme</w:t>
      </w:r>
      <w:r w:rsidRPr="001C1503">
        <w:rPr>
          <w:sz w:val="24"/>
          <w:szCs w:val="24"/>
        </w:rPr>
        <w:t xml:space="preserve"> tabela 1.</w:t>
      </w:r>
    </w:p>
    <w:p w:rsidR="001C1503" w:rsidRPr="001C1503" w:rsidRDefault="001C1503" w:rsidP="001C1503">
      <w:pPr>
        <w:ind w:left="-15"/>
        <w:jc w:val="both"/>
        <w:rPr>
          <w:sz w:val="24"/>
          <w:szCs w:val="24"/>
        </w:rPr>
      </w:pPr>
    </w:p>
    <w:p w:rsidR="001C1503" w:rsidRPr="001C1503" w:rsidRDefault="001C1503" w:rsidP="001C1503">
      <w:pPr>
        <w:spacing w:line="254" w:lineRule="auto"/>
        <w:ind w:left="-5" w:hanging="10"/>
        <w:jc w:val="both"/>
      </w:pPr>
      <w:r w:rsidRPr="00B47F92">
        <w:rPr>
          <w:b/>
        </w:rPr>
        <w:t>Tabela 1</w:t>
      </w:r>
      <w:r w:rsidRPr="001C1503">
        <w:t xml:space="preserve">. Percentuais de evidenciação da DFC </w:t>
      </w:r>
    </w:p>
    <w:tbl>
      <w:tblPr>
        <w:tblStyle w:val="Tabelacomgrade1"/>
        <w:tblW w:w="9212" w:type="dxa"/>
        <w:tblInd w:w="-70" w:type="dxa"/>
        <w:tblCellMar>
          <w:top w:w="63" w:type="dxa"/>
          <w:left w:w="70" w:type="dxa"/>
          <w:right w:w="73" w:type="dxa"/>
        </w:tblCellMar>
        <w:tblLook w:val="04A0" w:firstRow="1" w:lastRow="0" w:firstColumn="1" w:lastColumn="0" w:noHBand="0" w:noVBand="1"/>
      </w:tblPr>
      <w:tblGrid>
        <w:gridCol w:w="1168"/>
        <w:gridCol w:w="8044"/>
      </w:tblGrid>
      <w:tr w:rsidR="001C1503" w:rsidRPr="001C1503" w:rsidTr="00AA2880">
        <w:trPr>
          <w:trHeight w:val="548"/>
        </w:trPr>
        <w:tc>
          <w:tcPr>
            <w:tcW w:w="1168" w:type="dxa"/>
            <w:tcBorders>
              <w:top w:val="nil"/>
              <w:left w:val="nil"/>
              <w:bottom w:val="single" w:sz="4" w:space="0" w:color="000000"/>
              <w:right w:val="single" w:sz="4" w:space="0" w:color="000000"/>
            </w:tcBorders>
            <w:vAlign w:val="center"/>
            <w:hideMark/>
          </w:tcPr>
          <w:p w:rsidR="001C1503" w:rsidRPr="001C1503" w:rsidRDefault="001C1503" w:rsidP="00AD79EB">
            <w:pPr>
              <w:spacing w:line="254" w:lineRule="auto"/>
              <w:ind w:left="53"/>
              <w:jc w:val="center"/>
            </w:pPr>
            <w:r w:rsidRPr="001C1503">
              <w:rPr>
                <w:b/>
              </w:rPr>
              <w:t>Percentual</w:t>
            </w:r>
          </w:p>
        </w:tc>
        <w:tc>
          <w:tcPr>
            <w:tcW w:w="8044" w:type="dxa"/>
            <w:tcBorders>
              <w:top w:val="nil"/>
              <w:left w:val="single" w:sz="4" w:space="0" w:color="000000"/>
              <w:bottom w:val="single" w:sz="4" w:space="0" w:color="000000"/>
              <w:right w:val="nil"/>
            </w:tcBorders>
            <w:vAlign w:val="center"/>
            <w:hideMark/>
          </w:tcPr>
          <w:p w:rsidR="001C1503" w:rsidRPr="001C1503" w:rsidRDefault="001C1503" w:rsidP="001C1503">
            <w:pPr>
              <w:spacing w:line="254" w:lineRule="auto"/>
              <w:ind w:left="3"/>
              <w:jc w:val="both"/>
            </w:pPr>
            <w:r w:rsidRPr="001C1503">
              <w:rPr>
                <w:b/>
              </w:rPr>
              <w:t xml:space="preserve">Informações Exigidas no MCASP </w:t>
            </w:r>
          </w:p>
        </w:tc>
      </w:tr>
      <w:tr w:rsidR="001C1503" w:rsidRPr="001C1503" w:rsidTr="00AA2880">
        <w:trPr>
          <w:trHeight w:val="76"/>
        </w:trPr>
        <w:tc>
          <w:tcPr>
            <w:tcW w:w="1168" w:type="dxa"/>
            <w:tcBorders>
              <w:top w:val="single" w:sz="4" w:space="0" w:color="000000"/>
              <w:left w:val="nil"/>
              <w:bottom w:val="single" w:sz="4" w:space="0" w:color="000000"/>
              <w:right w:val="single" w:sz="4" w:space="0" w:color="000000"/>
            </w:tcBorders>
            <w:hideMark/>
          </w:tcPr>
          <w:p w:rsidR="001C1503" w:rsidRPr="001C1503" w:rsidRDefault="001C1503" w:rsidP="00AD79EB">
            <w:pPr>
              <w:spacing w:line="254" w:lineRule="auto"/>
              <w:ind w:left="6"/>
              <w:jc w:val="center"/>
            </w:pPr>
            <w:r w:rsidRPr="001C1503">
              <w:t>40%</w:t>
            </w:r>
          </w:p>
        </w:tc>
        <w:tc>
          <w:tcPr>
            <w:tcW w:w="8044" w:type="dxa"/>
            <w:tcBorders>
              <w:top w:val="single" w:sz="4" w:space="0" w:color="000000"/>
              <w:left w:val="single" w:sz="4" w:space="0" w:color="000000"/>
              <w:bottom w:val="single" w:sz="4" w:space="0" w:color="000000"/>
              <w:right w:val="nil"/>
            </w:tcBorders>
            <w:hideMark/>
          </w:tcPr>
          <w:p w:rsidR="001C1503" w:rsidRPr="001C1503" w:rsidRDefault="001C1503" w:rsidP="001C1503">
            <w:pPr>
              <w:spacing w:line="254" w:lineRule="auto"/>
              <w:jc w:val="both"/>
            </w:pPr>
            <w:r w:rsidRPr="001C1503">
              <w:t xml:space="preserve">Quadro principal em conformidade com o MCASP </w:t>
            </w:r>
          </w:p>
        </w:tc>
      </w:tr>
      <w:tr w:rsidR="001C1503" w:rsidRPr="001C1503" w:rsidTr="00AA2880">
        <w:trPr>
          <w:trHeight w:val="20"/>
        </w:trPr>
        <w:tc>
          <w:tcPr>
            <w:tcW w:w="1168" w:type="dxa"/>
            <w:tcBorders>
              <w:top w:val="single" w:sz="4" w:space="0" w:color="000000"/>
              <w:left w:val="nil"/>
              <w:bottom w:val="single" w:sz="4" w:space="0" w:color="000000"/>
              <w:right w:val="single" w:sz="4" w:space="0" w:color="000000"/>
            </w:tcBorders>
            <w:hideMark/>
          </w:tcPr>
          <w:p w:rsidR="001C1503" w:rsidRPr="001C1503" w:rsidRDefault="001C1503" w:rsidP="00AD79EB">
            <w:pPr>
              <w:spacing w:line="254" w:lineRule="auto"/>
              <w:ind w:left="6"/>
              <w:jc w:val="center"/>
            </w:pPr>
            <w:r w:rsidRPr="001C1503">
              <w:t>15%</w:t>
            </w:r>
          </w:p>
        </w:tc>
        <w:tc>
          <w:tcPr>
            <w:tcW w:w="8044" w:type="dxa"/>
            <w:tcBorders>
              <w:top w:val="single" w:sz="4" w:space="0" w:color="000000"/>
              <w:left w:val="single" w:sz="4" w:space="0" w:color="000000"/>
              <w:bottom w:val="single" w:sz="4" w:space="0" w:color="000000"/>
              <w:right w:val="nil"/>
            </w:tcBorders>
            <w:hideMark/>
          </w:tcPr>
          <w:p w:rsidR="001C1503" w:rsidRPr="001C1503" w:rsidRDefault="001C1503" w:rsidP="001C1503">
            <w:pPr>
              <w:spacing w:line="254" w:lineRule="auto"/>
              <w:jc w:val="both"/>
            </w:pPr>
            <w:r w:rsidRPr="001C1503">
              <w:t xml:space="preserve">Quadro acessório de receitas derivadas e ordinárias em conformidade com o MCASP </w:t>
            </w:r>
          </w:p>
        </w:tc>
      </w:tr>
      <w:tr w:rsidR="001C1503" w:rsidRPr="001C1503" w:rsidTr="00AA2880">
        <w:trPr>
          <w:trHeight w:val="20"/>
        </w:trPr>
        <w:tc>
          <w:tcPr>
            <w:tcW w:w="1168" w:type="dxa"/>
            <w:tcBorders>
              <w:top w:val="single" w:sz="4" w:space="0" w:color="000000"/>
              <w:left w:val="nil"/>
              <w:bottom w:val="single" w:sz="4" w:space="0" w:color="000000"/>
              <w:right w:val="single" w:sz="4" w:space="0" w:color="000000"/>
            </w:tcBorders>
            <w:hideMark/>
          </w:tcPr>
          <w:p w:rsidR="001C1503" w:rsidRPr="001C1503" w:rsidRDefault="001C1503" w:rsidP="00AD79EB">
            <w:pPr>
              <w:spacing w:line="254" w:lineRule="auto"/>
              <w:ind w:left="6"/>
              <w:jc w:val="center"/>
            </w:pPr>
            <w:r w:rsidRPr="001C1503">
              <w:t>15%</w:t>
            </w:r>
          </w:p>
        </w:tc>
        <w:tc>
          <w:tcPr>
            <w:tcW w:w="8044" w:type="dxa"/>
            <w:tcBorders>
              <w:top w:val="single" w:sz="4" w:space="0" w:color="000000"/>
              <w:left w:val="single" w:sz="4" w:space="0" w:color="000000"/>
              <w:bottom w:val="single" w:sz="4" w:space="0" w:color="000000"/>
              <w:right w:val="nil"/>
            </w:tcBorders>
            <w:hideMark/>
          </w:tcPr>
          <w:p w:rsidR="001C1503" w:rsidRPr="001C1503" w:rsidRDefault="001C1503" w:rsidP="001C1503">
            <w:pPr>
              <w:spacing w:line="254" w:lineRule="auto"/>
              <w:jc w:val="both"/>
            </w:pPr>
            <w:r w:rsidRPr="001C1503">
              <w:t xml:space="preserve">Quadro acessório de transferências recebidas e concedias em conformidade com o MCASP </w:t>
            </w:r>
          </w:p>
        </w:tc>
      </w:tr>
      <w:tr w:rsidR="001C1503" w:rsidRPr="001C1503" w:rsidTr="00AA2880">
        <w:trPr>
          <w:trHeight w:val="20"/>
        </w:trPr>
        <w:tc>
          <w:tcPr>
            <w:tcW w:w="1168" w:type="dxa"/>
            <w:tcBorders>
              <w:top w:val="single" w:sz="4" w:space="0" w:color="000000"/>
              <w:left w:val="nil"/>
              <w:bottom w:val="single" w:sz="4" w:space="0" w:color="000000"/>
              <w:right w:val="single" w:sz="4" w:space="0" w:color="000000"/>
            </w:tcBorders>
            <w:hideMark/>
          </w:tcPr>
          <w:p w:rsidR="001C1503" w:rsidRPr="001C1503" w:rsidRDefault="001C1503" w:rsidP="00AD79EB">
            <w:pPr>
              <w:spacing w:line="254" w:lineRule="auto"/>
              <w:ind w:left="6"/>
              <w:jc w:val="center"/>
            </w:pPr>
            <w:r w:rsidRPr="001C1503">
              <w:t>15%</w:t>
            </w:r>
          </w:p>
        </w:tc>
        <w:tc>
          <w:tcPr>
            <w:tcW w:w="8044" w:type="dxa"/>
            <w:tcBorders>
              <w:top w:val="single" w:sz="4" w:space="0" w:color="000000"/>
              <w:left w:val="single" w:sz="4" w:space="0" w:color="000000"/>
              <w:bottom w:val="single" w:sz="4" w:space="0" w:color="000000"/>
              <w:right w:val="nil"/>
            </w:tcBorders>
            <w:hideMark/>
          </w:tcPr>
          <w:p w:rsidR="001C1503" w:rsidRPr="001C1503" w:rsidRDefault="001C1503" w:rsidP="001C1503">
            <w:pPr>
              <w:spacing w:line="254" w:lineRule="auto"/>
              <w:jc w:val="both"/>
            </w:pPr>
            <w:r w:rsidRPr="001C1503">
              <w:t xml:space="preserve">Quadro acessório de desembolso com pessoal em conformidade com o MCASP </w:t>
            </w:r>
          </w:p>
        </w:tc>
      </w:tr>
      <w:tr w:rsidR="001C1503" w:rsidRPr="001C1503" w:rsidTr="00AA2880">
        <w:trPr>
          <w:trHeight w:val="20"/>
        </w:trPr>
        <w:tc>
          <w:tcPr>
            <w:tcW w:w="1168" w:type="dxa"/>
            <w:tcBorders>
              <w:top w:val="single" w:sz="4" w:space="0" w:color="000000"/>
              <w:left w:val="nil"/>
              <w:bottom w:val="nil"/>
              <w:right w:val="single" w:sz="4" w:space="0" w:color="000000"/>
            </w:tcBorders>
            <w:hideMark/>
          </w:tcPr>
          <w:p w:rsidR="001C1503" w:rsidRPr="001C1503" w:rsidRDefault="001C1503" w:rsidP="00AD79EB">
            <w:pPr>
              <w:spacing w:line="254" w:lineRule="auto"/>
              <w:ind w:left="6"/>
              <w:jc w:val="center"/>
            </w:pPr>
            <w:r w:rsidRPr="001C1503">
              <w:t>15%</w:t>
            </w:r>
          </w:p>
        </w:tc>
        <w:tc>
          <w:tcPr>
            <w:tcW w:w="8044" w:type="dxa"/>
            <w:tcBorders>
              <w:top w:val="single" w:sz="4" w:space="0" w:color="000000"/>
              <w:left w:val="single" w:sz="4" w:space="0" w:color="000000"/>
              <w:bottom w:val="nil"/>
              <w:right w:val="nil"/>
            </w:tcBorders>
            <w:hideMark/>
          </w:tcPr>
          <w:p w:rsidR="001C1503" w:rsidRPr="001C1503" w:rsidRDefault="001C1503" w:rsidP="001C1503">
            <w:pPr>
              <w:spacing w:line="254" w:lineRule="auto"/>
              <w:jc w:val="both"/>
            </w:pPr>
            <w:r w:rsidRPr="001C1503">
              <w:t xml:space="preserve">Quadro acessório de juros e encargos da dívida em conformidade com o MCASP. </w:t>
            </w:r>
          </w:p>
        </w:tc>
      </w:tr>
    </w:tbl>
    <w:p w:rsidR="001C1503" w:rsidRPr="001C1503" w:rsidRDefault="001C1503" w:rsidP="001C1503">
      <w:pPr>
        <w:spacing w:line="254" w:lineRule="auto"/>
        <w:ind w:left="-5" w:hanging="10"/>
        <w:jc w:val="both"/>
      </w:pPr>
    </w:p>
    <w:p w:rsidR="001C1503" w:rsidRPr="001C1503" w:rsidRDefault="001C1503" w:rsidP="001C1503">
      <w:pPr>
        <w:spacing w:line="254" w:lineRule="auto"/>
        <w:ind w:left="-5" w:hanging="10"/>
        <w:jc w:val="both"/>
      </w:pPr>
      <w:r w:rsidRPr="00B47F92">
        <w:rPr>
          <w:b/>
        </w:rPr>
        <w:t>Fonte</w:t>
      </w:r>
      <w:r w:rsidRPr="001C1503">
        <w:t xml:space="preserve">: Os autores (2018) </w:t>
      </w:r>
    </w:p>
    <w:p w:rsidR="001C1503" w:rsidRPr="001C1503" w:rsidRDefault="001C1503" w:rsidP="001C1503">
      <w:pPr>
        <w:pStyle w:val="SemEspaamento"/>
        <w:rPr>
          <w:color w:val="auto"/>
        </w:rPr>
      </w:pPr>
    </w:p>
    <w:p w:rsidR="00877B94" w:rsidRDefault="001C1503" w:rsidP="001C1503">
      <w:pPr>
        <w:pStyle w:val="SemEspaamento"/>
        <w:rPr>
          <w:color w:val="auto"/>
        </w:rPr>
      </w:pPr>
      <w:r w:rsidRPr="001C1503">
        <w:rPr>
          <w:color w:val="auto"/>
        </w:rPr>
        <w:t xml:space="preserve">O quadro principal é a peça central da demonstração contábil, lhe foi atribuída à representação de 40% do total de evidenciação da demonstração por ser tratar do quadro </w:t>
      </w:r>
      <w:r w:rsidR="00B47F92">
        <w:rPr>
          <w:color w:val="auto"/>
        </w:rPr>
        <w:t xml:space="preserve">com </w:t>
      </w:r>
      <w:r w:rsidRPr="001C1503">
        <w:rPr>
          <w:color w:val="auto"/>
        </w:rPr>
        <w:t>informações gerais dos fluxos de caixa subdivididos em: investimentos, financiamentos e operacional. Aos quadros acessórios foram atribuídos 15% para cada um dos 4 quadros que forem evidenciados, exatamente por serem quadros complementares que devem acompanhar o princ</w:t>
      </w:r>
      <w:r w:rsidR="00877B94">
        <w:rPr>
          <w:color w:val="auto"/>
        </w:rPr>
        <w:t>ipal. S</w:t>
      </w:r>
      <w:r w:rsidRPr="001C1503">
        <w:rPr>
          <w:color w:val="auto"/>
        </w:rPr>
        <w:t xml:space="preserve">ão responsáveis por fornecer informações complementares ao quadro principal, detalhando as contas do fluxo de caixa operacional. </w:t>
      </w:r>
    </w:p>
    <w:p w:rsidR="001C1503" w:rsidRPr="001C1503" w:rsidRDefault="00877B94" w:rsidP="001C1503">
      <w:pPr>
        <w:pStyle w:val="SemEspaamento"/>
        <w:rPr>
          <w:color w:val="auto"/>
        </w:rPr>
      </w:pPr>
      <w:r>
        <w:rPr>
          <w:color w:val="auto"/>
        </w:rPr>
        <w:t xml:space="preserve">Essas informações possibilitaram classificação de um </w:t>
      </w:r>
      <w:r w:rsidR="004D75F5">
        <w:rPr>
          <w:color w:val="auto"/>
        </w:rPr>
        <w:t>‘</w:t>
      </w:r>
      <w:r>
        <w:rPr>
          <w:color w:val="auto"/>
        </w:rPr>
        <w:t>ranque</w:t>
      </w:r>
      <w:r w:rsidR="004D75F5">
        <w:rPr>
          <w:color w:val="auto"/>
        </w:rPr>
        <w:t>’</w:t>
      </w:r>
      <w:r>
        <w:rPr>
          <w:color w:val="auto"/>
        </w:rPr>
        <w:t xml:space="preserve"> nos </w:t>
      </w:r>
      <w:r w:rsidR="001C1503" w:rsidRPr="001C1503">
        <w:rPr>
          <w:color w:val="auto"/>
        </w:rPr>
        <w:t>município</w:t>
      </w:r>
      <w:r>
        <w:rPr>
          <w:color w:val="auto"/>
        </w:rPr>
        <w:t xml:space="preserve">s, </w:t>
      </w:r>
      <w:r w:rsidR="004D75F5">
        <w:rPr>
          <w:color w:val="auto"/>
        </w:rPr>
        <w:t>a fim de</w:t>
      </w:r>
      <w:r>
        <w:rPr>
          <w:color w:val="auto"/>
        </w:rPr>
        <w:t xml:space="preserve"> encontrar o município mais próximo de </w:t>
      </w:r>
      <w:r w:rsidR="001C1503" w:rsidRPr="001C1503">
        <w:rPr>
          <w:color w:val="auto"/>
        </w:rPr>
        <w:t xml:space="preserve">100% </w:t>
      </w:r>
      <w:r>
        <w:rPr>
          <w:color w:val="auto"/>
        </w:rPr>
        <w:t xml:space="preserve">de cumprimento das exigências do CASP/2014, o que para os pesquisadores se convencionou como ‘município </w:t>
      </w:r>
      <w:r w:rsidR="001C1503" w:rsidRPr="001C1503">
        <w:rPr>
          <w:color w:val="auto"/>
        </w:rPr>
        <w:t>transparente</w:t>
      </w:r>
      <w:r>
        <w:rPr>
          <w:color w:val="auto"/>
        </w:rPr>
        <w:t>’ aquele que</w:t>
      </w:r>
      <w:r w:rsidR="005744B0">
        <w:rPr>
          <w:color w:val="auto"/>
        </w:rPr>
        <w:t xml:space="preserve"> </w:t>
      </w:r>
      <w:r w:rsidR="001C1503" w:rsidRPr="001C1503">
        <w:rPr>
          <w:color w:val="auto"/>
        </w:rPr>
        <w:t>demonstrar seu quadro principal e todos os quatro quadros acessórios.</w:t>
      </w:r>
    </w:p>
    <w:p w:rsidR="005744B0" w:rsidRDefault="001C1503" w:rsidP="001C1503">
      <w:pPr>
        <w:pStyle w:val="SemEspaamento"/>
        <w:rPr>
          <w:color w:val="auto"/>
        </w:rPr>
      </w:pPr>
      <w:r w:rsidRPr="001C1503">
        <w:rPr>
          <w:color w:val="auto"/>
        </w:rPr>
        <w:t>A pesquisa co</w:t>
      </w:r>
      <w:r w:rsidR="00877B94">
        <w:rPr>
          <w:color w:val="auto"/>
        </w:rPr>
        <w:t>mparou os anos de 2015 e 2016, investigando</w:t>
      </w:r>
      <w:r w:rsidRPr="001C1503">
        <w:rPr>
          <w:color w:val="auto"/>
        </w:rPr>
        <w:t xml:space="preserve"> quantos municípios tiveram 100%, 75%, 50% e 25% de evidenciação. Além, de analisar o quantitativo de municípios que publicou cada quadro da DFC nos anos de 2015 e 2016</w:t>
      </w:r>
      <w:r w:rsidR="005744B0">
        <w:rPr>
          <w:color w:val="auto"/>
        </w:rPr>
        <w:t>.</w:t>
      </w:r>
    </w:p>
    <w:p w:rsidR="001C1503" w:rsidRPr="001C1503" w:rsidRDefault="005744B0" w:rsidP="001C1503">
      <w:pPr>
        <w:pStyle w:val="SemEspaamento"/>
        <w:rPr>
          <w:color w:val="auto"/>
        </w:rPr>
      </w:pPr>
      <w:r>
        <w:rPr>
          <w:color w:val="auto"/>
        </w:rPr>
        <w:t>As analises e discussões á seguir mostram</w:t>
      </w:r>
      <w:r w:rsidR="001C1503" w:rsidRPr="001C1503">
        <w:rPr>
          <w:color w:val="auto"/>
        </w:rPr>
        <w:t xml:space="preserve"> o comp</w:t>
      </w:r>
      <w:r>
        <w:rPr>
          <w:color w:val="auto"/>
        </w:rPr>
        <w:t>ortamento dos percentuais nos dois</w:t>
      </w:r>
      <w:r w:rsidR="001C1503" w:rsidRPr="001C1503">
        <w:rPr>
          <w:color w:val="auto"/>
        </w:rPr>
        <w:t xml:space="preserve"> anos, conforme mostram as a</w:t>
      </w:r>
      <w:r>
        <w:rPr>
          <w:color w:val="auto"/>
        </w:rPr>
        <w:t>nálises e discussões que seguem.</w:t>
      </w:r>
    </w:p>
    <w:p w:rsidR="001C1503" w:rsidRPr="001C1503" w:rsidRDefault="001C1503" w:rsidP="001C1503">
      <w:pPr>
        <w:pStyle w:val="SemEspaamento"/>
        <w:rPr>
          <w:b/>
          <w:color w:val="auto"/>
        </w:rPr>
      </w:pPr>
    </w:p>
    <w:p w:rsidR="001C1503" w:rsidRPr="001C1503" w:rsidRDefault="001C1503" w:rsidP="00E26692">
      <w:pPr>
        <w:pStyle w:val="Ttulo1"/>
        <w:numPr>
          <w:ilvl w:val="0"/>
          <w:numId w:val="0"/>
        </w:numPr>
        <w:ind w:left="432" w:hanging="432"/>
        <w:rPr>
          <w:rFonts w:cs="Times New Roman"/>
          <w:color w:val="auto"/>
          <w:szCs w:val="24"/>
        </w:rPr>
      </w:pPr>
      <w:r w:rsidRPr="001C1503">
        <w:rPr>
          <w:rFonts w:cs="Times New Roman"/>
          <w:caps w:val="0"/>
          <w:szCs w:val="24"/>
        </w:rPr>
        <w:t xml:space="preserve">Análise e Discussões </w:t>
      </w:r>
      <w:r w:rsidR="00E26692">
        <w:rPr>
          <w:rFonts w:cs="Times New Roman"/>
          <w:caps w:val="0"/>
          <w:szCs w:val="24"/>
        </w:rPr>
        <w:t>dos Achados</w:t>
      </w:r>
    </w:p>
    <w:p w:rsidR="001C1503" w:rsidRPr="001C1503" w:rsidRDefault="001C1503" w:rsidP="001A72C1">
      <w:pPr>
        <w:pStyle w:val="SemEspaamento"/>
        <w:rPr>
          <w:color w:val="auto"/>
        </w:rPr>
      </w:pPr>
      <w:r w:rsidRPr="001C1503">
        <w:rPr>
          <w:color w:val="auto"/>
        </w:rPr>
        <w:t>Nesta etapa serão demonstrados como estão sendo publicadas as Demonstrações dos Fluxos de Caixa d</w:t>
      </w:r>
      <w:r w:rsidR="005744B0">
        <w:t>os 144 municípios que formam</w:t>
      </w:r>
      <w:r w:rsidRPr="001C1503">
        <w:t xml:space="preserve"> o estado do Pará. </w:t>
      </w:r>
      <w:r w:rsidR="005744B0">
        <w:t xml:space="preserve">A </w:t>
      </w:r>
      <w:r w:rsidRPr="001C1503">
        <w:t>tabela 2 trata da evidenciação dos quadros da DFC de forma comparada entre 2015 e 2016.</w:t>
      </w:r>
      <w:r w:rsidR="005744B0" w:rsidRPr="005744B0">
        <w:t xml:space="preserve"> </w:t>
      </w:r>
      <w:r w:rsidR="005744B0">
        <w:t xml:space="preserve">No </w:t>
      </w:r>
      <w:r w:rsidR="005744B0" w:rsidRPr="001C1503">
        <w:t>ano de 2015 um total de 29 municípios não fez a DFC. No ano de 2016 esse número fica ainda maior, quando 33 mun</w:t>
      </w:r>
      <w:r w:rsidR="005744B0">
        <w:t>icípios deixam de elaborar a demonstração.</w:t>
      </w:r>
    </w:p>
    <w:p w:rsidR="001C1503" w:rsidRDefault="001C1503" w:rsidP="001A72C1">
      <w:pPr>
        <w:ind w:firstLine="709"/>
        <w:jc w:val="both"/>
        <w:rPr>
          <w:sz w:val="24"/>
          <w:szCs w:val="24"/>
        </w:rPr>
      </w:pPr>
    </w:p>
    <w:p w:rsidR="005744B0" w:rsidRDefault="005744B0" w:rsidP="001C1503">
      <w:pPr>
        <w:spacing w:line="254" w:lineRule="auto"/>
        <w:jc w:val="both"/>
        <w:rPr>
          <w:sz w:val="24"/>
          <w:szCs w:val="24"/>
        </w:rPr>
      </w:pPr>
    </w:p>
    <w:p w:rsidR="005744B0" w:rsidRDefault="005744B0" w:rsidP="001C1503">
      <w:pPr>
        <w:spacing w:line="254" w:lineRule="auto"/>
        <w:jc w:val="both"/>
        <w:rPr>
          <w:sz w:val="24"/>
          <w:szCs w:val="24"/>
        </w:rPr>
      </w:pPr>
    </w:p>
    <w:p w:rsidR="005744B0" w:rsidRDefault="005744B0" w:rsidP="001C1503">
      <w:pPr>
        <w:spacing w:line="254" w:lineRule="auto"/>
        <w:jc w:val="both"/>
        <w:rPr>
          <w:sz w:val="24"/>
          <w:szCs w:val="24"/>
        </w:rPr>
      </w:pPr>
    </w:p>
    <w:p w:rsidR="005744B0" w:rsidRDefault="005744B0" w:rsidP="001C1503">
      <w:pPr>
        <w:spacing w:line="254" w:lineRule="auto"/>
        <w:jc w:val="both"/>
        <w:rPr>
          <w:sz w:val="24"/>
          <w:szCs w:val="24"/>
        </w:rPr>
      </w:pPr>
    </w:p>
    <w:p w:rsidR="001C1503" w:rsidRDefault="001C1503" w:rsidP="001A72C1">
      <w:pPr>
        <w:pStyle w:val="Legenda"/>
        <w:keepNext/>
        <w:ind w:firstLine="0"/>
        <w:rPr>
          <w:i w:val="0"/>
          <w:color w:val="auto"/>
          <w:sz w:val="20"/>
          <w:szCs w:val="20"/>
        </w:rPr>
      </w:pPr>
      <w:r w:rsidRPr="005744B0">
        <w:rPr>
          <w:b/>
          <w:i w:val="0"/>
          <w:color w:val="auto"/>
          <w:sz w:val="20"/>
          <w:szCs w:val="20"/>
        </w:rPr>
        <w:lastRenderedPageBreak/>
        <w:t>Tabela 2.</w:t>
      </w:r>
      <w:r w:rsidRPr="001C1503">
        <w:rPr>
          <w:i w:val="0"/>
          <w:color w:val="auto"/>
          <w:sz w:val="20"/>
          <w:szCs w:val="20"/>
        </w:rPr>
        <w:t xml:space="preserve"> Evidenciação dos Quadros da DFC nos anos de 2015 e 2016</w:t>
      </w:r>
      <w:r w:rsidR="005744B0">
        <w:rPr>
          <w:i w:val="0"/>
          <w:color w:val="auto"/>
          <w:sz w:val="20"/>
          <w:szCs w:val="20"/>
        </w:rPr>
        <w:t xml:space="preserve"> </w:t>
      </w:r>
    </w:p>
    <w:tbl>
      <w:tblPr>
        <w:tblStyle w:val="TabelaSimples22"/>
        <w:tblW w:w="0" w:type="auto"/>
        <w:tblInd w:w="108" w:type="dxa"/>
        <w:tblBorders>
          <w:top w:val="none" w:sz="0" w:space="0" w:color="auto"/>
          <w:bottom w:val="none" w:sz="0" w:space="0" w:color="auto"/>
          <w:insideH w:val="single" w:sz="4" w:space="0" w:color="auto"/>
          <w:insideV w:val="single" w:sz="4" w:space="0" w:color="auto"/>
        </w:tblBorders>
        <w:tblLook w:val="04A0" w:firstRow="1" w:lastRow="0" w:firstColumn="1" w:lastColumn="0" w:noHBand="0" w:noVBand="1"/>
      </w:tblPr>
      <w:tblGrid>
        <w:gridCol w:w="1701"/>
        <w:gridCol w:w="5529"/>
        <w:gridCol w:w="1703"/>
      </w:tblGrid>
      <w:tr w:rsidR="005744B0" w:rsidRPr="005744B0" w:rsidTr="001A7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5744B0" w:rsidRPr="005744B0" w:rsidRDefault="005744B0" w:rsidP="003027EB">
            <w:pPr>
              <w:spacing w:line="256" w:lineRule="auto"/>
              <w:jc w:val="center"/>
            </w:pPr>
            <w:r w:rsidRPr="005744B0">
              <w:t>Quantidade de Municípios 2015</w:t>
            </w:r>
          </w:p>
        </w:tc>
        <w:tc>
          <w:tcPr>
            <w:tcW w:w="5529" w:type="dxa"/>
            <w:vAlign w:val="center"/>
          </w:tcPr>
          <w:p w:rsidR="005744B0" w:rsidRPr="005744B0" w:rsidRDefault="005744B0" w:rsidP="003027EB">
            <w:pPr>
              <w:spacing w:line="256" w:lineRule="auto"/>
              <w:jc w:val="center"/>
              <w:cnfStyle w:val="100000000000" w:firstRow="1" w:lastRow="0" w:firstColumn="0" w:lastColumn="0" w:oddVBand="0" w:evenVBand="0" w:oddHBand="0" w:evenHBand="0" w:firstRowFirstColumn="0" w:firstRowLastColumn="0" w:lastRowFirstColumn="0" w:lastRowLastColumn="0"/>
            </w:pPr>
            <w:r>
              <w:t>Quadros E</w:t>
            </w:r>
            <w:r w:rsidRPr="005744B0">
              <w:t>videnciados</w:t>
            </w:r>
            <w:r>
              <w:t>.</w:t>
            </w:r>
          </w:p>
        </w:tc>
        <w:tc>
          <w:tcPr>
            <w:tcW w:w="1703" w:type="dxa"/>
            <w:vAlign w:val="center"/>
          </w:tcPr>
          <w:p w:rsidR="005744B0" w:rsidRPr="005744B0" w:rsidRDefault="005744B0" w:rsidP="003027EB">
            <w:pPr>
              <w:spacing w:line="256" w:lineRule="auto"/>
              <w:jc w:val="center"/>
              <w:cnfStyle w:val="100000000000" w:firstRow="1" w:lastRow="0" w:firstColumn="0" w:lastColumn="0" w:oddVBand="0" w:evenVBand="0" w:oddHBand="0" w:evenHBand="0" w:firstRowFirstColumn="0" w:firstRowLastColumn="0" w:lastRowFirstColumn="0" w:lastRowLastColumn="0"/>
            </w:pPr>
            <w:r w:rsidRPr="005744B0">
              <w:t>Grau de Evidenciação</w:t>
            </w:r>
          </w:p>
        </w:tc>
      </w:tr>
      <w:tr w:rsidR="005744B0" w:rsidRPr="005744B0" w:rsidTr="001A7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744B0" w:rsidRPr="005744B0" w:rsidRDefault="005744B0" w:rsidP="003027EB">
            <w:pPr>
              <w:spacing w:line="256" w:lineRule="auto"/>
              <w:jc w:val="center"/>
              <w:rPr>
                <w:b w:val="0"/>
              </w:rPr>
            </w:pPr>
            <w:r w:rsidRPr="005744B0">
              <w:rPr>
                <w:b w:val="0"/>
              </w:rPr>
              <w:t>41</w:t>
            </w:r>
          </w:p>
        </w:tc>
        <w:tc>
          <w:tcPr>
            <w:tcW w:w="5529" w:type="dxa"/>
          </w:tcPr>
          <w:p w:rsidR="005744B0" w:rsidRPr="005744B0" w:rsidRDefault="005744B0" w:rsidP="003027EB">
            <w:pPr>
              <w:spacing w:line="256" w:lineRule="auto"/>
              <w:jc w:val="both"/>
              <w:cnfStyle w:val="000000100000" w:firstRow="0" w:lastRow="0" w:firstColumn="0" w:lastColumn="0" w:oddVBand="0" w:evenVBand="0" w:oddHBand="1" w:evenHBand="0" w:firstRowFirstColumn="0" w:firstRowLastColumn="0" w:lastRowFirstColumn="0" w:lastRowLastColumn="0"/>
            </w:pPr>
            <w:r w:rsidRPr="005744B0">
              <w:t>Todos os quadros</w:t>
            </w:r>
          </w:p>
        </w:tc>
        <w:tc>
          <w:tcPr>
            <w:tcW w:w="1703" w:type="dxa"/>
          </w:tcPr>
          <w:p w:rsidR="005744B0" w:rsidRPr="005744B0" w:rsidRDefault="005744B0" w:rsidP="003027EB">
            <w:pPr>
              <w:spacing w:line="256" w:lineRule="auto"/>
              <w:jc w:val="center"/>
              <w:cnfStyle w:val="000000100000" w:firstRow="0" w:lastRow="0" w:firstColumn="0" w:lastColumn="0" w:oddVBand="0" w:evenVBand="0" w:oddHBand="1" w:evenHBand="0" w:firstRowFirstColumn="0" w:firstRowLastColumn="0" w:lastRowFirstColumn="0" w:lastRowLastColumn="0"/>
            </w:pPr>
            <w:r w:rsidRPr="005744B0">
              <w:t>100%</w:t>
            </w:r>
          </w:p>
        </w:tc>
      </w:tr>
      <w:tr w:rsidR="005744B0" w:rsidRPr="005744B0" w:rsidTr="001A72C1">
        <w:tc>
          <w:tcPr>
            <w:cnfStyle w:val="001000000000" w:firstRow="0" w:lastRow="0" w:firstColumn="1" w:lastColumn="0" w:oddVBand="0" w:evenVBand="0" w:oddHBand="0" w:evenHBand="0" w:firstRowFirstColumn="0" w:firstRowLastColumn="0" w:lastRowFirstColumn="0" w:lastRowLastColumn="0"/>
            <w:tcW w:w="1701" w:type="dxa"/>
          </w:tcPr>
          <w:p w:rsidR="005744B0" w:rsidRPr="005744B0" w:rsidRDefault="005744B0" w:rsidP="003027EB">
            <w:pPr>
              <w:spacing w:line="256" w:lineRule="auto"/>
              <w:jc w:val="center"/>
              <w:rPr>
                <w:b w:val="0"/>
              </w:rPr>
            </w:pPr>
            <w:r w:rsidRPr="005744B0">
              <w:rPr>
                <w:b w:val="0"/>
              </w:rPr>
              <w:t>01</w:t>
            </w:r>
          </w:p>
        </w:tc>
        <w:tc>
          <w:tcPr>
            <w:tcW w:w="5529" w:type="dxa"/>
          </w:tcPr>
          <w:p w:rsidR="005744B0" w:rsidRPr="005744B0" w:rsidRDefault="005744B0" w:rsidP="003027EB">
            <w:pPr>
              <w:spacing w:line="256" w:lineRule="auto"/>
              <w:jc w:val="both"/>
              <w:cnfStyle w:val="000000000000" w:firstRow="0" w:lastRow="0" w:firstColumn="0" w:lastColumn="0" w:oddVBand="0" w:evenVBand="0" w:oddHBand="0" w:evenHBand="0" w:firstRowFirstColumn="0" w:firstRowLastColumn="0" w:lastRowFirstColumn="0" w:lastRowLastColumn="0"/>
            </w:pPr>
            <w:r w:rsidRPr="005744B0">
              <w:t>Somente quadro principal e 3 acessórios</w:t>
            </w:r>
          </w:p>
        </w:tc>
        <w:tc>
          <w:tcPr>
            <w:tcW w:w="1703" w:type="dxa"/>
          </w:tcPr>
          <w:p w:rsidR="005744B0" w:rsidRPr="005744B0" w:rsidRDefault="005744B0" w:rsidP="003027EB">
            <w:pPr>
              <w:spacing w:line="256" w:lineRule="auto"/>
              <w:jc w:val="center"/>
              <w:cnfStyle w:val="000000000000" w:firstRow="0" w:lastRow="0" w:firstColumn="0" w:lastColumn="0" w:oddVBand="0" w:evenVBand="0" w:oddHBand="0" w:evenHBand="0" w:firstRowFirstColumn="0" w:firstRowLastColumn="0" w:lastRowFirstColumn="0" w:lastRowLastColumn="0"/>
            </w:pPr>
            <w:r w:rsidRPr="005744B0">
              <w:t>85%</w:t>
            </w:r>
          </w:p>
        </w:tc>
      </w:tr>
      <w:tr w:rsidR="005744B0" w:rsidRPr="005744B0" w:rsidTr="001A7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744B0" w:rsidRPr="005744B0" w:rsidRDefault="005744B0" w:rsidP="003027EB">
            <w:pPr>
              <w:spacing w:line="256" w:lineRule="auto"/>
              <w:jc w:val="center"/>
              <w:rPr>
                <w:b w:val="0"/>
              </w:rPr>
            </w:pPr>
            <w:r w:rsidRPr="005744B0">
              <w:rPr>
                <w:b w:val="0"/>
              </w:rPr>
              <w:t>01</w:t>
            </w:r>
          </w:p>
        </w:tc>
        <w:tc>
          <w:tcPr>
            <w:tcW w:w="5529" w:type="dxa"/>
          </w:tcPr>
          <w:p w:rsidR="005744B0" w:rsidRPr="005744B0" w:rsidRDefault="005744B0" w:rsidP="003027EB">
            <w:pPr>
              <w:spacing w:line="256" w:lineRule="auto"/>
              <w:jc w:val="both"/>
              <w:cnfStyle w:val="000000100000" w:firstRow="0" w:lastRow="0" w:firstColumn="0" w:lastColumn="0" w:oddVBand="0" w:evenVBand="0" w:oddHBand="1" w:evenHBand="0" w:firstRowFirstColumn="0" w:firstRowLastColumn="0" w:lastRowFirstColumn="0" w:lastRowLastColumn="0"/>
            </w:pPr>
            <w:r w:rsidRPr="005744B0">
              <w:t>Somente 3 acessórios</w:t>
            </w:r>
          </w:p>
        </w:tc>
        <w:tc>
          <w:tcPr>
            <w:tcW w:w="1703" w:type="dxa"/>
          </w:tcPr>
          <w:p w:rsidR="005744B0" w:rsidRPr="005744B0" w:rsidRDefault="005744B0" w:rsidP="003027EB">
            <w:pPr>
              <w:spacing w:line="256" w:lineRule="auto"/>
              <w:jc w:val="center"/>
              <w:cnfStyle w:val="000000100000" w:firstRow="0" w:lastRow="0" w:firstColumn="0" w:lastColumn="0" w:oddVBand="0" w:evenVBand="0" w:oddHBand="1" w:evenHBand="0" w:firstRowFirstColumn="0" w:firstRowLastColumn="0" w:lastRowFirstColumn="0" w:lastRowLastColumn="0"/>
            </w:pPr>
            <w:r w:rsidRPr="005744B0">
              <w:t>45%</w:t>
            </w:r>
          </w:p>
        </w:tc>
      </w:tr>
      <w:tr w:rsidR="005744B0" w:rsidRPr="005744B0" w:rsidTr="001A72C1">
        <w:tc>
          <w:tcPr>
            <w:cnfStyle w:val="001000000000" w:firstRow="0" w:lastRow="0" w:firstColumn="1" w:lastColumn="0" w:oddVBand="0" w:evenVBand="0" w:oddHBand="0" w:evenHBand="0" w:firstRowFirstColumn="0" w:firstRowLastColumn="0" w:lastRowFirstColumn="0" w:lastRowLastColumn="0"/>
            <w:tcW w:w="1701" w:type="dxa"/>
          </w:tcPr>
          <w:p w:rsidR="005744B0" w:rsidRPr="005744B0" w:rsidRDefault="005744B0" w:rsidP="003027EB">
            <w:pPr>
              <w:spacing w:line="256" w:lineRule="auto"/>
              <w:jc w:val="center"/>
              <w:rPr>
                <w:b w:val="0"/>
              </w:rPr>
            </w:pPr>
            <w:r w:rsidRPr="005744B0">
              <w:rPr>
                <w:b w:val="0"/>
              </w:rPr>
              <w:t>71</w:t>
            </w:r>
          </w:p>
        </w:tc>
        <w:tc>
          <w:tcPr>
            <w:tcW w:w="5529" w:type="dxa"/>
          </w:tcPr>
          <w:p w:rsidR="005744B0" w:rsidRPr="005744B0" w:rsidRDefault="005744B0" w:rsidP="003027EB">
            <w:pPr>
              <w:spacing w:line="256" w:lineRule="auto"/>
              <w:jc w:val="both"/>
              <w:cnfStyle w:val="000000000000" w:firstRow="0" w:lastRow="0" w:firstColumn="0" w:lastColumn="0" w:oddVBand="0" w:evenVBand="0" w:oddHBand="0" w:evenHBand="0" w:firstRowFirstColumn="0" w:firstRowLastColumn="0" w:lastRowFirstColumn="0" w:lastRowLastColumn="0"/>
            </w:pPr>
            <w:r w:rsidRPr="005744B0">
              <w:t>Somente o quadro principal</w:t>
            </w:r>
          </w:p>
        </w:tc>
        <w:tc>
          <w:tcPr>
            <w:tcW w:w="1703" w:type="dxa"/>
          </w:tcPr>
          <w:p w:rsidR="005744B0" w:rsidRPr="005744B0" w:rsidRDefault="005744B0" w:rsidP="003027EB">
            <w:pPr>
              <w:spacing w:line="256" w:lineRule="auto"/>
              <w:jc w:val="center"/>
              <w:cnfStyle w:val="000000000000" w:firstRow="0" w:lastRow="0" w:firstColumn="0" w:lastColumn="0" w:oddVBand="0" w:evenVBand="0" w:oddHBand="0" w:evenHBand="0" w:firstRowFirstColumn="0" w:firstRowLastColumn="0" w:lastRowFirstColumn="0" w:lastRowLastColumn="0"/>
            </w:pPr>
            <w:r w:rsidRPr="005744B0">
              <w:t>40%</w:t>
            </w:r>
          </w:p>
        </w:tc>
      </w:tr>
      <w:tr w:rsidR="005744B0" w:rsidRPr="005744B0" w:rsidTr="001A7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744B0" w:rsidRPr="005744B0" w:rsidRDefault="005744B0" w:rsidP="003027EB">
            <w:pPr>
              <w:spacing w:line="256" w:lineRule="auto"/>
              <w:jc w:val="center"/>
              <w:rPr>
                <w:b w:val="0"/>
              </w:rPr>
            </w:pPr>
            <w:r w:rsidRPr="005744B0">
              <w:rPr>
                <w:b w:val="0"/>
              </w:rPr>
              <w:t>01</w:t>
            </w:r>
          </w:p>
        </w:tc>
        <w:tc>
          <w:tcPr>
            <w:tcW w:w="5529" w:type="dxa"/>
          </w:tcPr>
          <w:p w:rsidR="005744B0" w:rsidRPr="005744B0" w:rsidRDefault="005744B0" w:rsidP="003027EB">
            <w:pPr>
              <w:spacing w:line="256" w:lineRule="auto"/>
              <w:jc w:val="both"/>
              <w:cnfStyle w:val="000000100000" w:firstRow="0" w:lastRow="0" w:firstColumn="0" w:lastColumn="0" w:oddVBand="0" w:evenVBand="0" w:oddHBand="1" w:evenHBand="0" w:firstRowFirstColumn="0" w:firstRowLastColumn="0" w:lastRowFirstColumn="0" w:lastRowLastColumn="0"/>
            </w:pPr>
            <w:r w:rsidRPr="005744B0">
              <w:t>Apenas 1 acessório</w:t>
            </w:r>
          </w:p>
        </w:tc>
        <w:tc>
          <w:tcPr>
            <w:tcW w:w="1703" w:type="dxa"/>
          </w:tcPr>
          <w:p w:rsidR="005744B0" w:rsidRPr="005744B0" w:rsidRDefault="005744B0" w:rsidP="003027EB">
            <w:pPr>
              <w:spacing w:line="256" w:lineRule="auto"/>
              <w:jc w:val="center"/>
              <w:cnfStyle w:val="000000100000" w:firstRow="0" w:lastRow="0" w:firstColumn="0" w:lastColumn="0" w:oddVBand="0" w:evenVBand="0" w:oddHBand="1" w:evenHBand="0" w:firstRowFirstColumn="0" w:firstRowLastColumn="0" w:lastRowFirstColumn="0" w:lastRowLastColumn="0"/>
            </w:pPr>
            <w:r w:rsidRPr="005744B0">
              <w:t>15%</w:t>
            </w:r>
          </w:p>
        </w:tc>
      </w:tr>
      <w:tr w:rsidR="005744B0" w:rsidRPr="005744B0" w:rsidTr="001A72C1">
        <w:tc>
          <w:tcPr>
            <w:cnfStyle w:val="001000000000" w:firstRow="0" w:lastRow="0" w:firstColumn="1" w:lastColumn="0" w:oddVBand="0" w:evenVBand="0" w:oddHBand="0" w:evenHBand="0" w:firstRowFirstColumn="0" w:firstRowLastColumn="0" w:lastRowFirstColumn="0" w:lastRowLastColumn="0"/>
            <w:tcW w:w="1701" w:type="dxa"/>
          </w:tcPr>
          <w:p w:rsidR="005744B0" w:rsidRPr="005744B0" w:rsidRDefault="005744B0" w:rsidP="003027EB">
            <w:pPr>
              <w:spacing w:line="256" w:lineRule="auto"/>
              <w:jc w:val="center"/>
              <w:rPr>
                <w:b w:val="0"/>
              </w:rPr>
            </w:pPr>
            <w:r w:rsidRPr="005744B0">
              <w:rPr>
                <w:b w:val="0"/>
              </w:rPr>
              <w:t>29</w:t>
            </w:r>
          </w:p>
        </w:tc>
        <w:tc>
          <w:tcPr>
            <w:tcW w:w="5529" w:type="dxa"/>
          </w:tcPr>
          <w:p w:rsidR="005744B0" w:rsidRPr="005744B0" w:rsidRDefault="005744B0" w:rsidP="003027EB">
            <w:pPr>
              <w:spacing w:line="256" w:lineRule="auto"/>
              <w:jc w:val="both"/>
              <w:cnfStyle w:val="000000000000" w:firstRow="0" w:lastRow="0" w:firstColumn="0" w:lastColumn="0" w:oddVBand="0" w:evenVBand="0" w:oddHBand="0" w:evenHBand="0" w:firstRowFirstColumn="0" w:firstRowLastColumn="0" w:lastRowFirstColumn="0" w:lastRowLastColumn="0"/>
            </w:pPr>
            <w:r w:rsidRPr="005744B0">
              <w:t>Nenhum quadro</w:t>
            </w:r>
          </w:p>
        </w:tc>
        <w:tc>
          <w:tcPr>
            <w:tcW w:w="1703" w:type="dxa"/>
          </w:tcPr>
          <w:p w:rsidR="005744B0" w:rsidRPr="005744B0" w:rsidRDefault="005744B0" w:rsidP="003027EB">
            <w:pPr>
              <w:spacing w:line="256" w:lineRule="auto"/>
              <w:jc w:val="center"/>
              <w:cnfStyle w:val="000000000000" w:firstRow="0" w:lastRow="0" w:firstColumn="0" w:lastColumn="0" w:oddVBand="0" w:evenVBand="0" w:oddHBand="0" w:evenHBand="0" w:firstRowFirstColumn="0" w:firstRowLastColumn="0" w:lastRowFirstColumn="0" w:lastRowLastColumn="0"/>
            </w:pPr>
            <w:r w:rsidRPr="005744B0">
              <w:t>0%</w:t>
            </w:r>
          </w:p>
        </w:tc>
      </w:tr>
      <w:tr w:rsidR="005744B0" w:rsidRPr="005744B0" w:rsidTr="001A7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5744B0" w:rsidRPr="005744B0" w:rsidRDefault="005744B0" w:rsidP="003027EB">
            <w:pPr>
              <w:spacing w:line="256" w:lineRule="auto"/>
              <w:jc w:val="center"/>
              <w:rPr>
                <w:b w:val="0"/>
              </w:rPr>
            </w:pPr>
            <w:r w:rsidRPr="005744B0">
              <w:t>Quantidade de Municípios 2016</w:t>
            </w:r>
          </w:p>
        </w:tc>
        <w:tc>
          <w:tcPr>
            <w:tcW w:w="5529" w:type="dxa"/>
            <w:vAlign w:val="center"/>
          </w:tcPr>
          <w:p w:rsidR="005744B0" w:rsidRPr="005744B0" w:rsidRDefault="005744B0" w:rsidP="003027EB">
            <w:pPr>
              <w:spacing w:line="256" w:lineRule="auto"/>
              <w:jc w:val="center"/>
              <w:cnfStyle w:val="000000100000" w:firstRow="0" w:lastRow="0" w:firstColumn="0" w:lastColumn="0" w:oddVBand="0" w:evenVBand="0" w:oddHBand="1" w:evenHBand="0" w:firstRowFirstColumn="0" w:firstRowLastColumn="0" w:lastRowFirstColumn="0" w:lastRowLastColumn="0"/>
              <w:rPr>
                <w:b/>
              </w:rPr>
            </w:pPr>
            <w:r>
              <w:rPr>
                <w:b/>
              </w:rPr>
              <w:t>Quadros E</w:t>
            </w:r>
            <w:r w:rsidRPr="005744B0">
              <w:rPr>
                <w:b/>
              </w:rPr>
              <w:t>videnciados</w:t>
            </w:r>
            <w:r>
              <w:rPr>
                <w:b/>
              </w:rPr>
              <w:t>.</w:t>
            </w:r>
          </w:p>
        </w:tc>
        <w:tc>
          <w:tcPr>
            <w:tcW w:w="1703" w:type="dxa"/>
            <w:vAlign w:val="center"/>
          </w:tcPr>
          <w:p w:rsidR="005744B0" w:rsidRPr="005744B0" w:rsidRDefault="005744B0" w:rsidP="003027EB">
            <w:pPr>
              <w:spacing w:line="256" w:lineRule="auto"/>
              <w:jc w:val="center"/>
              <w:cnfStyle w:val="000000100000" w:firstRow="0" w:lastRow="0" w:firstColumn="0" w:lastColumn="0" w:oddVBand="0" w:evenVBand="0" w:oddHBand="1" w:evenHBand="0" w:firstRowFirstColumn="0" w:firstRowLastColumn="0" w:lastRowFirstColumn="0" w:lastRowLastColumn="0"/>
              <w:rPr>
                <w:b/>
              </w:rPr>
            </w:pPr>
            <w:r w:rsidRPr="005744B0">
              <w:rPr>
                <w:b/>
              </w:rPr>
              <w:t>Grau de Evidenciação</w:t>
            </w:r>
          </w:p>
        </w:tc>
      </w:tr>
      <w:tr w:rsidR="005744B0" w:rsidRPr="005744B0" w:rsidTr="001A72C1">
        <w:tc>
          <w:tcPr>
            <w:cnfStyle w:val="001000000000" w:firstRow="0" w:lastRow="0" w:firstColumn="1" w:lastColumn="0" w:oddVBand="0" w:evenVBand="0" w:oddHBand="0" w:evenHBand="0" w:firstRowFirstColumn="0" w:firstRowLastColumn="0" w:lastRowFirstColumn="0" w:lastRowLastColumn="0"/>
            <w:tcW w:w="1701" w:type="dxa"/>
          </w:tcPr>
          <w:p w:rsidR="005744B0" w:rsidRPr="005744B0" w:rsidRDefault="005744B0" w:rsidP="003027EB">
            <w:pPr>
              <w:spacing w:line="256" w:lineRule="auto"/>
              <w:jc w:val="center"/>
              <w:rPr>
                <w:b w:val="0"/>
              </w:rPr>
            </w:pPr>
            <w:r w:rsidRPr="005744B0">
              <w:rPr>
                <w:b w:val="0"/>
              </w:rPr>
              <w:t>45</w:t>
            </w:r>
          </w:p>
        </w:tc>
        <w:tc>
          <w:tcPr>
            <w:tcW w:w="5529" w:type="dxa"/>
          </w:tcPr>
          <w:p w:rsidR="005744B0" w:rsidRPr="005744B0" w:rsidRDefault="005744B0" w:rsidP="003027EB">
            <w:pPr>
              <w:spacing w:line="256" w:lineRule="auto"/>
              <w:jc w:val="both"/>
              <w:cnfStyle w:val="000000000000" w:firstRow="0" w:lastRow="0" w:firstColumn="0" w:lastColumn="0" w:oddVBand="0" w:evenVBand="0" w:oddHBand="0" w:evenHBand="0" w:firstRowFirstColumn="0" w:firstRowLastColumn="0" w:lastRowFirstColumn="0" w:lastRowLastColumn="0"/>
            </w:pPr>
            <w:r w:rsidRPr="005744B0">
              <w:t>Todos os quadros</w:t>
            </w:r>
          </w:p>
        </w:tc>
        <w:tc>
          <w:tcPr>
            <w:tcW w:w="1703" w:type="dxa"/>
          </w:tcPr>
          <w:p w:rsidR="005744B0" w:rsidRPr="005744B0" w:rsidRDefault="005744B0" w:rsidP="003027EB">
            <w:pPr>
              <w:spacing w:line="256" w:lineRule="auto"/>
              <w:jc w:val="center"/>
              <w:cnfStyle w:val="000000000000" w:firstRow="0" w:lastRow="0" w:firstColumn="0" w:lastColumn="0" w:oddVBand="0" w:evenVBand="0" w:oddHBand="0" w:evenHBand="0" w:firstRowFirstColumn="0" w:firstRowLastColumn="0" w:lastRowFirstColumn="0" w:lastRowLastColumn="0"/>
            </w:pPr>
            <w:r w:rsidRPr="005744B0">
              <w:t>100%</w:t>
            </w:r>
          </w:p>
        </w:tc>
      </w:tr>
      <w:tr w:rsidR="005744B0" w:rsidRPr="005744B0" w:rsidTr="001A7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744B0" w:rsidRPr="005744B0" w:rsidRDefault="005744B0" w:rsidP="003027EB">
            <w:pPr>
              <w:spacing w:line="256" w:lineRule="auto"/>
              <w:jc w:val="center"/>
              <w:rPr>
                <w:b w:val="0"/>
              </w:rPr>
            </w:pPr>
            <w:r w:rsidRPr="005744B0">
              <w:rPr>
                <w:b w:val="0"/>
              </w:rPr>
              <w:t>02</w:t>
            </w:r>
          </w:p>
        </w:tc>
        <w:tc>
          <w:tcPr>
            <w:tcW w:w="5529" w:type="dxa"/>
          </w:tcPr>
          <w:p w:rsidR="005744B0" w:rsidRPr="005744B0" w:rsidRDefault="005744B0" w:rsidP="003027EB">
            <w:pPr>
              <w:spacing w:line="256" w:lineRule="auto"/>
              <w:jc w:val="both"/>
              <w:cnfStyle w:val="000000100000" w:firstRow="0" w:lastRow="0" w:firstColumn="0" w:lastColumn="0" w:oddVBand="0" w:evenVBand="0" w:oddHBand="1" w:evenHBand="0" w:firstRowFirstColumn="0" w:firstRowLastColumn="0" w:lastRowFirstColumn="0" w:lastRowLastColumn="0"/>
            </w:pPr>
            <w:r w:rsidRPr="005744B0">
              <w:t>Somente quadro principal e 3 acessórios</w:t>
            </w:r>
          </w:p>
        </w:tc>
        <w:tc>
          <w:tcPr>
            <w:tcW w:w="1703" w:type="dxa"/>
          </w:tcPr>
          <w:p w:rsidR="005744B0" w:rsidRPr="005744B0" w:rsidRDefault="005744B0" w:rsidP="003027EB">
            <w:pPr>
              <w:spacing w:line="256" w:lineRule="auto"/>
              <w:jc w:val="center"/>
              <w:cnfStyle w:val="000000100000" w:firstRow="0" w:lastRow="0" w:firstColumn="0" w:lastColumn="0" w:oddVBand="0" w:evenVBand="0" w:oddHBand="1" w:evenHBand="0" w:firstRowFirstColumn="0" w:firstRowLastColumn="0" w:lastRowFirstColumn="0" w:lastRowLastColumn="0"/>
            </w:pPr>
            <w:r w:rsidRPr="005744B0">
              <w:t>85%</w:t>
            </w:r>
          </w:p>
        </w:tc>
      </w:tr>
      <w:tr w:rsidR="005744B0" w:rsidRPr="005744B0" w:rsidTr="001A72C1">
        <w:tc>
          <w:tcPr>
            <w:cnfStyle w:val="001000000000" w:firstRow="0" w:lastRow="0" w:firstColumn="1" w:lastColumn="0" w:oddVBand="0" w:evenVBand="0" w:oddHBand="0" w:evenHBand="0" w:firstRowFirstColumn="0" w:firstRowLastColumn="0" w:lastRowFirstColumn="0" w:lastRowLastColumn="0"/>
            <w:tcW w:w="1701" w:type="dxa"/>
          </w:tcPr>
          <w:p w:rsidR="005744B0" w:rsidRPr="005744B0" w:rsidRDefault="005744B0" w:rsidP="003027EB">
            <w:pPr>
              <w:spacing w:line="256" w:lineRule="auto"/>
              <w:jc w:val="center"/>
              <w:rPr>
                <w:b w:val="0"/>
              </w:rPr>
            </w:pPr>
            <w:r w:rsidRPr="005744B0">
              <w:rPr>
                <w:b w:val="0"/>
              </w:rPr>
              <w:t>64</w:t>
            </w:r>
          </w:p>
        </w:tc>
        <w:tc>
          <w:tcPr>
            <w:tcW w:w="5529" w:type="dxa"/>
          </w:tcPr>
          <w:p w:rsidR="005744B0" w:rsidRPr="005744B0" w:rsidRDefault="005744B0" w:rsidP="003027EB">
            <w:pPr>
              <w:spacing w:line="256" w:lineRule="auto"/>
              <w:jc w:val="both"/>
              <w:cnfStyle w:val="000000000000" w:firstRow="0" w:lastRow="0" w:firstColumn="0" w:lastColumn="0" w:oddVBand="0" w:evenVBand="0" w:oddHBand="0" w:evenHBand="0" w:firstRowFirstColumn="0" w:firstRowLastColumn="0" w:lastRowFirstColumn="0" w:lastRowLastColumn="0"/>
            </w:pPr>
            <w:r w:rsidRPr="005744B0">
              <w:t>Somente o quadro principal</w:t>
            </w:r>
          </w:p>
        </w:tc>
        <w:tc>
          <w:tcPr>
            <w:tcW w:w="1703" w:type="dxa"/>
          </w:tcPr>
          <w:p w:rsidR="005744B0" w:rsidRPr="005744B0" w:rsidRDefault="005744B0" w:rsidP="003027EB">
            <w:pPr>
              <w:spacing w:line="256" w:lineRule="auto"/>
              <w:jc w:val="center"/>
              <w:cnfStyle w:val="000000000000" w:firstRow="0" w:lastRow="0" w:firstColumn="0" w:lastColumn="0" w:oddVBand="0" w:evenVBand="0" w:oddHBand="0" w:evenHBand="0" w:firstRowFirstColumn="0" w:firstRowLastColumn="0" w:lastRowFirstColumn="0" w:lastRowLastColumn="0"/>
            </w:pPr>
            <w:r w:rsidRPr="005744B0">
              <w:t>40%</w:t>
            </w:r>
          </w:p>
        </w:tc>
      </w:tr>
      <w:tr w:rsidR="005744B0" w:rsidRPr="005744B0" w:rsidTr="001A7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744B0" w:rsidRPr="005744B0" w:rsidRDefault="005744B0" w:rsidP="003027EB">
            <w:pPr>
              <w:spacing w:line="256" w:lineRule="auto"/>
              <w:jc w:val="center"/>
              <w:rPr>
                <w:b w:val="0"/>
              </w:rPr>
            </w:pPr>
            <w:r w:rsidRPr="005744B0">
              <w:rPr>
                <w:b w:val="0"/>
              </w:rPr>
              <w:t>33</w:t>
            </w:r>
          </w:p>
        </w:tc>
        <w:tc>
          <w:tcPr>
            <w:tcW w:w="5529" w:type="dxa"/>
          </w:tcPr>
          <w:p w:rsidR="005744B0" w:rsidRPr="005744B0" w:rsidRDefault="005744B0" w:rsidP="003027EB">
            <w:pPr>
              <w:spacing w:line="256" w:lineRule="auto"/>
              <w:jc w:val="both"/>
              <w:cnfStyle w:val="000000100000" w:firstRow="0" w:lastRow="0" w:firstColumn="0" w:lastColumn="0" w:oddVBand="0" w:evenVBand="0" w:oddHBand="1" w:evenHBand="0" w:firstRowFirstColumn="0" w:firstRowLastColumn="0" w:lastRowFirstColumn="0" w:lastRowLastColumn="0"/>
            </w:pPr>
            <w:r w:rsidRPr="005744B0">
              <w:t>Nenhum quadro</w:t>
            </w:r>
          </w:p>
        </w:tc>
        <w:tc>
          <w:tcPr>
            <w:tcW w:w="1703" w:type="dxa"/>
          </w:tcPr>
          <w:p w:rsidR="005744B0" w:rsidRPr="005744B0" w:rsidRDefault="005744B0" w:rsidP="003027EB">
            <w:pPr>
              <w:spacing w:line="256" w:lineRule="auto"/>
              <w:jc w:val="center"/>
              <w:cnfStyle w:val="000000100000" w:firstRow="0" w:lastRow="0" w:firstColumn="0" w:lastColumn="0" w:oddVBand="0" w:evenVBand="0" w:oddHBand="1" w:evenHBand="0" w:firstRowFirstColumn="0" w:firstRowLastColumn="0" w:lastRowFirstColumn="0" w:lastRowLastColumn="0"/>
            </w:pPr>
            <w:r w:rsidRPr="005744B0">
              <w:t>0%</w:t>
            </w:r>
          </w:p>
        </w:tc>
      </w:tr>
    </w:tbl>
    <w:p w:rsidR="001C1503" w:rsidRPr="001C1503" w:rsidRDefault="001C1503" w:rsidP="001C1503">
      <w:pPr>
        <w:spacing w:line="254" w:lineRule="auto"/>
        <w:jc w:val="both"/>
      </w:pPr>
      <w:r w:rsidRPr="005744B0">
        <w:rPr>
          <w:b/>
        </w:rPr>
        <w:t>Fonte:</w:t>
      </w:r>
      <w:r w:rsidRPr="001C1503">
        <w:t xml:space="preserve"> Autores a partir do SPE-TCM/PA (2018).</w:t>
      </w:r>
    </w:p>
    <w:p w:rsidR="001C1503" w:rsidRPr="001C1503" w:rsidRDefault="001C1503" w:rsidP="005744B0">
      <w:pPr>
        <w:jc w:val="both"/>
        <w:rPr>
          <w:sz w:val="24"/>
          <w:szCs w:val="24"/>
        </w:rPr>
      </w:pPr>
    </w:p>
    <w:p w:rsidR="001C1503" w:rsidRPr="001C1503" w:rsidRDefault="001C1503" w:rsidP="001C1503">
      <w:pPr>
        <w:ind w:firstLine="709"/>
        <w:jc w:val="both"/>
        <w:rPr>
          <w:sz w:val="24"/>
          <w:szCs w:val="24"/>
        </w:rPr>
      </w:pPr>
      <w:r w:rsidRPr="001C1503">
        <w:rPr>
          <w:sz w:val="24"/>
          <w:szCs w:val="24"/>
        </w:rPr>
        <w:t xml:space="preserve">O MCASP, (2017) define que para a eficácia da DFC como ferramenta de controle, </w:t>
      </w:r>
      <w:r w:rsidR="005744B0">
        <w:rPr>
          <w:sz w:val="24"/>
          <w:szCs w:val="24"/>
        </w:rPr>
        <w:t xml:space="preserve">será necessário </w:t>
      </w:r>
      <w:r w:rsidRPr="001C1503">
        <w:rPr>
          <w:sz w:val="24"/>
          <w:szCs w:val="24"/>
        </w:rPr>
        <w:t>que as demonstrações sejam elaboradas na íntegra. O Comitê de Pronuncia</w:t>
      </w:r>
      <w:r w:rsidR="005744B0">
        <w:rPr>
          <w:sz w:val="24"/>
          <w:szCs w:val="24"/>
        </w:rPr>
        <w:t>mentos Contábeis 03 (CPC) dita</w:t>
      </w:r>
      <w:r w:rsidR="00FA6319">
        <w:rPr>
          <w:sz w:val="24"/>
          <w:szCs w:val="24"/>
        </w:rPr>
        <w:t xml:space="preserve"> </w:t>
      </w:r>
      <w:r w:rsidRPr="001C1503">
        <w:rPr>
          <w:sz w:val="24"/>
          <w:szCs w:val="24"/>
        </w:rPr>
        <w:t>requisitos para</w:t>
      </w:r>
      <w:r w:rsidR="00FA6319" w:rsidRPr="001C1503">
        <w:rPr>
          <w:sz w:val="24"/>
          <w:szCs w:val="24"/>
        </w:rPr>
        <w:t xml:space="preserve"> </w:t>
      </w:r>
      <w:r w:rsidRPr="001C1503">
        <w:rPr>
          <w:sz w:val="24"/>
          <w:szCs w:val="24"/>
        </w:rPr>
        <w:t xml:space="preserve">sua elaboração, </w:t>
      </w:r>
      <w:r w:rsidR="00FA6319">
        <w:rPr>
          <w:sz w:val="24"/>
          <w:szCs w:val="24"/>
        </w:rPr>
        <w:t xml:space="preserve">obrigando a </w:t>
      </w:r>
      <w:r w:rsidR="005744B0">
        <w:rPr>
          <w:sz w:val="24"/>
          <w:szCs w:val="24"/>
        </w:rPr>
        <w:t>apresentação na</w:t>
      </w:r>
      <w:r w:rsidRPr="001C1503">
        <w:rPr>
          <w:sz w:val="24"/>
          <w:szCs w:val="24"/>
        </w:rPr>
        <w:t xml:space="preserve"> forma preestabelecida, o que significa cumprir com a inte</w:t>
      </w:r>
      <w:r w:rsidR="00FA6319">
        <w:rPr>
          <w:sz w:val="24"/>
          <w:szCs w:val="24"/>
        </w:rPr>
        <w:t xml:space="preserve">gridade de suas informações, cujo desrespeito </w:t>
      </w:r>
      <w:r w:rsidRPr="001C1503">
        <w:rPr>
          <w:sz w:val="24"/>
          <w:szCs w:val="24"/>
        </w:rPr>
        <w:t xml:space="preserve">correspondente </w:t>
      </w:r>
      <w:r w:rsidR="00FA6319">
        <w:rPr>
          <w:sz w:val="24"/>
          <w:szCs w:val="24"/>
        </w:rPr>
        <w:t>a descumprimento de determinações legais, deixando o ente desconforme com o CASP.</w:t>
      </w:r>
    </w:p>
    <w:p w:rsidR="00FA6319" w:rsidRDefault="001C1503" w:rsidP="00FA6319">
      <w:pPr>
        <w:ind w:firstLine="709"/>
        <w:jc w:val="both"/>
        <w:rPr>
          <w:sz w:val="24"/>
          <w:szCs w:val="24"/>
        </w:rPr>
      </w:pPr>
      <w:r w:rsidRPr="001C1503">
        <w:rPr>
          <w:sz w:val="24"/>
          <w:szCs w:val="24"/>
        </w:rPr>
        <w:t xml:space="preserve">Campos (2014) </w:t>
      </w:r>
      <w:r w:rsidR="00FA6319">
        <w:rPr>
          <w:sz w:val="24"/>
          <w:szCs w:val="24"/>
        </w:rPr>
        <w:t xml:space="preserve">afirma </w:t>
      </w:r>
      <w:r w:rsidRPr="001C1503">
        <w:rPr>
          <w:sz w:val="24"/>
          <w:szCs w:val="24"/>
        </w:rPr>
        <w:t>qu</w:t>
      </w:r>
      <w:r w:rsidR="00FA6319">
        <w:rPr>
          <w:sz w:val="24"/>
          <w:szCs w:val="24"/>
        </w:rPr>
        <w:t>e os objetivos deste requisito</w:t>
      </w:r>
      <w:r w:rsidRPr="001C1503">
        <w:rPr>
          <w:sz w:val="24"/>
          <w:szCs w:val="24"/>
        </w:rPr>
        <w:t xml:space="preserve"> </w:t>
      </w:r>
      <w:r w:rsidR="00FA6319">
        <w:rPr>
          <w:sz w:val="24"/>
          <w:szCs w:val="24"/>
        </w:rPr>
        <w:t>é permitir</w:t>
      </w:r>
      <w:r w:rsidRPr="001C1503">
        <w:rPr>
          <w:sz w:val="24"/>
          <w:szCs w:val="24"/>
        </w:rPr>
        <w:t xml:space="preserve"> o acompanhamento, a observação, a fiscaliz</w:t>
      </w:r>
      <w:r w:rsidR="00FA6319">
        <w:rPr>
          <w:sz w:val="24"/>
          <w:szCs w:val="24"/>
        </w:rPr>
        <w:t>ação e o exame da gestão financeira</w:t>
      </w:r>
      <w:r w:rsidRPr="001C1503">
        <w:rPr>
          <w:sz w:val="24"/>
          <w:szCs w:val="24"/>
        </w:rPr>
        <w:t xml:space="preserve"> com a finalidade proteger o patrimônio e promover a maior eficácia, eficiência</w:t>
      </w:r>
      <w:r w:rsidR="00FA6319">
        <w:rPr>
          <w:sz w:val="24"/>
          <w:szCs w:val="24"/>
        </w:rPr>
        <w:t>, levando</w:t>
      </w:r>
      <w:r w:rsidRPr="001C1503">
        <w:rPr>
          <w:sz w:val="24"/>
          <w:szCs w:val="24"/>
        </w:rPr>
        <w:t xml:space="preserve"> efetividades </w:t>
      </w:r>
      <w:r w:rsidR="00FA6319">
        <w:rPr>
          <w:sz w:val="24"/>
          <w:szCs w:val="24"/>
        </w:rPr>
        <w:t>a</w:t>
      </w:r>
      <w:r w:rsidRPr="001C1503">
        <w:rPr>
          <w:sz w:val="24"/>
          <w:szCs w:val="24"/>
        </w:rPr>
        <w:t>os serviços prestados, corrigindo possíveis falhas, além de p</w:t>
      </w:r>
      <w:r w:rsidR="00FA6319">
        <w:rPr>
          <w:sz w:val="24"/>
          <w:szCs w:val="24"/>
        </w:rPr>
        <w:t xml:space="preserve">romover a honestidade na gestão. </w:t>
      </w:r>
    </w:p>
    <w:p w:rsidR="001C1503" w:rsidRPr="001C1503" w:rsidRDefault="001C1503" w:rsidP="00FA6319">
      <w:pPr>
        <w:ind w:firstLine="709"/>
        <w:jc w:val="both"/>
        <w:rPr>
          <w:sz w:val="24"/>
          <w:szCs w:val="24"/>
        </w:rPr>
      </w:pPr>
      <w:r w:rsidRPr="001C1503">
        <w:rPr>
          <w:sz w:val="24"/>
          <w:szCs w:val="24"/>
        </w:rPr>
        <w:t>Com base nessa ideia, a figura 1</w:t>
      </w:r>
      <w:r w:rsidR="00FA6319">
        <w:rPr>
          <w:sz w:val="24"/>
          <w:szCs w:val="24"/>
        </w:rPr>
        <w:t>,</w:t>
      </w:r>
      <w:r w:rsidRPr="001C1503">
        <w:rPr>
          <w:sz w:val="24"/>
          <w:szCs w:val="24"/>
        </w:rPr>
        <w:t xml:space="preserve"> a seguir</w:t>
      </w:r>
      <w:r w:rsidR="00FA6319">
        <w:rPr>
          <w:sz w:val="24"/>
          <w:szCs w:val="24"/>
        </w:rPr>
        <w:t>,</w:t>
      </w:r>
      <w:r w:rsidRPr="001C1503">
        <w:rPr>
          <w:sz w:val="24"/>
          <w:szCs w:val="24"/>
        </w:rPr>
        <w:t xml:space="preserve"> retrata o grau de evidenciação alcançado pelos municípios nos anos de 2015 e 2016, permitindo analisar em um panorama geral como os </w:t>
      </w:r>
      <w:r w:rsidR="00FA6319">
        <w:rPr>
          <w:sz w:val="24"/>
          <w:szCs w:val="24"/>
        </w:rPr>
        <w:t xml:space="preserve">144 </w:t>
      </w:r>
      <w:r w:rsidRPr="001C1503">
        <w:rPr>
          <w:sz w:val="24"/>
          <w:szCs w:val="24"/>
        </w:rPr>
        <w:t>municípios do estado do Pará estão evidenciando a Demonstração dos Fluxos d</w:t>
      </w:r>
      <w:r w:rsidR="00FA6319">
        <w:rPr>
          <w:sz w:val="24"/>
          <w:szCs w:val="24"/>
        </w:rPr>
        <w:t xml:space="preserve">e Caixa, deixando claro que </w:t>
      </w:r>
      <w:r w:rsidR="00FA6319" w:rsidRPr="001C1503">
        <w:rPr>
          <w:sz w:val="24"/>
          <w:szCs w:val="24"/>
        </w:rPr>
        <w:t xml:space="preserve">apenas 42 </w:t>
      </w:r>
      <w:r w:rsidR="00FA6319">
        <w:rPr>
          <w:sz w:val="24"/>
          <w:szCs w:val="24"/>
        </w:rPr>
        <w:t xml:space="preserve">municípios </w:t>
      </w:r>
      <w:r w:rsidR="00FA6319" w:rsidRPr="001C1503">
        <w:rPr>
          <w:sz w:val="24"/>
          <w:szCs w:val="24"/>
        </w:rPr>
        <w:t xml:space="preserve">em 2015 e 47 </w:t>
      </w:r>
      <w:r w:rsidR="00FA6319">
        <w:rPr>
          <w:sz w:val="24"/>
          <w:szCs w:val="24"/>
        </w:rPr>
        <w:t xml:space="preserve">entes públicos municipais em 2016 cumpriram as regras do </w:t>
      </w:r>
      <w:r w:rsidR="00FA6319" w:rsidRPr="001C1503">
        <w:rPr>
          <w:sz w:val="24"/>
          <w:szCs w:val="24"/>
        </w:rPr>
        <w:t>MCASP</w:t>
      </w:r>
      <w:r w:rsidR="00FA6319">
        <w:rPr>
          <w:sz w:val="24"/>
          <w:szCs w:val="24"/>
        </w:rPr>
        <w:t>,2014</w:t>
      </w:r>
      <w:r w:rsidR="00FA6319" w:rsidRPr="001C1503">
        <w:rPr>
          <w:sz w:val="24"/>
          <w:szCs w:val="24"/>
        </w:rPr>
        <w:t>.</w:t>
      </w:r>
    </w:p>
    <w:p w:rsidR="001C1503" w:rsidRPr="001C1503" w:rsidRDefault="001C1503" w:rsidP="001C1503">
      <w:pPr>
        <w:spacing w:line="254" w:lineRule="auto"/>
        <w:jc w:val="both"/>
        <w:rPr>
          <w:sz w:val="24"/>
          <w:szCs w:val="24"/>
        </w:rPr>
      </w:pPr>
    </w:p>
    <w:p w:rsidR="001C1503" w:rsidRPr="001C1503" w:rsidRDefault="001C1503" w:rsidP="001C1503">
      <w:pPr>
        <w:spacing w:after="11" w:line="254" w:lineRule="auto"/>
        <w:ind w:right="-41"/>
        <w:jc w:val="both"/>
        <w:rPr>
          <w:sz w:val="24"/>
          <w:szCs w:val="24"/>
        </w:rPr>
      </w:pPr>
      <w:r w:rsidRPr="001C1503">
        <w:rPr>
          <w:noProof/>
          <w:sz w:val="24"/>
          <w:szCs w:val="24"/>
        </w:rPr>
        <w:drawing>
          <wp:inline distT="0" distB="0" distL="0" distR="0">
            <wp:extent cx="5209397" cy="1706720"/>
            <wp:effectExtent l="57150" t="19050" r="10303" b="0"/>
            <wp:docPr id="2" name="Gráfico 3">
              <a:extLst xmlns:a="http://schemas.openxmlformats.org/drawingml/2006/main">
                <a:ext uri="{FF2B5EF4-FFF2-40B4-BE49-F238E27FC236}">
                  <a16:creationId xmlns:a16="http://schemas.microsoft.com/office/drawing/2014/main" id="{CF1AF673-76F9-4E9F-84ED-E2637DE0B5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1503" w:rsidRPr="001C1503" w:rsidRDefault="001C1503" w:rsidP="001C1503">
      <w:pPr>
        <w:spacing w:line="254" w:lineRule="auto"/>
        <w:ind w:left="-5" w:hanging="10"/>
        <w:jc w:val="both"/>
      </w:pPr>
      <w:r w:rsidRPr="00FA6319">
        <w:rPr>
          <w:b/>
        </w:rPr>
        <w:t>Figura 1</w:t>
      </w:r>
      <w:r w:rsidRPr="001C1503">
        <w:t>. Grau de evidenciação da DFC, por município nos anos de 2015 e 2016</w:t>
      </w:r>
    </w:p>
    <w:p w:rsidR="001C1503" w:rsidRDefault="001C1503" w:rsidP="00FA6319">
      <w:pPr>
        <w:spacing w:line="254" w:lineRule="auto"/>
        <w:ind w:left="-5" w:hanging="10"/>
        <w:jc w:val="both"/>
      </w:pPr>
      <w:r w:rsidRPr="00FA6319">
        <w:rPr>
          <w:b/>
        </w:rPr>
        <w:t>Fonte:</w:t>
      </w:r>
      <w:r w:rsidRPr="001C1503">
        <w:t xml:space="preserve"> Os Autores (2018) </w:t>
      </w:r>
    </w:p>
    <w:p w:rsidR="00FA6319" w:rsidRPr="00FA6319" w:rsidRDefault="00FA6319" w:rsidP="00FA6319">
      <w:pPr>
        <w:spacing w:line="254" w:lineRule="auto"/>
        <w:ind w:left="-5" w:hanging="10"/>
        <w:jc w:val="both"/>
      </w:pPr>
    </w:p>
    <w:p w:rsidR="001C1503" w:rsidRPr="001C1503" w:rsidRDefault="001C1503" w:rsidP="001C1503">
      <w:pPr>
        <w:ind w:firstLine="709"/>
        <w:jc w:val="both"/>
        <w:rPr>
          <w:sz w:val="24"/>
          <w:szCs w:val="24"/>
        </w:rPr>
      </w:pPr>
      <w:r w:rsidRPr="001C1503">
        <w:rPr>
          <w:sz w:val="24"/>
          <w:szCs w:val="24"/>
        </w:rPr>
        <w:t xml:space="preserve">Segundo Ribeiro e Bizerra (2011) o acesso à informação através de uma gestão pública transparente aumenta a segurança da gestão e eleva os níveis de </w:t>
      </w:r>
      <w:r w:rsidR="00095D31">
        <w:rPr>
          <w:sz w:val="24"/>
          <w:szCs w:val="24"/>
        </w:rPr>
        <w:t>garantia</w:t>
      </w:r>
      <w:r w:rsidRPr="001C1503">
        <w:rPr>
          <w:sz w:val="24"/>
          <w:szCs w:val="24"/>
        </w:rPr>
        <w:t xml:space="preserve"> das demonstrações contábeis. Os relatórios contábei</w:t>
      </w:r>
      <w:r w:rsidR="00095D31">
        <w:rPr>
          <w:sz w:val="24"/>
          <w:szCs w:val="24"/>
        </w:rPr>
        <w:t xml:space="preserve">s devem ser disponibilizados de forma completa, em </w:t>
      </w:r>
      <w:r w:rsidRPr="001C1503">
        <w:rPr>
          <w:sz w:val="24"/>
          <w:szCs w:val="24"/>
        </w:rPr>
        <w:t>tempo</w:t>
      </w:r>
      <w:r w:rsidR="00095D31">
        <w:rPr>
          <w:sz w:val="24"/>
          <w:szCs w:val="24"/>
        </w:rPr>
        <w:t xml:space="preserve"> hábil e de maneira compreensível </w:t>
      </w:r>
      <w:r w:rsidRPr="001C1503">
        <w:rPr>
          <w:sz w:val="24"/>
          <w:szCs w:val="24"/>
        </w:rPr>
        <w:t>para que o controle social seja efetivo.</w:t>
      </w:r>
    </w:p>
    <w:p w:rsidR="00904468" w:rsidRDefault="001C1503" w:rsidP="001C1503">
      <w:pPr>
        <w:ind w:firstLine="709"/>
        <w:jc w:val="both"/>
        <w:rPr>
          <w:sz w:val="24"/>
          <w:szCs w:val="24"/>
        </w:rPr>
      </w:pPr>
      <w:r w:rsidRPr="001C1503">
        <w:rPr>
          <w:sz w:val="24"/>
          <w:szCs w:val="24"/>
        </w:rPr>
        <w:lastRenderedPageBreak/>
        <w:t>A vigilância da população sobre os repasses governamentais ajuda na redução dos desperdícios no âmbito público e induz na correção de desvios na aplicação dos recursos</w:t>
      </w:r>
      <w:r w:rsidR="00095D31">
        <w:rPr>
          <w:sz w:val="24"/>
          <w:szCs w:val="24"/>
        </w:rPr>
        <w:t xml:space="preserve"> (Brasil, 20117). É </w:t>
      </w:r>
      <w:r w:rsidRPr="001C1503">
        <w:rPr>
          <w:sz w:val="24"/>
          <w:szCs w:val="24"/>
        </w:rPr>
        <w:t>necessário que as informações sejam evidenciadas possibilitando conhecer o quadro principal e os ac</w:t>
      </w:r>
      <w:r w:rsidR="00095D31">
        <w:rPr>
          <w:sz w:val="24"/>
          <w:szCs w:val="24"/>
        </w:rPr>
        <w:t>essórios. Augustinho, Oliveira &amp;</w:t>
      </w:r>
      <w:r w:rsidRPr="001C1503">
        <w:rPr>
          <w:sz w:val="24"/>
          <w:szCs w:val="24"/>
        </w:rPr>
        <w:t xml:space="preserve"> Guimarães (2015) afirmam que para que se tenha o controle social efetivo é </w:t>
      </w:r>
      <w:r w:rsidR="00904468">
        <w:rPr>
          <w:sz w:val="24"/>
          <w:szCs w:val="24"/>
        </w:rPr>
        <w:t xml:space="preserve">indispensável </w:t>
      </w:r>
      <w:r w:rsidRPr="001C1503">
        <w:rPr>
          <w:sz w:val="24"/>
          <w:szCs w:val="24"/>
        </w:rPr>
        <w:t>que as demonstrações contábeis sejam públicas</w:t>
      </w:r>
      <w:r w:rsidR="00904468">
        <w:rPr>
          <w:sz w:val="24"/>
          <w:szCs w:val="24"/>
        </w:rPr>
        <w:t xml:space="preserve">. </w:t>
      </w:r>
      <w:r w:rsidRPr="001C1503">
        <w:rPr>
          <w:sz w:val="24"/>
          <w:szCs w:val="24"/>
        </w:rPr>
        <w:t xml:space="preserve">As regras de como elaborar a contabilidade </w:t>
      </w:r>
      <w:r w:rsidR="00904468">
        <w:rPr>
          <w:sz w:val="24"/>
          <w:szCs w:val="24"/>
        </w:rPr>
        <w:t xml:space="preserve">estão dispostas </w:t>
      </w:r>
      <w:r w:rsidRPr="001C1503">
        <w:rPr>
          <w:sz w:val="24"/>
          <w:szCs w:val="24"/>
        </w:rPr>
        <w:t xml:space="preserve">na legislação, nós manuais e nos pronunciamentos técnicos. </w:t>
      </w:r>
    </w:p>
    <w:p w:rsidR="001C1503" w:rsidRPr="001C1503" w:rsidRDefault="001C1503" w:rsidP="001C1503">
      <w:pPr>
        <w:ind w:firstLine="709"/>
        <w:jc w:val="both"/>
        <w:rPr>
          <w:sz w:val="24"/>
          <w:szCs w:val="24"/>
        </w:rPr>
      </w:pPr>
      <w:r w:rsidRPr="001C1503">
        <w:rPr>
          <w:sz w:val="24"/>
          <w:szCs w:val="24"/>
        </w:rPr>
        <w:t xml:space="preserve">A figura 1 também pode ser explicada como um desvio da teoria normativa, em que é determinado como a contabilidade deveria ser, definindo suas finalidades e a ideia de que seus dados são indiscutíveis (Iudícibus, 2015). As normas estabelecidas no MCASP reconhecem, mensuram e evidenciam as transações e os eventos nas demonstrações contábeis, sendo obrigatório às entidades do setor público, em caso de eventuais </w:t>
      </w:r>
      <w:r w:rsidR="00904468">
        <w:rPr>
          <w:sz w:val="24"/>
          <w:szCs w:val="24"/>
        </w:rPr>
        <w:t>conflitos com outros normativos devem sempre prevalecer</w:t>
      </w:r>
      <w:r w:rsidRPr="001C1503">
        <w:rPr>
          <w:sz w:val="24"/>
          <w:szCs w:val="24"/>
        </w:rPr>
        <w:t xml:space="preserve"> </w:t>
      </w:r>
      <w:r w:rsidR="00904468" w:rsidRPr="001C1503">
        <w:rPr>
          <w:sz w:val="24"/>
          <w:szCs w:val="24"/>
        </w:rPr>
        <w:t>às</w:t>
      </w:r>
      <w:r w:rsidRPr="001C1503">
        <w:rPr>
          <w:sz w:val="24"/>
          <w:szCs w:val="24"/>
        </w:rPr>
        <w:t xml:space="preserve"> disposições d</w:t>
      </w:r>
      <w:r w:rsidR="00904468">
        <w:rPr>
          <w:sz w:val="24"/>
          <w:szCs w:val="24"/>
        </w:rPr>
        <w:t>o CASP</w:t>
      </w:r>
      <w:r w:rsidRPr="001C1503">
        <w:rPr>
          <w:sz w:val="24"/>
          <w:szCs w:val="24"/>
        </w:rPr>
        <w:t xml:space="preserve"> (Brasil, 2017).</w:t>
      </w:r>
    </w:p>
    <w:p w:rsidR="00FE5D26" w:rsidRDefault="001C1503" w:rsidP="001C1503">
      <w:pPr>
        <w:ind w:firstLine="709"/>
        <w:jc w:val="both"/>
        <w:rPr>
          <w:sz w:val="24"/>
          <w:szCs w:val="24"/>
        </w:rPr>
      </w:pPr>
      <w:r w:rsidRPr="001C1503">
        <w:rPr>
          <w:sz w:val="24"/>
          <w:szCs w:val="24"/>
        </w:rPr>
        <w:t>O número de Demonstrações dos Fluxos de Caixa que são produzidas de maneira incompleta no estado do Pará é alarmante, os dados da figura 1 representam uma realidade em que mais da metade dos municípios nos dois anos fizeram a demon</w:t>
      </w:r>
      <w:r w:rsidR="00FE5D26">
        <w:rPr>
          <w:sz w:val="24"/>
          <w:szCs w:val="24"/>
        </w:rPr>
        <w:t>stração com não conformidades.  Publicando relatórios financeiros incompletos,</w:t>
      </w:r>
      <w:r w:rsidRPr="001C1503">
        <w:rPr>
          <w:sz w:val="24"/>
          <w:szCs w:val="24"/>
        </w:rPr>
        <w:t xml:space="preserve"> faltando quadros que auxiliam na transparência e análise das contas da gestão pública</w:t>
      </w:r>
      <w:r w:rsidR="00FE5D26">
        <w:rPr>
          <w:sz w:val="24"/>
          <w:szCs w:val="24"/>
        </w:rPr>
        <w:t xml:space="preserve">. Esta forma de não conformidade é uma ilegalidade, não somente porque </w:t>
      </w:r>
      <w:r w:rsidRPr="001C1503">
        <w:rPr>
          <w:sz w:val="24"/>
          <w:szCs w:val="24"/>
        </w:rPr>
        <w:t>fere a abordagem ética da contabilidade que segundo Iudícibus (2015) deve ser justa e não envie</w:t>
      </w:r>
      <w:r w:rsidR="00FE5D26">
        <w:rPr>
          <w:sz w:val="24"/>
          <w:szCs w:val="24"/>
        </w:rPr>
        <w:t>sada para todos os interessados, fere também os manuais e as prescrições normativas e em última instancia o Manual de Contabilidade Aplicada ao Setor público que define o como fazer e obriga todos os entes federados.</w:t>
      </w:r>
      <w:r w:rsidRPr="001C1503">
        <w:rPr>
          <w:sz w:val="24"/>
          <w:szCs w:val="24"/>
        </w:rPr>
        <w:t xml:space="preserve"> </w:t>
      </w:r>
    </w:p>
    <w:p w:rsidR="00FE5D26" w:rsidRDefault="00FE5D26" w:rsidP="00D67FE9">
      <w:pPr>
        <w:ind w:firstLine="709"/>
        <w:jc w:val="both"/>
        <w:rPr>
          <w:sz w:val="24"/>
          <w:szCs w:val="24"/>
        </w:rPr>
      </w:pPr>
      <w:r>
        <w:rPr>
          <w:sz w:val="24"/>
          <w:szCs w:val="24"/>
        </w:rPr>
        <w:t>Dentre os achados n</w:t>
      </w:r>
      <w:r w:rsidR="001C1503" w:rsidRPr="001C1503">
        <w:rPr>
          <w:sz w:val="24"/>
          <w:szCs w:val="24"/>
        </w:rPr>
        <w:t xml:space="preserve">os </w:t>
      </w:r>
      <w:r>
        <w:rPr>
          <w:sz w:val="24"/>
          <w:szCs w:val="24"/>
        </w:rPr>
        <w:t xml:space="preserve">144 </w:t>
      </w:r>
      <w:r w:rsidR="001C1503" w:rsidRPr="001C1503">
        <w:rPr>
          <w:sz w:val="24"/>
          <w:szCs w:val="24"/>
        </w:rPr>
        <w:t>municípios</w:t>
      </w:r>
      <w:r>
        <w:rPr>
          <w:sz w:val="24"/>
          <w:szCs w:val="24"/>
        </w:rPr>
        <w:t xml:space="preserve"> paraenses, </w:t>
      </w:r>
      <w:r w:rsidR="001C1503" w:rsidRPr="001C1503">
        <w:rPr>
          <w:sz w:val="24"/>
          <w:szCs w:val="24"/>
        </w:rPr>
        <w:t>três graus de evidenciação ocorrem com mais frequência durante os dois anos estudados:</w:t>
      </w:r>
      <w:r>
        <w:rPr>
          <w:sz w:val="24"/>
          <w:szCs w:val="24"/>
        </w:rPr>
        <w:t xml:space="preserve"> </w:t>
      </w:r>
      <w:r w:rsidR="001C1503" w:rsidRPr="00FE5D26">
        <w:rPr>
          <w:sz w:val="24"/>
          <w:szCs w:val="24"/>
        </w:rPr>
        <w:t>0%, municípios que não evidenciaram nenhum dos quadros da DFC;</w:t>
      </w:r>
      <w:r>
        <w:rPr>
          <w:sz w:val="24"/>
          <w:szCs w:val="24"/>
        </w:rPr>
        <w:t xml:space="preserve"> </w:t>
      </w:r>
      <w:r w:rsidR="001C1503" w:rsidRPr="00FE5D26">
        <w:rPr>
          <w:sz w:val="24"/>
          <w:szCs w:val="24"/>
        </w:rPr>
        <w:t>40%, municípios que evidenciaram apenas o quadro principal da DFC; e</w:t>
      </w:r>
      <w:r>
        <w:rPr>
          <w:sz w:val="24"/>
          <w:szCs w:val="24"/>
        </w:rPr>
        <w:t xml:space="preserve"> </w:t>
      </w:r>
      <w:r w:rsidR="001C1503" w:rsidRPr="00FE5D26">
        <w:rPr>
          <w:sz w:val="24"/>
          <w:szCs w:val="24"/>
        </w:rPr>
        <w:t>100%, municípios evidenciaram todos os quadros da DFC.</w:t>
      </w:r>
    </w:p>
    <w:p w:rsidR="005438C1" w:rsidRPr="001C1503" w:rsidRDefault="001C1503" w:rsidP="005438C1">
      <w:pPr>
        <w:ind w:firstLine="709"/>
        <w:jc w:val="both"/>
        <w:rPr>
          <w:sz w:val="24"/>
          <w:szCs w:val="24"/>
        </w:rPr>
      </w:pPr>
      <w:r w:rsidRPr="001C1503">
        <w:rPr>
          <w:sz w:val="24"/>
          <w:szCs w:val="24"/>
        </w:rPr>
        <w:t xml:space="preserve">A figura 2 a seguir mostra a evolução </w:t>
      </w:r>
      <w:r w:rsidR="00FE5D26">
        <w:rPr>
          <w:sz w:val="24"/>
          <w:szCs w:val="24"/>
        </w:rPr>
        <w:t xml:space="preserve">da </w:t>
      </w:r>
      <w:r w:rsidRPr="001C1503">
        <w:rPr>
          <w:sz w:val="24"/>
          <w:szCs w:val="24"/>
        </w:rPr>
        <w:t xml:space="preserve">frequência </w:t>
      </w:r>
      <w:r w:rsidR="00FE5D26">
        <w:rPr>
          <w:sz w:val="24"/>
          <w:szCs w:val="24"/>
        </w:rPr>
        <w:t>de publicação nos municípios n</w:t>
      </w:r>
      <w:r w:rsidRPr="001C1503">
        <w:rPr>
          <w:sz w:val="24"/>
          <w:szCs w:val="24"/>
        </w:rPr>
        <w:t>os anos de 2015 e 2016.</w:t>
      </w:r>
      <w:r w:rsidR="005438C1" w:rsidRPr="005438C1">
        <w:rPr>
          <w:sz w:val="24"/>
          <w:szCs w:val="24"/>
        </w:rPr>
        <w:t xml:space="preserve"> </w:t>
      </w:r>
      <w:r w:rsidR="005438C1" w:rsidRPr="001C1503">
        <w:rPr>
          <w:sz w:val="24"/>
          <w:szCs w:val="24"/>
        </w:rPr>
        <w:t>A linha em azul revela os municípios que publicaram 100% de sua demonstração apresentando todos os quadros,</w:t>
      </w:r>
      <w:r w:rsidR="00A5051D">
        <w:rPr>
          <w:sz w:val="24"/>
          <w:szCs w:val="24"/>
        </w:rPr>
        <w:t xml:space="preserve"> pelo ranque 41 municípios em 2015 e 45 em 2016 estão em primeiro lugar. A</w:t>
      </w:r>
      <w:r w:rsidR="005438C1" w:rsidRPr="001C1503">
        <w:rPr>
          <w:sz w:val="24"/>
          <w:szCs w:val="24"/>
        </w:rPr>
        <w:t xml:space="preserve"> linha em laranja é dos municípios que evidenciaram 40% apresentando apenas o quadro principal e a linha em cinza é a dos municípios que evidenciaram 0% não apresentando nenhum quadro da DFC.</w:t>
      </w:r>
    </w:p>
    <w:p w:rsidR="00D67FE9" w:rsidRDefault="00A5051D" w:rsidP="001C1503">
      <w:pPr>
        <w:spacing w:line="254" w:lineRule="auto"/>
        <w:jc w:val="both"/>
      </w:pPr>
      <w:r w:rsidRPr="001C1503">
        <w:rPr>
          <w:noProof/>
        </w:rPr>
        <w:drawing>
          <wp:inline distT="0" distB="0" distL="0" distR="0">
            <wp:extent cx="5724660" cy="2157211"/>
            <wp:effectExtent l="0" t="0" r="0" b="0"/>
            <wp:docPr id="6" name="Gráfico 4">
              <a:extLst xmlns:a="http://schemas.openxmlformats.org/drawingml/2006/main">
                <a:ext uri="{FF2B5EF4-FFF2-40B4-BE49-F238E27FC236}">
                  <a16:creationId xmlns:a16="http://schemas.microsoft.com/office/drawing/2014/main" id="{E5C8C41E-46E7-48D4-AF29-ED44AC36FF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166B" w:rsidRPr="008E78E4" w:rsidRDefault="0086166B" w:rsidP="0086166B">
      <w:pPr>
        <w:spacing w:line="254" w:lineRule="auto"/>
        <w:ind w:left="-5" w:hanging="10"/>
        <w:jc w:val="both"/>
        <w:rPr>
          <w:sz w:val="24"/>
          <w:szCs w:val="24"/>
        </w:rPr>
      </w:pPr>
      <w:r w:rsidRPr="008E78E4">
        <w:rPr>
          <w:b/>
        </w:rPr>
        <w:t>Figura 2</w:t>
      </w:r>
      <w:r>
        <w:rPr>
          <w:b/>
        </w:rPr>
        <w:t>.</w:t>
      </w:r>
      <w:r w:rsidRPr="008E78E4">
        <w:t xml:space="preserve"> Ranque Municipal.</w:t>
      </w:r>
      <w:r w:rsidRPr="008E78E4">
        <w:rPr>
          <w:sz w:val="24"/>
          <w:szCs w:val="24"/>
        </w:rPr>
        <w:t xml:space="preserve"> </w:t>
      </w:r>
    </w:p>
    <w:p w:rsidR="001C1503" w:rsidRPr="001C1503" w:rsidRDefault="001C1503" w:rsidP="001C1503">
      <w:pPr>
        <w:spacing w:line="254" w:lineRule="auto"/>
        <w:jc w:val="both"/>
      </w:pPr>
      <w:r w:rsidRPr="0086166B">
        <w:rPr>
          <w:b/>
        </w:rPr>
        <w:t>Fonte:</w:t>
      </w:r>
      <w:r w:rsidRPr="001C1503">
        <w:t xml:space="preserve"> Os Autores (2018) </w:t>
      </w:r>
    </w:p>
    <w:p w:rsidR="001C1503" w:rsidRPr="001C1503" w:rsidRDefault="001C1503" w:rsidP="001C1503">
      <w:pPr>
        <w:ind w:left="-15"/>
        <w:jc w:val="both"/>
        <w:rPr>
          <w:sz w:val="24"/>
          <w:szCs w:val="24"/>
        </w:rPr>
      </w:pPr>
    </w:p>
    <w:p w:rsidR="001C1503" w:rsidRPr="001C1503" w:rsidRDefault="001C1503" w:rsidP="001C1503">
      <w:pPr>
        <w:ind w:firstLine="709"/>
        <w:jc w:val="both"/>
        <w:rPr>
          <w:sz w:val="24"/>
          <w:szCs w:val="24"/>
        </w:rPr>
      </w:pPr>
      <w:r w:rsidRPr="001C1503">
        <w:rPr>
          <w:sz w:val="24"/>
          <w:szCs w:val="24"/>
        </w:rPr>
        <w:t xml:space="preserve">Os dados revelam que a maior incidência está nos municípios que evidenciam apenas o quadro principal da demonstração, deixando de elaborar os quadros acessórios. No ano de 2015 um total de 71 municípios e 64 em 2016 </w:t>
      </w:r>
      <w:r w:rsidR="005438C1">
        <w:rPr>
          <w:sz w:val="24"/>
          <w:szCs w:val="24"/>
        </w:rPr>
        <w:t xml:space="preserve">publicaram </w:t>
      </w:r>
      <w:r w:rsidRPr="001C1503">
        <w:rPr>
          <w:sz w:val="24"/>
          <w:szCs w:val="24"/>
        </w:rPr>
        <w:t xml:space="preserve">apenas o quadro principal. O </w:t>
      </w:r>
      <w:r w:rsidR="005438C1">
        <w:rPr>
          <w:sz w:val="24"/>
          <w:szCs w:val="24"/>
        </w:rPr>
        <w:lastRenderedPageBreak/>
        <w:t>MCASP (2014</w:t>
      </w:r>
      <w:r w:rsidRPr="001C1503">
        <w:rPr>
          <w:sz w:val="24"/>
          <w:szCs w:val="24"/>
        </w:rPr>
        <w:t xml:space="preserve">) afirma que os municípios que não publicarem a Demonstração dos Fluxos de Caixa </w:t>
      </w:r>
      <w:r w:rsidR="005438C1">
        <w:rPr>
          <w:sz w:val="24"/>
          <w:szCs w:val="24"/>
        </w:rPr>
        <w:t xml:space="preserve">as </w:t>
      </w:r>
      <w:r w:rsidRPr="001C1503">
        <w:rPr>
          <w:sz w:val="24"/>
          <w:szCs w:val="24"/>
        </w:rPr>
        <w:t>determina</w:t>
      </w:r>
      <w:r w:rsidR="005438C1">
        <w:rPr>
          <w:sz w:val="24"/>
          <w:szCs w:val="24"/>
        </w:rPr>
        <w:t>ções de divulgação na</w:t>
      </w:r>
      <w:r w:rsidRPr="001C1503">
        <w:rPr>
          <w:sz w:val="24"/>
          <w:szCs w:val="24"/>
        </w:rPr>
        <w:t xml:space="preserve"> inteireza</w:t>
      </w:r>
      <w:r w:rsidR="005438C1">
        <w:rPr>
          <w:sz w:val="24"/>
          <w:szCs w:val="24"/>
        </w:rPr>
        <w:t xml:space="preserve"> dos relatórios </w:t>
      </w:r>
      <w:r w:rsidR="00A5051D">
        <w:rPr>
          <w:sz w:val="24"/>
          <w:szCs w:val="24"/>
        </w:rPr>
        <w:t>contábeis</w:t>
      </w:r>
      <w:r w:rsidRPr="001C1503">
        <w:rPr>
          <w:sz w:val="24"/>
          <w:szCs w:val="24"/>
        </w:rPr>
        <w:t>.</w:t>
      </w:r>
    </w:p>
    <w:p w:rsidR="005438C1" w:rsidRDefault="005438C1" w:rsidP="005438C1">
      <w:pPr>
        <w:ind w:firstLine="709"/>
        <w:jc w:val="both"/>
        <w:rPr>
          <w:sz w:val="24"/>
          <w:szCs w:val="24"/>
        </w:rPr>
      </w:pPr>
      <w:r>
        <w:rPr>
          <w:sz w:val="24"/>
          <w:szCs w:val="24"/>
        </w:rPr>
        <w:t xml:space="preserve">Os dados mostram que </w:t>
      </w:r>
      <w:r w:rsidRPr="001C1503">
        <w:rPr>
          <w:sz w:val="24"/>
          <w:szCs w:val="24"/>
        </w:rPr>
        <w:t>mudança para mais ou para menos entre os anos é pequena, deixando claro que os municípios permanecem evidenciando de maneira inadequada a demonstração com o passar dos anos</w:t>
      </w:r>
      <w:r>
        <w:rPr>
          <w:sz w:val="24"/>
          <w:szCs w:val="24"/>
        </w:rPr>
        <w:t xml:space="preserve">. </w:t>
      </w:r>
      <w:r w:rsidR="001C1503" w:rsidRPr="001C1503">
        <w:rPr>
          <w:sz w:val="24"/>
          <w:szCs w:val="24"/>
        </w:rPr>
        <w:t xml:space="preserve">A quantidade de municípios que evidenciou 100% e 0% subiu de 2015 para 2016, atingindo uma variação percentual de 9,76% e 13,79%, respectivamente. Enquanto que aqueles que publicaram apenas o quadro principal (40%) ouve uma diminuição variando negativamente em 9,86%. </w:t>
      </w:r>
    </w:p>
    <w:p w:rsidR="001C1503" w:rsidRPr="001C1503" w:rsidRDefault="001C1503" w:rsidP="005438C1">
      <w:pPr>
        <w:ind w:firstLine="709"/>
        <w:jc w:val="both"/>
        <w:rPr>
          <w:sz w:val="24"/>
          <w:szCs w:val="24"/>
        </w:rPr>
      </w:pPr>
      <w:r w:rsidRPr="001C1503">
        <w:rPr>
          <w:sz w:val="24"/>
          <w:szCs w:val="24"/>
        </w:rPr>
        <w:t xml:space="preserve">Segundo Bezerra filho (2014) é inquestionável o fato de que todo o processo de acompanhamento e controle do patrimônio público deve partir </w:t>
      </w:r>
      <w:r w:rsidR="005438C1">
        <w:rPr>
          <w:sz w:val="24"/>
          <w:szCs w:val="24"/>
        </w:rPr>
        <w:t xml:space="preserve">da necessária </w:t>
      </w:r>
      <w:r w:rsidRPr="001C1503">
        <w:rPr>
          <w:sz w:val="24"/>
          <w:szCs w:val="24"/>
        </w:rPr>
        <w:t>integração e harmonização na interpretação d</w:t>
      </w:r>
      <w:r w:rsidR="005438C1">
        <w:rPr>
          <w:sz w:val="24"/>
          <w:szCs w:val="24"/>
        </w:rPr>
        <w:t xml:space="preserve">os atos e fatos administrativos, </w:t>
      </w:r>
      <w:r w:rsidRPr="001C1503">
        <w:rPr>
          <w:sz w:val="24"/>
          <w:szCs w:val="24"/>
        </w:rPr>
        <w:t>que se possa</w:t>
      </w:r>
      <w:r w:rsidR="005438C1">
        <w:rPr>
          <w:sz w:val="24"/>
          <w:szCs w:val="24"/>
        </w:rPr>
        <w:t>m ser</w:t>
      </w:r>
      <w:r w:rsidRPr="001C1503">
        <w:rPr>
          <w:sz w:val="24"/>
          <w:szCs w:val="24"/>
        </w:rPr>
        <w:t xml:space="preserve"> realiza</w:t>
      </w:r>
      <w:r w:rsidR="005438C1">
        <w:rPr>
          <w:sz w:val="24"/>
          <w:szCs w:val="24"/>
        </w:rPr>
        <w:t>dos</w:t>
      </w:r>
      <w:r w:rsidRPr="001C1503">
        <w:rPr>
          <w:sz w:val="24"/>
          <w:szCs w:val="24"/>
        </w:rPr>
        <w:t xml:space="preserve"> </w:t>
      </w:r>
      <w:r w:rsidR="005438C1">
        <w:rPr>
          <w:sz w:val="24"/>
          <w:szCs w:val="24"/>
        </w:rPr>
        <w:t xml:space="preserve">são </w:t>
      </w:r>
      <w:r w:rsidRPr="001C1503">
        <w:rPr>
          <w:sz w:val="24"/>
          <w:szCs w:val="24"/>
        </w:rPr>
        <w:t>necessário</w:t>
      </w:r>
      <w:r w:rsidR="005438C1">
        <w:rPr>
          <w:sz w:val="24"/>
          <w:szCs w:val="24"/>
        </w:rPr>
        <w:t>s</w:t>
      </w:r>
      <w:r w:rsidRPr="001C1503">
        <w:rPr>
          <w:sz w:val="24"/>
          <w:szCs w:val="24"/>
        </w:rPr>
        <w:t xml:space="preserve"> procedimentos contábeis observados e compridos</w:t>
      </w:r>
      <w:r w:rsidR="005438C1">
        <w:rPr>
          <w:sz w:val="24"/>
          <w:szCs w:val="24"/>
        </w:rPr>
        <w:t xml:space="preserve"> de forma fidedigna. </w:t>
      </w:r>
      <w:r w:rsidRPr="001C1503">
        <w:rPr>
          <w:sz w:val="24"/>
          <w:szCs w:val="24"/>
        </w:rPr>
        <w:t xml:space="preserve">Milesky, Scheren &amp; Galante (2016) </w:t>
      </w:r>
      <w:r w:rsidR="005438C1">
        <w:rPr>
          <w:sz w:val="24"/>
          <w:szCs w:val="24"/>
        </w:rPr>
        <w:t xml:space="preserve">dizem que </w:t>
      </w:r>
      <w:r w:rsidRPr="001C1503">
        <w:rPr>
          <w:sz w:val="24"/>
          <w:szCs w:val="24"/>
        </w:rPr>
        <w:t>todas as regras</w:t>
      </w:r>
      <w:r w:rsidR="005438C1">
        <w:rPr>
          <w:sz w:val="24"/>
          <w:szCs w:val="24"/>
        </w:rPr>
        <w:t xml:space="preserve"> a serem observadas para oferecer conformidade</w:t>
      </w:r>
      <w:r w:rsidRPr="001C1503">
        <w:rPr>
          <w:sz w:val="24"/>
          <w:szCs w:val="24"/>
        </w:rPr>
        <w:t xml:space="preserve"> estão disponíveis em leis e pronunciamentos téc</w:t>
      </w:r>
      <w:r w:rsidR="005438C1">
        <w:rPr>
          <w:sz w:val="24"/>
          <w:szCs w:val="24"/>
        </w:rPr>
        <w:t xml:space="preserve">nicos, a partir da imposição do </w:t>
      </w:r>
      <w:r w:rsidRPr="001C1503">
        <w:rPr>
          <w:sz w:val="24"/>
          <w:szCs w:val="24"/>
        </w:rPr>
        <w:t>Manual de Contabil</w:t>
      </w:r>
      <w:r w:rsidR="005438C1">
        <w:rPr>
          <w:sz w:val="24"/>
          <w:szCs w:val="24"/>
        </w:rPr>
        <w:t>idade Aplicado ao Setor Público(MCASP), que organizou em detalhes todos os conceitos,</w:t>
      </w:r>
      <w:r w:rsidRPr="001C1503">
        <w:rPr>
          <w:sz w:val="24"/>
          <w:szCs w:val="24"/>
        </w:rPr>
        <w:t xml:space="preserve"> procedimentos </w:t>
      </w:r>
      <w:r w:rsidR="005438C1">
        <w:rPr>
          <w:sz w:val="24"/>
          <w:szCs w:val="24"/>
        </w:rPr>
        <w:t>e modelagens de como fazer a evidenciação e disponibilizá-las para a sociedade.</w:t>
      </w:r>
      <w:r w:rsidRPr="001C1503">
        <w:rPr>
          <w:sz w:val="24"/>
          <w:szCs w:val="24"/>
        </w:rPr>
        <w:t xml:space="preserve"> </w:t>
      </w:r>
    </w:p>
    <w:p w:rsidR="001C1503" w:rsidRPr="001C1503" w:rsidRDefault="001C1503" w:rsidP="005438C1">
      <w:pPr>
        <w:ind w:firstLine="709"/>
        <w:jc w:val="both"/>
        <w:rPr>
          <w:sz w:val="24"/>
          <w:szCs w:val="24"/>
        </w:rPr>
      </w:pPr>
      <w:r w:rsidRPr="001C1503">
        <w:rPr>
          <w:sz w:val="24"/>
          <w:szCs w:val="24"/>
        </w:rPr>
        <w:t xml:space="preserve">Souza (2016) </w:t>
      </w:r>
      <w:r w:rsidR="005438C1">
        <w:rPr>
          <w:sz w:val="24"/>
          <w:szCs w:val="24"/>
        </w:rPr>
        <w:t xml:space="preserve">ensina que </w:t>
      </w:r>
      <w:r w:rsidRPr="001C1503">
        <w:rPr>
          <w:sz w:val="24"/>
          <w:szCs w:val="24"/>
        </w:rPr>
        <w:t>o controle social é um conjunto de mecanismos capazes de garantir à sociedade informações, representações técnicas e participação nos processos políticos. Cabendo à gestão pública adota</w:t>
      </w:r>
      <w:r w:rsidR="005438C1">
        <w:rPr>
          <w:sz w:val="24"/>
          <w:szCs w:val="24"/>
        </w:rPr>
        <w:t xml:space="preserve">r mecanismos de controle social, sendo </w:t>
      </w:r>
      <w:r w:rsidRPr="001C1503">
        <w:rPr>
          <w:sz w:val="24"/>
          <w:szCs w:val="24"/>
        </w:rPr>
        <w:t>necessário que as demonstrações cont</w:t>
      </w:r>
      <w:r w:rsidR="005438C1">
        <w:rPr>
          <w:sz w:val="24"/>
          <w:szCs w:val="24"/>
        </w:rPr>
        <w:t>ábeis sejam publicadas de forma integra e completa</w:t>
      </w:r>
      <w:r w:rsidRPr="001C1503">
        <w:rPr>
          <w:sz w:val="24"/>
          <w:szCs w:val="24"/>
        </w:rPr>
        <w:t>. Os quatro quadros acessórios que complementam e explicam o quadro principal são exatamente</w:t>
      </w:r>
      <w:r w:rsidR="005438C1">
        <w:rPr>
          <w:sz w:val="24"/>
          <w:szCs w:val="24"/>
        </w:rPr>
        <w:t>, como</w:t>
      </w:r>
      <w:r w:rsidRPr="001C1503">
        <w:rPr>
          <w:sz w:val="24"/>
          <w:szCs w:val="24"/>
        </w:rPr>
        <w:t xml:space="preserve"> afirma Augustinho et al. (2015), para que o cidadão tenha compreensão do relatório contábil é primordial o detalhamento que os quadros acessórios viabilizam. </w:t>
      </w:r>
    </w:p>
    <w:p w:rsidR="001C1503" w:rsidRPr="001C1503" w:rsidRDefault="001C1503" w:rsidP="001C1503">
      <w:pPr>
        <w:ind w:firstLine="709"/>
        <w:jc w:val="both"/>
        <w:rPr>
          <w:sz w:val="24"/>
          <w:szCs w:val="24"/>
        </w:rPr>
      </w:pPr>
      <w:r w:rsidRPr="001C1503">
        <w:rPr>
          <w:sz w:val="24"/>
          <w:szCs w:val="24"/>
        </w:rPr>
        <w:t xml:space="preserve">Quando não se observa o MCASP </w:t>
      </w:r>
      <w:r w:rsidR="00295762">
        <w:rPr>
          <w:sz w:val="24"/>
          <w:szCs w:val="24"/>
        </w:rPr>
        <w:t>na elaboração</w:t>
      </w:r>
      <w:r w:rsidR="005438C1">
        <w:rPr>
          <w:sz w:val="24"/>
          <w:szCs w:val="24"/>
        </w:rPr>
        <w:t xml:space="preserve"> </w:t>
      </w:r>
      <w:r w:rsidR="00295762">
        <w:rPr>
          <w:sz w:val="24"/>
          <w:szCs w:val="24"/>
        </w:rPr>
        <w:t xml:space="preserve">das demonstrações contábeis, se apresenta uma não conformidade que impacta </w:t>
      </w:r>
      <w:r w:rsidRPr="001C1503">
        <w:rPr>
          <w:sz w:val="24"/>
          <w:szCs w:val="24"/>
        </w:rPr>
        <w:t xml:space="preserve">a transparência da informação e no controle social. E a democracia é a principal prejudicada pela falta do controle social (Monteiro, Pereira &amp; Thomaz, 2016). </w:t>
      </w:r>
    </w:p>
    <w:p w:rsidR="001C1503" w:rsidRPr="001C1503" w:rsidRDefault="00295762" w:rsidP="001C1503">
      <w:pPr>
        <w:ind w:firstLine="709"/>
        <w:jc w:val="both"/>
        <w:rPr>
          <w:sz w:val="24"/>
          <w:szCs w:val="24"/>
        </w:rPr>
      </w:pPr>
      <w:r>
        <w:rPr>
          <w:sz w:val="24"/>
          <w:szCs w:val="24"/>
        </w:rPr>
        <w:t xml:space="preserve">Na </w:t>
      </w:r>
      <w:r w:rsidR="001C1503" w:rsidRPr="001C1503">
        <w:rPr>
          <w:sz w:val="24"/>
          <w:szCs w:val="24"/>
        </w:rPr>
        <w:t xml:space="preserve">figura 3 </w:t>
      </w:r>
      <w:r>
        <w:rPr>
          <w:sz w:val="24"/>
          <w:szCs w:val="24"/>
        </w:rPr>
        <w:t>estão os</w:t>
      </w:r>
      <w:r w:rsidR="001C1503" w:rsidRPr="001C1503">
        <w:rPr>
          <w:sz w:val="24"/>
          <w:szCs w:val="24"/>
        </w:rPr>
        <w:t xml:space="preserve"> municípios que evidenciam cada quadro da demonstração dos fluxos de caixa, comparando os anos de 2015 e 2016. Dessa forma é possível visualizar que a evidenciação dos quadros acessórios é baixa quando comparado ao quadro principal.</w:t>
      </w:r>
    </w:p>
    <w:p w:rsidR="001C1503" w:rsidRPr="001C1503" w:rsidRDefault="001C1503" w:rsidP="001C1503">
      <w:pPr>
        <w:ind w:firstLine="709"/>
        <w:jc w:val="both"/>
        <w:rPr>
          <w:sz w:val="24"/>
          <w:szCs w:val="24"/>
        </w:rPr>
      </w:pPr>
    </w:p>
    <w:p w:rsidR="001C1503" w:rsidRPr="00637061" w:rsidRDefault="001C1503" w:rsidP="001C1503">
      <w:pPr>
        <w:ind w:left="-15"/>
        <w:jc w:val="both"/>
      </w:pPr>
      <w:r w:rsidRPr="004B7955">
        <w:rPr>
          <w:b/>
        </w:rPr>
        <w:t>Figura 3</w:t>
      </w:r>
      <w:r w:rsidR="004B7955" w:rsidRPr="004B7955">
        <w:rPr>
          <w:b/>
        </w:rPr>
        <w:t>.</w:t>
      </w:r>
      <w:r w:rsidRPr="00637061">
        <w:t xml:space="preserve"> </w:t>
      </w:r>
      <w:r w:rsidR="00A5051D">
        <w:t>Grau de evidenciação</w:t>
      </w:r>
      <w:r w:rsidRPr="00637061">
        <w:t xml:space="preserve"> </w:t>
      </w:r>
      <w:r w:rsidR="00A5051D">
        <w:t>d</w:t>
      </w:r>
      <w:r w:rsidR="00E95263">
        <w:t xml:space="preserve">os quadros </w:t>
      </w:r>
      <w:r w:rsidRPr="00637061">
        <w:t>da DFC nos anos de 2015 e 2016.</w:t>
      </w:r>
    </w:p>
    <w:p w:rsidR="001C1503" w:rsidRDefault="001C1503" w:rsidP="00AD79EB">
      <w:pPr>
        <w:ind w:left="-15" w:firstLine="15"/>
        <w:jc w:val="both"/>
      </w:pPr>
      <w:r w:rsidRPr="00637061">
        <w:rPr>
          <w:noProof/>
        </w:rPr>
        <w:drawing>
          <wp:inline distT="0" distB="0" distL="0" distR="0">
            <wp:extent cx="5762625" cy="1847850"/>
            <wp:effectExtent l="0" t="0" r="0" b="0"/>
            <wp:docPr id="5" name="Gráfico 5">
              <a:extLst xmlns:a="http://schemas.openxmlformats.org/drawingml/2006/main">
                <a:ext uri="{FF2B5EF4-FFF2-40B4-BE49-F238E27FC236}">
                  <a16:creationId xmlns:a16="http://schemas.microsoft.com/office/drawing/2014/main" id="{55BA0EB5-D26F-4FA6-95E6-94649EE5F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C1503" w:rsidRPr="00637061" w:rsidRDefault="001C1503" w:rsidP="00AD79EB">
      <w:pPr>
        <w:ind w:left="-5" w:hanging="10"/>
        <w:jc w:val="both"/>
      </w:pPr>
      <w:r w:rsidRPr="004B7955">
        <w:rPr>
          <w:b/>
        </w:rPr>
        <w:t>Fonte:</w:t>
      </w:r>
      <w:r w:rsidRPr="00637061">
        <w:t xml:space="preserve"> Os Autores (2018) </w:t>
      </w:r>
    </w:p>
    <w:p w:rsidR="001C1503" w:rsidRPr="001C1503" w:rsidRDefault="001C1503" w:rsidP="001C1503">
      <w:pPr>
        <w:ind w:left="-15" w:firstLine="15"/>
        <w:jc w:val="both"/>
        <w:rPr>
          <w:sz w:val="24"/>
          <w:szCs w:val="24"/>
        </w:rPr>
      </w:pPr>
    </w:p>
    <w:p w:rsidR="001C1503" w:rsidRPr="001C1503" w:rsidRDefault="00295762" w:rsidP="00D67FE9">
      <w:pPr>
        <w:ind w:firstLine="709"/>
        <w:jc w:val="both"/>
        <w:rPr>
          <w:sz w:val="24"/>
          <w:szCs w:val="24"/>
        </w:rPr>
      </w:pPr>
      <w:r>
        <w:rPr>
          <w:sz w:val="24"/>
          <w:szCs w:val="24"/>
        </w:rPr>
        <w:t xml:space="preserve"> Para </w:t>
      </w:r>
      <w:r w:rsidR="001C1503" w:rsidRPr="001C1503">
        <w:rPr>
          <w:sz w:val="24"/>
          <w:szCs w:val="24"/>
        </w:rPr>
        <w:t xml:space="preserve">Ribeiro e Bizerra (2011), as demonstrações contábeis devem ser perfeitamente compreensíveis, além de representarem de forma fidedigna todas as transações que envolvem a aplicação dos recursos públicos. Para que isso ocorra é necessário evidenciar os quadros acessórios juntamente ao quadro principal da DFC, por se tratarem de informações que </w:t>
      </w:r>
      <w:r w:rsidR="001C1503" w:rsidRPr="001C1503">
        <w:rPr>
          <w:sz w:val="24"/>
          <w:szCs w:val="24"/>
        </w:rPr>
        <w:lastRenderedPageBreak/>
        <w:t xml:space="preserve">complementam e detalham o entendimento do fluxo de caixa gerado pela gestão no período. </w:t>
      </w:r>
      <w:r w:rsidR="00D67FE9">
        <w:rPr>
          <w:sz w:val="24"/>
          <w:szCs w:val="24"/>
        </w:rPr>
        <w:t xml:space="preserve">Esta </w:t>
      </w:r>
      <w:r w:rsidR="001C1503" w:rsidRPr="001C1503">
        <w:rPr>
          <w:sz w:val="24"/>
          <w:szCs w:val="24"/>
        </w:rPr>
        <w:t>característica das demonstrações contábeis decorre de sua função social, que é a de servir como produto do sistema de informações contábil que visa fornecer o controle e a possibilidade de acompa</w:t>
      </w:r>
      <w:r w:rsidR="00D67FE9">
        <w:rPr>
          <w:sz w:val="24"/>
          <w:szCs w:val="24"/>
        </w:rPr>
        <w:t xml:space="preserve">nhamento das políticas públicas. </w:t>
      </w:r>
    </w:p>
    <w:p w:rsidR="001C1503" w:rsidRPr="001C1503" w:rsidRDefault="00D67FE9" w:rsidP="001C1503">
      <w:pPr>
        <w:ind w:firstLine="709"/>
        <w:jc w:val="both"/>
        <w:rPr>
          <w:sz w:val="24"/>
          <w:szCs w:val="24"/>
        </w:rPr>
      </w:pPr>
      <w:r>
        <w:rPr>
          <w:sz w:val="24"/>
          <w:szCs w:val="24"/>
        </w:rPr>
        <w:t>A</w:t>
      </w:r>
      <w:r w:rsidR="001C1503" w:rsidRPr="001C1503">
        <w:rPr>
          <w:sz w:val="24"/>
          <w:szCs w:val="24"/>
        </w:rPr>
        <w:t xml:space="preserve"> administração financeira pública tem como ponto chave o fluxo de caixa. Este demonstrativo deve buscar evidenciar a atividade de cada fluxo e seus efeitos na gestão financeira</w:t>
      </w:r>
      <w:r>
        <w:rPr>
          <w:sz w:val="24"/>
          <w:szCs w:val="24"/>
        </w:rPr>
        <w:t xml:space="preserve"> (Campos, </w:t>
      </w:r>
      <w:r w:rsidRPr="001C1503">
        <w:rPr>
          <w:sz w:val="24"/>
          <w:szCs w:val="24"/>
        </w:rPr>
        <w:t>2014)</w:t>
      </w:r>
      <w:r w:rsidR="001C1503" w:rsidRPr="001C1503">
        <w:rPr>
          <w:sz w:val="24"/>
          <w:szCs w:val="24"/>
        </w:rPr>
        <w:t xml:space="preserve">. </w:t>
      </w:r>
      <w:r>
        <w:rPr>
          <w:sz w:val="24"/>
          <w:szCs w:val="24"/>
        </w:rPr>
        <w:t>P</w:t>
      </w:r>
      <w:r w:rsidR="001C1503" w:rsidRPr="001C1503">
        <w:rPr>
          <w:sz w:val="24"/>
          <w:szCs w:val="24"/>
        </w:rPr>
        <w:t xml:space="preserve">ara </w:t>
      </w:r>
      <w:r>
        <w:rPr>
          <w:sz w:val="24"/>
          <w:szCs w:val="24"/>
        </w:rPr>
        <w:t>efetiva</w:t>
      </w:r>
      <w:r w:rsidR="001C1503" w:rsidRPr="001C1503">
        <w:rPr>
          <w:sz w:val="24"/>
          <w:szCs w:val="24"/>
        </w:rPr>
        <w:t xml:space="preserve"> análise do fluxo de caixa da receita e despesa</w:t>
      </w:r>
      <w:r>
        <w:rPr>
          <w:sz w:val="24"/>
          <w:szCs w:val="24"/>
        </w:rPr>
        <w:t xml:space="preserve"> </w:t>
      </w:r>
      <w:r w:rsidR="001C1503" w:rsidRPr="001C1503">
        <w:rPr>
          <w:sz w:val="24"/>
          <w:szCs w:val="24"/>
        </w:rPr>
        <w:t>é necessário que os gestores e controladores internos conheçam todas as operações das empresa</w:t>
      </w:r>
      <w:r>
        <w:rPr>
          <w:sz w:val="24"/>
          <w:szCs w:val="24"/>
        </w:rPr>
        <w:t>s e seu resultado final, permitindo-se</w:t>
      </w:r>
      <w:r w:rsidR="001C1503" w:rsidRPr="001C1503">
        <w:rPr>
          <w:sz w:val="24"/>
          <w:szCs w:val="24"/>
        </w:rPr>
        <w:t xml:space="preserve"> extrair informações sobre o compo</w:t>
      </w:r>
      <w:r>
        <w:rPr>
          <w:sz w:val="24"/>
          <w:szCs w:val="24"/>
        </w:rPr>
        <w:t>rtamento financeiro no período e elevando os níveis de tomada de decisão agregando valor a</w:t>
      </w:r>
      <w:r w:rsidR="001C1503" w:rsidRPr="001C1503">
        <w:rPr>
          <w:sz w:val="24"/>
          <w:szCs w:val="24"/>
        </w:rPr>
        <w:t xml:space="preserve">o futuro da entidade. </w:t>
      </w:r>
    </w:p>
    <w:p w:rsidR="001C1503" w:rsidRPr="001C1503" w:rsidRDefault="001C1503" w:rsidP="001C1503">
      <w:pPr>
        <w:ind w:firstLine="709"/>
        <w:jc w:val="both"/>
        <w:rPr>
          <w:sz w:val="24"/>
          <w:szCs w:val="24"/>
        </w:rPr>
      </w:pPr>
      <w:r w:rsidRPr="001C1503">
        <w:rPr>
          <w:sz w:val="24"/>
          <w:szCs w:val="24"/>
        </w:rPr>
        <w:t xml:space="preserve">Por meio dos relatórios gerados pela contabilidade os gestores municipais podem controlar e verificar </w:t>
      </w:r>
      <w:r w:rsidR="00D67FE9">
        <w:rPr>
          <w:sz w:val="24"/>
          <w:szCs w:val="24"/>
        </w:rPr>
        <w:t xml:space="preserve">o </w:t>
      </w:r>
      <w:r w:rsidRPr="001C1503">
        <w:rPr>
          <w:sz w:val="24"/>
          <w:szCs w:val="24"/>
        </w:rPr>
        <w:t>de</w:t>
      </w:r>
      <w:r w:rsidR="00D67FE9">
        <w:rPr>
          <w:sz w:val="24"/>
          <w:szCs w:val="24"/>
        </w:rPr>
        <w:t>stinado</w:t>
      </w:r>
      <w:r w:rsidRPr="001C1503">
        <w:rPr>
          <w:sz w:val="24"/>
          <w:szCs w:val="24"/>
        </w:rPr>
        <w:t xml:space="preserve"> </w:t>
      </w:r>
      <w:r w:rsidR="00D67FE9">
        <w:rPr>
          <w:sz w:val="24"/>
          <w:szCs w:val="24"/>
        </w:rPr>
        <w:t>d</w:t>
      </w:r>
      <w:r w:rsidRPr="001C1503">
        <w:rPr>
          <w:sz w:val="24"/>
          <w:szCs w:val="24"/>
        </w:rPr>
        <w:t xml:space="preserve">os recursos </w:t>
      </w:r>
      <w:r w:rsidR="00D67FE9">
        <w:rPr>
          <w:sz w:val="24"/>
          <w:szCs w:val="24"/>
        </w:rPr>
        <w:t xml:space="preserve">de forma a </w:t>
      </w:r>
      <w:r w:rsidRPr="001C1503">
        <w:rPr>
          <w:sz w:val="24"/>
          <w:szCs w:val="24"/>
        </w:rPr>
        <w:t xml:space="preserve">evitar fraudes e desperdícios indevidos. (Milesky, Scheren &amp; Galante, 2016). </w:t>
      </w:r>
      <w:r w:rsidR="00D67FE9">
        <w:rPr>
          <w:sz w:val="24"/>
          <w:szCs w:val="24"/>
        </w:rPr>
        <w:t>A contabilidade oferece</w:t>
      </w:r>
      <w:r w:rsidRPr="001C1503">
        <w:rPr>
          <w:sz w:val="24"/>
          <w:szCs w:val="24"/>
        </w:rPr>
        <w:t xml:space="preserve"> segurança aos administradores </w:t>
      </w:r>
      <w:r w:rsidR="00D67FE9">
        <w:rPr>
          <w:sz w:val="24"/>
          <w:szCs w:val="24"/>
        </w:rPr>
        <w:t>sérios e compenetrados em decidir sob as pegadas das</w:t>
      </w:r>
      <w:r w:rsidRPr="001C1503">
        <w:rPr>
          <w:sz w:val="24"/>
          <w:szCs w:val="24"/>
        </w:rPr>
        <w:t xml:space="preserve"> informações contábeis</w:t>
      </w:r>
      <w:r w:rsidR="00D67FE9">
        <w:rPr>
          <w:sz w:val="24"/>
          <w:szCs w:val="24"/>
        </w:rPr>
        <w:t xml:space="preserve"> justas e não enviesadas. </w:t>
      </w:r>
    </w:p>
    <w:p w:rsidR="001C1503" w:rsidRPr="001C1503" w:rsidRDefault="001C1503" w:rsidP="001C1503">
      <w:pPr>
        <w:ind w:firstLine="709"/>
        <w:jc w:val="both"/>
        <w:rPr>
          <w:sz w:val="24"/>
          <w:szCs w:val="24"/>
        </w:rPr>
      </w:pPr>
      <w:r w:rsidRPr="001C1503">
        <w:rPr>
          <w:sz w:val="24"/>
          <w:szCs w:val="24"/>
        </w:rPr>
        <w:t>.</w:t>
      </w:r>
    </w:p>
    <w:p w:rsidR="001C1503" w:rsidRPr="001C1503" w:rsidRDefault="001C1503" w:rsidP="00E26692">
      <w:pPr>
        <w:pStyle w:val="Ttulo1"/>
        <w:numPr>
          <w:ilvl w:val="0"/>
          <w:numId w:val="0"/>
        </w:numPr>
        <w:ind w:left="432" w:hanging="432"/>
        <w:rPr>
          <w:rFonts w:cs="Times New Roman"/>
          <w:szCs w:val="24"/>
        </w:rPr>
      </w:pPr>
      <w:r w:rsidRPr="001C1503">
        <w:rPr>
          <w:rFonts w:cs="Times New Roman"/>
          <w:caps w:val="0"/>
          <w:szCs w:val="24"/>
        </w:rPr>
        <w:t xml:space="preserve">Conclusão </w:t>
      </w:r>
    </w:p>
    <w:p w:rsidR="00D67FE9" w:rsidRPr="00D67FE9" w:rsidRDefault="00D67FE9" w:rsidP="00E95263">
      <w:pPr>
        <w:ind w:firstLine="709"/>
        <w:jc w:val="both"/>
        <w:rPr>
          <w:sz w:val="24"/>
          <w:szCs w:val="24"/>
        </w:rPr>
      </w:pPr>
      <w:r>
        <w:rPr>
          <w:sz w:val="24"/>
          <w:szCs w:val="24"/>
        </w:rPr>
        <w:t xml:space="preserve">O objetivo de saber </w:t>
      </w:r>
      <w:r w:rsidRPr="00D67FE9">
        <w:rPr>
          <w:sz w:val="24"/>
          <w:szCs w:val="24"/>
        </w:rPr>
        <w:t>o grau de evidenciação da demonstração de fluxo do caixa no</w:t>
      </w:r>
      <w:r w:rsidR="00A5051D">
        <w:rPr>
          <w:sz w:val="24"/>
          <w:szCs w:val="24"/>
        </w:rPr>
        <w:t xml:space="preserve">s municípios do estado do Pará, restando provado pela figura 2 o ranque mostra 41 municípios em 2015 e 45 em 2016 </w:t>
      </w:r>
      <w:r w:rsidR="00A5051D" w:rsidRPr="001C1503">
        <w:rPr>
          <w:sz w:val="24"/>
          <w:szCs w:val="24"/>
        </w:rPr>
        <w:t>publicaram 100% de sua demonstração apresentando todos os quadros,</w:t>
      </w:r>
      <w:r w:rsidR="00A5051D">
        <w:rPr>
          <w:sz w:val="24"/>
          <w:szCs w:val="24"/>
        </w:rPr>
        <w:t xml:space="preserve"> estando em primeiro lugar.  A comparação</w:t>
      </w:r>
      <w:r w:rsidRPr="00D67FE9">
        <w:rPr>
          <w:sz w:val="24"/>
          <w:szCs w:val="24"/>
        </w:rPr>
        <w:t xml:space="preserve"> </w:t>
      </w:r>
      <w:r w:rsidR="00A5051D">
        <w:rPr>
          <w:sz w:val="24"/>
          <w:szCs w:val="24"/>
        </w:rPr>
        <w:t>d</w:t>
      </w:r>
      <w:r w:rsidRPr="00D67FE9">
        <w:rPr>
          <w:sz w:val="24"/>
          <w:szCs w:val="24"/>
        </w:rPr>
        <w:t>o grau de evidenciação do quadro principal e dos acessórios da DFC, consoante o MCASP nos 144 municípios paraenses no</w:t>
      </w:r>
      <w:r w:rsidR="00A5051D">
        <w:rPr>
          <w:sz w:val="24"/>
          <w:szCs w:val="24"/>
        </w:rPr>
        <w:t xml:space="preserve">s anos de 2015 e 2016, os achados mostram pela </w:t>
      </w:r>
      <w:r w:rsidR="00E95263">
        <w:rPr>
          <w:sz w:val="24"/>
          <w:szCs w:val="24"/>
        </w:rPr>
        <w:t>figura 3, que a maioria dos municípios paraenses elabora apenas e tão somente o quadro principal da DFC, sendo eu dos 144 municípios do estado do Pará, o numero de 113 em 2015 e 111municípios no ano de 2016 evidenciaram apenas o quadro principal da demonstração contábil dos Fluxos de Caixa. Em</w:t>
      </w:r>
      <w:r w:rsidR="00E95263" w:rsidRPr="001C1503">
        <w:rPr>
          <w:sz w:val="24"/>
          <w:szCs w:val="24"/>
        </w:rPr>
        <w:t xml:space="preserve"> de 2015 e 2016 somente 41 e 45 dos 144 municípios, respectivamente, apresentaram a DFC em sua totalidade. Outra análise constatou que 29 municípios não publicaram sua DFC em 2015 e em 2016 esse número aumentou para 33 dos 144 municípios analisados. Esses achados, além de demonstrarem que os municípios não estão se adequando as normas internacionais de contabilidade, também deixam claro o descaso da administração pública no que versa a evidenciação de informações como meios de instrumentalização de controle social para o cidadão. </w:t>
      </w:r>
      <w:r w:rsidR="00E95263">
        <w:rPr>
          <w:sz w:val="24"/>
          <w:szCs w:val="24"/>
        </w:rPr>
        <w:t>Ficando evidente que o a Nova Contabilidade Aplicada ao Setor público ainda não chegou aos municípios paraenses.</w:t>
      </w:r>
    </w:p>
    <w:p w:rsidR="001C1503" w:rsidRPr="001C1503" w:rsidRDefault="00E95263" w:rsidP="001C1503">
      <w:pPr>
        <w:ind w:firstLine="709"/>
        <w:jc w:val="both"/>
        <w:rPr>
          <w:sz w:val="24"/>
          <w:szCs w:val="24"/>
        </w:rPr>
      </w:pPr>
      <w:r>
        <w:rPr>
          <w:sz w:val="24"/>
          <w:szCs w:val="24"/>
        </w:rPr>
        <w:t>O estado esta descumprindo a</w:t>
      </w:r>
      <w:r w:rsidR="001C1503" w:rsidRPr="001C1503">
        <w:rPr>
          <w:sz w:val="24"/>
          <w:szCs w:val="24"/>
        </w:rPr>
        <w:t xml:space="preserve">s Normas Brasileiras de Contabilidade Aplicadas ao Setor Público (NBCASP) </w:t>
      </w:r>
      <w:r>
        <w:rPr>
          <w:sz w:val="24"/>
          <w:szCs w:val="24"/>
        </w:rPr>
        <w:t>cuja missão é modificar o arcabouço conceitual da</w:t>
      </w:r>
      <w:r w:rsidR="001C1503" w:rsidRPr="001C1503">
        <w:rPr>
          <w:sz w:val="24"/>
          <w:szCs w:val="24"/>
        </w:rPr>
        <w:t xml:space="preserve"> área pública, uniformizando práticas e procedimentos contábeis, evoluindo para a consolidação e integração às normas internacionais, possibilitando  geração de informações mais confiáveis e abrangentes a respeito da situação fiscal, orçamentária e patrimonial do Governo, a serem disponibilizadas à sociedade, cujo reflexo é imediato sobre a transparência na administração do setor público,  i</w:t>
      </w:r>
      <w:r>
        <w:rPr>
          <w:sz w:val="24"/>
          <w:szCs w:val="24"/>
        </w:rPr>
        <w:t>ncentivando o controle social, que no Pará se encontra prejudicado.</w:t>
      </w:r>
    </w:p>
    <w:p w:rsidR="001C1503" w:rsidRPr="001C1503" w:rsidRDefault="001C1503" w:rsidP="001C1503">
      <w:pPr>
        <w:ind w:firstLine="709"/>
        <w:jc w:val="both"/>
        <w:rPr>
          <w:sz w:val="24"/>
          <w:szCs w:val="24"/>
        </w:rPr>
      </w:pPr>
      <w:r w:rsidRPr="001C1503">
        <w:rPr>
          <w:sz w:val="24"/>
          <w:szCs w:val="24"/>
        </w:rPr>
        <w:t xml:space="preserve">Os objetivos cumpridos na pesquisa foram capazes de quantificar os municípios que publicaram a DFC dos exercícios de 2015 e 2016, computou o comportamento da evidenciação dos quadros principal e acessórios no que pertence a sua divulgação e analisou o percentual de publicidade e como a evidenciação dos quadros principal e acessórios da DFC </w:t>
      </w:r>
      <w:r w:rsidR="00E95263" w:rsidRPr="001C1503">
        <w:rPr>
          <w:sz w:val="24"/>
          <w:szCs w:val="24"/>
        </w:rPr>
        <w:t>é capaz</w:t>
      </w:r>
      <w:r w:rsidRPr="001C1503">
        <w:rPr>
          <w:sz w:val="24"/>
          <w:szCs w:val="24"/>
        </w:rPr>
        <w:t xml:space="preserve"> de socorrer o controle social. </w:t>
      </w:r>
    </w:p>
    <w:p w:rsidR="001C1503" w:rsidRPr="001C1503" w:rsidRDefault="001C1503" w:rsidP="001C1503">
      <w:pPr>
        <w:ind w:firstLine="709"/>
        <w:jc w:val="both"/>
        <w:rPr>
          <w:sz w:val="24"/>
          <w:szCs w:val="24"/>
        </w:rPr>
      </w:pPr>
      <w:r w:rsidRPr="001C1503">
        <w:rPr>
          <w:sz w:val="24"/>
          <w:szCs w:val="24"/>
        </w:rPr>
        <w:lastRenderedPageBreak/>
        <w:t xml:space="preserve">Para o controle social ser efetivo, o ente público deve assumir o compromisso de ser transparente quanto </w:t>
      </w:r>
      <w:r w:rsidR="00E95263" w:rsidRPr="001C1503">
        <w:rPr>
          <w:sz w:val="24"/>
          <w:szCs w:val="24"/>
        </w:rPr>
        <w:t>às</w:t>
      </w:r>
      <w:r w:rsidRPr="001C1503">
        <w:rPr>
          <w:sz w:val="24"/>
          <w:szCs w:val="24"/>
        </w:rPr>
        <w:t xml:space="preserve"> informações relevantes da gestão pública. No entanto, com essa falta de evidenciação o controle social se torna carente pela falta de informações nas demonstrações contábeis municipais, abrindo um viés para desvios, o desperdício no setor público e subsequentemente para o surgimento da corrupção.  </w:t>
      </w:r>
    </w:p>
    <w:p w:rsidR="001C1503" w:rsidRPr="001C1503" w:rsidRDefault="009345B2" w:rsidP="009345B2">
      <w:pPr>
        <w:ind w:firstLine="709"/>
        <w:jc w:val="both"/>
        <w:rPr>
          <w:sz w:val="24"/>
          <w:szCs w:val="24"/>
        </w:rPr>
      </w:pPr>
      <w:r>
        <w:rPr>
          <w:sz w:val="24"/>
          <w:szCs w:val="24"/>
        </w:rPr>
        <w:t xml:space="preserve">Sugere-se pesquisas para inferir o que </w:t>
      </w:r>
      <w:r w:rsidR="00AD79EB">
        <w:rPr>
          <w:sz w:val="24"/>
          <w:szCs w:val="24"/>
        </w:rPr>
        <w:t>está</w:t>
      </w:r>
      <w:r>
        <w:rPr>
          <w:sz w:val="24"/>
          <w:szCs w:val="24"/>
        </w:rPr>
        <w:t xml:space="preserve"> sendo realizados pelos órgãos de controle interno e externo para exigir que os</w:t>
      </w:r>
      <w:r w:rsidR="001C1503" w:rsidRPr="001C1503">
        <w:rPr>
          <w:sz w:val="24"/>
          <w:szCs w:val="24"/>
        </w:rPr>
        <w:t xml:space="preserve"> municípios/gestores públicos </w:t>
      </w:r>
      <w:r>
        <w:rPr>
          <w:sz w:val="24"/>
          <w:szCs w:val="24"/>
        </w:rPr>
        <w:t xml:space="preserve">evidenciem de forma correta a </w:t>
      </w:r>
      <w:r w:rsidR="001C1503" w:rsidRPr="001C1503">
        <w:rPr>
          <w:sz w:val="24"/>
          <w:szCs w:val="24"/>
        </w:rPr>
        <w:t>Demonstrações dos Fluxos de Caixa conforme a prescrição do Manual de Contabil</w:t>
      </w:r>
      <w:r>
        <w:rPr>
          <w:sz w:val="24"/>
          <w:szCs w:val="24"/>
        </w:rPr>
        <w:t xml:space="preserve">idade Aplicado ao Setor Público, para que o corra o necessário Controle. Ainda precisam ser feitas investigações que analisem a integridade das </w:t>
      </w:r>
      <w:r w:rsidR="001C1503" w:rsidRPr="001C1503">
        <w:rPr>
          <w:sz w:val="24"/>
          <w:szCs w:val="24"/>
        </w:rPr>
        <w:t xml:space="preserve">Demonstração de Fluxo de Caixa, com ênfase nos valores de receitas e despesas dos municípios paraenses, o que se sugere para pesquisas futuras. </w:t>
      </w:r>
    </w:p>
    <w:p w:rsidR="001C1503" w:rsidRPr="001C1503" w:rsidRDefault="001C1503" w:rsidP="001C1503">
      <w:pPr>
        <w:spacing w:after="136" w:line="254" w:lineRule="auto"/>
        <w:jc w:val="both"/>
        <w:rPr>
          <w:b/>
          <w:sz w:val="24"/>
          <w:szCs w:val="24"/>
        </w:rPr>
      </w:pPr>
      <w:r w:rsidRPr="001C1503">
        <w:rPr>
          <w:b/>
          <w:sz w:val="24"/>
          <w:szCs w:val="24"/>
        </w:rPr>
        <w:t xml:space="preserve"> </w:t>
      </w:r>
    </w:p>
    <w:p w:rsidR="001C1503" w:rsidRPr="001C1503" w:rsidRDefault="001C1503" w:rsidP="00E26692">
      <w:pPr>
        <w:pStyle w:val="Ttulo1"/>
        <w:numPr>
          <w:ilvl w:val="0"/>
          <w:numId w:val="0"/>
        </w:numPr>
        <w:ind w:left="432" w:hanging="432"/>
        <w:rPr>
          <w:rFonts w:cs="Times New Roman"/>
          <w:szCs w:val="24"/>
        </w:rPr>
      </w:pPr>
      <w:r w:rsidRPr="001C1503">
        <w:rPr>
          <w:rFonts w:cs="Times New Roman"/>
          <w:caps w:val="0"/>
          <w:szCs w:val="24"/>
        </w:rPr>
        <w:t xml:space="preserve">Referências </w:t>
      </w:r>
    </w:p>
    <w:p w:rsidR="001C1503" w:rsidRPr="001C1503" w:rsidRDefault="001C1503" w:rsidP="001C1503">
      <w:pPr>
        <w:spacing w:after="159" w:line="235" w:lineRule="auto"/>
        <w:ind w:left="478" w:hanging="493"/>
        <w:jc w:val="both"/>
        <w:rPr>
          <w:sz w:val="24"/>
          <w:szCs w:val="24"/>
        </w:rPr>
      </w:pPr>
      <w:r w:rsidRPr="001C1503">
        <w:rPr>
          <w:sz w:val="24"/>
          <w:szCs w:val="24"/>
        </w:rPr>
        <w:t>Augustinho, S. M., Oliveira, A. G., Guimarães, I. A. (2015). Disclosure e Accountability nas Demonstrações Contábeis Públicas como Instrumentos de Controle Social. Revista de Educação e Pesquisa em Contabilidade. 9(2), pp. 182-199.</w:t>
      </w:r>
      <w:r w:rsidRPr="001C1503">
        <w:rPr>
          <w:b/>
          <w:sz w:val="24"/>
          <w:szCs w:val="24"/>
        </w:rPr>
        <w:t xml:space="preserve"> </w:t>
      </w:r>
    </w:p>
    <w:p w:rsidR="001C1503" w:rsidRPr="001C1503" w:rsidRDefault="001C1503" w:rsidP="001C1503">
      <w:pPr>
        <w:ind w:left="468" w:hanging="483"/>
        <w:jc w:val="both"/>
        <w:rPr>
          <w:sz w:val="24"/>
          <w:szCs w:val="24"/>
        </w:rPr>
      </w:pPr>
      <w:r w:rsidRPr="001C1503">
        <w:rPr>
          <w:sz w:val="24"/>
          <w:szCs w:val="24"/>
        </w:rPr>
        <w:t xml:space="preserve">Bizerra Filho, J. E., &amp; Feijó, P. H. (2012). A nova contabilidade aplicada ao setor público: o futuro chegou (S. Eds). Revista TCE-PE, 19(19), 28-61.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ind w:left="468" w:hanging="483"/>
        <w:jc w:val="both"/>
        <w:rPr>
          <w:sz w:val="24"/>
          <w:szCs w:val="24"/>
        </w:rPr>
      </w:pPr>
      <w:r w:rsidRPr="001C1503">
        <w:rPr>
          <w:sz w:val="24"/>
          <w:szCs w:val="24"/>
        </w:rPr>
        <w:t xml:space="preserve">Brasil, Lei nº 6.448, de 11 de outubro de 1977. (1977). Dispõe sobre A Organização Política e Administrativa dos Municípios dos Territórios Federais, e Dá Outras Providências. Diário oficial da união. Brasília, DF: Senado Federal. Recuperado em: http://www.planalto.gov.br/ccivil_03/leis/1970-1979/L6448.htm.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ind w:left="468" w:hanging="483"/>
        <w:jc w:val="both"/>
        <w:rPr>
          <w:sz w:val="24"/>
          <w:szCs w:val="24"/>
        </w:rPr>
      </w:pPr>
      <w:r w:rsidRPr="001C1503">
        <w:rPr>
          <w:sz w:val="24"/>
          <w:szCs w:val="24"/>
        </w:rPr>
        <w:t xml:space="preserve">Brasil, (1988). Constituição da República Federativa do Brasil de 1988. (2001). [Coleção Saraiva de Legislação]. (21st ed.). São Paulo: Saraiva.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spacing w:line="235" w:lineRule="auto"/>
        <w:ind w:left="478" w:hanging="493"/>
        <w:jc w:val="both"/>
        <w:rPr>
          <w:sz w:val="24"/>
          <w:szCs w:val="24"/>
        </w:rPr>
      </w:pPr>
      <w:r w:rsidRPr="001C1503">
        <w:rPr>
          <w:sz w:val="24"/>
          <w:szCs w:val="24"/>
        </w:rPr>
        <w:t xml:space="preserve">Brasil, Lei nº 8.429, de 2 de junho de 1992(1992). Dispõe sobre as sanções aplicáveis aos agentes públicos nos casos de enriquecimento ilícito no exercício de mandato, cargo, emprego ou função na administração pública direta, indireta ou fundacional e dá outras providências. Brasília, DF: Senado federal. Recuperado em: https://www.planalto.gov.br/ccivil_03/Leis/L8429.htm.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ind w:left="468" w:hanging="483"/>
        <w:jc w:val="both"/>
        <w:rPr>
          <w:sz w:val="24"/>
          <w:szCs w:val="24"/>
        </w:rPr>
      </w:pPr>
      <w:r w:rsidRPr="001C1503">
        <w:rPr>
          <w:sz w:val="24"/>
          <w:szCs w:val="24"/>
        </w:rPr>
        <w:t xml:space="preserve">Brasil, Lei Complementar nº 101, de 4 de maio de 2000(2000). Lei de Responsabilidade Fiscal. Brasília, DF: Senado Federal. Recuperado em: https://www.planalto.gov.br/ccivil_03/Leis/L8429.htm.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ind w:left="468" w:hanging="483"/>
        <w:jc w:val="both"/>
        <w:rPr>
          <w:sz w:val="24"/>
          <w:szCs w:val="24"/>
        </w:rPr>
      </w:pPr>
      <w:r w:rsidRPr="001C1503">
        <w:rPr>
          <w:sz w:val="24"/>
          <w:szCs w:val="24"/>
        </w:rPr>
        <w:t xml:space="preserve">Brasil, Lei Complementar nº 109, de 29 de dezembro de 2016(2016). Lei orgânica do TCMPA. Belém, PA: Tribunal de contas do estado do Pará. Recuperado em: https://www.tcm.pa.gov.br/rokdownloads/LEIS/lei-109-2016.pdf.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ind w:left="468" w:hanging="483"/>
        <w:jc w:val="both"/>
        <w:rPr>
          <w:sz w:val="24"/>
          <w:szCs w:val="24"/>
        </w:rPr>
      </w:pPr>
      <w:r w:rsidRPr="001C1503">
        <w:rPr>
          <w:sz w:val="24"/>
          <w:szCs w:val="24"/>
        </w:rPr>
        <w:t xml:space="preserve">Brasil, Secretaria do Tesouro Nacional. (2016). Manual de Contabilidade Aplicada ao Setor Público (7th Eds). Brasília: STN. Recuperado em: http://www.tesouro.fazenda.gov.br/documents/10180/456785/MCASP+7ª%20edição+V ersão+Final.pdf/6e874adb-44d7-490c-8967-b0acd3923f6d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spacing w:line="235" w:lineRule="auto"/>
        <w:ind w:left="478" w:hanging="493"/>
        <w:jc w:val="both"/>
        <w:rPr>
          <w:sz w:val="24"/>
          <w:szCs w:val="24"/>
        </w:rPr>
      </w:pPr>
      <w:r w:rsidRPr="001C1503">
        <w:rPr>
          <w:sz w:val="24"/>
          <w:szCs w:val="24"/>
        </w:rPr>
        <w:lastRenderedPageBreak/>
        <w:t xml:space="preserve">Campos, R. A. (2014). A demonstração do fluxo de caixa como importante instrumento de avaliação da gestão ambiental. Especialização. Universidade Candido Mendes, Alpercata.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spacing w:line="235" w:lineRule="auto"/>
        <w:ind w:left="478" w:hanging="493"/>
        <w:jc w:val="both"/>
        <w:rPr>
          <w:sz w:val="24"/>
          <w:szCs w:val="24"/>
        </w:rPr>
      </w:pPr>
      <w:r w:rsidRPr="001C1503">
        <w:rPr>
          <w:sz w:val="24"/>
          <w:szCs w:val="24"/>
        </w:rPr>
        <w:t xml:space="preserve">Farias F., Milton C., Arruda F., Emílio J. M. (2013). Metodologia da pesquisa: o levantamento dos dados e informações. In: Planejamento da pesquisa científica. (7th Eds). São Paulo: Atlas. 55-136.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ind w:left="468" w:hanging="483"/>
        <w:jc w:val="both"/>
        <w:rPr>
          <w:sz w:val="24"/>
          <w:szCs w:val="24"/>
        </w:rPr>
      </w:pPr>
      <w:r w:rsidRPr="001C1503">
        <w:rPr>
          <w:sz w:val="24"/>
          <w:szCs w:val="24"/>
        </w:rPr>
        <w:t xml:space="preserve">Furtado, J. R. C. (2007). Os regimes de contas públicas: contas de governo e contas de gestão (S. Eds). Revista do TCU, 1(109), 61-89.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ind w:left="468" w:hanging="483"/>
        <w:jc w:val="both"/>
        <w:rPr>
          <w:sz w:val="24"/>
          <w:szCs w:val="24"/>
        </w:rPr>
      </w:pPr>
      <w:r w:rsidRPr="001C1503">
        <w:rPr>
          <w:sz w:val="24"/>
          <w:szCs w:val="24"/>
        </w:rPr>
        <w:t xml:space="preserve">Gil, A. C., (2010). Como classificar as pesquisas. In: Como elaborar Projetos de Pesquisa (5th </w:t>
      </w:r>
      <w:proofErr w:type="spellStart"/>
      <w:r w:rsidRPr="001C1503">
        <w:rPr>
          <w:sz w:val="24"/>
          <w:szCs w:val="24"/>
        </w:rPr>
        <w:t>eds</w:t>
      </w:r>
      <w:proofErr w:type="spellEnd"/>
      <w:r w:rsidRPr="001C1503">
        <w:rPr>
          <w:sz w:val="24"/>
          <w:szCs w:val="24"/>
        </w:rPr>
        <w:t xml:space="preserve">). São Paulo: Atlas. 25-44.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ind w:left="468" w:hanging="483"/>
        <w:jc w:val="both"/>
        <w:rPr>
          <w:sz w:val="24"/>
          <w:szCs w:val="24"/>
        </w:rPr>
      </w:pPr>
      <w:r w:rsidRPr="001C1503">
        <w:rPr>
          <w:sz w:val="24"/>
          <w:szCs w:val="24"/>
        </w:rPr>
        <w:t xml:space="preserve">Instituto Brasileiro De Geografia E Estatística (2017). Divisão Regional do Brasil em Regiões Geográficas Imediatas e Regiões Geográficas Intermediárias (S. Eds). Rio de Janeiro:IBGE. Recuperado em: https://biblioteca.ibge.gov.br/visualizacao/livros/liv100600.pdf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ind w:left="468" w:hanging="483"/>
        <w:jc w:val="both"/>
        <w:rPr>
          <w:sz w:val="24"/>
          <w:szCs w:val="24"/>
        </w:rPr>
      </w:pPr>
      <w:r w:rsidRPr="001C1503">
        <w:rPr>
          <w:sz w:val="24"/>
          <w:szCs w:val="24"/>
        </w:rPr>
        <w:t xml:space="preserve">Iudicibus, S. (2015). Teoria da Contabilidade. In: Objetivos e abordagens (ênfases) da teoria contábil (11en Eds). São Paulo: Atlas, 3-15.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spacing w:line="235" w:lineRule="auto"/>
        <w:ind w:left="478" w:hanging="493"/>
        <w:jc w:val="both"/>
        <w:rPr>
          <w:sz w:val="24"/>
          <w:szCs w:val="24"/>
        </w:rPr>
      </w:pPr>
      <w:r w:rsidRPr="001C1503">
        <w:rPr>
          <w:sz w:val="24"/>
          <w:szCs w:val="24"/>
        </w:rPr>
        <w:t xml:space="preserve">Leite, G. B. (2016). A adoção da demonstração de fluxo de caixa (DFC) como instrumento de gestão de recursos públicos no município de Cacoal – RO. Graduação. Fundação Universidade Federal de Rondônia.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ind w:left="468" w:hanging="483"/>
        <w:jc w:val="both"/>
        <w:rPr>
          <w:sz w:val="24"/>
          <w:szCs w:val="24"/>
          <w:lang w:val="en-US"/>
        </w:rPr>
      </w:pPr>
      <w:r w:rsidRPr="001C1503">
        <w:rPr>
          <w:sz w:val="24"/>
          <w:szCs w:val="24"/>
        </w:rPr>
        <w:t xml:space="preserve">Marconi, M. A., &amp; Lakatos, E. M. (2010). Procedimentos didáticos. In: Fundamentos de metodologia cientifica. </w:t>
      </w:r>
      <w:r w:rsidRPr="001C1503">
        <w:rPr>
          <w:sz w:val="24"/>
          <w:szCs w:val="24"/>
          <w:lang w:val="en-US"/>
        </w:rPr>
        <w:t xml:space="preserve">(7th. Eds). São Paulo: Atlas. 1-25. </w:t>
      </w:r>
    </w:p>
    <w:p w:rsidR="001C1503" w:rsidRPr="001C1503" w:rsidRDefault="001C1503" w:rsidP="001C1503">
      <w:pPr>
        <w:spacing w:line="254" w:lineRule="auto"/>
        <w:jc w:val="both"/>
        <w:rPr>
          <w:sz w:val="24"/>
          <w:szCs w:val="24"/>
          <w:lang w:val="en-US"/>
        </w:rPr>
      </w:pPr>
      <w:r w:rsidRPr="001C1503">
        <w:rPr>
          <w:sz w:val="24"/>
          <w:szCs w:val="24"/>
          <w:lang w:val="en-US"/>
        </w:rPr>
        <w:t xml:space="preserve"> </w:t>
      </w:r>
    </w:p>
    <w:p w:rsidR="001C1503" w:rsidRPr="001C1503" w:rsidRDefault="001C1503" w:rsidP="001C1503">
      <w:pPr>
        <w:spacing w:line="235" w:lineRule="auto"/>
        <w:ind w:left="478" w:hanging="493"/>
        <w:jc w:val="both"/>
        <w:rPr>
          <w:sz w:val="24"/>
          <w:szCs w:val="24"/>
        </w:rPr>
      </w:pPr>
      <w:r w:rsidRPr="001C1503">
        <w:rPr>
          <w:sz w:val="24"/>
          <w:szCs w:val="24"/>
          <w:lang w:val="en-US"/>
        </w:rPr>
        <w:t xml:space="preserve">Milesky, R., Scheren, G., Galante, C. (2016). </w:t>
      </w:r>
      <w:r w:rsidRPr="001C1503">
        <w:rPr>
          <w:sz w:val="24"/>
          <w:szCs w:val="24"/>
        </w:rPr>
        <w:t xml:space="preserve">Análise das transferências constitucionais recebidas nos municípios do estado de Santa Catarina. Congresso de iniciação cientifica em contabilidade da UFRGS (S. Eds). Rio Grande do Sul, RS, Brasil, 1. Recuperado em: &lt;https://www.ufrgs.br/ppgcont/arquivos/Iniciação Científica (IC)/análise das transferências constitucionais recebidas nos.pdf&gt;.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spacing w:line="254" w:lineRule="auto"/>
        <w:ind w:left="567" w:hanging="567"/>
        <w:jc w:val="both"/>
        <w:rPr>
          <w:sz w:val="24"/>
          <w:szCs w:val="24"/>
        </w:rPr>
      </w:pPr>
      <w:r w:rsidRPr="001C1503">
        <w:rPr>
          <w:sz w:val="24"/>
          <w:szCs w:val="24"/>
        </w:rPr>
        <w:t xml:space="preserve">Monteiro, R. P., Pereira, C. A., Thomaz, J. L. P. (2016). Accountability e controle social: uma reflexão sobre sua importância e relação para a democracia. Revista UNEMAT de Contabilidade. 5(9). pp 62-87. Recuperado em: </w:t>
      </w:r>
      <w:hyperlink r:id="rId15" w:history="1">
        <w:r w:rsidRPr="001C1503">
          <w:rPr>
            <w:rStyle w:val="Hyperlink"/>
            <w:rFonts w:eastAsiaTheme="majorEastAsia"/>
            <w:sz w:val="24"/>
            <w:szCs w:val="24"/>
          </w:rPr>
          <w:t>https://periodicos.unemat.br/index.php/ruc/article/view/1162/1359</w:t>
        </w:r>
      </w:hyperlink>
    </w:p>
    <w:p w:rsidR="001C1503" w:rsidRPr="001C1503" w:rsidRDefault="001C1503" w:rsidP="001C1503">
      <w:pPr>
        <w:spacing w:line="254" w:lineRule="auto"/>
        <w:ind w:left="567" w:hanging="567"/>
        <w:jc w:val="both"/>
        <w:rPr>
          <w:sz w:val="24"/>
          <w:szCs w:val="24"/>
        </w:rPr>
      </w:pPr>
    </w:p>
    <w:p w:rsidR="001C1503" w:rsidRPr="001C1503" w:rsidRDefault="001C1503" w:rsidP="001C1503">
      <w:pPr>
        <w:spacing w:line="254" w:lineRule="auto"/>
        <w:ind w:left="567" w:hanging="567"/>
        <w:jc w:val="both"/>
        <w:rPr>
          <w:sz w:val="24"/>
          <w:szCs w:val="24"/>
        </w:rPr>
      </w:pPr>
      <w:r w:rsidRPr="001C1503">
        <w:rPr>
          <w:sz w:val="24"/>
          <w:szCs w:val="24"/>
        </w:rPr>
        <w:t xml:space="preserve">Oliveira, A. G., Pisa, B. J. (2015) </w:t>
      </w:r>
      <w:proofErr w:type="spellStart"/>
      <w:r w:rsidRPr="001C1503">
        <w:rPr>
          <w:sz w:val="24"/>
          <w:szCs w:val="24"/>
        </w:rPr>
        <w:t>IGovP</w:t>
      </w:r>
      <w:proofErr w:type="spellEnd"/>
      <w:r w:rsidRPr="001C1503">
        <w:rPr>
          <w:sz w:val="24"/>
          <w:szCs w:val="24"/>
        </w:rPr>
        <w:t xml:space="preserve">: índice de avaliação da governança pública — instrumento de planejamento do Estado e de controle social pelo cidadão. Revista Administração Pública. 49(5). pp 1263-1290. Recuperado em: </w:t>
      </w:r>
      <w:hyperlink r:id="rId16" w:history="1">
        <w:r w:rsidRPr="001C1503">
          <w:rPr>
            <w:rStyle w:val="Hyperlink"/>
            <w:rFonts w:eastAsiaTheme="majorEastAsia"/>
            <w:sz w:val="24"/>
            <w:szCs w:val="24"/>
          </w:rPr>
          <w:t>http://bibliotecadigital.fgv.br/ojs/index.php/rap/article/view/54990/53684</w:t>
        </w:r>
      </w:hyperlink>
    </w:p>
    <w:p w:rsidR="001C1503" w:rsidRPr="001C1503" w:rsidRDefault="001C1503" w:rsidP="001C1503">
      <w:pPr>
        <w:spacing w:line="254" w:lineRule="auto"/>
        <w:ind w:left="567" w:hanging="567"/>
        <w:jc w:val="both"/>
        <w:rPr>
          <w:sz w:val="24"/>
          <w:szCs w:val="24"/>
        </w:rPr>
      </w:pPr>
    </w:p>
    <w:p w:rsidR="001C1503" w:rsidRPr="001C1503" w:rsidRDefault="001C1503" w:rsidP="001C1503">
      <w:pPr>
        <w:spacing w:line="254" w:lineRule="auto"/>
        <w:ind w:left="567" w:hanging="567"/>
        <w:jc w:val="both"/>
        <w:rPr>
          <w:sz w:val="24"/>
          <w:szCs w:val="24"/>
        </w:rPr>
      </w:pPr>
      <w:r w:rsidRPr="001C1503">
        <w:rPr>
          <w:sz w:val="24"/>
          <w:szCs w:val="24"/>
        </w:rPr>
        <w:t xml:space="preserve">Ribeiro, C. de M. A., Bizerra A. L. V. (2011). Convergência contábil na administração pública federal: o caso das instituições federais de ensino do estado do Rio de Janeiro. </w:t>
      </w:r>
      <w:r w:rsidRPr="001C1503">
        <w:rPr>
          <w:bCs/>
          <w:i/>
          <w:sz w:val="24"/>
          <w:szCs w:val="24"/>
        </w:rPr>
        <w:t>Pensar contábil</w:t>
      </w:r>
      <w:r w:rsidRPr="001C1503">
        <w:rPr>
          <w:sz w:val="24"/>
          <w:szCs w:val="24"/>
        </w:rPr>
        <w:t xml:space="preserve">, 13(52), 55-66. Recuperado em: &lt;http://www.atena.org.br/revista/ojs-2.2.3-08/index.php/pensarcontabil/article/viewFile/1193/1129&gt;. </w:t>
      </w:r>
    </w:p>
    <w:p w:rsidR="001C1503" w:rsidRPr="001C1503" w:rsidRDefault="001C1503" w:rsidP="001C1503">
      <w:pPr>
        <w:spacing w:line="254" w:lineRule="auto"/>
        <w:jc w:val="both"/>
        <w:rPr>
          <w:sz w:val="24"/>
          <w:szCs w:val="24"/>
        </w:rPr>
      </w:pPr>
    </w:p>
    <w:p w:rsidR="001C1503" w:rsidRPr="001C1503" w:rsidRDefault="001C1503" w:rsidP="001C1503">
      <w:pPr>
        <w:ind w:left="468" w:hanging="483"/>
        <w:jc w:val="both"/>
        <w:rPr>
          <w:sz w:val="24"/>
          <w:szCs w:val="24"/>
        </w:rPr>
      </w:pPr>
      <w:r w:rsidRPr="001C1503">
        <w:rPr>
          <w:sz w:val="24"/>
          <w:szCs w:val="24"/>
        </w:rPr>
        <w:t xml:space="preserve">Rolim, L. B., Cruz, R. S. B. L. C., Sampaio, K. J. A. J. S. (2013). Participação popular e o controle social como diretriz do SUS: uma revisão narrativa. Saúde em debate. 37(96). pp 139-147.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ind w:left="468" w:hanging="483"/>
        <w:jc w:val="both"/>
        <w:rPr>
          <w:sz w:val="24"/>
          <w:szCs w:val="24"/>
        </w:rPr>
      </w:pPr>
      <w:r w:rsidRPr="001C1503">
        <w:rPr>
          <w:sz w:val="24"/>
          <w:szCs w:val="24"/>
        </w:rPr>
        <w:t xml:space="preserve">Silva, F. C. D. C., Macedo, F. (1998). Controle e reforma da administração no Brasil. Encontro Nacional da ANPAD (S. Eds). Foz do Iguaçu, Paraná, Brasil.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ind w:left="468" w:hanging="483"/>
        <w:jc w:val="both"/>
        <w:rPr>
          <w:sz w:val="24"/>
          <w:szCs w:val="24"/>
        </w:rPr>
      </w:pPr>
      <w:r w:rsidRPr="001C1503">
        <w:rPr>
          <w:sz w:val="24"/>
          <w:szCs w:val="24"/>
        </w:rPr>
        <w:t xml:space="preserve">Souza, C. M. N. (2016). Participação dos cidadãos e saneamento básico: panorama da legislação nacional. Revista do instituto de estudos brasileiros. 63(1), pp 141-158.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ind w:left="468" w:hanging="483"/>
        <w:jc w:val="both"/>
        <w:rPr>
          <w:sz w:val="24"/>
          <w:szCs w:val="24"/>
        </w:rPr>
      </w:pPr>
      <w:r w:rsidRPr="001C1503">
        <w:rPr>
          <w:sz w:val="24"/>
          <w:szCs w:val="24"/>
        </w:rPr>
        <w:t xml:space="preserve">Teixeira, E. (2013). Terceira Metodologia. In: As três metodologias: Acadêmica, da Ciência e da Pesquisa. (10en </w:t>
      </w:r>
      <w:proofErr w:type="spellStart"/>
      <w:r w:rsidRPr="001C1503">
        <w:rPr>
          <w:sz w:val="24"/>
          <w:szCs w:val="24"/>
        </w:rPr>
        <w:t>eds</w:t>
      </w:r>
      <w:proofErr w:type="spellEnd"/>
      <w:r w:rsidRPr="001C1503">
        <w:rPr>
          <w:sz w:val="24"/>
          <w:szCs w:val="24"/>
        </w:rPr>
        <w:t xml:space="preserve">). Rio de Janeiro: Vozes, pp. 115-158.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spacing w:line="235" w:lineRule="auto"/>
        <w:ind w:left="478" w:hanging="493"/>
        <w:jc w:val="both"/>
        <w:rPr>
          <w:sz w:val="24"/>
          <w:szCs w:val="24"/>
        </w:rPr>
      </w:pPr>
      <w:r w:rsidRPr="00E26692">
        <w:rPr>
          <w:sz w:val="24"/>
          <w:szCs w:val="24"/>
        </w:rPr>
        <w:t xml:space="preserve">Klein, B. E., &amp; Souza, A. R. L. (2012). </w:t>
      </w:r>
      <w:r w:rsidRPr="001C1503">
        <w:rPr>
          <w:sz w:val="24"/>
          <w:szCs w:val="24"/>
        </w:rPr>
        <w:t xml:space="preserve">Contabilidade pública brasileira: a convergência com os padrões contábeis internacionais no setor público – MEF 21997 – BEAP. Recuperado em: http://www.etecnico.com.br/paginas/mef21997.htm. </w:t>
      </w:r>
    </w:p>
    <w:p w:rsidR="001C1503" w:rsidRPr="001C1503" w:rsidRDefault="001C1503" w:rsidP="001C1503">
      <w:pPr>
        <w:ind w:left="478" w:hanging="493"/>
        <w:jc w:val="both"/>
        <w:rPr>
          <w:sz w:val="24"/>
          <w:szCs w:val="24"/>
        </w:rPr>
      </w:pPr>
    </w:p>
    <w:p w:rsidR="001C1503" w:rsidRPr="001C1503" w:rsidRDefault="001C1503" w:rsidP="001C1503">
      <w:pPr>
        <w:ind w:left="478" w:hanging="493"/>
        <w:jc w:val="both"/>
        <w:rPr>
          <w:sz w:val="24"/>
          <w:szCs w:val="24"/>
        </w:rPr>
      </w:pPr>
      <w:r w:rsidRPr="001C1503">
        <w:rPr>
          <w:sz w:val="24"/>
          <w:szCs w:val="24"/>
        </w:rPr>
        <w:t>Bezerra Filho, J. E. (2014). Contabilidade aplicada ao setor público</w:t>
      </w:r>
      <w:r w:rsidRPr="001C1503">
        <w:rPr>
          <w:b/>
          <w:sz w:val="24"/>
          <w:szCs w:val="24"/>
        </w:rPr>
        <w:t xml:space="preserve">: </w:t>
      </w:r>
      <w:r w:rsidRPr="001C1503">
        <w:rPr>
          <w:sz w:val="24"/>
          <w:szCs w:val="24"/>
        </w:rPr>
        <w:t xml:space="preserve">abordagem simples e objetiva. São Paulo, SP: Atlas.  </w:t>
      </w:r>
    </w:p>
    <w:p w:rsidR="001C1503" w:rsidRPr="001C1503" w:rsidRDefault="001C1503" w:rsidP="001C1503">
      <w:pPr>
        <w:ind w:left="478" w:hanging="493"/>
        <w:jc w:val="both"/>
        <w:rPr>
          <w:sz w:val="24"/>
          <w:szCs w:val="24"/>
        </w:rPr>
      </w:pPr>
    </w:p>
    <w:p w:rsidR="001C1503" w:rsidRPr="001C1503" w:rsidRDefault="001C1503" w:rsidP="001C1503">
      <w:pPr>
        <w:ind w:left="478" w:hanging="493"/>
        <w:jc w:val="both"/>
        <w:rPr>
          <w:sz w:val="24"/>
          <w:szCs w:val="24"/>
        </w:rPr>
      </w:pPr>
      <w:r w:rsidRPr="001C1503">
        <w:rPr>
          <w:sz w:val="24"/>
          <w:szCs w:val="24"/>
        </w:rPr>
        <w:t>Capiberibe, Z. I. M. Martins, M. de S. (2011). Considerações sobre as novas Normas Brasileiras de Contabilidade Aplicada ao Setor Público e os principais impactos</w:t>
      </w:r>
      <w:r w:rsidRPr="001C1503">
        <w:rPr>
          <w:b/>
          <w:sz w:val="24"/>
          <w:szCs w:val="24"/>
        </w:rPr>
        <w:t xml:space="preserve">. </w:t>
      </w:r>
      <w:r w:rsidRPr="001C1503">
        <w:rPr>
          <w:sz w:val="24"/>
          <w:szCs w:val="24"/>
        </w:rPr>
        <w:t xml:space="preserve">Recuperado em:http://www.tce.ms.gov.br/portal/admin/uploads/Artigo%20Zelia.pdf. </w:t>
      </w:r>
    </w:p>
    <w:p w:rsidR="001C1503" w:rsidRPr="001C1503" w:rsidRDefault="001C1503" w:rsidP="001C1503">
      <w:pPr>
        <w:spacing w:line="254" w:lineRule="auto"/>
        <w:jc w:val="both"/>
        <w:rPr>
          <w:sz w:val="24"/>
          <w:szCs w:val="24"/>
        </w:rPr>
      </w:pPr>
      <w:r w:rsidRPr="001C1503">
        <w:rPr>
          <w:sz w:val="24"/>
          <w:szCs w:val="24"/>
        </w:rPr>
        <w:t xml:space="preserve"> </w:t>
      </w:r>
    </w:p>
    <w:p w:rsidR="001C1503" w:rsidRPr="001C1503" w:rsidRDefault="001C1503" w:rsidP="001C1503">
      <w:pPr>
        <w:ind w:left="478" w:hanging="493"/>
        <w:jc w:val="both"/>
        <w:rPr>
          <w:sz w:val="24"/>
          <w:szCs w:val="24"/>
        </w:rPr>
      </w:pPr>
      <w:r w:rsidRPr="001C1503">
        <w:rPr>
          <w:sz w:val="24"/>
          <w:szCs w:val="24"/>
        </w:rPr>
        <w:t xml:space="preserve">Ribeiro, C. de M. A., Bizerra A. L. V. (2011). Convergência contábil na administração pública federal: o caso das instituições federais de ensino do estado do Rio de Janeiro. </w:t>
      </w:r>
      <w:r w:rsidRPr="001C1503">
        <w:rPr>
          <w:i/>
          <w:sz w:val="24"/>
          <w:szCs w:val="24"/>
        </w:rPr>
        <w:t>Pensar contábil</w:t>
      </w:r>
      <w:r w:rsidRPr="001C1503">
        <w:rPr>
          <w:sz w:val="24"/>
          <w:szCs w:val="24"/>
        </w:rPr>
        <w:t xml:space="preserve">, 13(52), 55-66. Recuperado em: &lt;http://www.atena.org.br/revista/ojs-2.2.3-08/index.php/pensarcontabil/article/view/1193/1129&gt;.  </w:t>
      </w:r>
    </w:p>
    <w:p w:rsidR="001C1503" w:rsidRPr="001C1503" w:rsidRDefault="001C1503" w:rsidP="001C1503">
      <w:pPr>
        <w:spacing w:line="254" w:lineRule="auto"/>
        <w:ind w:left="478" w:hanging="493"/>
        <w:jc w:val="both"/>
        <w:rPr>
          <w:sz w:val="24"/>
          <w:szCs w:val="24"/>
        </w:rPr>
      </w:pPr>
    </w:p>
    <w:p w:rsidR="001C1503" w:rsidRPr="001C1503" w:rsidRDefault="001C1503" w:rsidP="001C1503">
      <w:pPr>
        <w:spacing w:line="254" w:lineRule="auto"/>
        <w:ind w:left="478" w:hanging="493"/>
        <w:jc w:val="both"/>
        <w:rPr>
          <w:sz w:val="24"/>
          <w:szCs w:val="24"/>
        </w:rPr>
      </w:pPr>
      <w:r w:rsidRPr="001C1503">
        <w:rPr>
          <w:sz w:val="24"/>
          <w:szCs w:val="24"/>
        </w:rPr>
        <w:t xml:space="preserve">Souza, D., &amp; </w:t>
      </w:r>
      <w:proofErr w:type="spellStart"/>
      <w:r w:rsidRPr="001C1503">
        <w:rPr>
          <w:sz w:val="24"/>
          <w:szCs w:val="24"/>
        </w:rPr>
        <w:t>Gançalves</w:t>
      </w:r>
      <w:proofErr w:type="spellEnd"/>
      <w:r w:rsidRPr="001C1503">
        <w:rPr>
          <w:sz w:val="24"/>
          <w:szCs w:val="24"/>
        </w:rPr>
        <w:t xml:space="preserve">, U. (2013). Os impactos das normas internacionais de contabilidade aplicada ao setor público brasileiro. </w:t>
      </w:r>
      <w:r w:rsidRPr="001C1503">
        <w:rPr>
          <w:i/>
          <w:iCs/>
          <w:sz w:val="24"/>
          <w:szCs w:val="24"/>
        </w:rPr>
        <w:t>Revista Científica Semana Acadêmica. Fortaleza</w:t>
      </w:r>
      <w:r w:rsidRPr="001C1503">
        <w:rPr>
          <w:sz w:val="24"/>
          <w:szCs w:val="24"/>
        </w:rPr>
        <w:t xml:space="preserve">, </w:t>
      </w:r>
      <w:r w:rsidRPr="001C1503">
        <w:rPr>
          <w:i/>
          <w:iCs/>
          <w:sz w:val="24"/>
          <w:szCs w:val="24"/>
        </w:rPr>
        <w:t>s/v</w:t>
      </w:r>
      <w:r w:rsidRPr="001C1503">
        <w:rPr>
          <w:sz w:val="24"/>
          <w:szCs w:val="24"/>
        </w:rPr>
        <w:t>(31), 71-95.</w:t>
      </w:r>
    </w:p>
    <w:p w:rsidR="001C1503" w:rsidRPr="001C1503" w:rsidRDefault="001C1503" w:rsidP="001C1503">
      <w:pPr>
        <w:spacing w:line="254" w:lineRule="auto"/>
        <w:ind w:left="478" w:hanging="493"/>
        <w:jc w:val="both"/>
        <w:rPr>
          <w:sz w:val="24"/>
          <w:szCs w:val="24"/>
        </w:rPr>
      </w:pPr>
      <w:r w:rsidRPr="001C1503">
        <w:rPr>
          <w:sz w:val="24"/>
          <w:szCs w:val="24"/>
        </w:rPr>
        <w:t xml:space="preserve"> </w:t>
      </w:r>
    </w:p>
    <w:p w:rsidR="001C1503" w:rsidRPr="001C1503" w:rsidRDefault="001C1503" w:rsidP="001C1503">
      <w:pPr>
        <w:ind w:left="478" w:hanging="493"/>
        <w:jc w:val="both"/>
        <w:rPr>
          <w:sz w:val="24"/>
          <w:szCs w:val="24"/>
        </w:rPr>
      </w:pPr>
      <w:r w:rsidRPr="001C1503">
        <w:rPr>
          <w:sz w:val="24"/>
          <w:szCs w:val="24"/>
        </w:rPr>
        <w:t>Quintana, A. C., et al. (2011). Contabilidade pública:</w:t>
      </w:r>
      <w:r w:rsidRPr="001C1503">
        <w:rPr>
          <w:b/>
          <w:sz w:val="24"/>
          <w:szCs w:val="24"/>
        </w:rPr>
        <w:t xml:space="preserve"> </w:t>
      </w:r>
      <w:r w:rsidRPr="001C1503">
        <w:rPr>
          <w:sz w:val="24"/>
          <w:szCs w:val="24"/>
        </w:rPr>
        <w:t xml:space="preserve">de acordo com as normas brasileiras de contabilidade aplicada ao setor público e a lei de responsabilidade fiscal. (1Fr </w:t>
      </w:r>
      <w:proofErr w:type="spellStart"/>
      <w:r w:rsidRPr="001C1503">
        <w:rPr>
          <w:sz w:val="24"/>
          <w:szCs w:val="24"/>
        </w:rPr>
        <w:t>ed</w:t>
      </w:r>
      <w:proofErr w:type="spellEnd"/>
      <w:r w:rsidRPr="001C1503">
        <w:rPr>
          <w:sz w:val="24"/>
          <w:szCs w:val="24"/>
        </w:rPr>
        <w:t>). São Paulo, SP: Altas.</w:t>
      </w:r>
    </w:p>
    <w:p w:rsidR="001C1503" w:rsidRPr="001C1503" w:rsidRDefault="001C1503" w:rsidP="001C1503">
      <w:pPr>
        <w:ind w:left="478" w:hanging="493"/>
        <w:jc w:val="both"/>
        <w:rPr>
          <w:sz w:val="24"/>
          <w:szCs w:val="24"/>
        </w:rPr>
      </w:pPr>
    </w:p>
    <w:p w:rsidR="001C1503" w:rsidRPr="001C1503" w:rsidRDefault="001C1503" w:rsidP="001C1503">
      <w:pPr>
        <w:ind w:left="478" w:hanging="493"/>
        <w:jc w:val="both"/>
        <w:rPr>
          <w:sz w:val="24"/>
          <w:szCs w:val="24"/>
        </w:rPr>
      </w:pPr>
      <w:r w:rsidRPr="001C1503">
        <w:rPr>
          <w:sz w:val="24"/>
          <w:szCs w:val="24"/>
        </w:rPr>
        <w:t>Meneses, A. F. de, &amp; Peter, M. da G. A. (2011) Evidenciação das demonstrações contábeis</w:t>
      </w:r>
      <w:r w:rsidRPr="001C1503">
        <w:rPr>
          <w:b/>
          <w:sz w:val="24"/>
          <w:szCs w:val="24"/>
        </w:rPr>
        <w:t xml:space="preserve">: </w:t>
      </w:r>
      <w:r w:rsidRPr="001C1503">
        <w:rPr>
          <w:sz w:val="24"/>
          <w:szCs w:val="24"/>
        </w:rPr>
        <w:t>estudo sob a óptica do processo de convergência das Normas de Contabilidade aplicadas ao setor público</w:t>
      </w:r>
      <w:r w:rsidRPr="001C1503">
        <w:rPr>
          <w:b/>
          <w:sz w:val="24"/>
          <w:szCs w:val="24"/>
        </w:rPr>
        <w:t xml:space="preserve">. </w:t>
      </w:r>
      <w:r w:rsidRPr="001C1503">
        <w:rPr>
          <w:sz w:val="24"/>
          <w:szCs w:val="24"/>
        </w:rPr>
        <w:t>Fortaleza, CE.</w:t>
      </w:r>
    </w:p>
    <w:p w:rsidR="001C1503" w:rsidRPr="001C1503" w:rsidRDefault="001C1503" w:rsidP="001C1503">
      <w:pPr>
        <w:ind w:left="478" w:hanging="493"/>
        <w:jc w:val="both"/>
        <w:rPr>
          <w:sz w:val="24"/>
          <w:szCs w:val="24"/>
        </w:rPr>
      </w:pPr>
    </w:p>
    <w:p w:rsidR="001C1503" w:rsidRPr="001C1503" w:rsidRDefault="001C1503" w:rsidP="001C1503">
      <w:pPr>
        <w:ind w:left="478" w:hanging="493"/>
        <w:jc w:val="both"/>
        <w:rPr>
          <w:sz w:val="24"/>
          <w:szCs w:val="24"/>
        </w:rPr>
      </w:pPr>
      <w:r w:rsidRPr="001C1503">
        <w:rPr>
          <w:sz w:val="24"/>
          <w:szCs w:val="24"/>
        </w:rPr>
        <w:t>Takamatsu, R. T., Fávero, L. P. L. (2017). Opacidade das informações contábeis, adoção das normas internacionais e origem legal. Revista brasileira de gestão de negócios. 19(66</w:t>
      </w:r>
      <w:bookmarkStart w:id="6" w:name="OLE_LINK11"/>
      <w:bookmarkStart w:id="7" w:name="OLE_LINK10"/>
      <w:r w:rsidRPr="001C1503">
        <w:rPr>
          <w:sz w:val="24"/>
          <w:szCs w:val="24"/>
        </w:rPr>
        <w:t>)</w:t>
      </w:r>
      <w:bookmarkEnd w:id="6"/>
      <w:bookmarkEnd w:id="7"/>
      <w:r w:rsidRPr="001C1503">
        <w:rPr>
          <w:sz w:val="24"/>
          <w:szCs w:val="24"/>
        </w:rPr>
        <w:t>, 594-612.</w:t>
      </w:r>
    </w:p>
    <w:bookmarkEnd w:id="0"/>
    <w:p w:rsidR="00B41AC1" w:rsidRPr="001C1503" w:rsidRDefault="00B41AC1" w:rsidP="001C1503">
      <w:pPr>
        <w:jc w:val="both"/>
        <w:rPr>
          <w:sz w:val="24"/>
          <w:szCs w:val="24"/>
        </w:rPr>
      </w:pPr>
    </w:p>
    <w:sectPr w:rsidR="00B41AC1" w:rsidRPr="001C1503" w:rsidSect="00E361F4">
      <w:headerReference w:type="default" r:id="rId17"/>
      <w:footerReference w:type="default" r:id="rId18"/>
      <w:pgSz w:w="11900" w:h="16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DFE" w:rsidRDefault="00F04DFE" w:rsidP="008A5824">
      <w:r>
        <w:separator/>
      </w:r>
    </w:p>
  </w:endnote>
  <w:endnote w:type="continuationSeparator" w:id="0">
    <w:p w:rsidR="00F04DFE" w:rsidRDefault="00F04DFE"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025828"/>
      <w:docPartObj>
        <w:docPartGallery w:val="Page Numbers (Bottom of Page)"/>
        <w:docPartUnique/>
      </w:docPartObj>
    </w:sdtPr>
    <w:sdtContent>
      <w:p w:rsidR="00721DD0" w:rsidRDefault="00721DD0">
        <w:pPr>
          <w:pStyle w:val="Rodap"/>
          <w:jc w:val="right"/>
        </w:pPr>
        <w:r>
          <w:fldChar w:fldCharType="begin"/>
        </w:r>
        <w:r>
          <w:instrText>PAGE   \* MERGEFORMAT</w:instrText>
        </w:r>
        <w:r>
          <w:fldChar w:fldCharType="separate"/>
        </w:r>
        <w:r>
          <w:t>2</w:t>
        </w:r>
        <w:r>
          <w:fldChar w:fldCharType="end"/>
        </w:r>
      </w:p>
    </w:sdtContent>
  </w:sdt>
  <w:p w:rsidR="00AA2880" w:rsidRDefault="00AA288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DFE" w:rsidRDefault="00F04DFE" w:rsidP="008A5824">
      <w:r>
        <w:separator/>
      </w:r>
    </w:p>
  </w:footnote>
  <w:footnote w:type="continuationSeparator" w:id="0">
    <w:p w:rsidR="00F04DFE" w:rsidRDefault="00F04DFE"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880" w:rsidRPr="00E361F4" w:rsidRDefault="00AA2880"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F21"/>
    <w:multiLevelType w:val="multilevel"/>
    <w:tmpl w:val="871CBFD8"/>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F8907BB"/>
    <w:multiLevelType w:val="hybridMultilevel"/>
    <w:tmpl w:val="676AB72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5824"/>
    <w:rsid w:val="00095D31"/>
    <w:rsid w:val="000D2EA5"/>
    <w:rsid w:val="000E2A54"/>
    <w:rsid w:val="00161591"/>
    <w:rsid w:val="0016220D"/>
    <w:rsid w:val="00194BA9"/>
    <w:rsid w:val="001A4423"/>
    <w:rsid w:val="001A72C1"/>
    <w:rsid w:val="001C1503"/>
    <w:rsid w:val="001C328B"/>
    <w:rsid w:val="001F6A6D"/>
    <w:rsid w:val="002461CB"/>
    <w:rsid w:val="00295762"/>
    <w:rsid w:val="002B0015"/>
    <w:rsid w:val="002B2B78"/>
    <w:rsid w:val="0036377D"/>
    <w:rsid w:val="0038579D"/>
    <w:rsid w:val="004020EB"/>
    <w:rsid w:val="0042737D"/>
    <w:rsid w:val="00473887"/>
    <w:rsid w:val="00487E61"/>
    <w:rsid w:val="00491708"/>
    <w:rsid w:val="00491D41"/>
    <w:rsid w:val="004B7955"/>
    <w:rsid w:val="004D75F5"/>
    <w:rsid w:val="00514F08"/>
    <w:rsid w:val="005438C1"/>
    <w:rsid w:val="005744B0"/>
    <w:rsid w:val="005A1928"/>
    <w:rsid w:val="0061474D"/>
    <w:rsid w:val="00631DCF"/>
    <w:rsid w:val="00632CA3"/>
    <w:rsid w:val="00637061"/>
    <w:rsid w:val="00686527"/>
    <w:rsid w:val="00694F2F"/>
    <w:rsid w:val="00711A9B"/>
    <w:rsid w:val="00721DD0"/>
    <w:rsid w:val="0072578D"/>
    <w:rsid w:val="007410D8"/>
    <w:rsid w:val="007D45DE"/>
    <w:rsid w:val="007F1B5E"/>
    <w:rsid w:val="00860B20"/>
    <w:rsid w:val="0086166B"/>
    <w:rsid w:val="00867C74"/>
    <w:rsid w:val="00877B94"/>
    <w:rsid w:val="008A5824"/>
    <w:rsid w:val="008D26C7"/>
    <w:rsid w:val="008D4F05"/>
    <w:rsid w:val="008E78E4"/>
    <w:rsid w:val="00904468"/>
    <w:rsid w:val="009345B2"/>
    <w:rsid w:val="009833D5"/>
    <w:rsid w:val="009B01C0"/>
    <w:rsid w:val="00A5051D"/>
    <w:rsid w:val="00A507BC"/>
    <w:rsid w:val="00A95B9A"/>
    <w:rsid w:val="00A9628B"/>
    <w:rsid w:val="00AA2880"/>
    <w:rsid w:val="00AC1D0C"/>
    <w:rsid w:val="00AD79EB"/>
    <w:rsid w:val="00B32719"/>
    <w:rsid w:val="00B3568F"/>
    <w:rsid w:val="00B41AC1"/>
    <w:rsid w:val="00B41CAF"/>
    <w:rsid w:val="00B47F92"/>
    <w:rsid w:val="00BD0F13"/>
    <w:rsid w:val="00BF3939"/>
    <w:rsid w:val="00C30374"/>
    <w:rsid w:val="00CA2367"/>
    <w:rsid w:val="00CA25AA"/>
    <w:rsid w:val="00CE5296"/>
    <w:rsid w:val="00CF645C"/>
    <w:rsid w:val="00D55D19"/>
    <w:rsid w:val="00D67FE9"/>
    <w:rsid w:val="00E23187"/>
    <w:rsid w:val="00E26692"/>
    <w:rsid w:val="00E361F4"/>
    <w:rsid w:val="00E6136F"/>
    <w:rsid w:val="00E95263"/>
    <w:rsid w:val="00EA3CC7"/>
    <w:rsid w:val="00EC0D8B"/>
    <w:rsid w:val="00F04DFE"/>
    <w:rsid w:val="00F07552"/>
    <w:rsid w:val="00F517B5"/>
    <w:rsid w:val="00FA6319"/>
    <w:rsid w:val="00FD1680"/>
    <w:rsid w:val="00FE1CF2"/>
    <w:rsid w:val="00FE5D26"/>
    <w:rsid w:val="00FF07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E76631E-8657-475C-89CB-A6E61B97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autoRedefine/>
    <w:uiPriority w:val="9"/>
    <w:qFormat/>
    <w:rsid w:val="001C1503"/>
    <w:pPr>
      <w:keepNext/>
      <w:keepLines/>
      <w:numPr>
        <w:numId w:val="2"/>
      </w:numPr>
      <w:suppressAutoHyphens w:val="0"/>
      <w:spacing w:before="120" w:after="120" w:line="360" w:lineRule="auto"/>
      <w:ind w:right="1"/>
      <w:jc w:val="both"/>
      <w:outlineLvl w:val="0"/>
    </w:pPr>
    <w:rPr>
      <w:rFonts w:eastAsiaTheme="majorEastAsia" w:cstheme="majorBidi"/>
      <w:b/>
      <w:caps/>
      <w:color w:val="000000"/>
      <w:sz w:val="24"/>
      <w:szCs w:val="32"/>
    </w:rPr>
  </w:style>
  <w:style w:type="paragraph" w:styleId="Ttulo2">
    <w:name w:val="heading 2"/>
    <w:next w:val="Normal"/>
    <w:link w:val="Ttulo2Char"/>
    <w:uiPriority w:val="9"/>
    <w:unhideWhenUsed/>
    <w:qFormat/>
    <w:rsid w:val="001C1503"/>
    <w:pPr>
      <w:keepNext/>
      <w:keepLines/>
      <w:spacing w:line="259" w:lineRule="auto"/>
      <w:ind w:left="10" w:right="2" w:hanging="10"/>
      <w:outlineLvl w:val="1"/>
    </w:pPr>
    <w:rPr>
      <w:rFonts w:ascii="Times New Roman" w:eastAsia="Times New Roman" w:hAnsi="Times New Roman" w:cs="Times New Roman"/>
      <w:b/>
      <w:color w:val="000000"/>
      <w:szCs w:val="2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customStyle="1" w:styleId="Ttulo1Char">
    <w:name w:val="Título 1 Char"/>
    <w:basedOn w:val="Fontepargpadro"/>
    <w:link w:val="Ttulo1"/>
    <w:uiPriority w:val="9"/>
    <w:rsid w:val="001C1503"/>
    <w:rPr>
      <w:rFonts w:ascii="Times New Roman" w:eastAsiaTheme="majorEastAsia" w:hAnsi="Times New Roman" w:cstheme="majorBidi"/>
      <w:b/>
      <w:caps/>
      <w:color w:val="000000"/>
      <w:szCs w:val="32"/>
      <w:lang w:eastAsia="pt-BR"/>
    </w:rPr>
  </w:style>
  <w:style w:type="character" w:customStyle="1" w:styleId="Ttulo2Char">
    <w:name w:val="Título 2 Char"/>
    <w:basedOn w:val="Fontepargpadro"/>
    <w:link w:val="Ttulo2"/>
    <w:uiPriority w:val="9"/>
    <w:rsid w:val="001C1503"/>
    <w:rPr>
      <w:rFonts w:ascii="Times New Roman" w:eastAsia="Times New Roman" w:hAnsi="Times New Roman" w:cs="Times New Roman"/>
      <w:b/>
      <w:color w:val="000000"/>
      <w:szCs w:val="22"/>
      <w:lang w:eastAsia="pt-BR"/>
    </w:rPr>
  </w:style>
  <w:style w:type="paragraph" w:styleId="SemEspaamento">
    <w:name w:val="No Spacing"/>
    <w:aliases w:val="Espaçamento Simples"/>
    <w:autoRedefine/>
    <w:uiPriority w:val="1"/>
    <w:qFormat/>
    <w:rsid w:val="001C1503"/>
    <w:pPr>
      <w:ind w:firstLine="709"/>
      <w:jc w:val="both"/>
    </w:pPr>
    <w:rPr>
      <w:rFonts w:ascii="Times New Roman" w:eastAsia="Times New Roman" w:hAnsi="Times New Roman" w:cs="Times New Roman"/>
      <w:color w:val="000000"/>
      <w:lang w:eastAsia="pt-BR"/>
    </w:rPr>
  </w:style>
  <w:style w:type="character" w:styleId="Hyperlink">
    <w:name w:val="Hyperlink"/>
    <w:basedOn w:val="Fontepargpadro"/>
    <w:uiPriority w:val="99"/>
    <w:unhideWhenUsed/>
    <w:rsid w:val="001C1503"/>
    <w:rPr>
      <w:color w:val="0563C1" w:themeColor="hyperlink"/>
      <w:u w:val="single"/>
    </w:rPr>
  </w:style>
  <w:style w:type="paragraph" w:styleId="Legenda">
    <w:name w:val="caption"/>
    <w:basedOn w:val="Normal"/>
    <w:next w:val="Normal"/>
    <w:uiPriority w:val="35"/>
    <w:unhideWhenUsed/>
    <w:qFormat/>
    <w:rsid w:val="001C1503"/>
    <w:pPr>
      <w:suppressAutoHyphens w:val="0"/>
      <w:spacing w:after="200"/>
      <w:ind w:right="1" w:firstLine="700"/>
      <w:jc w:val="both"/>
    </w:pPr>
    <w:rPr>
      <w:i/>
      <w:iCs/>
      <w:color w:val="44546A" w:themeColor="text2"/>
      <w:sz w:val="18"/>
      <w:szCs w:val="18"/>
    </w:rPr>
  </w:style>
  <w:style w:type="table" w:customStyle="1" w:styleId="Tabelacomgrade1">
    <w:name w:val="Tabela com grade1"/>
    <w:rsid w:val="001C1503"/>
    <w:rPr>
      <w:rFonts w:eastAsiaTheme="minorEastAsia"/>
      <w:sz w:val="22"/>
      <w:szCs w:val="22"/>
      <w:lang w:eastAsia="pt-BR"/>
    </w:rPr>
    <w:tblPr>
      <w:tblCellMar>
        <w:top w:w="0" w:type="dxa"/>
        <w:left w:w="0" w:type="dxa"/>
        <w:bottom w:w="0" w:type="dxa"/>
        <w:right w:w="0" w:type="dxa"/>
      </w:tblCellMar>
    </w:tblPr>
  </w:style>
  <w:style w:type="table" w:customStyle="1" w:styleId="TabelaSimples21">
    <w:name w:val="Tabela Simples 21"/>
    <w:basedOn w:val="Tabelanormal"/>
    <w:uiPriority w:val="42"/>
    <w:rsid w:val="001C1503"/>
    <w:rPr>
      <w:rFonts w:eastAsiaTheme="minorEastAsia"/>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rte">
    <w:name w:val="Strong"/>
    <w:basedOn w:val="Fontepargpadro"/>
    <w:uiPriority w:val="22"/>
    <w:qFormat/>
    <w:rsid w:val="001C1503"/>
    <w:rPr>
      <w:b/>
      <w:bCs/>
    </w:rPr>
  </w:style>
  <w:style w:type="table" w:customStyle="1" w:styleId="TabelaSimples22">
    <w:name w:val="Tabela Simples 22"/>
    <w:basedOn w:val="Tabelanormal"/>
    <w:uiPriority w:val="42"/>
    <w:rsid w:val="005744B0"/>
    <w:rPr>
      <w:rFonts w:eastAsiaTheme="minorEastAsia"/>
      <w:sz w:val="22"/>
      <w:szCs w:val="22"/>
      <w:lang w:eastAsia="pt-B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mela.silveira97@gmail.com" TargetMode="Externa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ibliotecadigital.fgv.br/ojs/index.php/rap/article/view/54990/5368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zarethmaciel@ufra.edu.br" TargetMode="External"/><Relationship Id="rId5" Type="http://schemas.openxmlformats.org/officeDocument/2006/relationships/webSettings" Target="webSettings.xml"/><Relationship Id="rId15" Type="http://schemas.openxmlformats.org/officeDocument/2006/relationships/hyperlink" Target="https://periodicos.unemat.br/index.php/ruc/article/view/1162/1359" TargetMode="External"/><Relationship Id="rId10" Type="http://schemas.openxmlformats.org/officeDocument/2006/relationships/hyperlink" Target="mailto:luannmacie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eal.alexandre11@gmail.com" TargetMode="Externa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D:\MEGA\Faculdade\TCC\ARTIGO%20DFC%20(VERS&#195;O%202)\DFC%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MEGA\Faculdade\TCC\ARTIGO%20DFC%20(VERS&#195;O%202)\DFC%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MEGA\Faculdade\TCC\ARTIGO%20DFC%20(VERS&#195;O%202)\DFC%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116596739276204"/>
          <c:y val="2.3596194619816668E-2"/>
          <c:w val="0.86685949105865512"/>
          <c:h val="0.5358035200554887"/>
        </c:manualLayout>
      </c:layout>
      <c:barChart>
        <c:barDir val="col"/>
        <c:grouping val="clustered"/>
        <c:varyColors val="0"/>
        <c:ser>
          <c:idx val="0"/>
          <c:order val="0"/>
          <c:tx>
            <c:strRef>
              <c:f>RESULTADOS!$G$4</c:f>
              <c:strCache>
                <c:ptCount val="1"/>
                <c:pt idx="0">
                  <c:v>2015</c:v>
                </c:pt>
              </c:strCache>
            </c:strRef>
          </c:tx>
          <c:spPr>
            <a:solidFill>
              <a:schemeClr val="accent1">
                <a:lumMod val="60000"/>
                <a:lumOff val="40000"/>
              </a:schemeClr>
            </a:solidFill>
            <a:ln>
              <a:noFill/>
            </a:ln>
            <a:effectLst>
              <a:outerShdw blurRad="57150" dist="19050" dir="5400000" algn="ctr" rotWithShape="0">
                <a:srgbClr val="000000">
                  <a:alpha val="63000"/>
                </a:srgbClr>
              </a:outerShdw>
            </a:effectLst>
            <a:scene3d>
              <a:camera prst="orthographicFront"/>
              <a:lightRig rig="threePt" dir="t"/>
            </a:scene3d>
            <a:sp3d>
              <a:bevelT w="190500" h="38100"/>
            </a:sp3d>
          </c:spPr>
          <c:invertIfNegative val="0"/>
          <c:dLbls>
            <c:spPr>
              <a:noFill/>
              <a:ln>
                <a:noFill/>
              </a:ln>
              <a:effectLst/>
            </c:spPr>
            <c:txPr>
              <a:bodyPr rot="0" vert="horz"/>
              <a:lstStyle/>
              <a:p>
                <a:pPr>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RESULTADOS!$H$3:$K$3</c:f>
              <c:numCache>
                <c:formatCode>0%</c:formatCode>
                <c:ptCount val="4"/>
                <c:pt idx="0">
                  <c:v>0.25</c:v>
                </c:pt>
                <c:pt idx="1">
                  <c:v>0.5</c:v>
                </c:pt>
                <c:pt idx="2">
                  <c:v>0.75000000000000233</c:v>
                </c:pt>
                <c:pt idx="3">
                  <c:v>1</c:v>
                </c:pt>
              </c:numCache>
            </c:numRef>
          </c:cat>
          <c:val>
            <c:numRef>
              <c:f>RESULTADOS!$H$4:$K$4</c:f>
              <c:numCache>
                <c:formatCode>General</c:formatCode>
                <c:ptCount val="4"/>
                <c:pt idx="0">
                  <c:v>30</c:v>
                </c:pt>
                <c:pt idx="1">
                  <c:v>72</c:v>
                </c:pt>
                <c:pt idx="3">
                  <c:v>42</c:v>
                </c:pt>
              </c:numCache>
            </c:numRef>
          </c:val>
          <c:extLst>
            <c:ext xmlns:c16="http://schemas.microsoft.com/office/drawing/2014/chart" uri="{C3380CC4-5D6E-409C-BE32-E72D297353CC}">
              <c16:uniqueId val="{00000000-3329-4953-BDBA-DAAAD09F22C2}"/>
            </c:ext>
          </c:extLst>
        </c:ser>
        <c:ser>
          <c:idx val="1"/>
          <c:order val="1"/>
          <c:tx>
            <c:strRef>
              <c:f>RESULTADOS!$G$5</c:f>
              <c:strCache>
                <c:ptCount val="1"/>
                <c:pt idx="0">
                  <c:v>2016</c:v>
                </c:pt>
              </c:strCache>
            </c:strRef>
          </c:tx>
          <c:spPr>
            <a:solidFill>
              <a:schemeClr val="accent6">
                <a:lumMod val="60000"/>
                <a:lumOff val="40000"/>
              </a:schemeClr>
            </a:solidFill>
            <a:ln>
              <a:noFill/>
            </a:ln>
            <a:effectLst>
              <a:outerShdw blurRad="57150" dist="19050" dir="5400000" algn="ctr" rotWithShape="0">
                <a:srgbClr val="000000">
                  <a:alpha val="63000"/>
                </a:srgbClr>
              </a:outerShdw>
            </a:effectLst>
            <a:scene3d>
              <a:camera prst="orthographicFront"/>
              <a:lightRig rig="threePt" dir="t"/>
            </a:scene3d>
            <a:sp3d>
              <a:bevelT w="190500" h="38100"/>
            </a:sp3d>
          </c:spPr>
          <c:invertIfNegative val="0"/>
          <c:dLbls>
            <c:spPr>
              <a:noFill/>
              <a:ln>
                <a:noFill/>
              </a:ln>
              <a:effectLst/>
            </c:spPr>
            <c:txPr>
              <a:bodyPr rot="0" vert="horz"/>
              <a:lstStyle/>
              <a:p>
                <a:pPr>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RESULTADOS!$H$3:$K$3</c:f>
              <c:numCache>
                <c:formatCode>0%</c:formatCode>
                <c:ptCount val="4"/>
                <c:pt idx="0">
                  <c:v>0.25</c:v>
                </c:pt>
                <c:pt idx="1">
                  <c:v>0.5</c:v>
                </c:pt>
                <c:pt idx="2">
                  <c:v>0.75000000000000233</c:v>
                </c:pt>
                <c:pt idx="3">
                  <c:v>1</c:v>
                </c:pt>
              </c:numCache>
            </c:numRef>
          </c:cat>
          <c:val>
            <c:numRef>
              <c:f>RESULTADOS!$H$5:$K$5</c:f>
              <c:numCache>
                <c:formatCode>General</c:formatCode>
                <c:ptCount val="4"/>
                <c:pt idx="0">
                  <c:v>33</c:v>
                </c:pt>
                <c:pt idx="1">
                  <c:v>64</c:v>
                </c:pt>
                <c:pt idx="3">
                  <c:v>47</c:v>
                </c:pt>
              </c:numCache>
            </c:numRef>
          </c:val>
          <c:extLst>
            <c:ext xmlns:c16="http://schemas.microsoft.com/office/drawing/2014/chart" uri="{C3380CC4-5D6E-409C-BE32-E72D297353CC}">
              <c16:uniqueId val="{00000001-3329-4953-BDBA-DAAAD09F22C2}"/>
            </c:ext>
          </c:extLst>
        </c:ser>
        <c:dLbls>
          <c:showLegendKey val="0"/>
          <c:showVal val="1"/>
          <c:showCatName val="0"/>
          <c:showSerName val="0"/>
          <c:showPercent val="0"/>
          <c:showBubbleSize val="0"/>
        </c:dLbls>
        <c:gapWidth val="100"/>
        <c:overlap val="-24"/>
        <c:axId val="74488832"/>
        <c:axId val="77853056"/>
      </c:barChart>
      <c:catAx>
        <c:axId val="74488832"/>
        <c:scaling>
          <c:orientation val="minMax"/>
        </c:scaling>
        <c:delete val="0"/>
        <c:axPos val="b"/>
        <c:title>
          <c:tx>
            <c:rich>
              <a:bodyPr rot="0" vert="horz"/>
              <a:lstStyle/>
              <a:p>
                <a:pPr>
                  <a:defRPr/>
                </a:pPr>
                <a:r>
                  <a:rPr lang="pt-BR"/>
                  <a:t>Grau de evidenciação</a:t>
                </a:r>
              </a:p>
            </c:rich>
          </c:tx>
          <c:overlay val="0"/>
          <c:spPr>
            <a:noFill/>
            <a:ln>
              <a:noFill/>
            </a:ln>
            <a:effectLst/>
          </c:spPr>
        </c:title>
        <c:numFmt formatCode="0%" sourceLinked="1"/>
        <c:majorTickMark val="out"/>
        <c:minorTickMark val="none"/>
        <c:tickLblPos val="nextTo"/>
        <c:spPr>
          <a:noFill/>
          <a:ln w="12700" cap="flat" cmpd="sng" algn="ctr">
            <a:solidFill>
              <a:schemeClr val="tx1"/>
            </a:solidFill>
            <a:round/>
          </a:ln>
          <a:effectLst/>
        </c:spPr>
        <c:txPr>
          <a:bodyPr rot="-60000000" vert="horz"/>
          <a:lstStyle/>
          <a:p>
            <a:pPr>
              <a:defRPr/>
            </a:pPr>
            <a:endParaRPr lang="pt-BR"/>
          </a:p>
        </c:txPr>
        <c:crossAx val="77853056"/>
        <c:crosses val="autoZero"/>
        <c:auto val="1"/>
        <c:lblAlgn val="ctr"/>
        <c:lblOffset val="100"/>
        <c:noMultiLvlLbl val="0"/>
      </c:catAx>
      <c:valAx>
        <c:axId val="77853056"/>
        <c:scaling>
          <c:orientation val="minMax"/>
          <c:max val="150"/>
        </c:scaling>
        <c:delete val="0"/>
        <c:axPos val="l"/>
        <c:title>
          <c:tx>
            <c:rich>
              <a:bodyPr rot="-5400000" vert="horz"/>
              <a:lstStyle/>
              <a:p>
                <a:pPr>
                  <a:defRPr/>
                </a:pPr>
                <a:r>
                  <a:rPr lang="pt-BR"/>
                  <a:t>Quantidade de municípios</a:t>
                </a:r>
              </a:p>
            </c:rich>
          </c:tx>
          <c:overlay val="0"/>
          <c:spPr>
            <a:noFill/>
            <a:ln>
              <a:noFill/>
            </a:ln>
            <a:effectLst/>
          </c:spPr>
        </c:title>
        <c:numFmt formatCode="General" sourceLinked="1"/>
        <c:majorTickMark val="out"/>
        <c:minorTickMark val="none"/>
        <c:tickLblPos val="nextTo"/>
        <c:spPr>
          <a:noFill/>
          <a:ln>
            <a:solidFill>
              <a:schemeClr val="tx1"/>
            </a:solidFill>
          </a:ln>
          <a:effectLst/>
        </c:spPr>
        <c:txPr>
          <a:bodyPr rot="-60000000" vert="horz"/>
          <a:lstStyle/>
          <a:p>
            <a:pPr>
              <a:defRPr/>
            </a:pPr>
            <a:endParaRPr lang="pt-BR"/>
          </a:p>
        </c:txPr>
        <c:crossAx val="74488832"/>
        <c:crosses val="autoZero"/>
        <c:crossBetween val="between"/>
        <c:majorUnit val="30"/>
      </c:valAx>
      <c:spPr>
        <a:noFill/>
        <a:ln>
          <a:noFill/>
        </a:ln>
        <a:effectLst/>
      </c:spPr>
    </c:plotArea>
    <c:legend>
      <c:legendPos val="b"/>
      <c:overlay val="0"/>
      <c:spPr>
        <a:noFill/>
        <a:ln>
          <a:noFill/>
        </a:ln>
        <a:effectLst/>
      </c:spPr>
      <c:txPr>
        <a:bodyPr rot="0" vert="horz"/>
        <a:lstStyle/>
        <a:p>
          <a:pPr>
            <a:defRPr/>
          </a:pPr>
          <a:endParaRPr lang="pt-BR"/>
        </a:p>
      </c:txPr>
    </c:legend>
    <c:plotVisOnly val="1"/>
    <c:dispBlanksAs val="gap"/>
    <c:showDLblsOverMax val="0"/>
  </c:chart>
  <c:spPr>
    <a:solidFill>
      <a:schemeClr val="bg1"/>
    </a:solidFill>
    <a:ln w="9525" cap="flat" cmpd="sng" algn="ctr">
      <a:noFill/>
      <a:round/>
    </a:ln>
    <a:effectLst/>
    <a:scene3d>
      <a:camera prst="orthographicFront"/>
      <a:lightRig rig="threePt" dir="t"/>
    </a:scene3d>
  </c:spPr>
  <c:txPr>
    <a:bodyPr/>
    <a:lstStyle/>
    <a:p>
      <a:pPr>
        <a:defRPr sz="1000">
          <a:latin typeface="Times New Roman" pitchFamily="18" charset="0"/>
          <a:cs typeface="Times New Roman" pitchFamily="18" charset="0"/>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05206946788106"/>
          <c:y val="0.17506603838534543"/>
          <c:w val="0.86354413684978282"/>
          <c:h val="0.72740404160742733"/>
        </c:manualLayout>
      </c:layout>
      <c:lineChart>
        <c:grouping val="standard"/>
        <c:varyColors val="0"/>
        <c:ser>
          <c:idx val="0"/>
          <c:order val="0"/>
          <c:tx>
            <c:strRef>
              <c:f>RESULTADOS!$H$24</c:f>
              <c:strCache>
                <c:ptCount val="1"/>
                <c:pt idx="0">
                  <c:v>100%</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vert="horz"/>
              <a:lstStyle/>
              <a:p>
                <a:pPr algn="ctr">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RESULTADOS!$G$25:$G$26</c:f>
              <c:numCache>
                <c:formatCode>General</c:formatCode>
                <c:ptCount val="2"/>
                <c:pt idx="0">
                  <c:v>2015</c:v>
                </c:pt>
                <c:pt idx="1">
                  <c:v>2016</c:v>
                </c:pt>
              </c:numCache>
            </c:numRef>
          </c:cat>
          <c:val>
            <c:numRef>
              <c:f>RESULTADOS!$H$25:$H$26</c:f>
              <c:numCache>
                <c:formatCode>General</c:formatCode>
                <c:ptCount val="2"/>
                <c:pt idx="0">
                  <c:v>41</c:v>
                </c:pt>
                <c:pt idx="1">
                  <c:v>45</c:v>
                </c:pt>
              </c:numCache>
            </c:numRef>
          </c:val>
          <c:smooth val="0"/>
          <c:extLst>
            <c:ext xmlns:c16="http://schemas.microsoft.com/office/drawing/2014/chart" uri="{C3380CC4-5D6E-409C-BE32-E72D297353CC}">
              <c16:uniqueId val="{00000000-62C9-4C57-B3E2-78CBA0D9DADD}"/>
            </c:ext>
          </c:extLst>
        </c:ser>
        <c:ser>
          <c:idx val="1"/>
          <c:order val="1"/>
          <c:tx>
            <c:strRef>
              <c:f>RESULTADOS!$I$24</c:f>
              <c:strCache>
                <c:ptCount val="1"/>
                <c:pt idx="0">
                  <c:v>40%</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vert="horz"/>
              <a:lstStyle/>
              <a:p>
                <a:pPr>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RESULTADOS!$G$25:$G$26</c:f>
              <c:numCache>
                <c:formatCode>General</c:formatCode>
                <c:ptCount val="2"/>
                <c:pt idx="0">
                  <c:v>2015</c:v>
                </c:pt>
                <c:pt idx="1">
                  <c:v>2016</c:v>
                </c:pt>
              </c:numCache>
            </c:numRef>
          </c:cat>
          <c:val>
            <c:numRef>
              <c:f>RESULTADOS!$I$25:$I$26</c:f>
              <c:numCache>
                <c:formatCode>General</c:formatCode>
                <c:ptCount val="2"/>
                <c:pt idx="0">
                  <c:v>71</c:v>
                </c:pt>
                <c:pt idx="1">
                  <c:v>64</c:v>
                </c:pt>
              </c:numCache>
            </c:numRef>
          </c:val>
          <c:smooth val="0"/>
          <c:extLst>
            <c:ext xmlns:c16="http://schemas.microsoft.com/office/drawing/2014/chart" uri="{C3380CC4-5D6E-409C-BE32-E72D297353CC}">
              <c16:uniqueId val="{00000001-62C9-4C57-B3E2-78CBA0D9DADD}"/>
            </c:ext>
          </c:extLst>
        </c:ser>
        <c:ser>
          <c:idx val="2"/>
          <c:order val="2"/>
          <c:tx>
            <c:strRef>
              <c:f>RESULTADOS!$J$24</c:f>
              <c:strCache>
                <c:ptCount val="1"/>
                <c:pt idx="0">
                  <c:v>0%</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vert="horz"/>
              <a:lstStyle/>
              <a:p>
                <a:pPr>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RESULTADOS!$G$25:$G$26</c:f>
              <c:numCache>
                <c:formatCode>General</c:formatCode>
                <c:ptCount val="2"/>
                <c:pt idx="0">
                  <c:v>2015</c:v>
                </c:pt>
                <c:pt idx="1">
                  <c:v>2016</c:v>
                </c:pt>
              </c:numCache>
            </c:numRef>
          </c:cat>
          <c:val>
            <c:numRef>
              <c:f>RESULTADOS!$J$25:$J$26</c:f>
              <c:numCache>
                <c:formatCode>General</c:formatCode>
                <c:ptCount val="2"/>
                <c:pt idx="0">
                  <c:v>29</c:v>
                </c:pt>
                <c:pt idx="1">
                  <c:v>33</c:v>
                </c:pt>
              </c:numCache>
            </c:numRef>
          </c:val>
          <c:smooth val="0"/>
          <c:extLst>
            <c:ext xmlns:c16="http://schemas.microsoft.com/office/drawing/2014/chart" uri="{C3380CC4-5D6E-409C-BE32-E72D297353CC}">
              <c16:uniqueId val="{00000002-62C9-4C57-B3E2-78CBA0D9DADD}"/>
            </c:ext>
          </c:extLst>
        </c:ser>
        <c:dLbls>
          <c:showLegendKey val="0"/>
          <c:showVal val="1"/>
          <c:showCatName val="0"/>
          <c:showSerName val="0"/>
          <c:showPercent val="0"/>
          <c:showBubbleSize val="0"/>
        </c:dLbls>
        <c:marker val="1"/>
        <c:smooth val="0"/>
        <c:axId val="87775872"/>
        <c:axId val="87784064"/>
      </c:lineChart>
      <c:catAx>
        <c:axId val="87775872"/>
        <c:scaling>
          <c:orientation val="minMax"/>
        </c:scaling>
        <c:delete val="0"/>
        <c:axPos val="b"/>
        <c:title>
          <c:tx>
            <c:rich>
              <a:bodyPr rot="0" vert="horz"/>
              <a:lstStyle/>
              <a:p>
                <a:pPr>
                  <a:defRPr/>
                </a:pPr>
                <a:r>
                  <a:rPr lang="en-US"/>
                  <a:t>Anos</a:t>
                </a:r>
              </a:p>
            </c:rich>
          </c:tx>
          <c:layout>
            <c:manualLayout>
              <c:xMode val="edge"/>
              <c:yMode val="edge"/>
              <c:x val="0.52644244374338389"/>
              <c:y val="0.79636749107064442"/>
            </c:manualLayout>
          </c:layout>
          <c:overlay val="0"/>
          <c:spPr>
            <a:noFill/>
            <a:ln>
              <a:noFill/>
            </a:ln>
            <a:effectLst/>
          </c:spPr>
        </c:title>
        <c:numFmt formatCode="General" sourceLinked="1"/>
        <c:majorTickMark val="out"/>
        <c:minorTickMark val="none"/>
        <c:tickLblPos val="nextTo"/>
        <c:spPr>
          <a:noFill/>
          <a:ln w="12700" cap="flat" cmpd="sng" algn="ctr">
            <a:solidFill>
              <a:schemeClr val="tx1"/>
            </a:solidFill>
            <a:round/>
          </a:ln>
          <a:effectLst/>
        </c:spPr>
        <c:txPr>
          <a:bodyPr rot="-60000000" vert="horz"/>
          <a:lstStyle/>
          <a:p>
            <a:pPr>
              <a:defRPr/>
            </a:pPr>
            <a:endParaRPr lang="pt-BR"/>
          </a:p>
        </c:txPr>
        <c:crossAx val="87784064"/>
        <c:crosses val="autoZero"/>
        <c:auto val="1"/>
        <c:lblAlgn val="ctr"/>
        <c:lblOffset val="100"/>
        <c:noMultiLvlLbl val="0"/>
      </c:catAx>
      <c:valAx>
        <c:axId val="87784064"/>
        <c:scaling>
          <c:orientation val="minMax"/>
          <c:max val="144"/>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vert="horz"/>
              <a:lstStyle/>
              <a:p>
                <a:pPr>
                  <a:defRPr/>
                </a:pPr>
                <a:r>
                  <a:rPr lang="en-US"/>
                  <a:t>Quantidade de municípios</a:t>
                </a:r>
              </a:p>
            </c:rich>
          </c:tx>
          <c:overlay val="0"/>
          <c:spPr>
            <a:noFill/>
            <a:ln>
              <a:noFill/>
            </a:ln>
            <a:effectLst/>
          </c:spPr>
        </c:title>
        <c:numFmt formatCode="General" sourceLinked="1"/>
        <c:majorTickMark val="out"/>
        <c:minorTickMark val="none"/>
        <c:tickLblPos val="nextTo"/>
        <c:spPr>
          <a:noFill/>
          <a:ln w="12700">
            <a:solidFill>
              <a:schemeClr val="tx1"/>
            </a:solidFill>
          </a:ln>
          <a:effectLst/>
        </c:spPr>
        <c:txPr>
          <a:bodyPr rot="-60000000" vert="horz"/>
          <a:lstStyle/>
          <a:p>
            <a:pPr>
              <a:defRPr/>
            </a:pPr>
            <a:endParaRPr lang="pt-BR"/>
          </a:p>
        </c:txPr>
        <c:crossAx val="87775872"/>
        <c:crosses val="autoZero"/>
        <c:crossBetween val="between"/>
        <c:majorUnit val="36"/>
      </c:valAx>
      <c:spPr>
        <a:noFill/>
        <a:ln>
          <a:noFill/>
        </a:ln>
        <a:effectLst/>
      </c:spPr>
    </c:plotArea>
    <c:legend>
      <c:legendPos val="b"/>
      <c:layout>
        <c:manualLayout>
          <c:xMode val="edge"/>
          <c:yMode val="edge"/>
          <c:x val="0.34649498834865333"/>
          <c:y val="0.89066303030549121"/>
          <c:w val="0.33806846170777005"/>
          <c:h val="0.10933696969450911"/>
        </c:manualLayout>
      </c:layout>
      <c:overlay val="0"/>
      <c:spPr>
        <a:solidFill>
          <a:schemeClr val="lt1">
            <a:lumMod val="95000"/>
            <a:alpha val="39000"/>
          </a:schemeClr>
        </a:solidFill>
        <a:ln>
          <a:noFill/>
        </a:ln>
        <a:effectLst/>
      </c:spPr>
      <c:txPr>
        <a:bodyPr rot="0" vert="horz"/>
        <a:lstStyle/>
        <a:p>
          <a:pPr>
            <a:defRPr/>
          </a:pPr>
          <a:endParaRPr lang="pt-BR"/>
        </a:p>
      </c:txPr>
    </c:legend>
    <c:plotVisOnly val="1"/>
    <c:dispBlanksAs val="gap"/>
    <c:showDLblsOverMax val="0"/>
  </c:chart>
  <c:spPr>
    <a:solidFill>
      <a:schemeClr val="bg1"/>
    </a:solidFill>
    <a:ln w="9525" cap="flat" cmpd="sng" algn="ctr">
      <a:noFill/>
      <a:round/>
    </a:ln>
    <a:effectLst/>
  </c:spPr>
  <c:txPr>
    <a:bodyPr/>
    <a:lstStyle/>
    <a:p>
      <a:pPr>
        <a:defRPr sz="1000">
          <a:latin typeface="Times New Roman" pitchFamily="18" charset="0"/>
          <a:cs typeface="Times New Roman" pitchFamily="18" charset="0"/>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52440428552988261"/>
          <c:y val="4.6121593291404445E-2"/>
          <c:w val="0.44753014069962566"/>
          <c:h val="0.72629591112431946"/>
        </c:manualLayout>
      </c:layout>
      <c:barChart>
        <c:barDir val="bar"/>
        <c:grouping val="clustered"/>
        <c:varyColors val="0"/>
        <c:ser>
          <c:idx val="1"/>
          <c:order val="0"/>
          <c:tx>
            <c:strRef>
              <c:f>RESULTADOS!$M$4</c:f>
              <c:strCache>
                <c:ptCount val="1"/>
                <c:pt idx="0">
                  <c:v>2016</c:v>
                </c:pt>
              </c:strCache>
            </c:strRef>
          </c:tx>
          <c:spPr>
            <a:solidFill>
              <a:schemeClr val="accent6">
                <a:lumMod val="60000"/>
                <a:lumOff val="40000"/>
              </a:schemeClr>
            </a:solidFill>
            <a:ln>
              <a:noFill/>
            </a:ln>
            <a:effectLst/>
            <a:scene3d>
              <a:camera prst="orthographicFront"/>
              <a:lightRig rig="threePt" dir="t"/>
            </a:scene3d>
            <a:sp3d>
              <a:bevelT w="190500" h="38100"/>
            </a:sp3d>
          </c:spPr>
          <c:invertIfNegative val="0"/>
          <c:dLbls>
            <c:spPr>
              <a:noFill/>
              <a:ln>
                <a:noFill/>
              </a:ln>
              <a:effectLst/>
            </c:spPr>
            <c:txPr>
              <a:bodyPr rot="0" vert="horz"/>
              <a:lstStyle/>
              <a:p>
                <a:pPr>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RESULTADOS!$N$3:$R$3</c:f>
              <c:strCache>
                <c:ptCount val="5"/>
                <c:pt idx="0">
                  <c:v>Quadro acessório de juros e encargos da dívida</c:v>
                </c:pt>
                <c:pt idx="1">
                  <c:v>Quadro acessório de transferências recebidas e concedias</c:v>
                </c:pt>
                <c:pt idx="2">
                  <c:v>Quadro acessório de desembolso com pessoal</c:v>
                </c:pt>
                <c:pt idx="3">
                  <c:v>Quadro acessório de receitas derivadas e ordinárias</c:v>
                </c:pt>
                <c:pt idx="4">
                  <c:v>Quadro Principal</c:v>
                </c:pt>
              </c:strCache>
            </c:strRef>
          </c:cat>
          <c:val>
            <c:numRef>
              <c:f>RESULTADOS!$N$4:$R$4</c:f>
              <c:numCache>
                <c:formatCode>General</c:formatCode>
                <c:ptCount val="5"/>
                <c:pt idx="0">
                  <c:v>47</c:v>
                </c:pt>
                <c:pt idx="1">
                  <c:v>45</c:v>
                </c:pt>
                <c:pt idx="2">
                  <c:v>47</c:v>
                </c:pt>
                <c:pt idx="3">
                  <c:v>47</c:v>
                </c:pt>
                <c:pt idx="4">
                  <c:v>111</c:v>
                </c:pt>
              </c:numCache>
            </c:numRef>
          </c:val>
          <c:extLst>
            <c:ext xmlns:c16="http://schemas.microsoft.com/office/drawing/2014/chart" uri="{C3380CC4-5D6E-409C-BE32-E72D297353CC}">
              <c16:uniqueId val="{00000000-917B-4E42-804A-DA03BAE45FB1}"/>
            </c:ext>
          </c:extLst>
        </c:ser>
        <c:ser>
          <c:idx val="0"/>
          <c:order val="1"/>
          <c:tx>
            <c:strRef>
              <c:f>RESULTADOS!$M$5</c:f>
              <c:strCache>
                <c:ptCount val="1"/>
                <c:pt idx="0">
                  <c:v>2015</c:v>
                </c:pt>
              </c:strCache>
            </c:strRef>
          </c:tx>
          <c:spPr>
            <a:solidFill>
              <a:schemeClr val="accent1">
                <a:lumMod val="60000"/>
                <a:lumOff val="40000"/>
              </a:schemeClr>
            </a:solidFill>
            <a:ln>
              <a:noFill/>
            </a:ln>
            <a:effectLst/>
            <a:scene3d>
              <a:camera prst="orthographicFront"/>
              <a:lightRig rig="threePt" dir="t"/>
            </a:scene3d>
            <a:sp3d>
              <a:bevelT w="190500" h="38100"/>
            </a:sp3d>
          </c:spPr>
          <c:invertIfNegative val="0"/>
          <c:dLbls>
            <c:spPr>
              <a:noFill/>
              <a:ln>
                <a:noFill/>
              </a:ln>
              <a:effectLst/>
            </c:spPr>
            <c:txPr>
              <a:bodyPr rot="0" vert="horz"/>
              <a:lstStyle/>
              <a:p>
                <a:pPr>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RESULTADOS!$N$3:$R$3</c:f>
              <c:strCache>
                <c:ptCount val="5"/>
                <c:pt idx="0">
                  <c:v>Quadro acessório de juros e encargos da dívida</c:v>
                </c:pt>
                <c:pt idx="1">
                  <c:v>Quadro acessório de transferências recebidas e concedias</c:v>
                </c:pt>
                <c:pt idx="2">
                  <c:v>Quadro acessório de desembolso com pessoal</c:v>
                </c:pt>
                <c:pt idx="3">
                  <c:v>Quadro acessório de receitas derivadas e ordinárias</c:v>
                </c:pt>
                <c:pt idx="4">
                  <c:v>Quadro Principal</c:v>
                </c:pt>
              </c:strCache>
            </c:strRef>
          </c:cat>
          <c:val>
            <c:numRef>
              <c:f>RESULTADOS!$N$5:$R$5</c:f>
              <c:numCache>
                <c:formatCode>General</c:formatCode>
                <c:ptCount val="5"/>
                <c:pt idx="0">
                  <c:v>42</c:v>
                </c:pt>
                <c:pt idx="1">
                  <c:v>43</c:v>
                </c:pt>
                <c:pt idx="2">
                  <c:v>43</c:v>
                </c:pt>
                <c:pt idx="3">
                  <c:v>43</c:v>
                </c:pt>
                <c:pt idx="4">
                  <c:v>113</c:v>
                </c:pt>
              </c:numCache>
            </c:numRef>
          </c:val>
          <c:extLst>
            <c:ext xmlns:c16="http://schemas.microsoft.com/office/drawing/2014/chart" uri="{C3380CC4-5D6E-409C-BE32-E72D297353CC}">
              <c16:uniqueId val="{00000001-917B-4E42-804A-DA03BAE45FB1}"/>
            </c:ext>
          </c:extLst>
        </c:ser>
        <c:dLbls>
          <c:showLegendKey val="0"/>
          <c:showVal val="1"/>
          <c:showCatName val="0"/>
          <c:showSerName val="0"/>
          <c:showPercent val="0"/>
          <c:showBubbleSize val="0"/>
        </c:dLbls>
        <c:gapWidth val="182"/>
        <c:axId val="91356544"/>
        <c:axId val="119824384"/>
      </c:barChart>
      <c:catAx>
        <c:axId val="91356544"/>
        <c:scaling>
          <c:orientation val="minMax"/>
        </c:scaling>
        <c:delete val="0"/>
        <c:axPos val="l"/>
        <c:title>
          <c:tx>
            <c:rich>
              <a:bodyPr rot="-5400000" vert="horz"/>
              <a:lstStyle/>
              <a:p>
                <a:pPr>
                  <a:defRPr/>
                </a:pPr>
                <a:r>
                  <a:rPr lang="pt-BR"/>
                  <a:t>Quadros da DFC</a:t>
                </a:r>
              </a:p>
            </c:rich>
          </c:tx>
          <c:layout>
            <c:manualLayout>
              <c:xMode val="edge"/>
              <c:yMode val="edge"/>
              <c:x val="1.0490082182350164E-3"/>
              <c:y val="0.28100959078228432"/>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vert="horz"/>
          <a:lstStyle/>
          <a:p>
            <a:pPr>
              <a:defRPr/>
            </a:pPr>
            <a:endParaRPr lang="pt-BR"/>
          </a:p>
        </c:txPr>
        <c:crossAx val="119824384"/>
        <c:crosses val="autoZero"/>
        <c:auto val="1"/>
        <c:lblAlgn val="ctr"/>
        <c:lblOffset val="100"/>
        <c:noMultiLvlLbl val="0"/>
      </c:catAx>
      <c:valAx>
        <c:axId val="119824384"/>
        <c:scaling>
          <c:orientation val="minMax"/>
          <c:max val="144"/>
        </c:scaling>
        <c:delete val="0"/>
        <c:axPos val="b"/>
        <c:title>
          <c:tx>
            <c:rich>
              <a:bodyPr rot="0" vert="horz"/>
              <a:lstStyle/>
              <a:p>
                <a:pPr>
                  <a:defRPr/>
                </a:pPr>
                <a:r>
                  <a:rPr lang="pt-BR"/>
                  <a:t>Quantidade de municípios</a:t>
                </a:r>
              </a:p>
            </c:rich>
          </c:tx>
          <c:overlay val="0"/>
          <c:spPr>
            <a:noFill/>
            <a:ln>
              <a:noFill/>
            </a:ln>
            <a:effectLst/>
          </c:spPr>
        </c:title>
        <c:numFmt formatCode="General" sourceLinked="1"/>
        <c:majorTickMark val="out"/>
        <c:minorTickMark val="none"/>
        <c:tickLblPos val="nextTo"/>
        <c:spPr>
          <a:noFill/>
          <a:ln>
            <a:solidFill>
              <a:schemeClr val="tx1"/>
            </a:solidFill>
          </a:ln>
          <a:effectLst/>
        </c:spPr>
        <c:txPr>
          <a:bodyPr rot="-60000000" vert="horz"/>
          <a:lstStyle/>
          <a:p>
            <a:pPr>
              <a:defRPr/>
            </a:pPr>
            <a:endParaRPr lang="pt-BR"/>
          </a:p>
        </c:txPr>
        <c:crossAx val="91356544"/>
        <c:crosses val="autoZero"/>
        <c:crossBetween val="between"/>
        <c:majorUnit val="72"/>
      </c:valAx>
    </c:plotArea>
    <c:legend>
      <c:legendPos val="b"/>
      <c:overlay val="0"/>
      <c:spPr>
        <a:noFill/>
        <a:ln>
          <a:noFill/>
        </a:ln>
        <a:effectLst/>
      </c:spPr>
      <c:txPr>
        <a:bodyPr rot="0" vert="horz"/>
        <a:lstStyle/>
        <a:p>
          <a:pPr>
            <a:defRPr/>
          </a:pPr>
          <a:endParaRPr lang="pt-BR"/>
        </a:p>
      </c:txPr>
    </c:legend>
    <c:plotVisOnly val="1"/>
    <c:dispBlanksAs val="gap"/>
    <c:showDLblsOverMax val="0"/>
  </c:chart>
  <c:txPr>
    <a:bodyPr/>
    <a:lstStyle/>
    <a:p>
      <a:pPr>
        <a:defRPr>
          <a:latin typeface="Times New Roman" pitchFamily="18" charset="0"/>
          <a:cs typeface="Times New Roman" pitchFamily="18" charset="0"/>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C8A53-4574-4101-8021-763AB61A4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14</Pages>
  <Words>6935</Words>
  <Characters>37450</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cp:lastModifiedBy>Luann</cp:lastModifiedBy>
  <cp:revision>31</cp:revision>
  <dcterms:created xsi:type="dcterms:W3CDTF">2018-03-31T19:57:00Z</dcterms:created>
  <dcterms:modified xsi:type="dcterms:W3CDTF">2018-05-07T20:05:00Z</dcterms:modified>
</cp:coreProperties>
</file>