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7D" w:rsidRDefault="0036377D" w:rsidP="001F28F1">
      <w:pPr>
        <w:pStyle w:val="Fonte"/>
      </w:pPr>
    </w:p>
    <w:p w:rsidR="001B6D98" w:rsidRDefault="001B6D98" w:rsidP="001B6D98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Determinantes do </w:t>
      </w:r>
      <w:proofErr w:type="spellStart"/>
      <w:r w:rsidRPr="002F57EA">
        <w:rPr>
          <w:b/>
          <w:i/>
          <w:sz w:val="24"/>
          <w:szCs w:val="24"/>
        </w:rPr>
        <w:t>Disclosure</w:t>
      </w:r>
      <w:proofErr w:type="spellEnd"/>
      <w:r>
        <w:rPr>
          <w:b/>
          <w:sz w:val="24"/>
          <w:szCs w:val="24"/>
        </w:rPr>
        <w:t xml:space="preserve"> do CPC 25: Provisões, Passivos Contingentes e Ativos Contingentes por Companhias Listadas na </w:t>
      </w:r>
      <w:proofErr w:type="gramStart"/>
      <w:r>
        <w:rPr>
          <w:b/>
          <w:sz w:val="24"/>
          <w:szCs w:val="24"/>
        </w:rPr>
        <w:t>B3</w:t>
      </w:r>
      <w:proofErr w:type="gramEnd"/>
    </w:p>
    <w:p w:rsidR="001B6D98" w:rsidRDefault="001B6D98" w:rsidP="001B6D98">
      <w:pPr>
        <w:jc w:val="right"/>
        <w:rPr>
          <w:b/>
          <w:sz w:val="24"/>
          <w:szCs w:val="24"/>
        </w:rPr>
      </w:pPr>
    </w:p>
    <w:p w:rsidR="001B6D98" w:rsidRDefault="001B6D98" w:rsidP="001B6D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Victor Hugo Pereira</w:t>
      </w:r>
    </w:p>
    <w:p w:rsidR="001B6D98" w:rsidRDefault="001B6D98" w:rsidP="001B6D98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Minas Gerais (UFMG)</w:t>
      </w:r>
    </w:p>
    <w:p w:rsidR="001B6D98" w:rsidRDefault="001B6D98" w:rsidP="001B6D98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victorhpra@yahoo.com.br</w:t>
      </w:r>
    </w:p>
    <w:p w:rsidR="001B6D98" w:rsidRDefault="001B6D98" w:rsidP="001B6D98">
      <w:pPr>
        <w:jc w:val="right"/>
        <w:rPr>
          <w:b/>
          <w:sz w:val="24"/>
          <w:szCs w:val="24"/>
        </w:rPr>
      </w:pPr>
    </w:p>
    <w:p w:rsidR="001B6D98" w:rsidRDefault="001B6D98" w:rsidP="001B6D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João Paulo de Assis Valadares</w:t>
      </w:r>
    </w:p>
    <w:p w:rsidR="001B6D98" w:rsidRDefault="001B6D98" w:rsidP="001B6D98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Minas Gerais (UFMG)</w:t>
      </w:r>
    </w:p>
    <w:p w:rsidR="001B6D98" w:rsidRDefault="001B6D98" w:rsidP="001B6D98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Joaopaulodemolay7@gmail.com</w:t>
      </w:r>
    </w:p>
    <w:p w:rsidR="001B6D98" w:rsidRDefault="001B6D98" w:rsidP="001B6D98">
      <w:pPr>
        <w:rPr>
          <w:color w:val="999999"/>
        </w:rPr>
      </w:pPr>
    </w:p>
    <w:p w:rsidR="001B6D98" w:rsidRDefault="001B6D98" w:rsidP="001B6D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Renata </w:t>
      </w:r>
      <w:proofErr w:type="spellStart"/>
      <w:r>
        <w:rPr>
          <w:b/>
          <w:sz w:val="24"/>
          <w:szCs w:val="24"/>
        </w:rPr>
        <w:t>Turola</w:t>
      </w:r>
      <w:proofErr w:type="spellEnd"/>
      <w:r>
        <w:rPr>
          <w:b/>
          <w:sz w:val="24"/>
          <w:szCs w:val="24"/>
        </w:rPr>
        <w:t xml:space="preserve"> Takamatsu</w:t>
      </w:r>
    </w:p>
    <w:p w:rsidR="001B6D98" w:rsidRDefault="001B6D98" w:rsidP="001B6D98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Minas Gerais (UFMG)</w:t>
      </w:r>
    </w:p>
    <w:p w:rsidR="001B6D98" w:rsidRDefault="001B6D98" w:rsidP="001B6D98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Joaopaulodemolay7@gmail.com</w:t>
      </w:r>
    </w:p>
    <w:p w:rsidR="001B6D98" w:rsidRDefault="001B6D98" w:rsidP="001B6D98">
      <w:pPr>
        <w:jc w:val="center"/>
        <w:rPr>
          <w:b/>
          <w:color w:val="999999"/>
        </w:rPr>
      </w:pPr>
    </w:p>
    <w:p w:rsidR="001B6D98" w:rsidRDefault="001B6D98" w:rsidP="001B6D9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Pr="00F06AD8">
        <w:rPr>
          <w:sz w:val="24"/>
          <w:szCs w:val="24"/>
        </w:rPr>
        <w:t xml:space="preserve">No Brasil, como tradução da norma internacional promulgou-se o CPC 25 que trata das Provisões, Passivos Contingentes e Ativos Contingentes, que por sua vez, trouxe mudanças nas definições e critérios de reconhecimento, mensuração e evidenciação destes termos. Assim, este estudo tem como objetivo analisar os determinantes do </w:t>
      </w:r>
      <w:proofErr w:type="spellStart"/>
      <w:r w:rsidRPr="00F06AD8">
        <w:rPr>
          <w:i/>
          <w:sz w:val="24"/>
          <w:szCs w:val="24"/>
        </w:rPr>
        <w:t>disclosure</w:t>
      </w:r>
      <w:proofErr w:type="spellEnd"/>
      <w:r w:rsidRPr="00F06AD8">
        <w:rPr>
          <w:sz w:val="24"/>
          <w:szCs w:val="24"/>
        </w:rPr>
        <w:t xml:space="preserve"> das exigências contidas na referida norma contábil pelas companhias listadas na B3. A amostra desse estudo restringiu-se as companhias que fazem parte do Índice Brasil 100 (</w:t>
      </w:r>
      <w:proofErr w:type="spellStart"/>
      <w:proofErr w:type="gramStart"/>
      <w:r w:rsidRPr="00F06AD8">
        <w:rPr>
          <w:sz w:val="24"/>
          <w:szCs w:val="24"/>
        </w:rPr>
        <w:t>IBrX</w:t>
      </w:r>
      <w:proofErr w:type="spellEnd"/>
      <w:proofErr w:type="gramEnd"/>
      <w:r w:rsidRPr="00F06AD8">
        <w:rPr>
          <w:sz w:val="24"/>
          <w:szCs w:val="24"/>
        </w:rPr>
        <w:t xml:space="preserve"> 100), e para tanto suas notas explicativas e demonstrações financeiras foram submetidas a um </w:t>
      </w:r>
      <w:proofErr w:type="spellStart"/>
      <w:r w:rsidRPr="00F06AD8">
        <w:rPr>
          <w:i/>
          <w:sz w:val="24"/>
          <w:szCs w:val="24"/>
        </w:rPr>
        <w:t>check</w:t>
      </w:r>
      <w:proofErr w:type="spellEnd"/>
      <w:r w:rsidRPr="00F06AD8">
        <w:rPr>
          <w:i/>
          <w:sz w:val="24"/>
          <w:szCs w:val="24"/>
        </w:rPr>
        <w:t xml:space="preserve"> </w:t>
      </w:r>
      <w:proofErr w:type="spellStart"/>
      <w:r w:rsidRPr="00F06AD8">
        <w:rPr>
          <w:i/>
          <w:sz w:val="24"/>
          <w:szCs w:val="24"/>
        </w:rPr>
        <w:t>list</w:t>
      </w:r>
      <w:proofErr w:type="spellEnd"/>
      <w:r w:rsidRPr="00F06AD8">
        <w:rPr>
          <w:sz w:val="24"/>
          <w:szCs w:val="24"/>
        </w:rPr>
        <w:t xml:space="preserve"> composto de 13 quesitos obrigatórios a serem apresentados pelas companhias conforme o CPC 25. A partir dos resultados foi possível constatar que a média de </w:t>
      </w:r>
      <w:proofErr w:type="spellStart"/>
      <w:r w:rsidRPr="00F06AD8">
        <w:rPr>
          <w:i/>
          <w:sz w:val="24"/>
          <w:szCs w:val="24"/>
        </w:rPr>
        <w:t>disclosure</w:t>
      </w:r>
      <w:proofErr w:type="spellEnd"/>
      <w:r w:rsidRPr="00F06AD8">
        <w:rPr>
          <w:i/>
          <w:sz w:val="24"/>
          <w:szCs w:val="24"/>
        </w:rPr>
        <w:t xml:space="preserve"> </w:t>
      </w:r>
      <w:r w:rsidRPr="00F06AD8">
        <w:rPr>
          <w:sz w:val="24"/>
          <w:szCs w:val="24"/>
        </w:rPr>
        <w:t>das provisões foi de 78,12%</w:t>
      </w:r>
      <w:r>
        <w:rPr>
          <w:sz w:val="24"/>
          <w:szCs w:val="24"/>
        </w:rPr>
        <w:t xml:space="preserve"> e 76,32% para as contingências</w:t>
      </w:r>
      <w:r w:rsidRPr="00F06AD8">
        <w:rPr>
          <w:sz w:val="24"/>
          <w:szCs w:val="24"/>
        </w:rPr>
        <w:t xml:space="preserve">. Com relação aos setores, </w:t>
      </w:r>
      <w:proofErr w:type="gramStart"/>
      <w:r w:rsidRPr="00F06AD8">
        <w:rPr>
          <w:sz w:val="24"/>
          <w:szCs w:val="24"/>
        </w:rPr>
        <w:t>os que apresentaram maior grau de aderência ao CPC 25 foi</w:t>
      </w:r>
      <w:proofErr w:type="gramEnd"/>
      <w:r w:rsidRPr="00F06AD8">
        <w:rPr>
          <w:sz w:val="24"/>
          <w:szCs w:val="24"/>
        </w:rPr>
        <w:t xml:space="preserve"> o de telecomunicações </w:t>
      </w:r>
      <w:r>
        <w:rPr>
          <w:sz w:val="24"/>
          <w:szCs w:val="24"/>
        </w:rPr>
        <w:t xml:space="preserve">e </w:t>
      </w:r>
      <w:r w:rsidRPr="00F06AD8">
        <w:rPr>
          <w:sz w:val="24"/>
          <w:szCs w:val="24"/>
        </w:rPr>
        <w:t xml:space="preserve">Petróleo, gás e biocombustíveis com percentual de 94,87%. Os níveis de governança corporativa da B3 com maior nível de </w:t>
      </w:r>
      <w:proofErr w:type="spellStart"/>
      <w:r w:rsidRPr="00F06AD8">
        <w:rPr>
          <w:i/>
          <w:sz w:val="24"/>
          <w:szCs w:val="24"/>
        </w:rPr>
        <w:t>disclosure</w:t>
      </w:r>
      <w:proofErr w:type="spellEnd"/>
      <w:r w:rsidRPr="00F06AD8">
        <w:rPr>
          <w:sz w:val="24"/>
          <w:szCs w:val="24"/>
        </w:rPr>
        <w:t xml:space="preserve"> de provisões e contingências foi o tradicional, com média de 89,23% e em segundo lugar as companhias do nível </w:t>
      </w:r>
      <w:proofErr w:type="gramStart"/>
      <w:r w:rsidRPr="00F06AD8">
        <w:rPr>
          <w:sz w:val="24"/>
          <w:szCs w:val="24"/>
        </w:rPr>
        <w:t>1</w:t>
      </w:r>
      <w:proofErr w:type="gramEnd"/>
      <w:r w:rsidRPr="00F06AD8">
        <w:rPr>
          <w:sz w:val="24"/>
          <w:szCs w:val="24"/>
        </w:rPr>
        <w:t xml:space="preserve"> com média de 80,22%. </w:t>
      </w:r>
      <w:r>
        <w:rPr>
          <w:sz w:val="24"/>
          <w:szCs w:val="24"/>
        </w:rPr>
        <w:t>Com isso, fez se o teste de normalidade dos resíduos, e de correlação, verificando a não normalidade das variáveis.</w:t>
      </w:r>
      <w:r w:rsidRPr="00F06A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Segregando os dados, fez se </w:t>
      </w:r>
      <w:r w:rsidRPr="00F06AD8">
        <w:rPr>
          <w:sz w:val="24"/>
          <w:szCs w:val="24"/>
        </w:rPr>
        <w:t>o teste de Correspondência (</w:t>
      </w:r>
      <w:proofErr w:type="spellStart"/>
      <w:r w:rsidRPr="00F06AD8">
        <w:rPr>
          <w:sz w:val="24"/>
          <w:szCs w:val="24"/>
        </w:rPr>
        <w:t>Anacor</w:t>
      </w:r>
      <w:proofErr w:type="spellEnd"/>
      <w:r w:rsidRPr="00F06AD8">
        <w:rPr>
          <w:sz w:val="24"/>
          <w:szCs w:val="24"/>
        </w:rPr>
        <w:t xml:space="preserve">), </w:t>
      </w:r>
      <w:r>
        <w:rPr>
          <w:sz w:val="24"/>
          <w:szCs w:val="24"/>
        </w:rPr>
        <w:t>confirmando o resultado da normalidade, de que d</w:t>
      </w:r>
      <w:r w:rsidRPr="00F06AD8">
        <w:rPr>
          <w:sz w:val="24"/>
          <w:szCs w:val="24"/>
        </w:rPr>
        <w:t>as variáveis econômicas e de tamanho utilizados no estudo, apenas a variável rentabilidade apresentou significância estatística satisfatória contradizendo estudos anteriores.</w:t>
      </w:r>
    </w:p>
    <w:p w:rsidR="001B6D98" w:rsidRDefault="001B6D98" w:rsidP="001B6D98">
      <w:pPr>
        <w:jc w:val="both"/>
        <w:rPr>
          <w:b/>
          <w:sz w:val="24"/>
          <w:szCs w:val="24"/>
        </w:rPr>
      </w:pPr>
    </w:p>
    <w:p w:rsidR="001B6D98" w:rsidRDefault="001B6D98" w:rsidP="001B6D9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>
        <w:rPr>
          <w:sz w:val="24"/>
          <w:szCs w:val="24"/>
        </w:rPr>
        <w:t xml:space="preserve">PROVISÃO, ATIVO CONTINGENTE, </w:t>
      </w:r>
      <w:r w:rsidRPr="00197C9F">
        <w:rPr>
          <w:i/>
          <w:sz w:val="24"/>
          <w:szCs w:val="24"/>
        </w:rPr>
        <w:t>DISCLOSURE</w:t>
      </w:r>
      <w:r>
        <w:rPr>
          <w:sz w:val="24"/>
          <w:szCs w:val="24"/>
        </w:rPr>
        <w:t>, PASSIVO CONTINGENTE.</w:t>
      </w:r>
      <w:bookmarkStart w:id="0" w:name="_GoBack"/>
      <w:bookmarkEnd w:id="0"/>
    </w:p>
    <w:p w:rsidR="001B6D98" w:rsidRDefault="001B6D98" w:rsidP="001B6D98">
      <w:pPr>
        <w:rPr>
          <w:sz w:val="24"/>
          <w:szCs w:val="24"/>
        </w:rPr>
      </w:pPr>
    </w:p>
    <w:p w:rsidR="001B6D98" w:rsidRPr="0036377D" w:rsidRDefault="001B6D98" w:rsidP="001B6D9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Linha Temática: </w:t>
      </w:r>
      <w:r w:rsidRPr="00DB3E76">
        <w:rPr>
          <w:sz w:val="24"/>
          <w:szCs w:val="24"/>
        </w:rPr>
        <w:t>Contabilidade Financeira</w:t>
      </w:r>
    </w:p>
    <w:p w:rsidR="001B6D98" w:rsidRDefault="001B6D98" w:rsidP="001B6D98">
      <w:pPr>
        <w:rPr>
          <w:sz w:val="24"/>
          <w:szCs w:val="24"/>
        </w:rPr>
      </w:pPr>
    </w:p>
    <w:p w:rsidR="001B6D98" w:rsidRDefault="001B6D98" w:rsidP="001B6D98"/>
    <w:p w:rsidR="00397B54" w:rsidRDefault="00397B54" w:rsidP="001B6D98"/>
    <w:p w:rsidR="00397B54" w:rsidRDefault="00397B54" w:rsidP="001B6D98"/>
    <w:p w:rsidR="001B6D98" w:rsidRDefault="001B6D98" w:rsidP="001B6D98"/>
    <w:p w:rsidR="001B6D98" w:rsidRDefault="001B6D98" w:rsidP="001B6D98"/>
    <w:p w:rsidR="001B6D98" w:rsidRPr="001B6D98" w:rsidRDefault="001B6D98" w:rsidP="001B6D98">
      <w:pPr>
        <w:rPr>
          <w:b/>
          <w:sz w:val="24"/>
          <w:szCs w:val="24"/>
        </w:rPr>
      </w:pPr>
      <w:r w:rsidRPr="001B6D98">
        <w:rPr>
          <w:b/>
          <w:sz w:val="24"/>
          <w:szCs w:val="24"/>
        </w:rPr>
        <w:t>1. Introdução</w:t>
      </w:r>
    </w:p>
    <w:p w:rsidR="001B6D98" w:rsidRPr="005A6D54" w:rsidRDefault="001B6D98" w:rsidP="001B6D98">
      <w:pPr>
        <w:pStyle w:val="Pargrafo"/>
        <w:spacing w:line="240" w:lineRule="auto"/>
        <w:rPr>
          <w:color w:val="222222"/>
        </w:rPr>
      </w:pPr>
      <w:r w:rsidRPr="005A6D54">
        <w:rPr>
          <w:color w:val="222222"/>
        </w:rPr>
        <w:lastRenderedPageBreak/>
        <w:t>A Contabilidade é uma ciência social aplicada, a qual sofre fortes interferências de aspectos culturais, históricos, políticos e econômicos do ambiente, os quais atuam, também, nos procedimentos contábeis de cada país. Desse modo, a Contabilidade é uma área do conhecimento que recebe constantes ações do ser humano (</w:t>
      </w:r>
      <w:proofErr w:type="spellStart"/>
      <w:r w:rsidRPr="005A6D54">
        <w:rPr>
          <w:color w:val="222222"/>
        </w:rPr>
        <w:t>Niyama</w:t>
      </w:r>
      <w:proofErr w:type="spellEnd"/>
      <w:r w:rsidRPr="005A6D54">
        <w:rPr>
          <w:color w:val="222222"/>
        </w:rPr>
        <w:t>, 2009). Por essa razão, trata-se de um processo de identificação, medição e comunicação de informação econômica que permite juízos e decisões por parte dos usuários (Pereira, 2011).</w:t>
      </w:r>
    </w:p>
    <w:p w:rsidR="001B6D98" w:rsidRPr="005A6D54" w:rsidRDefault="001B6D98" w:rsidP="001B6D98">
      <w:pPr>
        <w:pStyle w:val="Pargrafo"/>
        <w:spacing w:line="240" w:lineRule="auto"/>
      </w:pPr>
      <w:r w:rsidRPr="005A6D54">
        <w:rPr>
          <w:color w:val="222222"/>
        </w:rPr>
        <w:t>Nesse contexto, o processo de harmonização contábil teve como intuito igualar as normas contábeis, de modo a proporcionar maior transparência por meio de parâmetros uniformes. Nesse caso, as Normas Internacionais de Contabilidade, também conhecidas como IFRS (</w:t>
      </w:r>
      <w:proofErr w:type="spellStart"/>
      <w:r w:rsidRPr="005A6D54">
        <w:rPr>
          <w:i/>
          <w:iCs/>
          <w:color w:val="222222"/>
        </w:rPr>
        <w:t>International</w:t>
      </w:r>
      <w:proofErr w:type="spellEnd"/>
      <w:r w:rsidRPr="005A6D54">
        <w:rPr>
          <w:i/>
          <w:iCs/>
          <w:color w:val="222222"/>
        </w:rPr>
        <w:t xml:space="preserve"> Financial </w:t>
      </w:r>
      <w:proofErr w:type="spellStart"/>
      <w:r w:rsidRPr="005A6D54">
        <w:rPr>
          <w:i/>
          <w:iCs/>
          <w:color w:val="222222"/>
        </w:rPr>
        <w:t>Reporting</w:t>
      </w:r>
      <w:proofErr w:type="spellEnd"/>
      <w:r w:rsidRPr="005A6D54">
        <w:rPr>
          <w:i/>
          <w:iCs/>
          <w:color w:val="222222"/>
        </w:rPr>
        <w:t xml:space="preserve"> Standards</w:t>
      </w:r>
      <w:r w:rsidRPr="005A6D54">
        <w:rPr>
          <w:color w:val="222222"/>
        </w:rPr>
        <w:t xml:space="preserve">), foram criadas com o propósito de ser um conjunto normas </w:t>
      </w:r>
      <w:proofErr w:type="gramStart"/>
      <w:r w:rsidRPr="005A6D54">
        <w:rPr>
          <w:color w:val="222222"/>
        </w:rPr>
        <w:t>contábeis padrão</w:t>
      </w:r>
      <w:proofErr w:type="gramEnd"/>
      <w:r w:rsidRPr="005A6D54">
        <w:rPr>
          <w:color w:val="222222"/>
        </w:rPr>
        <w:t>, aceitas internacionalmente.</w:t>
      </w:r>
    </w:p>
    <w:p w:rsidR="001B6D98" w:rsidRDefault="001B6D98" w:rsidP="001B6D98">
      <w:pPr>
        <w:pStyle w:val="Pargrafo"/>
        <w:spacing w:line="240" w:lineRule="auto"/>
      </w:pPr>
      <w:r>
        <w:t>A harmonização das normas internacionais buscou trazer diversas vantagens para as companhias que utilizam as normais contábeis adequadas ao ambiente em que está inserido. Dentre estas vantagens destacam-se: (i) melhorar e aumentar a transparência, a compreensão e a comparabilidade das informações difundidas nos diferentes mercados financeiros; (</w:t>
      </w:r>
      <w:proofErr w:type="spellStart"/>
      <w:proofErr w:type="gramStart"/>
      <w:r>
        <w:t>ii</w:t>
      </w:r>
      <w:proofErr w:type="spellEnd"/>
      <w:proofErr w:type="gramEnd"/>
      <w:r>
        <w:t>) reduz custos de elaboração, de divulgação e de auditoria das demonstrações financeiras; (</w:t>
      </w:r>
      <w:proofErr w:type="spellStart"/>
      <w:r>
        <w:t>iii</w:t>
      </w:r>
      <w:proofErr w:type="spellEnd"/>
      <w:r>
        <w:t>) elimina significativamente as diferenças em resultados gerados pelo reconhecimento contábil das operações a partir de um único conjunto de normas; (</w:t>
      </w:r>
      <w:proofErr w:type="spellStart"/>
      <w:r>
        <w:t>iv</w:t>
      </w:r>
      <w:proofErr w:type="spellEnd"/>
      <w:r>
        <w:t>) viabiliza os investimentos diretos e estrangeiros, bem como o fluxo de capital internacional; (v) facilita e simplifica o processo de consolidação das demonstrações; e (vi) aperfeiçoa a comunicação da empresa com seus  investidores nacionais e estrangeiros  (</w:t>
      </w:r>
      <w:proofErr w:type="spellStart"/>
      <w:r>
        <w:t>Benedicto</w:t>
      </w:r>
      <w:proofErr w:type="spellEnd"/>
      <w:r>
        <w:t>, 2011).</w:t>
      </w:r>
    </w:p>
    <w:p w:rsidR="001B6D98" w:rsidRDefault="001B6D98" w:rsidP="001B6D9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Brasil, o</w:t>
      </w:r>
      <w:r w:rsidRPr="000F2EC0">
        <w:rPr>
          <w:sz w:val="24"/>
          <w:szCs w:val="24"/>
        </w:rPr>
        <w:t xml:space="preserve"> caminho da convergência para as normas internacionais de contabilidade passou pela criação de um órgão único para a emissão de normas de contabilidade: o Comitê de Pronunciamentos Contábeis (CPC). Este órgão conduziu o processo de tradução e adaptação das normas internacionais </w:t>
      </w:r>
      <w:r>
        <w:rPr>
          <w:sz w:val="24"/>
          <w:szCs w:val="24"/>
        </w:rPr>
        <w:t>com as quais</w:t>
      </w:r>
      <w:r w:rsidRPr="000F2EC0">
        <w:rPr>
          <w:sz w:val="24"/>
          <w:szCs w:val="24"/>
        </w:rPr>
        <w:t xml:space="preserve"> as empresas brasileiras deveriam </w:t>
      </w:r>
      <w:r>
        <w:rPr>
          <w:sz w:val="24"/>
          <w:szCs w:val="24"/>
        </w:rPr>
        <w:t>trabalhar</w:t>
      </w:r>
      <w:r w:rsidRPr="000F2EC0">
        <w:rPr>
          <w:sz w:val="24"/>
          <w:szCs w:val="24"/>
        </w:rPr>
        <w:t xml:space="preserve"> a partir de então (</w:t>
      </w:r>
      <w:proofErr w:type="spellStart"/>
      <w:r w:rsidRPr="000F2EC0">
        <w:rPr>
          <w:sz w:val="24"/>
          <w:szCs w:val="24"/>
        </w:rPr>
        <w:t>S</w:t>
      </w:r>
      <w:r>
        <w:rPr>
          <w:sz w:val="24"/>
          <w:szCs w:val="24"/>
        </w:rPr>
        <w:t>alotti</w:t>
      </w:r>
      <w:proofErr w:type="spellEnd"/>
      <w:r w:rsidRPr="000F2EC0">
        <w:rPr>
          <w:sz w:val="24"/>
          <w:szCs w:val="24"/>
        </w:rPr>
        <w:t xml:space="preserve">, 2015). </w:t>
      </w:r>
    </w:p>
    <w:p w:rsidR="001B6D98" w:rsidRDefault="001B6D98" w:rsidP="001B6D98">
      <w:pPr>
        <w:ind w:firstLine="708"/>
        <w:jc w:val="both"/>
        <w:rPr>
          <w:sz w:val="24"/>
          <w:szCs w:val="24"/>
        </w:rPr>
      </w:pPr>
      <w:r w:rsidRPr="000F2EC0">
        <w:rPr>
          <w:sz w:val="24"/>
          <w:szCs w:val="24"/>
        </w:rPr>
        <w:t xml:space="preserve">O processo de convergência às normas internacionais não obedeceu à lógica europeia, que permitiu considerável lapso temporal entre a normatização e a aplicação das normas. Pelo contrário, a Lei n. 11.638/07 competiu à Comissão de Valores Mobiliários (CVM), em convênio com o recém-criado Comitê de Pronunciamentos Contábeis (CPC), regulamentarem as </w:t>
      </w:r>
      <w:r>
        <w:rPr>
          <w:sz w:val="24"/>
          <w:szCs w:val="24"/>
        </w:rPr>
        <w:t>alterações legais previstas (Barcelos</w:t>
      </w:r>
      <w:r w:rsidRPr="000F2EC0">
        <w:rPr>
          <w:sz w:val="24"/>
          <w:szCs w:val="24"/>
        </w:rPr>
        <w:t>, 2012).</w:t>
      </w:r>
    </w:p>
    <w:p w:rsidR="001B6D98" w:rsidRDefault="001B6D98" w:rsidP="001B6D98">
      <w:pPr>
        <w:ind w:firstLine="708"/>
        <w:jc w:val="both"/>
        <w:rPr>
          <w:sz w:val="24"/>
          <w:szCs w:val="24"/>
        </w:rPr>
      </w:pPr>
      <w:r w:rsidRPr="000F2EC0">
        <w:rPr>
          <w:sz w:val="24"/>
          <w:szCs w:val="24"/>
        </w:rPr>
        <w:t>Dentre os diversos Pronunciamentos Técnicos emitidos</w:t>
      </w:r>
      <w:r>
        <w:rPr>
          <w:sz w:val="24"/>
          <w:szCs w:val="24"/>
        </w:rPr>
        <w:t>,</w:t>
      </w:r>
      <w:r w:rsidRPr="000F2EC0">
        <w:rPr>
          <w:sz w:val="24"/>
          <w:szCs w:val="24"/>
        </w:rPr>
        <w:t xml:space="preserve"> encontra-se o CPC 25</w:t>
      </w:r>
      <w:r>
        <w:rPr>
          <w:sz w:val="24"/>
          <w:szCs w:val="24"/>
        </w:rPr>
        <w:t xml:space="preserve">: </w:t>
      </w:r>
      <w:r w:rsidRPr="008410C5">
        <w:rPr>
          <w:sz w:val="24"/>
          <w:szCs w:val="24"/>
        </w:rPr>
        <w:t>Provisões, Passivos Contingentes e Ativos Contingentes, oriundo da tradução da IAS 37 (</w:t>
      </w:r>
      <w:proofErr w:type="spellStart"/>
      <w:r w:rsidRPr="008410C5">
        <w:rPr>
          <w:i/>
          <w:sz w:val="24"/>
          <w:szCs w:val="24"/>
        </w:rPr>
        <w:t>Provisions</w:t>
      </w:r>
      <w:proofErr w:type="spellEnd"/>
      <w:r w:rsidRPr="008410C5">
        <w:rPr>
          <w:i/>
          <w:sz w:val="24"/>
          <w:szCs w:val="24"/>
        </w:rPr>
        <w:t xml:space="preserve">, </w:t>
      </w:r>
      <w:proofErr w:type="spellStart"/>
      <w:r w:rsidRPr="008410C5">
        <w:rPr>
          <w:i/>
          <w:sz w:val="24"/>
          <w:szCs w:val="24"/>
        </w:rPr>
        <w:t>Contingent</w:t>
      </w:r>
      <w:proofErr w:type="spellEnd"/>
      <w:r w:rsidRPr="008410C5">
        <w:rPr>
          <w:i/>
          <w:sz w:val="24"/>
          <w:szCs w:val="24"/>
        </w:rPr>
        <w:t xml:space="preserve"> </w:t>
      </w:r>
      <w:proofErr w:type="spellStart"/>
      <w:r w:rsidRPr="008410C5">
        <w:rPr>
          <w:i/>
          <w:sz w:val="24"/>
          <w:szCs w:val="24"/>
        </w:rPr>
        <w:t>Liabilities</w:t>
      </w:r>
      <w:proofErr w:type="spellEnd"/>
      <w:r w:rsidRPr="008410C5">
        <w:rPr>
          <w:i/>
          <w:sz w:val="24"/>
          <w:szCs w:val="24"/>
        </w:rPr>
        <w:t xml:space="preserve"> </w:t>
      </w:r>
      <w:proofErr w:type="spellStart"/>
      <w:r w:rsidRPr="008410C5">
        <w:rPr>
          <w:i/>
          <w:sz w:val="24"/>
          <w:szCs w:val="24"/>
        </w:rPr>
        <w:t>and</w:t>
      </w:r>
      <w:proofErr w:type="spellEnd"/>
      <w:r w:rsidRPr="008410C5">
        <w:rPr>
          <w:i/>
          <w:sz w:val="24"/>
          <w:szCs w:val="24"/>
        </w:rPr>
        <w:t xml:space="preserve"> </w:t>
      </w:r>
      <w:proofErr w:type="spellStart"/>
      <w:r w:rsidRPr="008410C5">
        <w:rPr>
          <w:i/>
          <w:sz w:val="24"/>
          <w:szCs w:val="24"/>
        </w:rPr>
        <w:t>Contingent</w:t>
      </w:r>
      <w:proofErr w:type="spellEnd"/>
      <w:r w:rsidRPr="008410C5">
        <w:rPr>
          <w:i/>
          <w:sz w:val="24"/>
          <w:szCs w:val="24"/>
        </w:rPr>
        <w:t xml:space="preserve"> </w:t>
      </w:r>
      <w:proofErr w:type="spellStart"/>
      <w:r w:rsidRPr="008410C5">
        <w:rPr>
          <w:i/>
          <w:sz w:val="24"/>
          <w:szCs w:val="24"/>
        </w:rPr>
        <w:t>Assets</w:t>
      </w:r>
      <w:proofErr w:type="spellEnd"/>
      <w:r w:rsidRPr="008410C5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que </w:t>
      </w:r>
      <w:r w:rsidRPr="008410C5">
        <w:rPr>
          <w:sz w:val="24"/>
          <w:szCs w:val="24"/>
        </w:rPr>
        <w:t>estabeleceu novos critérios e bases para a forma adequada de reconhecimento e mensuração das provisões e das possíveis contingências dentro das demonstrações contábeis.</w:t>
      </w:r>
    </w:p>
    <w:p w:rsidR="001B6D98" w:rsidRPr="00927360" w:rsidRDefault="001B6D98" w:rsidP="001B6D98">
      <w:pPr>
        <w:ind w:firstLine="708"/>
        <w:jc w:val="both"/>
        <w:rPr>
          <w:sz w:val="24"/>
          <w:szCs w:val="24"/>
        </w:rPr>
      </w:pPr>
      <w:r w:rsidRPr="000654CB">
        <w:rPr>
          <w:sz w:val="24"/>
          <w:szCs w:val="24"/>
        </w:rPr>
        <w:t>O</w:t>
      </w:r>
      <w:r>
        <w:rPr>
          <w:sz w:val="24"/>
          <w:szCs w:val="24"/>
        </w:rPr>
        <w:t xml:space="preserve"> reconhecimento, a mensuração e a evidenciação</w:t>
      </w:r>
      <w:r w:rsidRPr="00927360">
        <w:rPr>
          <w:sz w:val="24"/>
          <w:szCs w:val="24"/>
        </w:rPr>
        <w:t xml:space="preserve"> das contingências proporciona</w:t>
      </w:r>
      <w:r>
        <w:rPr>
          <w:sz w:val="24"/>
          <w:szCs w:val="24"/>
        </w:rPr>
        <w:t>m</w:t>
      </w:r>
      <w:r w:rsidRPr="00927360">
        <w:rPr>
          <w:sz w:val="24"/>
          <w:szCs w:val="24"/>
        </w:rPr>
        <w:t xml:space="preserve"> aos usuários da</w:t>
      </w:r>
      <w:r>
        <w:rPr>
          <w:sz w:val="24"/>
          <w:szCs w:val="24"/>
        </w:rPr>
        <w:t>s demonstrações financeiras maior</w:t>
      </w:r>
      <w:r w:rsidRPr="00927360">
        <w:rPr>
          <w:sz w:val="24"/>
          <w:szCs w:val="24"/>
        </w:rPr>
        <w:t xml:space="preserve"> transparência em relação </w:t>
      </w:r>
      <w:r>
        <w:rPr>
          <w:sz w:val="24"/>
          <w:szCs w:val="24"/>
        </w:rPr>
        <w:t>à</w:t>
      </w:r>
      <w:r w:rsidRPr="00927360">
        <w:rPr>
          <w:sz w:val="24"/>
          <w:szCs w:val="24"/>
        </w:rPr>
        <w:t xml:space="preserve"> situação das empresas.</w:t>
      </w:r>
      <w:r>
        <w:rPr>
          <w:sz w:val="24"/>
          <w:szCs w:val="24"/>
        </w:rPr>
        <w:t xml:space="preserve"> Desse modo, p</w:t>
      </w:r>
      <w:r w:rsidRPr="00927360">
        <w:rPr>
          <w:sz w:val="24"/>
          <w:szCs w:val="24"/>
        </w:rPr>
        <w:t xml:space="preserve">ara que os usuários externos tenham informações mais </w:t>
      </w:r>
      <w:r>
        <w:rPr>
          <w:sz w:val="24"/>
          <w:szCs w:val="24"/>
        </w:rPr>
        <w:t>claras sobre a empresa, faz-se</w:t>
      </w:r>
      <w:r w:rsidRPr="00927360">
        <w:rPr>
          <w:sz w:val="24"/>
          <w:szCs w:val="24"/>
        </w:rPr>
        <w:t xml:space="preserve"> necessária a divulgação desses valores, uma vez que apenas </w:t>
      </w:r>
      <w:r>
        <w:rPr>
          <w:sz w:val="24"/>
          <w:szCs w:val="24"/>
        </w:rPr>
        <w:t xml:space="preserve">os </w:t>
      </w:r>
      <w:r w:rsidRPr="00927360">
        <w:rPr>
          <w:sz w:val="24"/>
          <w:szCs w:val="24"/>
        </w:rPr>
        <w:t>usuários internos t</w:t>
      </w:r>
      <w:r>
        <w:rPr>
          <w:sz w:val="24"/>
          <w:szCs w:val="24"/>
        </w:rPr>
        <w:t>ê</w:t>
      </w:r>
      <w:r w:rsidRPr="00927360">
        <w:rPr>
          <w:sz w:val="24"/>
          <w:szCs w:val="24"/>
        </w:rPr>
        <w:t>m a</w:t>
      </w:r>
      <w:r>
        <w:rPr>
          <w:sz w:val="24"/>
          <w:szCs w:val="24"/>
        </w:rPr>
        <w:t xml:space="preserve">cesso a esse tipo de informação, principalmente no que tange </w:t>
      </w:r>
      <w:r w:rsidRPr="00927360">
        <w:rPr>
          <w:sz w:val="24"/>
          <w:szCs w:val="24"/>
        </w:rPr>
        <w:t>aos riscos relaci</w:t>
      </w:r>
      <w:r>
        <w:rPr>
          <w:sz w:val="24"/>
          <w:szCs w:val="24"/>
        </w:rPr>
        <w:t>onados aos valores contingentes (Castro, Vieira &amp; Pinheiro, 2015).</w:t>
      </w:r>
    </w:p>
    <w:p w:rsidR="001B6D98" w:rsidRDefault="001B6D98" w:rsidP="001B6D98">
      <w:pPr>
        <w:pStyle w:val="Pargrafo"/>
        <w:spacing w:line="240" w:lineRule="auto"/>
      </w:pPr>
      <w:r w:rsidRPr="00BA034E">
        <w:t xml:space="preserve">Diante do exposto, </w:t>
      </w:r>
      <w:r>
        <w:t xml:space="preserve">este estudo buscou </w:t>
      </w:r>
      <w:r w:rsidRPr="00BA034E">
        <w:t xml:space="preserve">responder </w:t>
      </w:r>
      <w:r>
        <w:t>à</w:t>
      </w:r>
      <w:r w:rsidRPr="00BA034E">
        <w:t xml:space="preserve"> seguinte indagação:</w:t>
      </w:r>
      <w:r>
        <w:t xml:space="preserve"> quais os determinantes do </w:t>
      </w:r>
      <w:proofErr w:type="spellStart"/>
      <w:r w:rsidRPr="002F57EA">
        <w:rPr>
          <w:i/>
        </w:rPr>
        <w:t>disclosure</w:t>
      </w:r>
      <w:proofErr w:type="spellEnd"/>
      <w:r>
        <w:t xml:space="preserve"> das</w:t>
      </w:r>
      <w:r w:rsidRPr="00723BE6">
        <w:t xml:space="preserve"> Provisões, Passivos Contingentes e Ativos Contingentes </w:t>
      </w:r>
      <w:r>
        <w:t>de acordo com o CPC 25 por companhias listadas na B3</w:t>
      </w:r>
      <w:proofErr w:type="gramStart"/>
      <w:r>
        <w:t>?.</w:t>
      </w:r>
      <w:proofErr w:type="gramEnd"/>
      <w:r>
        <w:t xml:space="preserve"> Assim, o objetivo foi analisar os </w:t>
      </w:r>
      <w:r>
        <w:lastRenderedPageBreak/>
        <w:t xml:space="preserve">determinantes do </w:t>
      </w:r>
      <w:proofErr w:type="spellStart"/>
      <w:r w:rsidRPr="002F57EA">
        <w:rPr>
          <w:i/>
        </w:rPr>
        <w:t>disclosure</w:t>
      </w:r>
      <w:proofErr w:type="spellEnd"/>
      <w:r>
        <w:t xml:space="preserve"> </w:t>
      </w:r>
      <w:r w:rsidRPr="00BA034E">
        <w:t xml:space="preserve">das exigências </w:t>
      </w:r>
      <w:r>
        <w:t>contidas no CPC 25: Provisões, Passivos Contingentes e Ativos Contingentes pelas companhias listadas na B3.</w:t>
      </w:r>
      <w:r w:rsidRPr="00BA034E">
        <w:t xml:space="preserve"> </w:t>
      </w:r>
    </w:p>
    <w:p w:rsidR="001B6D98" w:rsidRDefault="001B6D98" w:rsidP="001B6D98">
      <w:pPr>
        <w:pStyle w:val="Pargrafo"/>
        <w:spacing w:line="240" w:lineRule="auto"/>
        <w:ind w:firstLine="708"/>
        <w:rPr>
          <w:rFonts w:ascii="Times" w:hAnsi="Times"/>
        </w:rPr>
      </w:pPr>
      <w:r w:rsidRPr="000654CB">
        <w:t>Nesse sentido,</w:t>
      </w:r>
      <w:r>
        <w:t xml:space="preserve"> este estudo faz-se importante na medida em que busca analisar e compreender melhor as mudanças que ocorreram quanto ao tratamento das provisões e passivos contingentes com o advento das normas internacionais. </w:t>
      </w:r>
      <w:r>
        <w:rPr>
          <w:rFonts w:ascii="Times" w:hAnsi="Times"/>
        </w:rPr>
        <w:t xml:space="preserve">Tais mudanças podem ser observadas desde o conceito dos termos até a evidenciação, passando pelo reconhecimento e pela mensuração. Diante dessas transformações, as companhias precisaram abandonar os antigos conceitos tão utilizados, passando a adotar não apenas essa nova concepção contábil, como também os novos padrões a serem seguidos.   </w:t>
      </w:r>
    </w:p>
    <w:p w:rsidR="001B6D98" w:rsidRDefault="001B6D98" w:rsidP="001B6D98">
      <w:pPr>
        <w:pStyle w:val="Pargrafo"/>
        <w:spacing w:line="240" w:lineRule="auto"/>
        <w:rPr>
          <w:color w:val="000000"/>
          <w:sz w:val="23"/>
          <w:szCs w:val="23"/>
        </w:rPr>
      </w:pPr>
      <w:r>
        <w:rPr>
          <w:rFonts w:ascii="Times" w:hAnsi="Times"/>
        </w:rPr>
        <w:t xml:space="preserve">Além disso, a realização desta pesquisa justifica-se pelo fato de a divulgação de contingências </w:t>
      </w:r>
      <w:proofErr w:type="gramStart"/>
      <w:r>
        <w:rPr>
          <w:rFonts w:ascii="Times" w:hAnsi="Times"/>
        </w:rPr>
        <w:t>ser</w:t>
      </w:r>
      <w:proofErr w:type="gramEnd"/>
      <w:r>
        <w:rPr>
          <w:rFonts w:ascii="Times" w:hAnsi="Times"/>
        </w:rPr>
        <w:t xml:space="preserve"> um aspecto relevante para os usuários externos acessarem informações </w:t>
      </w:r>
      <w:r w:rsidRPr="00752B45">
        <w:rPr>
          <w:color w:val="000000"/>
          <w:sz w:val="23"/>
          <w:szCs w:val="23"/>
        </w:rPr>
        <w:t>acerca dos riscos aos quais as e</w:t>
      </w:r>
      <w:r>
        <w:rPr>
          <w:color w:val="000000"/>
          <w:sz w:val="23"/>
          <w:szCs w:val="23"/>
        </w:rPr>
        <w:t>ntidades possam estar expostas. Levando em consideração que é</w:t>
      </w:r>
      <w:r w:rsidRPr="00752B45">
        <w:rPr>
          <w:color w:val="000000"/>
          <w:sz w:val="23"/>
          <w:szCs w:val="23"/>
        </w:rPr>
        <w:t xml:space="preserve"> atra</w:t>
      </w:r>
      <w:r>
        <w:rPr>
          <w:color w:val="000000"/>
          <w:sz w:val="23"/>
          <w:szCs w:val="23"/>
        </w:rPr>
        <w:t>vés das demonstrações financeiras e notas explicativas que os usuários</w:t>
      </w:r>
      <w:r w:rsidRPr="00752B45">
        <w:rPr>
          <w:color w:val="000000"/>
          <w:sz w:val="23"/>
          <w:szCs w:val="23"/>
        </w:rPr>
        <w:t xml:space="preserve"> obtêm informações para a tomada de decisões. </w:t>
      </w:r>
    </w:p>
    <w:p w:rsidR="001B6D98" w:rsidRDefault="001B6D98" w:rsidP="001B6D98">
      <w:pPr>
        <w:pStyle w:val="Pargrafo"/>
        <w:spacing w:line="240" w:lineRule="auto"/>
      </w:pPr>
      <w:r>
        <w:rPr>
          <w:color w:val="000000"/>
          <w:sz w:val="23"/>
          <w:szCs w:val="23"/>
        </w:rPr>
        <w:t xml:space="preserve">Assim, por meio deste, pretende-se </w:t>
      </w:r>
      <w:r w:rsidRPr="00752B45">
        <w:rPr>
          <w:color w:val="000000"/>
          <w:sz w:val="23"/>
          <w:szCs w:val="23"/>
        </w:rPr>
        <w:t xml:space="preserve">contribuir para a elevação do </w:t>
      </w:r>
      <w:r>
        <w:rPr>
          <w:color w:val="000000"/>
          <w:sz w:val="23"/>
          <w:szCs w:val="23"/>
        </w:rPr>
        <w:t>nível de segurança dos usuários</w:t>
      </w:r>
      <w:r w:rsidRPr="00752B45">
        <w:rPr>
          <w:color w:val="000000"/>
          <w:sz w:val="23"/>
          <w:szCs w:val="23"/>
        </w:rPr>
        <w:t>, uma vez que os resultados servirão para identificar uma possível assimetria informacional existente entre a divulgação de</w:t>
      </w:r>
      <w:r>
        <w:rPr>
          <w:color w:val="000000"/>
          <w:sz w:val="23"/>
          <w:szCs w:val="23"/>
        </w:rPr>
        <w:t xml:space="preserve"> provisões, ativos e passivos contingentes </w:t>
      </w:r>
      <w:r w:rsidRPr="00752B45">
        <w:rPr>
          <w:color w:val="000000"/>
          <w:sz w:val="23"/>
          <w:szCs w:val="23"/>
        </w:rPr>
        <w:t xml:space="preserve">no mercado brasileiro em relação às informações </w:t>
      </w:r>
      <w:r>
        <w:rPr>
          <w:color w:val="000000"/>
          <w:sz w:val="23"/>
          <w:szCs w:val="23"/>
        </w:rPr>
        <w:t xml:space="preserve">evidenciadas </w:t>
      </w:r>
      <w:r>
        <w:t xml:space="preserve">(Castro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>., 2015).</w:t>
      </w:r>
    </w:p>
    <w:p w:rsidR="001B6D98" w:rsidRPr="00197C9F" w:rsidRDefault="001B6D98" w:rsidP="001B6D98">
      <w:pPr>
        <w:jc w:val="both"/>
        <w:rPr>
          <w:b/>
          <w:sz w:val="12"/>
          <w:szCs w:val="12"/>
        </w:rPr>
      </w:pPr>
    </w:p>
    <w:p w:rsidR="001B6D98" w:rsidRPr="001B6D98" w:rsidRDefault="001B6D98" w:rsidP="001B6D98">
      <w:pPr>
        <w:jc w:val="both"/>
        <w:rPr>
          <w:b/>
          <w:sz w:val="24"/>
          <w:szCs w:val="24"/>
        </w:rPr>
      </w:pPr>
      <w:proofErr w:type="gramStart"/>
      <w:r w:rsidRPr="001B6D98">
        <w:rPr>
          <w:b/>
          <w:sz w:val="24"/>
          <w:szCs w:val="24"/>
        </w:rPr>
        <w:t>2</w:t>
      </w:r>
      <w:proofErr w:type="gramEnd"/>
      <w:r w:rsidRPr="001B6D98">
        <w:rPr>
          <w:b/>
          <w:sz w:val="24"/>
          <w:szCs w:val="24"/>
        </w:rPr>
        <w:t xml:space="preserve"> Plataforma Teórica </w:t>
      </w:r>
    </w:p>
    <w:p w:rsidR="001B6D98" w:rsidRPr="001B6D98" w:rsidRDefault="001B6D98" w:rsidP="001B6D98">
      <w:pPr>
        <w:rPr>
          <w:rFonts w:ascii="Times" w:hAnsi="Times"/>
          <w:b/>
          <w:sz w:val="24"/>
          <w:szCs w:val="24"/>
        </w:rPr>
      </w:pPr>
      <w:proofErr w:type="gramStart"/>
      <w:r w:rsidRPr="001B6D98">
        <w:rPr>
          <w:rFonts w:ascii="Times" w:hAnsi="Times"/>
          <w:b/>
          <w:sz w:val="24"/>
          <w:szCs w:val="24"/>
        </w:rPr>
        <w:t>2.1 Convergência</w:t>
      </w:r>
      <w:proofErr w:type="gramEnd"/>
      <w:r w:rsidRPr="001B6D98">
        <w:rPr>
          <w:rFonts w:ascii="Times" w:hAnsi="Times"/>
          <w:b/>
          <w:sz w:val="24"/>
          <w:szCs w:val="24"/>
        </w:rPr>
        <w:t xml:space="preserve"> às Normas Internacionais de Contabilidade (IFRS)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contexto econômico, uma economia globalizada exige, para seu maior controle, planos de ação em relação às discrepâncias que existem nas regulamentações e práticas contábeis de outros países. Desse modo, fez-se necessária a harmonização das normas contábeis. </w:t>
      </w:r>
    </w:p>
    <w:p w:rsidR="001B6D98" w:rsidRPr="0018439D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Nesse cenário, o</w:t>
      </w:r>
      <w:r w:rsidRPr="0018439D">
        <w:rPr>
          <w:sz w:val="24"/>
          <w:szCs w:val="24"/>
        </w:rPr>
        <w:t xml:space="preserve"> processo internacional de harmonização das normas contábeis foi necessário, pois melhorou e aumentou a transparência e a compreensão</w:t>
      </w:r>
      <w:r>
        <w:rPr>
          <w:sz w:val="24"/>
          <w:szCs w:val="24"/>
        </w:rPr>
        <w:t xml:space="preserve"> das normas contábeis</w:t>
      </w:r>
      <w:r w:rsidRPr="0018439D">
        <w:rPr>
          <w:sz w:val="24"/>
          <w:szCs w:val="24"/>
        </w:rPr>
        <w:t>; eliminou significativamente as diferenças em resultados gerados pelo reconhecimento contábil das operações a partir de um único conjunto de normas; viabilizou os investimentos diretos e estrangeiros e o fluxo de capital internacional; facilitou e simplificou o processo de consolidaçã</w:t>
      </w:r>
      <w:r w:rsidR="007B2CF3">
        <w:rPr>
          <w:sz w:val="24"/>
          <w:szCs w:val="24"/>
        </w:rPr>
        <w:t xml:space="preserve">o das demonstrações financeiras </w:t>
      </w:r>
      <w:r w:rsidRPr="0018439D">
        <w:rPr>
          <w:sz w:val="24"/>
          <w:szCs w:val="24"/>
        </w:rPr>
        <w:t>(</w:t>
      </w:r>
      <w:proofErr w:type="spellStart"/>
      <w:r w:rsidRPr="0018439D">
        <w:rPr>
          <w:sz w:val="24"/>
          <w:szCs w:val="24"/>
        </w:rPr>
        <w:t>B</w:t>
      </w:r>
      <w:r>
        <w:rPr>
          <w:sz w:val="24"/>
          <w:szCs w:val="24"/>
        </w:rPr>
        <w:t>enedicto</w:t>
      </w:r>
      <w:proofErr w:type="spellEnd"/>
      <w:r w:rsidRPr="0018439D">
        <w:rPr>
          <w:sz w:val="24"/>
          <w:szCs w:val="24"/>
        </w:rPr>
        <w:t>, 2011).</w:t>
      </w:r>
    </w:p>
    <w:p w:rsidR="001B6D98" w:rsidRPr="0018439D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Cunha (2015), a </w:t>
      </w:r>
      <w:r w:rsidRPr="0018439D">
        <w:rPr>
          <w:sz w:val="24"/>
          <w:szCs w:val="24"/>
        </w:rPr>
        <w:t>internacionalização da contabilidade</w:t>
      </w:r>
      <w:r>
        <w:rPr>
          <w:sz w:val="24"/>
          <w:szCs w:val="24"/>
        </w:rPr>
        <w:t xml:space="preserve"> fez surgirem</w:t>
      </w:r>
      <w:r w:rsidRPr="0018439D">
        <w:rPr>
          <w:sz w:val="24"/>
          <w:szCs w:val="24"/>
        </w:rPr>
        <w:t xml:space="preserve"> </w:t>
      </w:r>
      <w:proofErr w:type="gramStart"/>
      <w:r w:rsidRPr="0018439D">
        <w:rPr>
          <w:sz w:val="24"/>
          <w:szCs w:val="24"/>
        </w:rPr>
        <w:t>as</w:t>
      </w:r>
      <w:proofErr w:type="gramEnd"/>
      <w:r w:rsidRPr="0018439D">
        <w:rPr>
          <w:sz w:val="24"/>
          <w:szCs w:val="24"/>
        </w:rPr>
        <w:t xml:space="preserve"> convergências de</w:t>
      </w:r>
      <w:r w:rsidRPr="0018439D">
        <w:rPr>
          <w:b/>
          <w:sz w:val="24"/>
          <w:szCs w:val="24"/>
        </w:rPr>
        <w:t xml:space="preserve"> </w:t>
      </w:r>
      <w:r w:rsidRPr="0018439D">
        <w:rPr>
          <w:sz w:val="24"/>
          <w:szCs w:val="24"/>
        </w:rPr>
        <w:t>práticas existentes da contabilidade para as normas em IFRS (</w:t>
      </w:r>
      <w:proofErr w:type="spellStart"/>
      <w:r w:rsidRPr="0018439D">
        <w:rPr>
          <w:i/>
          <w:iCs/>
          <w:sz w:val="24"/>
          <w:szCs w:val="24"/>
        </w:rPr>
        <w:t>International</w:t>
      </w:r>
      <w:proofErr w:type="spellEnd"/>
      <w:r w:rsidRPr="0018439D">
        <w:rPr>
          <w:i/>
          <w:iCs/>
          <w:sz w:val="24"/>
          <w:szCs w:val="24"/>
        </w:rPr>
        <w:t xml:space="preserve"> Financial</w:t>
      </w:r>
      <w:r w:rsidRPr="0018439D">
        <w:rPr>
          <w:b/>
          <w:sz w:val="24"/>
          <w:szCs w:val="24"/>
        </w:rPr>
        <w:t xml:space="preserve"> </w:t>
      </w:r>
      <w:proofErr w:type="spellStart"/>
      <w:r w:rsidRPr="0018439D">
        <w:rPr>
          <w:i/>
          <w:iCs/>
          <w:sz w:val="24"/>
          <w:szCs w:val="24"/>
        </w:rPr>
        <w:t>Reporting</w:t>
      </w:r>
      <w:proofErr w:type="spellEnd"/>
      <w:r w:rsidRPr="0018439D">
        <w:rPr>
          <w:i/>
          <w:iCs/>
          <w:sz w:val="24"/>
          <w:szCs w:val="24"/>
        </w:rPr>
        <w:t xml:space="preserve"> </w:t>
      </w:r>
      <w:proofErr w:type="spellStart"/>
      <w:r w:rsidRPr="0018439D">
        <w:rPr>
          <w:i/>
          <w:iCs/>
          <w:sz w:val="24"/>
          <w:szCs w:val="24"/>
        </w:rPr>
        <w:t>Standars</w:t>
      </w:r>
      <w:proofErr w:type="spellEnd"/>
      <w:r w:rsidRPr="0018439D">
        <w:rPr>
          <w:sz w:val="24"/>
          <w:szCs w:val="24"/>
        </w:rPr>
        <w:t>), que significa Normas Internacionais de Relato Financeiro. Dentre o</w:t>
      </w:r>
      <w:r w:rsidRPr="0018439D">
        <w:rPr>
          <w:b/>
          <w:sz w:val="24"/>
          <w:szCs w:val="24"/>
        </w:rPr>
        <w:t xml:space="preserve"> </w:t>
      </w:r>
      <w:r w:rsidRPr="0018439D">
        <w:rPr>
          <w:sz w:val="24"/>
          <w:szCs w:val="24"/>
        </w:rPr>
        <w:t>elenco de normas em IFRS</w:t>
      </w:r>
      <w:r>
        <w:rPr>
          <w:sz w:val="24"/>
          <w:szCs w:val="24"/>
        </w:rPr>
        <w:t>,</w:t>
      </w:r>
      <w:r w:rsidRPr="0018439D">
        <w:rPr>
          <w:sz w:val="24"/>
          <w:szCs w:val="24"/>
        </w:rPr>
        <w:t xml:space="preserve"> há as IAS (</w:t>
      </w:r>
      <w:proofErr w:type="spellStart"/>
      <w:r w:rsidRPr="0018439D">
        <w:rPr>
          <w:i/>
          <w:iCs/>
          <w:sz w:val="24"/>
          <w:szCs w:val="24"/>
        </w:rPr>
        <w:t>International</w:t>
      </w:r>
      <w:proofErr w:type="spellEnd"/>
      <w:r w:rsidRPr="0018439D">
        <w:rPr>
          <w:i/>
          <w:iCs/>
          <w:sz w:val="24"/>
          <w:szCs w:val="24"/>
        </w:rPr>
        <w:t xml:space="preserve"> </w:t>
      </w:r>
      <w:proofErr w:type="spellStart"/>
      <w:r w:rsidRPr="0018439D">
        <w:rPr>
          <w:i/>
          <w:iCs/>
          <w:sz w:val="24"/>
          <w:szCs w:val="24"/>
        </w:rPr>
        <w:t>Accouting</w:t>
      </w:r>
      <w:proofErr w:type="spellEnd"/>
      <w:r w:rsidRPr="0018439D">
        <w:rPr>
          <w:i/>
          <w:iCs/>
          <w:sz w:val="24"/>
          <w:szCs w:val="24"/>
        </w:rPr>
        <w:t xml:space="preserve"> Standards</w:t>
      </w:r>
      <w:r w:rsidRPr="0018439D">
        <w:rPr>
          <w:sz w:val="24"/>
          <w:szCs w:val="24"/>
        </w:rPr>
        <w:t>), que significa</w:t>
      </w:r>
      <w:r w:rsidRPr="0018439D">
        <w:rPr>
          <w:b/>
          <w:sz w:val="24"/>
          <w:szCs w:val="24"/>
        </w:rPr>
        <w:t xml:space="preserve"> </w:t>
      </w:r>
      <w:r w:rsidRPr="0018439D">
        <w:rPr>
          <w:sz w:val="24"/>
          <w:szCs w:val="24"/>
        </w:rPr>
        <w:t>Normas Intern</w:t>
      </w:r>
      <w:r>
        <w:rPr>
          <w:sz w:val="24"/>
          <w:szCs w:val="24"/>
        </w:rPr>
        <w:t xml:space="preserve">acionais de Contabilidade.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De acordo com Jacques (2009), o</w:t>
      </w:r>
      <w:r w:rsidRPr="0018439D">
        <w:rPr>
          <w:iCs/>
          <w:sz w:val="24"/>
          <w:szCs w:val="24"/>
        </w:rPr>
        <w:t xml:space="preserve"> objetivo</w:t>
      </w:r>
      <w:r>
        <w:rPr>
          <w:iCs/>
          <w:sz w:val="24"/>
          <w:szCs w:val="24"/>
        </w:rPr>
        <w:t xml:space="preserve"> do IASB</w:t>
      </w:r>
      <w:r w:rsidRPr="0018439D">
        <w:rPr>
          <w:iCs/>
          <w:sz w:val="24"/>
          <w:szCs w:val="24"/>
        </w:rPr>
        <w:t xml:space="preserve"> tem sido </w:t>
      </w:r>
      <w:r>
        <w:rPr>
          <w:iCs/>
          <w:sz w:val="24"/>
          <w:szCs w:val="24"/>
        </w:rPr>
        <w:t xml:space="preserve">alcançado </w:t>
      </w:r>
      <w:r w:rsidRPr="0018439D">
        <w:rPr>
          <w:iCs/>
          <w:sz w:val="24"/>
          <w:szCs w:val="24"/>
        </w:rPr>
        <w:t xml:space="preserve">pela coordenação de trabalhos de proposição, discussão e aprovação de normas contábeis internacionais, anteriormente publicadas como </w:t>
      </w:r>
      <w:proofErr w:type="spellStart"/>
      <w:r w:rsidRPr="0018439D">
        <w:rPr>
          <w:i/>
          <w:iCs/>
          <w:sz w:val="24"/>
          <w:szCs w:val="24"/>
        </w:rPr>
        <w:t>International</w:t>
      </w:r>
      <w:proofErr w:type="spellEnd"/>
      <w:r w:rsidRPr="0018439D">
        <w:rPr>
          <w:i/>
          <w:iCs/>
          <w:sz w:val="24"/>
          <w:szCs w:val="24"/>
        </w:rPr>
        <w:t xml:space="preserve"> </w:t>
      </w:r>
      <w:proofErr w:type="spellStart"/>
      <w:r w:rsidRPr="0018439D">
        <w:rPr>
          <w:i/>
          <w:iCs/>
          <w:sz w:val="24"/>
          <w:szCs w:val="24"/>
        </w:rPr>
        <w:t>Accounting</w:t>
      </w:r>
      <w:proofErr w:type="spellEnd"/>
      <w:r w:rsidRPr="0018439D">
        <w:rPr>
          <w:i/>
          <w:iCs/>
          <w:sz w:val="24"/>
          <w:szCs w:val="24"/>
        </w:rPr>
        <w:t xml:space="preserve"> Standard</w:t>
      </w:r>
      <w:r w:rsidRPr="0018439D">
        <w:rPr>
          <w:iCs/>
          <w:sz w:val="24"/>
          <w:szCs w:val="24"/>
        </w:rPr>
        <w:t xml:space="preserve"> (IAS) e</w:t>
      </w:r>
      <w:r>
        <w:rPr>
          <w:iCs/>
          <w:sz w:val="24"/>
          <w:szCs w:val="24"/>
        </w:rPr>
        <w:t>,</w:t>
      </w:r>
      <w:r w:rsidRPr="0018439D">
        <w:rPr>
          <w:iCs/>
          <w:sz w:val="24"/>
          <w:szCs w:val="24"/>
        </w:rPr>
        <w:t xml:space="preserve"> a partir de 2003</w:t>
      </w:r>
      <w:r>
        <w:rPr>
          <w:iCs/>
          <w:sz w:val="24"/>
          <w:szCs w:val="24"/>
        </w:rPr>
        <w:t>,</w:t>
      </w:r>
      <w:r w:rsidRPr="0018439D">
        <w:rPr>
          <w:iCs/>
          <w:sz w:val="24"/>
          <w:szCs w:val="24"/>
        </w:rPr>
        <w:t xml:space="preserve"> como </w:t>
      </w:r>
      <w:proofErr w:type="spellStart"/>
      <w:r w:rsidRPr="0018439D">
        <w:rPr>
          <w:i/>
          <w:iCs/>
          <w:sz w:val="24"/>
          <w:szCs w:val="24"/>
        </w:rPr>
        <w:t>International</w:t>
      </w:r>
      <w:proofErr w:type="spellEnd"/>
      <w:r w:rsidRPr="0018439D">
        <w:rPr>
          <w:i/>
          <w:iCs/>
          <w:sz w:val="24"/>
          <w:szCs w:val="24"/>
        </w:rPr>
        <w:t xml:space="preserve"> Financial </w:t>
      </w:r>
      <w:proofErr w:type="spellStart"/>
      <w:r w:rsidRPr="0018439D">
        <w:rPr>
          <w:i/>
          <w:iCs/>
          <w:sz w:val="24"/>
          <w:szCs w:val="24"/>
        </w:rPr>
        <w:t>Reporting</w:t>
      </w:r>
      <w:proofErr w:type="spellEnd"/>
      <w:r w:rsidRPr="0018439D">
        <w:rPr>
          <w:i/>
          <w:iCs/>
          <w:sz w:val="24"/>
          <w:szCs w:val="24"/>
        </w:rPr>
        <w:t xml:space="preserve"> Standard</w:t>
      </w:r>
      <w:r>
        <w:rPr>
          <w:iCs/>
          <w:sz w:val="24"/>
          <w:szCs w:val="24"/>
        </w:rPr>
        <w:t xml:space="preserve"> – IFRS. </w:t>
      </w:r>
    </w:p>
    <w:p w:rsidR="001B6D98" w:rsidRPr="008744BD" w:rsidRDefault="001B6D98" w:rsidP="007B2CF3">
      <w:pPr>
        <w:autoSpaceDE w:val="0"/>
        <w:autoSpaceDN w:val="0"/>
        <w:adjustRightInd w:val="0"/>
        <w:ind w:firstLine="708"/>
        <w:jc w:val="both"/>
      </w:pPr>
      <w:r>
        <w:rPr>
          <w:iCs/>
          <w:sz w:val="24"/>
          <w:szCs w:val="24"/>
        </w:rPr>
        <w:t xml:space="preserve">Conforme Costa </w:t>
      </w:r>
      <w:proofErr w:type="gramStart"/>
      <w:r w:rsidRPr="0008552C">
        <w:rPr>
          <w:i/>
          <w:iCs/>
          <w:sz w:val="24"/>
          <w:szCs w:val="24"/>
        </w:rPr>
        <w:t>et</w:t>
      </w:r>
      <w:proofErr w:type="gramEnd"/>
      <w:r w:rsidRPr="0008552C">
        <w:rPr>
          <w:i/>
          <w:iCs/>
          <w:sz w:val="24"/>
          <w:szCs w:val="24"/>
        </w:rPr>
        <w:t xml:space="preserve"> al.</w:t>
      </w:r>
      <w:r>
        <w:rPr>
          <w:iCs/>
          <w:sz w:val="24"/>
          <w:szCs w:val="24"/>
        </w:rPr>
        <w:t xml:space="preserve"> (2014), </w:t>
      </w:r>
      <w:r>
        <w:rPr>
          <w:sz w:val="24"/>
          <w:szCs w:val="24"/>
        </w:rPr>
        <w:t>a</w:t>
      </w:r>
      <w:r w:rsidRPr="0018439D">
        <w:rPr>
          <w:sz w:val="24"/>
          <w:szCs w:val="24"/>
        </w:rPr>
        <w:t xml:space="preserve">té 2010, mais de 100 países já </w:t>
      </w:r>
      <w:r>
        <w:rPr>
          <w:sz w:val="24"/>
          <w:szCs w:val="24"/>
        </w:rPr>
        <w:t>haviam adotado</w:t>
      </w:r>
      <w:r w:rsidRPr="0018439D">
        <w:rPr>
          <w:sz w:val="24"/>
          <w:szCs w:val="24"/>
        </w:rPr>
        <w:t xml:space="preserve"> as normas internacionais de contabilidade IFRS, emitidas pelo IASB (</w:t>
      </w:r>
      <w:proofErr w:type="spellStart"/>
      <w:r w:rsidRPr="0018439D">
        <w:rPr>
          <w:i/>
          <w:iCs/>
          <w:sz w:val="24"/>
          <w:szCs w:val="24"/>
        </w:rPr>
        <w:t>International</w:t>
      </w:r>
      <w:proofErr w:type="spellEnd"/>
      <w:r w:rsidRPr="0018439D">
        <w:rPr>
          <w:i/>
          <w:iCs/>
          <w:sz w:val="24"/>
          <w:szCs w:val="24"/>
        </w:rPr>
        <w:t xml:space="preserve"> </w:t>
      </w:r>
      <w:proofErr w:type="spellStart"/>
      <w:r w:rsidRPr="0018439D">
        <w:rPr>
          <w:i/>
          <w:iCs/>
          <w:sz w:val="24"/>
          <w:szCs w:val="24"/>
        </w:rPr>
        <w:t>Accounting</w:t>
      </w:r>
      <w:proofErr w:type="spellEnd"/>
      <w:r w:rsidRPr="0018439D">
        <w:rPr>
          <w:i/>
          <w:iCs/>
          <w:sz w:val="24"/>
          <w:szCs w:val="24"/>
        </w:rPr>
        <w:t xml:space="preserve"> Standard </w:t>
      </w:r>
      <w:proofErr w:type="spellStart"/>
      <w:r w:rsidRPr="0018439D">
        <w:rPr>
          <w:i/>
          <w:iCs/>
          <w:sz w:val="24"/>
          <w:szCs w:val="24"/>
        </w:rPr>
        <w:t>Board</w:t>
      </w:r>
      <w:proofErr w:type="spellEnd"/>
      <w:r w:rsidRPr="0018439D">
        <w:rPr>
          <w:sz w:val="24"/>
          <w:szCs w:val="24"/>
        </w:rPr>
        <w:t xml:space="preserve">).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Brasil, conforme explicam Diniz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(2014), </w:t>
      </w:r>
      <w:r w:rsidRPr="0018439D">
        <w:rPr>
          <w:sz w:val="24"/>
          <w:szCs w:val="24"/>
        </w:rPr>
        <w:t xml:space="preserve">a legislação que marcou o processo de convergência às normas internacionais, de forma abrangente, foi a Lei nº 11.638/07, que alterou a Lei nº 6.404/76. </w:t>
      </w:r>
      <w:r>
        <w:rPr>
          <w:sz w:val="24"/>
          <w:szCs w:val="24"/>
        </w:rPr>
        <w:t xml:space="preserve">De acordo com os autores, </w:t>
      </w:r>
      <w:r w:rsidRPr="0018439D">
        <w:rPr>
          <w:sz w:val="24"/>
          <w:szCs w:val="24"/>
        </w:rPr>
        <w:t>a promulgação des</w:t>
      </w:r>
      <w:r>
        <w:rPr>
          <w:sz w:val="24"/>
          <w:szCs w:val="24"/>
        </w:rPr>
        <w:t>s</w:t>
      </w:r>
      <w:r w:rsidRPr="0018439D">
        <w:rPr>
          <w:sz w:val="24"/>
          <w:szCs w:val="24"/>
        </w:rPr>
        <w:t>a lei</w:t>
      </w:r>
      <w:r>
        <w:rPr>
          <w:sz w:val="24"/>
          <w:szCs w:val="24"/>
        </w:rPr>
        <w:t xml:space="preserve"> fez com que </w:t>
      </w:r>
      <w:r w:rsidRPr="0018439D">
        <w:rPr>
          <w:sz w:val="24"/>
          <w:szCs w:val="24"/>
        </w:rPr>
        <w:t xml:space="preserve">o </w:t>
      </w:r>
      <w:r w:rsidRPr="0018439D">
        <w:rPr>
          <w:sz w:val="24"/>
          <w:szCs w:val="24"/>
        </w:rPr>
        <w:lastRenderedPageBreak/>
        <w:t>processo brasileiro de convergência às normas IFRS pass</w:t>
      </w:r>
      <w:r>
        <w:rPr>
          <w:sz w:val="24"/>
          <w:szCs w:val="24"/>
        </w:rPr>
        <w:t>asse</w:t>
      </w:r>
      <w:r w:rsidRPr="0018439D">
        <w:rPr>
          <w:sz w:val="24"/>
          <w:szCs w:val="24"/>
        </w:rPr>
        <w:t xml:space="preserve"> a ser desenvolvido</w:t>
      </w:r>
      <w:r>
        <w:rPr>
          <w:sz w:val="24"/>
          <w:szCs w:val="24"/>
        </w:rPr>
        <w:t xml:space="preserve"> por meio</w:t>
      </w:r>
      <w:r w:rsidRPr="0018439D">
        <w:rPr>
          <w:sz w:val="24"/>
          <w:szCs w:val="24"/>
        </w:rPr>
        <w:t xml:space="preserve"> de um sistema de regulação que envolv</w:t>
      </w:r>
      <w:r>
        <w:rPr>
          <w:sz w:val="24"/>
          <w:szCs w:val="24"/>
        </w:rPr>
        <w:t>ia</w:t>
      </w:r>
      <w:r w:rsidRPr="0018439D">
        <w:rPr>
          <w:sz w:val="24"/>
          <w:szCs w:val="24"/>
        </w:rPr>
        <w:t xml:space="preserve"> o Estado, por interm</w:t>
      </w:r>
      <w:r>
        <w:rPr>
          <w:sz w:val="24"/>
          <w:szCs w:val="24"/>
        </w:rPr>
        <w:t>édio de seus órgãos reguladores.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foi criado o </w:t>
      </w:r>
      <w:r w:rsidRPr="0018439D">
        <w:rPr>
          <w:sz w:val="24"/>
          <w:szCs w:val="24"/>
        </w:rPr>
        <w:t>Comitê de Pronunciamentos Contábeis (CPC) pelo Conselho Federal de Contabilidade (CFC) por meio da Resolução CFC nº 1.055, de 07/10/2005</w:t>
      </w:r>
      <w:r>
        <w:rPr>
          <w:sz w:val="24"/>
          <w:szCs w:val="24"/>
        </w:rPr>
        <w:t>,</w:t>
      </w:r>
      <w:r w:rsidRPr="0018439D">
        <w:rPr>
          <w:sz w:val="24"/>
          <w:szCs w:val="24"/>
        </w:rPr>
        <w:t xml:space="preserve"> com o objetivo de estudar, preparar e emitir pronunciamentos técnicos, levando sempre em consideração a convergência do padrão contábil brasileiro ao padrão internacional (C</w:t>
      </w:r>
      <w:r>
        <w:rPr>
          <w:sz w:val="24"/>
          <w:szCs w:val="24"/>
        </w:rPr>
        <w:t xml:space="preserve">osta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>
        <w:rPr>
          <w:sz w:val="24"/>
          <w:szCs w:val="24"/>
        </w:rPr>
        <w:t>.</w:t>
      </w:r>
      <w:r w:rsidRPr="0018439D">
        <w:rPr>
          <w:sz w:val="24"/>
          <w:szCs w:val="24"/>
        </w:rPr>
        <w:t>, 2012).</w:t>
      </w:r>
      <w:r>
        <w:rPr>
          <w:sz w:val="24"/>
          <w:szCs w:val="24"/>
        </w:rPr>
        <w:t xml:space="preserve">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convergência, de acordo com Ferreira (2013), pode ser dividida em duas fases. Na primeira, ocorrida em 2008, o CPC emitiu 14 pronunciamentos com o intuito de disciplinar o tratamento contábil das mudanças ocorridas com a criação da nova lei. Esses pronunciamentos, segundo o autor, </w:t>
      </w:r>
      <w:r w:rsidRPr="0018439D">
        <w:rPr>
          <w:sz w:val="24"/>
          <w:szCs w:val="24"/>
        </w:rPr>
        <w:t xml:space="preserve">eram de aplicação obrigatória para as demonstrações contábeis elaboradas para o exercício findo em dezembro de 2008.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segunda face se deu com a emissão de 26 normas as quais entraram em vigor no final de 2010,</w:t>
      </w:r>
      <w:r w:rsidRPr="0018439D">
        <w:rPr>
          <w:sz w:val="24"/>
          <w:szCs w:val="24"/>
        </w:rPr>
        <w:t xml:space="preserve"> sendo aplicados retroativamente a todos os períodos comparativos apresentados, optando</w:t>
      </w:r>
      <w:r>
        <w:rPr>
          <w:sz w:val="24"/>
          <w:szCs w:val="24"/>
        </w:rPr>
        <w:t xml:space="preserve">-se, nesse caso, pela transição no inicio de 2009. </w:t>
      </w:r>
      <w:r w:rsidRPr="0018439D">
        <w:rPr>
          <w:sz w:val="24"/>
          <w:szCs w:val="24"/>
        </w:rPr>
        <w:t>(F</w:t>
      </w:r>
      <w:r>
        <w:rPr>
          <w:sz w:val="24"/>
          <w:szCs w:val="24"/>
        </w:rPr>
        <w:t>erreira</w:t>
      </w:r>
      <w:r w:rsidRPr="0018439D">
        <w:rPr>
          <w:sz w:val="24"/>
          <w:szCs w:val="24"/>
        </w:rPr>
        <w:t xml:space="preserve">, 2013). A figura </w:t>
      </w:r>
      <w:r w:rsidR="007B2CF3">
        <w:rPr>
          <w:sz w:val="24"/>
          <w:szCs w:val="24"/>
        </w:rPr>
        <w:t>1</w:t>
      </w:r>
      <w:r w:rsidRPr="0018439D">
        <w:rPr>
          <w:sz w:val="24"/>
          <w:szCs w:val="24"/>
        </w:rPr>
        <w:t xml:space="preserve"> ilustra essa fase da convergência das </w:t>
      </w:r>
      <w:r>
        <w:rPr>
          <w:sz w:val="24"/>
          <w:szCs w:val="24"/>
        </w:rPr>
        <w:t xml:space="preserve">normas internacionais no Brasil, conforme Costa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>
        <w:rPr>
          <w:sz w:val="24"/>
          <w:szCs w:val="24"/>
        </w:rPr>
        <w:t>., (2014, p.7)</w:t>
      </w:r>
    </w:p>
    <w:p w:rsidR="001B6D98" w:rsidRPr="001E7737" w:rsidRDefault="001B6D98" w:rsidP="001B6D98">
      <w:pPr>
        <w:autoSpaceDE w:val="0"/>
        <w:autoSpaceDN w:val="0"/>
        <w:adjustRightInd w:val="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902835" cy="1207317"/>
            <wp:effectExtent l="19050" t="19050" r="12065" b="11883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52" cy="120833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B6D98" w:rsidRPr="008744BD" w:rsidRDefault="007B2CF3" w:rsidP="001B6D98">
      <w:pPr>
        <w:jc w:val="center"/>
      </w:pPr>
      <w:r>
        <w:t>Figura 1</w:t>
      </w:r>
      <w:r w:rsidR="001B6D98" w:rsidRPr="008744BD">
        <w:t xml:space="preserve"> Representação do processo de </w:t>
      </w:r>
      <w:proofErr w:type="gramStart"/>
      <w:r w:rsidR="001B6D98" w:rsidRPr="008744BD">
        <w:t>implementação</w:t>
      </w:r>
      <w:proofErr w:type="gramEnd"/>
      <w:r w:rsidR="001B6D98" w:rsidRPr="008744BD">
        <w:t xml:space="preserve"> do IFRS no Brasil</w:t>
      </w:r>
    </w:p>
    <w:p w:rsidR="001B6D98" w:rsidRDefault="001B6D98" w:rsidP="001B6D98">
      <w:pPr>
        <w:jc w:val="center"/>
        <w:rPr>
          <w:b/>
        </w:rPr>
      </w:pPr>
      <w:r w:rsidRPr="008744BD">
        <w:t xml:space="preserve">Fonte: Costa </w:t>
      </w:r>
      <w:proofErr w:type="gramStart"/>
      <w:r w:rsidRPr="008744BD">
        <w:rPr>
          <w:i/>
        </w:rPr>
        <w:t>et</w:t>
      </w:r>
      <w:proofErr w:type="gramEnd"/>
      <w:r w:rsidRPr="008744BD">
        <w:rPr>
          <w:i/>
        </w:rPr>
        <w:t xml:space="preserve"> al.</w:t>
      </w:r>
      <w:r w:rsidRPr="008744BD">
        <w:t>., (2014, p.7)</w:t>
      </w:r>
    </w:p>
    <w:p w:rsidR="001B6D98" w:rsidRPr="001B6D98" w:rsidRDefault="001B6D98" w:rsidP="001B6D98">
      <w:pPr>
        <w:pStyle w:val="Pargrafo"/>
        <w:spacing w:line="240" w:lineRule="auto"/>
        <w:ind w:firstLine="0"/>
        <w:rPr>
          <w:b/>
        </w:rPr>
      </w:pPr>
      <w:r w:rsidRPr="001B6D98">
        <w:rPr>
          <w:b/>
        </w:rPr>
        <w:t xml:space="preserve">2.2 </w:t>
      </w:r>
      <w:proofErr w:type="gramStart"/>
      <w:r w:rsidRPr="001B6D98">
        <w:rPr>
          <w:rFonts w:ascii="Times" w:hAnsi="Times"/>
          <w:b/>
        </w:rPr>
        <w:t>IAS</w:t>
      </w:r>
      <w:proofErr w:type="gramEnd"/>
      <w:r w:rsidRPr="001B6D98">
        <w:rPr>
          <w:rFonts w:ascii="Times" w:hAnsi="Times"/>
          <w:b/>
        </w:rPr>
        <w:t xml:space="preserve"> 37 E CPC 25 – Provisões, Passivos Contingentes e Ativos Contingentes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>Nesta seção, foram abordados os conceitos básicos da norma contábil aplicada às Provisões, aos Passivos Contingentes e aos Ativos Contingentes, bem como os estudos anteriores sobre o tema.  Nesse sentido, é importante ressaltar que o</w:t>
      </w:r>
      <w:r w:rsidRPr="0018439D">
        <w:rPr>
          <w:color w:val="1A1A1A"/>
          <w:sz w:val="24"/>
          <w:szCs w:val="24"/>
        </w:rPr>
        <w:t xml:space="preserve"> objetivo da IAS 37 e do CPC 25 é definir critérios de reconhecimento e bases de mensuração para provisões, contingências passivas e contingências ativas, e regras para divulgação de informações suficientes nas notas explicativas, </w:t>
      </w:r>
      <w:r>
        <w:rPr>
          <w:color w:val="1A1A1A"/>
          <w:sz w:val="24"/>
          <w:szCs w:val="24"/>
        </w:rPr>
        <w:t>além</w:t>
      </w:r>
      <w:r w:rsidRPr="0018439D">
        <w:rPr>
          <w:color w:val="1A1A1A"/>
          <w:sz w:val="24"/>
          <w:szCs w:val="24"/>
        </w:rPr>
        <w:t xml:space="preserve"> de permitir que os usuários das demonstrações entend</w:t>
      </w:r>
      <w:r>
        <w:rPr>
          <w:color w:val="1A1A1A"/>
          <w:sz w:val="24"/>
          <w:szCs w:val="24"/>
        </w:rPr>
        <w:t>am sua natureza, época e valor.</w:t>
      </w:r>
    </w:p>
    <w:p w:rsidR="001B6D98" w:rsidRPr="0097453D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12"/>
          <w:szCs w:val="12"/>
        </w:rPr>
      </w:pPr>
    </w:p>
    <w:p w:rsidR="001B6D98" w:rsidRPr="001B6D98" w:rsidRDefault="001B6D98" w:rsidP="001B6D98">
      <w:pPr>
        <w:rPr>
          <w:b/>
          <w:i/>
          <w:sz w:val="24"/>
          <w:szCs w:val="24"/>
        </w:rPr>
      </w:pPr>
      <w:r w:rsidRPr="001B6D98">
        <w:rPr>
          <w:b/>
          <w:i/>
          <w:sz w:val="24"/>
          <w:szCs w:val="24"/>
        </w:rPr>
        <w:t>2.2.1 Provisões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Brasil passou a adotar o padrão contábil internacional a partir do momento que aderiu às normas internacionais de contabilidade e criou o </w:t>
      </w:r>
      <w:r w:rsidRPr="0018439D">
        <w:rPr>
          <w:sz w:val="24"/>
          <w:szCs w:val="24"/>
        </w:rPr>
        <w:t>Comitê de Pronunciamentos Contábeis.</w:t>
      </w:r>
      <w:r>
        <w:rPr>
          <w:sz w:val="24"/>
          <w:szCs w:val="24"/>
        </w:rPr>
        <w:t xml:space="preserve"> </w:t>
      </w:r>
      <w:r w:rsidRPr="0018439D">
        <w:rPr>
          <w:sz w:val="24"/>
          <w:szCs w:val="24"/>
        </w:rPr>
        <w:t>Com isso, surgiram discussões práticas e teóricas sobre reconhecimento, mensuração e divulgação dos elementos patrimoniais.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explica Matias (2013), com o</w:t>
      </w:r>
      <w:r w:rsidRPr="0018439D">
        <w:rPr>
          <w:sz w:val="24"/>
          <w:szCs w:val="24"/>
        </w:rPr>
        <w:t xml:space="preserve"> resultado da promulgação de</w:t>
      </w:r>
      <w:r>
        <w:rPr>
          <w:sz w:val="24"/>
          <w:szCs w:val="24"/>
        </w:rPr>
        <w:t>ss</w:t>
      </w:r>
      <w:r w:rsidRPr="0018439D">
        <w:rPr>
          <w:sz w:val="24"/>
          <w:szCs w:val="24"/>
        </w:rPr>
        <w:t>as normas</w:t>
      </w:r>
      <w:r>
        <w:rPr>
          <w:sz w:val="24"/>
          <w:szCs w:val="24"/>
        </w:rPr>
        <w:t>,</w:t>
      </w:r>
      <w:r w:rsidRPr="0018439D">
        <w:rPr>
          <w:sz w:val="24"/>
          <w:szCs w:val="24"/>
        </w:rPr>
        <w:t xml:space="preserve"> passou a ser obrigatória a divulgação de passivos contingentes, conforme trata o pronunciamento contábil CPC 25 - Provisões, Passivos Contingentes e Ativos Contingentes</w:t>
      </w:r>
      <w:r>
        <w:rPr>
          <w:sz w:val="24"/>
          <w:szCs w:val="24"/>
        </w:rPr>
        <w:t xml:space="preserve"> - o qual</w:t>
      </w:r>
      <w:r w:rsidRPr="0018439D">
        <w:rPr>
          <w:sz w:val="24"/>
          <w:szCs w:val="24"/>
        </w:rPr>
        <w:t xml:space="preserve"> é correlacionado</w:t>
      </w:r>
      <w:r>
        <w:rPr>
          <w:sz w:val="24"/>
          <w:szCs w:val="24"/>
        </w:rPr>
        <w:t xml:space="preserve"> à norma internacional IAS 37.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>Assim,</w:t>
      </w:r>
      <w:r w:rsidRPr="0018439D">
        <w:rPr>
          <w:color w:val="1A1A1A"/>
          <w:sz w:val="24"/>
          <w:szCs w:val="24"/>
        </w:rPr>
        <w:t xml:space="preserve"> objetivo da IAS 37, e do CPC 25, é definir critérios de reconhecimento e bases de mensuração para provisões, contingências passivas e contingências ativas, </w:t>
      </w:r>
      <w:r>
        <w:rPr>
          <w:color w:val="1A1A1A"/>
          <w:sz w:val="24"/>
          <w:szCs w:val="24"/>
        </w:rPr>
        <w:t>além de</w:t>
      </w:r>
      <w:r w:rsidRPr="0018439D">
        <w:rPr>
          <w:color w:val="1A1A1A"/>
          <w:sz w:val="24"/>
          <w:szCs w:val="24"/>
        </w:rPr>
        <w:t xml:space="preserve"> regras </w:t>
      </w:r>
      <w:r w:rsidRPr="0018439D">
        <w:rPr>
          <w:color w:val="1A1A1A"/>
          <w:sz w:val="24"/>
          <w:szCs w:val="24"/>
        </w:rPr>
        <w:lastRenderedPageBreak/>
        <w:t>para divulgação de informações suficientes nas notas explicativas, com o objetivo de permitir que os usuários das demonstrações entendam</w:t>
      </w:r>
      <w:r>
        <w:rPr>
          <w:color w:val="1A1A1A"/>
          <w:sz w:val="24"/>
          <w:szCs w:val="24"/>
        </w:rPr>
        <w:t xml:space="preserve"> sua natureza, época e valor (Avelar</w:t>
      </w:r>
      <w:r w:rsidRPr="0018439D">
        <w:rPr>
          <w:color w:val="1A1A1A"/>
          <w:sz w:val="24"/>
          <w:szCs w:val="24"/>
        </w:rPr>
        <w:t xml:space="preserve"> </w:t>
      </w:r>
      <w:proofErr w:type="gramStart"/>
      <w:r w:rsidRPr="0008552C">
        <w:rPr>
          <w:i/>
          <w:color w:val="1A1A1A"/>
          <w:sz w:val="24"/>
          <w:szCs w:val="24"/>
        </w:rPr>
        <w:t>et</w:t>
      </w:r>
      <w:proofErr w:type="gramEnd"/>
      <w:r w:rsidRPr="0008552C">
        <w:rPr>
          <w:i/>
          <w:color w:val="1A1A1A"/>
          <w:sz w:val="24"/>
          <w:szCs w:val="24"/>
        </w:rPr>
        <w:t xml:space="preserve"> al.</w:t>
      </w:r>
      <w:r w:rsidRPr="0018439D">
        <w:rPr>
          <w:color w:val="1A1A1A"/>
          <w:sz w:val="24"/>
          <w:szCs w:val="24"/>
        </w:rPr>
        <w:t>., 2014).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isso, o CPC 25 define os conceitos básicos para reconhecer uma provisão, </w:t>
      </w:r>
      <w:r w:rsidR="007B2CF3">
        <w:rPr>
          <w:sz w:val="24"/>
          <w:szCs w:val="24"/>
        </w:rPr>
        <w:t>conforme supracitado na figura 2</w:t>
      </w:r>
      <w:r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7336"/>
      </w:tblGrid>
      <w:tr w:rsidR="001B6D98" w:rsidRPr="0018439D" w:rsidTr="00663E5E">
        <w:trPr>
          <w:jc w:val="center"/>
        </w:trPr>
        <w:tc>
          <w:tcPr>
            <w:tcW w:w="1630" w:type="dxa"/>
            <w:tcBorders>
              <w:right w:val="single" w:sz="4" w:space="0" w:color="auto"/>
            </w:tcBorders>
          </w:tcPr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</w:pPr>
          </w:p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</w:pPr>
          </w:p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</w:pPr>
            <w:r w:rsidRPr="00C90AD6">
              <w:t>Obrigação Presente</w:t>
            </w:r>
          </w:p>
        </w:tc>
        <w:tc>
          <w:tcPr>
            <w:tcW w:w="7336" w:type="dxa"/>
            <w:tcBorders>
              <w:left w:val="single" w:sz="4" w:space="0" w:color="auto"/>
            </w:tcBorders>
          </w:tcPr>
          <w:p w:rsidR="001B6D98" w:rsidRPr="0018439D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18439D">
              <w:rPr>
                <w:color w:val="1A1A1A"/>
              </w:rPr>
              <w:t>Para reconhecer uma obrigação presente</w:t>
            </w:r>
            <w:r>
              <w:rPr>
                <w:color w:val="1A1A1A"/>
              </w:rPr>
              <w:t>,</w:t>
            </w:r>
            <w:r w:rsidRPr="0018439D">
              <w:rPr>
                <w:color w:val="1A1A1A"/>
              </w:rPr>
              <w:t xml:space="preserve"> é necessário que seja mais provável que vá existir a obrigação do que não. Na maioria dos casos</w:t>
            </w:r>
            <w:r>
              <w:rPr>
                <w:color w:val="1A1A1A"/>
              </w:rPr>
              <w:t>,</w:t>
            </w:r>
            <w:r w:rsidRPr="0018439D">
              <w:rPr>
                <w:color w:val="1A1A1A"/>
              </w:rPr>
              <w:t xml:space="preserve"> fica claro se há essa obrigação, caso contrário, é necessário que toda evidência seja considerada para verificar se é mais provável que a obrigação vai existir ou não. Uma obrigação envolve sempre outra parte a quem se deve a obrigação, mesmo que não seja identificável.</w:t>
            </w:r>
          </w:p>
        </w:tc>
      </w:tr>
      <w:tr w:rsidR="001B6D98" w:rsidRPr="0018439D" w:rsidTr="00663E5E">
        <w:trPr>
          <w:jc w:val="center"/>
        </w:trPr>
        <w:tc>
          <w:tcPr>
            <w:tcW w:w="1630" w:type="dxa"/>
            <w:tcBorders>
              <w:right w:val="single" w:sz="4" w:space="0" w:color="auto"/>
            </w:tcBorders>
          </w:tcPr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</w:pPr>
          </w:p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  <w:rPr>
                <w:color w:val="1A1A1A"/>
              </w:rPr>
            </w:pPr>
            <w:r w:rsidRPr="00C90AD6">
              <w:t>Evento Passado</w:t>
            </w:r>
          </w:p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  <w:rPr>
                <w:color w:val="1A1A1A"/>
              </w:rPr>
            </w:pPr>
          </w:p>
        </w:tc>
        <w:tc>
          <w:tcPr>
            <w:tcW w:w="7336" w:type="dxa"/>
            <w:tcBorders>
              <w:left w:val="single" w:sz="4" w:space="0" w:color="auto"/>
            </w:tcBorders>
          </w:tcPr>
          <w:p w:rsidR="001B6D98" w:rsidRPr="0018439D" w:rsidRDefault="001B6D98" w:rsidP="00663E5E">
            <w:pPr>
              <w:autoSpaceDE w:val="0"/>
              <w:autoSpaceDN w:val="0"/>
              <w:adjustRightInd w:val="0"/>
              <w:jc w:val="both"/>
              <w:rPr>
                <w:color w:val="1A1A1A"/>
              </w:rPr>
            </w:pPr>
            <w:r w:rsidRPr="0018439D">
              <w:rPr>
                <w:color w:val="1A1A1A"/>
              </w:rPr>
              <w:t>Denominado fato gerador, é aquele que tem condições de criar uma obrigação. As obrigações são criadas quando</w:t>
            </w:r>
            <w:r>
              <w:rPr>
                <w:color w:val="1A1A1A"/>
              </w:rPr>
              <w:t xml:space="preserve"> à </w:t>
            </w:r>
            <w:r w:rsidRPr="0018439D">
              <w:rPr>
                <w:color w:val="1A1A1A"/>
              </w:rPr>
              <w:t>entidade não tem alternativa, senão liquidar a obrigação gerada. Isto ocorre (i) quando a liquidação da obrigação puder ser executada por lei; ou (</w:t>
            </w:r>
            <w:proofErr w:type="spellStart"/>
            <w:proofErr w:type="gramStart"/>
            <w:r w:rsidRPr="0018439D">
              <w:rPr>
                <w:color w:val="1A1A1A"/>
              </w:rPr>
              <w:t>ii</w:t>
            </w:r>
            <w:proofErr w:type="spellEnd"/>
            <w:proofErr w:type="gramEnd"/>
            <w:r w:rsidRPr="0018439D">
              <w:rPr>
                <w:color w:val="1A1A1A"/>
              </w:rPr>
              <w:t>) no caso de uma obrigação presumida, quando o evento criar expectativas válidas para outras partes da enti</w:t>
            </w:r>
            <w:r>
              <w:rPr>
                <w:color w:val="1A1A1A"/>
              </w:rPr>
              <w:t>dade que liquidará a obrigação.</w:t>
            </w:r>
          </w:p>
        </w:tc>
      </w:tr>
      <w:tr w:rsidR="001B6D98" w:rsidRPr="0018439D" w:rsidTr="00663E5E">
        <w:trPr>
          <w:jc w:val="center"/>
        </w:trPr>
        <w:tc>
          <w:tcPr>
            <w:tcW w:w="1630" w:type="dxa"/>
            <w:tcBorders>
              <w:right w:val="single" w:sz="4" w:space="0" w:color="auto"/>
            </w:tcBorders>
          </w:tcPr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  <w:rPr>
                <w:color w:val="1A1A1A"/>
              </w:rPr>
            </w:pPr>
            <w:r w:rsidRPr="00C90AD6">
              <w:t>Saída provável de recurso</w:t>
            </w:r>
          </w:p>
        </w:tc>
        <w:tc>
          <w:tcPr>
            <w:tcW w:w="7336" w:type="dxa"/>
            <w:tcBorders>
              <w:left w:val="single" w:sz="4" w:space="0" w:color="auto"/>
            </w:tcBorders>
          </w:tcPr>
          <w:p w:rsidR="001B6D98" w:rsidRPr="0018439D" w:rsidRDefault="001B6D98" w:rsidP="00663E5E">
            <w:pPr>
              <w:autoSpaceDE w:val="0"/>
              <w:autoSpaceDN w:val="0"/>
              <w:adjustRightInd w:val="0"/>
              <w:jc w:val="both"/>
              <w:rPr>
                <w:color w:val="1A1A1A"/>
              </w:rPr>
            </w:pPr>
            <w:r w:rsidRPr="0018439D">
              <w:rPr>
                <w:color w:val="1A1A1A"/>
              </w:rPr>
              <w:t>Além da obrigação presente, a probabilidade de desembolso de recursos que incorporam benefícios econômicos para liquidar essa obrigação é necessária para que um passivo se qualifique para reconhecimento. Um fluxo de saída de recursos ou outro evento só é considerado como provável se o evento tiver maior probabilidade de ocorrer (mais que sim do que não). Caso uma obrigação existente não seja provável, a entidade deve divulgar um passivo contingente.</w:t>
            </w:r>
          </w:p>
        </w:tc>
      </w:tr>
      <w:tr w:rsidR="001B6D98" w:rsidRPr="0018439D" w:rsidTr="00663E5E">
        <w:trPr>
          <w:jc w:val="center"/>
        </w:trPr>
        <w:tc>
          <w:tcPr>
            <w:tcW w:w="1630" w:type="dxa"/>
            <w:tcBorders>
              <w:right w:val="single" w:sz="4" w:space="0" w:color="auto"/>
            </w:tcBorders>
          </w:tcPr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  <w:rPr>
                <w:color w:val="1A1A1A"/>
              </w:rPr>
            </w:pPr>
            <w:r w:rsidRPr="00C90AD6">
              <w:t>Estimativa Confiável de Obrigação</w:t>
            </w:r>
          </w:p>
        </w:tc>
        <w:tc>
          <w:tcPr>
            <w:tcW w:w="7336" w:type="dxa"/>
            <w:tcBorders>
              <w:left w:val="single" w:sz="4" w:space="0" w:color="auto"/>
            </w:tcBorders>
          </w:tcPr>
          <w:p w:rsidR="001B6D98" w:rsidRPr="0018439D" w:rsidRDefault="001B6D98" w:rsidP="00663E5E">
            <w:pPr>
              <w:autoSpaceDE w:val="0"/>
              <w:autoSpaceDN w:val="0"/>
              <w:adjustRightInd w:val="0"/>
              <w:jc w:val="both"/>
              <w:rPr>
                <w:color w:val="1A1A1A"/>
              </w:rPr>
            </w:pPr>
            <w:r w:rsidRPr="0018439D">
              <w:rPr>
                <w:color w:val="1A1A1A"/>
              </w:rPr>
              <w:t>Quase sempre, a entidade é capaz de determinar um grande conjunto de desfechos possíveis e pode, portanto, fazer uma estimativa que seja suficientemente confiável para usar no reconhecimento de uma provisão. Quando não é possível fazer uma estimativa confiável, o passivo deve ser divulgado como um passivo contingente.</w:t>
            </w:r>
          </w:p>
        </w:tc>
      </w:tr>
    </w:tbl>
    <w:p w:rsidR="001B6D98" w:rsidRPr="008744BD" w:rsidRDefault="007B2CF3" w:rsidP="001B6D98">
      <w:pPr>
        <w:pStyle w:val="Fonte"/>
        <w:rPr>
          <w:b w:val="0"/>
          <w:szCs w:val="20"/>
          <w:lang w:eastAsia="pt-BR"/>
        </w:rPr>
      </w:pPr>
      <w:r>
        <w:rPr>
          <w:b w:val="0"/>
        </w:rPr>
        <w:t>Figura 2</w:t>
      </w:r>
      <w:r w:rsidR="001B6D98" w:rsidRPr="008744BD">
        <w:rPr>
          <w:b w:val="0"/>
        </w:rPr>
        <w:t xml:space="preserve"> Conceitos básicos para se reconhecer uma provisão</w:t>
      </w:r>
    </w:p>
    <w:p w:rsidR="001B6D98" w:rsidRPr="008744BD" w:rsidRDefault="001B6D98" w:rsidP="001B6D98">
      <w:pPr>
        <w:pStyle w:val="Fonte"/>
        <w:rPr>
          <w:b w:val="0"/>
          <w:szCs w:val="20"/>
          <w:lang w:eastAsia="pt-BR"/>
        </w:rPr>
      </w:pPr>
      <w:r w:rsidRPr="008744BD">
        <w:rPr>
          <w:b w:val="0"/>
          <w:szCs w:val="20"/>
          <w:lang w:eastAsia="pt-BR"/>
        </w:rPr>
        <w:t>Fonte: CPC 25 – Provisões, Passivos Contingentes e Ativos Contingentes.</w:t>
      </w:r>
    </w:p>
    <w:p w:rsidR="001B6D98" w:rsidRPr="008744BD" w:rsidRDefault="001B6D98" w:rsidP="007B2CF3">
      <w:pPr>
        <w:autoSpaceDE w:val="0"/>
        <w:autoSpaceDN w:val="0"/>
        <w:adjustRightInd w:val="0"/>
        <w:ind w:firstLine="708"/>
        <w:jc w:val="both"/>
      </w:pPr>
      <w:r>
        <w:rPr>
          <w:color w:val="1A1A1A"/>
          <w:sz w:val="24"/>
          <w:szCs w:val="24"/>
        </w:rPr>
        <w:t>O termo provisão é definido pelo</w:t>
      </w:r>
      <w:r>
        <w:rPr>
          <w:sz w:val="24"/>
          <w:szCs w:val="24"/>
        </w:rPr>
        <w:t xml:space="preserve"> </w:t>
      </w:r>
      <w:r>
        <w:rPr>
          <w:color w:val="1A1A1A"/>
          <w:sz w:val="24"/>
          <w:szCs w:val="24"/>
        </w:rPr>
        <w:t>CPC 25</w:t>
      </w:r>
      <w:r w:rsidRPr="0018439D">
        <w:rPr>
          <w:color w:val="1A1A1A"/>
          <w:sz w:val="24"/>
          <w:szCs w:val="24"/>
        </w:rPr>
        <w:t xml:space="preserve"> como “</w:t>
      </w:r>
      <w:r w:rsidRPr="0018439D">
        <w:rPr>
          <w:sz w:val="24"/>
          <w:szCs w:val="24"/>
        </w:rPr>
        <w:t>um passivo de prazo ou de</w:t>
      </w:r>
      <w:r>
        <w:rPr>
          <w:sz w:val="24"/>
          <w:szCs w:val="24"/>
        </w:rPr>
        <w:t xml:space="preserve"> valor incertos”. Ou seja, “</w:t>
      </w:r>
      <w:r w:rsidRPr="0018439D">
        <w:rPr>
          <w:sz w:val="24"/>
          <w:szCs w:val="24"/>
        </w:rPr>
        <w:t>Passivo é uma obrigação presente da entidade, derivada de eventos já ocorridos, cuja liquidação se espera que resulte em saída de recursos da entidade capazes de gerar benefícios econômicos”</w:t>
      </w:r>
      <w:r>
        <w:rPr>
          <w:sz w:val="24"/>
          <w:szCs w:val="24"/>
        </w:rPr>
        <w:t xml:space="preserve"> (CPC 25, 2009, p.3).</w:t>
      </w:r>
      <w:r w:rsidRPr="0018439D">
        <w:rPr>
          <w:sz w:val="24"/>
          <w:szCs w:val="24"/>
        </w:rPr>
        <w:t xml:space="preserve"> </w:t>
      </w:r>
    </w:p>
    <w:p w:rsidR="001B6D98" w:rsidRPr="001B6D98" w:rsidRDefault="001B6D98" w:rsidP="001B6D98">
      <w:pPr>
        <w:rPr>
          <w:b/>
          <w:i/>
          <w:sz w:val="24"/>
          <w:szCs w:val="24"/>
        </w:rPr>
      </w:pPr>
      <w:r w:rsidRPr="001B6D98">
        <w:rPr>
          <w:b/>
          <w:i/>
          <w:sz w:val="24"/>
          <w:szCs w:val="24"/>
        </w:rPr>
        <w:t>2.2.2 Contingência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>O termo passivo</w:t>
      </w:r>
      <w:r w:rsidRPr="0018439D">
        <w:rPr>
          <w:color w:val="1A1A1A"/>
          <w:sz w:val="24"/>
          <w:szCs w:val="24"/>
        </w:rPr>
        <w:t xml:space="preserve"> contingente caracteriza-se por uma saída de recursos possível, mas não provável. </w:t>
      </w:r>
      <w:r>
        <w:rPr>
          <w:color w:val="1A1A1A"/>
          <w:sz w:val="24"/>
          <w:szCs w:val="24"/>
        </w:rPr>
        <w:t>Nesse caso, a</w:t>
      </w:r>
      <w:r w:rsidRPr="0018439D">
        <w:rPr>
          <w:color w:val="1A1A1A"/>
          <w:sz w:val="24"/>
          <w:szCs w:val="24"/>
        </w:rPr>
        <w:t xml:space="preserve"> entidade não reconhece um passivo contingente, sendo necessária apenas a sua d</w:t>
      </w:r>
      <w:r>
        <w:rPr>
          <w:color w:val="1A1A1A"/>
          <w:sz w:val="24"/>
          <w:szCs w:val="24"/>
        </w:rPr>
        <w:t>ivulgação em notas explicativas (</w:t>
      </w:r>
      <w:proofErr w:type="spellStart"/>
      <w:r>
        <w:rPr>
          <w:color w:val="1A1A1A"/>
          <w:sz w:val="24"/>
          <w:szCs w:val="24"/>
        </w:rPr>
        <w:t>Fipecafi</w:t>
      </w:r>
      <w:proofErr w:type="spellEnd"/>
      <w:r>
        <w:rPr>
          <w:color w:val="1A1A1A"/>
          <w:sz w:val="24"/>
          <w:szCs w:val="24"/>
        </w:rPr>
        <w:t>, 2010).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Assim, contingência é </w:t>
      </w:r>
      <w:proofErr w:type="gramStart"/>
      <w:r>
        <w:rPr>
          <w:color w:val="1A1A1A"/>
          <w:sz w:val="24"/>
          <w:szCs w:val="24"/>
        </w:rPr>
        <w:t>definido</w:t>
      </w:r>
      <w:proofErr w:type="gramEnd"/>
      <w:r>
        <w:rPr>
          <w:color w:val="1A1A1A"/>
          <w:sz w:val="24"/>
          <w:szCs w:val="24"/>
        </w:rPr>
        <w:t xml:space="preserve"> como</w:t>
      </w:r>
      <w:r w:rsidRPr="0018439D">
        <w:rPr>
          <w:color w:val="1A1A1A"/>
          <w:sz w:val="24"/>
          <w:szCs w:val="24"/>
        </w:rPr>
        <w:t xml:space="preserve"> “u</w:t>
      </w:r>
      <w:r w:rsidRPr="0018439D">
        <w:rPr>
          <w:sz w:val="24"/>
          <w:szCs w:val="24"/>
        </w:rPr>
        <w:t>ma condição ou situação existente, ou um grupo de circunstâncias que envolvam incertezas referentes a possíveis ganhos ou perdas para uma entidade, que será resolvida quando um ou mais eventos futuros ocorrerem ou deixarem de ocorre</w:t>
      </w:r>
      <w:r>
        <w:rPr>
          <w:sz w:val="24"/>
          <w:szCs w:val="24"/>
        </w:rPr>
        <w:t>r</w:t>
      </w:r>
      <w:r w:rsidRPr="006A6C09">
        <w:rPr>
          <w:sz w:val="24"/>
          <w:szCs w:val="24"/>
        </w:rPr>
        <w:t>” (Matias, 2013, p.17).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</w:t>
      </w:r>
      <w:r w:rsidRPr="0056577E">
        <w:rPr>
          <w:sz w:val="24"/>
          <w:szCs w:val="24"/>
        </w:rPr>
        <w:t>nforme explicitado na Resolução CFC 1.121/2008, revogada pela Resolução CFC 1.374/201</w:t>
      </w:r>
      <w:r>
        <w:rPr>
          <w:sz w:val="24"/>
          <w:szCs w:val="24"/>
        </w:rPr>
        <w:t>1,</w:t>
      </w:r>
      <w:r w:rsidRPr="0056577E">
        <w:rPr>
          <w:sz w:val="24"/>
          <w:szCs w:val="24"/>
        </w:rPr>
        <w:t xml:space="preserve"> </w:t>
      </w:r>
    </w:p>
    <w:p w:rsidR="007B2CF3" w:rsidRDefault="007B2CF3" w:rsidP="001B6D98">
      <w:pPr>
        <w:autoSpaceDE w:val="0"/>
        <w:autoSpaceDN w:val="0"/>
        <w:adjustRightInd w:val="0"/>
        <w:ind w:left="2268"/>
        <w:jc w:val="both"/>
      </w:pPr>
    </w:p>
    <w:p w:rsidR="001B6D98" w:rsidRPr="0056577E" w:rsidRDefault="001B6D98" w:rsidP="001B6D98">
      <w:pPr>
        <w:autoSpaceDE w:val="0"/>
        <w:autoSpaceDN w:val="0"/>
        <w:adjustRightInd w:val="0"/>
        <w:ind w:left="2268"/>
        <w:jc w:val="both"/>
      </w:pPr>
      <w:r w:rsidRPr="0056577E">
        <w:t>[...] A maioria das informações contábeis está sujeita a algum risco de ser menos do que uma representação fiel daquilo que se propõe a retratar. Isso pode decorrer de dificuldades inerentes à identificação das transações ou outros eventos a serem avaliados ou à identificação e aplicação de técnicas de mensuração e apresentação que possam transmitir, adequadamente, informações que correspondam a tais transações e eventos. (Conselho Federal de Contabilidade, 2008</w:t>
      </w:r>
      <w:proofErr w:type="gramStart"/>
      <w:r w:rsidRPr="0056577E">
        <w:t>)</w:t>
      </w:r>
      <w:proofErr w:type="gramEnd"/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Dentre essas dificuldades, podem-se </w:t>
      </w:r>
      <w:proofErr w:type="gramStart"/>
      <w:r>
        <w:rPr>
          <w:sz w:val="24"/>
          <w:szCs w:val="24"/>
        </w:rPr>
        <w:t>citar</w:t>
      </w:r>
      <w:proofErr w:type="gramEnd"/>
      <w:r>
        <w:rPr>
          <w:sz w:val="24"/>
          <w:szCs w:val="24"/>
        </w:rPr>
        <w:t xml:space="preserve"> </w:t>
      </w:r>
    </w:p>
    <w:p w:rsidR="007B2CF3" w:rsidRDefault="007B2CF3" w:rsidP="001B6D98">
      <w:pPr>
        <w:autoSpaceDE w:val="0"/>
        <w:autoSpaceDN w:val="0"/>
        <w:adjustRightInd w:val="0"/>
        <w:ind w:left="2268"/>
        <w:jc w:val="both"/>
      </w:pPr>
    </w:p>
    <w:p w:rsidR="001B6D98" w:rsidRPr="00194B8D" w:rsidRDefault="001B6D98" w:rsidP="001B6D98">
      <w:pPr>
        <w:autoSpaceDE w:val="0"/>
        <w:autoSpaceDN w:val="0"/>
        <w:adjustRightInd w:val="0"/>
        <w:ind w:left="2268"/>
        <w:jc w:val="both"/>
        <w:rPr>
          <w:color w:val="1A1A1A"/>
        </w:rPr>
      </w:pPr>
      <w:r w:rsidRPr="00194B8D">
        <w:lastRenderedPageBreak/>
        <w:t xml:space="preserve">[...] (a) uma obrigação possível que resulta de eventos passados e cuja existência será confirmada apenas pela ocorrência ou não de um ou mais eventos futuros incertos não totalmente sob controle da entidade; ou (b) uma obrigação presente que resulta de eventos passados, mas que não é reconhecida </w:t>
      </w:r>
      <w:proofErr w:type="gramStart"/>
      <w:r w:rsidRPr="00194B8D">
        <w:t>porque</w:t>
      </w:r>
      <w:proofErr w:type="gramEnd"/>
      <w:r w:rsidRPr="00194B8D">
        <w:t>: (i) não é provável que uma saída de recursos que incorporam benefícios econômicos seja exigida para liquidar a obrigação; ou (</w:t>
      </w:r>
      <w:proofErr w:type="spellStart"/>
      <w:r w:rsidRPr="00194B8D">
        <w:t>ii</w:t>
      </w:r>
      <w:proofErr w:type="spellEnd"/>
      <w:r w:rsidRPr="00194B8D">
        <w:t>) o valor da obrigação não pode ser mensurado com suficiente confiabilidade. (CPC 25, 2009, p. 5)</w:t>
      </w:r>
      <w:r>
        <w:t>.</w:t>
      </w:r>
    </w:p>
    <w:p w:rsidR="007B2CF3" w:rsidRDefault="007B2CF3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sz w:val="24"/>
          <w:szCs w:val="24"/>
        </w:rPr>
        <w:t>Assim, a norma contábil</w:t>
      </w:r>
      <w:r w:rsidRPr="0018439D">
        <w:rPr>
          <w:sz w:val="24"/>
          <w:szCs w:val="24"/>
        </w:rPr>
        <w:t xml:space="preserve"> CPC 25 define os critérios para a mensuração, reconhecimento e divulgação do passivo contingente. </w:t>
      </w:r>
      <w:r>
        <w:rPr>
          <w:sz w:val="24"/>
          <w:szCs w:val="24"/>
        </w:rPr>
        <w:t>De acordo com Matias (2013), m</w:t>
      </w:r>
      <w:r w:rsidRPr="0018439D">
        <w:rPr>
          <w:sz w:val="24"/>
          <w:szCs w:val="24"/>
        </w:rPr>
        <w:t xml:space="preserve">ensurar um passivo contingente é tarefa difícil, pois seu valor será determinado a partir de eventos futuros. </w:t>
      </w:r>
      <w:r>
        <w:rPr>
          <w:sz w:val="24"/>
          <w:szCs w:val="24"/>
        </w:rPr>
        <w:t xml:space="preserve">Conforme explica o autor, para </w:t>
      </w:r>
      <w:r w:rsidRPr="0018439D">
        <w:rPr>
          <w:sz w:val="24"/>
          <w:szCs w:val="24"/>
        </w:rPr>
        <w:t xml:space="preserve">auxiliar a confiabilidade e </w:t>
      </w:r>
      <w:r>
        <w:rPr>
          <w:sz w:val="24"/>
          <w:szCs w:val="24"/>
        </w:rPr>
        <w:t xml:space="preserve">a </w:t>
      </w:r>
      <w:r w:rsidRPr="0018439D">
        <w:rPr>
          <w:sz w:val="24"/>
          <w:szCs w:val="24"/>
        </w:rPr>
        <w:t xml:space="preserve">mensuração dessas exigibilidades, a deliberação da CVM 594/09 relata que as estimativas do desfecho e do efeito financeiro são determinadas pelo julgamento da administração da entidade, </w:t>
      </w:r>
      <w:proofErr w:type="gramStart"/>
      <w:r w:rsidRPr="0018439D">
        <w:rPr>
          <w:sz w:val="24"/>
          <w:szCs w:val="24"/>
        </w:rPr>
        <w:t>complementados</w:t>
      </w:r>
      <w:proofErr w:type="gramEnd"/>
      <w:r w:rsidRPr="0018439D">
        <w:rPr>
          <w:sz w:val="24"/>
          <w:szCs w:val="24"/>
        </w:rPr>
        <w:t xml:space="preserve"> pela experiên</w:t>
      </w:r>
      <w:r>
        <w:rPr>
          <w:sz w:val="24"/>
          <w:szCs w:val="24"/>
        </w:rPr>
        <w:t>cia de transações semelhantes</w:t>
      </w:r>
      <w:r w:rsidRPr="0018439D">
        <w:rPr>
          <w:sz w:val="24"/>
          <w:szCs w:val="24"/>
        </w:rPr>
        <w:t>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>Já o ativo contingente, é definido por Almeida (2014) como</w:t>
      </w:r>
      <w:r w:rsidRPr="0018439D">
        <w:rPr>
          <w:color w:val="1A1A1A"/>
          <w:sz w:val="24"/>
          <w:szCs w:val="24"/>
        </w:rPr>
        <w:t xml:space="preserve"> </w:t>
      </w:r>
      <w:r>
        <w:rPr>
          <w:color w:val="1A1A1A"/>
          <w:sz w:val="24"/>
          <w:szCs w:val="24"/>
        </w:rPr>
        <w:t>“</w:t>
      </w:r>
      <w:r w:rsidRPr="0018439D">
        <w:rPr>
          <w:color w:val="1A1A1A"/>
          <w:sz w:val="24"/>
          <w:szCs w:val="24"/>
        </w:rPr>
        <w:t xml:space="preserve">possível ativo presente, decorrente de eventos passados, cuja existência </w:t>
      </w:r>
      <w:r>
        <w:rPr>
          <w:color w:val="1A1A1A"/>
          <w:sz w:val="24"/>
          <w:szCs w:val="24"/>
        </w:rPr>
        <w:t>pode ser</w:t>
      </w:r>
      <w:r w:rsidRPr="0018439D">
        <w:rPr>
          <w:color w:val="1A1A1A"/>
          <w:sz w:val="24"/>
          <w:szCs w:val="24"/>
        </w:rPr>
        <w:t xml:space="preserve"> confirmada somente pela ocorrência ou não de um ou mais eventos futuros, </w:t>
      </w:r>
      <w:r>
        <w:rPr>
          <w:color w:val="1A1A1A"/>
          <w:sz w:val="24"/>
          <w:szCs w:val="24"/>
        </w:rPr>
        <w:t>os quais</w:t>
      </w:r>
      <w:r w:rsidRPr="0018439D">
        <w:rPr>
          <w:color w:val="1A1A1A"/>
          <w:sz w:val="24"/>
          <w:szCs w:val="24"/>
        </w:rPr>
        <w:t xml:space="preserve"> não estejam totalmente sob o contr</w:t>
      </w:r>
      <w:r>
        <w:rPr>
          <w:color w:val="1A1A1A"/>
          <w:sz w:val="24"/>
          <w:szCs w:val="24"/>
        </w:rPr>
        <w:t xml:space="preserve">ole da entidade em questão”.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Com isso, tais ativos </w:t>
      </w:r>
      <w:r w:rsidRPr="0018439D">
        <w:rPr>
          <w:color w:val="1A1A1A"/>
          <w:sz w:val="24"/>
          <w:szCs w:val="24"/>
        </w:rPr>
        <w:t>surgem da possibilidade de entrada de benefícios econômicos para entidade de eventos</w:t>
      </w:r>
      <w:r>
        <w:rPr>
          <w:color w:val="1A1A1A"/>
          <w:sz w:val="24"/>
          <w:szCs w:val="24"/>
        </w:rPr>
        <w:t xml:space="preserve">, </w:t>
      </w:r>
      <w:r w:rsidRPr="0018439D">
        <w:rPr>
          <w:color w:val="1A1A1A"/>
          <w:sz w:val="24"/>
          <w:szCs w:val="24"/>
        </w:rPr>
        <w:t xml:space="preserve">esperados ou não. </w:t>
      </w:r>
      <w:r>
        <w:rPr>
          <w:color w:val="1A1A1A"/>
          <w:sz w:val="24"/>
          <w:szCs w:val="24"/>
        </w:rPr>
        <w:t>Ainda segundo o autor, e</w:t>
      </w:r>
      <w:r w:rsidRPr="0018439D">
        <w:rPr>
          <w:color w:val="1A1A1A"/>
          <w:sz w:val="24"/>
          <w:szCs w:val="24"/>
        </w:rPr>
        <w:t xml:space="preserve">sses ativos não são reconhecidos nas demonstrações contábeis até que a realização de ganho </w:t>
      </w:r>
      <w:r>
        <w:rPr>
          <w:color w:val="1A1A1A"/>
          <w:sz w:val="24"/>
          <w:szCs w:val="24"/>
        </w:rPr>
        <w:t>esteja</w:t>
      </w:r>
      <w:r w:rsidRPr="0018439D">
        <w:rPr>
          <w:color w:val="1A1A1A"/>
          <w:sz w:val="24"/>
          <w:szCs w:val="24"/>
        </w:rPr>
        <w:t xml:space="preserve"> praticamente certa</w:t>
      </w:r>
      <w:r>
        <w:rPr>
          <w:color w:val="1A1A1A"/>
          <w:sz w:val="24"/>
          <w:szCs w:val="24"/>
        </w:rPr>
        <w:t>. Isso permite caracterizar esse ganho como contingente (</w:t>
      </w:r>
      <w:proofErr w:type="spellStart"/>
      <w:r>
        <w:rPr>
          <w:color w:val="1A1A1A"/>
          <w:sz w:val="24"/>
          <w:szCs w:val="24"/>
        </w:rPr>
        <w:t>Fipecafi</w:t>
      </w:r>
      <w:proofErr w:type="spellEnd"/>
      <w:r w:rsidRPr="0018439D">
        <w:rPr>
          <w:color w:val="1A1A1A"/>
          <w:sz w:val="24"/>
          <w:szCs w:val="24"/>
        </w:rPr>
        <w:t xml:space="preserve">, 2010).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18439D">
        <w:rPr>
          <w:sz w:val="24"/>
          <w:szCs w:val="24"/>
        </w:rPr>
        <w:t>Em sentido geral, todas as provisões são contingentes</w:t>
      </w:r>
      <w:r>
        <w:rPr>
          <w:sz w:val="24"/>
          <w:szCs w:val="24"/>
        </w:rPr>
        <w:t>, uma vez que estas</w:t>
      </w:r>
      <w:r w:rsidRPr="0018439D">
        <w:rPr>
          <w:sz w:val="24"/>
          <w:szCs w:val="24"/>
        </w:rPr>
        <w:t xml:space="preserve"> são incertas quanto ao seu prazo ou valor. Porém, n</w:t>
      </w:r>
      <w:r>
        <w:rPr>
          <w:sz w:val="24"/>
          <w:szCs w:val="24"/>
        </w:rPr>
        <w:t>o CPC 25, o termo contingente “</w:t>
      </w:r>
      <w:r w:rsidRPr="0018439D">
        <w:rPr>
          <w:sz w:val="24"/>
          <w:szCs w:val="24"/>
        </w:rPr>
        <w:t>é usado para passivos e ativos que não sejam reconhecidos</w:t>
      </w:r>
      <w:r>
        <w:rPr>
          <w:sz w:val="24"/>
          <w:szCs w:val="24"/>
        </w:rPr>
        <w:t>”. Sua existência somente é “confirmada pela ocorrência ou não de um ou mais eventos futuros incertos não totalmente sob o controle da entidade” (CPC 25, 2009). O</w:t>
      </w:r>
      <w:r w:rsidRPr="0018439D">
        <w:rPr>
          <w:sz w:val="24"/>
          <w:szCs w:val="24"/>
        </w:rPr>
        <w:t xml:space="preserve"> termo passivo contingente</w:t>
      </w:r>
      <w:r>
        <w:rPr>
          <w:sz w:val="24"/>
          <w:szCs w:val="24"/>
        </w:rPr>
        <w:t>, portanto,</w:t>
      </w:r>
      <w:r w:rsidRPr="0018439D">
        <w:rPr>
          <w:sz w:val="24"/>
          <w:szCs w:val="24"/>
        </w:rPr>
        <w:t xml:space="preserve"> é usado para </w:t>
      </w:r>
      <w:r>
        <w:rPr>
          <w:sz w:val="24"/>
          <w:szCs w:val="24"/>
        </w:rPr>
        <w:t>“</w:t>
      </w:r>
      <w:r w:rsidRPr="0018439D">
        <w:rPr>
          <w:sz w:val="24"/>
          <w:szCs w:val="24"/>
        </w:rPr>
        <w:t xml:space="preserve">passivos que não satisfaçam </w:t>
      </w:r>
      <w:r>
        <w:rPr>
          <w:sz w:val="24"/>
          <w:szCs w:val="24"/>
        </w:rPr>
        <w:t xml:space="preserve">os critérios de reconhecimento” (CPC 25, 2009). </w:t>
      </w:r>
    </w:p>
    <w:p w:rsidR="001B6D98" w:rsidRDefault="007B2CF3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Assim, a figura 3</w:t>
      </w:r>
      <w:r w:rsidR="001B6D98">
        <w:rPr>
          <w:sz w:val="24"/>
          <w:szCs w:val="24"/>
        </w:rPr>
        <w:t xml:space="preserve"> define o que obrigatoriamente as companhias devem apresentar com relação às provisões e contingências conforme o CPC 25.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94"/>
      </w:tblGrid>
      <w:tr w:rsidR="001B6D98" w:rsidRPr="00273027" w:rsidTr="00663E5E">
        <w:tc>
          <w:tcPr>
            <w:tcW w:w="9211" w:type="dxa"/>
            <w:gridSpan w:val="2"/>
            <w:shd w:val="clear" w:color="auto" w:fill="auto"/>
          </w:tcPr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</w:pPr>
            <w:r w:rsidRPr="00C90AD6">
              <w:t>Provisões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 w:rsidRPr="00273027">
              <w:t>01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Os valores contábeis do início e do final do período.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02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 xml:space="preserve">As </w:t>
            </w:r>
            <w:r>
              <w:t>naturezas das provisões</w:t>
            </w:r>
            <w:r w:rsidRPr="00273027">
              <w:t xml:space="preserve"> na data do balanço.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03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Provisões adicionais feitas no período, incluindo aumentos nas provisões existentes.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04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Valores utilizados e não utilizados revertidos durante o período.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05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O aumento, durante o período, no valor descontado a valor presente, proveniente do decurso do tempo, e o efeito de qualquer mudança na taxa de desconto.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06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Uma breve descrição da natureza da obrigação e o cronograma esperado de quaisquer saídas de benefícios econômicos resultantes, para cada classe de provisões.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</w:pPr>
          </w:p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07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Uma indicação das incertezas sobre o valor ou o cronograma dessas saídas; sempre que necessário para fornecer informações adequadas, a entidade deve divulgar as principais premissas adotadas em relação a eventos futuros, para cada classe de provisões.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08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O valor de qualquer reembolso esperado, declarando o valor de qualquer ativo que tenha sido reconhecido por conta desse reembolso esperado.</w:t>
            </w:r>
          </w:p>
        </w:tc>
      </w:tr>
      <w:tr w:rsidR="001B6D98" w:rsidRPr="00273027" w:rsidTr="00663E5E">
        <w:tc>
          <w:tcPr>
            <w:tcW w:w="9211" w:type="dxa"/>
            <w:gridSpan w:val="2"/>
            <w:shd w:val="clear" w:color="auto" w:fill="auto"/>
          </w:tcPr>
          <w:p w:rsidR="001B6D98" w:rsidRPr="00C90AD6" w:rsidRDefault="001B6D98" w:rsidP="00663E5E">
            <w:pPr>
              <w:autoSpaceDE w:val="0"/>
              <w:autoSpaceDN w:val="0"/>
              <w:adjustRightInd w:val="0"/>
              <w:jc w:val="center"/>
            </w:pPr>
            <w:r w:rsidRPr="00C90AD6">
              <w:t>Contingências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09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As classes de passivos contingentes na data do balanço.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Uma breve descrição da natureza do passivo contingente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A estimativa do seu efeito financeiro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lastRenderedPageBreak/>
              <w:t>12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A indicação de incertezas relacionadas ao valor ou momentos de ocorrência de qualquer saída</w:t>
            </w:r>
          </w:p>
        </w:tc>
      </w:tr>
      <w:tr w:rsidR="001B6D98" w:rsidRPr="00273027" w:rsidTr="00663E5E">
        <w:tc>
          <w:tcPr>
            <w:tcW w:w="817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8394" w:type="dxa"/>
            <w:shd w:val="clear" w:color="auto" w:fill="auto"/>
          </w:tcPr>
          <w:p w:rsidR="001B6D98" w:rsidRPr="00273027" w:rsidRDefault="001B6D98" w:rsidP="00663E5E">
            <w:pPr>
              <w:autoSpaceDE w:val="0"/>
              <w:autoSpaceDN w:val="0"/>
              <w:adjustRightInd w:val="0"/>
              <w:jc w:val="both"/>
            </w:pPr>
            <w:r w:rsidRPr="00273027">
              <w:t>A possibilidade de qualquer reembolso</w:t>
            </w:r>
          </w:p>
        </w:tc>
      </w:tr>
    </w:tbl>
    <w:p w:rsidR="001B6D98" w:rsidRPr="008744BD" w:rsidRDefault="007B2CF3" w:rsidP="001B6D98">
      <w:pPr>
        <w:autoSpaceDE w:val="0"/>
        <w:autoSpaceDN w:val="0"/>
        <w:adjustRightInd w:val="0"/>
        <w:jc w:val="center"/>
      </w:pPr>
      <w:r>
        <w:t>Figura 3</w:t>
      </w:r>
      <w:r w:rsidR="001B6D98" w:rsidRPr="008744BD">
        <w:t xml:space="preserve"> Elementos a serem apresentados conforme o CPC 25</w:t>
      </w:r>
    </w:p>
    <w:p w:rsidR="001B6D98" w:rsidRPr="008744BD" w:rsidRDefault="001B6D98" w:rsidP="001B6D98">
      <w:pPr>
        <w:autoSpaceDE w:val="0"/>
        <w:autoSpaceDN w:val="0"/>
        <w:adjustRightInd w:val="0"/>
        <w:jc w:val="center"/>
      </w:pPr>
      <w:r w:rsidRPr="008744BD">
        <w:t xml:space="preserve">Fonte: </w:t>
      </w:r>
      <w:proofErr w:type="spellStart"/>
      <w:r w:rsidRPr="008744BD">
        <w:t>Fonteles</w:t>
      </w:r>
      <w:proofErr w:type="spellEnd"/>
      <w:r w:rsidRPr="008744BD">
        <w:t>, Nascimento, Ponte &amp; Rebouças (2013).</w:t>
      </w:r>
    </w:p>
    <w:p w:rsidR="001B6D98" w:rsidRPr="001B6D98" w:rsidRDefault="001B6D98" w:rsidP="001B6D98">
      <w:pPr>
        <w:autoSpaceDE w:val="0"/>
        <w:autoSpaceDN w:val="0"/>
        <w:adjustRightInd w:val="0"/>
        <w:rPr>
          <w:b/>
          <w:sz w:val="24"/>
          <w:szCs w:val="24"/>
        </w:rPr>
      </w:pPr>
      <w:r w:rsidRPr="001B6D98">
        <w:rPr>
          <w:b/>
          <w:sz w:val="24"/>
          <w:szCs w:val="24"/>
        </w:rPr>
        <w:t>2.3 Estudos empíricos sobre o tema</w:t>
      </w:r>
    </w:p>
    <w:p w:rsidR="001B6D98" w:rsidRDefault="001B6D98" w:rsidP="001B6D98">
      <w:pPr>
        <w:pStyle w:val="Pargrafo"/>
        <w:spacing w:line="240" w:lineRule="auto"/>
        <w:ind w:firstLine="567"/>
        <w:rPr>
          <w:lang w:eastAsia="pt-BR"/>
        </w:rPr>
      </w:pPr>
      <w:r w:rsidRPr="00D231D7">
        <w:rPr>
          <w:lang w:eastAsia="pt-BR"/>
        </w:rPr>
        <w:t xml:space="preserve">As questões </w:t>
      </w:r>
      <w:r>
        <w:rPr>
          <w:lang w:eastAsia="pt-BR"/>
        </w:rPr>
        <w:t xml:space="preserve">usualmente abordadas nos estudos relacionados ao CPC 25, a saber, Provisões, Ativos e Passivos Contingentes demonstram, em geral, o modo como </w:t>
      </w:r>
      <w:proofErr w:type="gramStart"/>
      <w:r>
        <w:rPr>
          <w:lang w:eastAsia="pt-BR"/>
        </w:rPr>
        <w:t>as</w:t>
      </w:r>
      <w:proofErr w:type="gramEnd"/>
      <w:r>
        <w:rPr>
          <w:lang w:eastAsia="pt-BR"/>
        </w:rPr>
        <w:t xml:space="preserve"> companhias têm adotado e aplicado essa norma contábil em suas demonstrações financeiras, as quais são evidenciadas nas notas explicativas. Nota-se que os estudos referentes a esse assunto têm crescido, mas ainda se observa que existem poucas literaturas a respeito. Nesta seção, serão discutidos os estudos mais relevantes sobre a temática apresentada, de modo a contextualizá-la de modo mais eficiente. Rodrigues, 2011; Araújo, 2013; Matias, 2013; </w:t>
      </w:r>
      <w:proofErr w:type="spellStart"/>
      <w:r>
        <w:rPr>
          <w:lang w:eastAsia="pt-BR"/>
        </w:rPr>
        <w:t>Fonteles</w:t>
      </w:r>
      <w:proofErr w:type="spellEnd"/>
      <w:r>
        <w:rPr>
          <w:lang w:eastAsia="pt-BR"/>
        </w:rPr>
        <w:t xml:space="preserve"> </w:t>
      </w:r>
      <w:proofErr w:type="gramStart"/>
      <w:r w:rsidRPr="0008552C">
        <w:rPr>
          <w:i/>
          <w:lang w:eastAsia="pt-BR"/>
        </w:rPr>
        <w:t>et</w:t>
      </w:r>
      <w:proofErr w:type="gramEnd"/>
      <w:r w:rsidRPr="0008552C">
        <w:rPr>
          <w:i/>
          <w:lang w:eastAsia="pt-BR"/>
        </w:rPr>
        <w:t xml:space="preserve"> al.</w:t>
      </w:r>
      <w:r>
        <w:rPr>
          <w:lang w:eastAsia="pt-BR"/>
        </w:rPr>
        <w:t xml:space="preserve">, 2013; </w:t>
      </w:r>
      <w:r w:rsidRPr="00481924">
        <w:t xml:space="preserve">Castro </w:t>
      </w:r>
      <w:r w:rsidRPr="0008552C">
        <w:rPr>
          <w:i/>
        </w:rPr>
        <w:t>et al.</w:t>
      </w:r>
      <w:r>
        <w:t xml:space="preserve">, 2015; Lopes, 2015 e Farias, </w:t>
      </w:r>
      <w:proofErr w:type="spellStart"/>
      <w:r>
        <w:t>Huppes</w:t>
      </w:r>
      <w:proofErr w:type="spellEnd"/>
      <w:r>
        <w:t xml:space="preserve">, Lopes &amp; </w:t>
      </w:r>
      <w:proofErr w:type="spellStart"/>
      <w:r>
        <w:t>Noriller</w:t>
      </w:r>
      <w:proofErr w:type="spellEnd"/>
      <w:r>
        <w:t>, 2016).</w:t>
      </w:r>
    </w:p>
    <w:p w:rsidR="001B6D98" w:rsidRDefault="001B6D98" w:rsidP="001B6D98">
      <w:pPr>
        <w:pStyle w:val="Pargrafo"/>
        <w:spacing w:line="240" w:lineRule="auto"/>
        <w:ind w:firstLine="567"/>
      </w:pPr>
      <w:r>
        <w:rPr>
          <w:lang w:eastAsia="pt-BR"/>
        </w:rPr>
        <w:t>O estudo de</w:t>
      </w:r>
      <w:r w:rsidRPr="00FA6B42">
        <w:t xml:space="preserve"> Rodrigues (2011) analisou a h</w:t>
      </w:r>
      <w:r>
        <w:t>istória</w:t>
      </w:r>
      <w:r w:rsidRPr="00FA6B42">
        <w:t xml:space="preserve"> da ótica contabilística e fiscal acerca das provisões e contingências ao longo do tempo. </w:t>
      </w:r>
      <w:r>
        <w:t>Segundo o autor, a</w:t>
      </w:r>
      <w:r w:rsidRPr="00FA6B42">
        <w:t xml:space="preserve">cerca do passado, </w:t>
      </w:r>
      <w:r>
        <w:t xml:space="preserve">foram descritos fatos e acontecimentos </w:t>
      </w:r>
      <w:r w:rsidRPr="00FA6B42">
        <w:t>regist</w:t>
      </w:r>
      <w:r>
        <w:t xml:space="preserve">rados na história que </w:t>
      </w:r>
      <w:proofErr w:type="gramStart"/>
      <w:r w:rsidRPr="00FA6B42">
        <w:t>envolvem</w:t>
      </w:r>
      <w:proofErr w:type="gramEnd"/>
      <w:r w:rsidRPr="00FA6B42">
        <w:t xml:space="preserve"> esta matéria, s</w:t>
      </w:r>
      <w:r>
        <w:t>endo</w:t>
      </w:r>
      <w:r w:rsidRPr="00FA6B42">
        <w:t xml:space="preserve"> analisados os diversos conceitos utiliz</w:t>
      </w:r>
      <w:r>
        <w:t xml:space="preserve">ados, ao longo do tempo, assim </w:t>
      </w:r>
      <w:r w:rsidRPr="00FA6B42">
        <w:t>como foi  realizada  a  distinção  entre  eles,  verificando-se  que,  ao  longo  da  história</w:t>
      </w:r>
      <w:r>
        <w:t>,</w:t>
      </w:r>
      <w:r w:rsidRPr="00FA6B42">
        <w:t xml:space="preserve"> as provisões   e   contingências   foram   ganhando   relevância   e   foram adquirindo   um   lugar importante  na  contabilidade  e  fiscalidade. </w:t>
      </w:r>
    </w:p>
    <w:p w:rsidR="001B6D98" w:rsidRPr="00424DD2" w:rsidRDefault="001B6D98" w:rsidP="001B6D98">
      <w:pPr>
        <w:pStyle w:val="Pargrafo"/>
        <w:spacing w:line="240" w:lineRule="auto"/>
        <w:ind w:firstLine="567"/>
        <w:rPr>
          <w:b/>
          <w:szCs w:val="23"/>
        </w:rPr>
      </w:pPr>
      <w:r w:rsidRPr="00FA6B42">
        <w:t>Posteriormente</w:t>
      </w:r>
      <w:r>
        <w:t>, Rodrigues (2011) realizou</w:t>
      </w:r>
      <w:r w:rsidRPr="00FA6B42">
        <w:t xml:space="preserve"> uma referência exaustiva ao normativo contabilístico passado sobre provisões e contingências, sendo na sua maioria normativos</w:t>
      </w:r>
      <w:r>
        <w:t xml:space="preserve"> </w:t>
      </w:r>
      <w:r w:rsidRPr="00FA6B42">
        <w:t xml:space="preserve">revogados, mas que contribuem para um melhor entendimento dos procedimentos, nesta matéria. </w:t>
      </w:r>
      <w:r>
        <w:t>Além disso, foram</w:t>
      </w:r>
      <w:r w:rsidRPr="00FA6B42">
        <w:t xml:space="preserve"> referenciados aspetos fiscais relativos às provisões até </w:t>
      </w:r>
      <w:r>
        <w:t>a</w:t>
      </w:r>
      <w:r w:rsidRPr="00FA6B42">
        <w:t xml:space="preserve"> entrada em vigor do Sistema de Normalização Contabilística.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Outro estudo relevante foi o de Araújo</w:t>
      </w:r>
      <w:r w:rsidRPr="00FA6B42">
        <w:rPr>
          <w:sz w:val="24"/>
          <w:szCs w:val="24"/>
        </w:rPr>
        <w:t xml:space="preserve"> (2013)</w:t>
      </w:r>
      <w:r>
        <w:rPr>
          <w:sz w:val="24"/>
          <w:szCs w:val="24"/>
        </w:rPr>
        <w:t xml:space="preserve">, que diferentemente de Rodrigues (2011), </w:t>
      </w:r>
      <w:r w:rsidRPr="00FA6B42">
        <w:rPr>
          <w:sz w:val="24"/>
          <w:szCs w:val="24"/>
        </w:rPr>
        <w:t>buscou demo</w:t>
      </w:r>
      <w:r>
        <w:rPr>
          <w:sz w:val="24"/>
          <w:szCs w:val="24"/>
        </w:rPr>
        <w:t>n</w:t>
      </w:r>
      <w:r w:rsidRPr="00FA6B42">
        <w:rPr>
          <w:sz w:val="24"/>
          <w:szCs w:val="24"/>
        </w:rPr>
        <w:t xml:space="preserve">strar as alterações e </w:t>
      </w:r>
      <w:r>
        <w:rPr>
          <w:sz w:val="24"/>
          <w:szCs w:val="24"/>
        </w:rPr>
        <w:t xml:space="preserve">as </w:t>
      </w:r>
      <w:r w:rsidRPr="00FA6B42">
        <w:rPr>
          <w:sz w:val="24"/>
          <w:szCs w:val="24"/>
        </w:rPr>
        <w:t xml:space="preserve">melhorias </w:t>
      </w:r>
      <w:r>
        <w:rPr>
          <w:sz w:val="24"/>
          <w:szCs w:val="24"/>
        </w:rPr>
        <w:t xml:space="preserve">possibilitadas pelo uso da </w:t>
      </w:r>
      <w:r w:rsidRPr="00FA6B42">
        <w:rPr>
          <w:sz w:val="24"/>
          <w:szCs w:val="24"/>
        </w:rPr>
        <w:t>norma</w:t>
      </w:r>
      <w:r>
        <w:rPr>
          <w:sz w:val="24"/>
          <w:szCs w:val="24"/>
        </w:rPr>
        <w:t xml:space="preserve"> CPC 25</w:t>
      </w:r>
      <w:r w:rsidRPr="00FA6B42">
        <w:rPr>
          <w:sz w:val="24"/>
          <w:szCs w:val="24"/>
        </w:rPr>
        <w:t xml:space="preserve"> no reconhecimento e </w:t>
      </w:r>
      <w:r>
        <w:rPr>
          <w:sz w:val="24"/>
          <w:szCs w:val="24"/>
        </w:rPr>
        <w:t xml:space="preserve">na </w:t>
      </w:r>
      <w:r w:rsidRPr="00FA6B42">
        <w:rPr>
          <w:sz w:val="24"/>
          <w:szCs w:val="24"/>
        </w:rPr>
        <w:t xml:space="preserve">divulgação das provisões, passivos contingentes e ativos contingentes, tendo como referências comparativas o anterior normativo contabilístico, o Plano Oficial de Contabilidade (POC).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estudo de Araújo (2013) mostrou que </w:t>
      </w:r>
      <w:r w:rsidRPr="00FA6B42">
        <w:rPr>
          <w:sz w:val="24"/>
          <w:szCs w:val="24"/>
        </w:rPr>
        <w:t xml:space="preserve">o cumprimento da Norma Contabilística e de Relato Financeiro (NCRF) 21 trouxe aperfeiçoamento no reconhecimento e </w:t>
      </w:r>
      <w:r>
        <w:rPr>
          <w:sz w:val="24"/>
          <w:szCs w:val="24"/>
        </w:rPr>
        <w:t xml:space="preserve">na </w:t>
      </w:r>
      <w:r w:rsidRPr="00FA6B42">
        <w:rPr>
          <w:sz w:val="24"/>
          <w:szCs w:val="24"/>
        </w:rPr>
        <w:t>divulgação das provisões, principalmente na divulgação das contingências, praticamente omitidas com o POC.</w:t>
      </w:r>
      <w:r>
        <w:rPr>
          <w:sz w:val="24"/>
          <w:szCs w:val="24"/>
        </w:rPr>
        <w:t xml:space="preserve"> O autor destaca que </w:t>
      </w:r>
      <w:r w:rsidRPr="00FA6B42">
        <w:rPr>
          <w:sz w:val="24"/>
          <w:szCs w:val="24"/>
        </w:rPr>
        <w:t>a subjetividade implícita nas provisões</w:t>
      </w:r>
      <w:r>
        <w:rPr>
          <w:sz w:val="24"/>
          <w:szCs w:val="24"/>
        </w:rPr>
        <w:t xml:space="preserve"> ainda torna difícil a aplicação da norma, devido à possibilidade de diferentes interpretações. Além disso, realça </w:t>
      </w:r>
      <w:r w:rsidRPr="00FA6B42">
        <w:rPr>
          <w:sz w:val="24"/>
          <w:szCs w:val="24"/>
        </w:rPr>
        <w:t xml:space="preserve">a importância da NCRF </w:t>
      </w:r>
      <w:proofErr w:type="gramStart"/>
      <w:r w:rsidRPr="00FA6B42">
        <w:rPr>
          <w:sz w:val="24"/>
          <w:szCs w:val="24"/>
        </w:rPr>
        <w:t>3</w:t>
      </w:r>
      <w:proofErr w:type="gramEnd"/>
      <w:r w:rsidRPr="00FA6B4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A6B42">
        <w:rPr>
          <w:sz w:val="24"/>
          <w:szCs w:val="24"/>
        </w:rPr>
        <w:t>Adoção pela primeira vez das Normas Contabilísticas e de Relato Financeiro</w:t>
      </w:r>
      <w:r>
        <w:rPr>
          <w:sz w:val="24"/>
          <w:szCs w:val="24"/>
        </w:rPr>
        <w:t>)</w:t>
      </w:r>
      <w:r w:rsidRPr="00FA6B42">
        <w:rPr>
          <w:sz w:val="24"/>
          <w:szCs w:val="24"/>
        </w:rPr>
        <w:t>, que implicou</w:t>
      </w:r>
      <w:r>
        <w:rPr>
          <w:sz w:val="24"/>
          <w:szCs w:val="24"/>
        </w:rPr>
        <w:t xml:space="preserve"> em um regresso na expressão das contas de saldos com abertura em 2010, conforme referencial contabilístico, o que obrigou as empresas a reverem as provisões constituídas até esta data.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Já o estudo de Matias (2013), analisou a</w:t>
      </w:r>
      <w:r w:rsidRPr="00FA6B42">
        <w:rPr>
          <w:sz w:val="24"/>
          <w:szCs w:val="24"/>
        </w:rPr>
        <w:t xml:space="preserve"> aderência à norma de divulgação e evidenciação do passivo contingente (CPC 25) pelas empresas petroqu</w:t>
      </w:r>
      <w:r>
        <w:rPr>
          <w:sz w:val="24"/>
          <w:szCs w:val="24"/>
        </w:rPr>
        <w:t xml:space="preserve">ímicas listadas na B3. Realizou, portanto, </w:t>
      </w:r>
      <w:r w:rsidRPr="00FA6B42">
        <w:rPr>
          <w:sz w:val="24"/>
          <w:szCs w:val="24"/>
        </w:rPr>
        <w:t xml:space="preserve">uma pesquisa de cunho descritivo e cuja abordagem do problema </w:t>
      </w:r>
      <w:r>
        <w:rPr>
          <w:sz w:val="24"/>
          <w:szCs w:val="24"/>
        </w:rPr>
        <w:t>foi</w:t>
      </w:r>
      <w:r w:rsidRPr="00FA6B42">
        <w:rPr>
          <w:sz w:val="24"/>
          <w:szCs w:val="24"/>
        </w:rPr>
        <w:t xml:space="preserve"> qualitativa. Os procedimentos utilizados para a coleta de dados</w:t>
      </w:r>
      <w:r>
        <w:rPr>
          <w:sz w:val="24"/>
          <w:szCs w:val="24"/>
        </w:rPr>
        <w:t xml:space="preserve"> guiaram-se pela pesquisa documental, pela amostragem probabilística e pela acessibilidade. </w:t>
      </w:r>
      <w:r w:rsidRPr="00FA6B42">
        <w:rPr>
          <w:sz w:val="24"/>
          <w:szCs w:val="24"/>
        </w:rPr>
        <w:t xml:space="preserve">Foram analisados os </w:t>
      </w:r>
      <w:r w:rsidRPr="00FA6B42">
        <w:rPr>
          <w:sz w:val="24"/>
          <w:szCs w:val="24"/>
        </w:rPr>
        <w:lastRenderedPageBreak/>
        <w:t xml:space="preserve">conjuntos das demonstrações contábeis anuais publicadas das empresas do setor </w:t>
      </w:r>
      <w:proofErr w:type="gramStart"/>
      <w:r w:rsidRPr="00FA6B42">
        <w:rPr>
          <w:sz w:val="24"/>
          <w:szCs w:val="24"/>
        </w:rPr>
        <w:t>petroquímico listadas</w:t>
      </w:r>
      <w:proofErr w:type="gramEnd"/>
      <w:r w:rsidRPr="00FA6B42">
        <w:rPr>
          <w:sz w:val="24"/>
          <w:szCs w:val="24"/>
        </w:rPr>
        <w:t xml:space="preserve"> na </w:t>
      </w:r>
      <w:r>
        <w:rPr>
          <w:sz w:val="24"/>
          <w:szCs w:val="24"/>
        </w:rPr>
        <w:t>B3 do período de 2010 a 2012.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FA6B42">
        <w:rPr>
          <w:sz w:val="24"/>
          <w:szCs w:val="24"/>
        </w:rPr>
        <w:t>Os resultados d</w:t>
      </w:r>
      <w:r>
        <w:rPr>
          <w:sz w:val="24"/>
          <w:szCs w:val="24"/>
        </w:rPr>
        <w:t>o estudo de Matias (2013)</w:t>
      </w:r>
      <w:r w:rsidRPr="00FA6B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diferentemente do estudo de Araújo (2013) que focou no NCRF, </w:t>
      </w:r>
      <w:r w:rsidRPr="00FA6B42">
        <w:rPr>
          <w:sz w:val="24"/>
          <w:szCs w:val="24"/>
        </w:rPr>
        <w:t>aponta</w:t>
      </w:r>
      <w:r>
        <w:rPr>
          <w:sz w:val="24"/>
          <w:szCs w:val="24"/>
        </w:rPr>
        <w:t>ra</w:t>
      </w:r>
      <w:r w:rsidRPr="00FA6B42">
        <w:rPr>
          <w:sz w:val="24"/>
          <w:szCs w:val="24"/>
        </w:rPr>
        <w:t>m que os únicos critérios aderidos por todas as empresas foram os da divulgação em nota explicativa e da estimativa do efeito financeiro das contingencias, sendo que 80% das empresas analisadas aderiram a menos da metade dos itens exigidos pelo CPC 25 quanto à evid</w:t>
      </w:r>
      <w:r>
        <w:rPr>
          <w:sz w:val="24"/>
          <w:szCs w:val="24"/>
        </w:rPr>
        <w:t>enciação do passivo contingente mesmo depois de alguns anos da exigência da norma contábil no país.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Fonteles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>
        <w:rPr>
          <w:sz w:val="24"/>
          <w:szCs w:val="24"/>
        </w:rPr>
        <w:t xml:space="preserve"> (2013), evidenciou os determinantes das provisões e contingências de uma amostra de 308 companhias listas na </w:t>
      </w:r>
      <w:r>
        <w:rPr>
          <w:color w:val="000000"/>
          <w:sz w:val="24"/>
          <w:szCs w:val="24"/>
        </w:rPr>
        <w:t xml:space="preserve">B3. Como procedimentos metodológicos, foi </w:t>
      </w:r>
      <w:proofErr w:type="gramStart"/>
      <w:r>
        <w:rPr>
          <w:color w:val="000000"/>
          <w:sz w:val="24"/>
          <w:szCs w:val="24"/>
        </w:rPr>
        <w:t>elaborado</w:t>
      </w:r>
      <w:proofErr w:type="gramEnd"/>
      <w:r>
        <w:rPr>
          <w:color w:val="000000"/>
          <w:sz w:val="24"/>
          <w:szCs w:val="24"/>
        </w:rPr>
        <w:t xml:space="preserve"> uma métrica definida de acordo com o CPC 25 que trata a obrigatoriedade das evidenciações de provisões e contingências e analisadas por meio de regressão linear múltipla. Através dos resultados foi possível constatar que assim como o estudo de Matias (2013), as organizações ainda apresentam práticas antigas de reconhecimento, mensuração e evidenciação e consequentemente falta de aderência ao CPC 25. Foi possível constatar ainda </w:t>
      </w:r>
      <w:proofErr w:type="gramStart"/>
      <w:r>
        <w:rPr>
          <w:color w:val="000000"/>
          <w:sz w:val="24"/>
          <w:szCs w:val="24"/>
        </w:rPr>
        <w:t>as variáveis setor</w:t>
      </w:r>
      <w:proofErr w:type="gramEnd"/>
      <w:r>
        <w:rPr>
          <w:color w:val="000000"/>
          <w:sz w:val="24"/>
          <w:szCs w:val="24"/>
        </w:rPr>
        <w:t xml:space="preserve"> de atividade, tamanho e rentabilidade influenciam positivamente a evidenciação de provisões e contingências. Já a liquide, setor de atividade e segmento de listagem </w:t>
      </w:r>
      <w:proofErr w:type="gramStart"/>
      <w:r>
        <w:rPr>
          <w:color w:val="000000"/>
          <w:sz w:val="24"/>
          <w:szCs w:val="24"/>
        </w:rPr>
        <w:t>influenciam</w:t>
      </w:r>
      <w:proofErr w:type="gramEnd"/>
      <w:r>
        <w:rPr>
          <w:color w:val="000000"/>
          <w:sz w:val="24"/>
          <w:szCs w:val="24"/>
        </w:rPr>
        <w:t xml:space="preserve"> negativamente a evidenciação de provisões e contingências.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481924">
        <w:rPr>
          <w:sz w:val="24"/>
          <w:szCs w:val="24"/>
        </w:rPr>
        <w:t xml:space="preserve">Mais tarde, com os estudos empreendidos por Castro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 w:rsidRPr="00481924">
        <w:rPr>
          <w:sz w:val="24"/>
          <w:szCs w:val="24"/>
        </w:rPr>
        <w:t xml:space="preserve"> (2015) buscaram analisar </w:t>
      </w:r>
      <w:r w:rsidRPr="00481924">
        <w:rPr>
          <w:color w:val="000000"/>
          <w:sz w:val="24"/>
          <w:szCs w:val="24"/>
        </w:rPr>
        <w:t>a ocorrência de divergência na divulgação de contingências ativas e passivas pelas empresas brasileiras que negociam suas ações tanto</w:t>
      </w:r>
      <w:r>
        <w:rPr>
          <w:color w:val="000000"/>
          <w:sz w:val="24"/>
          <w:szCs w:val="24"/>
        </w:rPr>
        <w:t xml:space="preserve"> na B3 quanto na NYSE, estudo este parecido com o de Matias (2013) e </w:t>
      </w:r>
      <w:proofErr w:type="spellStart"/>
      <w:r>
        <w:rPr>
          <w:color w:val="000000"/>
          <w:sz w:val="24"/>
          <w:szCs w:val="24"/>
        </w:rPr>
        <w:t>Fonteles</w:t>
      </w:r>
      <w:proofErr w:type="spellEnd"/>
      <w:r>
        <w:rPr>
          <w:color w:val="000000"/>
          <w:sz w:val="24"/>
          <w:szCs w:val="24"/>
        </w:rPr>
        <w:t xml:space="preserve"> </w:t>
      </w:r>
      <w:r w:rsidRPr="0008552C"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 xml:space="preserve"> (2013) que não obtiveram tanta aderência da norma contábil no ano que aplicaram. No estudo de </w:t>
      </w:r>
      <w:r w:rsidRPr="00481924">
        <w:rPr>
          <w:sz w:val="24"/>
          <w:szCs w:val="24"/>
        </w:rPr>
        <w:t xml:space="preserve">Castro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 w:rsidRPr="00481924">
        <w:rPr>
          <w:sz w:val="24"/>
          <w:szCs w:val="24"/>
        </w:rPr>
        <w:t xml:space="preserve"> (2015) </w:t>
      </w:r>
      <w:r>
        <w:rPr>
          <w:sz w:val="24"/>
          <w:szCs w:val="24"/>
        </w:rPr>
        <w:t>q</w:t>
      </w:r>
      <w:r w:rsidRPr="00481924">
        <w:rPr>
          <w:color w:val="000000"/>
          <w:sz w:val="24"/>
          <w:szCs w:val="24"/>
        </w:rPr>
        <w:t xml:space="preserve">uando identificadas essas diferenças, foi verificado que as demonstrações financeiras publicadas no Brasil obedeciam ao </w:t>
      </w:r>
      <w:proofErr w:type="spellStart"/>
      <w:r w:rsidRPr="00481924">
        <w:rPr>
          <w:i/>
          <w:iCs/>
          <w:color w:val="000000"/>
          <w:sz w:val="24"/>
          <w:szCs w:val="24"/>
        </w:rPr>
        <w:t>disclosure</w:t>
      </w:r>
      <w:proofErr w:type="spellEnd"/>
      <w:r w:rsidRPr="00481924">
        <w:rPr>
          <w:i/>
          <w:iCs/>
          <w:color w:val="000000"/>
          <w:sz w:val="24"/>
          <w:szCs w:val="24"/>
        </w:rPr>
        <w:t xml:space="preserve"> </w:t>
      </w:r>
      <w:r w:rsidRPr="00481924">
        <w:rPr>
          <w:color w:val="000000"/>
          <w:sz w:val="24"/>
          <w:szCs w:val="24"/>
        </w:rPr>
        <w:t xml:space="preserve">obrigatório exigido pelo CPC 25. </w:t>
      </w:r>
    </w:p>
    <w:p w:rsidR="001B6D98" w:rsidRPr="00481924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481924">
        <w:rPr>
          <w:color w:val="000000"/>
          <w:sz w:val="24"/>
          <w:szCs w:val="24"/>
        </w:rPr>
        <w:t>De acordo com os dados desse estudo, a</w:t>
      </w:r>
      <w:r>
        <w:rPr>
          <w:color w:val="000000"/>
          <w:sz w:val="24"/>
          <w:szCs w:val="24"/>
        </w:rPr>
        <w:t>s companhias</w:t>
      </w:r>
      <w:r w:rsidRPr="00481924">
        <w:rPr>
          <w:color w:val="000000"/>
          <w:sz w:val="24"/>
          <w:szCs w:val="24"/>
        </w:rPr>
        <w:t xml:space="preserve"> que </w:t>
      </w:r>
      <w:r>
        <w:rPr>
          <w:color w:val="000000"/>
          <w:sz w:val="24"/>
          <w:szCs w:val="24"/>
        </w:rPr>
        <w:t>apresentam</w:t>
      </w:r>
      <w:r w:rsidRPr="00481924">
        <w:rPr>
          <w:color w:val="000000"/>
          <w:sz w:val="24"/>
          <w:szCs w:val="24"/>
        </w:rPr>
        <w:t xml:space="preserve"> informações relativas </w:t>
      </w:r>
      <w:r>
        <w:rPr>
          <w:color w:val="000000"/>
          <w:sz w:val="24"/>
          <w:szCs w:val="24"/>
        </w:rPr>
        <w:t xml:space="preserve">de suas contingencias ativas e passivas </w:t>
      </w:r>
      <w:r w:rsidRPr="00481924">
        <w:rPr>
          <w:color w:val="000000"/>
          <w:sz w:val="24"/>
          <w:szCs w:val="24"/>
        </w:rPr>
        <w:t>foram id</w:t>
      </w:r>
      <w:r>
        <w:rPr>
          <w:color w:val="000000"/>
          <w:sz w:val="24"/>
          <w:szCs w:val="24"/>
        </w:rPr>
        <w:t>entificadas compondo um universo</w:t>
      </w:r>
      <w:r w:rsidRPr="0048192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 25 companhias</w:t>
      </w:r>
      <w:r w:rsidRPr="00481924">
        <w:rPr>
          <w:color w:val="000000"/>
          <w:sz w:val="24"/>
          <w:szCs w:val="24"/>
        </w:rPr>
        <w:t xml:space="preserve">. Os resultados demonstraram que 10 </w:t>
      </w:r>
      <w:r>
        <w:rPr>
          <w:color w:val="000000"/>
          <w:sz w:val="24"/>
          <w:szCs w:val="24"/>
        </w:rPr>
        <w:t>companhias</w:t>
      </w:r>
      <w:r w:rsidRPr="00481924">
        <w:rPr>
          <w:color w:val="000000"/>
          <w:sz w:val="24"/>
          <w:szCs w:val="24"/>
        </w:rPr>
        <w:t xml:space="preserve"> apresentaram diferenças na </w:t>
      </w:r>
      <w:r>
        <w:rPr>
          <w:color w:val="000000"/>
          <w:sz w:val="24"/>
          <w:szCs w:val="24"/>
        </w:rPr>
        <w:t>evidenciação de seus ativos e passivos contingentes</w:t>
      </w:r>
      <w:r w:rsidRPr="00481924">
        <w:rPr>
          <w:color w:val="000000"/>
          <w:sz w:val="24"/>
          <w:szCs w:val="24"/>
        </w:rPr>
        <w:t xml:space="preserve">, uma assimetria relacionada, </w:t>
      </w:r>
      <w:r w:rsidRPr="00481924">
        <w:rPr>
          <w:sz w:val="24"/>
          <w:szCs w:val="24"/>
        </w:rPr>
        <w:t>princi</w:t>
      </w:r>
      <w:r>
        <w:rPr>
          <w:sz w:val="24"/>
          <w:szCs w:val="24"/>
        </w:rPr>
        <w:t>palmente, com a maior apresentação</w:t>
      </w:r>
      <w:r w:rsidRPr="00481924">
        <w:rPr>
          <w:sz w:val="24"/>
          <w:szCs w:val="24"/>
        </w:rPr>
        <w:t xml:space="preserve"> d</w:t>
      </w:r>
      <w:r>
        <w:rPr>
          <w:sz w:val="24"/>
          <w:szCs w:val="24"/>
        </w:rPr>
        <w:t>e informações e contingências conforme o</w:t>
      </w:r>
      <w:r w:rsidRPr="00481924">
        <w:rPr>
          <w:sz w:val="24"/>
          <w:szCs w:val="24"/>
        </w:rPr>
        <w:t xml:space="preserve"> Relatório 20F. Em relação </w:t>
      </w:r>
      <w:r>
        <w:rPr>
          <w:sz w:val="24"/>
          <w:szCs w:val="24"/>
        </w:rPr>
        <w:t>às evidenciações exigidas pela norma contábil</w:t>
      </w:r>
      <w:r w:rsidRPr="00481924">
        <w:rPr>
          <w:sz w:val="24"/>
          <w:szCs w:val="24"/>
        </w:rPr>
        <w:t xml:space="preserve"> CPC 25, dos relatórios que apresentaram difere</w:t>
      </w:r>
      <w:r>
        <w:rPr>
          <w:sz w:val="24"/>
          <w:szCs w:val="24"/>
        </w:rPr>
        <w:t>nças, em média, foram apresentadas 50% das informações referentes aos ativos contingentes</w:t>
      </w:r>
      <w:r w:rsidRPr="00481924">
        <w:rPr>
          <w:sz w:val="24"/>
          <w:szCs w:val="24"/>
        </w:rPr>
        <w:t xml:space="preserve"> e 60%</w:t>
      </w:r>
      <w:r>
        <w:rPr>
          <w:sz w:val="24"/>
          <w:szCs w:val="24"/>
        </w:rPr>
        <w:t xml:space="preserve"> para os passivos contingentes, com isso percebe-se que ao longo dos anos os resultados comparados com os estudos de Matias (2013), Araújo (2013) e </w:t>
      </w:r>
      <w:proofErr w:type="spellStart"/>
      <w:r>
        <w:rPr>
          <w:color w:val="000000"/>
          <w:sz w:val="24"/>
          <w:szCs w:val="24"/>
        </w:rPr>
        <w:t>Fonteles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 w:rsidRPr="0008552C">
        <w:rPr>
          <w:i/>
          <w:color w:val="000000"/>
          <w:sz w:val="24"/>
          <w:szCs w:val="24"/>
        </w:rPr>
        <w:t>et</w:t>
      </w:r>
      <w:proofErr w:type="gramEnd"/>
      <w:r w:rsidRPr="0008552C">
        <w:rPr>
          <w:i/>
          <w:color w:val="000000"/>
          <w:sz w:val="24"/>
          <w:szCs w:val="24"/>
        </w:rPr>
        <w:t xml:space="preserve"> al.</w:t>
      </w:r>
      <w:r>
        <w:rPr>
          <w:color w:val="000000"/>
          <w:sz w:val="24"/>
          <w:szCs w:val="24"/>
        </w:rPr>
        <w:t xml:space="preserve"> (2013) </w:t>
      </w:r>
      <w:r>
        <w:rPr>
          <w:sz w:val="24"/>
          <w:szCs w:val="24"/>
        </w:rPr>
        <w:t xml:space="preserve">ainda possuem pouca aderência das exigências das normas contábil com relação ao </w:t>
      </w:r>
      <w:proofErr w:type="spellStart"/>
      <w:r w:rsidRPr="00481924">
        <w:rPr>
          <w:i/>
          <w:iCs/>
          <w:sz w:val="24"/>
          <w:szCs w:val="24"/>
        </w:rPr>
        <w:t>disclosure</w:t>
      </w:r>
      <w:proofErr w:type="spellEnd"/>
      <w:r w:rsidRPr="00481924">
        <w:rPr>
          <w:i/>
          <w:iCs/>
          <w:sz w:val="24"/>
          <w:szCs w:val="24"/>
        </w:rPr>
        <w:t xml:space="preserve"> </w:t>
      </w:r>
      <w:r w:rsidRPr="00481924">
        <w:rPr>
          <w:sz w:val="24"/>
          <w:szCs w:val="24"/>
        </w:rPr>
        <w:t>obrigatório exigido pelo CPC 25</w:t>
      </w:r>
      <w:r>
        <w:rPr>
          <w:sz w:val="24"/>
          <w:szCs w:val="24"/>
        </w:rPr>
        <w:t>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outro âmbito de análise dos estudos anteriormente apresentados, o</w:t>
      </w:r>
      <w:r w:rsidRPr="00FA6B42">
        <w:rPr>
          <w:sz w:val="24"/>
          <w:szCs w:val="24"/>
        </w:rPr>
        <w:t xml:space="preserve"> estudo de Lopes (2015) teve por finalidade avaliar as provisões e os passivos contingentes decorrentes de demandas judiciais trabalhistas, bem como verificar se os depósitos em garantia referentes a elas sofr</w:t>
      </w:r>
      <w:r>
        <w:rPr>
          <w:sz w:val="24"/>
          <w:szCs w:val="24"/>
        </w:rPr>
        <w:t>ia</w:t>
      </w:r>
      <w:r w:rsidRPr="00FA6B42">
        <w:rPr>
          <w:sz w:val="24"/>
          <w:szCs w:val="24"/>
        </w:rPr>
        <w:t>m alterações em razão de a natureza da instituição financeira</w:t>
      </w:r>
      <w:r>
        <w:rPr>
          <w:sz w:val="24"/>
          <w:szCs w:val="24"/>
        </w:rPr>
        <w:t xml:space="preserve"> ser pública, privada ou mista. </w:t>
      </w:r>
      <w:r w:rsidRPr="00FA6B42">
        <w:rPr>
          <w:sz w:val="24"/>
          <w:szCs w:val="24"/>
        </w:rPr>
        <w:t xml:space="preserve">Para responder a esses questionamentos, </w:t>
      </w:r>
      <w:r>
        <w:rPr>
          <w:sz w:val="24"/>
          <w:szCs w:val="24"/>
        </w:rPr>
        <w:t>o autor realizou</w:t>
      </w:r>
      <w:r w:rsidRPr="00FA6B42">
        <w:rPr>
          <w:sz w:val="24"/>
          <w:szCs w:val="24"/>
        </w:rPr>
        <w:t xml:space="preserve"> uma pesquisa de cunho quantitativo, documental e descritivo, obtendo-se os dados das demonstrações financeiras e relatórios de administração das instituições selecionadas para estudo, tendo sido considerados o período compreendido entre os anos de 2010 e 2014, tendo o ano de 2010 sido estabelecido como corte devido à obrigatoriedade de adoção do Pronunciamento Técnico CPC 25 por parte </w:t>
      </w:r>
      <w:r w:rsidRPr="00FA6B42">
        <w:rPr>
          <w:sz w:val="24"/>
          <w:szCs w:val="24"/>
        </w:rPr>
        <w:lastRenderedPageBreak/>
        <w:t xml:space="preserve">das instituições financeiras determinada pelo Banco Central a partir do dia 1º de janeiro daquele ano. </w:t>
      </w:r>
      <w:r>
        <w:rPr>
          <w:sz w:val="24"/>
          <w:szCs w:val="24"/>
        </w:rPr>
        <w:t xml:space="preserve"> Lopes, a partir dos dados obtidos, </w:t>
      </w:r>
      <w:r w:rsidRPr="00FA6B42">
        <w:rPr>
          <w:sz w:val="24"/>
          <w:szCs w:val="24"/>
        </w:rPr>
        <w:t xml:space="preserve">concluiu que a participação de capital público nas instituições financeiras estudadas influenciou a participação percentual das demandas trabalhistas em relação às provisões e passivos contingentes registrados, tendo a instituição financeira de economia mista apresentando os maiores valores de cobertura. 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estudo de Farias </w:t>
      </w:r>
      <w:proofErr w:type="gramStart"/>
      <w:r w:rsidRPr="0008552C">
        <w:rPr>
          <w:i/>
          <w:sz w:val="24"/>
          <w:szCs w:val="24"/>
        </w:rPr>
        <w:t>et</w:t>
      </w:r>
      <w:proofErr w:type="gramEnd"/>
      <w:r w:rsidRPr="0008552C">
        <w:rPr>
          <w:i/>
          <w:sz w:val="24"/>
          <w:szCs w:val="24"/>
        </w:rPr>
        <w:t xml:space="preserve"> al.</w:t>
      </w:r>
      <w:r>
        <w:rPr>
          <w:sz w:val="24"/>
          <w:szCs w:val="24"/>
        </w:rPr>
        <w:t xml:space="preserve"> (2016), assim como os estudos de </w:t>
      </w:r>
      <w:r>
        <w:rPr>
          <w:color w:val="000000"/>
          <w:sz w:val="24"/>
          <w:szCs w:val="24"/>
        </w:rPr>
        <w:t xml:space="preserve">Matias (2013), </w:t>
      </w:r>
      <w:proofErr w:type="spellStart"/>
      <w:r>
        <w:rPr>
          <w:color w:val="000000"/>
          <w:sz w:val="24"/>
          <w:szCs w:val="24"/>
        </w:rPr>
        <w:t>Fonteles</w:t>
      </w:r>
      <w:proofErr w:type="spellEnd"/>
      <w:r>
        <w:rPr>
          <w:color w:val="000000"/>
          <w:sz w:val="24"/>
          <w:szCs w:val="24"/>
        </w:rPr>
        <w:t xml:space="preserve"> </w:t>
      </w:r>
      <w:r w:rsidRPr="0008552C"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 xml:space="preserve"> (2013) e </w:t>
      </w:r>
      <w:r w:rsidRPr="00481924">
        <w:rPr>
          <w:sz w:val="24"/>
          <w:szCs w:val="24"/>
        </w:rPr>
        <w:t xml:space="preserve">Castro </w:t>
      </w:r>
      <w:r w:rsidRPr="0008552C">
        <w:rPr>
          <w:i/>
          <w:sz w:val="24"/>
          <w:szCs w:val="24"/>
        </w:rPr>
        <w:t>et al.</w:t>
      </w:r>
      <w:r>
        <w:rPr>
          <w:sz w:val="24"/>
          <w:szCs w:val="24"/>
        </w:rPr>
        <w:t xml:space="preserve"> (2015), buscou verificar os fatores explicativos da apresentação de provisões e contingências das companhias pertencentes do Ibovespa em 2015. Para encontrar os resultados foi utilizado um </w:t>
      </w:r>
      <w:proofErr w:type="spellStart"/>
      <w:r w:rsidRPr="00EE534A">
        <w:rPr>
          <w:i/>
          <w:sz w:val="24"/>
          <w:szCs w:val="24"/>
        </w:rPr>
        <w:t>check</w:t>
      </w:r>
      <w:proofErr w:type="spellEnd"/>
      <w:r w:rsidRPr="00EE534A">
        <w:rPr>
          <w:i/>
          <w:sz w:val="24"/>
          <w:szCs w:val="24"/>
        </w:rPr>
        <w:t xml:space="preserve"> </w:t>
      </w:r>
      <w:proofErr w:type="spellStart"/>
      <w:r w:rsidRPr="00EE534A"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afim de</w:t>
      </w:r>
      <w:proofErr w:type="gramEnd"/>
      <w:r>
        <w:rPr>
          <w:sz w:val="24"/>
          <w:szCs w:val="24"/>
        </w:rPr>
        <w:t xml:space="preserve"> avaliar o percentual de aderência a norma contábil das companhias e a partir desta variável dependente, foi utilizada uma regressão linear múltipla com variáveis explicativas coletadas nas demonstrações das companhias. Os resultados mostram que a apresentação das provisões e contingências foi crescente no período analisado. Das variáveis explicativas utilizados no estudo, a saber: tamanho, endividamento, liquidez, rentabilidade e </w:t>
      </w:r>
      <w:r w:rsidRPr="009927EE">
        <w:rPr>
          <w:i/>
          <w:sz w:val="24"/>
          <w:szCs w:val="24"/>
        </w:rPr>
        <w:t xml:space="preserve">American </w:t>
      </w:r>
      <w:proofErr w:type="spellStart"/>
      <w:r w:rsidRPr="009927EE">
        <w:rPr>
          <w:i/>
          <w:sz w:val="24"/>
          <w:szCs w:val="24"/>
        </w:rPr>
        <w:t>Depositary</w:t>
      </w:r>
      <w:proofErr w:type="spellEnd"/>
      <w:r w:rsidRPr="009927EE">
        <w:rPr>
          <w:i/>
          <w:sz w:val="24"/>
          <w:szCs w:val="24"/>
        </w:rPr>
        <w:t xml:space="preserve"> </w:t>
      </w:r>
      <w:proofErr w:type="spellStart"/>
      <w:r w:rsidRPr="009927EE">
        <w:rPr>
          <w:i/>
          <w:sz w:val="24"/>
          <w:szCs w:val="24"/>
        </w:rPr>
        <w:t>Receipt</w:t>
      </w:r>
      <w:proofErr w:type="spellEnd"/>
      <w:r>
        <w:rPr>
          <w:sz w:val="24"/>
          <w:szCs w:val="24"/>
        </w:rPr>
        <w:t xml:space="preserve"> (ADR), apenas a </w:t>
      </w:r>
      <w:proofErr w:type="gramStart"/>
      <w:r>
        <w:rPr>
          <w:sz w:val="24"/>
          <w:szCs w:val="24"/>
        </w:rPr>
        <w:t>variável tamanho da empresa</w:t>
      </w:r>
      <w:proofErr w:type="gramEnd"/>
      <w:r>
        <w:rPr>
          <w:sz w:val="24"/>
          <w:szCs w:val="24"/>
        </w:rPr>
        <w:t xml:space="preserve"> influencia positivamente o nível de apresentação das empresas da amostra.</w:t>
      </w:r>
    </w:p>
    <w:p w:rsidR="001B6D98" w:rsidRPr="009927EE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Percebe-se que aos longos dos anos o nível de apresentação em consonância com o CPC 25 (</w:t>
      </w:r>
      <w:r>
        <w:rPr>
          <w:color w:val="000000"/>
          <w:sz w:val="24"/>
          <w:szCs w:val="24"/>
        </w:rPr>
        <w:t xml:space="preserve">Matias, 2013; </w:t>
      </w:r>
      <w:proofErr w:type="spellStart"/>
      <w:r>
        <w:rPr>
          <w:color w:val="000000"/>
          <w:sz w:val="24"/>
          <w:szCs w:val="24"/>
        </w:rPr>
        <w:t>Fonteles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 w:rsidRPr="0008552C">
        <w:rPr>
          <w:i/>
          <w:color w:val="000000"/>
          <w:sz w:val="24"/>
          <w:szCs w:val="24"/>
        </w:rPr>
        <w:t>et</w:t>
      </w:r>
      <w:proofErr w:type="gramEnd"/>
      <w:r w:rsidRPr="0008552C">
        <w:rPr>
          <w:i/>
          <w:color w:val="000000"/>
          <w:sz w:val="24"/>
          <w:szCs w:val="24"/>
        </w:rPr>
        <w:t xml:space="preserve"> al.</w:t>
      </w:r>
      <w:r>
        <w:rPr>
          <w:color w:val="000000"/>
          <w:sz w:val="24"/>
          <w:szCs w:val="24"/>
        </w:rPr>
        <w:t xml:space="preserve">, 2013; </w:t>
      </w:r>
      <w:r w:rsidRPr="00481924">
        <w:rPr>
          <w:sz w:val="24"/>
          <w:szCs w:val="24"/>
        </w:rPr>
        <w:t xml:space="preserve">Castro </w:t>
      </w:r>
      <w:r w:rsidRPr="0008552C">
        <w:rPr>
          <w:i/>
          <w:sz w:val="24"/>
          <w:szCs w:val="24"/>
        </w:rPr>
        <w:t>et al.</w:t>
      </w:r>
      <w:r>
        <w:rPr>
          <w:sz w:val="24"/>
          <w:szCs w:val="24"/>
        </w:rPr>
        <w:t xml:space="preserve"> ,2015; Farias </w:t>
      </w:r>
      <w:r w:rsidRPr="0008552C">
        <w:rPr>
          <w:i/>
          <w:sz w:val="24"/>
          <w:szCs w:val="24"/>
        </w:rPr>
        <w:t>et al.</w:t>
      </w:r>
      <w:r>
        <w:rPr>
          <w:sz w:val="24"/>
          <w:szCs w:val="24"/>
        </w:rPr>
        <w:t xml:space="preserve">, 2016), mas ainda é necessário que as companhias aderem um maior percentual de obrigatoriedade da referida norma contábil. </w:t>
      </w:r>
      <w:r w:rsidRPr="009927EE">
        <w:rPr>
          <w:sz w:val="24"/>
          <w:szCs w:val="24"/>
        </w:rPr>
        <w:t xml:space="preserve">Assim, os estudos mencionados anteriormente demonstraram a importância em se verificar os reflexos dos processos de harmonização das normas contábeis no Brasil no que tange a apresentação das provisões e contingências conforme a norma contábil internacional, corroborando para a construção da análise desde estudo. Assim, com base </w:t>
      </w:r>
      <w:r>
        <w:rPr>
          <w:sz w:val="24"/>
          <w:szCs w:val="24"/>
        </w:rPr>
        <w:t>nestes estudos foram apresentada</w:t>
      </w:r>
      <w:r w:rsidRPr="009927EE">
        <w:rPr>
          <w:sz w:val="24"/>
          <w:szCs w:val="24"/>
        </w:rPr>
        <w:t xml:space="preserve">s </w:t>
      </w:r>
      <w:r w:rsidR="007B2CF3">
        <w:rPr>
          <w:sz w:val="24"/>
          <w:szCs w:val="24"/>
        </w:rPr>
        <w:t>na figura 4</w:t>
      </w:r>
      <w:r w:rsidRPr="009927EE">
        <w:rPr>
          <w:sz w:val="24"/>
          <w:szCs w:val="24"/>
        </w:rPr>
        <w:t xml:space="preserve"> as hipóteses metodológicas.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  <w:gridCol w:w="4141"/>
      </w:tblGrid>
      <w:tr w:rsidR="001B6D98" w:rsidRPr="007334C3" w:rsidTr="00663E5E">
        <w:tc>
          <w:tcPr>
            <w:tcW w:w="5070" w:type="dxa"/>
            <w:shd w:val="clear" w:color="auto" w:fill="auto"/>
          </w:tcPr>
          <w:p w:rsidR="001B6D98" w:rsidRPr="00C90AD6" w:rsidRDefault="001B6D98" w:rsidP="00663E5E">
            <w:pPr>
              <w:jc w:val="center"/>
            </w:pPr>
            <w:r w:rsidRPr="00C90AD6">
              <w:t>Hipótese</w:t>
            </w:r>
          </w:p>
        </w:tc>
        <w:tc>
          <w:tcPr>
            <w:tcW w:w="4141" w:type="dxa"/>
            <w:shd w:val="clear" w:color="auto" w:fill="auto"/>
          </w:tcPr>
          <w:p w:rsidR="001B6D98" w:rsidRPr="00C90AD6" w:rsidRDefault="001B6D98" w:rsidP="00663E5E">
            <w:pPr>
              <w:jc w:val="center"/>
            </w:pPr>
            <w:r w:rsidRPr="00C90AD6">
              <w:t>Principais estudos</w:t>
            </w:r>
          </w:p>
        </w:tc>
      </w:tr>
      <w:tr w:rsidR="001B6D98" w:rsidRPr="007334C3" w:rsidTr="00663E5E">
        <w:tc>
          <w:tcPr>
            <w:tcW w:w="5070" w:type="dxa"/>
            <w:shd w:val="clear" w:color="auto" w:fill="auto"/>
          </w:tcPr>
          <w:p w:rsidR="001B6D98" w:rsidRPr="00C90AD6" w:rsidRDefault="001B6D98" w:rsidP="00663E5E">
            <w:pPr>
              <w:jc w:val="both"/>
              <w:rPr>
                <w:highlight w:val="yellow"/>
              </w:rPr>
            </w:pPr>
            <w:r w:rsidRPr="00C90AD6">
              <w:t xml:space="preserve">H1: Empresas maiores possuem um maior nível de </w:t>
            </w:r>
            <w:proofErr w:type="spellStart"/>
            <w:r w:rsidRPr="00C90AD6">
              <w:rPr>
                <w:i/>
              </w:rPr>
              <w:t>disclosure</w:t>
            </w:r>
            <w:proofErr w:type="spellEnd"/>
            <w:r w:rsidRPr="00C90AD6">
              <w:t xml:space="preserve"> das provisões e contingências.</w:t>
            </w:r>
          </w:p>
        </w:tc>
        <w:tc>
          <w:tcPr>
            <w:tcW w:w="4141" w:type="dxa"/>
            <w:shd w:val="clear" w:color="auto" w:fill="auto"/>
          </w:tcPr>
          <w:p w:rsidR="001B6D98" w:rsidRPr="007334C3" w:rsidRDefault="001B6D98" w:rsidP="00663E5E">
            <w:pPr>
              <w:jc w:val="center"/>
            </w:pPr>
            <w:proofErr w:type="spellStart"/>
            <w:r>
              <w:t>Mapurunga</w:t>
            </w:r>
            <w:proofErr w:type="spellEnd"/>
            <w:r>
              <w:t xml:space="preserve">, Ponte, Coelho &amp; Menezes (2011); </w:t>
            </w:r>
            <w:proofErr w:type="spellStart"/>
            <w:r>
              <w:t>Fonteles</w:t>
            </w:r>
            <w:proofErr w:type="spellEnd"/>
            <w:r>
              <w:t xml:space="preserve"> </w:t>
            </w:r>
            <w:proofErr w:type="gramStart"/>
            <w:r w:rsidRPr="0008552C">
              <w:rPr>
                <w:i/>
              </w:rPr>
              <w:t>et</w:t>
            </w:r>
            <w:proofErr w:type="gramEnd"/>
            <w:r w:rsidRPr="0008552C">
              <w:rPr>
                <w:i/>
              </w:rPr>
              <w:t xml:space="preserve"> al.</w:t>
            </w:r>
            <w:r>
              <w:t xml:space="preserve"> (2013) e Farias </w:t>
            </w:r>
            <w:r w:rsidRPr="0008552C">
              <w:rPr>
                <w:i/>
              </w:rPr>
              <w:t>et al.</w:t>
            </w:r>
            <w:r>
              <w:t xml:space="preserve"> (2016)</w:t>
            </w:r>
          </w:p>
        </w:tc>
      </w:tr>
      <w:tr w:rsidR="001B6D98" w:rsidRPr="007334C3" w:rsidTr="00663E5E">
        <w:tc>
          <w:tcPr>
            <w:tcW w:w="5070" w:type="dxa"/>
            <w:shd w:val="clear" w:color="auto" w:fill="auto"/>
          </w:tcPr>
          <w:p w:rsidR="001B6D98" w:rsidRPr="00C90AD6" w:rsidRDefault="001B6D98" w:rsidP="00663E5E">
            <w:pPr>
              <w:jc w:val="both"/>
            </w:pPr>
            <w:r w:rsidRPr="00C90AD6">
              <w:t xml:space="preserve">H2: Empresas com maior grau de endividamento possuem um maior nível de </w:t>
            </w:r>
            <w:proofErr w:type="spellStart"/>
            <w:r w:rsidRPr="00C90AD6">
              <w:rPr>
                <w:i/>
              </w:rPr>
              <w:t>disclosure</w:t>
            </w:r>
            <w:proofErr w:type="spellEnd"/>
            <w:r w:rsidRPr="00C90AD6">
              <w:t xml:space="preserve"> das provisões e contingências.</w:t>
            </w:r>
          </w:p>
        </w:tc>
        <w:tc>
          <w:tcPr>
            <w:tcW w:w="4141" w:type="dxa"/>
            <w:shd w:val="clear" w:color="auto" w:fill="auto"/>
          </w:tcPr>
          <w:p w:rsidR="001B6D98" w:rsidRPr="007334C3" w:rsidRDefault="001B6D98" w:rsidP="00663E5E">
            <w:pPr>
              <w:jc w:val="center"/>
            </w:pPr>
            <w:proofErr w:type="spellStart"/>
            <w:r>
              <w:t>Mapurunga</w:t>
            </w:r>
            <w:proofErr w:type="spellEnd"/>
            <w:r>
              <w:t xml:space="preserve"> </w:t>
            </w:r>
            <w:proofErr w:type="gramStart"/>
            <w:r w:rsidRPr="0008552C">
              <w:rPr>
                <w:i/>
              </w:rPr>
              <w:t>et</w:t>
            </w:r>
            <w:proofErr w:type="gramEnd"/>
            <w:r w:rsidRPr="0008552C">
              <w:rPr>
                <w:i/>
              </w:rPr>
              <w:t xml:space="preserve"> al.</w:t>
            </w:r>
            <w:r>
              <w:t xml:space="preserve"> (2011); </w:t>
            </w:r>
            <w:proofErr w:type="spellStart"/>
            <w:r>
              <w:t>Fonteles</w:t>
            </w:r>
            <w:proofErr w:type="spellEnd"/>
            <w:r>
              <w:t xml:space="preserve"> </w:t>
            </w:r>
            <w:r w:rsidRPr="0008552C">
              <w:rPr>
                <w:i/>
              </w:rPr>
              <w:t>et al.</w:t>
            </w:r>
            <w:r>
              <w:t xml:space="preserve"> (2013) e Farias </w:t>
            </w:r>
            <w:r w:rsidRPr="0008552C">
              <w:rPr>
                <w:i/>
              </w:rPr>
              <w:t>et al.</w:t>
            </w:r>
            <w:r>
              <w:t xml:space="preserve"> (2016)</w:t>
            </w:r>
          </w:p>
        </w:tc>
      </w:tr>
      <w:tr w:rsidR="001B6D98" w:rsidRPr="007334C3" w:rsidTr="00663E5E">
        <w:tc>
          <w:tcPr>
            <w:tcW w:w="5070" w:type="dxa"/>
            <w:shd w:val="clear" w:color="auto" w:fill="auto"/>
          </w:tcPr>
          <w:p w:rsidR="001B6D98" w:rsidRPr="00C90AD6" w:rsidRDefault="001B6D98" w:rsidP="00663E5E">
            <w:pPr>
              <w:jc w:val="both"/>
            </w:pPr>
            <w:r w:rsidRPr="00C90AD6">
              <w:t>H3:</w:t>
            </w:r>
            <w:r w:rsidRPr="00C90AD6">
              <w:rPr>
                <w:rFonts w:ascii="Franklin Gothic Book" w:hAnsi="Franklin Gothic Book" w:cs="Franklin Gothic Book"/>
              </w:rPr>
              <w:t xml:space="preserve"> </w:t>
            </w:r>
            <w:r w:rsidRPr="00C90AD6">
              <w:t xml:space="preserve">Empresas com maior rentabilidade possuem um maior nível de </w:t>
            </w:r>
            <w:proofErr w:type="spellStart"/>
            <w:r w:rsidRPr="00C90AD6">
              <w:rPr>
                <w:i/>
              </w:rPr>
              <w:t>disclosure</w:t>
            </w:r>
            <w:proofErr w:type="spellEnd"/>
            <w:r w:rsidRPr="00C90AD6">
              <w:t xml:space="preserve"> das provisões e contingências.</w:t>
            </w:r>
          </w:p>
        </w:tc>
        <w:tc>
          <w:tcPr>
            <w:tcW w:w="4141" w:type="dxa"/>
            <w:shd w:val="clear" w:color="auto" w:fill="auto"/>
          </w:tcPr>
          <w:p w:rsidR="001B6D98" w:rsidRPr="007334C3" w:rsidRDefault="001B6D98" w:rsidP="00663E5E">
            <w:pPr>
              <w:jc w:val="center"/>
            </w:pPr>
            <w:proofErr w:type="spellStart"/>
            <w:r>
              <w:t>Fonteles</w:t>
            </w:r>
            <w:proofErr w:type="spellEnd"/>
            <w:r>
              <w:t xml:space="preserve"> </w:t>
            </w:r>
            <w:proofErr w:type="gramStart"/>
            <w:r w:rsidRPr="0008552C">
              <w:rPr>
                <w:i/>
              </w:rPr>
              <w:t>et</w:t>
            </w:r>
            <w:proofErr w:type="gramEnd"/>
            <w:r w:rsidRPr="0008552C">
              <w:rPr>
                <w:i/>
              </w:rPr>
              <w:t xml:space="preserve"> al.</w:t>
            </w:r>
            <w:r>
              <w:t xml:space="preserve"> (2013) e Farias </w:t>
            </w:r>
            <w:r w:rsidRPr="0008552C">
              <w:rPr>
                <w:i/>
              </w:rPr>
              <w:t>et al.</w:t>
            </w:r>
            <w:r>
              <w:t xml:space="preserve"> (2016)</w:t>
            </w:r>
          </w:p>
        </w:tc>
      </w:tr>
    </w:tbl>
    <w:p w:rsidR="001B6D98" w:rsidRPr="008744BD" w:rsidRDefault="007B2CF3" w:rsidP="001B6D98">
      <w:pPr>
        <w:widowControl w:val="0"/>
        <w:jc w:val="center"/>
      </w:pPr>
      <w:r>
        <w:t>Figura 4</w:t>
      </w:r>
      <w:r w:rsidR="001B6D98" w:rsidRPr="008744BD">
        <w:t xml:space="preserve"> Hipóteses de pesquisa com base nos estudos anteriores</w:t>
      </w:r>
    </w:p>
    <w:p w:rsidR="001B6D98" w:rsidRPr="001B6D98" w:rsidRDefault="001B6D98" w:rsidP="001B6D98">
      <w:pPr>
        <w:jc w:val="both"/>
        <w:rPr>
          <w:b/>
          <w:sz w:val="24"/>
          <w:szCs w:val="23"/>
        </w:rPr>
      </w:pPr>
      <w:r w:rsidRPr="001B6D98">
        <w:rPr>
          <w:b/>
          <w:sz w:val="24"/>
          <w:szCs w:val="23"/>
        </w:rPr>
        <w:t>3. Procedimentos Metodológicos</w:t>
      </w:r>
    </w:p>
    <w:p w:rsidR="001B6D98" w:rsidRPr="004A1BFC" w:rsidRDefault="001B6D98" w:rsidP="001B6D98">
      <w:pPr>
        <w:ind w:firstLine="567"/>
        <w:jc w:val="both"/>
        <w:rPr>
          <w:sz w:val="24"/>
          <w:szCs w:val="24"/>
          <w:lang w:eastAsia="ar-SA"/>
        </w:rPr>
      </w:pPr>
      <w:r w:rsidRPr="00086109">
        <w:rPr>
          <w:sz w:val="24"/>
          <w:szCs w:val="24"/>
          <w:lang w:eastAsia="ar-SA"/>
        </w:rPr>
        <w:t>A utilização e a especificação dos métodos utilizados para o desenvolvimento de pesquisas são essenciais, pois atribui caráter científico aos estudos,</w:t>
      </w:r>
      <w:r>
        <w:rPr>
          <w:sz w:val="24"/>
          <w:szCs w:val="24"/>
          <w:lang w:eastAsia="ar-SA"/>
        </w:rPr>
        <w:t xml:space="preserve"> os </w:t>
      </w:r>
      <w:r w:rsidRPr="00086109">
        <w:rPr>
          <w:sz w:val="24"/>
          <w:szCs w:val="24"/>
          <w:lang w:eastAsia="ar-SA"/>
        </w:rPr>
        <w:t>distinguindo das</w:t>
      </w:r>
      <w:r>
        <w:rPr>
          <w:sz w:val="24"/>
          <w:szCs w:val="24"/>
          <w:lang w:eastAsia="ar-SA"/>
        </w:rPr>
        <w:t xml:space="preserve"> demais formas de conhecimento. </w:t>
      </w:r>
      <w:r w:rsidRPr="00086109">
        <w:rPr>
          <w:sz w:val="24"/>
          <w:szCs w:val="24"/>
          <w:lang w:eastAsia="ar-SA"/>
        </w:rPr>
        <w:t>As pesquisas acadêmicas classificam-se quanto aos objetivos, aos procedimentos e à abordagem</w:t>
      </w:r>
      <w:r>
        <w:rPr>
          <w:sz w:val="24"/>
          <w:szCs w:val="24"/>
          <w:lang w:eastAsia="ar-SA"/>
        </w:rPr>
        <w:t xml:space="preserve"> do problema (</w:t>
      </w:r>
      <w:proofErr w:type="spellStart"/>
      <w:r>
        <w:rPr>
          <w:sz w:val="24"/>
          <w:szCs w:val="24"/>
          <w:lang w:eastAsia="ar-SA"/>
        </w:rPr>
        <w:t>Malhotra</w:t>
      </w:r>
      <w:proofErr w:type="spellEnd"/>
      <w:r>
        <w:rPr>
          <w:sz w:val="24"/>
          <w:szCs w:val="24"/>
          <w:lang w:eastAsia="ar-SA"/>
        </w:rPr>
        <w:t xml:space="preserve">, 2006). </w:t>
      </w:r>
      <w:r w:rsidRPr="00FB0B27">
        <w:rPr>
          <w:sz w:val="24"/>
          <w:szCs w:val="24"/>
        </w:rPr>
        <w:t>Dessa forma, quanto aos objetivos pretendidos, classifica</w:t>
      </w:r>
      <w:r>
        <w:rPr>
          <w:sz w:val="24"/>
          <w:szCs w:val="24"/>
        </w:rPr>
        <w:t>-se</w:t>
      </w:r>
      <w:r w:rsidRPr="00FB0B27">
        <w:rPr>
          <w:sz w:val="24"/>
          <w:szCs w:val="24"/>
        </w:rPr>
        <w:t xml:space="preserve"> como </w:t>
      </w:r>
      <w:proofErr w:type="gramStart"/>
      <w:r w:rsidRPr="00FB0B27">
        <w:rPr>
          <w:sz w:val="24"/>
          <w:szCs w:val="24"/>
        </w:rPr>
        <w:t>descritiva, bibliográfica</w:t>
      </w:r>
      <w:proofErr w:type="gramEnd"/>
      <w:r w:rsidRPr="00FB0B27">
        <w:rPr>
          <w:sz w:val="24"/>
          <w:szCs w:val="24"/>
        </w:rPr>
        <w:t xml:space="preserve"> e de caráter documental.</w:t>
      </w:r>
      <w:r>
        <w:rPr>
          <w:sz w:val="24"/>
          <w:szCs w:val="24"/>
        </w:rPr>
        <w:t xml:space="preserve"> </w:t>
      </w:r>
    </w:p>
    <w:p w:rsidR="001B6D98" w:rsidRDefault="001B6D98" w:rsidP="001B6D98">
      <w:pPr>
        <w:ind w:firstLine="567"/>
        <w:jc w:val="both"/>
        <w:rPr>
          <w:sz w:val="24"/>
          <w:szCs w:val="24"/>
        </w:rPr>
      </w:pPr>
      <w:r w:rsidRPr="00FB0B27">
        <w:rPr>
          <w:sz w:val="24"/>
          <w:szCs w:val="24"/>
        </w:rPr>
        <w:t>Em r</w:t>
      </w:r>
      <w:r>
        <w:rPr>
          <w:sz w:val="24"/>
          <w:szCs w:val="24"/>
        </w:rPr>
        <w:t>elação ao estudo documental, foram</w:t>
      </w:r>
      <w:r w:rsidRPr="00FB0B27">
        <w:rPr>
          <w:sz w:val="24"/>
          <w:szCs w:val="24"/>
        </w:rPr>
        <w:t xml:space="preserve"> levantad</w:t>
      </w:r>
      <w:r>
        <w:rPr>
          <w:sz w:val="24"/>
          <w:szCs w:val="24"/>
        </w:rPr>
        <w:t>a</w:t>
      </w:r>
      <w:r w:rsidRPr="00FB0B27">
        <w:rPr>
          <w:sz w:val="24"/>
          <w:szCs w:val="24"/>
        </w:rPr>
        <w:t>s e a</w:t>
      </w:r>
      <w:r>
        <w:rPr>
          <w:sz w:val="24"/>
          <w:szCs w:val="24"/>
        </w:rPr>
        <w:t xml:space="preserve">nalisadas as demonstrações financeiras e notas explicativas das companhias no ano de 2016 que fazem parte do </w:t>
      </w:r>
      <w:r w:rsidRPr="004A1BFC">
        <w:rPr>
          <w:sz w:val="24"/>
          <w:szCs w:val="24"/>
        </w:rPr>
        <w:t>Índice Brasil 100 (</w:t>
      </w:r>
      <w:proofErr w:type="spellStart"/>
      <w:proofErr w:type="gramStart"/>
      <w:r w:rsidRPr="004A1BFC">
        <w:rPr>
          <w:sz w:val="24"/>
          <w:szCs w:val="24"/>
        </w:rPr>
        <w:t>IBrX</w:t>
      </w:r>
      <w:proofErr w:type="spellEnd"/>
      <w:proofErr w:type="gramEnd"/>
      <w:r w:rsidRPr="004A1BFC">
        <w:rPr>
          <w:sz w:val="24"/>
          <w:szCs w:val="24"/>
        </w:rPr>
        <w:t xml:space="preserve"> 100)</w:t>
      </w:r>
      <w:r>
        <w:rPr>
          <w:sz w:val="24"/>
          <w:szCs w:val="24"/>
        </w:rPr>
        <w:t>, disponibilizadas no ambiente virtual da B3</w:t>
      </w:r>
      <w:r w:rsidRPr="00FB0B27">
        <w:rPr>
          <w:sz w:val="24"/>
          <w:szCs w:val="24"/>
        </w:rPr>
        <w:t xml:space="preserve">. </w:t>
      </w:r>
      <w:r>
        <w:rPr>
          <w:sz w:val="24"/>
          <w:szCs w:val="24"/>
        </w:rPr>
        <w:t>Os</w:t>
      </w:r>
      <w:r w:rsidRPr="00FB0B27">
        <w:rPr>
          <w:sz w:val="24"/>
          <w:szCs w:val="24"/>
        </w:rPr>
        <w:t xml:space="preserve"> estudos</w:t>
      </w:r>
      <w:r>
        <w:rPr>
          <w:sz w:val="24"/>
          <w:szCs w:val="24"/>
        </w:rPr>
        <w:t xml:space="preserve"> documentais</w:t>
      </w:r>
      <w:r w:rsidRPr="00FB0B27">
        <w:rPr>
          <w:sz w:val="24"/>
          <w:szCs w:val="24"/>
        </w:rPr>
        <w:t xml:space="preserve">, de acordo com </w:t>
      </w:r>
      <w:proofErr w:type="spellStart"/>
      <w:r w:rsidRPr="00FB0B27">
        <w:rPr>
          <w:sz w:val="24"/>
          <w:szCs w:val="24"/>
        </w:rPr>
        <w:t>Bardin</w:t>
      </w:r>
      <w:proofErr w:type="spellEnd"/>
      <w:r w:rsidRPr="00FB0B27">
        <w:rPr>
          <w:sz w:val="24"/>
          <w:szCs w:val="24"/>
        </w:rPr>
        <w:t xml:space="preserve"> (20</w:t>
      </w:r>
      <w:r>
        <w:rPr>
          <w:sz w:val="24"/>
          <w:szCs w:val="24"/>
        </w:rPr>
        <w:t>11</w:t>
      </w:r>
      <w:r w:rsidRPr="00FB0B27">
        <w:rPr>
          <w:sz w:val="24"/>
          <w:szCs w:val="24"/>
        </w:rPr>
        <w:t xml:space="preserve">), podem ser utilizados como um instrumento de diagnóstico, de modo que se </w:t>
      </w:r>
      <w:r>
        <w:rPr>
          <w:sz w:val="24"/>
          <w:szCs w:val="24"/>
        </w:rPr>
        <w:t>possa considerar as</w:t>
      </w:r>
      <w:r w:rsidRPr="00FB0B27">
        <w:rPr>
          <w:sz w:val="24"/>
          <w:szCs w:val="24"/>
        </w:rPr>
        <w:t xml:space="preserve"> inferências específicas ou interpretações causais sobre um</w:t>
      </w:r>
      <w:r>
        <w:rPr>
          <w:sz w:val="24"/>
          <w:szCs w:val="24"/>
        </w:rPr>
        <w:t xml:space="preserve"> dado aspecto. Essas demonstrações foram avaliadas através da técnica de análise de conteúdo.</w:t>
      </w:r>
      <w:r w:rsidRPr="00E62A05">
        <w:rPr>
          <w:sz w:val="24"/>
          <w:szCs w:val="24"/>
        </w:rPr>
        <w:t xml:space="preserve"> </w:t>
      </w:r>
    </w:p>
    <w:p w:rsidR="001B6D98" w:rsidRDefault="001B6D98" w:rsidP="001B6D98">
      <w:pPr>
        <w:pStyle w:val="Pargrafo"/>
        <w:spacing w:line="240" w:lineRule="auto"/>
        <w:ind w:firstLine="567"/>
      </w:pPr>
      <w:r>
        <w:rPr>
          <w:lang w:eastAsia="pt-BR"/>
        </w:rPr>
        <w:t>O universo</w:t>
      </w:r>
      <w:r w:rsidRPr="001D7CB8">
        <w:rPr>
          <w:lang w:eastAsia="pt-BR"/>
        </w:rPr>
        <w:t xml:space="preserve"> des</w:t>
      </w:r>
      <w:r>
        <w:rPr>
          <w:lang w:eastAsia="pt-BR"/>
        </w:rPr>
        <w:t>te estudo compreendeu</w:t>
      </w:r>
      <w:r w:rsidRPr="001D7CB8">
        <w:rPr>
          <w:lang w:eastAsia="pt-BR"/>
        </w:rPr>
        <w:t xml:space="preserve"> as companhias brasileiras </w:t>
      </w:r>
      <w:r>
        <w:rPr>
          <w:lang w:eastAsia="pt-BR"/>
        </w:rPr>
        <w:t xml:space="preserve">registradas na </w:t>
      </w:r>
      <w:r>
        <w:t>B3</w:t>
      </w:r>
      <w:r w:rsidRPr="001D7CB8">
        <w:rPr>
          <w:lang w:eastAsia="pt-BR"/>
        </w:rPr>
        <w:t xml:space="preserve"> sujeitas </w:t>
      </w:r>
      <w:r>
        <w:rPr>
          <w:lang w:eastAsia="pt-BR"/>
        </w:rPr>
        <w:t>à</w:t>
      </w:r>
      <w:r w:rsidRPr="001D7CB8">
        <w:rPr>
          <w:lang w:eastAsia="pt-BR"/>
        </w:rPr>
        <w:t xml:space="preserve"> </w:t>
      </w:r>
      <w:r>
        <w:t xml:space="preserve">aplicabilidade do CPC 25: Provisões, Ativos e Passivos Contingentes. A amostra foi </w:t>
      </w:r>
      <w:r>
        <w:lastRenderedPageBreak/>
        <w:t xml:space="preserve">selecionada de maneira não probabilística, que de acordo com Vergara (2015, p.57), são “aquelas selecionadas por acessibilidade e por tipicidade”. Desse modo, foram intencionalmente escolhidas todas as companhias de capital aberto participantes do </w:t>
      </w:r>
      <w:proofErr w:type="spellStart"/>
      <w:proofErr w:type="gramStart"/>
      <w:r w:rsidRPr="004A1BFC">
        <w:t>IBrX</w:t>
      </w:r>
      <w:proofErr w:type="spellEnd"/>
      <w:proofErr w:type="gramEnd"/>
      <w:r w:rsidRPr="004A1BFC">
        <w:t xml:space="preserve"> 100</w:t>
      </w:r>
      <w:r>
        <w:t>.</w:t>
      </w:r>
    </w:p>
    <w:p w:rsidR="001B6D98" w:rsidRPr="00595025" w:rsidRDefault="001B6D98" w:rsidP="001B6D98">
      <w:pPr>
        <w:pStyle w:val="Pargrafo"/>
        <w:spacing w:line="240" w:lineRule="auto"/>
        <w:ind w:firstLine="567"/>
        <w:rPr>
          <w:b/>
          <w:sz w:val="20"/>
          <w:szCs w:val="20"/>
        </w:rPr>
      </w:pPr>
      <w:r>
        <w:t xml:space="preserve">A escolha destas companhias justificam-se pelo fato do </w:t>
      </w:r>
      <w:proofErr w:type="spellStart"/>
      <w:proofErr w:type="gramStart"/>
      <w:r>
        <w:t>IBrX</w:t>
      </w:r>
      <w:proofErr w:type="spellEnd"/>
      <w:proofErr w:type="gramEnd"/>
      <w:r>
        <w:t xml:space="preserve"> 100 ser o indicador de desempenho médio das cotações dos 100 ativos de maior negociabilidade e representatividade do mercado de ações brasileiro. Desta amostra foram excluídas as instituições financeiras por conterem normas e legislações específicas das demais companhias, podendo influenciar o resultado. Assim as companhias que fizeram parte dest</w:t>
      </w:r>
      <w:r w:rsidR="007B2CF3">
        <w:t xml:space="preserve">e foram apresentadas na figura </w:t>
      </w:r>
      <w:proofErr w:type="gramStart"/>
      <w:r w:rsidR="007B2CF3">
        <w:t>5</w:t>
      </w:r>
      <w:r>
        <w:t>.</w:t>
      </w:r>
      <w:proofErr w:type="gramEnd"/>
      <w:r w:rsidR="00262450" w:rsidRPr="00595025">
        <w:rPr>
          <w:sz w:val="20"/>
          <w:szCs w:val="20"/>
        </w:rPr>
        <w:fldChar w:fldCharType="begin"/>
      </w:r>
      <w:r w:rsidRPr="00595025">
        <w:rPr>
          <w:sz w:val="20"/>
          <w:szCs w:val="20"/>
        </w:rPr>
        <w:instrText xml:space="preserve"> LINK Excel.Sheet.12 "C:\\Users\\victo\\Desktop\\ECONOMÁTICA.xlsx" "Planilha2!L1C1:L16C10" \a \f 4 \h  \* MERGEFORMAT </w:instrText>
      </w:r>
      <w:r w:rsidR="00262450" w:rsidRPr="00595025">
        <w:rPr>
          <w:sz w:val="20"/>
          <w:szCs w:val="20"/>
        </w:rPr>
        <w:fldChar w:fldCharType="separate"/>
      </w:r>
    </w:p>
    <w:tbl>
      <w:tblPr>
        <w:tblW w:w="8850" w:type="dxa"/>
        <w:jc w:val="center"/>
        <w:tblInd w:w="-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"/>
        <w:gridCol w:w="1333"/>
        <w:gridCol w:w="566"/>
        <w:gridCol w:w="1296"/>
        <w:gridCol w:w="423"/>
        <w:gridCol w:w="1279"/>
        <w:gridCol w:w="561"/>
        <w:gridCol w:w="1288"/>
        <w:gridCol w:w="420"/>
        <w:gridCol w:w="1339"/>
      </w:tblGrid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1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roofErr w:type="spellStart"/>
            <w:r w:rsidRPr="00595025">
              <w:t>Alupar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roofErr w:type="spellStart"/>
            <w:r w:rsidRPr="00595025">
              <w:t>Ecorodovias</w:t>
            </w:r>
            <w:proofErr w:type="spellEnd"/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33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Grendene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49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MRV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Suzano Papel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2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Ambev S/A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Eletrobras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Hypermarcas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Multiplus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Taesa</w:t>
            </w:r>
            <w:proofErr w:type="spellEnd"/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3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Bradespar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Eletropaulo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Iochp-Maxion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Natura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Telef</w:t>
            </w:r>
            <w:proofErr w:type="spellEnd"/>
            <w:r w:rsidRPr="00595025">
              <w:t xml:space="preserve"> Brasil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4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Braskem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Embraer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JBS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Odontoprev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 xml:space="preserve">Tim </w:t>
            </w:r>
            <w:proofErr w:type="spellStart"/>
            <w:r w:rsidRPr="00595025">
              <w:t>Part</w:t>
            </w:r>
            <w:proofErr w:type="spellEnd"/>
            <w:r w:rsidRPr="00595025">
              <w:t xml:space="preserve"> S/A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5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BRF S/A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Energias BR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Klabin S/A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P.Acucar-Cbd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69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Totvs</w:t>
            </w:r>
            <w:proofErr w:type="spellEnd"/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6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CCR S/A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Energisa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Kroton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Petrobras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Tran</w:t>
            </w:r>
            <w:proofErr w:type="spellEnd"/>
            <w:r w:rsidRPr="00595025">
              <w:t xml:space="preserve"> </w:t>
            </w:r>
            <w:proofErr w:type="spellStart"/>
            <w:r w:rsidRPr="00595025">
              <w:t>Paulist</w:t>
            </w:r>
            <w:proofErr w:type="spellEnd"/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7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Cemig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Engie</w:t>
            </w:r>
            <w:proofErr w:type="spellEnd"/>
            <w:r w:rsidRPr="00595025">
              <w:t xml:space="preserve"> Brasil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Light S/A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Qualicorp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Ultrapar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8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Cesp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Equatorial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Linx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proofErr w:type="gramStart"/>
            <w:r w:rsidRPr="00595025">
              <w:t>RaiaDrogasil</w:t>
            </w:r>
            <w:proofErr w:type="spellEnd"/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Usiminas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proofErr w:type="gramStart"/>
            <w:r w:rsidRPr="00595025">
              <w:t>9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Cia Hering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Estacio</w:t>
            </w:r>
            <w:proofErr w:type="spellEnd"/>
            <w:r w:rsidRPr="00595025">
              <w:t xml:space="preserve"> </w:t>
            </w:r>
            <w:proofErr w:type="spellStart"/>
            <w:r w:rsidRPr="00595025">
              <w:t>Part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Localiza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 xml:space="preserve">Randon </w:t>
            </w:r>
            <w:proofErr w:type="spellStart"/>
            <w:r w:rsidRPr="00595025">
              <w:t>Part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Vale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roofErr w:type="spellStart"/>
            <w:r w:rsidRPr="00595025">
              <w:t>Copasa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Eztec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 xml:space="preserve">Lojas </w:t>
            </w:r>
            <w:proofErr w:type="spellStart"/>
            <w:r w:rsidRPr="00595025">
              <w:t>Americ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Rumo S.A.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Valid</w:t>
            </w:r>
            <w:proofErr w:type="spellEnd"/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r w:rsidRPr="00595025">
              <w:t>Copel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Fibria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Lojas Renner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Sabesp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Viavarejo</w:t>
            </w:r>
            <w:proofErr w:type="spellEnd"/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Cosan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Fleury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M.Diasbranco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Sanepar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76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Weg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CPFL Energia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29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Gafisa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Magaz</w:t>
            </w:r>
            <w:proofErr w:type="spellEnd"/>
            <w:r w:rsidRPr="00595025">
              <w:t xml:space="preserve"> Luiza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Sao</w:t>
            </w:r>
            <w:proofErr w:type="spellEnd"/>
            <w:r w:rsidRPr="00595025">
              <w:t xml:space="preserve"> Martinho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1B6D98" w:rsidRPr="00595025" w:rsidRDefault="001B6D98" w:rsidP="00663E5E">
            <w:pPr>
              <w:jc w:val="center"/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1B6D98" w:rsidRPr="00595025" w:rsidRDefault="001B6D98" w:rsidP="00663E5E"/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Cvc</w:t>
            </w:r>
            <w:proofErr w:type="spellEnd"/>
            <w:r w:rsidRPr="00595025">
              <w:t xml:space="preserve"> Brasil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Gerdau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Marcopolo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Ser Educa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1B6D98" w:rsidRPr="00595025" w:rsidRDefault="001B6D98" w:rsidP="00663E5E">
            <w:pPr>
              <w:jc w:val="center"/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1B6D98" w:rsidRPr="00595025" w:rsidRDefault="001B6D98" w:rsidP="00663E5E"/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Cyrela</w:t>
            </w:r>
            <w:proofErr w:type="spellEnd"/>
            <w:r w:rsidRPr="00595025">
              <w:t xml:space="preserve"> </w:t>
            </w:r>
            <w:proofErr w:type="spellStart"/>
            <w:r w:rsidRPr="00595025">
              <w:t>Realt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 xml:space="preserve">Gerdau </w:t>
            </w:r>
            <w:proofErr w:type="spellStart"/>
            <w:r w:rsidRPr="00595025">
              <w:t>Met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Marfrig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Sid Nacional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1B6D98" w:rsidRPr="00595025" w:rsidRDefault="001B6D98" w:rsidP="00663E5E">
            <w:pPr>
              <w:jc w:val="center"/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1B6D98" w:rsidRPr="00595025" w:rsidRDefault="001B6D98" w:rsidP="00663E5E"/>
        </w:tc>
      </w:tr>
      <w:tr w:rsidR="001B6D98" w:rsidRPr="00595025" w:rsidTr="00663E5E">
        <w:trPr>
          <w:trHeight w:val="300"/>
          <w:jc w:val="center"/>
        </w:trPr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16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Duratex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32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Gol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48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r w:rsidRPr="00595025">
              <w:t>Minerva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</w:pPr>
            <w:r w:rsidRPr="00595025">
              <w:t>64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D98" w:rsidRPr="00595025" w:rsidRDefault="001B6D98" w:rsidP="00663E5E">
            <w:proofErr w:type="spellStart"/>
            <w:r w:rsidRPr="00595025">
              <w:t>Smiles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1B6D98" w:rsidRPr="00595025" w:rsidRDefault="001B6D98" w:rsidP="00663E5E">
            <w:pPr>
              <w:jc w:val="both"/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1B6D98" w:rsidRPr="00595025" w:rsidRDefault="001B6D98" w:rsidP="00663E5E">
            <w:pPr>
              <w:jc w:val="both"/>
            </w:pPr>
          </w:p>
        </w:tc>
      </w:tr>
    </w:tbl>
    <w:p w:rsidR="001B6D98" w:rsidRPr="00595025" w:rsidRDefault="00262450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595025">
        <w:rPr>
          <w:sz w:val="20"/>
          <w:szCs w:val="20"/>
        </w:rPr>
        <w:fldChar w:fldCharType="end"/>
      </w:r>
      <w:r w:rsidR="007B2CF3">
        <w:rPr>
          <w:sz w:val="20"/>
          <w:szCs w:val="20"/>
        </w:rPr>
        <w:t xml:space="preserve">    Figura 5</w:t>
      </w:r>
      <w:r w:rsidR="001B6D98" w:rsidRPr="00595025">
        <w:rPr>
          <w:sz w:val="20"/>
          <w:szCs w:val="20"/>
        </w:rPr>
        <w:t xml:space="preserve"> Companhias da Amostra</w:t>
      </w:r>
    </w:p>
    <w:p w:rsidR="001B6D98" w:rsidRDefault="001B6D98" w:rsidP="001B6D98">
      <w:pPr>
        <w:pStyle w:val="Pargrafo"/>
        <w:spacing w:line="240" w:lineRule="auto"/>
        <w:ind w:firstLine="567"/>
      </w:pPr>
      <w:r>
        <w:rPr>
          <w:rFonts w:eastAsia="TimesNewRoman"/>
          <w:lang w:eastAsia="pt-BR"/>
        </w:rPr>
        <w:t xml:space="preserve">Com relação à abordagem do problema, esta pesquisa classifica-se como quantitativa, </w:t>
      </w:r>
      <w:r w:rsidRPr="00F00393">
        <w:t xml:space="preserve">por utilizar procedimentos estatísticos manipulados nos programas </w:t>
      </w:r>
      <w:r w:rsidRPr="00F00393">
        <w:rPr>
          <w:i/>
          <w:iCs/>
        </w:rPr>
        <w:t>STATA ®</w:t>
      </w:r>
      <w:r>
        <w:rPr>
          <w:i/>
          <w:iCs/>
        </w:rPr>
        <w:t xml:space="preserve"> </w:t>
      </w:r>
      <w:r>
        <w:rPr>
          <w:iCs/>
        </w:rPr>
        <w:t>12</w:t>
      </w:r>
      <w:r w:rsidRPr="00F00393">
        <w:rPr>
          <w:i/>
          <w:iCs/>
        </w:rPr>
        <w:t xml:space="preserve"> </w:t>
      </w:r>
      <w:r w:rsidRPr="00F00393">
        <w:rPr>
          <w:iCs/>
        </w:rPr>
        <w:t>e</w:t>
      </w:r>
      <w:r w:rsidRPr="00F00393">
        <w:rPr>
          <w:i/>
          <w:iCs/>
        </w:rPr>
        <w:t xml:space="preserve"> MS Excel</w:t>
      </w:r>
      <w:r w:rsidRPr="00F00393">
        <w:t xml:space="preserve">, a partir da utilização da </w:t>
      </w:r>
      <w:r w:rsidRPr="00FC240F">
        <w:t>estatística descriti</w:t>
      </w:r>
      <w:r>
        <w:t>va e análise de correspondência (</w:t>
      </w:r>
      <w:proofErr w:type="spellStart"/>
      <w:r>
        <w:t>Anacor</w:t>
      </w:r>
      <w:proofErr w:type="spellEnd"/>
      <w:r>
        <w:t xml:space="preserve">) pela estatística multivariada. Assim, a variável percentual do grau de </w:t>
      </w:r>
      <w:proofErr w:type="spellStart"/>
      <w:r w:rsidRPr="00D240E9">
        <w:rPr>
          <w:i/>
        </w:rPr>
        <w:t>disclosure</w:t>
      </w:r>
      <w:proofErr w:type="spellEnd"/>
      <w:r>
        <w:t xml:space="preserve"> das provisões e contingências (PDPC), foi calculada a partir do </w:t>
      </w:r>
      <w:proofErr w:type="spellStart"/>
      <w:r w:rsidRPr="00756CA3">
        <w:rPr>
          <w:i/>
        </w:rPr>
        <w:t>check</w:t>
      </w:r>
      <w:proofErr w:type="spellEnd"/>
      <w:r w:rsidRPr="00756CA3">
        <w:rPr>
          <w:i/>
        </w:rPr>
        <w:t xml:space="preserve"> </w:t>
      </w:r>
      <w:proofErr w:type="spellStart"/>
      <w:r w:rsidRPr="00756CA3">
        <w:rPr>
          <w:i/>
        </w:rPr>
        <w:t>list</w:t>
      </w:r>
      <w:proofErr w:type="spellEnd"/>
      <w:r>
        <w:t xml:space="preserve"> com 13 (treze) quesitos obrigatórios a serem apresentados pelas companhias conforme o CPC 25, enumeradas no quadro </w:t>
      </w:r>
      <w:proofErr w:type="gramStart"/>
      <w:r>
        <w:t>3</w:t>
      </w:r>
      <w:proofErr w:type="gramEnd"/>
      <w:r>
        <w:t xml:space="preserve"> deste estudo.</w:t>
      </w:r>
    </w:p>
    <w:p w:rsidR="001B6D98" w:rsidRDefault="001B6D98" w:rsidP="001B6D98">
      <w:pPr>
        <w:pStyle w:val="Pargrafo"/>
        <w:spacing w:line="240" w:lineRule="auto"/>
        <w:ind w:firstLine="567"/>
      </w:pPr>
      <w:r>
        <w:t xml:space="preserve">Para calcular o PDPC, foi atribuído </w:t>
      </w:r>
      <w:proofErr w:type="gramStart"/>
      <w:r>
        <w:t>1</w:t>
      </w:r>
      <w:proofErr w:type="gramEnd"/>
      <w:r>
        <w:t xml:space="preserve">(um) ponto quando a companhia apresentou o quesito em sua demonstração financeira e nota explicativa e 0(nenhum) ponto quando a companhia não atendeu o quesito. No final da avaliação de cada companhia foi atribuída uma razão do total de pontos atribuídos com o total de quesitos aplicados. A partir do cálculo da </w:t>
      </w:r>
      <w:proofErr w:type="gramStart"/>
      <w:r w:rsidRPr="00A05FB9">
        <w:rPr>
          <w:i/>
        </w:rPr>
        <w:t>proxy</w:t>
      </w:r>
      <w:proofErr w:type="gramEnd"/>
      <w:r>
        <w:t xml:space="preserve"> PDPC foi avaliado a correspondência (</w:t>
      </w:r>
      <w:proofErr w:type="spellStart"/>
      <w:r>
        <w:t>Anacor</w:t>
      </w:r>
      <w:proofErr w:type="spellEnd"/>
      <w:r>
        <w:t>) de variáveis econômicas e de tamanho encontradas na literatura com a variável PDPC. As variáveis util</w:t>
      </w:r>
      <w:r w:rsidR="007B2CF3">
        <w:t>izadas são descritas na figura 6</w:t>
      </w: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950"/>
        <w:gridCol w:w="4511"/>
        <w:gridCol w:w="1448"/>
      </w:tblGrid>
      <w:tr w:rsidR="001B6D98" w:rsidRPr="00FD4004" w:rsidTr="00663E5E">
        <w:tc>
          <w:tcPr>
            <w:tcW w:w="2302" w:type="dxa"/>
            <w:shd w:val="clear" w:color="auto" w:fill="auto"/>
          </w:tcPr>
          <w:p w:rsidR="001B6D98" w:rsidRPr="00595025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95025">
              <w:rPr>
                <w:sz w:val="20"/>
                <w:szCs w:val="20"/>
              </w:rPr>
              <w:t>Variável</w:t>
            </w:r>
          </w:p>
        </w:tc>
        <w:tc>
          <w:tcPr>
            <w:tcW w:w="950" w:type="dxa"/>
            <w:shd w:val="clear" w:color="auto" w:fill="auto"/>
          </w:tcPr>
          <w:p w:rsidR="001B6D98" w:rsidRPr="00595025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95025">
              <w:rPr>
                <w:sz w:val="20"/>
                <w:szCs w:val="20"/>
              </w:rPr>
              <w:t>Legenda</w:t>
            </w:r>
          </w:p>
        </w:tc>
        <w:tc>
          <w:tcPr>
            <w:tcW w:w="4511" w:type="dxa"/>
            <w:shd w:val="clear" w:color="auto" w:fill="auto"/>
          </w:tcPr>
          <w:p w:rsidR="001B6D98" w:rsidRPr="00595025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595025">
              <w:rPr>
                <w:i/>
                <w:sz w:val="20"/>
                <w:szCs w:val="20"/>
              </w:rPr>
              <w:t>Proxy</w:t>
            </w:r>
          </w:p>
        </w:tc>
        <w:tc>
          <w:tcPr>
            <w:tcW w:w="1448" w:type="dxa"/>
            <w:shd w:val="clear" w:color="auto" w:fill="auto"/>
          </w:tcPr>
          <w:p w:rsidR="001B6D98" w:rsidRPr="00595025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95025">
              <w:rPr>
                <w:sz w:val="20"/>
                <w:szCs w:val="20"/>
              </w:rPr>
              <w:t>Fonte</w:t>
            </w:r>
          </w:p>
        </w:tc>
      </w:tr>
      <w:tr w:rsidR="001B6D98" w:rsidRPr="00FD4004" w:rsidTr="00663E5E">
        <w:tc>
          <w:tcPr>
            <w:tcW w:w="2302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Tamanho</w:t>
            </w:r>
          </w:p>
        </w:tc>
        <w:tc>
          <w:tcPr>
            <w:tcW w:w="950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TAM</w:t>
            </w:r>
          </w:p>
        </w:tc>
        <w:tc>
          <w:tcPr>
            <w:tcW w:w="4511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FD4004">
              <w:rPr>
                <w:sz w:val="20"/>
                <w:szCs w:val="20"/>
              </w:rPr>
              <w:t>Ln</w:t>
            </w:r>
            <w:proofErr w:type="spellEnd"/>
            <w:r w:rsidRPr="00FD4004">
              <w:rPr>
                <w:sz w:val="20"/>
                <w:szCs w:val="20"/>
              </w:rPr>
              <w:t xml:space="preserve"> do Ativo Total</w:t>
            </w:r>
          </w:p>
        </w:tc>
        <w:tc>
          <w:tcPr>
            <w:tcW w:w="1448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D4004">
              <w:rPr>
                <w:sz w:val="20"/>
                <w:szCs w:val="20"/>
              </w:rPr>
              <w:t>Economática</w:t>
            </w:r>
            <w:proofErr w:type="spellEnd"/>
          </w:p>
        </w:tc>
      </w:tr>
      <w:tr w:rsidR="001B6D98" w:rsidRPr="00FD4004" w:rsidTr="00663E5E">
        <w:tc>
          <w:tcPr>
            <w:tcW w:w="2302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Endividamento</w:t>
            </w:r>
          </w:p>
        </w:tc>
        <w:tc>
          <w:tcPr>
            <w:tcW w:w="950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ENDIV</w:t>
            </w:r>
          </w:p>
        </w:tc>
        <w:tc>
          <w:tcPr>
            <w:tcW w:w="4511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Passivo Oneroso / Ativo total x 100</w:t>
            </w:r>
          </w:p>
        </w:tc>
        <w:tc>
          <w:tcPr>
            <w:tcW w:w="1448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D4004">
              <w:rPr>
                <w:sz w:val="20"/>
                <w:szCs w:val="20"/>
              </w:rPr>
              <w:t>Economática</w:t>
            </w:r>
            <w:proofErr w:type="spellEnd"/>
          </w:p>
        </w:tc>
      </w:tr>
      <w:tr w:rsidR="001B6D98" w:rsidRPr="00FD4004" w:rsidTr="00663E5E">
        <w:tc>
          <w:tcPr>
            <w:tcW w:w="2302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Rentabilidade</w:t>
            </w:r>
          </w:p>
        </w:tc>
        <w:tc>
          <w:tcPr>
            <w:tcW w:w="950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ROE</w:t>
            </w:r>
          </w:p>
        </w:tc>
        <w:tc>
          <w:tcPr>
            <w:tcW w:w="4511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 xml:space="preserve">Retorno sobre o ativo (ROE) = Lucro Líquido / </w:t>
            </w:r>
            <w:r w:rsidRPr="00FD4004">
              <w:rPr>
                <w:sz w:val="20"/>
                <w:szCs w:val="20"/>
              </w:rPr>
              <w:lastRenderedPageBreak/>
              <w:t>Patrimônio Líquido</w:t>
            </w:r>
          </w:p>
        </w:tc>
        <w:tc>
          <w:tcPr>
            <w:tcW w:w="1448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D4004">
              <w:rPr>
                <w:sz w:val="20"/>
                <w:szCs w:val="20"/>
              </w:rPr>
              <w:lastRenderedPageBreak/>
              <w:t>Economática</w:t>
            </w:r>
            <w:proofErr w:type="spellEnd"/>
          </w:p>
        </w:tc>
      </w:tr>
      <w:tr w:rsidR="001B6D98" w:rsidRPr="00FD4004" w:rsidTr="00663E5E">
        <w:tc>
          <w:tcPr>
            <w:tcW w:w="2302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lastRenderedPageBreak/>
              <w:t>Setor de atuação</w:t>
            </w:r>
          </w:p>
        </w:tc>
        <w:tc>
          <w:tcPr>
            <w:tcW w:w="950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SET</w:t>
            </w:r>
          </w:p>
        </w:tc>
        <w:tc>
          <w:tcPr>
            <w:tcW w:w="4511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Critério de Classificação conforme B3.</w:t>
            </w:r>
          </w:p>
        </w:tc>
        <w:tc>
          <w:tcPr>
            <w:tcW w:w="1448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D4004">
              <w:rPr>
                <w:sz w:val="20"/>
                <w:szCs w:val="20"/>
              </w:rPr>
              <w:t>Economática</w:t>
            </w:r>
            <w:proofErr w:type="spellEnd"/>
          </w:p>
        </w:tc>
      </w:tr>
      <w:tr w:rsidR="001B6D98" w:rsidRPr="00FD4004" w:rsidTr="00663E5E">
        <w:tc>
          <w:tcPr>
            <w:tcW w:w="2302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Governança</w:t>
            </w:r>
          </w:p>
        </w:tc>
        <w:tc>
          <w:tcPr>
            <w:tcW w:w="950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NGOV</w:t>
            </w:r>
          </w:p>
        </w:tc>
        <w:tc>
          <w:tcPr>
            <w:tcW w:w="4511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Critério de Segmentação conforme B3.</w:t>
            </w:r>
          </w:p>
        </w:tc>
        <w:tc>
          <w:tcPr>
            <w:tcW w:w="1448" w:type="dxa"/>
            <w:shd w:val="clear" w:color="auto" w:fill="auto"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D4004">
              <w:rPr>
                <w:sz w:val="20"/>
                <w:szCs w:val="20"/>
              </w:rPr>
              <w:t>Economática</w:t>
            </w:r>
            <w:proofErr w:type="spellEnd"/>
          </w:p>
        </w:tc>
      </w:tr>
    </w:tbl>
    <w:p w:rsidR="001B6D98" w:rsidRPr="00C90AD6" w:rsidRDefault="007B2CF3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Figura 6</w:t>
      </w:r>
      <w:r w:rsidR="001B6D98" w:rsidRPr="00C90AD6">
        <w:rPr>
          <w:sz w:val="20"/>
          <w:szCs w:val="20"/>
        </w:rPr>
        <w:t xml:space="preserve"> Variáveis utilizadas no estudo</w:t>
      </w:r>
    </w:p>
    <w:p w:rsidR="001B6D98" w:rsidRDefault="001B6D98" w:rsidP="001B6D98">
      <w:pPr>
        <w:pStyle w:val="Pargrafo"/>
        <w:spacing w:line="240" w:lineRule="auto"/>
        <w:ind w:firstLine="708"/>
      </w:pPr>
      <w:r w:rsidRPr="00660B55">
        <w:t>A partir disso</w:t>
      </w:r>
      <w:r>
        <w:t xml:space="preserve">, fez-se o teste de normalidade </w:t>
      </w:r>
      <w:proofErr w:type="gramStart"/>
      <w:r>
        <w:t>afim de</w:t>
      </w:r>
      <w:proofErr w:type="gramEnd"/>
      <w:r>
        <w:t xml:space="preserve"> verificar se as variáveis são paramétricas ou não paramétricas. Como não foi aceito o pressuposto de normalidade, avaliou-se a correlação através do teste de </w:t>
      </w:r>
      <w:proofErr w:type="spellStart"/>
      <w:r>
        <w:t>Spearman</w:t>
      </w:r>
      <w:proofErr w:type="spellEnd"/>
      <w:r>
        <w:t xml:space="preserve">. Para se </w:t>
      </w:r>
      <w:proofErr w:type="gramStart"/>
      <w:r>
        <w:t>ter</w:t>
      </w:r>
      <w:proofErr w:type="gramEnd"/>
      <w:r>
        <w:t xml:space="preserve"> uma noção mais clara e visual desta relação, as variáveis foram agrupadas </w:t>
      </w:r>
      <w:r w:rsidRPr="00660B55">
        <w:t xml:space="preserve">para operacionalização da </w:t>
      </w:r>
      <w:proofErr w:type="spellStart"/>
      <w:r w:rsidRPr="00660B55">
        <w:t>Anacor</w:t>
      </w:r>
      <w:proofErr w:type="spellEnd"/>
      <w:r>
        <w:t xml:space="preserve">. </w:t>
      </w:r>
    </w:p>
    <w:p w:rsidR="001B6D98" w:rsidRDefault="001B6D98" w:rsidP="001B6D98">
      <w:pPr>
        <w:pStyle w:val="Pargrafo"/>
        <w:spacing w:line="240" w:lineRule="auto"/>
        <w:ind w:firstLine="708"/>
      </w:pPr>
      <w:r>
        <w:t xml:space="preserve">Antes de </w:t>
      </w:r>
      <w:proofErr w:type="spellStart"/>
      <w:r>
        <w:t>operacionar</w:t>
      </w:r>
      <w:proofErr w:type="spellEnd"/>
      <w:r>
        <w:t xml:space="preserve"> o referido teste, </w:t>
      </w:r>
      <w:r w:rsidRPr="00660B55">
        <w:t xml:space="preserve">deve-se, primeiramente, utilizar o teste </w:t>
      </w:r>
      <w:proofErr w:type="spellStart"/>
      <w:r w:rsidRPr="00660B55">
        <w:t>Qui</w:t>
      </w:r>
      <w:proofErr w:type="spellEnd"/>
      <w:r w:rsidRPr="00660B55">
        <w:t>-quadrado a fim de verificar se as variáveis econômicas apresentam significância estatística a níveis satisfatórios com a variável PDPC deste estudo.</w:t>
      </w:r>
      <w:r>
        <w:t xml:space="preserve"> Para Fávero, </w:t>
      </w:r>
      <w:proofErr w:type="spellStart"/>
      <w:r>
        <w:t>Belfiore</w:t>
      </w:r>
      <w:proofErr w:type="spellEnd"/>
      <w:r>
        <w:t>, Silva &amp; Chan (2009, p. 271), a Análise de Correspondência (</w:t>
      </w:r>
      <w:proofErr w:type="spellStart"/>
      <w:r>
        <w:t>Anacor</w:t>
      </w:r>
      <w:proofErr w:type="spellEnd"/>
      <w:r>
        <w:t>),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660B55">
        <w:t>“é uma técnica que exibe as associações entre um</w:t>
      </w:r>
      <w:r>
        <w:t xml:space="preserve"> </w:t>
      </w:r>
      <w:r w:rsidRPr="00660B55">
        <w:t>conjunto de variáveis categóricas não métricas</w:t>
      </w:r>
      <w:r>
        <w:t xml:space="preserve"> </w:t>
      </w:r>
      <w:r w:rsidRPr="00660B55">
        <w:t>em um mapa perceptual, permitindo, dessa maneira,</w:t>
      </w:r>
      <w:r>
        <w:t xml:space="preserve"> </w:t>
      </w:r>
      <w:r w:rsidRPr="00660B55">
        <w:t>um exame visual de qualquer padrão ou</w:t>
      </w:r>
      <w:r>
        <w:t xml:space="preserve"> estrutura nos dados.”. Assim, o referido teste é aplicado quando se pretende estudar a relação entre duas variáveis qualitativas. Para isso as variáveis deste estudo foram transformadas para uma escala qualitativa conforme tabela 1.</w:t>
      </w:r>
    </w:p>
    <w:p w:rsidR="001B6D98" w:rsidRPr="00C90AD6" w:rsidRDefault="001B6D98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C90AD6">
        <w:rPr>
          <w:sz w:val="20"/>
          <w:szCs w:val="20"/>
        </w:rPr>
        <w:t>Tabela 1 Variáveis do estudo em escala qualitativa</w:t>
      </w:r>
    </w:p>
    <w:tbl>
      <w:tblPr>
        <w:tblW w:w="0" w:type="auto"/>
        <w:jc w:val="center"/>
        <w:tblInd w:w="-36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8"/>
        <w:gridCol w:w="3114"/>
        <w:gridCol w:w="4797"/>
      </w:tblGrid>
      <w:tr w:rsidR="001B6D98" w:rsidRPr="006607DC" w:rsidTr="00663E5E">
        <w:trPr>
          <w:trHeight w:val="372"/>
          <w:jc w:val="center"/>
        </w:trPr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bCs/>
              </w:rPr>
            </w:pPr>
            <w:r w:rsidRPr="00595025">
              <w:rPr>
                <w:bCs/>
              </w:rPr>
              <w:t>Variável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bCs/>
              </w:rPr>
            </w:pPr>
            <w:r w:rsidRPr="00595025">
              <w:rPr>
                <w:bCs/>
              </w:rPr>
              <w:t>Descrição</w:t>
            </w:r>
          </w:p>
        </w:tc>
        <w:tc>
          <w:tcPr>
            <w:tcW w:w="4797" w:type="dxa"/>
            <w:shd w:val="clear" w:color="auto" w:fill="auto"/>
            <w:noWrap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bCs/>
              </w:rPr>
            </w:pPr>
            <w:r w:rsidRPr="00595025">
              <w:rPr>
                <w:bCs/>
              </w:rPr>
              <w:t xml:space="preserve">Mensuração das </w:t>
            </w:r>
            <w:r w:rsidRPr="00595025">
              <w:rPr>
                <w:bCs/>
                <w:i/>
              </w:rPr>
              <w:t>Proxies</w:t>
            </w:r>
          </w:p>
        </w:tc>
      </w:tr>
      <w:tr w:rsidR="001B6D98" w:rsidRPr="006607DC" w:rsidTr="00663E5E">
        <w:trPr>
          <w:trHeight w:val="330"/>
          <w:jc w:val="center"/>
        </w:trPr>
        <w:tc>
          <w:tcPr>
            <w:tcW w:w="1118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ind w:left="-46"/>
              <w:jc w:val="center"/>
            </w:pPr>
            <w:r>
              <w:t>PDPC</w:t>
            </w:r>
          </w:p>
        </w:tc>
        <w:tc>
          <w:tcPr>
            <w:tcW w:w="3114" w:type="dxa"/>
            <w:shd w:val="clear" w:color="auto" w:fill="auto"/>
            <w:noWrap/>
          </w:tcPr>
          <w:p w:rsidR="001B6D98" w:rsidRPr="00CA0BC8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A0BC8">
              <w:rPr>
                <w:sz w:val="20"/>
                <w:szCs w:val="20"/>
              </w:rPr>
              <w:t xml:space="preserve">ercentual do grau de </w:t>
            </w:r>
            <w:proofErr w:type="spellStart"/>
            <w:r w:rsidRPr="00CA0BC8">
              <w:rPr>
                <w:i/>
                <w:sz w:val="20"/>
                <w:szCs w:val="20"/>
              </w:rPr>
              <w:t>disclosure</w:t>
            </w:r>
            <w:proofErr w:type="spellEnd"/>
            <w:r w:rsidRPr="00CA0BC8">
              <w:rPr>
                <w:sz w:val="20"/>
                <w:szCs w:val="20"/>
              </w:rPr>
              <w:t xml:space="preserve"> das provisões e contingências</w:t>
            </w:r>
          </w:p>
        </w:tc>
        <w:tc>
          <w:tcPr>
            <w:tcW w:w="4797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both"/>
            </w:pPr>
            <w:r>
              <w:t xml:space="preserve">Alta: entre </w:t>
            </w:r>
            <w:proofErr w:type="gramStart"/>
            <w:r>
              <w:t>1</w:t>
            </w:r>
            <w:proofErr w:type="gramEnd"/>
            <w:r>
              <w:t xml:space="preserve"> e 0,8; Média: entre 0,79 e 0,6 e Baixa: entre 0,59 e 0.</w:t>
            </w:r>
          </w:p>
        </w:tc>
      </w:tr>
      <w:tr w:rsidR="001B6D98" w:rsidRPr="006607DC" w:rsidTr="00663E5E">
        <w:trPr>
          <w:trHeight w:val="330"/>
          <w:jc w:val="center"/>
        </w:trPr>
        <w:tc>
          <w:tcPr>
            <w:tcW w:w="1118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center"/>
            </w:pPr>
            <w:r>
              <w:t>TAM</w:t>
            </w:r>
          </w:p>
        </w:tc>
        <w:tc>
          <w:tcPr>
            <w:tcW w:w="3114" w:type="dxa"/>
            <w:shd w:val="clear" w:color="auto" w:fill="auto"/>
            <w:noWrap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Tamanho</w:t>
            </w:r>
          </w:p>
        </w:tc>
        <w:tc>
          <w:tcPr>
            <w:tcW w:w="4797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>
              <w:t xml:space="preserve">Alta: entre </w:t>
            </w:r>
            <w:proofErr w:type="gramStart"/>
            <w:r>
              <w:t>1</w:t>
            </w:r>
            <w:proofErr w:type="gramEnd"/>
            <w:r>
              <w:t xml:space="preserve"> e 0,8; Média: entre 0,79 e 0,6 e Baixa: entre 0,59 e 0.</w:t>
            </w:r>
          </w:p>
        </w:tc>
      </w:tr>
      <w:tr w:rsidR="001B6D98" w:rsidRPr="006607DC" w:rsidTr="00663E5E">
        <w:trPr>
          <w:trHeight w:val="330"/>
          <w:jc w:val="center"/>
        </w:trPr>
        <w:tc>
          <w:tcPr>
            <w:tcW w:w="1118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center"/>
            </w:pPr>
            <w:r>
              <w:t>ENDIV</w:t>
            </w:r>
          </w:p>
        </w:tc>
        <w:tc>
          <w:tcPr>
            <w:tcW w:w="3114" w:type="dxa"/>
            <w:shd w:val="clear" w:color="auto" w:fill="auto"/>
            <w:noWrap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Endividamento</w:t>
            </w:r>
          </w:p>
        </w:tc>
        <w:tc>
          <w:tcPr>
            <w:tcW w:w="4797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>
              <w:t xml:space="preserve">Alta: entre </w:t>
            </w:r>
            <w:proofErr w:type="gramStart"/>
            <w:r>
              <w:t>1</w:t>
            </w:r>
            <w:proofErr w:type="gramEnd"/>
            <w:r>
              <w:t xml:space="preserve"> e 0,8; Média: entre 0,79 e 0,6 e Baixa: entre 0,59 e 0.</w:t>
            </w:r>
          </w:p>
        </w:tc>
      </w:tr>
      <w:tr w:rsidR="001B6D98" w:rsidRPr="006607DC" w:rsidTr="00663E5E">
        <w:trPr>
          <w:trHeight w:val="330"/>
          <w:jc w:val="center"/>
        </w:trPr>
        <w:tc>
          <w:tcPr>
            <w:tcW w:w="1118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center"/>
            </w:pPr>
            <w:r>
              <w:t>ROE</w:t>
            </w:r>
          </w:p>
        </w:tc>
        <w:tc>
          <w:tcPr>
            <w:tcW w:w="3114" w:type="dxa"/>
            <w:shd w:val="clear" w:color="auto" w:fill="auto"/>
            <w:noWrap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Rentabilidade</w:t>
            </w:r>
          </w:p>
        </w:tc>
        <w:tc>
          <w:tcPr>
            <w:tcW w:w="4797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Alta: entre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e 0,8; Média: entre 0,79 e 0,6 e Baixa: entre 0,59 e 0.</w:t>
            </w:r>
          </w:p>
        </w:tc>
      </w:tr>
      <w:tr w:rsidR="001B6D98" w:rsidRPr="006607DC" w:rsidTr="00663E5E">
        <w:trPr>
          <w:trHeight w:val="330"/>
          <w:jc w:val="center"/>
        </w:trPr>
        <w:tc>
          <w:tcPr>
            <w:tcW w:w="1118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center"/>
            </w:pPr>
            <w:r>
              <w:t>SET</w:t>
            </w:r>
          </w:p>
        </w:tc>
        <w:tc>
          <w:tcPr>
            <w:tcW w:w="3114" w:type="dxa"/>
            <w:shd w:val="clear" w:color="auto" w:fill="auto"/>
            <w:noWrap/>
          </w:tcPr>
          <w:p w:rsidR="001B6D98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1B6D98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D4004">
              <w:rPr>
                <w:sz w:val="20"/>
                <w:szCs w:val="20"/>
              </w:rPr>
              <w:t>Setor de atuação</w:t>
            </w:r>
          </w:p>
        </w:tc>
        <w:tc>
          <w:tcPr>
            <w:tcW w:w="4797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both"/>
            </w:pPr>
            <w:r>
              <w:t xml:space="preserve">1 – Bens industriais, 2 – Consumo cíclico, </w:t>
            </w:r>
            <w:proofErr w:type="gramStart"/>
            <w:r>
              <w:t>3</w:t>
            </w:r>
            <w:proofErr w:type="gramEnd"/>
            <w:r>
              <w:t xml:space="preserve"> – Consumo não cíclico, 4 – Materiais Básicos, 5 – Petróleo, gás e bicombustíveis, 6 – Saúde, 7 – Tecnologia da informação, 8 – Telecomunicações e 9 – Utilidade Pública.</w:t>
            </w:r>
          </w:p>
        </w:tc>
      </w:tr>
      <w:tr w:rsidR="001B6D98" w:rsidRPr="006607DC" w:rsidTr="00663E5E">
        <w:trPr>
          <w:trHeight w:val="330"/>
          <w:jc w:val="center"/>
        </w:trPr>
        <w:tc>
          <w:tcPr>
            <w:tcW w:w="1118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center"/>
            </w:pPr>
            <w:r>
              <w:t>NGOV</w:t>
            </w:r>
          </w:p>
        </w:tc>
        <w:tc>
          <w:tcPr>
            <w:tcW w:w="3114" w:type="dxa"/>
            <w:shd w:val="clear" w:color="auto" w:fill="auto"/>
            <w:noWrap/>
          </w:tcPr>
          <w:p w:rsidR="001B6D98" w:rsidRPr="00FD4004" w:rsidRDefault="001B6D98" w:rsidP="00663E5E">
            <w:pPr>
              <w:pStyle w:val="Pargrafo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Governança</w:t>
            </w:r>
          </w:p>
        </w:tc>
        <w:tc>
          <w:tcPr>
            <w:tcW w:w="4797" w:type="dxa"/>
            <w:shd w:val="clear" w:color="auto" w:fill="auto"/>
            <w:noWrap/>
            <w:vAlign w:val="center"/>
          </w:tcPr>
          <w:p w:rsidR="001B6D98" w:rsidRPr="00CA0BC8" w:rsidRDefault="001B6D98" w:rsidP="00663E5E">
            <w:pPr>
              <w:jc w:val="both"/>
            </w:pPr>
            <w:proofErr w:type="gramStart"/>
            <w:r>
              <w:t>1</w:t>
            </w:r>
            <w:proofErr w:type="gramEnd"/>
            <w:r>
              <w:t xml:space="preserve"> –Tradicional, 2 – Nível 1, 3 – Novo Mercado e 4 – Nível 2.</w:t>
            </w:r>
          </w:p>
        </w:tc>
      </w:tr>
    </w:tbl>
    <w:p w:rsidR="001B6D98" w:rsidRPr="001B6D98" w:rsidRDefault="001B6D98" w:rsidP="001B6D98">
      <w:pPr>
        <w:pStyle w:val="Pargrafo"/>
        <w:spacing w:line="240" w:lineRule="auto"/>
        <w:ind w:firstLine="0"/>
        <w:rPr>
          <w:b/>
        </w:rPr>
      </w:pPr>
      <w:r w:rsidRPr="001B6D98">
        <w:rPr>
          <w:b/>
        </w:rPr>
        <w:t>4. Discussão dos Resultados</w:t>
      </w:r>
    </w:p>
    <w:p w:rsidR="001B6D98" w:rsidRDefault="001B6D98" w:rsidP="001B6D98">
      <w:pPr>
        <w:pStyle w:val="Pargrafo"/>
        <w:spacing w:line="240" w:lineRule="auto"/>
        <w:ind w:firstLine="0"/>
      </w:pPr>
      <w:r>
        <w:tab/>
        <w:t xml:space="preserve">Na tabela 2, são expostos </w:t>
      </w:r>
      <w:r w:rsidRPr="00D66443">
        <w:t xml:space="preserve">os resultados da análise do nível de </w:t>
      </w:r>
      <w:proofErr w:type="spellStart"/>
      <w:r w:rsidRPr="00D66443">
        <w:rPr>
          <w:i/>
          <w:iCs/>
        </w:rPr>
        <w:t>Disclosure</w:t>
      </w:r>
      <w:proofErr w:type="spellEnd"/>
      <w:r>
        <w:rPr>
          <w:iCs/>
        </w:rPr>
        <w:t xml:space="preserve"> de Provisões</w:t>
      </w:r>
      <w:r w:rsidRPr="00D66443">
        <w:rPr>
          <w:i/>
          <w:iCs/>
        </w:rPr>
        <w:t xml:space="preserve"> </w:t>
      </w:r>
      <w:r w:rsidRPr="00D66443">
        <w:t xml:space="preserve">alcançado pelas </w:t>
      </w:r>
      <w:r>
        <w:t>companhias que fizeram parte da amostra deste estudo</w:t>
      </w:r>
      <w:r w:rsidRPr="00D66443">
        <w:t xml:space="preserve"> por item do </w:t>
      </w:r>
      <w:proofErr w:type="spellStart"/>
      <w:r w:rsidRPr="00D66443">
        <w:rPr>
          <w:i/>
          <w:iCs/>
        </w:rPr>
        <w:t>checklist</w:t>
      </w:r>
      <w:proofErr w:type="spellEnd"/>
      <w:r w:rsidRPr="00D66443">
        <w:rPr>
          <w:i/>
          <w:iCs/>
        </w:rPr>
        <w:t xml:space="preserve"> </w:t>
      </w:r>
      <w:r w:rsidRPr="00D66443">
        <w:t xml:space="preserve">extraído do CPC </w:t>
      </w:r>
      <w:r>
        <w:t>25.</w:t>
      </w:r>
    </w:p>
    <w:p w:rsidR="001B6D98" w:rsidRPr="00C90AD6" w:rsidRDefault="001B6D98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C90AD6">
        <w:rPr>
          <w:sz w:val="20"/>
          <w:szCs w:val="20"/>
        </w:rPr>
        <w:t xml:space="preserve">Tabela 2 </w:t>
      </w:r>
      <w:proofErr w:type="spellStart"/>
      <w:r w:rsidRPr="00C90AD6">
        <w:rPr>
          <w:bCs/>
          <w:i/>
          <w:iCs/>
          <w:sz w:val="20"/>
          <w:szCs w:val="20"/>
        </w:rPr>
        <w:t>Disclosure</w:t>
      </w:r>
      <w:proofErr w:type="spellEnd"/>
      <w:r w:rsidRPr="00C90AD6">
        <w:rPr>
          <w:bCs/>
          <w:i/>
          <w:iCs/>
          <w:sz w:val="20"/>
          <w:szCs w:val="20"/>
        </w:rPr>
        <w:t xml:space="preserve"> </w:t>
      </w:r>
      <w:r w:rsidRPr="00C90AD6">
        <w:rPr>
          <w:bCs/>
          <w:sz w:val="20"/>
          <w:szCs w:val="20"/>
        </w:rPr>
        <w:t>de Informações sobre Provisões por quesito analisado</w:t>
      </w:r>
    </w:p>
    <w:tbl>
      <w:tblPr>
        <w:tblW w:w="878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7360"/>
        <w:gridCol w:w="551"/>
        <w:gridCol w:w="590"/>
      </w:tblGrid>
      <w:tr w:rsidR="001B6D98" w:rsidRPr="00C66A4D" w:rsidTr="00663E5E">
        <w:trPr>
          <w:trHeight w:val="300"/>
          <w:jc w:val="center"/>
        </w:trPr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Quesito analisado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proofErr w:type="spellStart"/>
            <w:r w:rsidRPr="00595025">
              <w:rPr>
                <w:rFonts w:ascii="Times" w:hAnsi="Times" w:cs="Calibri"/>
                <w:bCs/>
                <w:color w:val="000000"/>
              </w:rPr>
              <w:t>Freq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%</w:t>
            </w:r>
          </w:p>
        </w:tc>
      </w:tr>
      <w:tr w:rsidR="001B6D98" w:rsidRPr="00C66A4D" w:rsidTr="00663E5E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1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Os valores contábeis do início e do final do período.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74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97,37</w:t>
            </w:r>
          </w:p>
        </w:tc>
      </w:tr>
      <w:tr w:rsidR="001B6D98" w:rsidRPr="00C66A4D" w:rsidTr="00663E5E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2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As naturezas das provisões na data do balanço.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73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96,05</w:t>
            </w:r>
          </w:p>
        </w:tc>
      </w:tr>
      <w:tr w:rsidR="001B6D98" w:rsidRPr="00C66A4D" w:rsidTr="00663E5E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3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Provisões adicionais feitas no período, incluindo aumentos nas provisões existentes.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78,95</w:t>
            </w:r>
          </w:p>
        </w:tc>
      </w:tr>
      <w:tr w:rsidR="001B6D98" w:rsidRPr="00C66A4D" w:rsidTr="00663E5E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4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Valores utilizados e não utilizados revertidos durante o período.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59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77,63</w:t>
            </w:r>
          </w:p>
        </w:tc>
      </w:tr>
      <w:tr w:rsidR="001B6D98" w:rsidRPr="00C66A4D" w:rsidTr="00663E5E">
        <w:trPr>
          <w:trHeight w:val="51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5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O aumento, durante o período, no valor descontado a valor presente, proveniente do decurso do tempo, e o efeito de qualquer mudança na taxa de desconto.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55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72,37</w:t>
            </w:r>
          </w:p>
        </w:tc>
      </w:tr>
      <w:tr w:rsidR="001B6D98" w:rsidRPr="00C66A4D" w:rsidTr="00663E5E">
        <w:trPr>
          <w:trHeight w:val="51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6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Uma breve descrição da natureza da obrigação e o cronograma esperado de quaisquer saídas de benefícios econômicos resultantes, para cada classe de provisões.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67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86,84</w:t>
            </w:r>
          </w:p>
        </w:tc>
      </w:tr>
      <w:tr w:rsidR="001B6D98" w:rsidRPr="00C66A4D" w:rsidTr="00663E5E">
        <w:trPr>
          <w:trHeight w:val="300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lastRenderedPageBreak/>
              <w:t> </w:t>
            </w:r>
          </w:p>
        </w:tc>
        <w:tc>
          <w:tcPr>
            <w:tcW w:w="736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Uma indicação das incertezas sobre o valor ou o cronograma dessas saídas; sempre que necessário para fornecer informações adequadas, a entidade deve divulgar as principais premissas adotadas em relação a eventos futuros, para cada classe de provisões.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1B6D98" w:rsidRPr="00C66A4D" w:rsidTr="00663E5E">
        <w:trPr>
          <w:trHeight w:val="480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7</w:t>
            </w:r>
            <w:proofErr w:type="gramEnd"/>
          </w:p>
        </w:tc>
        <w:tc>
          <w:tcPr>
            <w:tcW w:w="73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6D98" w:rsidRPr="00C66A4D" w:rsidRDefault="001B6D98" w:rsidP="00663E5E">
            <w:pPr>
              <w:rPr>
                <w:rFonts w:ascii="Times" w:hAnsi="Times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57,89</w:t>
            </w:r>
          </w:p>
        </w:tc>
      </w:tr>
      <w:tr w:rsidR="001B6D98" w:rsidRPr="00C66A4D" w:rsidTr="00663E5E">
        <w:trPr>
          <w:trHeight w:val="510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C66A4D">
              <w:rPr>
                <w:rFonts w:ascii="Times" w:hAnsi="Times" w:cs="Calibri"/>
                <w:color w:val="000000"/>
              </w:rPr>
              <w:t>8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D98" w:rsidRPr="00C66A4D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O valor de qualquer reembolso esperado, declarando o valor de qualquer ativo que tenha sido reconhecido por conta desse reembolso esperado.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57,89</w:t>
            </w:r>
          </w:p>
        </w:tc>
      </w:tr>
      <w:tr w:rsidR="001B6D98" w:rsidRPr="00C66A4D" w:rsidTr="00663E5E">
        <w:trPr>
          <w:trHeight w:val="300"/>
          <w:jc w:val="center"/>
        </w:trPr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MÉDIA: 78,12%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C66A4D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C66A4D">
              <w:rPr>
                <w:rFonts w:ascii="Times" w:hAnsi="Times" w:cs="Calibri"/>
                <w:color w:val="000000"/>
              </w:rPr>
              <w:t> </w:t>
            </w:r>
          </w:p>
        </w:tc>
      </w:tr>
    </w:tbl>
    <w:p w:rsidR="001B6D98" w:rsidRDefault="001B6D98" w:rsidP="001B6D98">
      <w:pPr>
        <w:pStyle w:val="Pargrafo"/>
        <w:spacing w:line="240" w:lineRule="auto"/>
        <w:ind w:firstLine="708"/>
      </w:pPr>
      <w:r>
        <w:t xml:space="preserve">Diante dos resultados supracitados na tabela 2, observa-se um grau razoável de </w:t>
      </w:r>
      <w:proofErr w:type="spellStart"/>
      <w:r w:rsidRPr="00C66A4D">
        <w:rPr>
          <w:i/>
        </w:rPr>
        <w:t>disclosure</w:t>
      </w:r>
      <w:proofErr w:type="spellEnd"/>
      <w:r>
        <w:t xml:space="preserve"> pelas companhias da amostra por quesito analisado das Provisões, visto que a média destes quesitos foi de 78,12%. Todavia percebe-se que nenhum dos quesitos obteve alcance total pelas companhias. O quesito que apresentou maior alcance com relação às provisões foi à apresentação dos valores contábeis do início e final do período atingindo assim 97,37% das companhias. Por sua vez, os quesitos que tratam da indicação de incertezas, cronogramas e o valor de qualquer reembolso esperado, apresentaram o menor grau de </w:t>
      </w:r>
      <w:proofErr w:type="spellStart"/>
      <w:r w:rsidRPr="0066656B">
        <w:rPr>
          <w:i/>
        </w:rPr>
        <w:t>disclosure</w:t>
      </w:r>
      <w:proofErr w:type="spellEnd"/>
      <w:r>
        <w:t xml:space="preserve"> de provisões pelas companhias, com percentual de 57,89%. </w:t>
      </w:r>
    </w:p>
    <w:p w:rsidR="001B6D98" w:rsidRDefault="001B6D98" w:rsidP="001B6D98">
      <w:pPr>
        <w:pStyle w:val="Pargrafo"/>
        <w:spacing w:line="240" w:lineRule="auto"/>
        <w:ind w:firstLine="708"/>
        <w:rPr>
          <w:b/>
        </w:rPr>
      </w:pPr>
      <w:r>
        <w:t xml:space="preserve">Com relação às contingências, na tabela 3 são expostos </w:t>
      </w:r>
      <w:r w:rsidRPr="00D66443">
        <w:t xml:space="preserve">os resultados da análise do nível de </w:t>
      </w:r>
      <w:proofErr w:type="spellStart"/>
      <w:r w:rsidRPr="00D66443">
        <w:rPr>
          <w:i/>
          <w:iCs/>
        </w:rPr>
        <w:t>Disclosure</w:t>
      </w:r>
      <w:proofErr w:type="spellEnd"/>
      <w:r>
        <w:rPr>
          <w:iCs/>
        </w:rPr>
        <w:t xml:space="preserve"> </w:t>
      </w:r>
      <w:r w:rsidRPr="00D66443">
        <w:t xml:space="preserve">alcançado pelas </w:t>
      </w:r>
      <w:r>
        <w:t>companhias que fizeram parte da amostra deste estudo</w:t>
      </w:r>
      <w:r w:rsidRPr="00D66443">
        <w:t xml:space="preserve"> por item do </w:t>
      </w:r>
      <w:proofErr w:type="spellStart"/>
      <w:r w:rsidRPr="00D66443">
        <w:rPr>
          <w:i/>
          <w:iCs/>
        </w:rPr>
        <w:t>checklist</w:t>
      </w:r>
      <w:proofErr w:type="spellEnd"/>
      <w:r w:rsidRPr="00D66443">
        <w:rPr>
          <w:i/>
          <w:iCs/>
        </w:rPr>
        <w:t xml:space="preserve"> </w:t>
      </w:r>
      <w:r w:rsidRPr="00D66443">
        <w:t xml:space="preserve">extraído do CPC </w:t>
      </w:r>
      <w:r>
        <w:t>25.</w:t>
      </w:r>
    </w:p>
    <w:p w:rsidR="001B6D98" w:rsidRPr="00C90AD6" w:rsidRDefault="001B6D98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C90AD6">
        <w:rPr>
          <w:sz w:val="20"/>
          <w:szCs w:val="20"/>
        </w:rPr>
        <w:t xml:space="preserve">Tabela 3 </w:t>
      </w:r>
      <w:proofErr w:type="spellStart"/>
      <w:r w:rsidRPr="00C90AD6">
        <w:rPr>
          <w:bCs/>
          <w:i/>
          <w:iCs/>
          <w:sz w:val="20"/>
          <w:szCs w:val="20"/>
        </w:rPr>
        <w:t>Disclosure</w:t>
      </w:r>
      <w:proofErr w:type="spellEnd"/>
      <w:r w:rsidRPr="00C90AD6">
        <w:rPr>
          <w:bCs/>
          <w:i/>
          <w:iCs/>
          <w:sz w:val="20"/>
          <w:szCs w:val="20"/>
        </w:rPr>
        <w:t xml:space="preserve"> </w:t>
      </w:r>
      <w:r w:rsidRPr="00C90AD6">
        <w:rPr>
          <w:bCs/>
          <w:sz w:val="20"/>
          <w:szCs w:val="20"/>
        </w:rPr>
        <w:t>de Informações sobre Contingências por quesito analisado</w:t>
      </w:r>
    </w:p>
    <w:tbl>
      <w:tblPr>
        <w:tblW w:w="884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7360"/>
        <w:gridCol w:w="551"/>
        <w:gridCol w:w="590"/>
      </w:tblGrid>
      <w:tr w:rsidR="001B6D98" w:rsidRPr="00A70E3E" w:rsidTr="00663E5E">
        <w:trPr>
          <w:trHeight w:val="12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rPr>
                <w:rFonts w:cs="Calibri"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rPr>
                <w:rFonts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rPr>
                <w:rFonts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rPr>
                <w:rFonts w:cs="Calibri"/>
                <w:color w:val="000000"/>
              </w:rPr>
            </w:pP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7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Quesito analisado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proofErr w:type="spellStart"/>
            <w:r w:rsidRPr="00595025">
              <w:rPr>
                <w:rFonts w:ascii="Times" w:hAnsi="Times" w:cs="Calibri"/>
                <w:bCs/>
                <w:color w:val="000000"/>
              </w:rPr>
              <w:t>Freq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%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proofErr w:type="gramStart"/>
            <w:r w:rsidRPr="00A70E3E">
              <w:rPr>
                <w:rFonts w:ascii="Times" w:hAnsi="Times" w:cs="Calibri"/>
                <w:color w:val="000000"/>
              </w:rPr>
              <w:t>9</w:t>
            </w:r>
            <w:proofErr w:type="gram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As classes de passivos contingentes na data do balanço.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65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85,53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10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Uma breve descrição da natureza do passivo contingente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66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86,84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11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A estimativa do seu efeito financeiro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73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96,05</w:t>
            </w:r>
          </w:p>
        </w:tc>
      </w:tr>
      <w:tr w:rsidR="001B6D98" w:rsidRPr="00A70E3E" w:rsidTr="00663E5E">
        <w:trPr>
          <w:trHeight w:val="510"/>
          <w:jc w:val="center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12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A indicação de incertezas relacionadas ao valor ou momentos de ocorrência de qualquer saída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56,58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13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6D98" w:rsidRPr="00595025" w:rsidRDefault="001B6D98" w:rsidP="00663E5E">
            <w:pPr>
              <w:jc w:val="both"/>
              <w:rPr>
                <w:rFonts w:ascii="Times" w:hAnsi="Times" w:cs="Calibri"/>
                <w:color w:val="000000"/>
              </w:rPr>
            </w:pPr>
            <w:r w:rsidRPr="00595025">
              <w:rPr>
                <w:rFonts w:ascii="Times" w:hAnsi="Times" w:cs="Calibri"/>
                <w:color w:val="000000"/>
              </w:rPr>
              <w:t>A possibilidade de qualquer reembolso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56,58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MÉDIA: 76,32%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  <w:color w:val="000000"/>
              </w:rPr>
            </w:pPr>
            <w:r w:rsidRPr="00A70E3E">
              <w:rPr>
                <w:rFonts w:ascii="Times" w:hAnsi="Times" w:cs="Calibri"/>
                <w:color w:val="000000"/>
              </w:rPr>
              <w:t> </w:t>
            </w:r>
          </w:p>
        </w:tc>
      </w:tr>
    </w:tbl>
    <w:p w:rsidR="001B6D98" w:rsidRDefault="001B6D98" w:rsidP="001B6D98">
      <w:pPr>
        <w:pStyle w:val="Pargrafo"/>
        <w:spacing w:line="240" w:lineRule="auto"/>
        <w:ind w:firstLine="0"/>
      </w:pPr>
      <w:r>
        <w:rPr>
          <w:b/>
          <w:sz w:val="20"/>
          <w:szCs w:val="20"/>
        </w:rPr>
        <w:t xml:space="preserve">   </w:t>
      </w:r>
      <w:r>
        <w:t>Para verificar o grau de aderência por setores da B3 em relação à norma contábil avaliada, os resultados foram sintetizados por setores conforme tabela 4.</w:t>
      </w:r>
    </w:p>
    <w:p w:rsidR="001B6D98" w:rsidRPr="00595025" w:rsidRDefault="001B6D98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595025">
        <w:rPr>
          <w:sz w:val="20"/>
          <w:szCs w:val="20"/>
        </w:rPr>
        <w:t xml:space="preserve">Tabela 4 </w:t>
      </w:r>
      <w:proofErr w:type="spellStart"/>
      <w:r w:rsidRPr="00595025">
        <w:rPr>
          <w:bCs/>
          <w:i/>
          <w:iCs/>
          <w:sz w:val="20"/>
          <w:szCs w:val="20"/>
        </w:rPr>
        <w:t>Disclosure</w:t>
      </w:r>
      <w:proofErr w:type="spellEnd"/>
      <w:r w:rsidRPr="00595025">
        <w:rPr>
          <w:bCs/>
          <w:i/>
          <w:iCs/>
          <w:sz w:val="20"/>
          <w:szCs w:val="20"/>
        </w:rPr>
        <w:t xml:space="preserve"> </w:t>
      </w:r>
      <w:r w:rsidRPr="00595025">
        <w:rPr>
          <w:bCs/>
          <w:sz w:val="20"/>
          <w:szCs w:val="20"/>
        </w:rPr>
        <w:t xml:space="preserve">das Provisões e </w:t>
      </w:r>
      <w:r>
        <w:rPr>
          <w:bCs/>
          <w:sz w:val="20"/>
          <w:szCs w:val="20"/>
        </w:rPr>
        <w:t>Contingências por setores da B3</w:t>
      </w:r>
    </w:p>
    <w:tbl>
      <w:tblPr>
        <w:tblW w:w="4768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6"/>
        <w:gridCol w:w="976"/>
        <w:gridCol w:w="976"/>
      </w:tblGrid>
      <w:tr w:rsidR="001B6D98" w:rsidRPr="00595025" w:rsidTr="00663E5E">
        <w:trPr>
          <w:trHeight w:val="300"/>
          <w:jc w:val="center"/>
        </w:trPr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Setor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 xml:space="preserve">N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  <w:color w:val="000000"/>
              </w:rPr>
            </w:pPr>
            <w:r w:rsidRPr="00595025">
              <w:rPr>
                <w:rFonts w:ascii="Times" w:hAnsi="Times" w:cs="Calibri"/>
                <w:bCs/>
                <w:color w:val="000000"/>
              </w:rPr>
              <w:t>%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Bens industriais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proofErr w:type="gramStart"/>
            <w:r w:rsidRPr="00A70E3E">
              <w:rPr>
                <w:rFonts w:ascii="Times" w:hAnsi="Times" w:cs="Calibri"/>
              </w:rPr>
              <w:t>9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76,93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Consumo cíclico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71,36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Consumo não cíclico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89,23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Materiais básicos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79,72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 xml:space="preserve">Petróleo, gás e </w:t>
            </w:r>
            <w:proofErr w:type="gramStart"/>
            <w:r w:rsidRPr="00A70E3E">
              <w:rPr>
                <w:rFonts w:ascii="Times" w:hAnsi="Times" w:cs="Calibri"/>
              </w:rPr>
              <w:t>biocombustíveis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proofErr w:type="gramStart"/>
            <w:r w:rsidRPr="00A70E3E">
              <w:rPr>
                <w:rFonts w:ascii="Times" w:hAnsi="Times" w:cs="Calibri"/>
              </w:rPr>
              <w:t>3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94,87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Saúde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proofErr w:type="gramStart"/>
            <w:r w:rsidRPr="00A70E3E">
              <w:rPr>
                <w:rFonts w:ascii="Times" w:hAnsi="Times" w:cs="Calibri"/>
              </w:rPr>
              <w:t>4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80,77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Tecnologia da informação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proofErr w:type="gramStart"/>
            <w:r w:rsidRPr="00A70E3E">
              <w:rPr>
                <w:rFonts w:ascii="Times" w:hAnsi="Times" w:cs="Calibri"/>
              </w:rPr>
              <w:t>2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65,39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 xml:space="preserve">Telecomunicações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proofErr w:type="gramStart"/>
            <w:r w:rsidRPr="00A70E3E">
              <w:rPr>
                <w:rFonts w:ascii="Times" w:hAnsi="Times" w:cs="Calibri"/>
              </w:rPr>
              <w:t>2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100</w:t>
            </w:r>
          </w:p>
        </w:tc>
      </w:tr>
      <w:tr w:rsidR="001B6D98" w:rsidRPr="00A70E3E" w:rsidTr="00663E5E">
        <w:trPr>
          <w:trHeight w:val="300"/>
          <w:jc w:val="center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Utilidade pública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A70E3E" w:rsidRDefault="001B6D98" w:rsidP="00663E5E">
            <w:pPr>
              <w:jc w:val="center"/>
              <w:rPr>
                <w:rFonts w:ascii="Times" w:hAnsi="Times" w:cs="Calibri"/>
              </w:rPr>
            </w:pPr>
            <w:r w:rsidRPr="00A70E3E">
              <w:rPr>
                <w:rFonts w:ascii="Times" w:hAnsi="Times" w:cs="Calibri"/>
              </w:rPr>
              <w:t>76,93</w:t>
            </w:r>
          </w:p>
        </w:tc>
      </w:tr>
      <w:tr w:rsidR="001B6D98" w:rsidRPr="00595025" w:rsidTr="00663E5E">
        <w:trPr>
          <w:trHeight w:val="300"/>
          <w:jc w:val="center"/>
        </w:trPr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</w:rPr>
            </w:pPr>
            <w:r w:rsidRPr="00595025">
              <w:rPr>
                <w:rFonts w:ascii="Times" w:hAnsi="Times" w:cs="Calibri"/>
                <w:bCs/>
              </w:rPr>
              <w:t>TOTAL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</w:rPr>
            </w:pPr>
            <w:r w:rsidRPr="00595025">
              <w:rPr>
                <w:rFonts w:ascii="Times" w:hAnsi="Times" w:cs="Calibri"/>
                <w:bCs/>
              </w:rPr>
              <w:t>76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D98" w:rsidRPr="00595025" w:rsidRDefault="001B6D98" w:rsidP="00663E5E">
            <w:pPr>
              <w:jc w:val="center"/>
              <w:rPr>
                <w:rFonts w:ascii="Times" w:hAnsi="Times" w:cs="Calibri"/>
                <w:bCs/>
              </w:rPr>
            </w:pPr>
            <w:r w:rsidRPr="00595025">
              <w:rPr>
                <w:rFonts w:ascii="Times" w:hAnsi="Times" w:cs="Calibri"/>
                <w:bCs/>
              </w:rPr>
              <w:t>78,84</w:t>
            </w:r>
          </w:p>
        </w:tc>
      </w:tr>
    </w:tbl>
    <w:p w:rsidR="001B6D98" w:rsidRDefault="001B6D98" w:rsidP="001B6D98">
      <w:pPr>
        <w:pStyle w:val="Pargrafo"/>
        <w:spacing w:line="240" w:lineRule="auto"/>
        <w:ind w:firstLine="708"/>
      </w:pPr>
      <w:r>
        <w:t xml:space="preserve">Dentre os setores estudados, os que apresentaram maior grau de aderência ao CPC 25: Provisões, Ativos e Passivos Contingentes foi o de telecomunicações atendendo todos os quesitos avaliados pelas duas companhias que compõe este setor na amostra. Confirmando os </w:t>
      </w:r>
      <w:r>
        <w:lastRenderedPageBreak/>
        <w:t xml:space="preserve">resultados encontrados, no estudo de Suave, </w:t>
      </w:r>
      <w:proofErr w:type="spellStart"/>
      <w:r>
        <w:t>Codesso</w:t>
      </w:r>
      <w:proofErr w:type="spellEnd"/>
      <w:r>
        <w:t xml:space="preserve">, Pinto, Vicente &amp; </w:t>
      </w:r>
      <w:proofErr w:type="spellStart"/>
      <w:r>
        <w:t>Lunkes</w:t>
      </w:r>
      <w:proofErr w:type="spellEnd"/>
      <w:r>
        <w:t xml:space="preserve"> (2013), foi o segundo setor com maior nível de evidenciação. Na pesquisa de </w:t>
      </w:r>
      <w:proofErr w:type="spellStart"/>
      <w:r>
        <w:t>Fonteles</w:t>
      </w:r>
      <w:proofErr w:type="spellEnd"/>
      <w:r>
        <w:t xml:space="preserve">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(2014) é possível constatar que o setor de telecomunicações está entre os três setores com maior nível de evidenciação de provisões e contingências. O mesmo ocorre no estudo de Farias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(2016), com média de 56,8%, o referido setor foi o segundo com maior grau de </w:t>
      </w:r>
      <w:proofErr w:type="spellStart"/>
      <w:r w:rsidRPr="006D5077">
        <w:rPr>
          <w:i/>
        </w:rPr>
        <w:t>disclosure</w:t>
      </w:r>
      <w:proofErr w:type="spellEnd"/>
      <w:r w:rsidRPr="006D5077">
        <w:rPr>
          <w:i/>
        </w:rPr>
        <w:t xml:space="preserve"> </w:t>
      </w:r>
      <w:r>
        <w:t>da referida norma contábil.</w:t>
      </w:r>
    </w:p>
    <w:p w:rsidR="001B6D98" w:rsidRDefault="001B6D98" w:rsidP="001B6D98">
      <w:pPr>
        <w:pStyle w:val="Pargrafo"/>
        <w:spacing w:line="240" w:lineRule="auto"/>
        <w:ind w:firstLine="708"/>
      </w:pPr>
      <w:r>
        <w:t xml:space="preserve">O segundo setor com maior evidenciação de provisões e contingentes, com um percentual de 94,87% e abrangendo </w:t>
      </w:r>
      <w:proofErr w:type="gramStart"/>
      <w:r>
        <w:t>3</w:t>
      </w:r>
      <w:proofErr w:type="gramEnd"/>
      <w:r>
        <w:t xml:space="preserve"> companhias foi Petróleo, gás e biocombustíveis. Comparando o nível de apresentação deste setor com os resultados do estudo de Farias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(2016), é possível verificar que a média de </w:t>
      </w:r>
      <w:proofErr w:type="spellStart"/>
      <w:r w:rsidRPr="00B66846">
        <w:rPr>
          <w:i/>
        </w:rPr>
        <w:t>disclosure</w:t>
      </w:r>
      <w:proofErr w:type="spellEnd"/>
      <w:r w:rsidRPr="00B66846">
        <w:rPr>
          <w:i/>
        </w:rPr>
        <w:t xml:space="preserve"> </w:t>
      </w:r>
      <w:r>
        <w:t xml:space="preserve">foi de 56,5%, correspondendo o terceiro setor com maior nível de evidenciação. Comparando com estudos anteriores, foi possível verificar que os resultados se confirmam, já que no estudo de Suave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(2013), o setor de Petróleo, gás e biocombustíveis foi o que apresentou o maior nível de </w:t>
      </w:r>
      <w:proofErr w:type="spellStart"/>
      <w:r w:rsidRPr="001D2735">
        <w:rPr>
          <w:i/>
        </w:rPr>
        <w:t>disclosure</w:t>
      </w:r>
      <w:proofErr w:type="spellEnd"/>
      <w:r>
        <w:t xml:space="preserve"> de provisões e contingências. Por sua vez no estudo de Farias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(2016), foi o terceiro setor que mais evidenciou, com percentual de 56,5%.</w:t>
      </w:r>
    </w:p>
    <w:p w:rsidR="001B6D98" w:rsidRDefault="001B6D98" w:rsidP="001B6D98">
      <w:pPr>
        <w:pStyle w:val="Pargrafo"/>
        <w:spacing w:line="240" w:lineRule="auto"/>
        <w:ind w:firstLine="708"/>
      </w:pPr>
      <w:r>
        <w:t xml:space="preserve">Percebe-se, portanto que ao longo dos anos as companhias têm aumentado o nível de aderência </w:t>
      </w:r>
      <w:proofErr w:type="gramStart"/>
      <w:r>
        <w:t>as</w:t>
      </w:r>
      <w:proofErr w:type="gramEnd"/>
      <w:r>
        <w:t xml:space="preserve"> normas internacionais de contabilidade, entretanto os setores que apresentaram maiores </w:t>
      </w:r>
      <w:proofErr w:type="spellStart"/>
      <w:r w:rsidRPr="001D2735">
        <w:rPr>
          <w:i/>
        </w:rPr>
        <w:t>disclosures</w:t>
      </w:r>
      <w:proofErr w:type="spellEnd"/>
      <w:r>
        <w:t xml:space="preserve"> de provisões e contingência continua sendo os mesmos conforme demonstrado nos estudos de Suave, </w:t>
      </w:r>
      <w:proofErr w:type="spellStart"/>
      <w:r>
        <w:t>Codesso</w:t>
      </w:r>
      <w:proofErr w:type="spellEnd"/>
      <w:r>
        <w:t xml:space="preserve">, Pinto, Vicente &amp; </w:t>
      </w:r>
      <w:proofErr w:type="spellStart"/>
      <w:r>
        <w:t>Lunkes</w:t>
      </w:r>
      <w:proofErr w:type="spellEnd"/>
      <w:r>
        <w:t xml:space="preserve"> (2013), </w:t>
      </w:r>
      <w:proofErr w:type="spellStart"/>
      <w:r>
        <w:t>Fonteles</w:t>
      </w:r>
      <w:proofErr w:type="spellEnd"/>
      <w:r>
        <w:t xml:space="preserve"> </w:t>
      </w:r>
      <w:r w:rsidRPr="0008552C">
        <w:rPr>
          <w:i/>
        </w:rPr>
        <w:t>et al.</w:t>
      </w:r>
      <w:r>
        <w:t xml:space="preserve"> (2014) e Farias </w:t>
      </w:r>
      <w:r w:rsidRPr="0008552C">
        <w:rPr>
          <w:i/>
        </w:rPr>
        <w:t>et al.</w:t>
      </w:r>
      <w:r>
        <w:t xml:space="preserve"> (2016).</w:t>
      </w:r>
    </w:p>
    <w:p w:rsidR="001B6D98" w:rsidRDefault="001B6D98" w:rsidP="007B2CF3">
      <w:pPr>
        <w:pStyle w:val="Pargrafo"/>
        <w:spacing w:line="240" w:lineRule="auto"/>
        <w:ind w:firstLine="708"/>
        <w:rPr>
          <w:sz w:val="20"/>
          <w:szCs w:val="20"/>
        </w:rPr>
      </w:pPr>
      <w:r>
        <w:t xml:space="preserve">Com relação aos níveis de governança corporativa da B3, percebe-se que as companhias com maior nível de </w:t>
      </w:r>
      <w:proofErr w:type="spellStart"/>
      <w:r w:rsidRPr="00170268">
        <w:rPr>
          <w:i/>
        </w:rPr>
        <w:t>disclosure</w:t>
      </w:r>
      <w:proofErr w:type="spellEnd"/>
      <w:r>
        <w:t xml:space="preserve"> de provisões e contingências foi o tradicional, com média de 89,23% e em segundo lugar as companhias do nível </w:t>
      </w:r>
      <w:proofErr w:type="gramStart"/>
      <w:r>
        <w:t>1</w:t>
      </w:r>
      <w:proofErr w:type="gramEnd"/>
      <w:r>
        <w:t xml:space="preserve"> com média de 80,22%. Este resultado contrapõe o estudo realizado por </w:t>
      </w:r>
      <w:proofErr w:type="spellStart"/>
      <w:r>
        <w:t>Fonteles</w:t>
      </w:r>
      <w:proofErr w:type="spellEnd"/>
      <w:r>
        <w:t xml:space="preserve">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(2014) que encontrou como maior grau de apresentação o nível 2 da B3, num percentual de 43,80%. Por sua vez no estudo de Farias </w:t>
      </w:r>
      <w:proofErr w:type="gramStart"/>
      <w:r w:rsidRPr="0008552C">
        <w:rPr>
          <w:i/>
        </w:rPr>
        <w:t>et</w:t>
      </w:r>
      <w:proofErr w:type="gramEnd"/>
      <w:r w:rsidRPr="0008552C">
        <w:rPr>
          <w:i/>
        </w:rPr>
        <w:t xml:space="preserve"> al.</w:t>
      </w:r>
      <w:r>
        <w:t xml:space="preserve"> (2016), o nível 1, com média de 57,40% apresentou o maior nível de aderência do CPC 25: Provisões, Ativos e Passivos Contingentes. </w:t>
      </w:r>
    </w:p>
    <w:p w:rsidR="001B6D98" w:rsidRDefault="001B6D98" w:rsidP="001B6D98">
      <w:pPr>
        <w:pStyle w:val="Pargrafo"/>
        <w:spacing w:line="240" w:lineRule="auto"/>
        <w:ind w:firstLine="708"/>
      </w:pPr>
      <w:r>
        <w:t xml:space="preserve">A partir do percentual de </w:t>
      </w:r>
      <w:proofErr w:type="spellStart"/>
      <w:r w:rsidRPr="00D240E9">
        <w:rPr>
          <w:i/>
        </w:rPr>
        <w:t>disclosure</w:t>
      </w:r>
      <w:proofErr w:type="spellEnd"/>
      <w:r>
        <w:t xml:space="preserve"> das provisões e contingências encontrados a partir do </w:t>
      </w:r>
      <w:proofErr w:type="spellStart"/>
      <w:r w:rsidRPr="00DE4083">
        <w:rPr>
          <w:i/>
        </w:rPr>
        <w:t>check</w:t>
      </w:r>
      <w:proofErr w:type="spellEnd"/>
      <w:r w:rsidRPr="00DE4083">
        <w:rPr>
          <w:i/>
        </w:rPr>
        <w:t xml:space="preserve"> </w:t>
      </w:r>
      <w:proofErr w:type="spellStart"/>
      <w:r w:rsidRPr="00DE4083">
        <w:rPr>
          <w:i/>
        </w:rPr>
        <w:t>list</w:t>
      </w:r>
      <w:proofErr w:type="spellEnd"/>
      <w:r>
        <w:t xml:space="preserve"> aplicado as notas explicativas e demonstrações contábeis das companhias que compôs a amostra, foram coletadas através do software </w:t>
      </w:r>
      <w:proofErr w:type="spellStart"/>
      <w:r>
        <w:t>economática</w:t>
      </w:r>
      <w:proofErr w:type="spellEnd"/>
      <w:r>
        <w:t xml:space="preserve"> as </w:t>
      </w:r>
      <w:r>
        <w:rPr>
          <w:i/>
        </w:rPr>
        <w:t>proxies</w:t>
      </w:r>
      <w:r>
        <w:t xml:space="preserve"> relacionadas com as variáveis econômicas de desempenho e tamanho conforme a literatura expressa na figura 8. Com o objetivo de verificar se os dados são paramétricos ou não paramétricos, fez-se o teste de normalidade, conforme tabela 5.</w:t>
      </w:r>
    </w:p>
    <w:p w:rsidR="001B6D98" w:rsidRPr="00595025" w:rsidRDefault="001B6D98" w:rsidP="001B6D98">
      <w:pPr>
        <w:pStyle w:val="Pargrafo"/>
        <w:spacing w:line="240" w:lineRule="auto"/>
        <w:ind w:firstLine="0"/>
        <w:jc w:val="center"/>
        <w:rPr>
          <w:bCs/>
          <w:sz w:val="20"/>
          <w:szCs w:val="20"/>
        </w:rPr>
      </w:pPr>
      <w:r>
        <w:rPr>
          <w:sz w:val="20"/>
          <w:szCs w:val="20"/>
        </w:rPr>
        <w:t>Tabela 5</w:t>
      </w:r>
      <w:r w:rsidRPr="00595025">
        <w:rPr>
          <w:sz w:val="20"/>
          <w:szCs w:val="20"/>
        </w:rPr>
        <w:t xml:space="preserve"> </w:t>
      </w:r>
      <w:r w:rsidRPr="00595025">
        <w:rPr>
          <w:bCs/>
          <w:iCs/>
          <w:sz w:val="20"/>
          <w:szCs w:val="20"/>
        </w:rPr>
        <w:t>Resultado do teste de normalidade</w:t>
      </w:r>
    </w:p>
    <w:tbl>
      <w:tblPr>
        <w:tblW w:w="4088" w:type="pct"/>
        <w:jc w:val="center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992"/>
        <w:gridCol w:w="1559"/>
        <w:gridCol w:w="1400"/>
        <w:gridCol w:w="989"/>
        <w:gridCol w:w="989"/>
      </w:tblGrid>
      <w:tr w:rsidR="001B6D98" w:rsidRPr="00595025" w:rsidTr="00663E5E">
        <w:trPr>
          <w:trHeight w:val="263"/>
          <w:jc w:val="center"/>
        </w:trPr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rPr>
                <w:color w:val="000000"/>
              </w:rPr>
              <w:t>Variável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proofErr w:type="spellStart"/>
            <w:r w:rsidRPr="00595025">
              <w:rPr>
                <w:color w:val="000000"/>
              </w:rPr>
              <w:t>Obs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rPr>
                <w:color w:val="000000"/>
              </w:rPr>
              <w:t>W’</w:t>
            </w:r>
          </w:p>
        </w:tc>
        <w:tc>
          <w:tcPr>
            <w:tcW w:w="9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rPr>
                <w:color w:val="000000"/>
              </w:rPr>
              <w:t>V’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rPr>
                <w:color w:val="000000"/>
              </w:rPr>
              <w:t>z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proofErr w:type="spellStart"/>
            <w:r w:rsidRPr="00595025">
              <w:rPr>
                <w:color w:val="000000"/>
              </w:rPr>
              <w:t>Prob</w:t>
            </w:r>
            <w:proofErr w:type="spellEnd"/>
            <w:r w:rsidRPr="00595025">
              <w:rPr>
                <w:color w:val="000000"/>
              </w:rPr>
              <w:t>&gt;z</w:t>
            </w:r>
          </w:p>
        </w:tc>
      </w:tr>
      <w:tr w:rsidR="001B6D98" w:rsidRPr="0017602A" w:rsidTr="00663E5E">
        <w:trPr>
          <w:cantSplit/>
          <w:trHeight w:val="159"/>
          <w:jc w:val="center"/>
        </w:trPr>
        <w:tc>
          <w:tcPr>
            <w:tcW w:w="10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PDPC</w:t>
            </w:r>
          </w:p>
        </w:tc>
        <w:tc>
          <w:tcPr>
            <w:tcW w:w="65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0,93248</w:t>
            </w:r>
          </w:p>
        </w:tc>
        <w:tc>
          <w:tcPr>
            <w:tcW w:w="93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4,753</w:t>
            </w:r>
          </w:p>
        </w:tc>
        <w:tc>
          <w:tcPr>
            <w:tcW w:w="65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3,019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0,00127</w:t>
            </w:r>
          </w:p>
        </w:tc>
      </w:tr>
      <w:tr w:rsidR="001B6D98" w:rsidRPr="0017602A" w:rsidTr="00663E5E">
        <w:trPr>
          <w:cantSplit/>
          <w:trHeight w:val="193"/>
          <w:jc w:val="center"/>
        </w:trPr>
        <w:tc>
          <w:tcPr>
            <w:tcW w:w="1060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proofErr w:type="spellStart"/>
            <w:proofErr w:type="gramStart"/>
            <w:r>
              <w:t>LnAtv</w:t>
            </w:r>
            <w:proofErr w:type="spellEnd"/>
            <w:proofErr w:type="gramEnd"/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0,97443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1,820</w:t>
            </w:r>
          </w:p>
        </w:tc>
        <w:tc>
          <w:tcPr>
            <w:tcW w:w="657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1,161</w:t>
            </w:r>
          </w:p>
        </w:tc>
        <w:tc>
          <w:tcPr>
            <w:tcW w:w="657" w:type="pct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0,12284</w:t>
            </w:r>
          </w:p>
        </w:tc>
      </w:tr>
      <w:tr w:rsidR="001B6D98" w:rsidRPr="0017602A" w:rsidTr="00663E5E">
        <w:trPr>
          <w:cantSplit/>
          <w:trHeight w:val="209"/>
          <w:jc w:val="center"/>
        </w:trPr>
        <w:tc>
          <w:tcPr>
            <w:tcW w:w="1060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r>
              <w:t>Rentabilidade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0,89566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7,427</w:t>
            </w:r>
          </w:p>
        </w:tc>
        <w:tc>
          <w:tcPr>
            <w:tcW w:w="657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3,886</w:t>
            </w:r>
          </w:p>
        </w:tc>
        <w:tc>
          <w:tcPr>
            <w:tcW w:w="657" w:type="pct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0,00005</w:t>
            </w:r>
          </w:p>
        </w:tc>
      </w:tr>
      <w:tr w:rsidR="001B6D98" w:rsidRPr="0017602A" w:rsidTr="00663E5E">
        <w:trPr>
          <w:cantSplit/>
          <w:trHeight w:val="143"/>
          <w:jc w:val="center"/>
        </w:trPr>
        <w:tc>
          <w:tcPr>
            <w:tcW w:w="1060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r>
              <w:t>Lucro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036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0,54004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32,740</w:t>
            </w:r>
          </w:p>
        </w:tc>
        <w:tc>
          <w:tcPr>
            <w:tcW w:w="657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6,762</w:t>
            </w:r>
          </w:p>
        </w:tc>
        <w:tc>
          <w:tcPr>
            <w:tcW w:w="657" w:type="pct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0,00001</w:t>
            </w:r>
          </w:p>
        </w:tc>
      </w:tr>
      <w:tr w:rsidR="001B6D98" w:rsidRPr="0017602A" w:rsidTr="00663E5E">
        <w:trPr>
          <w:cantSplit/>
          <w:trHeight w:val="249"/>
          <w:jc w:val="center"/>
        </w:trPr>
        <w:tc>
          <w:tcPr>
            <w:tcW w:w="106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r>
              <w:t>Endividamento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0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0,96244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2,673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1,906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0,02833</w:t>
            </w:r>
          </w:p>
        </w:tc>
      </w:tr>
    </w:tbl>
    <w:p w:rsidR="001B6D98" w:rsidRDefault="001B6D98" w:rsidP="001B6D98">
      <w:pPr>
        <w:pStyle w:val="Pargrafo"/>
        <w:spacing w:line="240" w:lineRule="auto"/>
        <w:ind w:firstLine="708"/>
      </w:pPr>
      <w:r>
        <w:t>A partir do resultado do teste de normalidade, é possível verificar que as variáveis não seguem uma distribuição normal, são</w:t>
      </w:r>
      <w:proofErr w:type="gramStart"/>
      <w:r>
        <w:t xml:space="preserve"> portanto</w:t>
      </w:r>
      <w:proofErr w:type="gramEnd"/>
      <w:r>
        <w:t xml:space="preserve"> não paramétricos. Assim, fez-se a correlação de </w:t>
      </w:r>
      <w:proofErr w:type="spellStart"/>
      <w:r>
        <w:t>Spearman</w:t>
      </w:r>
      <w:proofErr w:type="spellEnd"/>
      <w:r>
        <w:t>, conforme é apresentado na tabela 6.</w:t>
      </w:r>
    </w:p>
    <w:p w:rsidR="007B2CF3" w:rsidRDefault="007B2CF3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</w:p>
    <w:p w:rsidR="007B2CF3" w:rsidRDefault="007B2CF3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</w:p>
    <w:p w:rsidR="007B2CF3" w:rsidRDefault="007B2CF3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</w:p>
    <w:p w:rsidR="001B6D98" w:rsidRPr="00595025" w:rsidRDefault="001B6D98" w:rsidP="001B6D98">
      <w:pPr>
        <w:pStyle w:val="Pargrafo"/>
        <w:spacing w:line="240" w:lineRule="auto"/>
        <w:ind w:firstLine="0"/>
        <w:jc w:val="center"/>
        <w:rPr>
          <w:bCs/>
          <w:sz w:val="20"/>
          <w:szCs w:val="20"/>
        </w:rPr>
      </w:pPr>
      <w:r w:rsidRPr="00595025">
        <w:rPr>
          <w:sz w:val="20"/>
          <w:szCs w:val="20"/>
        </w:rPr>
        <w:t xml:space="preserve">Tabela 6 </w:t>
      </w:r>
      <w:r w:rsidRPr="00595025">
        <w:rPr>
          <w:bCs/>
          <w:iCs/>
          <w:sz w:val="20"/>
          <w:szCs w:val="20"/>
        </w:rPr>
        <w:t>Resultado da Correlação de</w:t>
      </w:r>
      <w:r w:rsidRPr="00595025">
        <w:rPr>
          <w:sz w:val="20"/>
          <w:szCs w:val="20"/>
        </w:rPr>
        <w:t xml:space="preserve"> </w:t>
      </w:r>
      <w:proofErr w:type="spellStart"/>
      <w:r w:rsidRPr="00595025">
        <w:rPr>
          <w:sz w:val="20"/>
          <w:szCs w:val="20"/>
        </w:rPr>
        <w:t>Spearman</w:t>
      </w:r>
      <w:proofErr w:type="spellEnd"/>
    </w:p>
    <w:tbl>
      <w:tblPr>
        <w:tblW w:w="4561" w:type="pct"/>
        <w:jc w:val="center"/>
        <w:tblInd w:w="-2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1"/>
        <w:gridCol w:w="1135"/>
        <w:gridCol w:w="1558"/>
        <w:gridCol w:w="1275"/>
        <w:gridCol w:w="1187"/>
        <w:gridCol w:w="1451"/>
      </w:tblGrid>
      <w:tr w:rsidR="001B6D98" w:rsidRPr="00595025" w:rsidTr="00663E5E">
        <w:trPr>
          <w:trHeight w:val="263"/>
          <w:jc w:val="center"/>
        </w:trPr>
        <w:tc>
          <w:tcPr>
            <w:tcW w:w="10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rPr>
                <w:color w:val="000000"/>
              </w:rPr>
              <w:lastRenderedPageBreak/>
              <w:t>Variável</w:t>
            </w:r>
          </w:p>
        </w:tc>
        <w:tc>
          <w:tcPr>
            <w:tcW w:w="6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rPr>
                <w:color w:val="000000"/>
              </w:rPr>
              <w:t>PDPC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595025">
              <w:t>LnAtv</w:t>
            </w:r>
            <w:proofErr w:type="spellEnd"/>
            <w:proofErr w:type="gramEnd"/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t>Rentabilidade</w:t>
            </w:r>
          </w:p>
        </w:tc>
        <w:tc>
          <w:tcPr>
            <w:tcW w:w="7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t>Lucro</w:t>
            </w:r>
          </w:p>
        </w:tc>
        <w:tc>
          <w:tcPr>
            <w:tcW w:w="8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6D98" w:rsidRPr="00595025" w:rsidRDefault="001B6D98" w:rsidP="00663E5E">
            <w:pPr>
              <w:jc w:val="center"/>
              <w:rPr>
                <w:color w:val="000000"/>
              </w:rPr>
            </w:pPr>
            <w:r w:rsidRPr="00595025">
              <w:t>Endividamento</w:t>
            </w:r>
          </w:p>
        </w:tc>
      </w:tr>
      <w:tr w:rsidR="001B6D98" w:rsidRPr="0017602A" w:rsidTr="00663E5E">
        <w:trPr>
          <w:cantSplit/>
          <w:trHeight w:val="159"/>
          <w:jc w:val="center"/>
        </w:trPr>
        <w:tc>
          <w:tcPr>
            <w:tcW w:w="10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PDPC</w:t>
            </w: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1,0000</w:t>
            </w:r>
          </w:p>
        </w:tc>
        <w:tc>
          <w:tcPr>
            <w:tcW w:w="92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  <w:tc>
          <w:tcPr>
            <w:tcW w:w="70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  <w:tc>
          <w:tcPr>
            <w:tcW w:w="864" w:type="pct"/>
            <w:tcBorders>
              <w:top w:val="single" w:sz="4" w:space="0" w:color="auto"/>
            </w:tcBorders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</w:tr>
      <w:tr w:rsidR="001B6D98" w:rsidRPr="0017602A" w:rsidTr="00663E5E">
        <w:trPr>
          <w:cantSplit/>
          <w:trHeight w:val="193"/>
          <w:jc w:val="center"/>
        </w:trPr>
        <w:tc>
          <w:tcPr>
            <w:tcW w:w="1066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proofErr w:type="spellStart"/>
            <w:proofErr w:type="gramStart"/>
            <w:r>
              <w:t>LnAtv</w:t>
            </w:r>
            <w:proofErr w:type="spellEnd"/>
            <w:proofErr w:type="gramEnd"/>
          </w:p>
        </w:tc>
        <w:tc>
          <w:tcPr>
            <w:tcW w:w="675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0,0956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1,0000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  <w:tc>
          <w:tcPr>
            <w:tcW w:w="864" w:type="pct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</w:tr>
      <w:tr w:rsidR="001B6D98" w:rsidRPr="0017602A" w:rsidTr="00663E5E">
        <w:trPr>
          <w:cantSplit/>
          <w:trHeight w:val="209"/>
          <w:jc w:val="center"/>
        </w:trPr>
        <w:tc>
          <w:tcPr>
            <w:tcW w:w="1066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r>
              <w:t>Rentabilidade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-0,2602**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-0,4111***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1,0000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  <w:tc>
          <w:tcPr>
            <w:tcW w:w="864" w:type="pct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</w:tr>
      <w:tr w:rsidR="001B6D98" w:rsidRPr="0017602A" w:rsidTr="00663E5E">
        <w:trPr>
          <w:cantSplit/>
          <w:trHeight w:val="143"/>
          <w:jc w:val="center"/>
        </w:trPr>
        <w:tc>
          <w:tcPr>
            <w:tcW w:w="1066" w:type="pct"/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r>
              <w:t>Lucro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-0,1340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0,2504**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0,6635***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1,0000</w:t>
            </w:r>
          </w:p>
        </w:tc>
        <w:tc>
          <w:tcPr>
            <w:tcW w:w="864" w:type="pct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</w:p>
        </w:tc>
      </w:tr>
      <w:tr w:rsidR="001B6D98" w:rsidRPr="0017602A" w:rsidTr="00663E5E">
        <w:trPr>
          <w:cantSplit/>
          <w:trHeight w:val="249"/>
          <w:jc w:val="center"/>
        </w:trPr>
        <w:tc>
          <w:tcPr>
            <w:tcW w:w="106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B6D98" w:rsidRPr="0017602A" w:rsidRDefault="001B6D98" w:rsidP="00663E5E">
            <w:pPr>
              <w:jc w:val="center"/>
            </w:pPr>
            <w:r>
              <w:t>Endividamento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0,0563</w:t>
            </w:r>
          </w:p>
        </w:tc>
        <w:tc>
          <w:tcPr>
            <w:tcW w:w="9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0,2443**</w:t>
            </w:r>
          </w:p>
        </w:tc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-0,4758***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-0,2576**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:rsidR="001B6D98" w:rsidRPr="0017602A" w:rsidRDefault="001B6D98" w:rsidP="00663E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1,0000</w:t>
            </w:r>
          </w:p>
        </w:tc>
      </w:tr>
    </w:tbl>
    <w:p w:rsidR="001B6D98" w:rsidRPr="00595025" w:rsidRDefault="001B6D98" w:rsidP="001B6D98">
      <w:r>
        <w:t xml:space="preserve">      </w:t>
      </w:r>
      <w:r w:rsidRPr="00595025">
        <w:t>** p&lt;5% de significância estatística; *** p&lt;1% de significância estatística.</w:t>
      </w:r>
    </w:p>
    <w:p w:rsidR="001B6D98" w:rsidRDefault="001B6D98" w:rsidP="001B6D98">
      <w:pPr>
        <w:pStyle w:val="Pargrafo"/>
        <w:spacing w:line="240" w:lineRule="auto"/>
        <w:ind w:firstLine="708"/>
      </w:pPr>
      <w:r>
        <w:t xml:space="preserve">Através dos resultados da correlação de </w:t>
      </w:r>
      <w:proofErr w:type="spellStart"/>
      <w:r>
        <w:t>Spearman</w:t>
      </w:r>
      <w:proofErr w:type="spellEnd"/>
      <w:r>
        <w:t xml:space="preserve">, é possível verificar que quanto maior a rentabilidade da organização, menor é o nível de </w:t>
      </w:r>
      <w:proofErr w:type="spellStart"/>
      <w:r w:rsidRPr="001A013B">
        <w:rPr>
          <w:i/>
        </w:rPr>
        <w:t>disclosure</w:t>
      </w:r>
      <w:proofErr w:type="spellEnd"/>
      <w:r>
        <w:t xml:space="preserve"> contrariando a hipótese de </w:t>
      </w:r>
      <w:r w:rsidRPr="001A013B">
        <w:t xml:space="preserve">que empresas com maior rentabilidade possuem um maior nível de </w:t>
      </w:r>
      <w:proofErr w:type="spellStart"/>
      <w:r w:rsidRPr="001A013B">
        <w:rPr>
          <w:i/>
        </w:rPr>
        <w:t>disclosure</w:t>
      </w:r>
      <w:proofErr w:type="spellEnd"/>
      <w:r w:rsidRPr="001A013B">
        <w:t xml:space="preserve"> das provisões e contingências.</w:t>
      </w:r>
      <w:r>
        <w:t xml:space="preserve"> A legitimação da empresa pode ser um fator que ocasionou o resultado, visto que empresas que estão com dificuldade financeira tendem a buscar se legitimar entre a sociedade, apresentando assim um alto índice de</w:t>
      </w:r>
      <w:r w:rsidRPr="00733F99">
        <w:rPr>
          <w:i/>
        </w:rPr>
        <w:t xml:space="preserve"> </w:t>
      </w:r>
      <w:proofErr w:type="spellStart"/>
      <w:r w:rsidRPr="00733F99">
        <w:rPr>
          <w:i/>
        </w:rPr>
        <w:t>disclosure</w:t>
      </w:r>
      <w:proofErr w:type="spellEnd"/>
      <w:r>
        <w:t xml:space="preserve"> de informações, contrariando assim os estudos de </w:t>
      </w:r>
      <w:proofErr w:type="spellStart"/>
      <w:r w:rsidRPr="00733F99">
        <w:t>Fonteles</w:t>
      </w:r>
      <w:proofErr w:type="spellEnd"/>
      <w:r w:rsidRPr="00733F99">
        <w:t xml:space="preserve"> </w:t>
      </w:r>
      <w:proofErr w:type="gramStart"/>
      <w:r w:rsidRPr="00733F99">
        <w:rPr>
          <w:i/>
        </w:rPr>
        <w:t>et</w:t>
      </w:r>
      <w:proofErr w:type="gramEnd"/>
      <w:r w:rsidRPr="00733F99">
        <w:rPr>
          <w:i/>
        </w:rPr>
        <w:t xml:space="preserve"> al.</w:t>
      </w:r>
      <w:r w:rsidRPr="00733F99">
        <w:t xml:space="preserve"> (2013) e Farias </w:t>
      </w:r>
      <w:r w:rsidRPr="00733F99">
        <w:rPr>
          <w:i/>
        </w:rPr>
        <w:t>et al.</w:t>
      </w:r>
      <w:r w:rsidRPr="00733F99">
        <w:t xml:space="preserve"> (2016)</w:t>
      </w:r>
      <w:r>
        <w:t>.</w:t>
      </w:r>
    </w:p>
    <w:p w:rsidR="001B6D98" w:rsidRPr="00733F99" w:rsidRDefault="001B6D98" w:rsidP="001B6D98">
      <w:pPr>
        <w:pStyle w:val="Pargrafo"/>
        <w:spacing w:line="240" w:lineRule="auto"/>
        <w:ind w:firstLine="708"/>
      </w:pPr>
      <w:r>
        <w:t xml:space="preserve">Levando em consideração os resultados do teste de normalidade e da </w:t>
      </w:r>
      <w:proofErr w:type="spellStart"/>
      <w:r>
        <w:t>correlão</w:t>
      </w:r>
      <w:proofErr w:type="spellEnd"/>
      <w:r>
        <w:t xml:space="preserve"> de </w:t>
      </w:r>
      <w:proofErr w:type="spellStart"/>
      <w:r>
        <w:t>Sperman</w:t>
      </w:r>
      <w:proofErr w:type="spellEnd"/>
      <w:r>
        <w:t xml:space="preserve">, fez se </w:t>
      </w:r>
      <w:r>
        <w:rPr>
          <w:iCs/>
        </w:rPr>
        <w:t>a análise de correspondência (</w:t>
      </w:r>
      <w:proofErr w:type="spellStart"/>
      <w:r>
        <w:rPr>
          <w:iCs/>
        </w:rPr>
        <w:t>Anacor</w:t>
      </w:r>
      <w:proofErr w:type="spellEnd"/>
      <w:r>
        <w:rPr>
          <w:iCs/>
        </w:rPr>
        <w:t xml:space="preserve">), segregando as variáveis. Para operacionalização do teste </w:t>
      </w:r>
      <w:proofErr w:type="spellStart"/>
      <w:r>
        <w:rPr>
          <w:iCs/>
        </w:rPr>
        <w:t>Anacor</w:t>
      </w:r>
      <w:proofErr w:type="spellEnd"/>
      <w:r>
        <w:rPr>
          <w:iCs/>
        </w:rPr>
        <w:t xml:space="preserve"> é necessário realizar o teste </w:t>
      </w:r>
      <w:proofErr w:type="spellStart"/>
      <w:r>
        <w:rPr>
          <w:iCs/>
        </w:rPr>
        <w:t>Qui</w:t>
      </w:r>
      <w:proofErr w:type="spellEnd"/>
      <w:r>
        <w:rPr>
          <w:iCs/>
        </w:rPr>
        <w:t xml:space="preserve">-quadrado, conforme já disposto, para avaliar o grau de dependência destas variáveis econômicas e de tamanho com o percentual de </w:t>
      </w:r>
      <w:proofErr w:type="spellStart"/>
      <w:r w:rsidRPr="00DE4083">
        <w:rPr>
          <w:i/>
          <w:iCs/>
        </w:rPr>
        <w:t>disclosure</w:t>
      </w:r>
      <w:proofErr w:type="spellEnd"/>
      <w:r w:rsidRPr="00DE4083">
        <w:rPr>
          <w:i/>
          <w:iCs/>
        </w:rPr>
        <w:t xml:space="preserve"> </w:t>
      </w:r>
      <w:r>
        <w:rPr>
          <w:iCs/>
        </w:rPr>
        <w:t xml:space="preserve">encontrado </w:t>
      </w:r>
      <w:r>
        <w:t>PDPC</w:t>
      </w:r>
      <w:r>
        <w:rPr>
          <w:iCs/>
        </w:rPr>
        <w:t xml:space="preserve">. </w:t>
      </w:r>
      <w:r>
        <w:t>Assim, a tabela 7 apresenta os resultados do referido teste.</w:t>
      </w:r>
    </w:p>
    <w:p w:rsidR="001B6D98" w:rsidRPr="00BC59AA" w:rsidRDefault="001B6D98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BC59AA">
        <w:rPr>
          <w:sz w:val="20"/>
          <w:szCs w:val="20"/>
        </w:rPr>
        <w:t xml:space="preserve">Tabela 7 Teste </w:t>
      </w:r>
      <w:proofErr w:type="spellStart"/>
      <w:r w:rsidRPr="00BC59AA">
        <w:rPr>
          <w:sz w:val="20"/>
          <w:szCs w:val="20"/>
        </w:rPr>
        <w:t>qui</w:t>
      </w:r>
      <w:proofErr w:type="spellEnd"/>
      <w:r w:rsidRPr="00BC59AA">
        <w:rPr>
          <w:sz w:val="20"/>
          <w:szCs w:val="20"/>
        </w:rPr>
        <w:t>-Quadrado</w:t>
      </w:r>
    </w:p>
    <w:tbl>
      <w:tblPr>
        <w:tblW w:w="5677" w:type="dxa"/>
        <w:jc w:val="center"/>
        <w:tblInd w:w="-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558"/>
      </w:tblGrid>
      <w:tr w:rsidR="001B6D98" w:rsidRPr="00BC59AA" w:rsidTr="00663E5E">
        <w:trPr>
          <w:trHeight w:val="370"/>
          <w:jc w:val="center"/>
        </w:trPr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6D98" w:rsidRPr="00BC59AA" w:rsidRDefault="001B6D98" w:rsidP="00663E5E">
            <w:pPr>
              <w:jc w:val="center"/>
              <w:rPr>
                <w:bCs/>
                <w:color w:val="000000"/>
              </w:rPr>
            </w:pPr>
            <w:r w:rsidRPr="00BC59AA">
              <w:rPr>
                <w:bCs/>
                <w:color w:val="000000"/>
              </w:rPr>
              <w:t>Associações</w:t>
            </w:r>
          </w:p>
        </w:tc>
        <w:tc>
          <w:tcPr>
            <w:tcW w:w="25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D98" w:rsidRPr="00BC59AA" w:rsidRDefault="001B6D98" w:rsidP="00663E5E">
            <w:pPr>
              <w:jc w:val="center"/>
              <w:rPr>
                <w:bCs/>
                <w:color w:val="000000"/>
              </w:rPr>
            </w:pPr>
            <w:proofErr w:type="gramStart"/>
            <w:r w:rsidRPr="00BC59AA">
              <w:rPr>
                <w:bCs/>
                <w:color w:val="000000"/>
              </w:rPr>
              <w:t>p</w:t>
            </w:r>
            <w:proofErr w:type="gramEnd"/>
            <w:r w:rsidRPr="00BC59AA">
              <w:rPr>
                <w:bCs/>
                <w:color w:val="000000"/>
              </w:rPr>
              <w:t>-</w:t>
            </w:r>
            <w:proofErr w:type="spellStart"/>
            <w:r w:rsidRPr="00BC59AA">
              <w:rPr>
                <w:bCs/>
                <w:color w:val="000000"/>
              </w:rPr>
              <w:t>value</w:t>
            </w:r>
            <w:proofErr w:type="spellEnd"/>
          </w:p>
        </w:tc>
      </w:tr>
      <w:tr w:rsidR="001B6D98" w:rsidTr="00663E5E">
        <w:trPr>
          <w:trHeight w:val="246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DIFD x Tamanho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 w:rsidRPr="008E1438">
              <w:rPr>
                <w:bCs/>
                <w:color w:val="000000"/>
              </w:rPr>
              <w:t>0.922</w:t>
            </w:r>
          </w:p>
        </w:tc>
      </w:tr>
      <w:tr w:rsidR="001B6D98" w:rsidTr="00663E5E">
        <w:trPr>
          <w:trHeight w:val="266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DIFD x Endividamento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 w:rsidRPr="008E1438">
              <w:rPr>
                <w:bCs/>
                <w:color w:val="000000"/>
              </w:rPr>
              <w:t>0.981</w:t>
            </w:r>
          </w:p>
        </w:tc>
      </w:tr>
      <w:tr w:rsidR="001B6D98" w:rsidTr="00663E5E">
        <w:trPr>
          <w:trHeight w:val="269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DIFD x Rentabilidade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 w:rsidRPr="008E1438">
              <w:rPr>
                <w:bCs/>
                <w:color w:val="000000"/>
              </w:rPr>
              <w:t>0.013</w:t>
            </w:r>
          </w:p>
        </w:tc>
      </w:tr>
      <w:tr w:rsidR="001B6D98" w:rsidTr="00663E5E">
        <w:trPr>
          <w:trHeight w:val="274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DIFD x Setor de Atuação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 w:rsidRPr="008E1438">
              <w:rPr>
                <w:bCs/>
                <w:color w:val="000000"/>
              </w:rPr>
              <w:t>0.503</w:t>
            </w:r>
          </w:p>
        </w:tc>
      </w:tr>
      <w:tr w:rsidR="001B6D98" w:rsidTr="00663E5E">
        <w:trPr>
          <w:trHeight w:val="274"/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DIFD x Nível de Governança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B6D98" w:rsidRDefault="001B6D98" w:rsidP="00663E5E">
            <w:pPr>
              <w:jc w:val="center"/>
              <w:rPr>
                <w:bCs/>
                <w:color w:val="000000"/>
              </w:rPr>
            </w:pPr>
            <w:r w:rsidRPr="008E1438">
              <w:rPr>
                <w:bCs/>
                <w:color w:val="000000"/>
              </w:rPr>
              <w:t>0.266</w:t>
            </w:r>
          </w:p>
        </w:tc>
      </w:tr>
    </w:tbl>
    <w:p w:rsidR="001B6D98" w:rsidRDefault="001B6D98" w:rsidP="001B6D98">
      <w:pPr>
        <w:pStyle w:val="Pargrafo"/>
        <w:spacing w:line="240" w:lineRule="auto"/>
        <w:ind w:firstLine="708"/>
      </w:pPr>
      <w:r w:rsidRPr="008E1438">
        <w:t xml:space="preserve">A partir dos resultados do </w:t>
      </w:r>
      <w:r>
        <w:t xml:space="preserve">teste </w:t>
      </w:r>
      <w:proofErr w:type="spellStart"/>
      <w:r>
        <w:t>Qui</w:t>
      </w:r>
      <w:proofErr w:type="spellEnd"/>
      <w:r>
        <w:t>-quadrado verificou</w:t>
      </w:r>
      <w:r w:rsidRPr="008E1438">
        <w:t xml:space="preserve">-se que somente para a variável rentabilidade apresentou significância estatística satisfatória (inferior a 5%), </w:t>
      </w:r>
      <w:r>
        <w:t>ou seja, apenas a variável rentabilidade</w:t>
      </w:r>
      <w:r w:rsidRPr="008E1438">
        <w:t xml:space="preserve"> pôde-se inferir sua relação com </w:t>
      </w:r>
      <w:proofErr w:type="gramStart"/>
      <w:r w:rsidRPr="008E1438">
        <w:t>a variável nível</w:t>
      </w:r>
      <w:proofErr w:type="gramEnd"/>
      <w:r w:rsidRPr="008E1438">
        <w:t xml:space="preserve"> de </w:t>
      </w:r>
      <w:proofErr w:type="spellStart"/>
      <w:r w:rsidRPr="008E1438">
        <w:rPr>
          <w:i/>
        </w:rPr>
        <w:t>Disclosure</w:t>
      </w:r>
      <w:proofErr w:type="spellEnd"/>
      <w:r w:rsidRPr="008E1438">
        <w:t xml:space="preserve"> (DIFD)</w:t>
      </w:r>
      <w:r>
        <w:t>.</w:t>
      </w:r>
    </w:p>
    <w:p w:rsidR="001B6D98" w:rsidRDefault="001B6D98" w:rsidP="001B6D98">
      <w:pPr>
        <w:pStyle w:val="Pargrafo"/>
        <w:spacing w:line="240" w:lineRule="auto"/>
        <w:ind w:firstLine="708"/>
      </w:pPr>
      <w:r>
        <w:t>A análise de correspondência (</w:t>
      </w:r>
      <w:proofErr w:type="spellStart"/>
      <w:r>
        <w:t>Anacor</w:t>
      </w:r>
      <w:proofErr w:type="spellEnd"/>
      <w:r>
        <w:t xml:space="preserve">) é uma técnica de interdependência da estatística multivariada que “busca estudar a relação entre variáveis qualitativas, permitindo ao pesquisador a visualização de associações, por meio de mapas perceptuais que oferecem uma noção de proximidade, ou associação de frequência das variáveis associadas.” (Fávero, </w:t>
      </w:r>
      <w:proofErr w:type="spellStart"/>
      <w:r>
        <w:t>Belfiore</w:t>
      </w:r>
      <w:proofErr w:type="spellEnd"/>
      <w:r>
        <w:t>, Silva &amp; Chan, 2009</w:t>
      </w:r>
      <w:r w:rsidR="007B2CF3">
        <w:t>, p. 271). Com isso, a figura 7</w:t>
      </w:r>
      <w:r>
        <w:t xml:space="preserve"> apresenta o mapa perceptual da variável rentabilidade com o nível de </w:t>
      </w:r>
      <w:proofErr w:type="spellStart"/>
      <w:r w:rsidRPr="00D844A3">
        <w:rPr>
          <w:i/>
        </w:rPr>
        <w:t>disclosure</w:t>
      </w:r>
      <w:proofErr w:type="spellEnd"/>
      <w:r>
        <w:t xml:space="preserve">, que através do teste </w:t>
      </w:r>
      <w:proofErr w:type="spellStart"/>
      <w:r>
        <w:t>qui</w:t>
      </w:r>
      <w:proofErr w:type="spellEnd"/>
      <w:r>
        <w:t xml:space="preserve">-Quadrado foi </w:t>
      </w:r>
      <w:proofErr w:type="gramStart"/>
      <w:r>
        <w:t>a</w:t>
      </w:r>
      <w:proofErr w:type="gramEnd"/>
      <w:r>
        <w:t xml:space="preserve"> única variável associada com o DIFD.</w:t>
      </w:r>
    </w:p>
    <w:p w:rsidR="001B6D98" w:rsidRDefault="001B6D98" w:rsidP="001B6D98">
      <w:pPr>
        <w:pStyle w:val="Pargrafo"/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>
            <wp:extent cx="3511550" cy="113284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10" cy="113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98" w:rsidRPr="00BC59AA" w:rsidRDefault="007B2CF3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Figura 7</w:t>
      </w:r>
      <w:r w:rsidR="001B6D98" w:rsidRPr="00BC59AA">
        <w:rPr>
          <w:sz w:val="20"/>
          <w:szCs w:val="20"/>
        </w:rPr>
        <w:t>: Mapa perceptual do DIFD x Rentabilidade</w:t>
      </w:r>
    </w:p>
    <w:p w:rsidR="001B6D98" w:rsidRPr="00BC59AA" w:rsidRDefault="001B6D98" w:rsidP="001B6D98">
      <w:pPr>
        <w:pStyle w:val="Pargrafo"/>
        <w:spacing w:line="240" w:lineRule="auto"/>
        <w:ind w:firstLine="0"/>
        <w:jc w:val="center"/>
        <w:rPr>
          <w:sz w:val="20"/>
          <w:szCs w:val="20"/>
        </w:rPr>
      </w:pPr>
      <w:r w:rsidRPr="00BC59AA">
        <w:rPr>
          <w:sz w:val="20"/>
          <w:szCs w:val="20"/>
        </w:rPr>
        <w:t>Fo</w:t>
      </w:r>
      <w:r>
        <w:rPr>
          <w:sz w:val="20"/>
          <w:szCs w:val="20"/>
        </w:rPr>
        <w:t>nte: Resultado da pesquisa (2018</w:t>
      </w:r>
      <w:r w:rsidRPr="00BC59AA">
        <w:rPr>
          <w:sz w:val="20"/>
          <w:szCs w:val="20"/>
        </w:rPr>
        <w:t>)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A1381A">
        <w:rPr>
          <w:sz w:val="24"/>
          <w:szCs w:val="24"/>
        </w:rPr>
        <w:lastRenderedPageBreak/>
        <w:t xml:space="preserve">A partir da figura 10, observa-se a proximidade entre as variáveis no mapa perceptual, constatando-se, assim, que um </w:t>
      </w:r>
      <w:r>
        <w:rPr>
          <w:sz w:val="24"/>
          <w:szCs w:val="24"/>
        </w:rPr>
        <w:t>alto</w:t>
      </w:r>
      <w:r w:rsidRPr="00A1381A">
        <w:rPr>
          <w:sz w:val="24"/>
          <w:szCs w:val="24"/>
        </w:rPr>
        <w:t xml:space="preserve"> nível de </w:t>
      </w:r>
      <w:proofErr w:type="spellStart"/>
      <w:r w:rsidRPr="00A1381A">
        <w:rPr>
          <w:i/>
          <w:iCs/>
          <w:sz w:val="24"/>
          <w:szCs w:val="24"/>
        </w:rPr>
        <w:t>disclosure</w:t>
      </w:r>
      <w:proofErr w:type="spellEnd"/>
      <w:r w:rsidRPr="00A1381A">
        <w:rPr>
          <w:i/>
          <w:iCs/>
          <w:sz w:val="24"/>
          <w:szCs w:val="24"/>
        </w:rPr>
        <w:t xml:space="preserve"> </w:t>
      </w:r>
      <w:r w:rsidRPr="00A1381A">
        <w:rPr>
          <w:sz w:val="24"/>
          <w:szCs w:val="24"/>
        </w:rPr>
        <w:t xml:space="preserve">das informações acerca </w:t>
      </w:r>
      <w:r>
        <w:rPr>
          <w:sz w:val="24"/>
          <w:szCs w:val="24"/>
        </w:rPr>
        <w:t>das provisões e contingências</w:t>
      </w:r>
      <w:r w:rsidRPr="00A1381A">
        <w:rPr>
          <w:sz w:val="24"/>
          <w:szCs w:val="24"/>
        </w:rPr>
        <w:t xml:space="preserve"> está </w:t>
      </w:r>
      <w:r>
        <w:rPr>
          <w:sz w:val="24"/>
          <w:szCs w:val="24"/>
        </w:rPr>
        <w:t xml:space="preserve">associado a uma baixa rentabilidade da empresa, confirmando assim, os resultados encontrados na correlação de </w:t>
      </w:r>
      <w:proofErr w:type="spellStart"/>
      <w:r>
        <w:rPr>
          <w:sz w:val="24"/>
          <w:szCs w:val="24"/>
        </w:rPr>
        <w:t>Spearman</w:t>
      </w:r>
      <w:proofErr w:type="spellEnd"/>
      <w:r>
        <w:rPr>
          <w:sz w:val="24"/>
          <w:szCs w:val="24"/>
        </w:rPr>
        <w:t>. Confirma também o indício de que empresas com baixa rentabilidade tentam se legitimar, divulgando mais informações.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não foi </w:t>
      </w:r>
      <w:proofErr w:type="gramStart"/>
      <w:r>
        <w:rPr>
          <w:sz w:val="24"/>
          <w:szCs w:val="24"/>
        </w:rPr>
        <w:t>encontrado uma relação tão explicitada</w:t>
      </w:r>
      <w:proofErr w:type="gramEnd"/>
      <w:r>
        <w:rPr>
          <w:sz w:val="24"/>
          <w:szCs w:val="24"/>
        </w:rPr>
        <w:t xml:space="preserve"> entre rentabilidade e nível de </w:t>
      </w:r>
      <w:proofErr w:type="spellStart"/>
      <w:r w:rsidRPr="00C15265">
        <w:rPr>
          <w:i/>
          <w:sz w:val="24"/>
          <w:szCs w:val="24"/>
        </w:rPr>
        <w:t>disclosure</w:t>
      </w:r>
      <w:proofErr w:type="spellEnd"/>
      <w:r>
        <w:rPr>
          <w:sz w:val="24"/>
          <w:szCs w:val="24"/>
        </w:rPr>
        <w:t xml:space="preserve"> para empresas com rentabilidade média e alta, pois uma rentabilidade média está associada</w:t>
      </w:r>
      <w:r w:rsidRPr="00A1381A">
        <w:rPr>
          <w:sz w:val="24"/>
          <w:szCs w:val="24"/>
        </w:rPr>
        <w:t xml:space="preserve"> a um </w:t>
      </w:r>
      <w:proofErr w:type="spellStart"/>
      <w:r w:rsidRPr="00A1381A">
        <w:rPr>
          <w:i/>
          <w:iCs/>
          <w:sz w:val="24"/>
          <w:szCs w:val="24"/>
        </w:rPr>
        <w:t>disclosure</w:t>
      </w:r>
      <w:proofErr w:type="spellEnd"/>
      <w:r w:rsidRPr="00A1381A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baixo, e uma baixa rentabilidade</w:t>
      </w:r>
      <w:r w:rsidRPr="00A1381A">
        <w:rPr>
          <w:sz w:val="24"/>
          <w:szCs w:val="24"/>
        </w:rPr>
        <w:t xml:space="preserve"> está </w:t>
      </w:r>
      <w:r>
        <w:rPr>
          <w:sz w:val="24"/>
          <w:szCs w:val="24"/>
        </w:rPr>
        <w:t>associada</w:t>
      </w:r>
      <w:r w:rsidRPr="00A1381A">
        <w:rPr>
          <w:sz w:val="24"/>
          <w:szCs w:val="24"/>
        </w:rPr>
        <w:t xml:space="preserve"> a um</w:t>
      </w:r>
      <w:r>
        <w:rPr>
          <w:sz w:val="24"/>
          <w:szCs w:val="24"/>
        </w:rPr>
        <w:t xml:space="preserve"> médio</w:t>
      </w:r>
      <w:r w:rsidRPr="00A1381A"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disclosure</w:t>
      </w:r>
      <w:proofErr w:type="spellEnd"/>
      <w:r>
        <w:rPr>
          <w:i/>
          <w:iCs/>
          <w:sz w:val="24"/>
          <w:szCs w:val="24"/>
        </w:rPr>
        <w:t xml:space="preserve">, </w:t>
      </w:r>
      <w:r w:rsidRPr="00C15265">
        <w:rPr>
          <w:iCs/>
          <w:sz w:val="24"/>
          <w:szCs w:val="24"/>
        </w:rPr>
        <w:t>padrão esse não detectado na análise de correlação</w:t>
      </w:r>
      <w:r>
        <w:rPr>
          <w:i/>
          <w:iCs/>
          <w:sz w:val="24"/>
          <w:szCs w:val="24"/>
        </w:rPr>
        <w:t xml:space="preserve">. </w:t>
      </w:r>
      <w:r w:rsidRPr="00A1381A">
        <w:rPr>
          <w:sz w:val="24"/>
          <w:szCs w:val="24"/>
        </w:rPr>
        <w:t>Portanto, a partir da análise do mapa perceptual, o primeiro teste aponta para a</w:t>
      </w:r>
      <w:r>
        <w:rPr>
          <w:sz w:val="24"/>
          <w:szCs w:val="24"/>
        </w:rPr>
        <w:t xml:space="preserve"> não</w:t>
      </w:r>
      <w:r w:rsidRPr="00A1381A">
        <w:rPr>
          <w:sz w:val="24"/>
          <w:szCs w:val="24"/>
        </w:rPr>
        <w:t xml:space="preserve"> aceitação da hipótese </w:t>
      </w:r>
      <w:r>
        <w:rPr>
          <w:sz w:val="24"/>
          <w:szCs w:val="24"/>
        </w:rPr>
        <w:t xml:space="preserve">da pesquisa, de que empresas com maior rentabilidade possuem um maior nível de </w:t>
      </w:r>
      <w:proofErr w:type="spellStart"/>
      <w:r w:rsidRPr="00B14A99">
        <w:rPr>
          <w:i/>
          <w:sz w:val="24"/>
          <w:szCs w:val="24"/>
        </w:rPr>
        <w:t>disclosure</w:t>
      </w:r>
      <w:proofErr w:type="spellEnd"/>
      <w:r w:rsidRPr="00B14A9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das provisões e contingência, contrariando os resultados encontrado no estudo de </w:t>
      </w:r>
      <w:proofErr w:type="spellStart"/>
      <w:r w:rsidRPr="00B14A99">
        <w:rPr>
          <w:sz w:val="24"/>
          <w:szCs w:val="24"/>
        </w:rPr>
        <w:t>Fonteles</w:t>
      </w:r>
      <w:proofErr w:type="spellEnd"/>
      <w:r w:rsidRPr="00B14A99">
        <w:rPr>
          <w:sz w:val="24"/>
          <w:szCs w:val="24"/>
        </w:rPr>
        <w:t xml:space="preserve"> </w:t>
      </w:r>
      <w:proofErr w:type="gramStart"/>
      <w:r w:rsidRPr="00B14A99">
        <w:rPr>
          <w:i/>
          <w:sz w:val="24"/>
          <w:szCs w:val="24"/>
        </w:rPr>
        <w:t>et</w:t>
      </w:r>
      <w:proofErr w:type="gramEnd"/>
      <w:r w:rsidRPr="00B14A99">
        <w:rPr>
          <w:i/>
          <w:sz w:val="24"/>
          <w:szCs w:val="24"/>
        </w:rPr>
        <w:t xml:space="preserve"> al.</w:t>
      </w:r>
      <w:r w:rsidRPr="00B14A99">
        <w:rPr>
          <w:sz w:val="24"/>
          <w:szCs w:val="24"/>
        </w:rPr>
        <w:t xml:space="preserve"> (2013) e Farias </w:t>
      </w:r>
      <w:r w:rsidRPr="00B14A99">
        <w:rPr>
          <w:i/>
          <w:sz w:val="24"/>
          <w:szCs w:val="24"/>
        </w:rPr>
        <w:t>et al.</w:t>
      </w:r>
      <w:r w:rsidRPr="00B14A99">
        <w:rPr>
          <w:sz w:val="24"/>
          <w:szCs w:val="24"/>
        </w:rPr>
        <w:t xml:space="preserve"> (2016)</w:t>
      </w:r>
      <w:r>
        <w:rPr>
          <w:sz w:val="24"/>
          <w:szCs w:val="24"/>
        </w:rPr>
        <w:t>.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14A99">
        <w:rPr>
          <w:sz w:val="24"/>
          <w:szCs w:val="24"/>
        </w:rPr>
        <w:t xml:space="preserve">Com relação às variáveis tamanho e endividamento apesar dos estudos de </w:t>
      </w:r>
      <w:proofErr w:type="spellStart"/>
      <w:r w:rsidRPr="00B14A99">
        <w:rPr>
          <w:sz w:val="24"/>
          <w:szCs w:val="24"/>
        </w:rPr>
        <w:t>Mapurunga</w:t>
      </w:r>
      <w:proofErr w:type="spellEnd"/>
      <w:r w:rsidRPr="00B14A99">
        <w:rPr>
          <w:sz w:val="24"/>
          <w:szCs w:val="24"/>
        </w:rPr>
        <w:t xml:space="preserve">, </w:t>
      </w:r>
      <w:proofErr w:type="gramStart"/>
      <w:r w:rsidRPr="00B14A99">
        <w:rPr>
          <w:i/>
          <w:sz w:val="24"/>
          <w:szCs w:val="24"/>
        </w:rPr>
        <w:t>et</w:t>
      </w:r>
      <w:proofErr w:type="gramEnd"/>
      <w:r w:rsidRPr="00B14A99">
        <w:rPr>
          <w:i/>
          <w:sz w:val="24"/>
          <w:szCs w:val="24"/>
        </w:rPr>
        <w:t xml:space="preserve"> al.</w:t>
      </w:r>
      <w:r w:rsidRPr="00B14A99">
        <w:rPr>
          <w:sz w:val="24"/>
          <w:szCs w:val="24"/>
        </w:rPr>
        <w:t xml:space="preserve"> (2011); </w:t>
      </w:r>
      <w:proofErr w:type="spellStart"/>
      <w:r w:rsidRPr="00B14A99">
        <w:rPr>
          <w:sz w:val="24"/>
          <w:szCs w:val="24"/>
        </w:rPr>
        <w:t>Fonteles</w:t>
      </w:r>
      <w:proofErr w:type="spellEnd"/>
      <w:r w:rsidRPr="00B14A99">
        <w:rPr>
          <w:sz w:val="24"/>
          <w:szCs w:val="24"/>
        </w:rPr>
        <w:t xml:space="preserve"> </w:t>
      </w:r>
      <w:r w:rsidRPr="00B14A99">
        <w:rPr>
          <w:i/>
          <w:sz w:val="24"/>
          <w:szCs w:val="24"/>
        </w:rPr>
        <w:t>et al.</w:t>
      </w:r>
      <w:r w:rsidRPr="00B14A99">
        <w:rPr>
          <w:sz w:val="24"/>
          <w:szCs w:val="24"/>
        </w:rPr>
        <w:t xml:space="preserve"> (2013) e Farias </w:t>
      </w:r>
      <w:r w:rsidRPr="00B14A99">
        <w:rPr>
          <w:i/>
          <w:sz w:val="24"/>
          <w:szCs w:val="24"/>
        </w:rPr>
        <w:t>et al.</w:t>
      </w:r>
      <w:r w:rsidRPr="00B14A99">
        <w:rPr>
          <w:sz w:val="24"/>
          <w:szCs w:val="24"/>
        </w:rPr>
        <w:t xml:space="preserve"> (2016)</w:t>
      </w:r>
      <w:r>
        <w:rPr>
          <w:sz w:val="24"/>
          <w:szCs w:val="24"/>
        </w:rPr>
        <w:t xml:space="preserve"> encontrarem influência com o nível de </w:t>
      </w:r>
      <w:proofErr w:type="spellStart"/>
      <w:r w:rsidRPr="00B14A99">
        <w:rPr>
          <w:i/>
          <w:sz w:val="24"/>
          <w:szCs w:val="24"/>
        </w:rPr>
        <w:t>disclosure</w:t>
      </w:r>
      <w:proofErr w:type="spellEnd"/>
      <w:r>
        <w:rPr>
          <w:sz w:val="24"/>
          <w:szCs w:val="24"/>
        </w:rPr>
        <w:t xml:space="preserve"> não se pode afirmar tal hipótese, visto que o teste </w:t>
      </w:r>
      <w:proofErr w:type="spellStart"/>
      <w:r>
        <w:rPr>
          <w:sz w:val="24"/>
          <w:szCs w:val="24"/>
        </w:rPr>
        <w:t>qui</w:t>
      </w:r>
      <w:proofErr w:type="spellEnd"/>
      <w:r>
        <w:rPr>
          <w:sz w:val="24"/>
          <w:szCs w:val="24"/>
        </w:rPr>
        <w:t xml:space="preserve">-Quadrado não apresentou correlação entre o nível de </w:t>
      </w:r>
      <w:proofErr w:type="spellStart"/>
      <w:r w:rsidRPr="00B14A99">
        <w:rPr>
          <w:i/>
          <w:sz w:val="24"/>
          <w:szCs w:val="24"/>
        </w:rPr>
        <w:t>dislosure</w:t>
      </w:r>
      <w:proofErr w:type="spellEnd"/>
      <w:r>
        <w:rPr>
          <w:sz w:val="24"/>
          <w:szCs w:val="24"/>
        </w:rPr>
        <w:t xml:space="preserve"> encontrado.</w:t>
      </w:r>
    </w:p>
    <w:p w:rsidR="001B6D98" w:rsidRPr="007B2CF3" w:rsidRDefault="001B6D98" w:rsidP="001B6D98">
      <w:pPr>
        <w:pStyle w:val="Pargrafo"/>
        <w:spacing w:line="240" w:lineRule="auto"/>
        <w:ind w:firstLine="0"/>
        <w:rPr>
          <w:b/>
          <w:sz w:val="12"/>
          <w:szCs w:val="12"/>
        </w:rPr>
      </w:pPr>
    </w:p>
    <w:p w:rsidR="001B6D98" w:rsidRPr="001B6D98" w:rsidRDefault="001B6D98" w:rsidP="001B6D98">
      <w:pPr>
        <w:autoSpaceDE w:val="0"/>
        <w:autoSpaceDN w:val="0"/>
        <w:adjustRightInd w:val="0"/>
        <w:rPr>
          <w:b/>
          <w:sz w:val="24"/>
          <w:szCs w:val="24"/>
        </w:rPr>
      </w:pPr>
      <w:r w:rsidRPr="001B6D98">
        <w:rPr>
          <w:b/>
          <w:sz w:val="24"/>
          <w:szCs w:val="24"/>
        </w:rPr>
        <w:t>5. Considerações Finais</w:t>
      </w:r>
    </w:p>
    <w:p w:rsidR="001B6D98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função das normas internacionais de contabilidade, o termo provisão passou a ter novos conceitos e aplicabilidade nas companhias. Por sua vez, as contingências passaram a ter um peso relevante no cenário econômico e financeiro das companhias, levando em consideração a subjetividade que as contingências estão inseridas.</w:t>
      </w:r>
    </w:p>
    <w:p w:rsidR="001B6D98" w:rsidRPr="00CB7AEB" w:rsidRDefault="001B6D98" w:rsidP="001B6D98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Assim, e</w:t>
      </w:r>
      <w:r w:rsidRPr="00CB7AEB">
        <w:rPr>
          <w:sz w:val="24"/>
          <w:szCs w:val="24"/>
        </w:rPr>
        <w:t xml:space="preserve">ste estudo teve como objetivo analisar os determinantes do </w:t>
      </w:r>
      <w:proofErr w:type="spellStart"/>
      <w:r w:rsidRPr="00CB7AEB">
        <w:rPr>
          <w:i/>
          <w:sz w:val="24"/>
          <w:szCs w:val="24"/>
        </w:rPr>
        <w:t>disclosure</w:t>
      </w:r>
      <w:proofErr w:type="spellEnd"/>
      <w:r w:rsidRPr="00CB7AEB">
        <w:rPr>
          <w:sz w:val="24"/>
          <w:szCs w:val="24"/>
        </w:rPr>
        <w:t xml:space="preserve"> das exigências contidas no CPC 25: Provisões, Ativos e Passivos Contingentes pelas companhias listadas na B3, levando em consideração as mudanças que a referida norma contábil oriunda do advento das normas internacionais de contabilidade trouxe para o Brasil.</w:t>
      </w:r>
    </w:p>
    <w:p w:rsidR="001B6D98" w:rsidRPr="00CB7AEB" w:rsidRDefault="001B6D98" w:rsidP="001B6D98">
      <w:pPr>
        <w:ind w:firstLine="567"/>
        <w:jc w:val="both"/>
        <w:rPr>
          <w:sz w:val="24"/>
          <w:szCs w:val="24"/>
        </w:rPr>
      </w:pPr>
      <w:r w:rsidRPr="00CB7AEB">
        <w:rPr>
          <w:sz w:val="24"/>
          <w:szCs w:val="24"/>
        </w:rPr>
        <w:t xml:space="preserve">Diante dos resultados, constatou-se que a média de </w:t>
      </w:r>
      <w:proofErr w:type="spellStart"/>
      <w:r w:rsidRPr="00CB7AEB">
        <w:rPr>
          <w:i/>
          <w:sz w:val="24"/>
          <w:szCs w:val="24"/>
        </w:rPr>
        <w:t>disclosure</w:t>
      </w:r>
      <w:proofErr w:type="spellEnd"/>
      <w:r w:rsidRPr="00CB7AEB">
        <w:rPr>
          <w:i/>
          <w:sz w:val="24"/>
          <w:szCs w:val="24"/>
        </w:rPr>
        <w:t xml:space="preserve"> </w:t>
      </w:r>
      <w:r w:rsidRPr="00CB7AEB">
        <w:rPr>
          <w:sz w:val="24"/>
          <w:szCs w:val="24"/>
        </w:rPr>
        <w:t xml:space="preserve">das provisões foi de 78,12% e 76,32% para contingências. Com relação aos setores, </w:t>
      </w:r>
      <w:proofErr w:type="gramStart"/>
      <w:r w:rsidRPr="00CB7AEB">
        <w:rPr>
          <w:sz w:val="24"/>
          <w:szCs w:val="24"/>
        </w:rPr>
        <w:t>os que apresentaram maior grau de aderência ao CPC 25 foi</w:t>
      </w:r>
      <w:proofErr w:type="gramEnd"/>
      <w:r w:rsidRPr="00CB7AEB">
        <w:rPr>
          <w:sz w:val="24"/>
          <w:szCs w:val="24"/>
        </w:rPr>
        <w:t xml:space="preserve"> o de telecomunicações atendendo todos os quesitos avaliados pelas duas companhias que compõe este setor na amostra. O segundo setor foi Petróleo, gás e biocombustíveis com percentual de 94,87%. Os níveis de governança corporativa da B3 com maior nível de </w:t>
      </w:r>
      <w:proofErr w:type="spellStart"/>
      <w:r w:rsidRPr="00CB7AEB">
        <w:rPr>
          <w:i/>
          <w:sz w:val="24"/>
          <w:szCs w:val="24"/>
        </w:rPr>
        <w:t>disclosure</w:t>
      </w:r>
      <w:proofErr w:type="spellEnd"/>
      <w:r w:rsidRPr="00CB7AEB">
        <w:rPr>
          <w:sz w:val="24"/>
          <w:szCs w:val="24"/>
        </w:rPr>
        <w:t xml:space="preserve"> de provisões e contingências foi o tradicional, com média de 89,23% e em segundo lugar as companhias do nível </w:t>
      </w:r>
      <w:proofErr w:type="gramStart"/>
      <w:r w:rsidRPr="00CB7AEB">
        <w:rPr>
          <w:sz w:val="24"/>
          <w:szCs w:val="24"/>
        </w:rPr>
        <w:t>1</w:t>
      </w:r>
      <w:proofErr w:type="gramEnd"/>
      <w:r w:rsidRPr="00CB7AEB">
        <w:rPr>
          <w:sz w:val="24"/>
          <w:szCs w:val="24"/>
        </w:rPr>
        <w:t xml:space="preserve"> com média de 80,22%.</w:t>
      </w:r>
    </w:p>
    <w:p w:rsidR="001B6D98" w:rsidRDefault="001B6D98" w:rsidP="001B6D9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relação aos resultados da Correlação de </w:t>
      </w:r>
      <w:proofErr w:type="spellStart"/>
      <w:r>
        <w:rPr>
          <w:sz w:val="24"/>
          <w:szCs w:val="24"/>
        </w:rPr>
        <w:t>Spearman</w:t>
      </w:r>
      <w:proofErr w:type="spellEnd"/>
      <w:r>
        <w:rPr>
          <w:sz w:val="24"/>
          <w:szCs w:val="24"/>
        </w:rPr>
        <w:t xml:space="preserve"> e teste</w:t>
      </w:r>
      <w:r w:rsidRPr="00CB7AEB">
        <w:rPr>
          <w:sz w:val="24"/>
          <w:szCs w:val="24"/>
        </w:rPr>
        <w:t xml:space="preserve"> </w:t>
      </w:r>
      <w:proofErr w:type="spellStart"/>
      <w:proofErr w:type="gramStart"/>
      <w:r w:rsidRPr="00CB7AEB">
        <w:rPr>
          <w:sz w:val="24"/>
          <w:szCs w:val="24"/>
        </w:rPr>
        <w:t>Qui</w:t>
      </w:r>
      <w:proofErr w:type="spellEnd"/>
      <w:r w:rsidRPr="00CB7AEB">
        <w:rPr>
          <w:sz w:val="24"/>
          <w:szCs w:val="24"/>
        </w:rPr>
        <w:t>-quadrado realizado</w:t>
      </w:r>
      <w:r>
        <w:rPr>
          <w:sz w:val="24"/>
          <w:szCs w:val="24"/>
        </w:rPr>
        <w:t>s</w:t>
      </w:r>
      <w:r w:rsidRPr="00CB7AEB">
        <w:rPr>
          <w:sz w:val="24"/>
          <w:szCs w:val="24"/>
        </w:rPr>
        <w:t xml:space="preserve"> neste estudo</w:t>
      </w:r>
      <w:proofErr w:type="gramEnd"/>
      <w:r w:rsidRPr="00CB7AEB">
        <w:rPr>
          <w:sz w:val="24"/>
          <w:szCs w:val="24"/>
        </w:rPr>
        <w:t xml:space="preserve">, foi possível averiguar que apenas a variável rentabilidade apresentou dependência com a variável </w:t>
      </w:r>
      <w:proofErr w:type="spellStart"/>
      <w:r w:rsidRPr="00CB7AEB">
        <w:rPr>
          <w:i/>
          <w:sz w:val="24"/>
          <w:szCs w:val="24"/>
        </w:rPr>
        <w:t>disclosure</w:t>
      </w:r>
      <w:proofErr w:type="spellEnd"/>
      <w:r w:rsidRPr="00CB7AEB">
        <w:rPr>
          <w:sz w:val="24"/>
          <w:szCs w:val="24"/>
        </w:rPr>
        <w:t>. As demais variáveis econômicas e de tamanho não apresentam dependência. Assim, fez-se o teste de Correspondência (</w:t>
      </w:r>
      <w:proofErr w:type="spellStart"/>
      <w:r w:rsidRPr="00CB7AEB">
        <w:rPr>
          <w:sz w:val="24"/>
          <w:szCs w:val="24"/>
        </w:rPr>
        <w:t>Anacor</w:t>
      </w:r>
      <w:proofErr w:type="spellEnd"/>
      <w:r w:rsidRPr="00CB7AEB">
        <w:rPr>
          <w:sz w:val="24"/>
          <w:szCs w:val="24"/>
        </w:rPr>
        <w:t>) e a partir do mapa perceptual verificou que</w:t>
      </w:r>
      <w:r w:rsidRPr="00A1381A">
        <w:rPr>
          <w:sz w:val="24"/>
          <w:szCs w:val="24"/>
        </w:rPr>
        <w:t xml:space="preserve"> um </w:t>
      </w:r>
      <w:r>
        <w:rPr>
          <w:sz w:val="24"/>
          <w:szCs w:val="24"/>
        </w:rPr>
        <w:t>alto</w:t>
      </w:r>
      <w:r w:rsidRPr="00A1381A">
        <w:rPr>
          <w:sz w:val="24"/>
          <w:szCs w:val="24"/>
        </w:rPr>
        <w:t xml:space="preserve"> nível de </w:t>
      </w:r>
      <w:proofErr w:type="spellStart"/>
      <w:r w:rsidRPr="00A1381A">
        <w:rPr>
          <w:i/>
          <w:iCs/>
          <w:sz w:val="24"/>
          <w:szCs w:val="24"/>
        </w:rPr>
        <w:t>disclosure</w:t>
      </w:r>
      <w:proofErr w:type="spellEnd"/>
      <w:r w:rsidRPr="00A1381A">
        <w:rPr>
          <w:i/>
          <w:iCs/>
          <w:sz w:val="24"/>
          <w:szCs w:val="24"/>
        </w:rPr>
        <w:t xml:space="preserve"> </w:t>
      </w:r>
      <w:r w:rsidRPr="00A1381A">
        <w:rPr>
          <w:sz w:val="24"/>
          <w:szCs w:val="24"/>
        </w:rPr>
        <w:t xml:space="preserve">das informações acerca </w:t>
      </w:r>
      <w:r>
        <w:rPr>
          <w:sz w:val="24"/>
          <w:szCs w:val="24"/>
        </w:rPr>
        <w:t>das provisões e contingências</w:t>
      </w:r>
      <w:r w:rsidRPr="00A1381A">
        <w:rPr>
          <w:sz w:val="24"/>
          <w:szCs w:val="24"/>
        </w:rPr>
        <w:t xml:space="preserve"> está </w:t>
      </w:r>
      <w:r>
        <w:rPr>
          <w:sz w:val="24"/>
          <w:szCs w:val="24"/>
        </w:rPr>
        <w:t>associado a uma baixa rentabilidade da empresa,</w:t>
      </w:r>
      <w:r w:rsidRPr="00CB7AEB">
        <w:rPr>
          <w:sz w:val="24"/>
          <w:szCs w:val="24"/>
        </w:rPr>
        <w:t xml:space="preserve"> uma rentabilidade média está associada a um </w:t>
      </w:r>
      <w:proofErr w:type="spellStart"/>
      <w:r w:rsidRPr="00CB7AEB">
        <w:rPr>
          <w:i/>
          <w:iCs/>
          <w:sz w:val="24"/>
          <w:szCs w:val="24"/>
        </w:rPr>
        <w:t>disclosure</w:t>
      </w:r>
      <w:proofErr w:type="spellEnd"/>
      <w:r w:rsidRPr="00CB7AEB">
        <w:rPr>
          <w:i/>
          <w:iCs/>
          <w:sz w:val="24"/>
          <w:szCs w:val="24"/>
        </w:rPr>
        <w:t xml:space="preserve"> </w:t>
      </w:r>
      <w:r w:rsidRPr="00CB7AEB">
        <w:rPr>
          <w:sz w:val="24"/>
          <w:szCs w:val="24"/>
        </w:rPr>
        <w:t xml:space="preserve">baixo, e uma baixa rentabilidade está associada a um médio </w:t>
      </w:r>
      <w:proofErr w:type="spellStart"/>
      <w:r w:rsidRPr="00CB7AEB">
        <w:rPr>
          <w:i/>
          <w:iCs/>
          <w:sz w:val="24"/>
          <w:szCs w:val="24"/>
        </w:rPr>
        <w:t>disclosure</w:t>
      </w:r>
      <w:proofErr w:type="spellEnd"/>
      <w:r w:rsidRPr="00CB7AEB">
        <w:rPr>
          <w:sz w:val="24"/>
          <w:szCs w:val="24"/>
        </w:rPr>
        <w:t xml:space="preserve">. Portanto, a partir da análise do mapa perceptual, o primeiro teste aponta para a não aceitação da hipótese da pesquisa, de que empresas com maior rentabilidade possuem um maior nível de </w:t>
      </w:r>
      <w:proofErr w:type="spellStart"/>
      <w:r w:rsidRPr="00CB7AEB">
        <w:rPr>
          <w:i/>
          <w:sz w:val="24"/>
          <w:szCs w:val="24"/>
        </w:rPr>
        <w:t>disclosure</w:t>
      </w:r>
      <w:proofErr w:type="spellEnd"/>
      <w:r w:rsidRPr="00CB7AEB">
        <w:rPr>
          <w:i/>
          <w:sz w:val="24"/>
          <w:szCs w:val="24"/>
        </w:rPr>
        <w:t xml:space="preserve"> </w:t>
      </w:r>
      <w:r w:rsidRPr="00CB7AEB">
        <w:rPr>
          <w:sz w:val="24"/>
          <w:szCs w:val="24"/>
        </w:rPr>
        <w:t xml:space="preserve">das provisões e contingência, contrariando os resultados encontrado no estudo de </w:t>
      </w:r>
      <w:proofErr w:type="spellStart"/>
      <w:r w:rsidRPr="00CB7AEB">
        <w:rPr>
          <w:sz w:val="24"/>
          <w:szCs w:val="24"/>
        </w:rPr>
        <w:t>Fonteles</w:t>
      </w:r>
      <w:proofErr w:type="spellEnd"/>
      <w:r w:rsidRPr="00CB7AEB">
        <w:rPr>
          <w:sz w:val="24"/>
          <w:szCs w:val="24"/>
        </w:rPr>
        <w:t xml:space="preserve"> </w:t>
      </w:r>
      <w:proofErr w:type="gramStart"/>
      <w:r w:rsidRPr="00CB7AEB">
        <w:rPr>
          <w:i/>
          <w:sz w:val="24"/>
          <w:szCs w:val="24"/>
        </w:rPr>
        <w:t>et</w:t>
      </w:r>
      <w:proofErr w:type="gramEnd"/>
      <w:r w:rsidRPr="00CB7AEB">
        <w:rPr>
          <w:i/>
          <w:sz w:val="24"/>
          <w:szCs w:val="24"/>
        </w:rPr>
        <w:t xml:space="preserve"> al.</w:t>
      </w:r>
      <w:r w:rsidRPr="00CB7AEB">
        <w:rPr>
          <w:sz w:val="24"/>
          <w:szCs w:val="24"/>
        </w:rPr>
        <w:t xml:space="preserve"> (2013) e Farias </w:t>
      </w:r>
      <w:r w:rsidRPr="00CB7AEB">
        <w:rPr>
          <w:i/>
          <w:sz w:val="24"/>
          <w:szCs w:val="24"/>
        </w:rPr>
        <w:t>et al.</w:t>
      </w:r>
      <w:r w:rsidRPr="00CB7AEB">
        <w:rPr>
          <w:sz w:val="24"/>
          <w:szCs w:val="24"/>
        </w:rPr>
        <w:t xml:space="preserve"> (2016).</w:t>
      </w:r>
    </w:p>
    <w:p w:rsidR="001B6D98" w:rsidRPr="00187EAE" w:rsidRDefault="001B6D98" w:rsidP="001B6D98">
      <w:pPr>
        <w:ind w:firstLine="567"/>
        <w:jc w:val="both"/>
        <w:rPr>
          <w:sz w:val="24"/>
          <w:szCs w:val="24"/>
        </w:rPr>
      </w:pPr>
      <w:r w:rsidRPr="00187EAE">
        <w:rPr>
          <w:sz w:val="24"/>
          <w:szCs w:val="24"/>
        </w:rPr>
        <w:lastRenderedPageBreak/>
        <w:t>A partir dos resultados, foi possível constatar que de modo geral o CPC 25 é substancialmente observado pelas empresas analisadas e ao longo dos anos, percebe-se que o grau de aderência tem aumentado pelas companhias</w:t>
      </w:r>
      <w:r>
        <w:rPr>
          <w:sz w:val="24"/>
          <w:szCs w:val="24"/>
        </w:rPr>
        <w:t>, visto que ao longo dos estudos há um aumento n</w:t>
      </w:r>
      <w:r w:rsidRPr="00187EAE">
        <w:rPr>
          <w:sz w:val="24"/>
          <w:szCs w:val="24"/>
        </w:rPr>
        <w:t xml:space="preserve">o nível de </w:t>
      </w:r>
      <w:proofErr w:type="spellStart"/>
      <w:r w:rsidRPr="00187EAE">
        <w:rPr>
          <w:i/>
          <w:iCs/>
          <w:sz w:val="24"/>
          <w:szCs w:val="24"/>
        </w:rPr>
        <w:t>disclosure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(R</w:t>
      </w:r>
      <w:r w:rsidRPr="00187EAE">
        <w:rPr>
          <w:sz w:val="24"/>
          <w:szCs w:val="24"/>
        </w:rPr>
        <w:t xml:space="preserve">odrigues, 2011; Araújo, 2013; Matias, 2013; </w:t>
      </w:r>
      <w:proofErr w:type="spellStart"/>
      <w:r w:rsidRPr="00187EAE">
        <w:rPr>
          <w:sz w:val="24"/>
          <w:szCs w:val="24"/>
        </w:rPr>
        <w:t>Fonteles</w:t>
      </w:r>
      <w:proofErr w:type="spellEnd"/>
      <w:r w:rsidRPr="00187EAE">
        <w:rPr>
          <w:sz w:val="24"/>
          <w:szCs w:val="24"/>
        </w:rPr>
        <w:t xml:space="preserve"> </w:t>
      </w:r>
      <w:proofErr w:type="gramStart"/>
      <w:r w:rsidRPr="00187EAE">
        <w:rPr>
          <w:i/>
          <w:sz w:val="24"/>
          <w:szCs w:val="24"/>
        </w:rPr>
        <w:t>et</w:t>
      </w:r>
      <w:proofErr w:type="gramEnd"/>
      <w:r w:rsidRPr="00187EAE">
        <w:rPr>
          <w:i/>
          <w:sz w:val="24"/>
          <w:szCs w:val="24"/>
        </w:rPr>
        <w:t xml:space="preserve"> al.</w:t>
      </w:r>
      <w:r w:rsidRPr="00187EAE">
        <w:rPr>
          <w:sz w:val="24"/>
          <w:szCs w:val="24"/>
        </w:rPr>
        <w:t xml:space="preserve">, 2013; Castro </w:t>
      </w:r>
      <w:r w:rsidRPr="00187EAE">
        <w:rPr>
          <w:i/>
          <w:sz w:val="24"/>
          <w:szCs w:val="24"/>
        </w:rPr>
        <w:t>et al.</w:t>
      </w:r>
      <w:r w:rsidRPr="00187EAE">
        <w:rPr>
          <w:sz w:val="24"/>
          <w:szCs w:val="24"/>
        </w:rPr>
        <w:t xml:space="preserve">, 2015; Lopes, 2015 e Farias, </w:t>
      </w:r>
      <w:proofErr w:type="spellStart"/>
      <w:r w:rsidRPr="00187EAE">
        <w:rPr>
          <w:sz w:val="24"/>
          <w:szCs w:val="24"/>
        </w:rPr>
        <w:t>Huppes</w:t>
      </w:r>
      <w:proofErr w:type="spellEnd"/>
      <w:r w:rsidRPr="00187EAE">
        <w:rPr>
          <w:sz w:val="24"/>
          <w:szCs w:val="24"/>
        </w:rPr>
        <w:t xml:space="preserve">, Lopes &amp; </w:t>
      </w:r>
      <w:proofErr w:type="spellStart"/>
      <w:r w:rsidRPr="00187EAE">
        <w:rPr>
          <w:sz w:val="24"/>
          <w:szCs w:val="24"/>
        </w:rPr>
        <w:t>Noriller</w:t>
      </w:r>
      <w:proofErr w:type="spellEnd"/>
      <w:r w:rsidRPr="00187EAE">
        <w:rPr>
          <w:sz w:val="24"/>
          <w:szCs w:val="24"/>
        </w:rPr>
        <w:t>, 2016). Para futuros estudos empíricos na área, sugere-se expandir a amostra em estudo para outros setores e até mesmo outros centros financeiros além da B3, visto que o tamanho da amostra deste estudo pode ter sido um fator limitante, todavia acredita-</w:t>
      </w:r>
      <w:r>
        <w:rPr>
          <w:sz w:val="24"/>
          <w:szCs w:val="24"/>
        </w:rPr>
        <w:t>se que os objetivos</w:t>
      </w:r>
      <w:r w:rsidRPr="00187EAE">
        <w:rPr>
          <w:sz w:val="24"/>
          <w:szCs w:val="24"/>
        </w:rPr>
        <w:t xml:space="preserve"> foram alcançados.</w:t>
      </w:r>
    </w:p>
    <w:p w:rsidR="001B6D98" w:rsidRPr="007B2CF3" w:rsidRDefault="001B6D98" w:rsidP="001B6D98">
      <w:pPr>
        <w:autoSpaceDE w:val="0"/>
        <w:autoSpaceDN w:val="0"/>
        <w:adjustRightInd w:val="0"/>
        <w:rPr>
          <w:b/>
          <w:sz w:val="10"/>
          <w:szCs w:val="10"/>
        </w:rPr>
      </w:pPr>
    </w:p>
    <w:p w:rsidR="001B6D98" w:rsidRPr="001B6D98" w:rsidRDefault="001B6D98" w:rsidP="001B6D98">
      <w:pPr>
        <w:autoSpaceDE w:val="0"/>
        <w:autoSpaceDN w:val="0"/>
        <w:adjustRightInd w:val="0"/>
        <w:rPr>
          <w:b/>
          <w:sz w:val="24"/>
          <w:szCs w:val="24"/>
        </w:rPr>
      </w:pPr>
      <w:r w:rsidRPr="001B6D98">
        <w:rPr>
          <w:b/>
          <w:sz w:val="24"/>
          <w:szCs w:val="24"/>
        </w:rPr>
        <w:t>Referências</w:t>
      </w:r>
    </w:p>
    <w:p w:rsidR="001B6D98" w:rsidRPr="007B2CF3" w:rsidRDefault="001B6D98" w:rsidP="001B6D98">
      <w:pPr>
        <w:autoSpaceDE w:val="0"/>
        <w:autoSpaceDN w:val="0"/>
        <w:adjustRightInd w:val="0"/>
        <w:rPr>
          <w:b/>
          <w:sz w:val="10"/>
          <w:szCs w:val="10"/>
        </w:rPr>
      </w:pPr>
    </w:p>
    <w:p w:rsidR="001B6D98" w:rsidRDefault="001B6D98" w:rsidP="001B6D9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Almeida, M. C. (2014). </w:t>
      </w:r>
      <w:r>
        <w:rPr>
          <w:i/>
          <w:iCs/>
          <w:sz w:val="24"/>
          <w:szCs w:val="24"/>
        </w:rPr>
        <w:t>Curso de Contabilidade intermediária superior em IFRS.</w:t>
      </w:r>
      <w:r>
        <w:rPr>
          <w:sz w:val="24"/>
          <w:szCs w:val="24"/>
        </w:rPr>
        <w:t xml:space="preserve"> Atlas.</w:t>
      </w:r>
    </w:p>
    <w:p w:rsidR="001B6D98" w:rsidRPr="007B2CF3" w:rsidRDefault="001B6D98" w:rsidP="001B6D98">
      <w:pPr>
        <w:autoSpaceDE w:val="0"/>
        <w:autoSpaceDN w:val="0"/>
        <w:adjustRightInd w:val="0"/>
        <w:jc w:val="both"/>
        <w:rPr>
          <w:sz w:val="10"/>
          <w:szCs w:val="10"/>
        </w:rPr>
      </w:pPr>
    </w:p>
    <w:p w:rsidR="001B6D98" w:rsidRPr="005314C3" w:rsidRDefault="001B6D98" w:rsidP="001B6D98">
      <w:pPr>
        <w:pStyle w:val="Pargrafo"/>
        <w:tabs>
          <w:tab w:val="left" w:pos="3261"/>
        </w:tabs>
        <w:spacing w:line="240" w:lineRule="auto"/>
        <w:ind w:firstLine="0"/>
      </w:pPr>
      <w:r w:rsidRPr="005314C3">
        <w:t xml:space="preserve">Araújo, P. C. F. F. (2013). </w:t>
      </w:r>
      <w:r w:rsidRPr="005314C3">
        <w:rPr>
          <w:i/>
          <w:iCs/>
        </w:rPr>
        <w:t xml:space="preserve">Provisões, passivos contingentes e </w:t>
      </w:r>
      <w:proofErr w:type="spellStart"/>
      <w:r w:rsidRPr="005314C3">
        <w:rPr>
          <w:i/>
          <w:iCs/>
        </w:rPr>
        <w:t>activos</w:t>
      </w:r>
      <w:proofErr w:type="spellEnd"/>
      <w:r w:rsidRPr="005314C3">
        <w:rPr>
          <w:i/>
          <w:iCs/>
        </w:rPr>
        <w:t xml:space="preserve"> contingentes</w:t>
      </w:r>
      <w:r w:rsidRPr="005314C3">
        <w:t xml:space="preserve"> (</w:t>
      </w:r>
      <w:proofErr w:type="spellStart"/>
      <w:r w:rsidRPr="005314C3">
        <w:t>Doctoral</w:t>
      </w:r>
      <w:proofErr w:type="spellEnd"/>
      <w:r w:rsidRPr="005314C3">
        <w:t xml:space="preserve"> </w:t>
      </w:r>
      <w:proofErr w:type="spellStart"/>
      <w:r w:rsidRPr="005314C3">
        <w:t>dissertation</w:t>
      </w:r>
      <w:proofErr w:type="spellEnd"/>
      <w:r w:rsidRPr="005314C3">
        <w:t>).</w:t>
      </w:r>
    </w:p>
    <w:p w:rsidR="001B6D98" w:rsidRPr="007B2CF3" w:rsidRDefault="001B6D98" w:rsidP="001B6D98">
      <w:pPr>
        <w:pStyle w:val="Pargrafo"/>
        <w:tabs>
          <w:tab w:val="left" w:pos="3261"/>
        </w:tabs>
        <w:spacing w:line="240" w:lineRule="auto"/>
        <w:ind w:firstLine="0"/>
        <w:rPr>
          <w:sz w:val="10"/>
          <w:szCs w:val="10"/>
        </w:rPr>
      </w:pPr>
    </w:p>
    <w:p w:rsidR="001B6D98" w:rsidRPr="005314C3" w:rsidRDefault="001B6D98" w:rsidP="001B6D98">
      <w:pPr>
        <w:jc w:val="both"/>
        <w:rPr>
          <w:b/>
          <w:sz w:val="24"/>
          <w:szCs w:val="24"/>
        </w:rPr>
      </w:pPr>
      <w:r w:rsidRPr="005314C3">
        <w:rPr>
          <w:sz w:val="24"/>
          <w:szCs w:val="24"/>
        </w:rPr>
        <w:t xml:space="preserve">Avelar, A. F., Avelar, B., Fonseca, K. B. C., Silva, M. B. A., &amp; Costa, P. D. S. (2015). </w:t>
      </w:r>
      <w:proofErr w:type="spellStart"/>
      <w:r w:rsidRPr="005314C3">
        <w:rPr>
          <w:sz w:val="24"/>
          <w:szCs w:val="24"/>
        </w:rPr>
        <w:t>Value</w:t>
      </w:r>
      <w:proofErr w:type="spellEnd"/>
      <w:r w:rsidRPr="005314C3">
        <w:rPr>
          <w:sz w:val="24"/>
          <w:szCs w:val="24"/>
        </w:rPr>
        <w:t xml:space="preserve"> </w:t>
      </w:r>
      <w:proofErr w:type="spellStart"/>
      <w:r w:rsidRPr="005314C3">
        <w:rPr>
          <w:sz w:val="24"/>
          <w:szCs w:val="24"/>
        </w:rPr>
        <w:t>relevance</w:t>
      </w:r>
      <w:proofErr w:type="spellEnd"/>
      <w:r w:rsidRPr="005314C3">
        <w:rPr>
          <w:sz w:val="24"/>
          <w:szCs w:val="24"/>
        </w:rPr>
        <w:t xml:space="preserve"> da evidenciação de provisões e passivos contingentes. </w:t>
      </w:r>
      <w:r w:rsidRPr="005314C3">
        <w:rPr>
          <w:i/>
          <w:iCs/>
          <w:sz w:val="24"/>
          <w:szCs w:val="24"/>
        </w:rPr>
        <w:t>Pensar Contábil</w:t>
      </w:r>
      <w:r w:rsidRPr="005314C3">
        <w:rPr>
          <w:sz w:val="24"/>
          <w:szCs w:val="24"/>
        </w:rPr>
        <w:t xml:space="preserve">, </w:t>
      </w:r>
      <w:r w:rsidRPr="005314C3">
        <w:rPr>
          <w:i/>
          <w:iCs/>
          <w:sz w:val="24"/>
          <w:szCs w:val="24"/>
        </w:rPr>
        <w:t>16</w:t>
      </w:r>
      <w:r w:rsidRPr="005314C3">
        <w:rPr>
          <w:sz w:val="24"/>
          <w:szCs w:val="24"/>
        </w:rPr>
        <w:t>(61).</w:t>
      </w:r>
    </w:p>
    <w:p w:rsidR="001B6D98" w:rsidRPr="007B2CF3" w:rsidRDefault="001B6D98" w:rsidP="001B6D98">
      <w:pPr>
        <w:jc w:val="both"/>
        <w:rPr>
          <w:rStyle w:val="normaltextrun"/>
          <w:sz w:val="10"/>
          <w:szCs w:val="10"/>
          <w:shd w:val="clear" w:color="auto" w:fill="FFFFFF"/>
        </w:rPr>
      </w:pPr>
    </w:p>
    <w:p w:rsidR="001B6D98" w:rsidRPr="005314C3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 xml:space="preserve">Barcellos, L. P., Silva, A. H. C., &amp; Costa Junior, J. V. </w:t>
      </w:r>
      <w:proofErr w:type="gramStart"/>
      <w:r w:rsidRPr="005314C3">
        <w:rPr>
          <w:sz w:val="24"/>
          <w:szCs w:val="24"/>
        </w:rPr>
        <w:t>D.</w:t>
      </w:r>
      <w:proofErr w:type="gramEnd"/>
      <w:r w:rsidRPr="005314C3">
        <w:rPr>
          <w:sz w:val="24"/>
          <w:szCs w:val="24"/>
        </w:rPr>
        <w:t xml:space="preserve"> (2012). Impactos da adoção das normas internacionais de contabilidade no Brasil: uma investigação no setor de siderurgia e metalurgia. </w:t>
      </w:r>
      <w:r w:rsidRPr="005314C3">
        <w:rPr>
          <w:i/>
          <w:iCs/>
          <w:sz w:val="24"/>
          <w:szCs w:val="24"/>
        </w:rPr>
        <w:t>Pensar Contábil</w:t>
      </w:r>
      <w:r w:rsidRPr="005314C3">
        <w:rPr>
          <w:sz w:val="24"/>
          <w:szCs w:val="24"/>
        </w:rPr>
        <w:t xml:space="preserve">, </w:t>
      </w:r>
      <w:r w:rsidRPr="005314C3">
        <w:rPr>
          <w:i/>
          <w:iCs/>
          <w:sz w:val="24"/>
          <w:szCs w:val="24"/>
        </w:rPr>
        <w:t>14</w:t>
      </w:r>
      <w:r w:rsidRPr="005314C3">
        <w:rPr>
          <w:sz w:val="24"/>
          <w:szCs w:val="24"/>
        </w:rPr>
        <w:t>(54).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5314C3" w:rsidRDefault="001B6D98" w:rsidP="001B6D98">
      <w:pPr>
        <w:widowControl w:val="0"/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5314C3">
        <w:rPr>
          <w:sz w:val="24"/>
          <w:szCs w:val="24"/>
        </w:rPr>
        <w:t>Bardin</w:t>
      </w:r>
      <w:proofErr w:type="spellEnd"/>
      <w:r w:rsidRPr="005314C3">
        <w:rPr>
          <w:sz w:val="24"/>
          <w:szCs w:val="24"/>
        </w:rPr>
        <w:t xml:space="preserve">, L. (2011). </w:t>
      </w:r>
      <w:r w:rsidRPr="005314C3">
        <w:rPr>
          <w:i/>
          <w:sz w:val="24"/>
          <w:szCs w:val="24"/>
        </w:rPr>
        <w:t>Análise de conteúdo</w:t>
      </w:r>
      <w:r w:rsidRPr="005314C3">
        <w:rPr>
          <w:sz w:val="24"/>
          <w:szCs w:val="24"/>
        </w:rPr>
        <w:t>. Lisboa: Editora 70.</w:t>
      </w:r>
    </w:p>
    <w:p w:rsidR="001B6D98" w:rsidRPr="007B2CF3" w:rsidRDefault="001B6D98" w:rsidP="001B6D98">
      <w:pPr>
        <w:jc w:val="both"/>
        <w:rPr>
          <w:rStyle w:val="normaltextrun"/>
          <w:sz w:val="10"/>
          <w:szCs w:val="10"/>
          <w:shd w:val="clear" w:color="auto" w:fill="FFFFFF"/>
        </w:rPr>
      </w:pPr>
    </w:p>
    <w:p w:rsidR="001B6D98" w:rsidRPr="005314C3" w:rsidRDefault="001B6D98" w:rsidP="001B6D98">
      <w:pPr>
        <w:jc w:val="both"/>
        <w:rPr>
          <w:rStyle w:val="normaltextrun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Benedicto</w:t>
      </w:r>
      <w:proofErr w:type="spellEnd"/>
      <w:r>
        <w:rPr>
          <w:sz w:val="24"/>
          <w:szCs w:val="24"/>
        </w:rPr>
        <w:t xml:space="preserve">, G. C. </w:t>
      </w:r>
      <w:proofErr w:type="gramStart"/>
      <w:r>
        <w:rPr>
          <w:sz w:val="24"/>
          <w:szCs w:val="24"/>
        </w:rPr>
        <w:t>D.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Padoveze</w:t>
      </w:r>
      <w:proofErr w:type="spellEnd"/>
      <w:r>
        <w:rPr>
          <w:sz w:val="24"/>
          <w:szCs w:val="24"/>
        </w:rPr>
        <w:t>, C. L., &amp; Leite</w:t>
      </w:r>
      <w:r w:rsidRPr="005314C3">
        <w:rPr>
          <w:sz w:val="24"/>
          <w:szCs w:val="24"/>
        </w:rPr>
        <w:t xml:space="preserve">, J. D. S. J. (2012). Manual de contabilidade internacional: IFRS, US </w:t>
      </w:r>
      <w:proofErr w:type="spellStart"/>
      <w:r w:rsidRPr="005314C3">
        <w:rPr>
          <w:sz w:val="24"/>
          <w:szCs w:val="24"/>
        </w:rPr>
        <w:t>Gaap</w:t>
      </w:r>
      <w:proofErr w:type="spellEnd"/>
      <w:r w:rsidRPr="005314C3">
        <w:rPr>
          <w:sz w:val="24"/>
          <w:szCs w:val="24"/>
        </w:rPr>
        <w:t xml:space="preserve"> e </w:t>
      </w:r>
      <w:proofErr w:type="spellStart"/>
      <w:proofErr w:type="gramStart"/>
      <w:r w:rsidRPr="005314C3">
        <w:rPr>
          <w:sz w:val="24"/>
          <w:szCs w:val="24"/>
        </w:rPr>
        <w:t>Br</w:t>
      </w:r>
      <w:proofErr w:type="spellEnd"/>
      <w:proofErr w:type="gramEnd"/>
      <w:r w:rsidRPr="005314C3">
        <w:rPr>
          <w:sz w:val="24"/>
          <w:szCs w:val="24"/>
        </w:rPr>
        <w:t xml:space="preserve"> </w:t>
      </w:r>
      <w:proofErr w:type="spellStart"/>
      <w:r w:rsidRPr="005314C3">
        <w:rPr>
          <w:sz w:val="24"/>
          <w:szCs w:val="24"/>
        </w:rPr>
        <w:t>Gaap</w:t>
      </w:r>
      <w:proofErr w:type="spellEnd"/>
      <w:r w:rsidRPr="005314C3">
        <w:rPr>
          <w:sz w:val="24"/>
          <w:szCs w:val="24"/>
        </w:rPr>
        <w:t xml:space="preserve">: teoria e prática. </w:t>
      </w:r>
      <w:r w:rsidRPr="005314C3">
        <w:rPr>
          <w:i/>
          <w:iCs/>
          <w:sz w:val="24"/>
          <w:szCs w:val="24"/>
        </w:rPr>
        <w:t xml:space="preserve">São Paulo: </w:t>
      </w:r>
      <w:proofErr w:type="spellStart"/>
      <w:r w:rsidRPr="005314C3">
        <w:rPr>
          <w:i/>
          <w:iCs/>
          <w:sz w:val="24"/>
          <w:szCs w:val="24"/>
        </w:rPr>
        <w:t>Cengage</w:t>
      </w:r>
      <w:proofErr w:type="spellEnd"/>
      <w:r w:rsidRPr="005314C3">
        <w:rPr>
          <w:i/>
          <w:iCs/>
          <w:sz w:val="24"/>
          <w:szCs w:val="24"/>
        </w:rPr>
        <w:t xml:space="preserve"> Learning</w:t>
      </w:r>
      <w:r w:rsidRPr="005314C3">
        <w:rPr>
          <w:sz w:val="24"/>
          <w:szCs w:val="24"/>
        </w:rPr>
        <w:t>.</w:t>
      </w:r>
    </w:p>
    <w:p w:rsidR="001B6D98" w:rsidRPr="007B2CF3" w:rsidRDefault="001B6D98" w:rsidP="001B6D98">
      <w:pPr>
        <w:jc w:val="both"/>
        <w:rPr>
          <w:rStyle w:val="normaltextrun"/>
          <w:sz w:val="10"/>
          <w:szCs w:val="10"/>
          <w:shd w:val="clear" w:color="auto" w:fill="FFFFFF"/>
        </w:rPr>
      </w:pPr>
    </w:p>
    <w:p w:rsidR="001B6D98" w:rsidRPr="005314C3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>Castro, M. C. C. S., Vieira, L</w:t>
      </w:r>
      <w:r>
        <w:rPr>
          <w:sz w:val="24"/>
          <w:szCs w:val="24"/>
        </w:rPr>
        <w:t>. K</w:t>
      </w:r>
      <w:proofErr w:type="gramStart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&amp; Pinheiro, L. E. T. (2015</w:t>
      </w:r>
      <w:r w:rsidRPr="005314C3">
        <w:rPr>
          <w:sz w:val="24"/>
          <w:szCs w:val="24"/>
        </w:rPr>
        <w:t xml:space="preserve">). Comparação do </w:t>
      </w:r>
      <w:proofErr w:type="spellStart"/>
      <w:r w:rsidRPr="005314C3">
        <w:rPr>
          <w:sz w:val="24"/>
          <w:szCs w:val="24"/>
        </w:rPr>
        <w:t>Disclosure</w:t>
      </w:r>
      <w:proofErr w:type="spellEnd"/>
      <w:r w:rsidRPr="005314C3">
        <w:rPr>
          <w:sz w:val="24"/>
          <w:szCs w:val="24"/>
        </w:rPr>
        <w:t xml:space="preserve"> de Contingências Ativas e Passivas nas Empresas Brasileiras com Ações Negociadas na </w:t>
      </w:r>
      <w:r>
        <w:rPr>
          <w:sz w:val="24"/>
          <w:szCs w:val="24"/>
        </w:rPr>
        <w:t>B3</w:t>
      </w:r>
      <w:r w:rsidRPr="005314C3">
        <w:rPr>
          <w:sz w:val="24"/>
          <w:szCs w:val="24"/>
        </w:rPr>
        <w:t xml:space="preserve"> e na NYSE. </w:t>
      </w:r>
      <w:r w:rsidRPr="005314C3">
        <w:rPr>
          <w:i/>
          <w:iCs/>
          <w:sz w:val="24"/>
          <w:szCs w:val="24"/>
        </w:rPr>
        <w:t>Revista de Contabilidade do Mestrado em Ciências Contábeis da UERJ</w:t>
      </w:r>
      <w:r w:rsidRPr="005314C3">
        <w:rPr>
          <w:sz w:val="24"/>
          <w:szCs w:val="24"/>
        </w:rPr>
        <w:t xml:space="preserve">, </w:t>
      </w:r>
      <w:r w:rsidRPr="005314C3">
        <w:rPr>
          <w:i/>
          <w:iCs/>
          <w:sz w:val="24"/>
          <w:szCs w:val="24"/>
        </w:rPr>
        <w:t>20</w:t>
      </w:r>
      <w:r w:rsidRPr="005314C3">
        <w:rPr>
          <w:sz w:val="24"/>
          <w:szCs w:val="24"/>
        </w:rPr>
        <w:t>(2).</w:t>
      </w:r>
    </w:p>
    <w:p w:rsidR="001B6D98" w:rsidRPr="007B2CF3" w:rsidRDefault="001B6D98" w:rsidP="001B6D98">
      <w:pPr>
        <w:widowControl w:val="0"/>
        <w:jc w:val="both"/>
        <w:rPr>
          <w:sz w:val="10"/>
          <w:szCs w:val="10"/>
        </w:rPr>
      </w:pPr>
    </w:p>
    <w:p w:rsidR="001B6D98" w:rsidRPr="005314C3" w:rsidRDefault="001B6D98" w:rsidP="001B6D98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Comitê, D. P. C. C. (2009</w:t>
      </w:r>
      <w:r w:rsidRPr="005314C3">
        <w:rPr>
          <w:sz w:val="24"/>
          <w:szCs w:val="24"/>
        </w:rPr>
        <w:t xml:space="preserve">). Pronunciamento Técnico CPC 25: Provisões. </w:t>
      </w:r>
      <w:r w:rsidRPr="005314C3">
        <w:rPr>
          <w:i/>
          <w:iCs/>
          <w:sz w:val="24"/>
          <w:szCs w:val="24"/>
        </w:rPr>
        <w:t>Passivos Contingentes e Ativos Contingentes. Brasília, DF</w:t>
      </w:r>
      <w:r w:rsidRPr="005314C3">
        <w:rPr>
          <w:sz w:val="24"/>
          <w:szCs w:val="24"/>
        </w:rPr>
        <w:t>.</w:t>
      </w:r>
    </w:p>
    <w:p w:rsidR="001B6D98" w:rsidRPr="007B2CF3" w:rsidRDefault="001B6D98" w:rsidP="001B6D98">
      <w:pPr>
        <w:widowControl w:val="0"/>
        <w:jc w:val="both"/>
        <w:rPr>
          <w:sz w:val="10"/>
          <w:szCs w:val="10"/>
        </w:rPr>
      </w:pPr>
    </w:p>
    <w:p w:rsidR="001B6D98" w:rsidRPr="005314C3" w:rsidRDefault="001B6D98" w:rsidP="001B6D98">
      <w:pPr>
        <w:pStyle w:val="Pargrafo"/>
        <w:tabs>
          <w:tab w:val="left" w:pos="3261"/>
        </w:tabs>
        <w:spacing w:line="240" w:lineRule="auto"/>
        <w:ind w:firstLine="0"/>
      </w:pPr>
      <w:r w:rsidRPr="005314C3">
        <w:t>Costa, T. D. A., Almeida, S</w:t>
      </w:r>
      <w:r>
        <w:t>. R. V., &amp; Silva, A. H. C. (2014</w:t>
      </w:r>
      <w:r w:rsidRPr="005314C3">
        <w:t xml:space="preserve">). Uma análise dos impactos da adoção das normas internacionais de contabilidade no Brasil: um estudo de empresas de capital aberto no setor de bebidas, alimentos e comércio. </w:t>
      </w:r>
      <w:r w:rsidRPr="005314C3">
        <w:rPr>
          <w:i/>
          <w:iCs/>
        </w:rPr>
        <w:t>Pensar Contábil</w:t>
      </w:r>
      <w:r w:rsidRPr="005314C3">
        <w:t xml:space="preserve">, </w:t>
      </w:r>
      <w:r w:rsidRPr="005314C3">
        <w:rPr>
          <w:i/>
          <w:iCs/>
        </w:rPr>
        <w:t>15</w:t>
      </w:r>
      <w:r w:rsidRPr="005314C3">
        <w:t>(56).</w:t>
      </w:r>
    </w:p>
    <w:p w:rsidR="001B6D98" w:rsidRPr="007B2CF3" w:rsidRDefault="001B6D98" w:rsidP="001B6D98">
      <w:pPr>
        <w:pStyle w:val="Pargrafo"/>
        <w:tabs>
          <w:tab w:val="left" w:pos="3261"/>
        </w:tabs>
        <w:spacing w:line="240" w:lineRule="auto"/>
        <w:ind w:firstLine="0"/>
        <w:rPr>
          <w:sz w:val="10"/>
          <w:szCs w:val="10"/>
        </w:rPr>
      </w:pPr>
    </w:p>
    <w:p w:rsidR="001B6D98" w:rsidRPr="005314C3" w:rsidRDefault="001B6D98" w:rsidP="001B6D98">
      <w:pPr>
        <w:pStyle w:val="Pargrafo"/>
        <w:tabs>
          <w:tab w:val="left" w:pos="3261"/>
        </w:tabs>
        <w:spacing w:line="240" w:lineRule="auto"/>
        <w:ind w:firstLine="0"/>
      </w:pPr>
      <w:r w:rsidRPr="005314C3">
        <w:t xml:space="preserve">Costa, J. A., </w:t>
      </w:r>
      <w:proofErr w:type="spellStart"/>
      <w:r w:rsidRPr="005314C3">
        <w:t>Theóphilo</w:t>
      </w:r>
      <w:proofErr w:type="spellEnd"/>
      <w:r w:rsidRPr="005314C3">
        <w:t xml:space="preserve">, C. R., &amp; Yamamoto, M. M. (2012). A aderência dos pronunciamentos contábeis do CPC às normas internacionais de contabilidade. </w:t>
      </w:r>
      <w:r w:rsidRPr="005314C3">
        <w:rPr>
          <w:i/>
          <w:iCs/>
        </w:rPr>
        <w:t>Contabilidade, Gestão e Governança</w:t>
      </w:r>
      <w:r w:rsidRPr="005314C3">
        <w:t xml:space="preserve">, </w:t>
      </w:r>
      <w:r w:rsidRPr="005314C3">
        <w:rPr>
          <w:i/>
          <w:iCs/>
        </w:rPr>
        <w:t>15</w:t>
      </w:r>
      <w:r w:rsidRPr="005314C3">
        <w:t>(2).</w:t>
      </w:r>
    </w:p>
    <w:p w:rsidR="001B6D98" w:rsidRPr="007B2CF3" w:rsidRDefault="001B6D98" w:rsidP="001B6D98">
      <w:pPr>
        <w:pStyle w:val="Pargrafo"/>
        <w:tabs>
          <w:tab w:val="left" w:pos="3261"/>
        </w:tabs>
        <w:spacing w:line="240" w:lineRule="auto"/>
        <w:ind w:firstLine="0"/>
        <w:rPr>
          <w:b/>
          <w:sz w:val="10"/>
          <w:szCs w:val="10"/>
        </w:rPr>
      </w:pPr>
    </w:p>
    <w:p w:rsidR="001B6D98" w:rsidRPr="005314C3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>Cunha, C. M. O</w:t>
      </w:r>
      <w:proofErr w:type="gramStart"/>
      <w:r w:rsidRPr="005314C3">
        <w:rPr>
          <w:sz w:val="24"/>
          <w:szCs w:val="24"/>
        </w:rPr>
        <w:t>.,</w:t>
      </w:r>
      <w:proofErr w:type="gramEnd"/>
      <w:r w:rsidRPr="005314C3">
        <w:rPr>
          <w:sz w:val="24"/>
          <w:szCs w:val="24"/>
        </w:rPr>
        <w:t xml:space="preserve"> &amp; </w:t>
      </w:r>
      <w:proofErr w:type="spellStart"/>
      <w:r w:rsidRPr="005314C3">
        <w:rPr>
          <w:sz w:val="24"/>
          <w:szCs w:val="24"/>
        </w:rPr>
        <w:t>Pilenghy</w:t>
      </w:r>
      <w:proofErr w:type="spellEnd"/>
      <w:r w:rsidRPr="005314C3">
        <w:rPr>
          <w:sz w:val="24"/>
          <w:szCs w:val="24"/>
        </w:rPr>
        <w:t xml:space="preserve">, M. M. O. (2012). Evolução da Contabilidade Versus a importância da Educação Continuada para o Profissional Contábil. </w:t>
      </w:r>
      <w:r w:rsidRPr="005314C3">
        <w:rPr>
          <w:i/>
          <w:iCs/>
          <w:sz w:val="24"/>
          <w:szCs w:val="24"/>
        </w:rPr>
        <w:t>Revista Eletrônica Saber Contábil-RSC</w:t>
      </w:r>
      <w:r w:rsidRPr="005314C3">
        <w:rPr>
          <w:sz w:val="24"/>
          <w:szCs w:val="24"/>
        </w:rPr>
        <w:t xml:space="preserve">, </w:t>
      </w:r>
      <w:r w:rsidRPr="005314C3">
        <w:rPr>
          <w:i/>
          <w:iCs/>
          <w:sz w:val="24"/>
          <w:szCs w:val="24"/>
        </w:rPr>
        <w:t>2</w:t>
      </w:r>
      <w:r w:rsidRPr="005314C3">
        <w:rPr>
          <w:sz w:val="24"/>
          <w:szCs w:val="24"/>
        </w:rPr>
        <w:t>(2), 23-38.</w:t>
      </w:r>
    </w:p>
    <w:p w:rsidR="007B2CF3" w:rsidRPr="007B2CF3" w:rsidRDefault="007B2CF3" w:rsidP="001B6D98">
      <w:pPr>
        <w:jc w:val="both"/>
        <w:rPr>
          <w:sz w:val="10"/>
          <w:szCs w:val="10"/>
        </w:rPr>
      </w:pPr>
    </w:p>
    <w:p w:rsidR="001B6D98" w:rsidRPr="005314C3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 xml:space="preserve">Diniz, V. G., de Oliveira, A. S., </w:t>
      </w:r>
      <w:proofErr w:type="spellStart"/>
      <w:r w:rsidRPr="005314C3">
        <w:rPr>
          <w:sz w:val="24"/>
          <w:szCs w:val="24"/>
        </w:rPr>
        <w:t>Niyama</w:t>
      </w:r>
      <w:proofErr w:type="spellEnd"/>
      <w:r w:rsidRPr="005314C3">
        <w:rPr>
          <w:sz w:val="24"/>
          <w:szCs w:val="24"/>
        </w:rPr>
        <w:t>, J. K</w:t>
      </w:r>
      <w:proofErr w:type="gramStart"/>
      <w:r w:rsidRPr="005314C3">
        <w:rPr>
          <w:sz w:val="24"/>
          <w:szCs w:val="24"/>
        </w:rPr>
        <w:t>.,</w:t>
      </w:r>
      <w:proofErr w:type="gramEnd"/>
      <w:r w:rsidRPr="005314C3">
        <w:rPr>
          <w:sz w:val="24"/>
          <w:szCs w:val="24"/>
        </w:rPr>
        <w:t xml:space="preserve"> &amp; Diniz, J. A. (2014). Níveis Diferenciados de Governança Corporativa e a Qualidade da Informação Contábil Durante o Processo de Convergência às Normas Internacionais de Contabilidade. </w:t>
      </w:r>
      <w:proofErr w:type="spellStart"/>
      <w:proofErr w:type="gramStart"/>
      <w:r w:rsidRPr="005314C3">
        <w:rPr>
          <w:i/>
          <w:iCs/>
          <w:sz w:val="24"/>
          <w:szCs w:val="24"/>
        </w:rPr>
        <w:t>ConTexto</w:t>
      </w:r>
      <w:proofErr w:type="spellEnd"/>
      <w:proofErr w:type="gramEnd"/>
      <w:r w:rsidRPr="005314C3">
        <w:rPr>
          <w:sz w:val="24"/>
          <w:szCs w:val="24"/>
        </w:rPr>
        <w:t xml:space="preserve">, </w:t>
      </w:r>
      <w:r w:rsidRPr="005314C3">
        <w:rPr>
          <w:i/>
          <w:iCs/>
          <w:sz w:val="24"/>
          <w:szCs w:val="24"/>
        </w:rPr>
        <w:t>14</w:t>
      </w:r>
      <w:r w:rsidRPr="005314C3">
        <w:rPr>
          <w:sz w:val="24"/>
          <w:szCs w:val="24"/>
        </w:rPr>
        <w:t>(27), 23-42.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E03AD8" w:rsidRDefault="001B6D98" w:rsidP="001B6D9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Farias,</w:t>
      </w:r>
      <w:proofErr w:type="gramEnd"/>
      <w:r>
        <w:rPr>
          <w:sz w:val="24"/>
          <w:szCs w:val="24"/>
        </w:rPr>
        <w:t xml:space="preserve"> R. B., </w:t>
      </w:r>
      <w:proofErr w:type="spellStart"/>
      <w:r>
        <w:rPr>
          <w:sz w:val="24"/>
          <w:szCs w:val="24"/>
        </w:rPr>
        <w:t>Huppes</w:t>
      </w:r>
      <w:proofErr w:type="spellEnd"/>
      <w:r>
        <w:rPr>
          <w:sz w:val="24"/>
          <w:szCs w:val="24"/>
        </w:rPr>
        <w:t xml:space="preserve">, C. M., </w:t>
      </w:r>
      <w:proofErr w:type="spellStart"/>
      <w:r>
        <w:rPr>
          <w:sz w:val="24"/>
          <w:szCs w:val="24"/>
        </w:rPr>
        <w:t>Loppes</w:t>
      </w:r>
      <w:proofErr w:type="spellEnd"/>
      <w:r w:rsidRPr="00E03AD8">
        <w:rPr>
          <w:sz w:val="24"/>
          <w:szCs w:val="24"/>
        </w:rPr>
        <w:t xml:space="preserve">, A. C. V., &amp; </w:t>
      </w:r>
      <w:proofErr w:type="spellStart"/>
      <w:r w:rsidRPr="00E03AD8">
        <w:rPr>
          <w:sz w:val="24"/>
          <w:szCs w:val="24"/>
        </w:rPr>
        <w:t>N</w:t>
      </w:r>
      <w:r>
        <w:rPr>
          <w:sz w:val="24"/>
          <w:szCs w:val="24"/>
        </w:rPr>
        <w:t>oriller</w:t>
      </w:r>
      <w:proofErr w:type="spellEnd"/>
      <w:r w:rsidRPr="00E03AD8">
        <w:rPr>
          <w:sz w:val="24"/>
          <w:szCs w:val="24"/>
        </w:rPr>
        <w:t xml:space="preserve">, R. M. (2016). Fatores Explicativos do Índice de </w:t>
      </w:r>
      <w:proofErr w:type="spellStart"/>
      <w:r w:rsidRPr="00E03AD8">
        <w:rPr>
          <w:sz w:val="24"/>
          <w:szCs w:val="24"/>
        </w:rPr>
        <w:t>Disclosure</w:t>
      </w:r>
      <w:proofErr w:type="spellEnd"/>
      <w:r w:rsidRPr="00E03AD8">
        <w:rPr>
          <w:sz w:val="24"/>
          <w:szCs w:val="24"/>
        </w:rPr>
        <w:t xml:space="preserve"> das Provisões e Passivos Contingentes das Empresas Pertencentes ao Índice Bovespa.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3D0C64" w:rsidRDefault="001B6D98" w:rsidP="001B6D98">
      <w:pPr>
        <w:jc w:val="both"/>
        <w:rPr>
          <w:sz w:val="24"/>
          <w:szCs w:val="24"/>
        </w:rPr>
      </w:pPr>
      <w:r w:rsidRPr="003D0C64">
        <w:rPr>
          <w:sz w:val="24"/>
          <w:szCs w:val="24"/>
        </w:rPr>
        <w:t xml:space="preserve">Fávero, L. P., </w:t>
      </w:r>
      <w:proofErr w:type="spellStart"/>
      <w:r w:rsidRPr="003D0C64">
        <w:rPr>
          <w:sz w:val="24"/>
          <w:szCs w:val="24"/>
        </w:rPr>
        <w:t>Belfiore</w:t>
      </w:r>
      <w:proofErr w:type="spellEnd"/>
      <w:r w:rsidRPr="003D0C64">
        <w:rPr>
          <w:sz w:val="24"/>
          <w:szCs w:val="24"/>
        </w:rPr>
        <w:t xml:space="preserve">, P., Silva, F. </w:t>
      </w:r>
      <w:proofErr w:type="gramStart"/>
      <w:r w:rsidRPr="003D0C64">
        <w:rPr>
          <w:sz w:val="24"/>
          <w:szCs w:val="24"/>
        </w:rPr>
        <w:t>D.</w:t>
      </w:r>
      <w:proofErr w:type="gramEnd"/>
      <w:r w:rsidRPr="003D0C64">
        <w:rPr>
          <w:sz w:val="24"/>
          <w:szCs w:val="24"/>
        </w:rPr>
        <w:t>, &amp; Chan, B. L. (2009). Análise de dados: modelagem multivariada para tomada de decisões.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5314C3" w:rsidRDefault="001B6D98" w:rsidP="001B6D98">
      <w:pPr>
        <w:pStyle w:val="Pargrafo"/>
        <w:tabs>
          <w:tab w:val="left" w:pos="3261"/>
        </w:tabs>
        <w:spacing w:line="240" w:lineRule="auto"/>
        <w:ind w:firstLine="0"/>
      </w:pPr>
      <w:r w:rsidRPr="005314C3">
        <w:t>Ferreira, A. P. C. (2013). A percepção de conhecimento dos estudantes de ciências contábeis sobre as normas internacionais de contabilidade: um estudo em instituições de ensino superior de Goiânia.</w:t>
      </w:r>
    </w:p>
    <w:p w:rsidR="001B6D98" w:rsidRPr="007B2CF3" w:rsidRDefault="001B6D98" w:rsidP="001B6D98">
      <w:pPr>
        <w:pStyle w:val="Pargrafo"/>
        <w:tabs>
          <w:tab w:val="left" w:pos="3261"/>
        </w:tabs>
        <w:spacing w:line="240" w:lineRule="auto"/>
        <w:ind w:firstLine="0"/>
        <w:rPr>
          <w:sz w:val="10"/>
          <w:szCs w:val="10"/>
        </w:rPr>
      </w:pPr>
    </w:p>
    <w:p w:rsidR="001B6D98" w:rsidRPr="00E03AD8" w:rsidRDefault="001B6D98" w:rsidP="001B6D98">
      <w:pPr>
        <w:jc w:val="both"/>
        <w:rPr>
          <w:sz w:val="24"/>
          <w:szCs w:val="24"/>
        </w:rPr>
      </w:pPr>
      <w:proofErr w:type="spellStart"/>
      <w:r w:rsidRPr="00E03AD8">
        <w:rPr>
          <w:sz w:val="24"/>
          <w:szCs w:val="24"/>
        </w:rPr>
        <w:t>Fonteles</w:t>
      </w:r>
      <w:proofErr w:type="spellEnd"/>
      <w:r w:rsidRPr="00E03AD8">
        <w:rPr>
          <w:sz w:val="24"/>
          <w:szCs w:val="24"/>
        </w:rPr>
        <w:t xml:space="preserve">, I. V., do Nascimento, C. P. S., Ponte, V. M. R., &amp; Rebouças, S. M. D. P. (2013). Determinantes da Evidenciação de Provisões e Contingências por Companhias listadas na BM&amp;FBOVESPA. </w:t>
      </w:r>
      <w:r w:rsidRPr="00E03AD8">
        <w:rPr>
          <w:i/>
          <w:iCs/>
          <w:sz w:val="24"/>
          <w:szCs w:val="24"/>
        </w:rPr>
        <w:t>Revista Gestão Organizacional</w:t>
      </w:r>
      <w:r w:rsidRPr="00E03AD8">
        <w:rPr>
          <w:sz w:val="24"/>
          <w:szCs w:val="24"/>
        </w:rPr>
        <w:t xml:space="preserve">, </w:t>
      </w:r>
      <w:r w:rsidRPr="00E03AD8">
        <w:rPr>
          <w:i/>
          <w:iCs/>
          <w:sz w:val="24"/>
          <w:szCs w:val="24"/>
        </w:rPr>
        <w:t>6</w:t>
      </w:r>
      <w:r w:rsidRPr="00E03AD8">
        <w:rPr>
          <w:sz w:val="24"/>
          <w:szCs w:val="24"/>
        </w:rPr>
        <w:t>(4).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5314C3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 xml:space="preserve">Jacques, G. V. (2009). Simulação dos impactos na contabilidade das pequenas e médias empresas brasileiras com a adoção das normas internacionais. </w:t>
      </w:r>
      <w:r w:rsidRPr="005314C3">
        <w:rPr>
          <w:i/>
          <w:iCs/>
          <w:sz w:val="24"/>
          <w:szCs w:val="24"/>
        </w:rPr>
        <w:t>Monografia (Curso de Ciências Contábeis). Universidade Federal de Santa Catarina. Santa Catarina, Florianópolis</w:t>
      </w:r>
      <w:r w:rsidRPr="005314C3">
        <w:rPr>
          <w:sz w:val="24"/>
          <w:szCs w:val="24"/>
        </w:rPr>
        <w:t>.</w:t>
      </w:r>
    </w:p>
    <w:p w:rsidR="001B6D98" w:rsidRPr="007B2CF3" w:rsidRDefault="001B6D98" w:rsidP="001B6D98">
      <w:pPr>
        <w:autoSpaceDE w:val="0"/>
        <w:autoSpaceDN w:val="0"/>
        <w:adjustRightInd w:val="0"/>
        <w:jc w:val="both"/>
        <w:rPr>
          <w:sz w:val="10"/>
          <w:szCs w:val="10"/>
        </w:rPr>
      </w:pPr>
    </w:p>
    <w:p w:rsidR="001B6D98" w:rsidRDefault="001B6D98" w:rsidP="001B6D98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314C3">
        <w:rPr>
          <w:sz w:val="24"/>
          <w:szCs w:val="24"/>
        </w:rPr>
        <w:t xml:space="preserve">Lopes, J. C. </w:t>
      </w:r>
      <w:proofErr w:type="gramStart"/>
      <w:r w:rsidRPr="005314C3">
        <w:rPr>
          <w:sz w:val="24"/>
          <w:szCs w:val="24"/>
        </w:rPr>
        <w:t>D.</w:t>
      </w:r>
      <w:proofErr w:type="gramEnd"/>
      <w:r w:rsidRPr="005314C3">
        <w:rPr>
          <w:sz w:val="24"/>
          <w:szCs w:val="24"/>
        </w:rPr>
        <w:t xml:space="preserve"> (2015). Provisões e passivos contingentes: uma análise comparativa do índice de cobertura das provisões e passivos contingentes trabalhistas em instituições financeiras públicas, mistas e privadas.</w:t>
      </w:r>
    </w:p>
    <w:p w:rsidR="001B6D98" w:rsidRPr="007B2CF3" w:rsidRDefault="001B6D98" w:rsidP="001B6D98">
      <w:pPr>
        <w:autoSpaceDE w:val="0"/>
        <w:autoSpaceDN w:val="0"/>
        <w:adjustRightInd w:val="0"/>
        <w:jc w:val="both"/>
        <w:rPr>
          <w:sz w:val="10"/>
          <w:szCs w:val="10"/>
        </w:rPr>
      </w:pPr>
    </w:p>
    <w:p w:rsidR="001B6D98" w:rsidRDefault="001B6D98" w:rsidP="001B6D98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329A3">
        <w:rPr>
          <w:sz w:val="24"/>
          <w:szCs w:val="24"/>
        </w:rPr>
        <w:t xml:space="preserve">Pereira, M. L. S. S. (2011). </w:t>
      </w:r>
      <w:r w:rsidRPr="005329A3">
        <w:rPr>
          <w:i/>
          <w:sz w:val="24"/>
          <w:szCs w:val="24"/>
        </w:rPr>
        <w:t xml:space="preserve">Teste de </w:t>
      </w:r>
      <w:proofErr w:type="spellStart"/>
      <w:r w:rsidRPr="005329A3">
        <w:rPr>
          <w:i/>
          <w:sz w:val="24"/>
          <w:szCs w:val="24"/>
        </w:rPr>
        <w:t>recuperabilidade</w:t>
      </w:r>
      <w:proofErr w:type="spellEnd"/>
      <w:r w:rsidRPr="005329A3">
        <w:rPr>
          <w:i/>
          <w:sz w:val="24"/>
          <w:szCs w:val="24"/>
        </w:rPr>
        <w:t xml:space="preserve"> de ativos: análise da conformidade com os requisitos de divulgação das IAS 36 e do CPC 01.</w:t>
      </w:r>
      <w:r w:rsidRPr="005329A3">
        <w:rPr>
          <w:b/>
          <w:sz w:val="24"/>
          <w:szCs w:val="24"/>
        </w:rPr>
        <w:t xml:space="preserve"> </w:t>
      </w:r>
      <w:r w:rsidRPr="005329A3">
        <w:rPr>
          <w:sz w:val="24"/>
          <w:szCs w:val="24"/>
        </w:rPr>
        <w:t xml:space="preserve">Trabalho de Conclusão de Curso, </w:t>
      </w:r>
      <w:proofErr w:type="spellStart"/>
      <w:proofErr w:type="gramStart"/>
      <w:r w:rsidRPr="005329A3">
        <w:rPr>
          <w:sz w:val="24"/>
          <w:szCs w:val="24"/>
        </w:rPr>
        <w:t>P</w:t>
      </w:r>
      <w:r>
        <w:rPr>
          <w:sz w:val="24"/>
          <w:szCs w:val="24"/>
        </w:rPr>
        <w:t>uc</w:t>
      </w:r>
      <w:proofErr w:type="spellEnd"/>
      <w:proofErr w:type="gramEnd"/>
      <w:r>
        <w:rPr>
          <w:sz w:val="24"/>
          <w:szCs w:val="24"/>
        </w:rPr>
        <w:t xml:space="preserve"> Minas.</w:t>
      </w:r>
    </w:p>
    <w:p w:rsidR="001B6D98" w:rsidRPr="007B2CF3" w:rsidRDefault="001B6D98" w:rsidP="001B6D98">
      <w:pPr>
        <w:autoSpaceDE w:val="0"/>
        <w:autoSpaceDN w:val="0"/>
        <w:adjustRightInd w:val="0"/>
        <w:jc w:val="both"/>
        <w:rPr>
          <w:sz w:val="10"/>
          <w:szCs w:val="10"/>
        </w:rPr>
      </w:pPr>
    </w:p>
    <w:p w:rsidR="001B6D98" w:rsidRPr="0093792E" w:rsidRDefault="001B6D98" w:rsidP="001B6D98">
      <w:pPr>
        <w:jc w:val="both"/>
        <w:rPr>
          <w:sz w:val="24"/>
          <w:szCs w:val="24"/>
        </w:rPr>
      </w:pPr>
      <w:proofErr w:type="spellStart"/>
      <w:r w:rsidRPr="0093792E">
        <w:rPr>
          <w:sz w:val="24"/>
          <w:szCs w:val="24"/>
        </w:rPr>
        <w:t>Mapurunga</w:t>
      </w:r>
      <w:proofErr w:type="spellEnd"/>
      <w:r w:rsidRPr="0093792E">
        <w:rPr>
          <w:sz w:val="24"/>
          <w:szCs w:val="24"/>
        </w:rPr>
        <w:t>, P.</w:t>
      </w:r>
      <w:r>
        <w:rPr>
          <w:sz w:val="24"/>
          <w:szCs w:val="24"/>
        </w:rPr>
        <w:t xml:space="preserve"> V. R., </w:t>
      </w:r>
      <w:r w:rsidRPr="0093792E">
        <w:rPr>
          <w:sz w:val="24"/>
          <w:szCs w:val="24"/>
        </w:rPr>
        <w:t>Ponte, V. M.</w:t>
      </w:r>
      <w:r>
        <w:rPr>
          <w:sz w:val="24"/>
          <w:szCs w:val="24"/>
        </w:rPr>
        <w:t xml:space="preserve"> R.</w:t>
      </w:r>
      <w:r w:rsidRPr="0093792E">
        <w:rPr>
          <w:sz w:val="24"/>
          <w:szCs w:val="24"/>
        </w:rPr>
        <w:t>, Coelho, A. C.</w:t>
      </w:r>
      <w:r>
        <w:rPr>
          <w:sz w:val="24"/>
          <w:szCs w:val="24"/>
        </w:rPr>
        <w:t xml:space="preserve"> C.</w:t>
      </w:r>
      <w:r w:rsidRPr="0093792E">
        <w:rPr>
          <w:sz w:val="24"/>
          <w:szCs w:val="24"/>
        </w:rPr>
        <w:t>, &amp; Meneses, A.</w:t>
      </w:r>
      <w:r>
        <w:rPr>
          <w:sz w:val="24"/>
          <w:szCs w:val="24"/>
        </w:rPr>
        <w:t xml:space="preserve"> F.</w:t>
      </w:r>
      <w:r w:rsidRPr="0093792E">
        <w:rPr>
          <w:sz w:val="24"/>
          <w:szCs w:val="24"/>
        </w:rPr>
        <w:t xml:space="preserve"> (2011). Determinantes do nível de </w:t>
      </w:r>
      <w:proofErr w:type="spellStart"/>
      <w:r w:rsidRPr="0093792E">
        <w:rPr>
          <w:sz w:val="24"/>
          <w:szCs w:val="24"/>
        </w:rPr>
        <w:t>disclosure</w:t>
      </w:r>
      <w:proofErr w:type="spellEnd"/>
      <w:r w:rsidRPr="0093792E">
        <w:rPr>
          <w:sz w:val="24"/>
          <w:szCs w:val="24"/>
        </w:rPr>
        <w:t xml:space="preserve"> de instrumentos financeiros derivativos em firmas brasileiras. </w:t>
      </w:r>
      <w:r w:rsidRPr="0093792E">
        <w:rPr>
          <w:i/>
          <w:iCs/>
          <w:sz w:val="24"/>
          <w:szCs w:val="24"/>
        </w:rPr>
        <w:t>Revista Contabilidade &amp; Finanças-USP</w:t>
      </w:r>
      <w:r w:rsidRPr="0093792E">
        <w:rPr>
          <w:sz w:val="24"/>
          <w:szCs w:val="24"/>
        </w:rPr>
        <w:t xml:space="preserve">, </w:t>
      </w:r>
      <w:r w:rsidRPr="0093792E">
        <w:rPr>
          <w:i/>
          <w:iCs/>
          <w:sz w:val="24"/>
          <w:szCs w:val="24"/>
        </w:rPr>
        <w:t>22</w:t>
      </w:r>
      <w:r w:rsidRPr="0093792E">
        <w:rPr>
          <w:sz w:val="24"/>
          <w:szCs w:val="24"/>
        </w:rPr>
        <w:t>(57).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5314C3" w:rsidRDefault="001B6D98" w:rsidP="001B6D98">
      <w:pPr>
        <w:pStyle w:val="Bibliografia"/>
        <w:widowControl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314C3">
        <w:rPr>
          <w:rFonts w:ascii="Times New Roman" w:hAnsi="Times New Roman"/>
          <w:noProof/>
          <w:sz w:val="24"/>
          <w:szCs w:val="24"/>
        </w:rPr>
        <w:t xml:space="preserve">Malhotra, N. K. (2006). </w:t>
      </w:r>
      <w:r w:rsidRPr="005314C3">
        <w:rPr>
          <w:rFonts w:ascii="Times New Roman" w:hAnsi="Times New Roman"/>
          <w:bCs/>
          <w:i/>
          <w:noProof/>
          <w:sz w:val="24"/>
          <w:szCs w:val="24"/>
        </w:rPr>
        <w:t>Pesquisas de marketing</w:t>
      </w:r>
      <w:r w:rsidRPr="005314C3">
        <w:rPr>
          <w:rFonts w:ascii="Times New Roman" w:hAnsi="Times New Roman"/>
          <w:bCs/>
          <w:noProof/>
          <w:sz w:val="24"/>
          <w:szCs w:val="24"/>
        </w:rPr>
        <w:t>:</w:t>
      </w:r>
      <w:r w:rsidRPr="005314C3">
        <w:rPr>
          <w:rFonts w:ascii="Times New Roman" w:hAnsi="Times New Roman"/>
          <w:noProof/>
          <w:sz w:val="24"/>
          <w:szCs w:val="24"/>
        </w:rPr>
        <w:t xml:space="preserve"> uma orientação aplicada. (4a ed.). (L. Bocco, Trad.). Porto Alegre: Bookman.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 xml:space="preserve">Matias, C. C. L. (2013). Evidenciação do passivo contingente: um estudo das empresas do setor </w:t>
      </w:r>
      <w:proofErr w:type="gramStart"/>
      <w:r w:rsidRPr="005314C3">
        <w:rPr>
          <w:sz w:val="24"/>
          <w:szCs w:val="24"/>
        </w:rPr>
        <w:t>petroquímico listadas</w:t>
      </w:r>
      <w:proofErr w:type="gramEnd"/>
      <w:r w:rsidRPr="005314C3">
        <w:rPr>
          <w:sz w:val="24"/>
          <w:szCs w:val="24"/>
        </w:rPr>
        <w:t xml:space="preserve"> na </w:t>
      </w:r>
      <w:r>
        <w:rPr>
          <w:sz w:val="24"/>
          <w:szCs w:val="24"/>
        </w:rPr>
        <w:t>B3</w:t>
      </w:r>
      <w:r w:rsidRPr="005314C3">
        <w:rPr>
          <w:sz w:val="24"/>
          <w:szCs w:val="24"/>
        </w:rPr>
        <w:t>.</w:t>
      </w:r>
    </w:p>
    <w:p w:rsidR="001B6D98" w:rsidRPr="007B2CF3" w:rsidRDefault="001B6D98" w:rsidP="001B6D98">
      <w:pPr>
        <w:jc w:val="both"/>
        <w:rPr>
          <w:sz w:val="10"/>
          <w:szCs w:val="10"/>
        </w:rPr>
      </w:pPr>
    </w:p>
    <w:p w:rsidR="001B6D98" w:rsidRPr="005329A3" w:rsidRDefault="001B6D98" w:rsidP="001B6D98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</w:rPr>
      </w:pPr>
      <w:proofErr w:type="spellStart"/>
      <w:r>
        <w:rPr>
          <w:sz w:val="24"/>
          <w:szCs w:val="24"/>
        </w:rPr>
        <w:t>Niyama</w:t>
      </w:r>
      <w:proofErr w:type="spellEnd"/>
      <w:r>
        <w:rPr>
          <w:sz w:val="24"/>
          <w:szCs w:val="24"/>
        </w:rPr>
        <w:t>, J. K</w:t>
      </w:r>
      <w:r w:rsidRPr="005329A3">
        <w:rPr>
          <w:sz w:val="24"/>
          <w:szCs w:val="24"/>
        </w:rPr>
        <w:t>.</w:t>
      </w:r>
      <w:r>
        <w:rPr>
          <w:sz w:val="24"/>
          <w:szCs w:val="24"/>
        </w:rPr>
        <w:t xml:space="preserve"> (2009).</w:t>
      </w:r>
      <w:r w:rsidRPr="005329A3">
        <w:rPr>
          <w:sz w:val="24"/>
          <w:szCs w:val="24"/>
        </w:rPr>
        <w:t xml:space="preserve"> </w:t>
      </w:r>
      <w:r w:rsidRPr="005329A3">
        <w:rPr>
          <w:i/>
          <w:sz w:val="24"/>
          <w:szCs w:val="24"/>
        </w:rPr>
        <w:t>Contabilidade Internacional</w:t>
      </w:r>
      <w:r w:rsidRPr="005329A3">
        <w:rPr>
          <w:sz w:val="24"/>
          <w:szCs w:val="24"/>
        </w:rPr>
        <w:t>.</w:t>
      </w:r>
      <w:r>
        <w:rPr>
          <w:sz w:val="24"/>
          <w:szCs w:val="24"/>
        </w:rPr>
        <w:t xml:space="preserve"> 1ª ed. São Paulo: Atlas, </w:t>
      </w:r>
      <w:r w:rsidRPr="005329A3">
        <w:rPr>
          <w:sz w:val="24"/>
          <w:szCs w:val="24"/>
        </w:rPr>
        <w:t xml:space="preserve">p. 38 - 41. </w:t>
      </w:r>
    </w:p>
    <w:p w:rsidR="001B6D98" w:rsidRPr="005314C3" w:rsidRDefault="001B6D98" w:rsidP="001B6D98">
      <w:pPr>
        <w:jc w:val="both"/>
        <w:rPr>
          <w:sz w:val="24"/>
          <w:szCs w:val="24"/>
        </w:rPr>
      </w:pPr>
      <w:r w:rsidRPr="005314C3">
        <w:rPr>
          <w:sz w:val="24"/>
          <w:szCs w:val="24"/>
        </w:rPr>
        <w:t xml:space="preserve">Rodrigues, C. M. S. (2011). </w:t>
      </w:r>
      <w:r w:rsidRPr="005314C3">
        <w:rPr>
          <w:i/>
          <w:iCs/>
          <w:sz w:val="24"/>
          <w:szCs w:val="24"/>
        </w:rPr>
        <w:t>Provisões e contingências</w:t>
      </w:r>
      <w:r w:rsidRPr="005314C3">
        <w:rPr>
          <w:sz w:val="24"/>
          <w:szCs w:val="24"/>
        </w:rPr>
        <w:t xml:space="preserve"> (</w:t>
      </w:r>
      <w:proofErr w:type="spellStart"/>
      <w:r w:rsidRPr="005314C3">
        <w:rPr>
          <w:sz w:val="24"/>
          <w:szCs w:val="24"/>
        </w:rPr>
        <w:t>Doctoral</w:t>
      </w:r>
      <w:proofErr w:type="spellEnd"/>
      <w:r w:rsidRPr="005314C3">
        <w:rPr>
          <w:sz w:val="24"/>
          <w:szCs w:val="24"/>
        </w:rPr>
        <w:t xml:space="preserve"> </w:t>
      </w:r>
      <w:proofErr w:type="spellStart"/>
      <w:r w:rsidRPr="005314C3">
        <w:rPr>
          <w:sz w:val="24"/>
          <w:szCs w:val="24"/>
        </w:rPr>
        <w:t>dissertation</w:t>
      </w:r>
      <w:proofErr w:type="spellEnd"/>
      <w:r w:rsidRPr="005314C3">
        <w:rPr>
          <w:sz w:val="24"/>
          <w:szCs w:val="24"/>
        </w:rPr>
        <w:t>, Instituto Politécnico do Porto. Instituto Superior de Contabilidade e Administração do Porto).</w:t>
      </w:r>
    </w:p>
    <w:p w:rsidR="001B6D98" w:rsidRPr="007B2CF3" w:rsidRDefault="001B6D98" w:rsidP="001B6D98">
      <w:pPr>
        <w:jc w:val="both"/>
        <w:rPr>
          <w:rStyle w:val="normaltextrun"/>
          <w:sz w:val="10"/>
          <w:szCs w:val="10"/>
          <w:shd w:val="clear" w:color="auto" w:fill="FFFFFF"/>
        </w:rPr>
      </w:pPr>
    </w:p>
    <w:p w:rsidR="001B6D98" w:rsidRDefault="001B6D98" w:rsidP="001B6D98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>
        <w:rPr>
          <w:rStyle w:val="Forte"/>
          <w:b w:val="0"/>
          <w:sz w:val="24"/>
          <w:szCs w:val="24"/>
        </w:rPr>
        <w:t>Salotti</w:t>
      </w:r>
      <w:proofErr w:type="spellEnd"/>
      <w:r>
        <w:rPr>
          <w:rStyle w:val="Forte"/>
          <w:b w:val="0"/>
          <w:sz w:val="24"/>
          <w:szCs w:val="24"/>
        </w:rPr>
        <w:t>, B. M. (2015)</w:t>
      </w:r>
      <w:r w:rsidRPr="005314C3">
        <w:rPr>
          <w:rStyle w:val="Forte"/>
          <w:b w:val="0"/>
          <w:sz w:val="24"/>
          <w:szCs w:val="24"/>
        </w:rPr>
        <w:t xml:space="preserve"> </w:t>
      </w:r>
      <w:r w:rsidRPr="005314C3">
        <w:rPr>
          <w:rStyle w:val="Forte"/>
          <w:b w:val="0"/>
          <w:i/>
          <w:sz w:val="24"/>
          <w:szCs w:val="24"/>
        </w:rPr>
        <w:t>Convergência da contabilidade Brasileira às normas Internacionais de Contabilidade (IFRS): retrospectiva histórica e desafios para o futuro</w:t>
      </w:r>
      <w:r w:rsidRPr="005314C3">
        <w:rPr>
          <w:rStyle w:val="Forte"/>
          <w:b w:val="0"/>
          <w:sz w:val="24"/>
          <w:szCs w:val="24"/>
        </w:rPr>
        <w:t xml:space="preserve">. </w:t>
      </w:r>
      <w:r>
        <w:rPr>
          <w:sz w:val="24"/>
          <w:szCs w:val="24"/>
        </w:rPr>
        <w:t>São Paulo: Atlas,</w:t>
      </w:r>
      <w:r w:rsidRPr="005314C3">
        <w:rPr>
          <w:sz w:val="24"/>
          <w:szCs w:val="24"/>
        </w:rPr>
        <w:t xml:space="preserve"> 155 p.</w:t>
      </w:r>
    </w:p>
    <w:p w:rsidR="001B6D98" w:rsidRPr="001B6D98" w:rsidRDefault="001B6D98" w:rsidP="001B6D98">
      <w:pPr>
        <w:widowControl w:val="0"/>
        <w:autoSpaceDE w:val="0"/>
        <w:autoSpaceDN w:val="0"/>
        <w:adjustRightInd w:val="0"/>
        <w:jc w:val="both"/>
        <w:rPr>
          <w:sz w:val="12"/>
          <w:szCs w:val="12"/>
        </w:rPr>
      </w:pPr>
    </w:p>
    <w:p w:rsidR="001B6D98" w:rsidRPr="00B66846" w:rsidRDefault="001B6D98" w:rsidP="001B6D98">
      <w:pPr>
        <w:jc w:val="both"/>
        <w:rPr>
          <w:sz w:val="24"/>
          <w:szCs w:val="24"/>
        </w:rPr>
      </w:pPr>
      <w:r w:rsidRPr="00B66846">
        <w:rPr>
          <w:sz w:val="24"/>
          <w:szCs w:val="24"/>
        </w:rPr>
        <w:t xml:space="preserve">Suave, R., </w:t>
      </w:r>
      <w:proofErr w:type="spellStart"/>
      <w:r w:rsidRPr="00B66846">
        <w:rPr>
          <w:sz w:val="24"/>
          <w:szCs w:val="24"/>
        </w:rPr>
        <w:t>Codesso</w:t>
      </w:r>
      <w:proofErr w:type="spellEnd"/>
      <w:r w:rsidRPr="00B66846">
        <w:rPr>
          <w:sz w:val="24"/>
          <w:szCs w:val="24"/>
        </w:rPr>
        <w:t xml:space="preserve">, M. M., de Moraes Pinto, H., Vicente, E. F. R., &amp; </w:t>
      </w:r>
      <w:proofErr w:type="spellStart"/>
      <w:r w:rsidRPr="00B66846">
        <w:rPr>
          <w:sz w:val="24"/>
          <w:szCs w:val="24"/>
        </w:rPr>
        <w:t>Lunkes</w:t>
      </w:r>
      <w:proofErr w:type="spellEnd"/>
      <w:r w:rsidRPr="00B66846">
        <w:rPr>
          <w:sz w:val="24"/>
          <w:szCs w:val="24"/>
        </w:rPr>
        <w:t xml:space="preserve">, R. J. (2013). Divulgação de Passivos Contingentes nas empresas mais líquidas da </w:t>
      </w:r>
      <w:proofErr w:type="spellStart"/>
      <w:proofErr w:type="gramStart"/>
      <w:r w:rsidRPr="00B66846">
        <w:rPr>
          <w:sz w:val="24"/>
          <w:szCs w:val="24"/>
        </w:rPr>
        <w:t>BM&amp;FBovespa</w:t>
      </w:r>
      <w:proofErr w:type="spellEnd"/>
      <w:proofErr w:type="gramEnd"/>
      <w:r w:rsidRPr="00B66846">
        <w:rPr>
          <w:sz w:val="24"/>
          <w:szCs w:val="24"/>
        </w:rPr>
        <w:t xml:space="preserve">. </w:t>
      </w:r>
      <w:r w:rsidRPr="00B66846">
        <w:rPr>
          <w:i/>
          <w:iCs/>
          <w:sz w:val="24"/>
          <w:szCs w:val="24"/>
        </w:rPr>
        <w:t>Revista da UNIFEBE</w:t>
      </w:r>
      <w:r w:rsidRPr="00B66846">
        <w:rPr>
          <w:sz w:val="24"/>
          <w:szCs w:val="24"/>
        </w:rPr>
        <w:t xml:space="preserve">, </w:t>
      </w:r>
      <w:r w:rsidRPr="00B66846">
        <w:rPr>
          <w:i/>
          <w:iCs/>
          <w:sz w:val="24"/>
          <w:szCs w:val="24"/>
        </w:rPr>
        <w:t>1</w:t>
      </w:r>
      <w:r w:rsidRPr="00B66846">
        <w:rPr>
          <w:sz w:val="24"/>
          <w:szCs w:val="24"/>
        </w:rPr>
        <w:t>(11).</w:t>
      </w:r>
    </w:p>
    <w:p w:rsidR="001B6D98" w:rsidRPr="001B6D98" w:rsidRDefault="001B6D98" w:rsidP="001B6D98">
      <w:pPr>
        <w:autoSpaceDE w:val="0"/>
        <w:autoSpaceDN w:val="0"/>
        <w:adjustRightInd w:val="0"/>
        <w:jc w:val="both"/>
        <w:rPr>
          <w:sz w:val="12"/>
          <w:szCs w:val="12"/>
        </w:rPr>
      </w:pPr>
    </w:p>
    <w:p w:rsidR="00E6136F" w:rsidRDefault="001B6D98" w:rsidP="007B2CF3">
      <w:pPr>
        <w:autoSpaceDE w:val="0"/>
        <w:autoSpaceDN w:val="0"/>
        <w:adjustRightInd w:val="0"/>
        <w:jc w:val="both"/>
      </w:pPr>
      <w:r w:rsidRPr="005314C3">
        <w:rPr>
          <w:sz w:val="24"/>
          <w:szCs w:val="24"/>
        </w:rPr>
        <w:t xml:space="preserve">Vergara, S. C. (2015). Projetos e relatórios de pesquisa em administração. São Paulo: Atlas, 2000. </w:t>
      </w:r>
      <w:r w:rsidRPr="005314C3">
        <w:rPr>
          <w:i/>
          <w:iCs/>
          <w:sz w:val="24"/>
          <w:szCs w:val="24"/>
        </w:rPr>
        <w:t>Métodos de pesquisa em administração</w:t>
      </w:r>
      <w:r w:rsidRPr="005314C3">
        <w:rPr>
          <w:sz w:val="24"/>
          <w:szCs w:val="24"/>
        </w:rPr>
        <w:t xml:space="preserve">, </w:t>
      </w:r>
      <w:proofErr w:type="gramStart"/>
      <w:r w:rsidRPr="005314C3">
        <w:rPr>
          <w:i/>
          <w:iCs/>
          <w:sz w:val="24"/>
          <w:szCs w:val="24"/>
        </w:rPr>
        <w:t>3</w:t>
      </w:r>
      <w:proofErr w:type="gramEnd"/>
      <w:r w:rsidRPr="005314C3">
        <w:rPr>
          <w:sz w:val="24"/>
          <w:szCs w:val="24"/>
        </w:rPr>
        <w:t>.</w:t>
      </w:r>
    </w:p>
    <w:sectPr w:rsidR="00E6136F" w:rsidSect="00C04F45">
      <w:headerReference w:type="default" r:id="rId10"/>
      <w:footerReference w:type="default" r:id="rId11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04" w:rsidRDefault="00964504" w:rsidP="008A5824">
      <w:r>
        <w:separator/>
      </w:r>
    </w:p>
  </w:endnote>
  <w:endnote w:type="continuationSeparator" w:id="0">
    <w:p w:rsidR="00964504" w:rsidRDefault="00964504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dine401 BT">
    <w:altName w:val="Aldine401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:rsidR="00C04F45" w:rsidRDefault="00C04F45">
        <w:pPr>
          <w:pStyle w:val="Rodap"/>
          <w:jc w:val="right"/>
          <w:rPr>
            <w:rFonts w:ascii="Times New Roman" w:hAnsi="Times New Roman" w:cs="Times New Roman"/>
          </w:rPr>
        </w:pPr>
      </w:p>
      <w:p w:rsidR="00C04F45" w:rsidRPr="00C04F45" w:rsidRDefault="00C04F45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262450"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="00262450" w:rsidRPr="00C04F45">
          <w:rPr>
            <w:rFonts w:ascii="Times New Roman" w:hAnsi="Times New Roman" w:cs="Times New Roman"/>
          </w:rPr>
          <w:fldChar w:fldCharType="separate"/>
        </w:r>
        <w:r w:rsidR="001F28F1">
          <w:rPr>
            <w:rFonts w:ascii="Times New Roman" w:hAnsi="Times New Roman" w:cs="Times New Roman"/>
            <w:noProof/>
          </w:rPr>
          <w:t>1</w:t>
        </w:r>
        <w:r w:rsidR="00262450" w:rsidRPr="00C04F45">
          <w:rPr>
            <w:rFonts w:ascii="Times New Roman" w:hAnsi="Times New Roman" w:cs="Times New Roman"/>
          </w:rPr>
          <w:fldChar w:fldCharType="end"/>
        </w:r>
      </w:p>
    </w:sdtContent>
  </w:sdt>
  <w:p w:rsidR="00E361F4" w:rsidRDefault="00E361F4">
    <w:pPr>
      <w:pStyle w:val="Rodap"/>
      <w:rPr>
        <w:rFonts w:ascii="Times New Roman" w:hAnsi="Times New Roman" w:cs="Times New Roman"/>
      </w:rPr>
    </w:pPr>
  </w:p>
  <w:p w:rsidR="00C04F45" w:rsidRPr="00C04F45" w:rsidRDefault="00C04F45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04" w:rsidRDefault="00964504" w:rsidP="008A5824">
      <w:r>
        <w:separator/>
      </w:r>
    </w:p>
  </w:footnote>
  <w:footnote w:type="continuationSeparator" w:id="0">
    <w:p w:rsidR="00964504" w:rsidRDefault="00964504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BA9" w:rsidRPr="00E361F4" w:rsidRDefault="00E361F4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B3635"/>
    <w:multiLevelType w:val="hybridMultilevel"/>
    <w:tmpl w:val="568A7794"/>
    <w:lvl w:ilvl="0" w:tplc="8A1E02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DF7"/>
    <w:multiLevelType w:val="hybridMultilevel"/>
    <w:tmpl w:val="BC6E614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66062"/>
    <w:multiLevelType w:val="hybridMultilevel"/>
    <w:tmpl w:val="C234B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3E09CD"/>
    <w:multiLevelType w:val="multilevel"/>
    <w:tmpl w:val="4B3E12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31177D"/>
    <w:multiLevelType w:val="hybridMultilevel"/>
    <w:tmpl w:val="7542EA78"/>
    <w:lvl w:ilvl="0" w:tplc="0416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84BE4"/>
    <w:multiLevelType w:val="hybridMultilevel"/>
    <w:tmpl w:val="3C82C7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824"/>
    <w:rsid w:val="00067126"/>
    <w:rsid w:val="001146F8"/>
    <w:rsid w:val="00131B02"/>
    <w:rsid w:val="0016220D"/>
    <w:rsid w:val="00187AB3"/>
    <w:rsid w:val="00194BA9"/>
    <w:rsid w:val="00197FD5"/>
    <w:rsid w:val="001A4423"/>
    <w:rsid w:val="001B6D98"/>
    <w:rsid w:val="001C328B"/>
    <w:rsid w:val="001F28F1"/>
    <w:rsid w:val="001F6A6D"/>
    <w:rsid w:val="00262450"/>
    <w:rsid w:val="002B0015"/>
    <w:rsid w:val="002B2B78"/>
    <w:rsid w:val="002D452A"/>
    <w:rsid w:val="0036377D"/>
    <w:rsid w:val="0038579D"/>
    <w:rsid w:val="00397B54"/>
    <w:rsid w:val="004020EB"/>
    <w:rsid w:val="00473887"/>
    <w:rsid w:val="00491708"/>
    <w:rsid w:val="006064A3"/>
    <w:rsid w:val="00631DCF"/>
    <w:rsid w:val="00686527"/>
    <w:rsid w:val="0072578D"/>
    <w:rsid w:val="007B2CF3"/>
    <w:rsid w:val="00860B20"/>
    <w:rsid w:val="008A5824"/>
    <w:rsid w:val="008D4F05"/>
    <w:rsid w:val="00964504"/>
    <w:rsid w:val="009833D5"/>
    <w:rsid w:val="00A500BA"/>
    <w:rsid w:val="00A86ECF"/>
    <w:rsid w:val="00B32719"/>
    <w:rsid w:val="00B41CAF"/>
    <w:rsid w:val="00BD0F13"/>
    <w:rsid w:val="00C04F45"/>
    <w:rsid w:val="00C30374"/>
    <w:rsid w:val="00CA2367"/>
    <w:rsid w:val="00CA25AA"/>
    <w:rsid w:val="00CE5296"/>
    <w:rsid w:val="00CF645C"/>
    <w:rsid w:val="00D91EAD"/>
    <w:rsid w:val="00E361F4"/>
    <w:rsid w:val="00E6136F"/>
    <w:rsid w:val="00E67F7E"/>
    <w:rsid w:val="00E72C8D"/>
    <w:rsid w:val="00ED7A83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1B6D98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1B6D98"/>
    <w:pPr>
      <w:keepNext/>
      <w:suppressAutoHyphens w:val="0"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B6D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D98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apple-converted-space">
    <w:name w:val="apple-converted-space"/>
    <w:basedOn w:val="Fontepargpadro"/>
    <w:rsid w:val="001B6D98"/>
  </w:style>
  <w:style w:type="character" w:styleId="Forte">
    <w:name w:val="Strong"/>
    <w:uiPriority w:val="22"/>
    <w:qFormat/>
    <w:rsid w:val="001B6D98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rsid w:val="001B6D98"/>
    <w:pPr>
      <w:suppressAutoHyphens w:val="0"/>
      <w:spacing w:line="480" w:lineRule="auto"/>
      <w:jc w:val="both"/>
    </w:pPr>
    <w:rPr>
      <w:rFonts w:ascii="Arial" w:hAnsi="Arial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B6D98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uiPriority w:val="99"/>
    <w:unhideWhenUsed/>
    <w:rsid w:val="001B6D98"/>
    <w:rPr>
      <w:vertAlign w:val="superscript"/>
    </w:rPr>
  </w:style>
  <w:style w:type="paragraph" w:customStyle="1" w:styleId="Pargrafo">
    <w:name w:val="Parágrafo"/>
    <w:basedOn w:val="Normal"/>
    <w:qFormat/>
    <w:rsid w:val="001B6D98"/>
    <w:pPr>
      <w:widowControl w:val="0"/>
      <w:suppressAutoHyphens w:val="0"/>
      <w:spacing w:line="360" w:lineRule="auto"/>
      <w:ind w:firstLine="709"/>
      <w:jc w:val="both"/>
    </w:pPr>
    <w:rPr>
      <w:rFonts w:eastAsia="Calibri"/>
      <w:sz w:val="24"/>
      <w:szCs w:val="24"/>
      <w:lang w:eastAsia="en-US"/>
    </w:rPr>
  </w:style>
  <w:style w:type="character" w:styleId="Refdecomentrio">
    <w:name w:val="annotation reference"/>
    <w:uiPriority w:val="99"/>
    <w:semiHidden/>
    <w:unhideWhenUsed/>
    <w:rsid w:val="001B6D98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rsid w:val="001B6D98"/>
    <w:rPr>
      <w:rFonts w:eastAsia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6D98"/>
    <w:pPr>
      <w:suppressAutoHyphens w:val="0"/>
      <w:spacing w:after="200" w:line="276" w:lineRule="auto"/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1B6D9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link w:val="Assuntodocomentrio"/>
    <w:uiPriority w:val="99"/>
    <w:semiHidden/>
    <w:rsid w:val="001B6D98"/>
    <w:rPr>
      <w:rFonts w:eastAsia="Times New Roman"/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6D98"/>
    <w:rPr>
      <w:b/>
      <w:bCs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1B6D9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noloc">
    <w:name w:val="noloc"/>
    <w:basedOn w:val="Fontepargpadro"/>
    <w:rsid w:val="001B6D98"/>
  </w:style>
  <w:style w:type="character" w:customStyle="1" w:styleId="numdef">
    <w:name w:val="numdef"/>
    <w:basedOn w:val="Fontepargpadro"/>
    <w:rsid w:val="001B6D98"/>
  </w:style>
  <w:style w:type="character" w:customStyle="1" w:styleId="textodef">
    <w:name w:val="textodef"/>
    <w:basedOn w:val="Fontepargpadro"/>
    <w:rsid w:val="001B6D98"/>
  </w:style>
  <w:style w:type="character" w:customStyle="1" w:styleId="ex">
    <w:name w:val="ex"/>
    <w:basedOn w:val="Fontepargpadro"/>
    <w:rsid w:val="001B6D98"/>
  </w:style>
  <w:style w:type="character" w:customStyle="1" w:styleId="underline">
    <w:name w:val="underline"/>
    <w:basedOn w:val="Fontepargpadro"/>
    <w:rsid w:val="001B6D98"/>
  </w:style>
  <w:style w:type="character" w:styleId="nfase">
    <w:name w:val="Emphasis"/>
    <w:uiPriority w:val="20"/>
    <w:qFormat/>
    <w:rsid w:val="001B6D98"/>
    <w:rPr>
      <w:i/>
      <w:iCs/>
    </w:rPr>
  </w:style>
  <w:style w:type="paragraph" w:customStyle="1" w:styleId="Default">
    <w:name w:val="Default"/>
    <w:rsid w:val="001B6D98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  <w:style w:type="character" w:customStyle="1" w:styleId="st">
    <w:name w:val="st"/>
    <w:basedOn w:val="Fontepargpadro"/>
    <w:rsid w:val="001B6D98"/>
  </w:style>
  <w:style w:type="paragraph" w:styleId="Reviso">
    <w:name w:val="Revision"/>
    <w:hidden/>
    <w:uiPriority w:val="99"/>
    <w:semiHidden/>
    <w:rsid w:val="001B6D98"/>
    <w:rPr>
      <w:rFonts w:ascii="Calibri" w:eastAsia="Times New Roman" w:hAnsi="Calibri" w:cs="Times New Roman"/>
      <w:sz w:val="22"/>
      <w:szCs w:val="22"/>
      <w:lang w:eastAsia="pt-BR"/>
    </w:rPr>
  </w:style>
  <w:style w:type="paragraph" w:customStyle="1" w:styleId="Tfigura">
    <w:name w:val="T figura"/>
    <w:basedOn w:val="Legenda"/>
    <w:qFormat/>
    <w:rsid w:val="001B6D98"/>
    <w:pPr>
      <w:widowControl w:val="0"/>
      <w:spacing w:after="0" w:line="240" w:lineRule="auto"/>
      <w:jc w:val="center"/>
    </w:pPr>
    <w:rPr>
      <w:rFonts w:ascii="Times New Roman" w:eastAsia="Calibri" w:hAnsi="Times New Roman"/>
      <w:sz w:val="24"/>
      <w:lang w:eastAsia="en-US"/>
    </w:rPr>
  </w:style>
  <w:style w:type="paragraph" w:styleId="Legenda">
    <w:name w:val="caption"/>
    <w:basedOn w:val="Normal"/>
    <w:next w:val="Normal"/>
    <w:uiPriority w:val="35"/>
    <w:qFormat/>
    <w:rsid w:val="001B6D98"/>
    <w:pPr>
      <w:suppressAutoHyphens w:val="0"/>
      <w:spacing w:after="200" w:line="276" w:lineRule="auto"/>
    </w:pPr>
    <w:rPr>
      <w:rFonts w:ascii="Calibri" w:hAnsi="Calibri"/>
      <w:b/>
      <w:bCs/>
    </w:rPr>
  </w:style>
  <w:style w:type="paragraph" w:customStyle="1" w:styleId="Fonte">
    <w:name w:val="Fonte"/>
    <w:basedOn w:val="Normal"/>
    <w:qFormat/>
    <w:rsid w:val="001B6D98"/>
    <w:pPr>
      <w:widowControl w:val="0"/>
      <w:suppressAutoHyphens w:val="0"/>
      <w:jc w:val="center"/>
    </w:pPr>
    <w:rPr>
      <w:rFonts w:eastAsia="Calibri"/>
      <w:b/>
      <w:szCs w:val="24"/>
      <w:lang w:eastAsia="en-US"/>
    </w:rPr>
  </w:style>
  <w:style w:type="paragraph" w:customStyle="1" w:styleId="Tquadro">
    <w:name w:val="T quadro"/>
    <w:basedOn w:val="Tfigura"/>
    <w:qFormat/>
    <w:rsid w:val="001B6D98"/>
  </w:style>
  <w:style w:type="paragraph" w:styleId="Bibliografia">
    <w:name w:val="Bibliography"/>
    <w:basedOn w:val="Normal"/>
    <w:next w:val="Normal"/>
    <w:uiPriority w:val="37"/>
    <w:unhideWhenUsed/>
    <w:rsid w:val="001B6D98"/>
    <w:pPr>
      <w:suppressAutoHyphens w:val="0"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textrun">
    <w:name w:val="normaltextrun"/>
    <w:rsid w:val="001B6D98"/>
  </w:style>
  <w:style w:type="paragraph" w:customStyle="1" w:styleId="citao">
    <w:name w:val="citação"/>
    <w:basedOn w:val="Normal"/>
    <w:qFormat/>
    <w:rsid w:val="001B6D98"/>
    <w:pPr>
      <w:widowControl w:val="0"/>
      <w:tabs>
        <w:tab w:val="left" w:pos="284"/>
        <w:tab w:val="left" w:pos="426"/>
      </w:tabs>
      <w:suppressAutoHyphens w:val="0"/>
      <w:ind w:left="2268"/>
      <w:jc w:val="both"/>
    </w:pPr>
    <w:rPr>
      <w:rFonts w:eastAsia="Calibri"/>
      <w:lang w:eastAsia="en-US"/>
    </w:rPr>
  </w:style>
  <w:style w:type="character" w:customStyle="1" w:styleId="spellingerror">
    <w:name w:val="spellingerror"/>
    <w:rsid w:val="001B6D98"/>
  </w:style>
  <w:style w:type="character" w:customStyle="1" w:styleId="A2">
    <w:name w:val="A2"/>
    <w:uiPriority w:val="99"/>
    <w:rsid w:val="001B6D98"/>
    <w:rPr>
      <w:rFonts w:cs="Aldine401 BT"/>
      <w:color w:val="000000"/>
      <w:sz w:val="20"/>
      <w:szCs w:val="20"/>
    </w:rPr>
  </w:style>
  <w:style w:type="paragraph" w:customStyle="1" w:styleId="m663160581624125885ydp218b889cpargrafo">
    <w:name w:val="m_663160581624125885ydp218b889cpargrafo"/>
    <w:basedOn w:val="Normal"/>
    <w:rsid w:val="001B6D98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RefernciaSutil">
    <w:name w:val="Subtle Reference"/>
    <w:uiPriority w:val="31"/>
    <w:qFormat/>
    <w:rsid w:val="001B6D98"/>
    <w:rPr>
      <w:rFonts w:ascii="Times New Roman" w:hAnsi="Times New Roman"/>
      <w:smallCaps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8472</Words>
  <Characters>45755</Characters>
  <Application>Microsoft Office Word</Application>
  <DocSecurity>0</DocSecurity>
  <Lines>381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Victor Hugo</cp:lastModifiedBy>
  <cp:revision>14</cp:revision>
  <dcterms:created xsi:type="dcterms:W3CDTF">2018-03-31T20:40:00Z</dcterms:created>
  <dcterms:modified xsi:type="dcterms:W3CDTF">2018-05-07T21:43:00Z</dcterms:modified>
</cp:coreProperties>
</file>