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77D" w:rsidRDefault="0036377D" w:rsidP="0036377D">
      <w:pPr>
        <w:jc w:val="center"/>
        <w:rPr>
          <w:b/>
          <w:sz w:val="24"/>
        </w:rPr>
      </w:pPr>
    </w:p>
    <w:p w:rsidR="00776435" w:rsidRDefault="00776435" w:rsidP="00776435">
      <w:pPr>
        <w:jc w:val="center"/>
        <w:rPr>
          <w:b/>
          <w:sz w:val="24"/>
          <w:szCs w:val="24"/>
        </w:rPr>
      </w:pPr>
      <w:r>
        <w:rPr>
          <w:b/>
          <w:sz w:val="24"/>
          <w:szCs w:val="24"/>
        </w:rPr>
        <w:t>A Relevância do Fato Relevante: Um Estudo dos Anúncios de Combinação de Negócios das Empresas da Bolsa Brasileira.</w:t>
      </w:r>
    </w:p>
    <w:p w:rsidR="00446BC5" w:rsidRDefault="00446BC5" w:rsidP="00446BC5">
      <w:pPr>
        <w:jc w:val="right"/>
        <w:rPr>
          <w:b/>
        </w:rPr>
      </w:pPr>
      <w:proofErr w:type="gramStart"/>
      <w:r>
        <w:rPr>
          <w:b/>
          <w:sz w:val="24"/>
          <w:szCs w:val="24"/>
        </w:rPr>
        <w:t>JéssikaVieira</w:t>
      </w:r>
      <w:proofErr w:type="gramEnd"/>
      <w:r>
        <w:rPr>
          <w:b/>
          <w:sz w:val="24"/>
          <w:szCs w:val="24"/>
        </w:rPr>
        <w:t xml:space="preserve"> Gomes</w:t>
      </w:r>
    </w:p>
    <w:p w:rsidR="00446BC5" w:rsidRDefault="00446BC5" w:rsidP="00446BC5">
      <w:pPr>
        <w:jc w:val="right"/>
        <w:rPr>
          <w:b/>
          <w:i/>
          <w:sz w:val="24"/>
          <w:szCs w:val="24"/>
        </w:rPr>
      </w:pPr>
      <w:r>
        <w:rPr>
          <w:b/>
          <w:i/>
          <w:sz w:val="24"/>
          <w:szCs w:val="24"/>
        </w:rPr>
        <w:t>Universidade Federal de Goiás (UFG)</w:t>
      </w:r>
    </w:p>
    <w:p w:rsidR="00446BC5" w:rsidRDefault="00446BC5" w:rsidP="00446BC5">
      <w:pPr>
        <w:jc w:val="right"/>
        <w:rPr>
          <w:b/>
        </w:rPr>
      </w:pPr>
      <w:proofErr w:type="gramStart"/>
      <w:r>
        <w:rPr>
          <w:b/>
          <w:i/>
          <w:sz w:val="24"/>
          <w:szCs w:val="24"/>
        </w:rPr>
        <w:t>jessika1310yahoo.com.</w:t>
      </w:r>
      <w:proofErr w:type="spellStart"/>
      <w:proofErr w:type="gramEnd"/>
      <w:r>
        <w:rPr>
          <w:b/>
          <w:i/>
          <w:sz w:val="24"/>
          <w:szCs w:val="24"/>
        </w:rPr>
        <w:t>br</w:t>
      </w:r>
      <w:proofErr w:type="spellEnd"/>
    </w:p>
    <w:p w:rsidR="00446BC5" w:rsidRDefault="00446BC5" w:rsidP="00446BC5">
      <w:pPr>
        <w:jc w:val="right"/>
        <w:rPr>
          <w:b/>
        </w:rPr>
      </w:pPr>
      <w:r>
        <w:rPr>
          <w:b/>
          <w:sz w:val="24"/>
          <w:szCs w:val="24"/>
        </w:rPr>
        <w:t xml:space="preserve">Carlos </w:t>
      </w:r>
      <w:r w:rsidR="009F111D">
        <w:rPr>
          <w:b/>
          <w:sz w:val="24"/>
          <w:szCs w:val="24"/>
        </w:rPr>
        <w:t>Henrique</w:t>
      </w:r>
      <w:r>
        <w:rPr>
          <w:b/>
          <w:sz w:val="24"/>
          <w:szCs w:val="24"/>
        </w:rPr>
        <w:t xml:space="preserve"> Silva do Carmo</w:t>
      </w:r>
    </w:p>
    <w:p w:rsidR="00446BC5" w:rsidRDefault="00446BC5" w:rsidP="00446BC5">
      <w:pPr>
        <w:jc w:val="right"/>
        <w:rPr>
          <w:b/>
          <w:i/>
          <w:sz w:val="24"/>
          <w:szCs w:val="24"/>
        </w:rPr>
      </w:pPr>
      <w:r>
        <w:rPr>
          <w:b/>
          <w:i/>
          <w:sz w:val="24"/>
          <w:szCs w:val="24"/>
        </w:rPr>
        <w:t>Universidade Federal de Goiás (UFG)</w:t>
      </w:r>
    </w:p>
    <w:p w:rsidR="00446BC5" w:rsidRDefault="00446BC5" w:rsidP="00446BC5">
      <w:pPr>
        <w:jc w:val="right"/>
        <w:rPr>
          <w:b/>
          <w:i/>
          <w:sz w:val="24"/>
          <w:szCs w:val="24"/>
        </w:rPr>
      </w:pPr>
      <w:r>
        <w:rPr>
          <w:b/>
          <w:i/>
          <w:sz w:val="24"/>
          <w:szCs w:val="24"/>
        </w:rPr>
        <w:t>chscarmo@uol.com.br</w:t>
      </w:r>
    </w:p>
    <w:p w:rsidR="00446BC5" w:rsidRDefault="00446BC5" w:rsidP="00446BC5">
      <w:pPr>
        <w:jc w:val="right"/>
        <w:rPr>
          <w:b/>
          <w:sz w:val="24"/>
          <w:szCs w:val="24"/>
        </w:rPr>
      </w:pPr>
      <w:r>
        <w:rPr>
          <w:b/>
          <w:sz w:val="24"/>
          <w:szCs w:val="24"/>
        </w:rPr>
        <w:t>Camila Araújo Machado</w:t>
      </w:r>
    </w:p>
    <w:p w:rsidR="00446BC5" w:rsidRDefault="00446BC5" w:rsidP="00446BC5">
      <w:pPr>
        <w:jc w:val="right"/>
        <w:rPr>
          <w:b/>
          <w:i/>
          <w:sz w:val="24"/>
          <w:szCs w:val="24"/>
        </w:rPr>
      </w:pPr>
      <w:r>
        <w:rPr>
          <w:b/>
          <w:i/>
          <w:sz w:val="24"/>
          <w:szCs w:val="24"/>
        </w:rPr>
        <w:t>Universidade Federal de Goiás (UFG)</w:t>
      </w:r>
    </w:p>
    <w:p w:rsidR="00446BC5" w:rsidRDefault="00446BC5" w:rsidP="00446BC5">
      <w:pPr>
        <w:jc w:val="right"/>
        <w:rPr>
          <w:b/>
          <w:i/>
          <w:sz w:val="24"/>
          <w:szCs w:val="24"/>
        </w:rPr>
      </w:pPr>
      <w:r>
        <w:rPr>
          <w:b/>
          <w:i/>
          <w:sz w:val="24"/>
          <w:szCs w:val="24"/>
        </w:rPr>
        <w:t>ufg_face_camila@yahoo.com.br</w:t>
      </w:r>
    </w:p>
    <w:p w:rsidR="005615C0" w:rsidRDefault="005615C0" w:rsidP="000C5D82">
      <w:pPr>
        <w:jc w:val="right"/>
        <w:rPr>
          <w:b/>
          <w:sz w:val="24"/>
          <w:szCs w:val="24"/>
        </w:rPr>
      </w:pPr>
    </w:p>
    <w:p w:rsidR="000C5D82" w:rsidRPr="000F76E8" w:rsidRDefault="000C5D82" w:rsidP="00776435">
      <w:pPr>
        <w:jc w:val="center"/>
        <w:rPr>
          <w:b/>
        </w:rPr>
      </w:pPr>
    </w:p>
    <w:p w:rsidR="00776435" w:rsidRDefault="00776435" w:rsidP="00776435">
      <w:pPr>
        <w:jc w:val="right"/>
        <w:rPr>
          <w:b/>
          <w:sz w:val="24"/>
          <w:szCs w:val="24"/>
        </w:rPr>
      </w:pPr>
    </w:p>
    <w:p w:rsidR="00B41AC1" w:rsidRDefault="00B41AC1" w:rsidP="00B41AC1">
      <w:pPr>
        <w:jc w:val="center"/>
        <w:rPr>
          <w:color w:val="999999"/>
        </w:rPr>
      </w:pPr>
    </w:p>
    <w:p w:rsidR="00161B58" w:rsidRDefault="00161B58" w:rsidP="00B41AC1">
      <w:pPr>
        <w:jc w:val="center"/>
        <w:rPr>
          <w:color w:val="999999"/>
        </w:rPr>
      </w:pPr>
    </w:p>
    <w:p w:rsidR="00B41AC1" w:rsidRDefault="00B41AC1" w:rsidP="00B41AC1">
      <w:pPr>
        <w:rPr>
          <w:color w:val="999999"/>
        </w:rPr>
      </w:pPr>
    </w:p>
    <w:p w:rsidR="00B41AC1" w:rsidRDefault="00B41AC1" w:rsidP="00B41AC1">
      <w:pPr>
        <w:jc w:val="center"/>
        <w:rPr>
          <w:b/>
          <w:color w:val="999999"/>
        </w:rPr>
      </w:pPr>
    </w:p>
    <w:p w:rsidR="00B41AC1" w:rsidRDefault="00B41AC1" w:rsidP="00B41AC1">
      <w:pPr>
        <w:jc w:val="both"/>
        <w:rPr>
          <w:b/>
          <w:sz w:val="24"/>
          <w:szCs w:val="24"/>
        </w:rPr>
      </w:pPr>
      <w:r>
        <w:rPr>
          <w:b/>
          <w:sz w:val="24"/>
          <w:szCs w:val="24"/>
        </w:rPr>
        <w:t xml:space="preserve">Resumo: </w:t>
      </w:r>
    </w:p>
    <w:p w:rsidR="00776435" w:rsidRPr="00306728" w:rsidRDefault="007636ED" w:rsidP="00B41AC1">
      <w:pPr>
        <w:jc w:val="both"/>
      </w:pPr>
      <w:r>
        <w:rPr>
          <w:sz w:val="24"/>
        </w:rPr>
        <w:t xml:space="preserve">Os </w:t>
      </w:r>
      <w:r w:rsidR="00544A4E">
        <w:rPr>
          <w:sz w:val="24"/>
        </w:rPr>
        <w:t>relatórios contábeis</w:t>
      </w:r>
      <w:r w:rsidR="00306728">
        <w:rPr>
          <w:sz w:val="24"/>
        </w:rPr>
        <w:t xml:space="preserve"> auxilia</w:t>
      </w:r>
      <w:r w:rsidR="00544A4E">
        <w:rPr>
          <w:sz w:val="24"/>
        </w:rPr>
        <w:t>m</w:t>
      </w:r>
      <w:r w:rsidR="00306728">
        <w:rPr>
          <w:sz w:val="24"/>
        </w:rPr>
        <w:t xml:space="preserve"> os usuários externos no processo decisório e</w:t>
      </w:r>
      <w:r w:rsidR="00977E29">
        <w:rPr>
          <w:sz w:val="24"/>
        </w:rPr>
        <w:t xml:space="preserve"> para isso</w:t>
      </w:r>
      <w:r w:rsidR="00544A4E">
        <w:rPr>
          <w:sz w:val="24"/>
        </w:rPr>
        <w:t>,</w:t>
      </w:r>
      <w:r w:rsidR="00306728">
        <w:rPr>
          <w:sz w:val="24"/>
        </w:rPr>
        <w:t xml:space="preserve"> a divulgação </w:t>
      </w:r>
      <w:r w:rsidR="00856698">
        <w:rPr>
          <w:sz w:val="24"/>
        </w:rPr>
        <w:t>de atos/</w:t>
      </w:r>
      <w:r w:rsidR="00306728" w:rsidRPr="00267F18">
        <w:rPr>
          <w:sz w:val="24"/>
        </w:rPr>
        <w:t>fatos relevantes pode</w:t>
      </w:r>
      <w:r w:rsidR="007E466A">
        <w:rPr>
          <w:sz w:val="24"/>
        </w:rPr>
        <w:t xml:space="preserve"> contribuir</w:t>
      </w:r>
      <w:r w:rsidR="00306728" w:rsidRPr="00267F18">
        <w:rPr>
          <w:sz w:val="24"/>
        </w:rPr>
        <w:t>.</w:t>
      </w:r>
      <w:r w:rsidR="00856698">
        <w:rPr>
          <w:sz w:val="24"/>
        </w:rPr>
        <w:t xml:space="preserve"> A divulgação de fato</w:t>
      </w:r>
      <w:r w:rsidR="00977E29">
        <w:rPr>
          <w:sz w:val="24"/>
        </w:rPr>
        <w:t xml:space="preserve"> relevante é regulada pela CVM (Comissão de Valores Mobiliários) que exige a comunicação pelas empresas de </w:t>
      </w:r>
      <w:r w:rsidR="00856698">
        <w:rPr>
          <w:sz w:val="24"/>
        </w:rPr>
        <w:t>qualquer ato/</w:t>
      </w:r>
      <w:r w:rsidR="00977E29" w:rsidRPr="00AA6D9E">
        <w:rPr>
          <w:sz w:val="24"/>
        </w:rPr>
        <w:t xml:space="preserve">fato que possa influenciar nos </w:t>
      </w:r>
      <w:r w:rsidR="00977E29">
        <w:rPr>
          <w:sz w:val="24"/>
        </w:rPr>
        <w:t xml:space="preserve">seus </w:t>
      </w:r>
      <w:r w:rsidR="00977E29" w:rsidRPr="00AA6D9E">
        <w:rPr>
          <w:sz w:val="24"/>
        </w:rPr>
        <w:t>valores mobiliários</w:t>
      </w:r>
      <w:r w:rsidR="00977E29">
        <w:rPr>
          <w:sz w:val="24"/>
        </w:rPr>
        <w:t>.</w:t>
      </w:r>
      <w:r w:rsidR="00306728">
        <w:t xml:space="preserve"> </w:t>
      </w:r>
      <w:r w:rsidR="007E466A">
        <w:rPr>
          <w:sz w:val="24"/>
        </w:rPr>
        <w:t>O</w:t>
      </w:r>
      <w:r w:rsidR="001044DC">
        <w:rPr>
          <w:sz w:val="24"/>
        </w:rPr>
        <w:t xml:space="preserve"> objetivo </w:t>
      </w:r>
      <w:r w:rsidR="007E466A">
        <w:rPr>
          <w:sz w:val="24"/>
        </w:rPr>
        <w:t xml:space="preserve">desta pesquisa é </w:t>
      </w:r>
      <w:r w:rsidR="001044DC">
        <w:rPr>
          <w:sz w:val="24"/>
        </w:rPr>
        <w:t>verificar</w:t>
      </w:r>
      <w:r w:rsidR="00306728">
        <w:rPr>
          <w:sz w:val="24"/>
        </w:rPr>
        <w:t xml:space="preserve"> </w:t>
      </w:r>
      <w:r w:rsidR="001044DC">
        <w:rPr>
          <w:sz w:val="24"/>
        </w:rPr>
        <w:t>a relevância d</w:t>
      </w:r>
      <w:r w:rsidR="00856698">
        <w:rPr>
          <w:sz w:val="24"/>
        </w:rPr>
        <w:t>o</w:t>
      </w:r>
      <w:r w:rsidR="001044DC">
        <w:rPr>
          <w:sz w:val="24"/>
        </w:rPr>
        <w:t xml:space="preserve"> fato relevante sobre combinações de negócios no comportamento d</w:t>
      </w:r>
      <w:r w:rsidR="00776435">
        <w:rPr>
          <w:sz w:val="24"/>
        </w:rPr>
        <w:t>as ações</w:t>
      </w:r>
      <w:r w:rsidR="00AB168B">
        <w:rPr>
          <w:sz w:val="24"/>
        </w:rPr>
        <w:t xml:space="preserve"> </w:t>
      </w:r>
      <w:r w:rsidR="00776435">
        <w:rPr>
          <w:sz w:val="24"/>
        </w:rPr>
        <w:t>quando da divulgação de dois eventos</w:t>
      </w:r>
      <w:r w:rsidR="001044DC">
        <w:rPr>
          <w:sz w:val="24"/>
        </w:rPr>
        <w:t xml:space="preserve">: </w:t>
      </w:r>
      <w:r w:rsidR="007E466A">
        <w:rPr>
          <w:sz w:val="24"/>
        </w:rPr>
        <w:t>o</w:t>
      </w:r>
      <w:r w:rsidR="001C0EA6">
        <w:rPr>
          <w:sz w:val="24"/>
        </w:rPr>
        <w:t xml:space="preserve"> anúncio </w:t>
      </w:r>
      <w:r w:rsidR="00D80E3D">
        <w:rPr>
          <w:sz w:val="24"/>
        </w:rPr>
        <w:t xml:space="preserve">da combinação de negócios </w:t>
      </w:r>
      <w:r w:rsidR="001C0EA6">
        <w:rPr>
          <w:sz w:val="24"/>
        </w:rPr>
        <w:t xml:space="preserve">e a </w:t>
      </w:r>
      <w:r w:rsidR="00776435">
        <w:rPr>
          <w:sz w:val="24"/>
        </w:rPr>
        <w:t>conclusão da análise do processo pelo CADE (</w:t>
      </w:r>
      <w:r w:rsidR="00776435">
        <w:rPr>
          <w:sz w:val="24"/>
          <w:szCs w:val="24"/>
        </w:rPr>
        <w:t>Conselho Administrativo de Defesa Econômica</w:t>
      </w:r>
      <w:r w:rsidR="00495A6C">
        <w:rPr>
          <w:sz w:val="24"/>
          <w:szCs w:val="24"/>
        </w:rPr>
        <w:t>)</w:t>
      </w:r>
      <w:r w:rsidR="00495A6C">
        <w:rPr>
          <w:sz w:val="24"/>
        </w:rPr>
        <w:t xml:space="preserve">. </w:t>
      </w:r>
      <w:r w:rsidR="00544A4E">
        <w:rPr>
          <w:sz w:val="24"/>
        </w:rPr>
        <w:t>U</w:t>
      </w:r>
      <w:r w:rsidR="00776435" w:rsidRPr="00AA6D9E">
        <w:rPr>
          <w:sz w:val="24"/>
        </w:rPr>
        <w:t xml:space="preserve">tilizou-se </w:t>
      </w:r>
      <w:r w:rsidR="00306728">
        <w:rPr>
          <w:sz w:val="24"/>
        </w:rPr>
        <w:t>a</w:t>
      </w:r>
      <w:r w:rsidR="00776435" w:rsidRPr="00AA6D9E">
        <w:rPr>
          <w:sz w:val="24"/>
        </w:rPr>
        <w:t xml:space="preserve"> técnica estatística </w:t>
      </w:r>
      <w:r w:rsidR="00306728">
        <w:rPr>
          <w:sz w:val="24"/>
        </w:rPr>
        <w:t>de</w:t>
      </w:r>
      <w:r w:rsidR="00776435" w:rsidRPr="00AA6D9E">
        <w:rPr>
          <w:sz w:val="24"/>
        </w:rPr>
        <w:t xml:space="preserve"> </w:t>
      </w:r>
      <w:r w:rsidR="007E466A">
        <w:rPr>
          <w:sz w:val="24"/>
        </w:rPr>
        <w:t>E</w:t>
      </w:r>
      <w:r w:rsidR="00776435" w:rsidRPr="00AA6D9E">
        <w:rPr>
          <w:sz w:val="24"/>
        </w:rPr>
        <w:t xml:space="preserve">studo de </w:t>
      </w:r>
      <w:r w:rsidR="007E466A">
        <w:rPr>
          <w:sz w:val="24"/>
        </w:rPr>
        <w:t>E</w:t>
      </w:r>
      <w:r w:rsidR="00776435" w:rsidRPr="00AA6D9E">
        <w:rPr>
          <w:sz w:val="24"/>
        </w:rPr>
        <w:t>vento</w:t>
      </w:r>
      <w:r w:rsidR="00544A4E">
        <w:rPr>
          <w:sz w:val="24"/>
        </w:rPr>
        <w:t xml:space="preserve"> como metodologia</w:t>
      </w:r>
      <w:r w:rsidR="00306728">
        <w:rPr>
          <w:sz w:val="24"/>
        </w:rPr>
        <w:t>.</w:t>
      </w:r>
      <w:r w:rsidR="00776435" w:rsidRPr="00AA6D9E">
        <w:rPr>
          <w:sz w:val="24"/>
        </w:rPr>
        <w:t xml:space="preserve"> A amostra foi composta por 13 empresas </w:t>
      </w:r>
      <w:r w:rsidR="00776435" w:rsidRPr="00AA6D9E">
        <w:rPr>
          <w:sz w:val="24"/>
          <w:szCs w:val="24"/>
        </w:rPr>
        <w:t>que divulgaram fatos relevantes sobre combinação de negócios</w:t>
      </w:r>
      <w:r w:rsidR="00776435">
        <w:rPr>
          <w:sz w:val="24"/>
          <w:szCs w:val="24"/>
        </w:rPr>
        <w:t xml:space="preserve"> durante o período de 2015 a 2017</w:t>
      </w:r>
      <w:r w:rsidR="00776435">
        <w:rPr>
          <w:sz w:val="24"/>
        </w:rPr>
        <w:t xml:space="preserve">, totalizando 26 estudos de eventos. Os resultados evidenciaram que </w:t>
      </w:r>
      <w:r w:rsidR="00AB168B">
        <w:rPr>
          <w:sz w:val="24"/>
        </w:rPr>
        <w:t>4</w:t>
      </w:r>
      <w:r w:rsidR="00776435">
        <w:rPr>
          <w:sz w:val="24"/>
        </w:rPr>
        <w:t>6</w:t>
      </w:r>
      <w:r w:rsidR="00AB168B">
        <w:rPr>
          <w:sz w:val="24"/>
        </w:rPr>
        <w:t>%</w:t>
      </w:r>
      <w:r w:rsidR="00776435">
        <w:rPr>
          <w:sz w:val="24"/>
        </w:rPr>
        <w:t xml:space="preserve"> </w:t>
      </w:r>
      <w:r w:rsidR="00856698">
        <w:rPr>
          <w:sz w:val="24"/>
        </w:rPr>
        <w:t xml:space="preserve">da amostra </w:t>
      </w:r>
      <w:proofErr w:type="gramStart"/>
      <w:r w:rsidR="00856698">
        <w:rPr>
          <w:sz w:val="24"/>
        </w:rPr>
        <w:t>apresentou</w:t>
      </w:r>
      <w:proofErr w:type="gramEnd"/>
      <w:r w:rsidR="00776435">
        <w:rPr>
          <w:sz w:val="24"/>
        </w:rPr>
        <w:t>, nos dois eventos, retornos anormais estatisticamente significativos</w:t>
      </w:r>
      <w:r w:rsidR="00AB168B">
        <w:rPr>
          <w:sz w:val="24"/>
        </w:rPr>
        <w:t>, sendo confirmad</w:t>
      </w:r>
      <w:r w:rsidR="00306728">
        <w:rPr>
          <w:sz w:val="24"/>
        </w:rPr>
        <w:t>a</w:t>
      </w:r>
      <w:r w:rsidR="00AB168B">
        <w:rPr>
          <w:sz w:val="24"/>
        </w:rPr>
        <w:t xml:space="preserve"> a presença de retornos positivos e negativos</w:t>
      </w:r>
      <w:r w:rsidR="00776435">
        <w:rPr>
          <w:sz w:val="24"/>
        </w:rPr>
        <w:t xml:space="preserve">. </w:t>
      </w:r>
      <w:r w:rsidR="00544A4E">
        <w:rPr>
          <w:sz w:val="24"/>
        </w:rPr>
        <w:t>N</w:t>
      </w:r>
      <w:r w:rsidR="00776435">
        <w:rPr>
          <w:sz w:val="24"/>
        </w:rPr>
        <w:t xml:space="preserve">uma perspectiva </w:t>
      </w:r>
      <w:r w:rsidR="00776435">
        <w:rPr>
          <w:i/>
          <w:sz w:val="24"/>
        </w:rPr>
        <w:t>ex ante</w:t>
      </w:r>
      <w:r w:rsidR="00776435">
        <w:rPr>
          <w:sz w:val="24"/>
        </w:rPr>
        <w:t xml:space="preserve"> (divulgação do anúncio da combinação</w:t>
      </w:r>
      <w:r w:rsidR="001044DC">
        <w:rPr>
          <w:sz w:val="24"/>
        </w:rPr>
        <w:t xml:space="preserve"> de negócios) foram observados </w:t>
      </w:r>
      <w:r w:rsidR="00AA6D9E">
        <w:rPr>
          <w:sz w:val="24"/>
        </w:rPr>
        <w:t xml:space="preserve">que </w:t>
      </w:r>
      <w:r w:rsidR="001044DC">
        <w:rPr>
          <w:sz w:val="24"/>
        </w:rPr>
        <w:t xml:space="preserve">69% das empresas evidenciaram </w:t>
      </w:r>
      <w:r w:rsidR="00776435">
        <w:rPr>
          <w:sz w:val="24"/>
        </w:rPr>
        <w:t xml:space="preserve">significância estatística e </w:t>
      </w:r>
      <w:r w:rsidR="00776435">
        <w:rPr>
          <w:i/>
          <w:sz w:val="24"/>
        </w:rPr>
        <w:t xml:space="preserve">ex </w:t>
      </w:r>
      <w:proofErr w:type="spellStart"/>
      <w:r w:rsidR="00776435">
        <w:rPr>
          <w:i/>
          <w:sz w:val="24"/>
        </w:rPr>
        <w:t>post</w:t>
      </w:r>
      <w:proofErr w:type="spellEnd"/>
      <w:r w:rsidR="00776435">
        <w:rPr>
          <w:sz w:val="24"/>
        </w:rPr>
        <w:t xml:space="preserve"> (divulgação da conclusão/autoriza</w:t>
      </w:r>
      <w:r w:rsidR="001044DC">
        <w:rPr>
          <w:sz w:val="24"/>
        </w:rPr>
        <w:t>ção da combinação de negócios) 61% das empresas mostraram</w:t>
      </w:r>
      <w:r w:rsidR="00AA6D9E">
        <w:rPr>
          <w:sz w:val="24"/>
        </w:rPr>
        <w:t xml:space="preserve"> significância estatística</w:t>
      </w:r>
      <w:r w:rsidR="00776435">
        <w:rPr>
          <w:sz w:val="24"/>
        </w:rPr>
        <w:t xml:space="preserve">. </w:t>
      </w:r>
      <w:r w:rsidR="00544A4E">
        <w:rPr>
          <w:sz w:val="24"/>
        </w:rPr>
        <w:t>P</w:t>
      </w:r>
      <w:r w:rsidR="00776435">
        <w:rPr>
          <w:sz w:val="24"/>
        </w:rPr>
        <w:t xml:space="preserve">ode-se </w:t>
      </w:r>
      <w:r w:rsidR="00544A4E">
        <w:rPr>
          <w:sz w:val="24"/>
        </w:rPr>
        <w:t>inferir</w:t>
      </w:r>
      <w:r w:rsidR="00776435">
        <w:rPr>
          <w:sz w:val="24"/>
        </w:rPr>
        <w:t xml:space="preserve"> que a divulgação do anúncio da combinação de negócios e</w:t>
      </w:r>
      <w:r w:rsidR="00306728">
        <w:rPr>
          <w:sz w:val="24"/>
        </w:rPr>
        <w:t xml:space="preserve"> </w:t>
      </w:r>
      <w:r w:rsidR="00977E29">
        <w:rPr>
          <w:sz w:val="24"/>
        </w:rPr>
        <w:t xml:space="preserve">de sua </w:t>
      </w:r>
      <w:r w:rsidR="00776435">
        <w:rPr>
          <w:sz w:val="24"/>
        </w:rPr>
        <w:t xml:space="preserve">conclusão </w:t>
      </w:r>
      <w:r w:rsidR="00977E29">
        <w:rPr>
          <w:sz w:val="24"/>
        </w:rPr>
        <w:t>cria</w:t>
      </w:r>
      <w:r w:rsidR="00AB168B">
        <w:rPr>
          <w:sz w:val="24"/>
        </w:rPr>
        <w:t xml:space="preserve"> </w:t>
      </w:r>
      <w:r w:rsidR="00776435">
        <w:rPr>
          <w:sz w:val="24"/>
          <w:szCs w:val="23"/>
        </w:rPr>
        <w:t xml:space="preserve">valor para as empresas, </w:t>
      </w:r>
      <w:r w:rsidR="00AB168B">
        <w:rPr>
          <w:sz w:val="24"/>
          <w:szCs w:val="23"/>
        </w:rPr>
        <w:t xml:space="preserve">e que a divulgação dessa categoria de fato relevante </w:t>
      </w:r>
      <w:r w:rsidR="00776435">
        <w:rPr>
          <w:sz w:val="24"/>
          <w:szCs w:val="23"/>
        </w:rPr>
        <w:t>pos</w:t>
      </w:r>
      <w:r w:rsidR="00AB168B">
        <w:rPr>
          <w:sz w:val="24"/>
          <w:szCs w:val="23"/>
        </w:rPr>
        <w:t>sui relevância informacional</w:t>
      </w:r>
      <w:r w:rsidR="00306728">
        <w:rPr>
          <w:sz w:val="24"/>
          <w:szCs w:val="23"/>
        </w:rPr>
        <w:t xml:space="preserve">, </w:t>
      </w:r>
      <w:r w:rsidR="00544A4E">
        <w:rPr>
          <w:sz w:val="24"/>
          <w:szCs w:val="23"/>
        </w:rPr>
        <w:t>n</w:t>
      </w:r>
      <w:r w:rsidR="00776435">
        <w:rPr>
          <w:sz w:val="24"/>
          <w:szCs w:val="23"/>
        </w:rPr>
        <w:t>as decisões dos usuários externos</w:t>
      </w:r>
      <w:r w:rsidR="00306728">
        <w:rPr>
          <w:sz w:val="24"/>
          <w:szCs w:val="23"/>
        </w:rPr>
        <w:t xml:space="preserve"> e</w:t>
      </w:r>
      <w:r w:rsidR="00776435">
        <w:rPr>
          <w:sz w:val="24"/>
          <w:szCs w:val="23"/>
        </w:rPr>
        <w:t xml:space="preserve"> auxilia</w:t>
      </w:r>
      <w:r w:rsidR="00977E29">
        <w:rPr>
          <w:sz w:val="24"/>
          <w:szCs w:val="23"/>
        </w:rPr>
        <w:t xml:space="preserve"> na redução da assimetria de informação</w:t>
      </w:r>
      <w:r w:rsidR="005914C6">
        <w:rPr>
          <w:sz w:val="24"/>
          <w:szCs w:val="23"/>
        </w:rPr>
        <w:t xml:space="preserve">. </w:t>
      </w:r>
      <w:r w:rsidR="00856698">
        <w:rPr>
          <w:sz w:val="24"/>
          <w:szCs w:val="23"/>
        </w:rPr>
        <w:t xml:space="preserve">Ademais, o estudo </w:t>
      </w:r>
      <w:r w:rsidR="00977E29">
        <w:rPr>
          <w:sz w:val="24"/>
          <w:szCs w:val="23"/>
        </w:rPr>
        <w:t>contribui para discussões sobre o volume e a efetividade das divulgações financeiras das empresas.</w:t>
      </w:r>
    </w:p>
    <w:p w:rsidR="00B41AC1" w:rsidRDefault="00B41AC1" w:rsidP="00B41AC1">
      <w:pPr>
        <w:rPr>
          <w:b/>
          <w:sz w:val="24"/>
          <w:szCs w:val="24"/>
        </w:rPr>
      </w:pPr>
    </w:p>
    <w:p w:rsidR="00B41AC1" w:rsidRPr="00AA6D9E" w:rsidRDefault="00B41AC1" w:rsidP="00B41AC1">
      <w:r>
        <w:rPr>
          <w:b/>
          <w:sz w:val="24"/>
          <w:szCs w:val="24"/>
        </w:rPr>
        <w:t xml:space="preserve">Palavras-chave: </w:t>
      </w:r>
      <w:r w:rsidR="00161B58">
        <w:rPr>
          <w:sz w:val="24"/>
        </w:rPr>
        <w:t xml:space="preserve">Estudo de </w:t>
      </w:r>
      <w:r w:rsidR="000C5D82">
        <w:rPr>
          <w:sz w:val="24"/>
        </w:rPr>
        <w:t>E</w:t>
      </w:r>
      <w:r w:rsidR="00161B58">
        <w:rPr>
          <w:sz w:val="24"/>
        </w:rPr>
        <w:t>vento; Retorno anormal;</w:t>
      </w:r>
      <w:r w:rsidR="00776435">
        <w:rPr>
          <w:sz w:val="24"/>
        </w:rPr>
        <w:t xml:space="preserve"> Combinação de Negócios.</w:t>
      </w:r>
    </w:p>
    <w:p w:rsidR="00AA6D9E" w:rsidRDefault="00AA6D9E" w:rsidP="00B41AC1">
      <w:pPr>
        <w:rPr>
          <w:b/>
          <w:sz w:val="24"/>
          <w:szCs w:val="24"/>
        </w:rPr>
      </w:pPr>
    </w:p>
    <w:p w:rsidR="00B41AC1" w:rsidRPr="0036377D" w:rsidRDefault="00B41AC1" w:rsidP="00B41AC1">
      <w:pPr>
        <w:rPr>
          <w:sz w:val="24"/>
          <w:szCs w:val="24"/>
        </w:rPr>
      </w:pPr>
      <w:r>
        <w:rPr>
          <w:b/>
          <w:sz w:val="24"/>
          <w:szCs w:val="24"/>
        </w:rPr>
        <w:t xml:space="preserve">Linha Temática: </w:t>
      </w:r>
      <w:r w:rsidR="00776435">
        <w:rPr>
          <w:b/>
          <w:sz w:val="24"/>
          <w:szCs w:val="24"/>
        </w:rPr>
        <w:t>Contabilidade Financeira</w:t>
      </w:r>
    </w:p>
    <w:p w:rsidR="00B41AC1" w:rsidRDefault="00B41AC1" w:rsidP="00B41AC1"/>
    <w:p w:rsidR="00B41AC1" w:rsidRDefault="00B41AC1" w:rsidP="00B41AC1"/>
    <w:p w:rsidR="0000195C" w:rsidRDefault="0000195C" w:rsidP="00B41AC1"/>
    <w:p w:rsidR="0000195C" w:rsidRDefault="0000195C" w:rsidP="00B41AC1"/>
    <w:p w:rsidR="0000195C" w:rsidRDefault="0000195C" w:rsidP="00B41AC1"/>
    <w:p w:rsidR="0000195C" w:rsidRDefault="0000195C" w:rsidP="00B41AC1"/>
    <w:p w:rsidR="0000195C" w:rsidRDefault="0000195C" w:rsidP="00B41AC1"/>
    <w:p w:rsidR="006C79DF" w:rsidRDefault="006C79DF" w:rsidP="0000195C"/>
    <w:p w:rsidR="0000195C" w:rsidRDefault="0000195C" w:rsidP="0000195C">
      <w:proofErr w:type="gramStart"/>
      <w:r>
        <w:rPr>
          <w:b/>
          <w:sz w:val="24"/>
        </w:rPr>
        <w:lastRenderedPageBreak/>
        <w:t>1</w:t>
      </w:r>
      <w:proofErr w:type="gramEnd"/>
      <w:r>
        <w:rPr>
          <w:b/>
          <w:sz w:val="24"/>
        </w:rPr>
        <w:t xml:space="preserve"> INTRODUÇÃO</w:t>
      </w:r>
    </w:p>
    <w:p w:rsidR="0000195C" w:rsidRDefault="0000195C" w:rsidP="0043394E">
      <w:pPr>
        <w:ind w:firstLine="709"/>
        <w:jc w:val="both"/>
      </w:pPr>
      <w:r>
        <w:rPr>
          <w:sz w:val="24"/>
        </w:rPr>
        <w:t>Conforme o pronunciamento técnico CPC 15, emitido pelo Comitê de Pronunciamentos Contábeis, “combinação de negócios” é definida como uma operação ou outro evento por meio do qual um adquirente obtém o controle de um ou mais negócios, independentemente da forma jurídica da operação.</w:t>
      </w:r>
    </w:p>
    <w:p w:rsidR="0000195C" w:rsidRDefault="0000195C" w:rsidP="0043394E">
      <w:pPr>
        <w:ind w:firstLine="709"/>
        <w:jc w:val="both"/>
      </w:pPr>
      <w:r>
        <w:rPr>
          <w:sz w:val="24"/>
        </w:rPr>
        <w:t xml:space="preserve">As operações de combinações de negócios são frequentes nos ambientes empresariais e os motivos para sua realização podem ser os mais variados, o que pode </w:t>
      </w:r>
      <w:r w:rsidR="00F12AA4">
        <w:rPr>
          <w:sz w:val="24"/>
        </w:rPr>
        <w:t xml:space="preserve">afetar </w:t>
      </w:r>
      <w:r>
        <w:rPr>
          <w:sz w:val="24"/>
        </w:rPr>
        <w:t>as expectativas do</w:t>
      </w:r>
      <w:r w:rsidR="00676A0E">
        <w:rPr>
          <w:sz w:val="24"/>
        </w:rPr>
        <w:t>s participantes do</w:t>
      </w:r>
      <w:r>
        <w:rPr>
          <w:sz w:val="24"/>
        </w:rPr>
        <w:t xml:space="preserve"> mercado acionário. A combinação de negócios suscita grande interesse de analistas, preparadores das demonstrações contábeis e pesquisadores</w:t>
      </w:r>
      <w:r w:rsidR="00676A0E">
        <w:rPr>
          <w:sz w:val="24"/>
        </w:rPr>
        <w:t xml:space="preserve"> </w:t>
      </w:r>
      <w:r>
        <w:rPr>
          <w:sz w:val="24"/>
        </w:rPr>
        <w:t xml:space="preserve">devido </w:t>
      </w:r>
      <w:proofErr w:type="gramStart"/>
      <w:r>
        <w:rPr>
          <w:sz w:val="24"/>
        </w:rPr>
        <w:t>a</w:t>
      </w:r>
      <w:proofErr w:type="gramEnd"/>
      <w:r>
        <w:rPr>
          <w:sz w:val="24"/>
        </w:rPr>
        <w:t xml:space="preserve"> relativa complexidade de sua aplicação a cada setor de mercado, bem como em relação ao grande volume de investimento para esse tipo de negociação (</w:t>
      </w:r>
      <w:proofErr w:type="spellStart"/>
      <w:r>
        <w:rPr>
          <w:sz w:val="24"/>
        </w:rPr>
        <w:t>Copeland</w:t>
      </w:r>
      <w:proofErr w:type="spellEnd"/>
      <w:r>
        <w:rPr>
          <w:sz w:val="24"/>
        </w:rPr>
        <w:t xml:space="preserve">, </w:t>
      </w:r>
      <w:proofErr w:type="spellStart"/>
      <w:r>
        <w:rPr>
          <w:sz w:val="24"/>
        </w:rPr>
        <w:t>Koller</w:t>
      </w:r>
      <w:proofErr w:type="spellEnd"/>
      <w:r>
        <w:rPr>
          <w:sz w:val="24"/>
        </w:rPr>
        <w:t xml:space="preserve"> &amp; </w:t>
      </w:r>
      <w:proofErr w:type="spellStart"/>
      <w:r>
        <w:rPr>
          <w:sz w:val="24"/>
        </w:rPr>
        <w:t>Murrin</w:t>
      </w:r>
      <w:proofErr w:type="spellEnd"/>
      <w:r>
        <w:rPr>
          <w:sz w:val="24"/>
        </w:rPr>
        <w:t xml:space="preserve">, 2002; Costa Junior, 2008). </w:t>
      </w:r>
    </w:p>
    <w:p w:rsidR="0000195C" w:rsidRDefault="0000195C" w:rsidP="0043394E">
      <w:pPr>
        <w:ind w:firstLine="709"/>
        <w:jc w:val="both"/>
      </w:pPr>
      <w:r>
        <w:rPr>
          <w:sz w:val="24"/>
        </w:rPr>
        <w:t xml:space="preserve">No Brasil, as combinações de negócios foram impulsionadas na década de 90 com o PND (Programa Nacional de Desestatização), quando as empresas estatais começaram a ser privatizadas. De acordo com Costa Junior (2008), </w:t>
      </w:r>
      <w:r w:rsidR="00676A0E">
        <w:rPr>
          <w:sz w:val="24"/>
        </w:rPr>
        <w:t>n</w:t>
      </w:r>
      <w:r>
        <w:rPr>
          <w:sz w:val="24"/>
        </w:rPr>
        <w:t>o período de 1990 a 2002, as operações de alienação de controle renderam US$ 105,298 bilhões ao governo federal</w:t>
      </w:r>
      <w:r w:rsidR="00676A0E">
        <w:rPr>
          <w:sz w:val="24"/>
        </w:rPr>
        <w:t xml:space="preserve">. </w:t>
      </w:r>
      <w:r>
        <w:rPr>
          <w:sz w:val="24"/>
        </w:rPr>
        <w:t>Ainda segundo o autor, as pesquisas envolvendo combinações de negócios podem ser classificadas como multidisciplinares, pois podem</w:t>
      </w:r>
      <w:r w:rsidR="00676A0E">
        <w:rPr>
          <w:sz w:val="24"/>
        </w:rPr>
        <w:t xml:space="preserve"> abranger</w:t>
      </w:r>
      <w:r>
        <w:rPr>
          <w:sz w:val="24"/>
        </w:rPr>
        <w:t xml:space="preserve"> questões advindas do campo </w:t>
      </w:r>
      <w:r w:rsidR="00676A0E">
        <w:rPr>
          <w:sz w:val="24"/>
        </w:rPr>
        <w:t>jurídico, contábil ou econômico</w:t>
      </w:r>
      <w:r>
        <w:rPr>
          <w:sz w:val="24"/>
        </w:rPr>
        <w:t xml:space="preserve">. Ademais, combinações de negócios </w:t>
      </w:r>
      <w:proofErr w:type="gramStart"/>
      <w:r>
        <w:rPr>
          <w:sz w:val="24"/>
        </w:rPr>
        <w:t>são</w:t>
      </w:r>
      <w:proofErr w:type="gramEnd"/>
      <w:r>
        <w:rPr>
          <w:sz w:val="24"/>
        </w:rPr>
        <w:t xml:space="preserve"> um fenômeno que envolve altas cifras em transações, suscitando questões societárias, por exemplo, quanto à</w:t>
      </w:r>
      <w:r w:rsidR="00676A0E">
        <w:rPr>
          <w:sz w:val="24"/>
        </w:rPr>
        <w:t>s</w:t>
      </w:r>
      <w:r>
        <w:rPr>
          <w:sz w:val="24"/>
        </w:rPr>
        <w:t xml:space="preserve"> alteraç</w:t>
      </w:r>
      <w:r w:rsidR="00676A0E">
        <w:rPr>
          <w:sz w:val="24"/>
        </w:rPr>
        <w:t>ões</w:t>
      </w:r>
      <w:r>
        <w:rPr>
          <w:sz w:val="24"/>
        </w:rPr>
        <w:t xml:space="preserve"> de valores de investimentos, </w:t>
      </w:r>
      <w:r w:rsidR="00676A0E">
        <w:rPr>
          <w:sz w:val="24"/>
        </w:rPr>
        <w:t xml:space="preserve">de </w:t>
      </w:r>
      <w:r>
        <w:rPr>
          <w:sz w:val="24"/>
        </w:rPr>
        <w:t>riscos e de controle.</w:t>
      </w:r>
    </w:p>
    <w:p w:rsidR="0000195C" w:rsidRDefault="0000195C" w:rsidP="0043394E">
      <w:pPr>
        <w:ind w:firstLine="709"/>
        <w:jc w:val="both"/>
      </w:pPr>
      <w:r>
        <w:rPr>
          <w:sz w:val="24"/>
        </w:rPr>
        <w:t>Alguns autores relatam que as combinações de negócios são alternativas viáveis para criação de valor e para</w:t>
      </w:r>
      <w:r w:rsidR="00676A0E">
        <w:rPr>
          <w:sz w:val="24"/>
        </w:rPr>
        <w:t xml:space="preserve"> o desenvolvimento das </w:t>
      </w:r>
      <w:r>
        <w:rPr>
          <w:sz w:val="24"/>
        </w:rPr>
        <w:t>empresas, como é o caso do crescimento d</w:t>
      </w:r>
      <w:r w:rsidR="00DA60E4">
        <w:rPr>
          <w:sz w:val="24"/>
        </w:rPr>
        <w:t>as vendas e do poder de mercado</w:t>
      </w:r>
      <w:r>
        <w:rPr>
          <w:sz w:val="24"/>
        </w:rPr>
        <w:t xml:space="preserve"> (</w:t>
      </w:r>
      <w:proofErr w:type="spellStart"/>
      <w:r>
        <w:rPr>
          <w:sz w:val="24"/>
        </w:rPr>
        <w:t>Marks</w:t>
      </w:r>
      <w:proofErr w:type="spellEnd"/>
      <w:r>
        <w:rPr>
          <w:sz w:val="24"/>
        </w:rPr>
        <w:t xml:space="preserve">, Robbins, </w:t>
      </w:r>
      <w:proofErr w:type="spellStart"/>
      <w:r>
        <w:rPr>
          <w:sz w:val="24"/>
        </w:rPr>
        <w:t>Fernandéz</w:t>
      </w:r>
      <w:proofErr w:type="spellEnd"/>
      <w:r>
        <w:rPr>
          <w:sz w:val="24"/>
        </w:rPr>
        <w:t xml:space="preserve">, </w:t>
      </w:r>
      <w:proofErr w:type="spellStart"/>
      <w:r>
        <w:rPr>
          <w:sz w:val="24"/>
        </w:rPr>
        <w:t>Funkhouser</w:t>
      </w:r>
      <w:proofErr w:type="spellEnd"/>
      <w:r>
        <w:rPr>
          <w:sz w:val="24"/>
        </w:rPr>
        <w:t xml:space="preserve"> &amp; Williams, 2009). Trabalhos empíricos sugerem que os retornos das empresas adquirentes, no curto prazo, em média, são nulos ou negativos e altamente voláteis (</w:t>
      </w:r>
      <w:proofErr w:type="spellStart"/>
      <w:r>
        <w:rPr>
          <w:sz w:val="24"/>
        </w:rPr>
        <w:t>Agrawal</w:t>
      </w:r>
      <w:proofErr w:type="spellEnd"/>
      <w:r>
        <w:rPr>
          <w:sz w:val="24"/>
        </w:rPr>
        <w:t xml:space="preserve">, </w:t>
      </w:r>
      <w:proofErr w:type="spellStart"/>
      <w:r>
        <w:rPr>
          <w:sz w:val="24"/>
        </w:rPr>
        <w:t>Jaffe</w:t>
      </w:r>
      <w:proofErr w:type="spellEnd"/>
      <w:r>
        <w:rPr>
          <w:sz w:val="24"/>
        </w:rPr>
        <w:t xml:space="preserve">, &amp; </w:t>
      </w:r>
      <w:proofErr w:type="spellStart"/>
      <w:r>
        <w:rPr>
          <w:sz w:val="24"/>
        </w:rPr>
        <w:t>Mandelker</w:t>
      </w:r>
      <w:proofErr w:type="spellEnd"/>
      <w:r>
        <w:rPr>
          <w:sz w:val="24"/>
        </w:rPr>
        <w:t xml:space="preserve">, 1992; </w:t>
      </w:r>
      <w:proofErr w:type="spellStart"/>
      <w:r>
        <w:rPr>
          <w:sz w:val="24"/>
        </w:rPr>
        <w:t>Dodd</w:t>
      </w:r>
      <w:proofErr w:type="spellEnd"/>
      <w:r>
        <w:rPr>
          <w:sz w:val="24"/>
        </w:rPr>
        <w:t xml:space="preserve">, 1980; King, Dalton, </w:t>
      </w:r>
      <w:proofErr w:type="spellStart"/>
      <w:r>
        <w:rPr>
          <w:sz w:val="24"/>
        </w:rPr>
        <w:t>Daily</w:t>
      </w:r>
      <w:proofErr w:type="spellEnd"/>
      <w:r>
        <w:rPr>
          <w:sz w:val="24"/>
        </w:rPr>
        <w:t xml:space="preserve"> &amp; Complô, 2004; </w:t>
      </w:r>
      <w:proofErr w:type="spellStart"/>
      <w:r>
        <w:rPr>
          <w:sz w:val="24"/>
        </w:rPr>
        <w:t>Moeller</w:t>
      </w:r>
      <w:proofErr w:type="spellEnd"/>
      <w:r>
        <w:rPr>
          <w:sz w:val="24"/>
        </w:rPr>
        <w:t xml:space="preserve">, </w:t>
      </w:r>
      <w:proofErr w:type="spellStart"/>
      <w:r>
        <w:rPr>
          <w:sz w:val="24"/>
        </w:rPr>
        <w:t>Schlingemann</w:t>
      </w:r>
      <w:proofErr w:type="spellEnd"/>
      <w:r>
        <w:rPr>
          <w:sz w:val="24"/>
        </w:rPr>
        <w:t xml:space="preserve">, &amp; </w:t>
      </w:r>
      <w:proofErr w:type="spellStart"/>
      <w:r>
        <w:rPr>
          <w:sz w:val="24"/>
        </w:rPr>
        <w:t>Stulz</w:t>
      </w:r>
      <w:proofErr w:type="spellEnd"/>
      <w:r>
        <w:rPr>
          <w:sz w:val="24"/>
        </w:rPr>
        <w:t xml:space="preserve">, 2005; Leitão &amp; </w:t>
      </w:r>
      <w:proofErr w:type="spellStart"/>
      <w:r>
        <w:rPr>
          <w:sz w:val="24"/>
        </w:rPr>
        <w:t>Galli</w:t>
      </w:r>
      <w:proofErr w:type="spellEnd"/>
      <w:r>
        <w:rPr>
          <w:sz w:val="24"/>
        </w:rPr>
        <w:t xml:space="preserve">, 2014; Pimenta, Marques &amp; Macedo, 2015). Alguns estudos, no entanto, evidenciam </w:t>
      </w:r>
      <w:r w:rsidR="00676A0E">
        <w:rPr>
          <w:sz w:val="24"/>
        </w:rPr>
        <w:t>uma relação</w:t>
      </w:r>
      <w:r>
        <w:rPr>
          <w:sz w:val="24"/>
        </w:rPr>
        <w:t xml:space="preserve"> positiva entre o aumento pós-fusão nos fluxos de caixa operacionais e </w:t>
      </w:r>
      <w:r w:rsidR="00676A0E">
        <w:rPr>
          <w:sz w:val="24"/>
        </w:rPr>
        <w:t>os</w:t>
      </w:r>
      <w:r>
        <w:rPr>
          <w:sz w:val="24"/>
        </w:rPr>
        <w:t xml:space="preserve"> retornos anormais positivos ao redor de anúncios de fusão e criação de valor para o acionista/empresa (Jensen &amp; </w:t>
      </w:r>
      <w:proofErr w:type="spellStart"/>
      <w:r>
        <w:rPr>
          <w:sz w:val="24"/>
        </w:rPr>
        <w:t>Ruback</w:t>
      </w:r>
      <w:proofErr w:type="spellEnd"/>
      <w:r>
        <w:rPr>
          <w:sz w:val="24"/>
        </w:rPr>
        <w:t xml:space="preserve">, 1983; </w:t>
      </w:r>
      <w:proofErr w:type="spellStart"/>
      <w:r>
        <w:rPr>
          <w:sz w:val="24"/>
        </w:rPr>
        <w:t>Healy</w:t>
      </w:r>
      <w:proofErr w:type="spellEnd"/>
      <w:r>
        <w:rPr>
          <w:sz w:val="24"/>
        </w:rPr>
        <w:t xml:space="preserve">, </w:t>
      </w:r>
      <w:proofErr w:type="spellStart"/>
      <w:r>
        <w:rPr>
          <w:sz w:val="24"/>
        </w:rPr>
        <w:t>Palepu</w:t>
      </w:r>
      <w:proofErr w:type="spellEnd"/>
      <w:r>
        <w:rPr>
          <w:sz w:val="24"/>
        </w:rPr>
        <w:t xml:space="preserve"> &amp; </w:t>
      </w:r>
      <w:proofErr w:type="spellStart"/>
      <w:r>
        <w:rPr>
          <w:sz w:val="24"/>
        </w:rPr>
        <w:t>Ruback</w:t>
      </w:r>
      <w:proofErr w:type="spellEnd"/>
      <w:r>
        <w:rPr>
          <w:i/>
          <w:sz w:val="24"/>
        </w:rPr>
        <w:t xml:space="preserve">, </w:t>
      </w:r>
      <w:r>
        <w:rPr>
          <w:sz w:val="24"/>
        </w:rPr>
        <w:t xml:space="preserve">1992; </w:t>
      </w:r>
      <w:proofErr w:type="spellStart"/>
      <w:r>
        <w:rPr>
          <w:sz w:val="24"/>
        </w:rPr>
        <w:t>Pessanha</w:t>
      </w:r>
      <w:proofErr w:type="spellEnd"/>
      <w:r>
        <w:rPr>
          <w:sz w:val="24"/>
        </w:rPr>
        <w:t xml:space="preserve">, Santos, </w:t>
      </w:r>
      <w:proofErr w:type="spellStart"/>
      <w:r>
        <w:rPr>
          <w:sz w:val="24"/>
        </w:rPr>
        <w:t>Calegario</w:t>
      </w:r>
      <w:proofErr w:type="spellEnd"/>
      <w:r>
        <w:rPr>
          <w:sz w:val="24"/>
        </w:rPr>
        <w:t xml:space="preserve">, </w:t>
      </w:r>
      <w:proofErr w:type="spellStart"/>
      <w:r>
        <w:rPr>
          <w:sz w:val="24"/>
        </w:rPr>
        <w:t>Sáfadi</w:t>
      </w:r>
      <w:proofErr w:type="spellEnd"/>
      <w:r>
        <w:rPr>
          <w:sz w:val="24"/>
        </w:rPr>
        <w:t xml:space="preserve"> &amp; Alcântara, 2014; Romano &amp; Almeida, 2015). </w:t>
      </w:r>
      <w:r w:rsidR="00F45EC6">
        <w:rPr>
          <w:sz w:val="24"/>
        </w:rPr>
        <w:t xml:space="preserve">Assim, </w:t>
      </w:r>
      <w:r>
        <w:rPr>
          <w:sz w:val="24"/>
        </w:rPr>
        <w:t>os resultados inerentes aos retornos</w:t>
      </w:r>
      <w:r w:rsidR="00F45EC6">
        <w:rPr>
          <w:sz w:val="24"/>
        </w:rPr>
        <w:t xml:space="preserve"> n</w:t>
      </w:r>
      <w:r>
        <w:rPr>
          <w:sz w:val="24"/>
        </w:rPr>
        <w:t>os processos de combinações de negócios</w:t>
      </w:r>
      <w:r w:rsidR="00F45EC6">
        <w:rPr>
          <w:sz w:val="24"/>
        </w:rPr>
        <w:t xml:space="preserve"> s</w:t>
      </w:r>
      <w:r>
        <w:rPr>
          <w:sz w:val="24"/>
        </w:rPr>
        <w:t xml:space="preserve">ão os mais diversos. </w:t>
      </w:r>
    </w:p>
    <w:p w:rsidR="0000195C" w:rsidRDefault="00F45EC6" w:rsidP="0043394E">
      <w:pPr>
        <w:ind w:firstLine="709"/>
        <w:jc w:val="both"/>
      </w:pPr>
      <w:r>
        <w:rPr>
          <w:sz w:val="24"/>
        </w:rPr>
        <w:t xml:space="preserve">Faz se </w:t>
      </w:r>
      <w:r w:rsidR="0000195C">
        <w:rPr>
          <w:sz w:val="24"/>
        </w:rPr>
        <w:t xml:space="preserve">necessário </w:t>
      </w:r>
      <w:r>
        <w:rPr>
          <w:sz w:val="24"/>
        </w:rPr>
        <w:t>conhecer</w:t>
      </w:r>
      <w:r w:rsidR="0000195C">
        <w:rPr>
          <w:sz w:val="24"/>
        </w:rPr>
        <w:t xml:space="preserve"> os aspectos da informação contábil que contribuem para a precificação das ações e para a cotação de outros instrumentos de captação no mercado finance</w:t>
      </w:r>
      <w:r w:rsidR="006C6464">
        <w:rPr>
          <w:sz w:val="24"/>
        </w:rPr>
        <w:t>iro (Castro &amp; Marques, 2013</w:t>
      </w:r>
      <w:r w:rsidR="0000195C">
        <w:rPr>
          <w:sz w:val="24"/>
        </w:rPr>
        <w:t>). De acordo com o pronunciamento técnico CPC 00 (R1), uma das funções dos relatórios contábeis é a de auxiliar os usuários externos no processo de decisão</w:t>
      </w:r>
      <w:r>
        <w:rPr>
          <w:sz w:val="24"/>
        </w:rPr>
        <w:t xml:space="preserve">. </w:t>
      </w:r>
      <w:r w:rsidR="00267F18">
        <w:rPr>
          <w:sz w:val="24"/>
        </w:rPr>
        <w:t xml:space="preserve">Considerando isso, a divulgação </w:t>
      </w:r>
      <w:r w:rsidR="00267F18" w:rsidRPr="00267F18">
        <w:rPr>
          <w:sz w:val="24"/>
        </w:rPr>
        <w:t>de atos ou fatos relevantes, pode, também, subsidiar os usuários com informações importantes que os auxiliarão na tomada de decisões.</w:t>
      </w:r>
    </w:p>
    <w:p w:rsidR="0000195C" w:rsidRDefault="00A039E1" w:rsidP="0043394E">
      <w:pPr>
        <w:ind w:firstLine="709"/>
        <w:jc w:val="both"/>
      </w:pPr>
      <w:r>
        <w:rPr>
          <w:noProof/>
          <w:sz w:val="24"/>
          <w:szCs w:val="24"/>
        </w:rPr>
        <w:drawing>
          <wp:anchor distT="0" distB="0" distL="114300" distR="114300" simplePos="0" relativeHeight="251659264" behindDoc="0" locked="0" layoutInCell="1" allowOverlap="1">
            <wp:simplePos x="0" y="0"/>
            <wp:positionH relativeFrom="column">
              <wp:posOffset>-1905</wp:posOffset>
            </wp:positionH>
            <wp:positionV relativeFrom="paragraph">
              <wp:posOffset>1579880</wp:posOffset>
            </wp:positionV>
            <wp:extent cx="5566410" cy="647700"/>
            <wp:effectExtent l="19050" t="0" r="0" b="0"/>
            <wp:wrapNone/>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66410" cy="647700"/>
                    </a:xfrm>
                    <a:prstGeom prst="rect">
                      <a:avLst/>
                    </a:prstGeom>
                  </pic:spPr>
                </pic:pic>
              </a:graphicData>
            </a:graphic>
          </wp:anchor>
        </w:drawing>
      </w:r>
      <w:r w:rsidR="0000195C">
        <w:rPr>
          <w:sz w:val="24"/>
          <w:szCs w:val="24"/>
        </w:rPr>
        <w:t>De acordo com a instrução normativa 358/2002</w:t>
      </w:r>
      <w:r w:rsidR="00F45EC6">
        <w:rPr>
          <w:sz w:val="24"/>
          <w:szCs w:val="24"/>
        </w:rPr>
        <w:t xml:space="preserve"> </w:t>
      </w:r>
      <w:r w:rsidR="0000195C">
        <w:rPr>
          <w:sz w:val="24"/>
          <w:szCs w:val="24"/>
        </w:rPr>
        <w:t>da CVM (Com</w:t>
      </w:r>
      <w:r w:rsidR="00B04EAE">
        <w:rPr>
          <w:sz w:val="24"/>
          <w:szCs w:val="24"/>
        </w:rPr>
        <w:t xml:space="preserve">issão de Valores Mobiliários), </w:t>
      </w:r>
      <w:r w:rsidR="0000195C">
        <w:rPr>
          <w:sz w:val="24"/>
          <w:szCs w:val="24"/>
        </w:rPr>
        <w:t>fato relevante</w:t>
      </w:r>
      <w:r w:rsidR="00F45EC6">
        <w:rPr>
          <w:sz w:val="24"/>
          <w:szCs w:val="24"/>
        </w:rPr>
        <w:t xml:space="preserve"> é</w:t>
      </w:r>
      <w:r w:rsidR="0000195C">
        <w:rPr>
          <w:sz w:val="24"/>
          <w:szCs w:val="24"/>
        </w:rPr>
        <w:t xml:space="preserve"> qualquer decisão das empresas, de caráter político ou econômico financeiro, que possa influenciar na cotação dos valores mobiliários de emissão da companhia aberta ou a eles referenciados</w:t>
      </w:r>
      <w:r w:rsidR="00F45EC6">
        <w:rPr>
          <w:sz w:val="24"/>
          <w:szCs w:val="24"/>
        </w:rPr>
        <w:t xml:space="preserve">. Dentre as decisões estão: </w:t>
      </w:r>
      <w:r w:rsidR="0000195C">
        <w:rPr>
          <w:sz w:val="24"/>
          <w:szCs w:val="24"/>
        </w:rPr>
        <w:t>comprar, vender ou manter</w:t>
      </w:r>
      <w:r w:rsidR="00F45EC6">
        <w:rPr>
          <w:sz w:val="24"/>
          <w:szCs w:val="24"/>
        </w:rPr>
        <w:t xml:space="preserve"> os</w:t>
      </w:r>
      <w:r w:rsidR="0000195C">
        <w:rPr>
          <w:sz w:val="24"/>
          <w:szCs w:val="24"/>
        </w:rPr>
        <w:t xml:space="preserve"> valores mobiliários</w:t>
      </w:r>
      <w:r w:rsidR="00901206">
        <w:rPr>
          <w:sz w:val="24"/>
          <w:szCs w:val="24"/>
        </w:rPr>
        <w:t xml:space="preserve"> e</w:t>
      </w:r>
      <w:r w:rsidR="00F45EC6">
        <w:rPr>
          <w:sz w:val="24"/>
          <w:szCs w:val="24"/>
        </w:rPr>
        <w:t xml:space="preserve"> exercer</w:t>
      </w:r>
      <w:r w:rsidR="0000195C">
        <w:rPr>
          <w:sz w:val="24"/>
          <w:szCs w:val="24"/>
        </w:rPr>
        <w:t xml:space="preserve"> direitos inerentes à condição de titular de</w:t>
      </w:r>
      <w:r w:rsidR="00F45EC6">
        <w:rPr>
          <w:sz w:val="24"/>
          <w:szCs w:val="24"/>
        </w:rPr>
        <w:t>sses</w:t>
      </w:r>
      <w:r w:rsidR="0000195C">
        <w:rPr>
          <w:sz w:val="24"/>
          <w:szCs w:val="24"/>
        </w:rPr>
        <w:t xml:space="preserve"> valores mobiliários emitidos pela companhia.</w:t>
      </w:r>
      <w:r w:rsidR="00F45EC6">
        <w:rPr>
          <w:sz w:val="24"/>
          <w:szCs w:val="24"/>
        </w:rPr>
        <w:t xml:space="preserve"> Conforme</w:t>
      </w:r>
      <w:r w:rsidR="0000195C">
        <w:rPr>
          <w:sz w:val="24"/>
          <w:szCs w:val="24"/>
        </w:rPr>
        <w:t xml:space="preserve"> </w:t>
      </w:r>
      <w:r w:rsidR="0000195C" w:rsidRPr="008F1EDD">
        <w:rPr>
          <w:sz w:val="24"/>
          <w:szCs w:val="24"/>
        </w:rPr>
        <w:t>Ferreira (2010), os fatos relevantes constituem textos narrativos que informam os agentes de alterações importantes na empresa definidas pela administração.</w:t>
      </w:r>
      <w:r w:rsidRPr="00A039E1">
        <w:rPr>
          <w:noProof/>
        </w:rPr>
        <w:t xml:space="preserve"> </w:t>
      </w:r>
    </w:p>
    <w:p w:rsidR="0000195C" w:rsidRDefault="0000195C" w:rsidP="0043394E">
      <w:pPr>
        <w:ind w:firstLine="709"/>
        <w:jc w:val="both"/>
      </w:pPr>
      <w:r>
        <w:rPr>
          <w:sz w:val="24"/>
          <w:szCs w:val="24"/>
        </w:rPr>
        <w:lastRenderedPageBreak/>
        <w:t>A literatura acadêmica apresenta pesquisas que buscaram verificar o impacto do anúncio de combinações de negócio</w:t>
      </w:r>
      <w:r w:rsidRPr="00F235AF">
        <w:rPr>
          <w:sz w:val="24"/>
          <w:szCs w:val="24"/>
        </w:rPr>
        <w:t>s</w:t>
      </w:r>
      <w:r w:rsidR="00123431" w:rsidRPr="00F235AF">
        <w:rPr>
          <w:sz w:val="24"/>
          <w:szCs w:val="24"/>
        </w:rPr>
        <w:t xml:space="preserve"> (</w:t>
      </w:r>
      <w:r w:rsidR="004408EC">
        <w:rPr>
          <w:sz w:val="24"/>
          <w:szCs w:val="24"/>
        </w:rPr>
        <w:t xml:space="preserve">Alves, 2011; </w:t>
      </w:r>
      <w:r w:rsidR="00AA3428" w:rsidRPr="00F235AF">
        <w:rPr>
          <w:sz w:val="24"/>
          <w:szCs w:val="24"/>
        </w:rPr>
        <w:t xml:space="preserve">Alves &amp; </w:t>
      </w:r>
      <w:proofErr w:type="spellStart"/>
      <w:r w:rsidR="00AA3428" w:rsidRPr="00F235AF">
        <w:rPr>
          <w:sz w:val="24"/>
          <w:szCs w:val="24"/>
        </w:rPr>
        <w:t>Zotes</w:t>
      </w:r>
      <w:proofErr w:type="spellEnd"/>
      <w:r w:rsidR="00AA3428" w:rsidRPr="00F235AF">
        <w:rPr>
          <w:sz w:val="24"/>
          <w:szCs w:val="24"/>
        </w:rPr>
        <w:t xml:space="preserve">, 2016; </w:t>
      </w:r>
      <w:r w:rsidR="002B092F" w:rsidRPr="00F235AF">
        <w:rPr>
          <w:sz w:val="24"/>
          <w:szCs w:val="24"/>
        </w:rPr>
        <w:t>S</w:t>
      </w:r>
      <w:r w:rsidR="006A74DD" w:rsidRPr="00F235AF">
        <w:rPr>
          <w:sz w:val="24"/>
          <w:szCs w:val="24"/>
        </w:rPr>
        <w:t>ilva</w:t>
      </w:r>
      <w:r w:rsidR="002B092F" w:rsidRPr="00F235AF">
        <w:rPr>
          <w:sz w:val="24"/>
          <w:szCs w:val="24"/>
        </w:rPr>
        <w:t>, S</w:t>
      </w:r>
      <w:r w:rsidR="006A74DD" w:rsidRPr="00F235AF">
        <w:rPr>
          <w:sz w:val="24"/>
          <w:szCs w:val="24"/>
        </w:rPr>
        <w:t>ilva</w:t>
      </w:r>
      <w:r w:rsidR="002B092F" w:rsidRPr="00F235AF">
        <w:rPr>
          <w:sz w:val="24"/>
          <w:szCs w:val="24"/>
        </w:rPr>
        <w:t>, &amp; S</w:t>
      </w:r>
      <w:r w:rsidR="006A74DD" w:rsidRPr="00F235AF">
        <w:rPr>
          <w:sz w:val="24"/>
          <w:szCs w:val="24"/>
        </w:rPr>
        <w:t>ilva</w:t>
      </w:r>
      <w:r w:rsidR="002B092F" w:rsidRPr="00F235AF">
        <w:rPr>
          <w:sz w:val="24"/>
          <w:szCs w:val="24"/>
        </w:rPr>
        <w:t>, 2017)</w:t>
      </w:r>
      <w:r w:rsidRPr="00F235AF">
        <w:rPr>
          <w:sz w:val="24"/>
          <w:szCs w:val="24"/>
        </w:rPr>
        <w:t>,</w:t>
      </w:r>
      <w:r>
        <w:rPr>
          <w:sz w:val="24"/>
          <w:szCs w:val="24"/>
        </w:rPr>
        <w:t xml:space="preserve"> como o </w:t>
      </w:r>
      <w:r w:rsidR="00F45EC6">
        <w:rPr>
          <w:sz w:val="24"/>
          <w:szCs w:val="24"/>
        </w:rPr>
        <w:t>estudo</w:t>
      </w:r>
      <w:r>
        <w:rPr>
          <w:sz w:val="24"/>
          <w:szCs w:val="24"/>
        </w:rPr>
        <w:t xml:space="preserve"> de Pimenta, Costa Marques e Macedo (2015), no qual os autores procuraram verificar se os anúncios de combinação de negócios causam impacto no mercado de capitais</w:t>
      </w:r>
      <w:r w:rsidR="00A31E85">
        <w:rPr>
          <w:sz w:val="24"/>
          <w:szCs w:val="24"/>
        </w:rPr>
        <w:t xml:space="preserve"> brasileiro</w:t>
      </w:r>
      <w:r>
        <w:rPr>
          <w:sz w:val="24"/>
          <w:szCs w:val="24"/>
        </w:rPr>
        <w:t xml:space="preserve">. </w:t>
      </w:r>
      <w:r w:rsidR="00F45EC6">
        <w:rPr>
          <w:sz w:val="24"/>
          <w:szCs w:val="24"/>
        </w:rPr>
        <w:t>Os resultados identificados por eles, n</w:t>
      </w:r>
      <w:r>
        <w:rPr>
          <w:sz w:val="24"/>
          <w:szCs w:val="24"/>
        </w:rPr>
        <w:t>o entanto</w:t>
      </w:r>
      <w:r w:rsidR="00EA26E0">
        <w:rPr>
          <w:sz w:val="24"/>
          <w:szCs w:val="24"/>
        </w:rPr>
        <w:t>,</w:t>
      </w:r>
      <w:r>
        <w:rPr>
          <w:sz w:val="24"/>
          <w:szCs w:val="24"/>
        </w:rPr>
        <w:t xml:space="preserve"> evidenciaram que tais eventos não produziam reações nos retornos</w:t>
      </w:r>
      <w:r w:rsidR="008A3EA6">
        <w:rPr>
          <w:sz w:val="24"/>
          <w:szCs w:val="24"/>
        </w:rPr>
        <w:t xml:space="preserve"> das ações. Por sua vez, </w:t>
      </w:r>
      <w:proofErr w:type="spellStart"/>
      <w:r w:rsidR="008A3EA6">
        <w:rPr>
          <w:sz w:val="24"/>
          <w:szCs w:val="24"/>
        </w:rPr>
        <w:t>Bergma</w:t>
      </w:r>
      <w:r>
        <w:rPr>
          <w:sz w:val="24"/>
          <w:szCs w:val="24"/>
        </w:rPr>
        <w:t>n</w:t>
      </w:r>
      <w:r w:rsidR="00CE359C">
        <w:rPr>
          <w:sz w:val="24"/>
          <w:szCs w:val="24"/>
        </w:rPr>
        <w:t>n</w:t>
      </w:r>
      <w:proofErr w:type="spellEnd"/>
      <w:r>
        <w:rPr>
          <w:sz w:val="24"/>
          <w:szCs w:val="24"/>
        </w:rPr>
        <w:t xml:space="preserve">, </w:t>
      </w:r>
      <w:proofErr w:type="spellStart"/>
      <w:r>
        <w:rPr>
          <w:sz w:val="24"/>
          <w:szCs w:val="24"/>
        </w:rPr>
        <w:t>Savoia</w:t>
      </w:r>
      <w:proofErr w:type="spellEnd"/>
      <w:r>
        <w:rPr>
          <w:sz w:val="24"/>
          <w:szCs w:val="24"/>
        </w:rPr>
        <w:t xml:space="preserve"> e Souza (2015) investigaram os anúncios de combinações de negócios</w:t>
      </w:r>
      <w:r w:rsidR="009B5D7C">
        <w:rPr>
          <w:sz w:val="24"/>
          <w:szCs w:val="24"/>
        </w:rPr>
        <w:t xml:space="preserve"> </w:t>
      </w:r>
      <w:r>
        <w:rPr>
          <w:sz w:val="24"/>
          <w:szCs w:val="24"/>
        </w:rPr>
        <w:t>no setor bancário</w:t>
      </w:r>
      <w:r w:rsidR="009B5D7C">
        <w:rPr>
          <w:sz w:val="24"/>
          <w:szCs w:val="24"/>
        </w:rPr>
        <w:t xml:space="preserve"> d</w:t>
      </w:r>
      <w:r w:rsidR="00A31E85">
        <w:rPr>
          <w:sz w:val="24"/>
          <w:szCs w:val="24"/>
        </w:rPr>
        <w:t>urante</w:t>
      </w:r>
      <w:r w:rsidR="009078CE">
        <w:rPr>
          <w:sz w:val="24"/>
          <w:szCs w:val="24"/>
        </w:rPr>
        <w:t xml:space="preserve"> o período de 1994 a 2011; os </w:t>
      </w:r>
      <w:r>
        <w:rPr>
          <w:sz w:val="24"/>
          <w:szCs w:val="24"/>
        </w:rPr>
        <w:t xml:space="preserve">resultados </w:t>
      </w:r>
      <w:r w:rsidR="00A31E85">
        <w:rPr>
          <w:sz w:val="24"/>
          <w:szCs w:val="24"/>
        </w:rPr>
        <w:t xml:space="preserve">foram </w:t>
      </w:r>
      <w:r>
        <w:rPr>
          <w:sz w:val="24"/>
          <w:szCs w:val="24"/>
        </w:rPr>
        <w:t>inconclusivos, pois, de acordo com os autores, não se pôde afirmar que os anúncios das combinações de negócios tiveram impacto positivo</w:t>
      </w:r>
      <w:r w:rsidR="00FD7805">
        <w:rPr>
          <w:sz w:val="24"/>
          <w:szCs w:val="24"/>
        </w:rPr>
        <w:t xml:space="preserve"> (negativo)</w:t>
      </w:r>
      <w:r>
        <w:rPr>
          <w:sz w:val="24"/>
          <w:szCs w:val="24"/>
        </w:rPr>
        <w:t xml:space="preserve"> na geração de valor das adquirentes,</w:t>
      </w:r>
      <w:r w:rsidR="00BF49D8">
        <w:rPr>
          <w:sz w:val="24"/>
          <w:szCs w:val="24"/>
        </w:rPr>
        <w:t xml:space="preserve"> </w:t>
      </w:r>
      <w:r w:rsidR="00FD7805">
        <w:rPr>
          <w:sz w:val="24"/>
          <w:szCs w:val="24"/>
        </w:rPr>
        <w:t>assim</w:t>
      </w:r>
      <w:r w:rsidR="005F13BF">
        <w:rPr>
          <w:sz w:val="24"/>
          <w:szCs w:val="24"/>
        </w:rPr>
        <w:t>,</w:t>
      </w:r>
      <w:r w:rsidR="00FD7805">
        <w:rPr>
          <w:sz w:val="24"/>
          <w:szCs w:val="24"/>
        </w:rPr>
        <w:t xml:space="preserve"> </w:t>
      </w:r>
      <w:r w:rsidR="00BF49D8">
        <w:rPr>
          <w:sz w:val="24"/>
          <w:szCs w:val="24"/>
        </w:rPr>
        <w:t xml:space="preserve">não evidenciando </w:t>
      </w:r>
      <w:r w:rsidR="005F13BF">
        <w:rPr>
          <w:sz w:val="24"/>
          <w:szCs w:val="24"/>
        </w:rPr>
        <w:t xml:space="preserve">a </w:t>
      </w:r>
      <w:r w:rsidR="00FD7805">
        <w:rPr>
          <w:sz w:val="24"/>
          <w:szCs w:val="24"/>
        </w:rPr>
        <w:t>relevância</w:t>
      </w:r>
      <w:r w:rsidR="005F13BF">
        <w:rPr>
          <w:sz w:val="24"/>
          <w:szCs w:val="24"/>
        </w:rPr>
        <w:t>,</w:t>
      </w:r>
      <w:r w:rsidR="009B5D7C">
        <w:rPr>
          <w:sz w:val="24"/>
          <w:szCs w:val="24"/>
        </w:rPr>
        <w:t xml:space="preserve"> do evento de</w:t>
      </w:r>
      <w:r w:rsidR="00FD7805">
        <w:rPr>
          <w:sz w:val="24"/>
          <w:szCs w:val="24"/>
        </w:rPr>
        <w:t xml:space="preserve"> combinação de negócio.</w:t>
      </w:r>
    </w:p>
    <w:p w:rsidR="0000195C" w:rsidRDefault="0000195C" w:rsidP="0043394E">
      <w:pPr>
        <w:ind w:firstLine="709"/>
        <w:jc w:val="both"/>
      </w:pPr>
      <w:r>
        <w:rPr>
          <w:sz w:val="24"/>
        </w:rPr>
        <w:t xml:space="preserve">Romano e Almeida (2015), em estudo de evento realizado sobre o anúncio da fusão da Sadia e da Perdigão, evidenciaram que há retornos positivos tanto para as adquirentes quanto para as empresas adquiridas. Por outro lado, o estudo de Brito, </w:t>
      </w:r>
      <w:proofErr w:type="spellStart"/>
      <w:r>
        <w:rPr>
          <w:sz w:val="24"/>
        </w:rPr>
        <w:t>Batistella</w:t>
      </w:r>
      <w:proofErr w:type="spellEnd"/>
      <w:r>
        <w:rPr>
          <w:sz w:val="24"/>
        </w:rPr>
        <w:t xml:space="preserve">, &amp; </w:t>
      </w:r>
      <w:proofErr w:type="spellStart"/>
      <w:r>
        <w:rPr>
          <w:sz w:val="24"/>
        </w:rPr>
        <w:t>Famá</w:t>
      </w:r>
      <w:proofErr w:type="spellEnd"/>
      <w:r>
        <w:rPr>
          <w:sz w:val="24"/>
        </w:rPr>
        <w:t xml:space="preserve"> (2005) evidenciou que as </w:t>
      </w:r>
      <w:r w:rsidR="00BF49D8">
        <w:rPr>
          <w:sz w:val="24"/>
        </w:rPr>
        <w:t xml:space="preserve">concretizações de </w:t>
      </w:r>
      <w:r>
        <w:rPr>
          <w:sz w:val="24"/>
        </w:rPr>
        <w:t xml:space="preserve">combinações de negócios não criam valor para os acionistas. </w:t>
      </w:r>
    </w:p>
    <w:p w:rsidR="0000195C" w:rsidRDefault="0000195C" w:rsidP="0043394E">
      <w:pPr>
        <w:ind w:firstLine="709"/>
        <w:jc w:val="both"/>
        <w:rPr>
          <w:i/>
          <w:sz w:val="24"/>
        </w:rPr>
      </w:pPr>
      <w:r>
        <w:rPr>
          <w:sz w:val="24"/>
        </w:rPr>
        <w:t xml:space="preserve">Diante do </w:t>
      </w:r>
      <w:r w:rsidR="00335C50">
        <w:rPr>
          <w:sz w:val="24"/>
        </w:rPr>
        <w:t>exposto, considerando</w:t>
      </w:r>
      <w:r>
        <w:rPr>
          <w:sz w:val="24"/>
        </w:rPr>
        <w:t xml:space="preserve"> o interesse que as combinações de negócio despertam nos financistas, preparadores da informação contábil e investidores, surge o seguinte questionamento: </w:t>
      </w:r>
      <w:r>
        <w:rPr>
          <w:i/>
          <w:sz w:val="24"/>
        </w:rPr>
        <w:t>as empresas listadas na B3(Brasil Bolsa e Balcão) possuem retornos anormais significativos</w:t>
      </w:r>
      <w:r w:rsidR="00450E1E">
        <w:rPr>
          <w:i/>
          <w:sz w:val="24"/>
        </w:rPr>
        <w:t xml:space="preserve"> q</w:t>
      </w:r>
      <w:r>
        <w:rPr>
          <w:i/>
          <w:sz w:val="24"/>
        </w:rPr>
        <w:t xml:space="preserve">uando da divulgação do fato relevante sobre </w:t>
      </w:r>
      <w:r w:rsidR="00450E1E">
        <w:rPr>
          <w:i/>
          <w:sz w:val="24"/>
        </w:rPr>
        <w:t xml:space="preserve">o anúncio da </w:t>
      </w:r>
      <w:r>
        <w:rPr>
          <w:i/>
          <w:sz w:val="24"/>
        </w:rPr>
        <w:t xml:space="preserve">combinação de negócios e da </w:t>
      </w:r>
      <w:r w:rsidR="00450E1E">
        <w:rPr>
          <w:i/>
          <w:sz w:val="24"/>
        </w:rPr>
        <w:t xml:space="preserve">divulgação do fato relevante sobre </w:t>
      </w:r>
      <w:r>
        <w:rPr>
          <w:i/>
          <w:sz w:val="24"/>
        </w:rPr>
        <w:t>concretização ou da aprovação de tal processo?</w:t>
      </w:r>
    </w:p>
    <w:p w:rsidR="002C61BA" w:rsidRPr="002C61BA" w:rsidRDefault="00D128FE" w:rsidP="0043394E">
      <w:pPr>
        <w:ind w:firstLine="709"/>
        <w:jc w:val="both"/>
        <w:rPr>
          <w:sz w:val="24"/>
        </w:rPr>
      </w:pPr>
      <w:r>
        <w:rPr>
          <w:sz w:val="24"/>
        </w:rPr>
        <w:t xml:space="preserve">O </w:t>
      </w:r>
      <w:r w:rsidRPr="00885185">
        <w:rPr>
          <w:i/>
          <w:sz w:val="24"/>
        </w:rPr>
        <w:t>IASB</w:t>
      </w:r>
      <w:r w:rsidR="00885185" w:rsidRPr="00885185">
        <w:rPr>
          <w:i/>
          <w:sz w:val="24"/>
        </w:rPr>
        <w:t xml:space="preserve"> (</w:t>
      </w:r>
      <w:proofErr w:type="spellStart"/>
      <w:r w:rsidR="00885185" w:rsidRPr="00885185">
        <w:rPr>
          <w:bCs/>
          <w:i/>
          <w:sz w:val="24"/>
        </w:rPr>
        <w:t>International</w:t>
      </w:r>
      <w:proofErr w:type="spellEnd"/>
      <w:r w:rsidR="00885185" w:rsidRPr="00885185">
        <w:rPr>
          <w:bCs/>
          <w:i/>
          <w:sz w:val="24"/>
        </w:rPr>
        <w:t xml:space="preserve"> </w:t>
      </w:r>
      <w:proofErr w:type="spellStart"/>
      <w:r w:rsidR="00885185" w:rsidRPr="00885185">
        <w:rPr>
          <w:bCs/>
          <w:i/>
          <w:sz w:val="24"/>
        </w:rPr>
        <w:t>Accounting</w:t>
      </w:r>
      <w:proofErr w:type="spellEnd"/>
      <w:r w:rsidR="00885185" w:rsidRPr="00885185">
        <w:rPr>
          <w:bCs/>
          <w:i/>
          <w:sz w:val="24"/>
        </w:rPr>
        <w:t xml:space="preserve"> Standards</w:t>
      </w:r>
      <w:r w:rsidR="00885185" w:rsidRPr="00885185">
        <w:rPr>
          <w:i/>
          <w:sz w:val="24"/>
        </w:rPr>
        <w:t> </w:t>
      </w:r>
      <w:proofErr w:type="spellStart"/>
      <w:r w:rsidR="00885185" w:rsidRPr="00885185">
        <w:rPr>
          <w:i/>
          <w:sz w:val="24"/>
        </w:rPr>
        <w:t>Board</w:t>
      </w:r>
      <w:proofErr w:type="spellEnd"/>
      <w:r w:rsidR="00885185">
        <w:rPr>
          <w:sz w:val="24"/>
        </w:rPr>
        <w:t>)</w:t>
      </w:r>
      <w:r>
        <w:rPr>
          <w:sz w:val="24"/>
        </w:rPr>
        <w:t xml:space="preserve"> em discussões sobre princípios de divulgação identificou três problemas relacionados à divulgação nas demonstrações financeiras: não há informação relevante, informação irrelevante e comunicação ineficiente. </w:t>
      </w:r>
      <w:r w:rsidR="002C61BA" w:rsidRPr="002C61BA">
        <w:rPr>
          <w:sz w:val="24"/>
        </w:rPr>
        <w:t>N</w:t>
      </w:r>
      <w:r w:rsidR="00977E29">
        <w:rPr>
          <w:sz w:val="24"/>
        </w:rPr>
        <w:t>o Brasil, a orientação do CPC, OCP 07 (CPC, 2014)</w:t>
      </w:r>
      <w:r w:rsidR="002C61BA" w:rsidRPr="002C61BA">
        <w:rPr>
          <w:sz w:val="24"/>
        </w:rPr>
        <w:t xml:space="preserve"> aduz que as informações relevantes devem ser divulgadas e que as informações não relevantes não devem ser divulgadas.</w:t>
      </w:r>
      <w:r w:rsidR="002C61BA">
        <w:rPr>
          <w:sz w:val="24"/>
        </w:rPr>
        <w:t xml:space="preserve"> </w:t>
      </w:r>
      <w:r w:rsidR="002C61BA" w:rsidRPr="002C61BA">
        <w:rPr>
          <w:sz w:val="24"/>
        </w:rPr>
        <w:t xml:space="preserve"> Conforme exposto, é nesse aspecto que se apre</w:t>
      </w:r>
      <w:r w:rsidR="005F13BF">
        <w:rPr>
          <w:sz w:val="24"/>
        </w:rPr>
        <w:t>senta o problema desta pesquisa, pois busca</w:t>
      </w:r>
      <w:r w:rsidR="00450E1E">
        <w:rPr>
          <w:sz w:val="24"/>
        </w:rPr>
        <w:t xml:space="preserve"> evidenciar </w:t>
      </w:r>
      <w:r w:rsidR="0053349E">
        <w:rPr>
          <w:sz w:val="24"/>
        </w:rPr>
        <w:t>se essa</w:t>
      </w:r>
      <w:r w:rsidR="005F13BF">
        <w:rPr>
          <w:sz w:val="24"/>
        </w:rPr>
        <w:t xml:space="preserve"> categoria de fato relevante possui ou não relevância para os investidores.</w:t>
      </w:r>
    </w:p>
    <w:p w:rsidR="00395BC6" w:rsidRPr="00FE6D6D" w:rsidRDefault="0000195C" w:rsidP="00FE6D6D">
      <w:pPr>
        <w:ind w:firstLine="709"/>
        <w:jc w:val="both"/>
      </w:pPr>
      <w:r>
        <w:rPr>
          <w:sz w:val="24"/>
        </w:rPr>
        <w:t>A presente pesquisa torna-se oportuna devido ao fato de que, na literatura acadêmica, não há consenso quanto à existência ou não de retorno anormal positivo quando do anúncio r</w:t>
      </w:r>
      <w:r w:rsidR="0053349E">
        <w:rPr>
          <w:sz w:val="24"/>
        </w:rPr>
        <w:t>elacionado</w:t>
      </w:r>
      <w:r>
        <w:rPr>
          <w:sz w:val="24"/>
        </w:rPr>
        <w:t xml:space="preserve"> à combinação de negócios. Além </w:t>
      </w:r>
      <w:r w:rsidR="0053349E">
        <w:rPr>
          <w:sz w:val="24"/>
        </w:rPr>
        <w:t>disso</w:t>
      </w:r>
      <w:r>
        <w:rPr>
          <w:sz w:val="24"/>
        </w:rPr>
        <w:t xml:space="preserve">, a literatura brasileira em finanças revela uma escassez de estudos envolvendo a observação de empresas que efetivamente concluíram os processos de fusões e aquisições (Leitão &amp; </w:t>
      </w:r>
      <w:proofErr w:type="spellStart"/>
      <w:r>
        <w:rPr>
          <w:sz w:val="24"/>
        </w:rPr>
        <w:t>Galli</w:t>
      </w:r>
      <w:proofErr w:type="spellEnd"/>
      <w:r>
        <w:rPr>
          <w:sz w:val="24"/>
        </w:rPr>
        <w:t>, 2014). Assim, percebe-se que o debate sobre a geração de valor nos anúncios das operações de combinações de negócios ainda permanece inconclusivo na literatura acadêmica (</w:t>
      </w:r>
      <w:proofErr w:type="spellStart"/>
      <w:r>
        <w:rPr>
          <w:sz w:val="24"/>
        </w:rPr>
        <w:t>Bergmann</w:t>
      </w:r>
      <w:proofErr w:type="spellEnd"/>
      <w:r>
        <w:rPr>
          <w:sz w:val="24"/>
        </w:rPr>
        <w:t xml:space="preserve">, </w:t>
      </w:r>
      <w:proofErr w:type="spellStart"/>
      <w:r>
        <w:rPr>
          <w:sz w:val="24"/>
        </w:rPr>
        <w:t>Savoia</w:t>
      </w:r>
      <w:proofErr w:type="spellEnd"/>
      <w:r>
        <w:rPr>
          <w:sz w:val="24"/>
        </w:rPr>
        <w:t xml:space="preserve">, &amp; Souza, 2015). </w:t>
      </w:r>
    </w:p>
    <w:p w:rsidR="00395BC6" w:rsidRPr="00395BC6" w:rsidRDefault="0000195C" w:rsidP="00395BC6">
      <w:pPr>
        <w:jc w:val="both"/>
        <w:rPr>
          <w:rFonts w:ascii="Calibri" w:hAnsi="Calibri"/>
          <w:sz w:val="22"/>
        </w:rPr>
      </w:pPr>
      <w:proofErr w:type="gramStart"/>
      <w:r w:rsidRPr="00677648">
        <w:rPr>
          <w:b/>
          <w:sz w:val="24"/>
        </w:rPr>
        <w:t>2</w:t>
      </w:r>
      <w:proofErr w:type="gramEnd"/>
      <w:r w:rsidRPr="00677648">
        <w:rPr>
          <w:b/>
          <w:sz w:val="24"/>
        </w:rPr>
        <w:t xml:space="preserve">  REVISÃO DA LITERATURA</w:t>
      </w:r>
    </w:p>
    <w:p w:rsidR="00395BC6" w:rsidRPr="00395BC6" w:rsidRDefault="0000195C" w:rsidP="00395BC6">
      <w:pPr>
        <w:jc w:val="both"/>
      </w:pPr>
      <w:proofErr w:type="gramStart"/>
      <w:r>
        <w:rPr>
          <w:b/>
          <w:sz w:val="24"/>
        </w:rPr>
        <w:t>2.1 HIPÓTESE</w:t>
      </w:r>
      <w:proofErr w:type="gramEnd"/>
      <w:r>
        <w:rPr>
          <w:b/>
          <w:sz w:val="24"/>
        </w:rPr>
        <w:t xml:space="preserve"> DE EFICIÊNCIA DE MERCADO E ASSIMETRIA INFORMACIONAL</w:t>
      </w:r>
    </w:p>
    <w:p w:rsidR="0000195C" w:rsidRDefault="00FC770B" w:rsidP="0043394E">
      <w:pPr>
        <w:ind w:firstLine="709"/>
        <w:jc w:val="both"/>
      </w:pPr>
      <w:r>
        <w:rPr>
          <w:sz w:val="24"/>
        </w:rPr>
        <w:t>Um dos elementos utilizados para verificar a HME (Hipótese de Eficiênci</w:t>
      </w:r>
      <w:r w:rsidR="00DE02D0">
        <w:rPr>
          <w:sz w:val="24"/>
        </w:rPr>
        <w:t>a de Mercado) em sua forma semi</w:t>
      </w:r>
      <w:r>
        <w:rPr>
          <w:sz w:val="24"/>
        </w:rPr>
        <w:t>forte é a divulgação do fato relevante</w:t>
      </w:r>
      <w:r w:rsidR="007E6B0C">
        <w:rPr>
          <w:sz w:val="24"/>
        </w:rPr>
        <w:t xml:space="preserve"> (Alves, 2011)</w:t>
      </w:r>
      <w:r>
        <w:rPr>
          <w:sz w:val="24"/>
        </w:rPr>
        <w:t xml:space="preserve">. </w:t>
      </w:r>
      <w:r w:rsidR="0000195C">
        <w:rPr>
          <w:sz w:val="24"/>
        </w:rPr>
        <w:t>Para o mercado de capitais, o trabalho seminal de Fama (1970) corroborou o desenvolvimento de pesquisas relacionadas</w:t>
      </w:r>
      <w:r w:rsidR="00AF3C0E">
        <w:rPr>
          <w:sz w:val="24"/>
        </w:rPr>
        <w:t xml:space="preserve"> </w:t>
      </w:r>
      <w:proofErr w:type="gramStart"/>
      <w:r w:rsidR="00AF3C0E">
        <w:rPr>
          <w:sz w:val="24"/>
        </w:rPr>
        <w:t>à</w:t>
      </w:r>
      <w:proofErr w:type="gramEnd"/>
      <w:r w:rsidR="00AF3C0E">
        <w:rPr>
          <w:sz w:val="24"/>
        </w:rPr>
        <w:t xml:space="preserve"> essa temática</w:t>
      </w:r>
      <w:r w:rsidR="0000195C">
        <w:rPr>
          <w:sz w:val="24"/>
        </w:rPr>
        <w:t>. Para o autor, o desenvolvimento do mercado de capitais permite a formação de subsídios para</w:t>
      </w:r>
      <w:r w:rsidR="00AF3C0E">
        <w:rPr>
          <w:sz w:val="24"/>
        </w:rPr>
        <w:t xml:space="preserve"> a</w:t>
      </w:r>
      <w:r w:rsidR="0000195C">
        <w:rPr>
          <w:sz w:val="24"/>
        </w:rPr>
        <w:t xml:space="preserve"> precificação dos títulos negociados</w:t>
      </w:r>
      <w:r w:rsidR="00AF3C0E">
        <w:rPr>
          <w:sz w:val="24"/>
        </w:rPr>
        <w:t>, a qual reflete</w:t>
      </w:r>
      <w:r w:rsidR="0000195C">
        <w:rPr>
          <w:sz w:val="24"/>
        </w:rPr>
        <w:t xml:space="preserve"> todas as informações disponíveis. A fim de que isso ocorra, no entanto, é </w:t>
      </w:r>
      <w:proofErr w:type="gramStart"/>
      <w:r w:rsidR="0000195C">
        <w:rPr>
          <w:sz w:val="24"/>
        </w:rPr>
        <w:t>necessário que as expectativas dos investidores sejam</w:t>
      </w:r>
      <w:proofErr w:type="gramEnd"/>
      <w:r w:rsidR="0000195C">
        <w:rPr>
          <w:sz w:val="24"/>
        </w:rPr>
        <w:t xml:space="preserve"> a obtenção de um retorno normal, inexistindo ganhos anormais (Belo &amp; Brasil, 2006). </w:t>
      </w:r>
    </w:p>
    <w:p w:rsidR="0000195C" w:rsidRDefault="0000195C" w:rsidP="0043394E">
      <w:pPr>
        <w:ind w:firstLine="709"/>
        <w:jc w:val="both"/>
      </w:pPr>
      <w:r>
        <w:rPr>
          <w:sz w:val="24"/>
        </w:rPr>
        <w:t>A HM</w:t>
      </w:r>
      <w:r w:rsidR="00AF3C0E">
        <w:rPr>
          <w:sz w:val="24"/>
        </w:rPr>
        <w:t>E</w:t>
      </w:r>
      <w:r>
        <w:rPr>
          <w:sz w:val="24"/>
        </w:rPr>
        <w:t xml:space="preserve"> impulsionou as pesquisas empíricas, além de ter sido importante para a evolução de pesquisas em contabilidade,</w:t>
      </w:r>
      <w:r w:rsidR="00AF3C0E">
        <w:rPr>
          <w:sz w:val="24"/>
        </w:rPr>
        <w:t xml:space="preserve"> visto que propiciou a</w:t>
      </w:r>
      <w:r>
        <w:rPr>
          <w:sz w:val="24"/>
        </w:rPr>
        <w:t xml:space="preserve"> disseminação da teoria e da metodologia positiva na área contábil (Watts &amp; </w:t>
      </w:r>
      <w:proofErr w:type="spellStart"/>
      <w:r>
        <w:rPr>
          <w:sz w:val="24"/>
        </w:rPr>
        <w:t>Zimmerman</w:t>
      </w:r>
      <w:proofErr w:type="spellEnd"/>
      <w:r>
        <w:rPr>
          <w:sz w:val="24"/>
        </w:rPr>
        <w:t xml:space="preserve">, 1978). A eficiência </w:t>
      </w:r>
      <w:r>
        <w:rPr>
          <w:sz w:val="24"/>
        </w:rPr>
        <w:lastRenderedPageBreak/>
        <w:t>informacional está relacionada com a velocidade com que a informação é</w:t>
      </w:r>
      <w:r w:rsidR="00AF3C0E">
        <w:rPr>
          <w:sz w:val="24"/>
        </w:rPr>
        <w:t xml:space="preserve"> captada pelo mercado, refletida no</w:t>
      </w:r>
      <w:r>
        <w:rPr>
          <w:sz w:val="24"/>
        </w:rPr>
        <w:t xml:space="preserve"> preço da ação, ou seja, a eficiência de mercado está relacionada à capacidade e à velocidade com que o mercado reage à determinada informação divulgada (</w:t>
      </w:r>
      <w:proofErr w:type="spellStart"/>
      <w:r>
        <w:rPr>
          <w:sz w:val="24"/>
        </w:rPr>
        <w:t>Camargos</w:t>
      </w:r>
      <w:proofErr w:type="spellEnd"/>
      <w:r>
        <w:rPr>
          <w:sz w:val="24"/>
        </w:rPr>
        <w:t xml:space="preserve"> &amp; Barbosa, 2003).  </w:t>
      </w:r>
    </w:p>
    <w:p w:rsidR="0000195C" w:rsidRDefault="0000195C" w:rsidP="0043394E">
      <w:pPr>
        <w:ind w:firstLine="709"/>
        <w:jc w:val="both"/>
      </w:pPr>
      <w:r>
        <w:rPr>
          <w:sz w:val="24"/>
        </w:rPr>
        <w:t>As oscilações de mercado ocorrem no mundo inteiro e isso reflete na variab</w:t>
      </w:r>
      <w:r w:rsidR="00615A7E">
        <w:rPr>
          <w:sz w:val="24"/>
        </w:rPr>
        <w:t>ilidade dos preços das ações (Matos</w:t>
      </w:r>
      <w:r>
        <w:rPr>
          <w:sz w:val="24"/>
        </w:rPr>
        <w:t xml:space="preserve">, 2016). Araújo e Leite (2012) salientam que, de acordo com a HME, os preços devem refletir todas as informações disponíveis. Para Matos (2016), os momentos de grandes incertezas conduzem à ampliação da volatilidade dos preços, pois, admitindo a eficiência do mercado, as notícias seriam logo incorporadas aos preços das ações. </w:t>
      </w:r>
    </w:p>
    <w:p w:rsidR="0000195C" w:rsidRDefault="0000195C" w:rsidP="0043394E">
      <w:pPr>
        <w:ind w:firstLine="709"/>
        <w:jc w:val="both"/>
      </w:pPr>
      <w:r>
        <w:rPr>
          <w:sz w:val="24"/>
        </w:rPr>
        <w:t xml:space="preserve">Fama (1970) define a HME em três formas: forma fraca, forma semiforte e forma forte. Ao nível de eficiência fraca, os preços dos ativos incorporam o histórico de precificação daquele título, impossibilitando ganhos que sejam fundamentados em técnicas de negociação </w:t>
      </w:r>
      <w:r w:rsidR="00450E1E">
        <w:rPr>
          <w:sz w:val="24"/>
        </w:rPr>
        <w:t xml:space="preserve">embasadas nos valores </w:t>
      </w:r>
      <w:r>
        <w:rPr>
          <w:sz w:val="24"/>
        </w:rPr>
        <w:t xml:space="preserve">passados das ações (Silva &amp; </w:t>
      </w:r>
      <w:proofErr w:type="spellStart"/>
      <w:r>
        <w:rPr>
          <w:sz w:val="24"/>
        </w:rPr>
        <w:t>Famá</w:t>
      </w:r>
      <w:proofErr w:type="spellEnd"/>
      <w:r>
        <w:rPr>
          <w:sz w:val="24"/>
        </w:rPr>
        <w:t>, 2011). Já na forma de eficiência semiforte, os preços dos títulos têm referência nos preços pretéritos, correntes, bem como informações contábeis e não contábeis, salvo as privadas (Cardoso &amp; Martins, 2012). E por último, na eficiência forte, todas as informações relevantes estão presentes no preço dos títulos, inclusive informações privadas (Barbosa,</w:t>
      </w:r>
      <w:r w:rsidR="00BE3603">
        <w:rPr>
          <w:sz w:val="24"/>
        </w:rPr>
        <w:t xml:space="preserve"> </w:t>
      </w:r>
      <w:proofErr w:type="spellStart"/>
      <w:r w:rsidR="00BE3603">
        <w:rPr>
          <w:sz w:val="24"/>
        </w:rPr>
        <w:t>Altoé</w:t>
      </w:r>
      <w:proofErr w:type="spellEnd"/>
      <w:r w:rsidR="00BE3603">
        <w:rPr>
          <w:sz w:val="24"/>
        </w:rPr>
        <w:t xml:space="preserve">, Silva; &amp; Almeida, </w:t>
      </w:r>
      <w:r>
        <w:rPr>
          <w:sz w:val="24"/>
        </w:rPr>
        <w:t>2013; Cardoso &amp; Martins, 2012). Fama (1991) aprimorou a HM</w:t>
      </w:r>
      <w:r w:rsidR="00FC2ECB">
        <w:rPr>
          <w:sz w:val="24"/>
        </w:rPr>
        <w:t>E</w:t>
      </w:r>
      <w:r>
        <w:rPr>
          <w:sz w:val="24"/>
        </w:rPr>
        <w:t xml:space="preserve"> em sua nova pesquisa, </w:t>
      </w:r>
      <w:proofErr w:type="gramStart"/>
      <w:r>
        <w:rPr>
          <w:sz w:val="24"/>
        </w:rPr>
        <w:t>implementando</w:t>
      </w:r>
      <w:proofErr w:type="gramEnd"/>
      <w:r>
        <w:rPr>
          <w:sz w:val="24"/>
        </w:rPr>
        <w:t xml:space="preserve"> algumas alterações nas formas de eficiência de mercado, conforme o quadro que segue:</w:t>
      </w:r>
    </w:p>
    <w:p w:rsidR="0000195C" w:rsidRDefault="00885185" w:rsidP="00885185">
      <w:pPr>
        <w:ind w:left="142"/>
        <w:jc w:val="both"/>
      </w:pPr>
      <w:r>
        <w:rPr>
          <w:b/>
        </w:rPr>
        <w:t>Quadro</w:t>
      </w:r>
      <w:r w:rsidR="0000195C">
        <w:rPr>
          <w:b/>
        </w:rPr>
        <w:t xml:space="preserve"> 1 - </w:t>
      </w:r>
      <w:r w:rsidR="0000195C">
        <w:t>Formas de Eficiência de Mercado</w:t>
      </w:r>
    </w:p>
    <w:tbl>
      <w:tblPr>
        <w:tblW w:w="8788" w:type="dxa"/>
        <w:jc w:val="center"/>
        <w:tblInd w:w="50" w:type="dxa"/>
        <w:tblLayout w:type="fixed"/>
        <w:tblCellMar>
          <w:left w:w="70" w:type="dxa"/>
          <w:right w:w="70" w:type="dxa"/>
        </w:tblCellMar>
        <w:tblLook w:val="0000"/>
      </w:tblPr>
      <w:tblGrid>
        <w:gridCol w:w="1671"/>
        <w:gridCol w:w="5671"/>
        <w:gridCol w:w="1446"/>
      </w:tblGrid>
      <w:tr w:rsidR="0000195C" w:rsidTr="00380DF0">
        <w:trPr>
          <w:trHeight w:val="256"/>
          <w:jc w:val="center"/>
        </w:trPr>
        <w:tc>
          <w:tcPr>
            <w:tcW w:w="1671" w:type="dxa"/>
            <w:tcBorders>
              <w:top w:val="single" w:sz="4" w:space="0" w:color="000000"/>
              <w:left w:val="single" w:sz="4" w:space="0" w:color="000000"/>
              <w:bottom w:val="single" w:sz="4" w:space="0" w:color="000000"/>
            </w:tcBorders>
            <w:shd w:val="clear" w:color="auto" w:fill="auto"/>
            <w:vAlign w:val="center"/>
          </w:tcPr>
          <w:p w:rsidR="0000195C" w:rsidRDefault="0000195C" w:rsidP="00380DF0">
            <w:pPr>
              <w:jc w:val="center"/>
            </w:pPr>
            <w:r>
              <w:rPr>
                <w:b/>
                <w:bCs/>
                <w:color w:val="000000"/>
              </w:rPr>
              <w:t>Classificação antiga</w:t>
            </w:r>
          </w:p>
        </w:tc>
        <w:tc>
          <w:tcPr>
            <w:tcW w:w="5671" w:type="dxa"/>
            <w:tcBorders>
              <w:top w:val="single" w:sz="4" w:space="0" w:color="000000"/>
              <w:left w:val="single" w:sz="4" w:space="0" w:color="000000"/>
              <w:bottom w:val="single" w:sz="4" w:space="0" w:color="000000"/>
            </w:tcBorders>
            <w:shd w:val="clear" w:color="auto" w:fill="auto"/>
            <w:vAlign w:val="center"/>
          </w:tcPr>
          <w:p w:rsidR="0000195C" w:rsidRDefault="0000195C" w:rsidP="00380DF0">
            <w:pPr>
              <w:jc w:val="center"/>
            </w:pPr>
            <w:r>
              <w:rPr>
                <w:b/>
                <w:bCs/>
                <w:color w:val="000000"/>
              </w:rPr>
              <w:t>Descrição</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195C" w:rsidRDefault="0000195C" w:rsidP="00380DF0">
            <w:pPr>
              <w:jc w:val="center"/>
            </w:pPr>
            <w:r>
              <w:rPr>
                <w:b/>
                <w:bCs/>
                <w:color w:val="000000"/>
              </w:rPr>
              <w:t>Classificação Nova</w:t>
            </w:r>
          </w:p>
        </w:tc>
      </w:tr>
      <w:tr w:rsidR="0000195C" w:rsidTr="00380DF0">
        <w:trPr>
          <w:trHeight w:val="1024"/>
          <w:jc w:val="center"/>
        </w:trPr>
        <w:tc>
          <w:tcPr>
            <w:tcW w:w="1671" w:type="dxa"/>
            <w:tcBorders>
              <w:top w:val="none" w:sz="0" w:space="0" w:color="000000"/>
              <w:left w:val="single" w:sz="4" w:space="0" w:color="000000"/>
              <w:bottom w:val="single" w:sz="4" w:space="0" w:color="000000"/>
            </w:tcBorders>
            <w:shd w:val="clear" w:color="auto" w:fill="auto"/>
            <w:vAlign w:val="center"/>
          </w:tcPr>
          <w:p w:rsidR="0000195C" w:rsidRDefault="0000195C" w:rsidP="00123431">
            <w:pPr>
              <w:jc w:val="both"/>
            </w:pPr>
            <w:r>
              <w:rPr>
                <w:b/>
                <w:bCs/>
                <w:color w:val="000000"/>
              </w:rPr>
              <w:t>Forma Fraca</w:t>
            </w:r>
          </w:p>
        </w:tc>
        <w:tc>
          <w:tcPr>
            <w:tcW w:w="5671" w:type="dxa"/>
            <w:tcBorders>
              <w:top w:val="none" w:sz="0" w:space="0" w:color="000000"/>
              <w:left w:val="single" w:sz="4" w:space="0" w:color="000000"/>
              <w:bottom w:val="single" w:sz="4" w:space="0" w:color="000000"/>
            </w:tcBorders>
            <w:shd w:val="clear" w:color="auto" w:fill="auto"/>
            <w:vAlign w:val="center"/>
          </w:tcPr>
          <w:p w:rsidR="0000195C" w:rsidRDefault="0000195C" w:rsidP="00123431">
            <w:pPr>
              <w:jc w:val="both"/>
            </w:pPr>
            <w:r>
              <w:rPr>
                <w:color w:val="000000"/>
              </w:rPr>
              <w:t>O mercado incorpora completamente as informações sobre os títulos, ou seja, os retornos anormais (acima da média de mercado) não poderiam ser obtidos com base nas expectativas de que os preços passados são bons sinalizadores do futuro.</w:t>
            </w:r>
          </w:p>
        </w:tc>
        <w:tc>
          <w:tcPr>
            <w:tcW w:w="1446" w:type="dxa"/>
            <w:tcBorders>
              <w:top w:val="none" w:sz="0" w:space="0" w:color="000000"/>
              <w:left w:val="single" w:sz="4" w:space="0" w:color="000000"/>
              <w:bottom w:val="single" w:sz="4" w:space="0" w:color="000000"/>
              <w:right w:val="single" w:sz="4" w:space="0" w:color="000000"/>
            </w:tcBorders>
            <w:shd w:val="clear" w:color="auto" w:fill="auto"/>
            <w:vAlign w:val="center"/>
          </w:tcPr>
          <w:p w:rsidR="0000195C" w:rsidRDefault="0000195C" w:rsidP="00380DF0">
            <w:pPr>
              <w:tabs>
                <w:tab w:val="left" w:pos="199"/>
              </w:tabs>
              <w:ind w:left="-85" w:firstLine="85"/>
              <w:jc w:val="center"/>
            </w:pPr>
            <w:r>
              <w:rPr>
                <w:b/>
                <w:bCs/>
                <w:color w:val="000000"/>
              </w:rPr>
              <w:t>Previsibilidade de retornos passados</w:t>
            </w:r>
          </w:p>
        </w:tc>
      </w:tr>
      <w:tr w:rsidR="0000195C" w:rsidTr="00380DF0">
        <w:trPr>
          <w:trHeight w:val="1024"/>
          <w:jc w:val="center"/>
        </w:trPr>
        <w:tc>
          <w:tcPr>
            <w:tcW w:w="1671" w:type="dxa"/>
            <w:tcBorders>
              <w:top w:val="none" w:sz="0" w:space="0" w:color="000000"/>
              <w:left w:val="single" w:sz="4" w:space="0" w:color="000000"/>
              <w:bottom w:val="single" w:sz="4" w:space="0" w:color="000000"/>
            </w:tcBorders>
            <w:shd w:val="clear" w:color="auto" w:fill="auto"/>
            <w:vAlign w:val="center"/>
          </w:tcPr>
          <w:p w:rsidR="0000195C" w:rsidRDefault="0000195C" w:rsidP="00123431">
            <w:pPr>
              <w:jc w:val="both"/>
            </w:pPr>
            <w:r>
              <w:rPr>
                <w:b/>
                <w:bCs/>
                <w:color w:val="000000"/>
              </w:rPr>
              <w:t>Forma Semiforte</w:t>
            </w:r>
          </w:p>
        </w:tc>
        <w:tc>
          <w:tcPr>
            <w:tcW w:w="5671" w:type="dxa"/>
            <w:tcBorders>
              <w:top w:val="none" w:sz="0" w:space="0" w:color="000000"/>
              <w:left w:val="single" w:sz="4" w:space="0" w:color="000000"/>
              <w:bottom w:val="single" w:sz="4" w:space="0" w:color="000000"/>
            </w:tcBorders>
            <w:shd w:val="clear" w:color="auto" w:fill="auto"/>
            <w:vAlign w:val="center"/>
          </w:tcPr>
          <w:p w:rsidR="0000195C" w:rsidRDefault="0000195C" w:rsidP="00123431">
            <w:pPr>
              <w:jc w:val="both"/>
            </w:pPr>
            <w:r>
              <w:rPr>
                <w:color w:val="000000"/>
              </w:rPr>
              <w:t>Os preços refletem não apenas o histórico do comportamento dos preços, como também toda a informação pública, tais como balanço das companhias, notícias na imprensa, comunicados de fatos relevantes, entre outros.</w:t>
            </w:r>
          </w:p>
        </w:tc>
        <w:tc>
          <w:tcPr>
            <w:tcW w:w="1446" w:type="dxa"/>
            <w:tcBorders>
              <w:top w:val="none" w:sz="0" w:space="0" w:color="000000"/>
              <w:left w:val="single" w:sz="4" w:space="0" w:color="000000"/>
              <w:bottom w:val="single" w:sz="4" w:space="0" w:color="000000"/>
              <w:right w:val="single" w:sz="4" w:space="0" w:color="000000"/>
            </w:tcBorders>
            <w:shd w:val="clear" w:color="auto" w:fill="auto"/>
            <w:vAlign w:val="center"/>
          </w:tcPr>
          <w:p w:rsidR="0000195C" w:rsidRDefault="0000195C" w:rsidP="00FE6D6D">
            <w:pPr>
              <w:jc w:val="center"/>
            </w:pPr>
            <w:r>
              <w:rPr>
                <w:b/>
                <w:bCs/>
                <w:color w:val="000000"/>
              </w:rPr>
              <w:t>Estudo de Eventos</w:t>
            </w:r>
          </w:p>
        </w:tc>
      </w:tr>
      <w:tr w:rsidR="0000195C" w:rsidTr="00380DF0">
        <w:trPr>
          <w:trHeight w:val="768"/>
          <w:jc w:val="center"/>
        </w:trPr>
        <w:tc>
          <w:tcPr>
            <w:tcW w:w="1671" w:type="dxa"/>
            <w:tcBorders>
              <w:top w:val="none" w:sz="0" w:space="0" w:color="000000"/>
              <w:left w:val="single" w:sz="4" w:space="0" w:color="000000"/>
              <w:bottom w:val="single" w:sz="4" w:space="0" w:color="000000"/>
            </w:tcBorders>
            <w:shd w:val="clear" w:color="auto" w:fill="auto"/>
            <w:vAlign w:val="center"/>
          </w:tcPr>
          <w:p w:rsidR="0000195C" w:rsidRDefault="0000195C" w:rsidP="00123431">
            <w:pPr>
              <w:jc w:val="both"/>
            </w:pPr>
            <w:r>
              <w:rPr>
                <w:b/>
                <w:bCs/>
                <w:color w:val="000000"/>
              </w:rPr>
              <w:t>Forma Forte</w:t>
            </w:r>
          </w:p>
        </w:tc>
        <w:tc>
          <w:tcPr>
            <w:tcW w:w="5671" w:type="dxa"/>
            <w:tcBorders>
              <w:top w:val="none" w:sz="0" w:space="0" w:color="000000"/>
              <w:left w:val="single" w:sz="4" w:space="0" w:color="000000"/>
              <w:bottom w:val="single" w:sz="4" w:space="0" w:color="000000"/>
            </w:tcBorders>
            <w:shd w:val="clear" w:color="auto" w:fill="auto"/>
            <w:vAlign w:val="center"/>
          </w:tcPr>
          <w:p w:rsidR="0000195C" w:rsidRDefault="0000195C" w:rsidP="00123431">
            <w:pPr>
              <w:jc w:val="both"/>
            </w:pPr>
            <w:r>
              <w:rPr>
                <w:color w:val="000000"/>
              </w:rPr>
              <w:t xml:space="preserve">Além das informações mencionadas anteriormente (histórico dos preços e informações públicas), os preços refletem as informações não públicas (privadas). </w:t>
            </w:r>
          </w:p>
        </w:tc>
        <w:tc>
          <w:tcPr>
            <w:tcW w:w="1446" w:type="dxa"/>
            <w:tcBorders>
              <w:top w:val="none" w:sz="0" w:space="0" w:color="000000"/>
              <w:left w:val="single" w:sz="4" w:space="0" w:color="000000"/>
              <w:bottom w:val="single" w:sz="4" w:space="0" w:color="000000"/>
              <w:right w:val="single" w:sz="4" w:space="0" w:color="000000"/>
            </w:tcBorders>
            <w:shd w:val="clear" w:color="auto" w:fill="auto"/>
            <w:vAlign w:val="center"/>
          </w:tcPr>
          <w:p w:rsidR="0000195C" w:rsidRDefault="0000195C" w:rsidP="00FE6D6D">
            <w:pPr>
              <w:jc w:val="center"/>
            </w:pPr>
            <w:r>
              <w:rPr>
                <w:b/>
                <w:bCs/>
                <w:color w:val="000000"/>
              </w:rPr>
              <w:t>Teste de Informação Privada</w:t>
            </w:r>
          </w:p>
        </w:tc>
      </w:tr>
    </w:tbl>
    <w:p w:rsidR="0000195C" w:rsidRDefault="00885185" w:rsidP="0000195C">
      <w:pPr>
        <w:jc w:val="both"/>
      </w:pPr>
      <w:r>
        <w:rPr>
          <w:b/>
        </w:rPr>
        <w:t xml:space="preserve">  </w:t>
      </w:r>
      <w:r w:rsidR="0000195C">
        <w:rPr>
          <w:b/>
        </w:rPr>
        <w:t>Fonte</w:t>
      </w:r>
      <w:r w:rsidR="0000195C">
        <w:t xml:space="preserve">: Adaptado de Fama (1970, 1991) </w:t>
      </w:r>
      <w:r w:rsidR="0000195C">
        <w:rPr>
          <w:i/>
        </w:rPr>
        <w:t>apud</w:t>
      </w:r>
      <w:r w:rsidR="0000195C">
        <w:t xml:space="preserve"> </w:t>
      </w:r>
      <w:r w:rsidR="00AB439A">
        <w:t xml:space="preserve">Terra </w:t>
      </w:r>
      <w:r w:rsidR="00AB439A">
        <w:rPr>
          <w:sz w:val="24"/>
        </w:rPr>
        <w:t xml:space="preserve">&amp; </w:t>
      </w:r>
      <w:proofErr w:type="gramStart"/>
      <w:r w:rsidR="0000195C">
        <w:t>Lima(</w:t>
      </w:r>
      <w:proofErr w:type="gramEnd"/>
      <w:r w:rsidR="0000195C">
        <w:t>200</w:t>
      </w:r>
      <w:r w:rsidR="00214695">
        <w:t>6</w:t>
      </w:r>
      <w:r w:rsidR="0000195C">
        <w:t>).</w:t>
      </w:r>
    </w:p>
    <w:p w:rsidR="0000195C" w:rsidRDefault="0000195C" w:rsidP="0043394E">
      <w:pPr>
        <w:ind w:firstLine="709"/>
        <w:jc w:val="both"/>
      </w:pPr>
      <w:r>
        <w:rPr>
          <w:sz w:val="24"/>
        </w:rPr>
        <w:t>A base da HME</w:t>
      </w:r>
      <w:r w:rsidR="00DE02D0">
        <w:rPr>
          <w:sz w:val="24"/>
        </w:rPr>
        <w:t xml:space="preserve"> na forma semi</w:t>
      </w:r>
      <w:r w:rsidR="00FC2ECB">
        <w:rPr>
          <w:sz w:val="24"/>
        </w:rPr>
        <w:t>forte</w:t>
      </w:r>
      <w:r>
        <w:rPr>
          <w:sz w:val="24"/>
        </w:rPr>
        <w:t xml:space="preserve"> está na afirmativa de que os preços de um ativo refletem as informações disponíveis sobre a instituição emissora, impossibilitando ao investidor qualquer tipo de ganho anormal (</w:t>
      </w:r>
      <w:proofErr w:type="spellStart"/>
      <w:r>
        <w:rPr>
          <w:sz w:val="24"/>
        </w:rPr>
        <w:t>Mussa</w:t>
      </w:r>
      <w:proofErr w:type="spellEnd"/>
      <w:r>
        <w:rPr>
          <w:sz w:val="24"/>
        </w:rPr>
        <w:t xml:space="preserve">, Yang, Trovão, &amp; </w:t>
      </w:r>
      <w:proofErr w:type="spellStart"/>
      <w:r>
        <w:rPr>
          <w:sz w:val="24"/>
        </w:rPr>
        <w:t>Famá</w:t>
      </w:r>
      <w:proofErr w:type="spellEnd"/>
      <w:r>
        <w:rPr>
          <w:sz w:val="24"/>
        </w:rPr>
        <w:t>,</w:t>
      </w:r>
      <w:r w:rsidR="00FC2ECB">
        <w:rPr>
          <w:sz w:val="24"/>
        </w:rPr>
        <w:t xml:space="preserve"> 2008). O conceito inerente </w:t>
      </w:r>
      <w:proofErr w:type="gramStart"/>
      <w:r w:rsidR="00FC2ECB">
        <w:rPr>
          <w:sz w:val="24"/>
        </w:rPr>
        <w:t>à</w:t>
      </w:r>
      <w:proofErr w:type="gramEnd"/>
      <w:r w:rsidR="00FC2ECB">
        <w:rPr>
          <w:sz w:val="24"/>
        </w:rPr>
        <w:t xml:space="preserve"> essa classificação</w:t>
      </w:r>
      <w:r>
        <w:rPr>
          <w:sz w:val="24"/>
        </w:rPr>
        <w:t xml:space="preserve"> tal como inicialmente enquadrado em e</w:t>
      </w:r>
      <w:r w:rsidR="00FC2ECB">
        <w:rPr>
          <w:sz w:val="24"/>
        </w:rPr>
        <w:t>conomia e f</w:t>
      </w:r>
      <w:r>
        <w:rPr>
          <w:sz w:val="24"/>
        </w:rPr>
        <w:t>inanças, caracteriza-se como uma teoria sobre a eficiência relativa em que a informação pública</w:t>
      </w:r>
      <w:r w:rsidR="00FC2ECB">
        <w:rPr>
          <w:sz w:val="24"/>
        </w:rPr>
        <w:t xml:space="preserve"> é refletida</w:t>
      </w:r>
      <w:r>
        <w:rPr>
          <w:sz w:val="24"/>
        </w:rPr>
        <w:t xml:space="preserve">  imediatamen</w:t>
      </w:r>
      <w:r w:rsidR="00885185">
        <w:rPr>
          <w:sz w:val="24"/>
        </w:rPr>
        <w:t xml:space="preserve">te em preços de mercado (Gilson &amp; </w:t>
      </w:r>
      <w:proofErr w:type="spellStart"/>
      <w:r w:rsidR="007E6B0C">
        <w:rPr>
          <w:sz w:val="24"/>
        </w:rPr>
        <w:t>Kraakman</w:t>
      </w:r>
      <w:proofErr w:type="spellEnd"/>
      <w:r w:rsidR="007E6B0C">
        <w:rPr>
          <w:sz w:val="24"/>
        </w:rPr>
        <w:t>, 2014). P</w:t>
      </w:r>
      <w:r>
        <w:rPr>
          <w:sz w:val="24"/>
        </w:rPr>
        <w:t xml:space="preserve">ara </w:t>
      </w:r>
      <w:proofErr w:type="spellStart"/>
      <w:r>
        <w:rPr>
          <w:sz w:val="24"/>
        </w:rPr>
        <w:t>Lanzana</w:t>
      </w:r>
      <w:proofErr w:type="spellEnd"/>
      <w:r>
        <w:rPr>
          <w:sz w:val="24"/>
        </w:rPr>
        <w:t xml:space="preserve"> (2005), a abertura (ou </w:t>
      </w:r>
      <w:proofErr w:type="spellStart"/>
      <w:r>
        <w:rPr>
          <w:i/>
          <w:sz w:val="24"/>
        </w:rPr>
        <w:t>disclosure</w:t>
      </w:r>
      <w:proofErr w:type="spellEnd"/>
      <w:r>
        <w:rPr>
          <w:sz w:val="24"/>
        </w:rPr>
        <w:t>) é um fator crítico para o funcionamento de um mercado de capitais eficiente. Além do mais, outros fatores podem interferir na HM</w:t>
      </w:r>
      <w:r w:rsidR="00FC2ECB">
        <w:rPr>
          <w:sz w:val="24"/>
        </w:rPr>
        <w:t>E</w:t>
      </w:r>
      <w:r>
        <w:rPr>
          <w:sz w:val="24"/>
        </w:rPr>
        <w:t>, caso da assimetria informacional.</w:t>
      </w:r>
    </w:p>
    <w:p w:rsidR="0000195C" w:rsidRDefault="0000195C" w:rsidP="0043394E">
      <w:pPr>
        <w:ind w:firstLine="709"/>
        <w:jc w:val="both"/>
        <w:rPr>
          <w:sz w:val="24"/>
        </w:rPr>
      </w:pPr>
      <w:r>
        <w:rPr>
          <w:sz w:val="24"/>
        </w:rPr>
        <w:t xml:space="preserve">A assimetria informacional ocasiona os conflitos de agência. Uma relação de agência é um contrato no qual uma ou mais pessoas (o principal) engajam outra pessoa (o agente) para desempenhar alguma tarefa em seu favor, envolvendo a delegação de autoridade para a tomada de decisão pelo agente (Jensen &amp; </w:t>
      </w:r>
      <w:proofErr w:type="spellStart"/>
      <w:r>
        <w:rPr>
          <w:sz w:val="24"/>
        </w:rPr>
        <w:t>Meckling</w:t>
      </w:r>
      <w:proofErr w:type="spellEnd"/>
      <w:r>
        <w:rPr>
          <w:sz w:val="24"/>
        </w:rPr>
        <w:t>, 1976). Diante isso, pode-se dizer que há uma relação de agência entre acionistas e gestores, haja vista que os gestores detêm mais informações que os acionistas, bem como têm a discricionariedade de divulgar ou não o fato relevante.</w:t>
      </w:r>
      <w:r w:rsidR="00FC2ECB">
        <w:rPr>
          <w:sz w:val="24"/>
        </w:rPr>
        <w:t xml:space="preserve"> Nesse contexto, a</w:t>
      </w:r>
      <w:r>
        <w:rPr>
          <w:sz w:val="24"/>
        </w:rPr>
        <w:t xml:space="preserve"> divulgação dos fatos relevantes,</w:t>
      </w:r>
      <w:r w:rsidR="00FC2ECB">
        <w:rPr>
          <w:sz w:val="24"/>
        </w:rPr>
        <w:t xml:space="preserve"> estabelecida pelos reguladores dos</w:t>
      </w:r>
      <w:r w:rsidR="00252026">
        <w:rPr>
          <w:sz w:val="24"/>
        </w:rPr>
        <w:t xml:space="preserve"> </w:t>
      </w:r>
      <w:r>
        <w:rPr>
          <w:sz w:val="24"/>
        </w:rPr>
        <w:t>mercado</w:t>
      </w:r>
      <w:r w:rsidR="00FC2ECB">
        <w:rPr>
          <w:sz w:val="24"/>
        </w:rPr>
        <w:t>s</w:t>
      </w:r>
      <w:r>
        <w:rPr>
          <w:sz w:val="24"/>
        </w:rPr>
        <w:t xml:space="preserve"> de capitais, é necessária para a redução da assimetria informacional</w:t>
      </w:r>
      <w:r w:rsidR="00FC2ECB">
        <w:rPr>
          <w:sz w:val="24"/>
        </w:rPr>
        <w:t xml:space="preserve"> em que, de </w:t>
      </w:r>
      <w:r w:rsidR="00FC2ECB">
        <w:rPr>
          <w:sz w:val="24"/>
        </w:rPr>
        <w:lastRenderedPageBreak/>
        <w:t xml:space="preserve">acordo com </w:t>
      </w:r>
      <w:proofErr w:type="spellStart"/>
      <w:r w:rsidR="00FC2ECB">
        <w:rPr>
          <w:sz w:val="24"/>
        </w:rPr>
        <w:t>Hendriksen</w:t>
      </w:r>
      <w:proofErr w:type="spellEnd"/>
      <w:r w:rsidR="00FC2ECB">
        <w:rPr>
          <w:sz w:val="24"/>
        </w:rPr>
        <w:t xml:space="preserve"> &amp; Van </w:t>
      </w:r>
      <w:proofErr w:type="spellStart"/>
      <w:r w:rsidR="00FC2ECB">
        <w:rPr>
          <w:sz w:val="24"/>
        </w:rPr>
        <w:t>Breda</w:t>
      </w:r>
      <w:proofErr w:type="spellEnd"/>
      <w:r w:rsidR="00FC2ECB">
        <w:rPr>
          <w:sz w:val="24"/>
        </w:rPr>
        <w:t xml:space="preserve"> (1999), o</w:t>
      </w:r>
      <w:r>
        <w:rPr>
          <w:sz w:val="24"/>
        </w:rPr>
        <w:t>s proprietários são</w:t>
      </w:r>
      <w:r w:rsidR="00FC2ECB">
        <w:rPr>
          <w:sz w:val="24"/>
        </w:rPr>
        <w:t xml:space="preserve"> ditos avaliadores da informação e s</w:t>
      </w:r>
      <w:r>
        <w:rPr>
          <w:sz w:val="24"/>
        </w:rPr>
        <w:t>eus agentes são tomadores de decisõ</w:t>
      </w:r>
      <w:r w:rsidR="00FC2ECB">
        <w:rPr>
          <w:sz w:val="24"/>
        </w:rPr>
        <w:t xml:space="preserve">es. </w:t>
      </w:r>
      <w:r>
        <w:rPr>
          <w:sz w:val="24"/>
        </w:rPr>
        <w:t>Além dos conflitos de agência entre gestores e acionistas, a presença da assimetria informacional</w:t>
      </w:r>
      <w:r w:rsidR="00FC2ECB">
        <w:rPr>
          <w:sz w:val="24"/>
        </w:rPr>
        <w:t xml:space="preserve"> t</w:t>
      </w:r>
      <w:r>
        <w:rPr>
          <w:sz w:val="24"/>
        </w:rPr>
        <w:t>ambém</w:t>
      </w:r>
      <w:r w:rsidR="00FC2ECB">
        <w:rPr>
          <w:sz w:val="24"/>
        </w:rPr>
        <w:t>, e</w:t>
      </w:r>
      <w:r>
        <w:rPr>
          <w:sz w:val="24"/>
        </w:rPr>
        <w:t xml:space="preserve">stimula a expropriação de riqueza de acionistas (Terra &amp; Lima, 2006). </w:t>
      </w:r>
    </w:p>
    <w:p w:rsidR="006C09B6" w:rsidRDefault="00C34421" w:rsidP="0043394E">
      <w:pPr>
        <w:ind w:firstLine="709"/>
        <w:jc w:val="both"/>
      </w:pPr>
      <w:r>
        <w:rPr>
          <w:sz w:val="24"/>
        </w:rPr>
        <w:t>A</w:t>
      </w:r>
      <w:r w:rsidR="00FC2ECB">
        <w:rPr>
          <w:sz w:val="24"/>
        </w:rPr>
        <w:t>demais</w:t>
      </w:r>
      <w:r>
        <w:rPr>
          <w:sz w:val="24"/>
        </w:rPr>
        <w:t>, conforme as categorias de fatos relevantes enumeradas pela instrução nº 358 da CVM, a divulgação de cada uma pode ou não ter relevância nos preços das ações. Neste estudo, analisa-se de forma específica uma categoria de fato relevante, “combinação de negócios”,</w:t>
      </w:r>
      <w:r w:rsidR="00FC2ECB">
        <w:rPr>
          <w:sz w:val="24"/>
        </w:rPr>
        <w:t xml:space="preserve"> em </w:t>
      </w:r>
      <w:r w:rsidR="00620A67">
        <w:rPr>
          <w:sz w:val="24"/>
        </w:rPr>
        <w:t xml:space="preserve">que </w:t>
      </w:r>
      <w:r w:rsidR="00D80E3D">
        <w:rPr>
          <w:sz w:val="24"/>
        </w:rPr>
        <w:t>busca a</w:t>
      </w:r>
      <w:r w:rsidR="00FC2ECB">
        <w:rPr>
          <w:sz w:val="24"/>
        </w:rPr>
        <w:t xml:space="preserve"> </w:t>
      </w:r>
      <w:r w:rsidR="00620A67">
        <w:rPr>
          <w:sz w:val="24"/>
        </w:rPr>
        <w:t xml:space="preserve">evidência de relevância desta categoria. </w:t>
      </w:r>
    </w:p>
    <w:p w:rsidR="00C34421" w:rsidRPr="00380DF0" w:rsidRDefault="0000195C" w:rsidP="00380DF0">
      <w:pPr>
        <w:ind w:firstLine="709"/>
        <w:jc w:val="both"/>
      </w:pPr>
      <w:r>
        <w:rPr>
          <w:sz w:val="24"/>
          <w:szCs w:val="24"/>
        </w:rPr>
        <w:t>Diante do exposto e do interesse</w:t>
      </w:r>
      <w:r w:rsidR="00FC2ECB">
        <w:rPr>
          <w:sz w:val="24"/>
          <w:szCs w:val="24"/>
        </w:rPr>
        <w:t xml:space="preserve"> por parte dos analistas, em </w:t>
      </w:r>
      <w:r>
        <w:rPr>
          <w:sz w:val="24"/>
          <w:szCs w:val="24"/>
        </w:rPr>
        <w:t>relação ao</w:t>
      </w:r>
      <w:r w:rsidR="00FC2ECB">
        <w:rPr>
          <w:sz w:val="24"/>
          <w:szCs w:val="24"/>
        </w:rPr>
        <w:t xml:space="preserve"> fato que ocorre nas empresas referente </w:t>
      </w:r>
      <w:proofErr w:type="gramStart"/>
      <w:r w:rsidR="00FC2ECB">
        <w:rPr>
          <w:sz w:val="24"/>
          <w:szCs w:val="24"/>
        </w:rPr>
        <w:t>à,</w:t>
      </w:r>
      <w:proofErr w:type="gramEnd"/>
      <w:r w:rsidR="00FC2ECB">
        <w:rPr>
          <w:sz w:val="24"/>
          <w:szCs w:val="24"/>
        </w:rPr>
        <w:t xml:space="preserve"> com</w:t>
      </w:r>
      <w:r>
        <w:rPr>
          <w:sz w:val="24"/>
          <w:szCs w:val="24"/>
        </w:rPr>
        <w:t>binações de negócios</w:t>
      </w:r>
      <w:r w:rsidR="00FC2ECB">
        <w:rPr>
          <w:sz w:val="24"/>
          <w:szCs w:val="24"/>
        </w:rPr>
        <w:t>,</w:t>
      </w:r>
      <w:r>
        <w:rPr>
          <w:sz w:val="24"/>
          <w:szCs w:val="24"/>
        </w:rPr>
        <w:t xml:space="preserve"> torna-se necessário estudar o impacto da divulgação</w:t>
      </w:r>
      <w:r w:rsidR="00FC2ECB">
        <w:rPr>
          <w:sz w:val="24"/>
          <w:szCs w:val="24"/>
        </w:rPr>
        <w:t xml:space="preserve"> desse evento, caracterizado como fato relevante</w:t>
      </w:r>
      <w:r>
        <w:rPr>
          <w:sz w:val="24"/>
          <w:szCs w:val="24"/>
        </w:rPr>
        <w:t xml:space="preserve"> para compreender se</w:t>
      </w:r>
      <w:r w:rsidR="00FC2ECB">
        <w:rPr>
          <w:sz w:val="24"/>
          <w:szCs w:val="24"/>
        </w:rPr>
        <w:t xml:space="preserve"> seu</w:t>
      </w:r>
      <w:r>
        <w:rPr>
          <w:sz w:val="24"/>
          <w:szCs w:val="24"/>
        </w:rPr>
        <w:t xml:space="preserve"> anúncio</w:t>
      </w:r>
      <w:r w:rsidR="001C705C">
        <w:rPr>
          <w:sz w:val="24"/>
          <w:szCs w:val="24"/>
        </w:rPr>
        <w:t xml:space="preserve"> contribui para r</w:t>
      </w:r>
      <w:r>
        <w:rPr>
          <w:sz w:val="24"/>
          <w:szCs w:val="24"/>
        </w:rPr>
        <w:t xml:space="preserve">eduzir a assimetria informacional, além de auxiliar os investidores na tomada de decisões. </w:t>
      </w:r>
    </w:p>
    <w:p w:rsidR="0000195C" w:rsidRPr="00805651" w:rsidRDefault="0000195C" w:rsidP="0043394E">
      <w:pPr>
        <w:jc w:val="both"/>
      </w:pPr>
      <w:proofErr w:type="gramStart"/>
      <w:r w:rsidRPr="00805651">
        <w:rPr>
          <w:b/>
          <w:sz w:val="24"/>
          <w:szCs w:val="24"/>
        </w:rPr>
        <w:t>2.</w:t>
      </w:r>
      <w:r>
        <w:rPr>
          <w:b/>
          <w:sz w:val="24"/>
          <w:szCs w:val="24"/>
        </w:rPr>
        <w:t>2</w:t>
      </w:r>
      <w:r w:rsidRPr="00805651">
        <w:rPr>
          <w:b/>
          <w:sz w:val="24"/>
          <w:szCs w:val="24"/>
        </w:rPr>
        <w:t xml:space="preserve"> </w:t>
      </w:r>
      <w:r w:rsidR="00C34421">
        <w:rPr>
          <w:b/>
          <w:sz w:val="24"/>
          <w:szCs w:val="24"/>
        </w:rPr>
        <w:t>RELEVÂNCIA</w:t>
      </w:r>
      <w:proofErr w:type="gramEnd"/>
      <w:r w:rsidR="00C34421">
        <w:rPr>
          <w:b/>
          <w:sz w:val="24"/>
          <w:szCs w:val="24"/>
        </w:rPr>
        <w:t xml:space="preserve"> DE EVENTOS DE </w:t>
      </w:r>
      <w:r w:rsidRPr="00805651">
        <w:rPr>
          <w:b/>
          <w:sz w:val="24"/>
          <w:szCs w:val="24"/>
        </w:rPr>
        <w:t xml:space="preserve">COMBINAÇÕES DE NEGÓCIOS </w:t>
      </w:r>
    </w:p>
    <w:p w:rsidR="0000195C" w:rsidRDefault="0000195C" w:rsidP="0043394E">
      <w:pPr>
        <w:ind w:firstLine="709"/>
        <w:jc w:val="both"/>
      </w:pPr>
      <w:r>
        <w:rPr>
          <w:sz w:val="24"/>
          <w:szCs w:val="24"/>
        </w:rPr>
        <w:t>O assunto combinações de negócios pode ser considerado interdisciplinar, pois perpassa por várias áreas do conhecimento, tais como Finanças, Contabilidade, Direito, Psicologia, dentre outras. De acordo com o pronunciamento técnico CPC 15, emitido pelo comitê de pronunciamentos contábeis, “</w:t>
      </w:r>
      <w:r>
        <w:rPr>
          <w:sz w:val="24"/>
        </w:rPr>
        <w:t>combinação de negócios” é definida como uma operação ou outro evento por meio do qual um adquirente obtém o controle de um ou mais negócios, independentemente da forma jurídica da operação. Vale destacar que</w:t>
      </w:r>
      <w:r w:rsidR="00CC2BC6">
        <w:rPr>
          <w:sz w:val="24"/>
        </w:rPr>
        <w:t xml:space="preserve"> t</w:t>
      </w:r>
      <w:r>
        <w:rPr>
          <w:sz w:val="24"/>
        </w:rPr>
        <w:t>al pronunciamento não é aplicável a entidades ou negócios de empresas que possuam o controle comum.</w:t>
      </w:r>
    </w:p>
    <w:p w:rsidR="0000195C" w:rsidRDefault="0000195C" w:rsidP="0043394E">
      <w:pPr>
        <w:ind w:firstLine="709"/>
        <w:jc w:val="both"/>
      </w:pPr>
      <w:r>
        <w:rPr>
          <w:sz w:val="24"/>
          <w:szCs w:val="24"/>
        </w:rPr>
        <w:t>Desde a emissão desse pronunciamento</w:t>
      </w:r>
      <w:r w:rsidR="00CC2BC6">
        <w:rPr>
          <w:sz w:val="24"/>
          <w:szCs w:val="24"/>
        </w:rPr>
        <w:t xml:space="preserve"> </w:t>
      </w:r>
      <w:r>
        <w:rPr>
          <w:sz w:val="24"/>
          <w:szCs w:val="24"/>
        </w:rPr>
        <w:t>muitas pesquisas têm sido feitas</w:t>
      </w:r>
      <w:r w:rsidR="00CC2BC6">
        <w:rPr>
          <w:sz w:val="24"/>
          <w:szCs w:val="24"/>
        </w:rPr>
        <w:t xml:space="preserve"> </w:t>
      </w:r>
      <w:r>
        <w:rPr>
          <w:sz w:val="24"/>
          <w:szCs w:val="24"/>
        </w:rPr>
        <w:t xml:space="preserve">objetivando verificar a </w:t>
      </w:r>
      <w:proofErr w:type="spellStart"/>
      <w:r>
        <w:rPr>
          <w:i/>
          <w:sz w:val="24"/>
          <w:szCs w:val="24"/>
        </w:rPr>
        <w:t>value</w:t>
      </w:r>
      <w:proofErr w:type="spellEnd"/>
      <w:r>
        <w:rPr>
          <w:i/>
          <w:sz w:val="24"/>
          <w:szCs w:val="24"/>
        </w:rPr>
        <w:t xml:space="preserve"> </w:t>
      </w:r>
      <w:proofErr w:type="spellStart"/>
      <w:r>
        <w:rPr>
          <w:i/>
          <w:sz w:val="24"/>
          <w:szCs w:val="24"/>
        </w:rPr>
        <w:t>relevance</w:t>
      </w:r>
      <w:proofErr w:type="spellEnd"/>
      <w:r>
        <w:rPr>
          <w:sz w:val="24"/>
          <w:szCs w:val="24"/>
        </w:rPr>
        <w:t xml:space="preserve"> da combinação de negócios, bem como a obtenção de retornos anormais. Souza e Borba (2017), recentemente, verificaram o </w:t>
      </w:r>
      <w:proofErr w:type="spellStart"/>
      <w:r>
        <w:rPr>
          <w:i/>
          <w:sz w:val="24"/>
          <w:szCs w:val="24"/>
        </w:rPr>
        <w:t>value</w:t>
      </w:r>
      <w:proofErr w:type="spellEnd"/>
      <w:r>
        <w:rPr>
          <w:i/>
          <w:sz w:val="24"/>
          <w:szCs w:val="24"/>
        </w:rPr>
        <w:t xml:space="preserve"> </w:t>
      </w:r>
      <w:proofErr w:type="spellStart"/>
      <w:r>
        <w:rPr>
          <w:i/>
          <w:sz w:val="24"/>
          <w:szCs w:val="24"/>
        </w:rPr>
        <w:t>relevance</w:t>
      </w:r>
      <w:proofErr w:type="spellEnd"/>
      <w:r>
        <w:rPr>
          <w:sz w:val="24"/>
          <w:szCs w:val="24"/>
        </w:rPr>
        <w:t xml:space="preserve"> do nível de </w:t>
      </w:r>
      <w:proofErr w:type="spellStart"/>
      <w:r>
        <w:rPr>
          <w:i/>
          <w:sz w:val="24"/>
          <w:szCs w:val="24"/>
        </w:rPr>
        <w:t>disclosure</w:t>
      </w:r>
      <w:proofErr w:type="spellEnd"/>
      <w:r>
        <w:rPr>
          <w:sz w:val="24"/>
          <w:szCs w:val="24"/>
        </w:rPr>
        <w:t xml:space="preserve"> das combinações de negócios e do ágio por expectativa de rentabilidade futura (</w:t>
      </w:r>
      <w:proofErr w:type="spellStart"/>
      <w:r>
        <w:rPr>
          <w:i/>
          <w:sz w:val="24"/>
          <w:szCs w:val="24"/>
        </w:rPr>
        <w:t>goodwill</w:t>
      </w:r>
      <w:proofErr w:type="spellEnd"/>
      <w:r>
        <w:rPr>
          <w:sz w:val="24"/>
          <w:szCs w:val="24"/>
        </w:rPr>
        <w:t xml:space="preserve">) reconhecido nas companhias brasileiras de capital aberto. Os resultados das pesquisas evidenciaram que a média do nível de </w:t>
      </w:r>
      <w:proofErr w:type="spellStart"/>
      <w:r>
        <w:rPr>
          <w:i/>
          <w:sz w:val="24"/>
          <w:szCs w:val="24"/>
        </w:rPr>
        <w:t>disclosure</w:t>
      </w:r>
      <w:proofErr w:type="spellEnd"/>
      <w:r>
        <w:rPr>
          <w:sz w:val="24"/>
          <w:szCs w:val="24"/>
        </w:rPr>
        <w:t xml:space="preserve"> identificado nas notas explicativas da amostra analisada foi baixa. Já </w:t>
      </w:r>
      <w:proofErr w:type="spellStart"/>
      <w:r>
        <w:rPr>
          <w:sz w:val="24"/>
          <w:szCs w:val="24"/>
        </w:rPr>
        <w:t>Camargos</w:t>
      </w:r>
      <w:proofErr w:type="spellEnd"/>
      <w:r>
        <w:rPr>
          <w:sz w:val="24"/>
          <w:szCs w:val="24"/>
        </w:rPr>
        <w:t xml:space="preserve"> e Barbosa (2013) analisaram o comportamento dos preços das ações, durante o período de 1996 a 2004, quando da divulgação de combinações de negócios. Os estudiosos concluíram que o anúncio de combinações de negócios contém informação relevante para precificação das ações. </w:t>
      </w:r>
    </w:p>
    <w:p w:rsidR="0000195C" w:rsidRDefault="0000195C" w:rsidP="0043394E">
      <w:pPr>
        <w:ind w:firstLine="709"/>
        <w:jc w:val="both"/>
      </w:pPr>
      <w:r>
        <w:rPr>
          <w:sz w:val="24"/>
          <w:szCs w:val="24"/>
        </w:rPr>
        <w:t xml:space="preserve">Já Ferreira (2010) afirma que os assuntos mais frequentes, quando da divulgação dos fatos relevantes, são: transferência de controle acionário da companhia, incorporação, fusão ou cisão envolvendo a companhia, celebração ou extinção de contrato, ou o insucesso na sua realização. </w:t>
      </w:r>
    </w:p>
    <w:p w:rsidR="0000195C" w:rsidRDefault="001F6B2A" w:rsidP="0043394E">
      <w:pPr>
        <w:ind w:firstLine="709"/>
        <w:jc w:val="both"/>
      </w:pPr>
      <w:r>
        <w:rPr>
          <w:sz w:val="24"/>
          <w:szCs w:val="24"/>
        </w:rPr>
        <w:t>O</w:t>
      </w:r>
      <w:r w:rsidR="0000195C">
        <w:rPr>
          <w:sz w:val="24"/>
          <w:szCs w:val="24"/>
        </w:rPr>
        <w:t xml:space="preserve"> trabalho de Pimenta, </w:t>
      </w:r>
      <w:r w:rsidR="00CC2BC6">
        <w:rPr>
          <w:sz w:val="24"/>
          <w:szCs w:val="24"/>
        </w:rPr>
        <w:t>Marques e Macedo (2015) verificaram</w:t>
      </w:r>
      <w:r w:rsidR="0000195C">
        <w:rPr>
          <w:sz w:val="24"/>
          <w:szCs w:val="24"/>
        </w:rPr>
        <w:t xml:space="preserve"> se os anúncios de combinações de negócios</w:t>
      </w:r>
      <w:r w:rsidR="00CC2BC6">
        <w:rPr>
          <w:sz w:val="24"/>
          <w:szCs w:val="24"/>
        </w:rPr>
        <w:t xml:space="preserve"> d</w:t>
      </w:r>
      <w:r w:rsidR="00AB351C">
        <w:rPr>
          <w:sz w:val="24"/>
          <w:szCs w:val="24"/>
        </w:rPr>
        <w:t>urante o período de 2010 a 2013, a partir da tabela de fusões e aquisições da ANBIMA</w:t>
      </w:r>
      <w:r w:rsidR="00CC2BC6">
        <w:rPr>
          <w:sz w:val="24"/>
          <w:szCs w:val="24"/>
        </w:rPr>
        <w:t xml:space="preserve"> (</w:t>
      </w:r>
      <w:r w:rsidR="00CC2BC6" w:rsidRPr="00CC2BC6">
        <w:rPr>
          <w:sz w:val="24"/>
          <w:szCs w:val="24"/>
        </w:rPr>
        <w:t xml:space="preserve">Associação Brasileira das Entidades dos </w:t>
      </w:r>
      <w:proofErr w:type="gramStart"/>
      <w:r w:rsidR="001E75BC" w:rsidRPr="00CC2BC6">
        <w:rPr>
          <w:sz w:val="24"/>
          <w:szCs w:val="24"/>
        </w:rPr>
        <w:t>Mercados Financeiro</w:t>
      </w:r>
      <w:proofErr w:type="gramEnd"/>
      <w:r w:rsidR="00CC2BC6" w:rsidRPr="00CC2BC6">
        <w:rPr>
          <w:sz w:val="24"/>
          <w:szCs w:val="24"/>
        </w:rPr>
        <w:t xml:space="preserve"> e de Capitais</w:t>
      </w:r>
      <w:r w:rsidR="00CC2BC6">
        <w:rPr>
          <w:sz w:val="24"/>
          <w:szCs w:val="24"/>
        </w:rPr>
        <w:t>);</w:t>
      </w:r>
      <w:r w:rsidR="0000195C">
        <w:rPr>
          <w:sz w:val="24"/>
          <w:szCs w:val="24"/>
        </w:rPr>
        <w:t xml:space="preserve"> caus</w:t>
      </w:r>
      <w:r>
        <w:rPr>
          <w:sz w:val="24"/>
          <w:szCs w:val="24"/>
        </w:rPr>
        <w:t>av</w:t>
      </w:r>
      <w:r w:rsidR="0000195C">
        <w:rPr>
          <w:sz w:val="24"/>
          <w:szCs w:val="24"/>
        </w:rPr>
        <w:t>am</w:t>
      </w:r>
      <w:r w:rsidR="00CC2BC6">
        <w:rPr>
          <w:sz w:val="24"/>
          <w:szCs w:val="24"/>
        </w:rPr>
        <w:t xml:space="preserve"> impacto no mercado de capitais. P</w:t>
      </w:r>
      <w:r w:rsidR="0000195C">
        <w:rPr>
          <w:sz w:val="24"/>
          <w:szCs w:val="24"/>
        </w:rPr>
        <w:t>osteriormente, v</w:t>
      </w:r>
      <w:r w:rsidR="00CC2BC6">
        <w:rPr>
          <w:sz w:val="24"/>
          <w:szCs w:val="24"/>
        </w:rPr>
        <w:t>erificaram</w:t>
      </w:r>
      <w:r w:rsidR="0000195C">
        <w:rPr>
          <w:sz w:val="24"/>
          <w:szCs w:val="24"/>
        </w:rPr>
        <w:t xml:space="preserve"> se os casos que demonstraram reação criavam valor e sinergias p</w:t>
      </w:r>
      <w:r w:rsidR="00CC2BC6">
        <w:rPr>
          <w:sz w:val="24"/>
          <w:szCs w:val="24"/>
        </w:rPr>
        <w:t>ara as empresas. Dentre os 6</w:t>
      </w:r>
      <w:r w:rsidR="0000195C">
        <w:rPr>
          <w:sz w:val="24"/>
          <w:szCs w:val="24"/>
        </w:rPr>
        <w:t xml:space="preserve">4 eventos realizados, apenas um se mostrou significativo estaticamente. </w:t>
      </w:r>
    </w:p>
    <w:p w:rsidR="0000195C" w:rsidRDefault="00CC2BC6" w:rsidP="0043394E">
      <w:pPr>
        <w:ind w:firstLine="709"/>
        <w:jc w:val="both"/>
      </w:pPr>
      <w:r>
        <w:rPr>
          <w:sz w:val="24"/>
          <w:szCs w:val="24"/>
        </w:rPr>
        <w:t>No e</w:t>
      </w:r>
      <w:r w:rsidR="0000195C">
        <w:rPr>
          <w:sz w:val="24"/>
          <w:szCs w:val="24"/>
        </w:rPr>
        <w:t>studo realiz</w:t>
      </w:r>
      <w:r>
        <w:rPr>
          <w:sz w:val="24"/>
          <w:szCs w:val="24"/>
        </w:rPr>
        <w:t xml:space="preserve">ado por Peter </w:t>
      </w:r>
      <w:proofErr w:type="spellStart"/>
      <w:r>
        <w:rPr>
          <w:sz w:val="24"/>
          <w:szCs w:val="24"/>
        </w:rPr>
        <w:t>Dodd</w:t>
      </w:r>
      <w:proofErr w:type="spellEnd"/>
      <w:r>
        <w:rPr>
          <w:sz w:val="24"/>
          <w:szCs w:val="24"/>
        </w:rPr>
        <w:t xml:space="preserve"> (1980) a respeito da r</w:t>
      </w:r>
      <w:r w:rsidR="0000195C">
        <w:rPr>
          <w:sz w:val="24"/>
          <w:szCs w:val="24"/>
        </w:rPr>
        <w:t xml:space="preserve">eação diária do mercado para o anúncio e posterior aceitação ou rejeição de propostas de fusão, constatou-se que os anúncios de fusão ocasionam reação positiva, no mercado. No entanto, para as propostas canceladas, os anúncios ocasionam um retorno negativo.  </w:t>
      </w:r>
    </w:p>
    <w:p w:rsidR="0000195C" w:rsidRDefault="0000195C" w:rsidP="0043394E">
      <w:pPr>
        <w:ind w:firstLine="709"/>
        <w:jc w:val="both"/>
      </w:pPr>
      <w:proofErr w:type="spellStart"/>
      <w:r>
        <w:rPr>
          <w:sz w:val="24"/>
          <w:szCs w:val="24"/>
        </w:rPr>
        <w:t>Camargos</w:t>
      </w:r>
      <w:proofErr w:type="spellEnd"/>
      <w:r>
        <w:rPr>
          <w:sz w:val="24"/>
          <w:szCs w:val="24"/>
        </w:rPr>
        <w:t xml:space="preserve"> e Barbosa (2008) realizaram um estudo para verificar se as Fusões &amp; Aquisições (</w:t>
      </w:r>
      <w:proofErr w:type="spellStart"/>
      <w:r>
        <w:rPr>
          <w:sz w:val="24"/>
          <w:szCs w:val="24"/>
        </w:rPr>
        <w:t>F&amp;As</w:t>
      </w:r>
      <w:proofErr w:type="spellEnd"/>
      <w:r>
        <w:rPr>
          <w:sz w:val="24"/>
          <w:szCs w:val="24"/>
        </w:rPr>
        <w:t>) de empresas brasileiras result</w:t>
      </w:r>
      <w:r w:rsidR="001F6B2A">
        <w:rPr>
          <w:sz w:val="24"/>
          <w:szCs w:val="24"/>
        </w:rPr>
        <w:t>av</w:t>
      </w:r>
      <w:r>
        <w:rPr>
          <w:sz w:val="24"/>
          <w:szCs w:val="24"/>
        </w:rPr>
        <w:t>am em sinergias operacionais e cria</w:t>
      </w:r>
      <w:r w:rsidR="00DD3AA3">
        <w:rPr>
          <w:sz w:val="24"/>
          <w:szCs w:val="24"/>
        </w:rPr>
        <w:t>va</w:t>
      </w:r>
      <w:r>
        <w:rPr>
          <w:sz w:val="24"/>
          <w:szCs w:val="24"/>
        </w:rPr>
        <w:t>m valor para os acionistas. Os achados empíricos foram os de</w:t>
      </w:r>
      <w:r w:rsidR="001F6B2A">
        <w:rPr>
          <w:sz w:val="24"/>
          <w:szCs w:val="24"/>
        </w:rPr>
        <w:t xml:space="preserve"> que as combinações de negócios</w:t>
      </w:r>
      <w:r>
        <w:rPr>
          <w:sz w:val="24"/>
          <w:szCs w:val="24"/>
        </w:rPr>
        <w:t xml:space="preserve"> resultam em sinergias operacionais, na maximização de mercado das empresas pesquisadas e </w:t>
      </w:r>
      <w:r>
        <w:rPr>
          <w:sz w:val="24"/>
          <w:szCs w:val="24"/>
        </w:rPr>
        <w:lastRenderedPageBreak/>
        <w:t>na riqueza dos acionistas. Utilizando a m</w:t>
      </w:r>
      <w:r w:rsidR="00CC2BC6">
        <w:rPr>
          <w:sz w:val="24"/>
          <w:szCs w:val="24"/>
        </w:rPr>
        <w:t xml:space="preserve">etodologia de estudo de eventos, em </w:t>
      </w:r>
      <w:r>
        <w:rPr>
          <w:sz w:val="24"/>
          <w:szCs w:val="24"/>
        </w:rPr>
        <w:t>estudo empreendido no setor bancário</w:t>
      </w:r>
      <w:r w:rsidR="00CC2BC6">
        <w:rPr>
          <w:sz w:val="24"/>
          <w:szCs w:val="24"/>
        </w:rPr>
        <w:t xml:space="preserve"> p</w:t>
      </w:r>
      <w:r>
        <w:rPr>
          <w:sz w:val="24"/>
          <w:szCs w:val="24"/>
        </w:rPr>
        <w:t>ara verificação de criação de valor</w:t>
      </w:r>
      <w:r w:rsidR="00DE13D8">
        <w:rPr>
          <w:sz w:val="24"/>
          <w:szCs w:val="24"/>
        </w:rPr>
        <w:t xml:space="preserve"> </w:t>
      </w:r>
      <w:r w:rsidR="00556FD4">
        <w:rPr>
          <w:sz w:val="24"/>
          <w:szCs w:val="24"/>
        </w:rPr>
        <w:t>pós-combinações</w:t>
      </w:r>
      <w:r>
        <w:rPr>
          <w:sz w:val="24"/>
          <w:szCs w:val="24"/>
        </w:rPr>
        <w:t xml:space="preserve"> de negócios, constatou-se que não houve mudanças na riqueza dos acionistas no setor bancário (</w:t>
      </w:r>
      <w:proofErr w:type="gramStart"/>
      <w:r>
        <w:rPr>
          <w:sz w:val="24"/>
          <w:szCs w:val="24"/>
        </w:rPr>
        <w:t>Brito,</w:t>
      </w:r>
      <w:proofErr w:type="gramEnd"/>
      <w:r>
        <w:rPr>
          <w:sz w:val="24"/>
          <w:szCs w:val="24"/>
        </w:rPr>
        <w:t xml:space="preserve"> </w:t>
      </w:r>
      <w:proofErr w:type="spellStart"/>
      <w:r>
        <w:rPr>
          <w:sz w:val="24"/>
          <w:szCs w:val="24"/>
        </w:rPr>
        <w:t>Batistella</w:t>
      </w:r>
      <w:proofErr w:type="spellEnd"/>
      <w:r>
        <w:rPr>
          <w:sz w:val="24"/>
          <w:szCs w:val="24"/>
        </w:rPr>
        <w:t xml:space="preserve">, &amp; </w:t>
      </w:r>
      <w:proofErr w:type="spellStart"/>
      <w:r>
        <w:rPr>
          <w:sz w:val="24"/>
          <w:szCs w:val="24"/>
        </w:rPr>
        <w:t>Famá</w:t>
      </w:r>
      <w:proofErr w:type="spellEnd"/>
      <w:r>
        <w:rPr>
          <w:sz w:val="24"/>
          <w:szCs w:val="24"/>
        </w:rPr>
        <w:t>, 2005).</w:t>
      </w:r>
    </w:p>
    <w:p w:rsidR="006E3F77" w:rsidRDefault="00CC2BC6" w:rsidP="00CC2BC6">
      <w:pPr>
        <w:ind w:firstLine="709"/>
        <w:jc w:val="both"/>
        <w:rPr>
          <w:sz w:val="24"/>
          <w:szCs w:val="24"/>
        </w:rPr>
      </w:pPr>
      <w:r>
        <w:rPr>
          <w:sz w:val="24"/>
          <w:szCs w:val="24"/>
        </w:rPr>
        <w:t>A partir da p</w:t>
      </w:r>
      <w:r w:rsidR="0000195C">
        <w:rPr>
          <w:sz w:val="24"/>
          <w:szCs w:val="24"/>
        </w:rPr>
        <w:t xml:space="preserve">erspectiva eminentemente econômico-financeira, observa-se que os processos de combinações de negócios têm como principal motivação a obtenção de um melhor desempenho, que </w:t>
      </w:r>
      <w:r>
        <w:rPr>
          <w:sz w:val="24"/>
          <w:szCs w:val="24"/>
        </w:rPr>
        <w:t>direcione</w:t>
      </w:r>
      <w:r w:rsidR="0000195C">
        <w:rPr>
          <w:sz w:val="24"/>
          <w:szCs w:val="24"/>
        </w:rPr>
        <w:t>, em última instância, à criação de valor ao acionista (</w:t>
      </w:r>
      <w:proofErr w:type="spellStart"/>
      <w:r w:rsidR="0000195C">
        <w:rPr>
          <w:sz w:val="24"/>
          <w:szCs w:val="24"/>
        </w:rPr>
        <w:t>Camargos</w:t>
      </w:r>
      <w:proofErr w:type="spellEnd"/>
      <w:r w:rsidR="0000195C">
        <w:rPr>
          <w:sz w:val="24"/>
          <w:szCs w:val="24"/>
        </w:rPr>
        <w:t xml:space="preserve"> &amp; </w:t>
      </w:r>
      <w:proofErr w:type="spellStart"/>
      <w:r w:rsidR="0000195C">
        <w:rPr>
          <w:sz w:val="24"/>
          <w:szCs w:val="24"/>
        </w:rPr>
        <w:t>Camargos</w:t>
      </w:r>
      <w:proofErr w:type="spellEnd"/>
      <w:r w:rsidR="0000195C">
        <w:rPr>
          <w:sz w:val="24"/>
          <w:szCs w:val="24"/>
        </w:rPr>
        <w:t xml:space="preserve">, 2015). </w:t>
      </w:r>
      <w:r w:rsidR="00DE49E1">
        <w:rPr>
          <w:sz w:val="24"/>
          <w:szCs w:val="24"/>
        </w:rPr>
        <w:t>Contudo, a</w:t>
      </w:r>
      <w:r w:rsidR="00023ECF" w:rsidRPr="00023ECF">
        <w:rPr>
          <w:sz w:val="24"/>
          <w:szCs w:val="24"/>
        </w:rPr>
        <w:t>o contrário dos ganhos para as empresas-alvo, e</w:t>
      </w:r>
      <w:r w:rsidR="00EC329E">
        <w:rPr>
          <w:sz w:val="24"/>
          <w:szCs w:val="24"/>
        </w:rPr>
        <w:t>m que as pesquisas acadêmica</w:t>
      </w:r>
      <w:r w:rsidR="00023ECF" w:rsidRPr="00023ECF">
        <w:rPr>
          <w:sz w:val="24"/>
          <w:szCs w:val="24"/>
        </w:rPr>
        <w:t xml:space="preserve">s têm resultados mais ou menos consistentes de ganhos positivos para os acionistas, </w:t>
      </w:r>
      <w:r w:rsidR="00DD3AA3" w:rsidRPr="00023ECF">
        <w:rPr>
          <w:sz w:val="24"/>
          <w:szCs w:val="24"/>
        </w:rPr>
        <w:t>as descobertas sobre as empres</w:t>
      </w:r>
      <w:r w:rsidR="00DD3AA3">
        <w:rPr>
          <w:sz w:val="24"/>
          <w:szCs w:val="24"/>
        </w:rPr>
        <w:t>as adquirentes têm evidenciado incongruências</w:t>
      </w:r>
      <w:r w:rsidR="00023ECF">
        <w:rPr>
          <w:sz w:val="24"/>
          <w:szCs w:val="24"/>
        </w:rPr>
        <w:t xml:space="preserve"> </w:t>
      </w:r>
      <w:r w:rsidR="006E3F77">
        <w:rPr>
          <w:sz w:val="24"/>
          <w:szCs w:val="24"/>
        </w:rPr>
        <w:t>(</w:t>
      </w:r>
      <w:proofErr w:type="spellStart"/>
      <w:r w:rsidR="006E3F77">
        <w:rPr>
          <w:sz w:val="24"/>
          <w:szCs w:val="24"/>
        </w:rPr>
        <w:t>Khanal</w:t>
      </w:r>
      <w:proofErr w:type="spellEnd"/>
      <w:r w:rsidR="006E3F77">
        <w:rPr>
          <w:sz w:val="24"/>
          <w:szCs w:val="24"/>
        </w:rPr>
        <w:t xml:space="preserve">, </w:t>
      </w:r>
      <w:proofErr w:type="spellStart"/>
      <w:r w:rsidR="006E3F77">
        <w:rPr>
          <w:sz w:val="24"/>
          <w:szCs w:val="24"/>
        </w:rPr>
        <w:t>Mishra</w:t>
      </w:r>
      <w:proofErr w:type="spellEnd"/>
      <w:r w:rsidR="006E3F77">
        <w:rPr>
          <w:sz w:val="24"/>
          <w:szCs w:val="24"/>
        </w:rPr>
        <w:t xml:space="preserve">, &amp; </w:t>
      </w:r>
      <w:proofErr w:type="spellStart"/>
      <w:r w:rsidR="006E3F77">
        <w:rPr>
          <w:sz w:val="24"/>
          <w:szCs w:val="24"/>
        </w:rPr>
        <w:t>Mottleb</w:t>
      </w:r>
      <w:proofErr w:type="spellEnd"/>
      <w:r w:rsidR="006E3F77">
        <w:rPr>
          <w:sz w:val="24"/>
          <w:szCs w:val="24"/>
        </w:rPr>
        <w:t>, 2014).</w:t>
      </w:r>
    </w:p>
    <w:p w:rsidR="00023ECF" w:rsidRDefault="002E6984" w:rsidP="0043394E">
      <w:pPr>
        <w:ind w:firstLine="709"/>
        <w:jc w:val="both"/>
        <w:rPr>
          <w:sz w:val="24"/>
          <w:szCs w:val="24"/>
        </w:rPr>
      </w:pPr>
      <w:r>
        <w:rPr>
          <w:sz w:val="24"/>
          <w:szCs w:val="24"/>
        </w:rPr>
        <w:t>Algu</w:t>
      </w:r>
      <w:r w:rsidR="001D38D8">
        <w:rPr>
          <w:sz w:val="24"/>
          <w:szCs w:val="24"/>
        </w:rPr>
        <w:t>n</w:t>
      </w:r>
      <w:r>
        <w:rPr>
          <w:sz w:val="24"/>
          <w:szCs w:val="24"/>
        </w:rPr>
        <w:t xml:space="preserve">s autores ressaltam que a falta de </w:t>
      </w:r>
      <w:r w:rsidR="00DD3AA3">
        <w:rPr>
          <w:sz w:val="24"/>
          <w:szCs w:val="24"/>
        </w:rPr>
        <w:t>consenso</w:t>
      </w:r>
      <w:r>
        <w:rPr>
          <w:sz w:val="24"/>
          <w:szCs w:val="24"/>
        </w:rPr>
        <w:t xml:space="preserve"> dos </w:t>
      </w:r>
      <w:r w:rsidR="00DD3AA3">
        <w:rPr>
          <w:sz w:val="24"/>
          <w:szCs w:val="24"/>
        </w:rPr>
        <w:t>retornos</w:t>
      </w:r>
      <w:r>
        <w:rPr>
          <w:sz w:val="24"/>
          <w:szCs w:val="24"/>
        </w:rPr>
        <w:t xml:space="preserve"> das ações em combinações de negócios, em países como o Brasil, está relacionada ao fato de ser um país </w:t>
      </w:r>
      <w:r w:rsidR="001D38D8">
        <w:rPr>
          <w:sz w:val="24"/>
          <w:szCs w:val="24"/>
        </w:rPr>
        <w:t xml:space="preserve">de economia </w:t>
      </w:r>
      <w:r>
        <w:rPr>
          <w:sz w:val="24"/>
          <w:szCs w:val="24"/>
        </w:rPr>
        <w:t>em desenvolvimento, pois em países desenvolvidos</w:t>
      </w:r>
      <w:r w:rsidR="00DE49E1">
        <w:rPr>
          <w:sz w:val="24"/>
          <w:szCs w:val="24"/>
        </w:rPr>
        <w:t xml:space="preserve"> </w:t>
      </w:r>
      <w:r>
        <w:rPr>
          <w:sz w:val="24"/>
          <w:szCs w:val="24"/>
        </w:rPr>
        <w:t>tal questão</w:t>
      </w:r>
      <w:r w:rsidR="00DE49E1">
        <w:rPr>
          <w:sz w:val="24"/>
          <w:szCs w:val="24"/>
        </w:rPr>
        <w:t xml:space="preserve"> </w:t>
      </w:r>
      <w:r>
        <w:rPr>
          <w:sz w:val="24"/>
          <w:szCs w:val="24"/>
        </w:rPr>
        <w:t xml:space="preserve">está bem estabelecida e examinada </w:t>
      </w:r>
      <w:r w:rsidR="00023ECF">
        <w:rPr>
          <w:sz w:val="24"/>
          <w:szCs w:val="24"/>
        </w:rPr>
        <w:t>(</w:t>
      </w:r>
      <w:proofErr w:type="spellStart"/>
      <w:r w:rsidR="00023ECF">
        <w:rPr>
          <w:sz w:val="24"/>
          <w:szCs w:val="24"/>
        </w:rPr>
        <w:t>Rahma</w:t>
      </w:r>
      <w:proofErr w:type="spellEnd"/>
      <w:r w:rsidR="00023ECF">
        <w:rPr>
          <w:sz w:val="24"/>
          <w:szCs w:val="24"/>
        </w:rPr>
        <w:t>, Ali</w:t>
      </w:r>
      <w:r w:rsidR="001D38D8">
        <w:rPr>
          <w:sz w:val="24"/>
          <w:szCs w:val="24"/>
        </w:rPr>
        <w:t>,</w:t>
      </w:r>
      <w:r w:rsidR="00023ECF">
        <w:rPr>
          <w:sz w:val="24"/>
          <w:szCs w:val="24"/>
        </w:rPr>
        <w:t xml:space="preserve"> &amp; </w:t>
      </w:r>
      <w:proofErr w:type="spellStart"/>
      <w:r w:rsidR="00023ECF">
        <w:rPr>
          <w:sz w:val="24"/>
          <w:szCs w:val="24"/>
        </w:rPr>
        <w:t>Jebran</w:t>
      </w:r>
      <w:proofErr w:type="spellEnd"/>
      <w:r w:rsidR="00023ECF">
        <w:rPr>
          <w:sz w:val="24"/>
          <w:szCs w:val="24"/>
        </w:rPr>
        <w:t xml:space="preserve">, 2018). </w:t>
      </w:r>
    </w:p>
    <w:p w:rsidR="0000195C" w:rsidRPr="00380DF0" w:rsidRDefault="0000195C" w:rsidP="00380DF0">
      <w:pPr>
        <w:ind w:firstLine="709"/>
        <w:jc w:val="both"/>
      </w:pPr>
      <w:r>
        <w:rPr>
          <w:sz w:val="24"/>
          <w:szCs w:val="24"/>
        </w:rPr>
        <w:t>Frent</w:t>
      </w:r>
      <w:r w:rsidR="004025EA">
        <w:rPr>
          <w:sz w:val="24"/>
          <w:szCs w:val="24"/>
        </w:rPr>
        <w:t>e ao exposto, verifica-se que</w:t>
      </w:r>
      <w:r w:rsidR="00DE49E1">
        <w:rPr>
          <w:sz w:val="24"/>
          <w:szCs w:val="24"/>
        </w:rPr>
        <w:t xml:space="preserve"> o assunto a respeito de combinações de negócios pode</w:t>
      </w:r>
      <w:r w:rsidR="00DD3AA3">
        <w:rPr>
          <w:sz w:val="24"/>
          <w:szCs w:val="24"/>
        </w:rPr>
        <w:t xml:space="preserve"> ensejar </w:t>
      </w:r>
      <w:r>
        <w:rPr>
          <w:sz w:val="24"/>
          <w:szCs w:val="24"/>
        </w:rPr>
        <w:t>relevância no meio acadêmico. Esse tema</w:t>
      </w:r>
      <w:r w:rsidR="00DE49E1">
        <w:rPr>
          <w:sz w:val="24"/>
          <w:szCs w:val="24"/>
        </w:rPr>
        <w:t xml:space="preserve"> pode trazer debates acerca da influência dessa categoria de fato relevante nos</w:t>
      </w:r>
      <w:r>
        <w:rPr>
          <w:sz w:val="24"/>
          <w:szCs w:val="24"/>
        </w:rPr>
        <w:t xml:space="preserve"> preços das ações,</w:t>
      </w:r>
      <w:r w:rsidR="00DE49E1">
        <w:rPr>
          <w:sz w:val="24"/>
          <w:szCs w:val="24"/>
        </w:rPr>
        <w:t xml:space="preserve"> na geração de valor para a</w:t>
      </w:r>
      <w:r w:rsidR="005A05E8">
        <w:rPr>
          <w:sz w:val="24"/>
          <w:szCs w:val="24"/>
        </w:rPr>
        <w:t>s</w:t>
      </w:r>
      <w:r w:rsidR="00DE49E1">
        <w:rPr>
          <w:sz w:val="24"/>
          <w:szCs w:val="24"/>
        </w:rPr>
        <w:t xml:space="preserve"> empresas e para o</w:t>
      </w:r>
      <w:r w:rsidR="005A05E8">
        <w:rPr>
          <w:sz w:val="24"/>
          <w:szCs w:val="24"/>
        </w:rPr>
        <w:t>s</w:t>
      </w:r>
      <w:r w:rsidR="00DE49E1">
        <w:rPr>
          <w:sz w:val="24"/>
          <w:szCs w:val="24"/>
        </w:rPr>
        <w:t xml:space="preserve"> </w:t>
      </w:r>
      <w:r w:rsidR="005A05E8">
        <w:rPr>
          <w:sz w:val="24"/>
          <w:szCs w:val="24"/>
        </w:rPr>
        <w:t>investidores</w:t>
      </w:r>
      <w:r w:rsidR="00DE49E1">
        <w:rPr>
          <w:sz w:val="24"/>
          <w:szCs w:val="24"/>
        </w:rPr>
        <w:t xml:space="preserve">, assim como levantar questionamentos quanto à combinação de negócios </w:t>
      </w:r>
      <w:proofErr w:type="gramStart"/>
      <w:r w:rsidR="00DE49E1">
        <w:rPr>
          <w:sz w:val="24"/>
          <w:szCs w:val="24"/>
        </w:rPr>
        <w:t>induzir</w:t>
      </w:r>
      <w:proofErr w:type="gramEnd"/>
      <w:r w:rsidR="00DE49E1">
        <w:rPr>
          <w:sz w:val="24"/>
          <w:szCs w:val="24"/>
        </w:rPr>
        <w:t xml:space="preserve"> à expropriação de recursos.</w:t>
      </w:r>
      <w:r w:rsidR="00DE49E1">
        <w:t xml:space="preserve"> </w:t>
      </w:r>
    </w:p>
    <w:p w:rsidR="0000195C" w:rsidRDefault="0000195C" w:rsidP="0043394E">
      <w:pPr>
        <w:jc w:val="both"/>
      </w:pPr>
      <w:proofErr w:type="gramStart"/>
      <w:r>
        <w:rPr>
          <w:b/>
          <w:sz w:val="24"/>
          <w:szCs w:val="24"/>
        </w:rPr>
        <w:t>3</w:t>
      </w:r>
      <w:proofErr w:type="gramEnd"/>
      <w:r>
        <w:rPr>
          <w:b/>
          <w:sz w:val="24"/>
          <w:szCs w:val="24"/>
        </w:rPr>
        <w:t xml:space="preserve"> METODOLOGIA DO TRABALHO</w:t>
      </w:r>
    </w:p>
    <w:p w:rsidR="0000195C" w:rsidRDefault="0000195C" w:rsidP="0043394E">
      <w:pPr>
        <w:ind w:firstLine="709"/>
        <w:jc w:val="both"/>
      </w:pPr>
      <w:r>
        <w:rPr>
          <w:sz w:val="24"/>
          <w:szCs w:val="24"/>
        </w:rPr>
        <w:t>Este estudo utilizou a metodologia de estudo de eventos</w:t>
      </w:r>
      <w:r w:rsidR="005A05E8">
        <w:rPr>
          <w:sz w:val="24"/>
          <w:szCs w:val="24"/>
        </w:rPr>
        <w:t>, o qual possui muitas</w:t>
      </w:r>
      <w:r>
        <w:rPr>
          <w:sz w:val="24"/>
          <w:szCs w:val="24"/>
        </w:rPr>
        <w:t xml:space="preserve"> aplicações. Em pesquisas na área de Contabilidade e Finanças</w:t>
      </w:r>
      <w:r w:rsidR="005A05E8">
        <w:rPr>
          <w:sz w:val="24"/>
          <w:szCs w:val="24"/>
        </w:rPr>
        <w:t xml:space="preserve"> </w:t>
      </w:r>
      <w:r>
        <w:rPr>
          <w:sz w:val="24"/>
          <w:szCs w:val="24"/>
        </w:rPr>
        <w:t>ele tem sido aplicado para uma variedade de firmas específicas e para amplos eventos econômicos,</w:t>
      </w:r>
      <w:r w:rsidR="005A05E8">
        <w:rPr>
          <w:sz w:val="24"/>
          <w:szCs w:val="24"/>
        </w:rPr>
        <w:t xml:space="preserve"> tais como</w:t>
      </w:r>
      <w:r>
        <w:rPr>
          <w:sz w:val="24"/>
          <w:szCs w:val="24"/>
        </w:rPr>
        <w:t xml:space="preserve">: combinações de negócios, divulgação de lucros, anúncios de novas dívidas ou patrimônio líquido e divulgação de </w:t>
      </w:r>
      <w:r w:rsidR="005A05E8">
        <w:rPr>
          <w:sz w:val="24"/>
          <w:szCs w:val="24"/>
        </w:rPr>
        <w:t>análises</w:t>
      </w:r>
      <w:r>
        <w:rPr>
          <w:sz w:val="24"/>
          <w:szCs w:val="24"/>
        </w:rPr>
        <w:t xml:space="preserve"> econômicas, como o déficit da balança comercial (</w:t>
      </w:r>
      <w:proofErr w:type="spellStart"/>
      <w:r>
        <w:rPr>
          <w:sz w:val="24"/>
          <w:szCs w:val="24"/>
        </w:rPr>
        <w:t>Mackinlay</w:t>
      </w:r>
      <w:proofErr w:type="spellEnd"/>
      <w:r>
        <w:rPr>
          <w:sz w:val="24"/>
          <w:szCs w:val="24"/>
        </w:rPr>
        <w:t xml:space="preserve">, 1997). </w:t>
      </w:r>
    </w:p>
    <w:p w:rsidR="0000195C" w:rsidRDefault="0000195C" w:rsidP="0043394E">
      <w:pPr>
        <w:ind w:firstLine="709"/>
        <w:jc w:val="both"/>
      </w:pPr>
      <w:proofErr w:type="spellStart"/>
      <w:r>
        <w:rPr>
          <w:sz w:val="24"/>
          <w:szCs w:val="24"/>
        </w:rPr>
        <w:t>M</w:t>
      </w:r>
      <w:r w:rsidR="005A05E8">
        <w:rPr>
          <w:sz w:val="24"/>
          <w:szCs w:val="24"/>
        </w:rPr>
        <w:t>ackinlay</w:t>
      </w:r>
      <w:proofErr w:type="spellEnd"/>
      <w:r w:rsidR="005A05E8">
        <w:rPr>
          <w:sz w:val="24"/>
          <w:szCs w:val="24"/>
        </w:rPr>
        <w:t xml:space="preserve"> (1997) cita que</w:t>
      </w:r>
      <w:r>
        <w:rPr>
          <w:sz w:val="24"/>
          <w:szCs w:val="24"/>
        </w:rPr>
        <w:t xml:space="preserve"> o objetivo do estudo de eventos é constatar o efeito de um evento sobre o preço de uma determinada classe de valores mobiliários da empresa. Para o presente trabalho, que busca verificar se o anúncio de combinação de negócios e o anúncio da sua conclusão ocasionam ou não retornos anormais, a técnica é adequada</w:t>
      </w:r>
      <w:r w:rsidR="005A05E8">
        <w:rPr>
          <w:sz w:val="24"/>
          <w:szCs w:val="24"/>
        </w:rPr>
        <w:t xml:space="preserve">, visto que estudo </w:t>
      </w:r>
      <w:r>
        <w:rPr>
          <w:sz w:val="24"/>
          <w:szCs w:val="24"/>
        </w:rPr>
        <w:t xml:space="preserve">empreendido por </w:t>
      </w:r>
      <w:proofErr w:type="spellStart"/>
      <w:r>
        <w:rPr>
          <w:sz w:val="24"/>
          <w:szCs w:val="24"/>
        </w:rPr>
        <w:t>Malmendier</w:t>
      </w:r>
      <w:proofErr w:type="spellEnd"/>
      <w:r>
        <w:rPr>
          <w:sz w:val="24"/>
          <w:szCs w:val="24"/>
        </w:rPr>
        <w:t xml:space="preserve"> e </w:t>
      </w:r>
      <w:proofErr w:type="spellStart"/>
      <w:r>
        <w:rPr>
          <w:sz w:val="24"/>
          <w:szCs w:val="24"/>
        </w:rPr>
        <w:t>Tate</w:t>
      </w:r>
      <w:proofErr w:type="spellEnd"/>
      <w:r>
        <w:rPr>
          <w:sz w:val="24"/>
          <w:szCs w:val="24"/>
        </w:rPr>
        <w:t xml:space="preserve"> (2008) para verificar a autoconfiança dos </w:t>
      </w:r>
      <w:proofErr w:type="spellStart"/>
      <w:r>
        <w:rPr>
          <w:sz w:val="24"/>
          <w:szCs w:val="24"/>
        </w:rPr>
        <w:t>CEOs</w:t>
      </w:r>
      <w:proofErr w:type="spellEnd"/>
      <w:r>
        <w:rPr>
          <w:sz w:val="24"/>
          <w:szCs w:val="24"/>
        </w:rPr>
        <w:t xml:space="preserve"> e a reação do mercado também utiliz</w:t>
      </w:r>
      <w:r w:rsidR="005A05E8">
        <w:rPr>
          <w:sz w:val="24"/>
          <w:szCs w:val="24"/>
        </w:rPr>
        <w:t>ou a mesma técnica.</w:t>
      </w:r>
    </w:p>
    <w:p w:rsidR="0000195C" w:rsidRPr="00702A49" w:rsidRDefault="0000195C" w:rsidP="00702A49">
      <w:pPr>
        <w:ind w:firstLine="709"/>
        <w:jc w:val="both"/>
      </w:pPr>
      <w:r>
        <w:rPr>
          <w:sz w:val="24"/>
          <w:szCs w:val="24"/>
        </w:rPr>
        <w:t xml:space="preserve">De acordo com Campbell, </w:t>
      </w:r>
      <w:proofErr w:type="spellStart"/>
      <w:r>
        <w:rPr>
          <w:sz w:val="24"/>
          <w:szCs w:val="24"/>
        </w:rPr>
        <w:t>Lo</w:t>
      </w:r>
      <w:proofErr w:type="spellEnd"/>
      <w:r>
        <w:rPr>
          <w:sz w:val="24"/>
          <w:szCs w:val="24"/>
        </w:rPr>
        <w:t xml:space="preserve"> e </w:t>
      </w:r>
      <w:proofErr w:type="spellStart"/>
      <w:r>
        <w:rPr>
          <w:sz w:val="24"/>
          <w:szCs w:val="24"/>
        </w:rPr>
        <w:t>Mackinlay</w:t>
      </w:r>
      <w:proofErr w:type="spellEnd"/>
      <w:r>
        <w:rPr>
          <w:sz w:val="24"/>
          <w:szCs w:val="24"/>
        </w:rPr>
        <w:t xml:space="preserve"> (1997), as etapas para a elaboração de um estudo de evento são as seguintes: 1) definição do evento; 2) seleção do critério; 3) cálculo do retorno normal e do retorno anormal; 4) procedimentos de estimação; 5) procedimentos de testes; 6) resultados empíricos; e 7) interpretação e conclusão. </w:t>
      </w:r>
      <w:r w:rsidR="005A05E8">
        <w:rPr>
          <w:sz w:val="24"/>
          <w:szCs w:val="24"/>
        </w:rPr>
        <w:t xml:space="preserve">O </w:t>
      </w:r>
      <w:r>
        <w:rPr>
          <w:sz w:val="24"/>
          <w:szCs w:val="24"/>
        </w:rPr>
        <w:t>processo metodológico seguido</w:t>
      </w:r>
      <w:r w:rsidR="005A05E8">
        <w:rPr>
          <w:sz w:val="24"/>
          <w:szCs w:val="24"/>
        </w:rPr>
        <w:t xml:space="preserve"> é apresentado a seguir</w:t>
      </w:r>
      <w:r>
        <w:rPr>
          <w:sz w:val="24"/>
          <w:szCs w:val="24"/>
        </w:rPr>
        <w:t>.</w:t>
      </w:r>
    </w:p>
    <w:p w:rsidR="0000195C" w:rsidRDefault="0000195C" w:rsidP="0043394E">
      <w:pPr>
        <w:jc w:val="both"/>
      </w:pPr>
      <w:proofErr w:type="gramStart"/>
      <w:r>
        <w:rPr>
          <w:b/>
          <w:sz w:val="24"/>
          <w:szCs w:val="24"/>
        </w:rPr>
        <w:t xml:space="preserve">3.1 </w:t>
      </w:r>
      <w:r w:rsidR="006C79DF">
        <w:rPr>
          <w:b/>
          <w:sz w:val="24"/>
          <w:szCs w:val="24"/>
        </w:rPr>
        <w:t>DEFINIÇÃO</w:t>
      </w:r>
      <w:proofErr w:type="gramEnd"/>
      <w:r w:rsidR="006C79DF">
        <w:rPr>
          <w:b/>
          <w:sz w:val="24"/>
          <w:szCs w:val="24"/>
        </w:rPr>
        <w:t xml:space="preserve"> DO EVENTO</w:t>
      </w:r>
    </w:p>
    <w:p w:rsidR="005A05E8" w:rsidRDefault="0000195C" w:rsidP="0043394E">
      <w:pPr>
        <w:ind w:firstLine="709"/>
        <w:jc w:val="both"/>
        <w:rPr>
          <w:sz w:val="24"/>
          <w:szCs w:val="24"/>
        </w:rPr>
      </w:pPr>
      <w:r>
        <w:rPr>
          <w:sz w:val="24"/>
          <w:szCs w:val="24"/>
        </w:rPr>
        <w:t xml:space="preserve">Quando se trata da técnica estatística de estudo de evento, a primeira etapa é definir o evento com o qual se trabalhará. Para </w:t>
      </w:r>
      <w:proofErr w:type="spellStart"/>
      <w:r>
        <w:rPr>
          <w:sz w:val="24"/>
          <w:szCs w:val="24"/>
        </w:rPr>
        <w:t>Mackinlay</w:t>
      </w:r>
      <w:proofErr w:type="spellEnd"/>
      <w:r>
        <w:rPr>
          <w:sz w:val="24"/>
          <w:szCs w:val="24"/>
        </w:rPr>
        <w:t xml:space="preserve"> (1997) o dia da ocorrência do evento é definido como D0</w:t>
      </w:r>
      <w:r w:rsidR="005A05E8">
        <w:rPr>
          <w:sz w:val="24"/>
          <w:szCs w:val="24"/>
        </w:rPr>
        <w:t xml:space="preserve"> e</w:t>
      </w:r>
      <w:r>
        <w:rPr>
          <w:sz w:val="24"/>
          <w:szCs w:val="24"/>
        </w:rPr>
        <w:t xml:space="preserve"> o período no qual as ações são analisadas </w:t>
      </w:r>
      <w:proofErr w:type="gramStart"/>
      <w:r>
        <w:rPr>
          <w:sz w:val="24"/>
          <w:szCs w:val="24"/>
        </w:rPr>
        <w:t>é definido</w:t>
      </w:r>
      <w:proofErr w:type="gramEnd"/>
      <w:r>
        <w:rPr>
          <w:sz w:val="24"/>
          <w:szCs w:val="24"/>
        </w:rPr>
        <w:t xml:space="preserve"> como “janela do evento”. Neste artigo</w:t>
      </w:r>
      <w:r w:rsidR="005A05E8">
        <w:rPr>
          <w:sz w:val="24"/>
          <w:szCs w:val="24"/>
        </w:rPr>
        <w:t xml:space="preserve"> a data do evento considerada foi </w:t>
      </w:r>
      <w:proofErr w:type="gramStart"/>
      <w:r w:rsidR="005A05E8">
        <w:rPr>
          <w:sz w:val="24"/>
          <w:szCs w:val="24"/>
        </w:rPr>
        <w:t>a</w:t>
      </w:r>
      <w:proofErr w:type="gramEnd"/>
      <w:r w:rsidR="005A05E8">
        <w:rPr>
          <w:sz w:val="24"/>
          <w:szCs w:val="24"/>
        </w:rPr>
        <w:t xml:space="preserve"> d</w:t>
      </w:r>
      <w:r>
        <w:rPr>
          <w:sz w:val="24"/>
          <w:szCs w:val="24"/>
        </w:rPr>
        <w:t>ata de divulgação do fato relevante sobre co</w:t>
      </w:r>
      <w:r w:rsidR="005A05E8">
        <w:rPr>
          <w:sz w:val="24"/>
          <w:szCs w:val="24"/>
        </w:rPr>
        <w:t>mbinação de negócios e a da</w:t>
      </w:r>
      <w:r>
        <w:rPr>
          <w:sz w:val="24"/>
          <w:szCs w:val="24"/>
        </w:rPr>
        <w:t>ta de conclusão ou aprovação pelo CADE (Conselho Administrativo de Defesa Econômica) da combinação de negócios.</w:t>
      </w:r>
    </w:p>
    <w:p w:rsidR="0000195C" w:rsidRDefault="0000195C" w:rsidP="0043394E">
      <w:pPr>
        <w:ind w:firstLine="709"/>
        <w:jc w:val="both"/>
      </w:pPr>
      <w:r>
        <w:rPr>
          <w:sz w:val="24"/>
          <w:szCs w:val="24"/>
        </w:rPr>
        <w:t xml:space="preserve">  </w:t>
      </w:r>
      <w:r w:rsidR="005A05E8">
        <w:rPr>
          <w:sz w:val="24"/>
          <w:szCs w:val="24"/>
        </w:rPr>
        <w:t>A det</w:t>
      </w:r>
      <w:r>
        <w:rPr>
          <w:sz w:val="24"/>
          <w:szCs w:val="24"/>
        </w:rPr>
        <w:t>e</w:t>
      </w:r>
      <w:r w:rsidR="005A05E8">
        <w:rPr>
          <w:sz w:val="24"/>
          <w:szCs w:val="24"/>
        </w:rPr>
        <w:t>rminação</w:t>
      </w:r>
      <w:r>
        <w:rPr>
          <w:sz w:val="24"/>
          <w:szCs w:val="24"/>
        </w:rPr>
        <w:t xml:space="preserve"> </w:t>
      </w:r>
      <w:r w:rsidR="005A05E8">
        <w:rPr>
          <w:sz w:val="24"/>
          <w:szCs w:val="24"/>
        </w:rPr>
        <w:t>d</w:t>
      </w:r>
      <w:r>
        <w:rPr>
          <w:sz w:val="24"/>
          <w:szCs w:val="24"/>
        </w:rPr>
        <w:t>a janela do evento envolve certo grau de subjetividade e, também, arbitrariedade e discricionariedade por parte do pesquisador, pois dependerá do evento que está sendo pesquisado e de quais objetivos querem ser alcançados (</w:t>
      </w:r>
      <w:proofErr w:type="spellStart"/>
      <w:r>
        <w:rPr>
          <w:sz w:val="24"/>
          <w:szCs w:val="24"/>
        </w:rPr>
        <w:t>Camargos</w:t>
      </w:r>
      <w:proofErr w:type="spellEnd"/>
      <w:r>
        <w:rPr>
          <w:sz w:val="24"/>
          <w:szCs w:val="24"/>
        </w:rPr>
        <w:t xml:space="preserve"> &amp; Barbosa, 2003). Para esta pesquisa, a janela do evento é de </w:t>
      </w:r>
      <w:proofErr w:type="gramStart"/>
      <w:r>
        <w:rPr>
          <w:sz w:val="24"/>
          <w:szCs w:val="24"/>
        </w:rPr>
        <w:t>5</w:t>
      </w:r>
      <w:proofErr w:type="gramEnd"/>
      <w:r>
        <w:rPr>
          <w:sz w:val="24"/>
          <w:szCs w:val="24"/>
        </w:rPr>
        <w:t xml:space="preserve"> dias antes e de 5 dias depois do anúncio e da conclusão da combinação de negócios.</w:t>
      </w:r>
    </w:p>
    <w:p w:rsidR="0000195C" w:rsidRDefault="0000195C" w:rsidP="0043394E">
      <w:pPr>
        <w:ind w:firstLine="709"/>
        <w:jc w:val="both"/>
      </w:pPr>
      <w:r>
        <w:rPr>
          <w:sz w:val="24"/>
          <w:szCs w:val="24"/>
        </w:rPr>
        <w:lastRenderedPageBreak/>
        <w:t>Posteriormente, é definida a janela de estimação do evento, a qual nesta pesquisa corresponde a</w:t>
      </w:r>
      <w:r>
        <w:rPr>
          <w:szCs w:val="24"/>
        </w:rPr>
        <w:t xml:space="preserve"> </w:t>
      </w:r>
      <w:r>
        <w:rPr>
          <w:sz w:val="24"/>
          <w:szCs w:val="24"/>
        </w:rPr>
        <w:t xml:space="preserve">126 dias anteriores à data de divulgação dos fatos relevantes e dos anúncios. De acordo com </w:t>
      </w:r>
      <w:proofErr w:type="spellStart"/>
      <w:r>
        <w:rPr>
          <w:sz w:val="24"/>
          <w:szCs w:val="24"/>
        </w:rPr>
        <w:t>Mackinlay</w:t>
      </w:r>
      <w:proofErr w:type="spellEnd"/>
      <w:r>
        <w:rPr>
          <w:sz w:val="24"/>
          <w:szCs w:val="24"/>
        </w:rPr>
        <w:t xml:space="preserve"> (1997), na prática, o período de interesse é frequentemente expandido por múltiplos dias, os quais são definidos conforme interesse. </w:t>
      </w:r>
      <w:proofErr w:type="spellStart"/>
      <w:r>
        <w:rPr>
          <w:sz w:val="24"/>
          <w:szCs w:val="24"/>
        </w:rPr>
        <w:t>Benninga</w:t>
      </w:r>
      <w:proofErr w:type="spellEnd"/>
      <w:r>
        <w:rPr>
          <w:sz w:val="24"/>
          <w:szCs w:val="24"/>
        </w:rPr>
        <w:t xml:space="preserve"> (2014) sugere que a janela de estimação deva ter no mínimo 126 observações para que os parâmetros do modelo de mercado possam demonstrar os reais movimentos do preço das ações. Assim como a definição da janela do evento, a janela de estimação também possui subjetividade. </w:t>
      </w:r>
    </w:p>
    <w:p w:rsidR="0000195C" w:rsidRDefault="0000195C" w:rsidP="0043394E">
      <w:pPr>
        <w:ind w:firstLine="709"/>
        <w:jc w:val="both"/>
      </w:pPr>
      <w:r>
        <w:rPr>
          <w:sz w:val="24"/>
          <w:szCs w:val="24"/>
        </w:rPr>
        <w:t>O período da estimação deve ser extenso o bastante para que possíveis discrepâncias nos preços possam ser diluídas sem provocar grandes alterações em sua distribuição de frequência (</w:t>
      </w:r>
      <w:proofErr w:type="spellStart"/>
      <w:r>
        <w:rPr>
          <w:sz w:val="24"/>
          <w:szCs w:val="24"/>
        </w:rPr>
        <w:t>Camargos</w:t>
      </w:r>
      <w:proofErr w:type="spellEnd"/>
      <w:r>
        <w:rPr>
          <w:sz w:val="24"/>
          <w:szCs w:val="24"/>
        </w:rPr>
        <w:t xml:space="preserve"> &amp; Barbosa, 2003)</w:t>
      </w:r>
      <w:r w:rsidR="00217AB8">
        <w:rPr>
          <w:sz w:val="24"/>
          <w:szCs w:val="24"/>
        </w:rPr>
        <w:t xml:space="preserve">. Em regra, quando se utiliza o </w:t>
      </w:r>
      <w:r>
        <w:rPr>
          <w:sz w:val="24"/>
          <w:szCs w:val="24"/>
        </w:rPr>
        <w:t>modelo de mercado</w:t>
      </w:r>
      <w:r w:rsidR="00217AB8">
        <w:rPr>
          <w:sz w:val="24"/>
          <w:szCs w:val="24"/>
        </w:rPr>
        <w:t xml:space="preserve"> </w:t>
      </w:r>
      <w:r>
        <w:rPr>
          <w:sz w:val="24"/>
          <w:szCs w:val="24"/>
        </w:rPr>
        <w:t>na metodologia de estudo de evento, deve-se levar em consideração, na estimação, que cada tipo de firma se utiliza de uma janela de (tipicamente) 100 dias antes da janela do evento (</w:t>
      </w:r>
      <w:proofErr w:type="spellStart"/>
      <w:r>
        <w:rPr>
          <w:sz w:val="24"/>
          <w:szCs w:val="24"/>
        </w:rPr>
        <w:t>Malmendier</w:t>
      </w:r>
      <w:proofErr w:type="spellEnd"/>
      <w:r>
        <w:rPr>
          <w:sz w:val="24"/>
          <w:szCs w:val="24"/>
        </w:rPr>
        <w:t xml:space="preserve"> &amp; </w:t>
      </w:r>
      <w:proofErr w:type="spellStart"/>
      <w:r>
        <w:rPr>
          <w:sz w:val="24"/>
          <w:szCs w:val="24"/>
        </w:rPr>
        <w:t>Tate</w:t>
      </w:r>
      <w:proofErr w:type="spellEnd"/>
      <w:r>
        <w:rPr>
          <w:sz w:val="24"/>
          <w:szCs w:val="24"/>
        </w:rPr>
        <w:t>, 2008). A janela de estimação não deve se sobrepor à janela do evento de modo a não influenciar os parâmetros do modelo de determinação de retornos normais (</w:t>
      </w:r>
      <w:proofErr w:type="spellStart"/>
      <w:r>
        <w:rPr>
          <w:sz w:val="24"/>
          <w:szCs w:val="24"/>
        </w:rPr>
        <w:t>Camargos</w:t>
      </w:r>
      <w:proofErr w:type="spellEnd"/>
      <w:r>
        <w:rPr>
          <w:sz w:val="24"/>
          <w:szCs w:val="24"/>
        </w:rPr>
        <w:t xml:space="preserve"> &amp; Barbosa, 2003). Já a janela do </w:t>
      </w:r>
      <w:proofErr w:type="gramStart"/>
      <w:r>
        <w:rPr>
          <w:sz w:val="24"/>
          <w:szCs w:val="24"/>
        </w:rPr>
        <w:t>pós evento</w:t>
      </w:r>
      <w:proofErr w:type="gramEnd"/>
      <w:r>
        <w:rPr>
          <w:sz w:val="24"/>
          <w:szCs w:val="24"/>
        </w:rPr>
        <w:t xml:space="preserve"> corresponde aos retornos esperados na janela do evento e após essa janela. </w:t>
      </w:r>
    </w:p>
    <w:p w:rsidR="00217AB8" w:rsidRPr="00702A49" w:rsidRDefault="0000195C" w:rsidP="00702A49">
      <w:pPr>
        <w:ind w:firstLine="709"/>
        <w:jc w:val="both"/>
        <w:rPr>
          <w:sz w:val="24"/>
          <w:szCs w:val="24"/>
        </w:rPr>
      </w:pPr>
      <w:r>
        <w:rPr>
          <w:sz w:val="24"/>
          <w:szCs w:val="24"/>
        </w:rPr>
        <w:t xml:space="preserve">Foram </w:t>
      </w:r>
      <w:r w:rsidR="00556FDF">
        <w:rPr>
          <w:sz w:val="24"/>
          <w:szCs w:val="24"/>
        </w:rPr>
        <w:t>selecionados n</w:t>
      </w:r>
      <w:r>
        <w:rPr>
          <w:sz w:val="24"/>
          <w:szCs w:val="24"/>
        </w:rPr>
        <w:t>esta pesquisa</w:t>
      </w:r>
      <w:r>
        <w:rPr>
          <w:color w:val="006699"/>
          <w:sz w:val="24"/>
          <w:szCs w:val="24"/>
        </w:rPr>
        <w:t xml:space="preserve"> </w:t>
      </w:r>
      <w:r>
        <w:rPr>
          <w:sz w:val="24"/>
          <w:szCs w:val="24"/>
        </w:rPr>
        <w:t>26 eventos: 13 eventos sobre o anúncio da combinação de negócios e 13 eventos sobre a concl</w:t>
      </w:r>
      <w:r w:rsidR="00556FDF">
        <w:rPr>
          <w:sz w:val="24"/>
          <w:szCs w:val="24"/>
        </w:rPr>
        <w:t>usão da combinação de negócios, pois</w:t>
      </w:r>
      <w:r w:rsidR="00703D36">
        <w:rPr>
          <w:sz w:val="24"/>
          <w:szCs w:val="24"/>
        </w:rPr>
        <w:t>,</w:t>
      </w:r>
      <w:r w:rsidR="00556FDF">
        <w:rPr>
          <w:sz w:val="24"/>
          <w:szCs w:val="24"/>
        </w:rPr>
        <w:t xml:space="preserve"> como o objetivo é verificar a relevância do anúncio e da concretização da combinação de negócio, nem todas as empresas </w:t>
      </w:r>
      <w:r w:rsidR="00703D36">
        <w:rPr>
          <w:sz w:val="24"/>
          <w:szCs w:val="24"/>
        </w:rPr>
        <w:t xml:space="preserve">que anunciaram o processo de combinação de negócios </w:t>
      </w:r>
      <w:r w:rsidR="00556FDF">
        <w:rPr>
          <w:sz w:val="24"/>
          <w:szCs w:val="24"/>
        </w:rPr>
        <w:t>concluíram o processo, resultando</w:t>
      </w:r>
      <w:r w:rsidR="00217AB8">
        <w:rPr>
          <w:sz w:val="24"/>
          <w:szCs w:val="24"/>
        </w:rPr>
        <w:t>, portanto,</w:t>
      </w:r>
      <w:r w:rsidR="00556FDF">
        <w:rPr>
          <w:sz w:val="24"/>
          <w:szCs w:val="24"/>
        </w:rPr>
        <w:t xml:space="preserve"> em poucos eventos.</w:t>
      </w:r>
    </w:p>
    <w:p w:rsidR="0000195C" w:rsidRDefault="0000195C" w:rsidP="0043394E">
      <w:pPr>
        <w:jc w:val="both"/>
      </w:pPr>
      <w:r>
        <w:rPr>
          <w:b/>
          <w:sz w:val="24"/>
          <w:szCs w:val="24"/>
        </w:rPr>
        <w:t>3.2 CRITÉRIOS DE SELEÇÃO</w:t>
      </w:r>
    </w:p>
    <w:p w:rsidR="0008764A" w:rsidRPr="00702A49" w:rsidRDefault="0000195C" w:rsidP="00702A49">
      <w:pPr>
        <w:ind w:firstLine="709"/>
        <w:jc w:val="both"/>
      </w:pPr>
      <w:r>
        <w:rPr>
          <w:sz w:val="24"/>
          <w:szCs w:val="24"/>
        </w:rPr>
        <w:t>A população é composta por 30 empresas que divulgaram fatos relevantes sobre combinação de negócios durante o período de 2015 a 2017, e, desse total, 17 foram excluídas</w:t>
      </w:r>
      <w:r w:rsidR="0008764A">
        <w:rPr>
          <w:rStyle w:val="Refdecomentrio"/>
        </w:rPr>
        <w:t xml:space="preserve"> </w:t>
      </w:r>
      <w:r w:rsidR="0008764A">
        <w:rPr>
          <w:rStyle w:val="Refdecomentrio"/>
          <w:sz w:val="24"/>
        </w:rPr>
        <w:t>devido à in</w:t>
      </w:r>
      <w:r w:rsidRPr="00805651">
        <w:rPr>
          <w:sz w:val="24"/>
          <w:szCs w:val="24"/>
        </w:rPr>
        <w:t>disponibil</w:t>
      </w:r>
      <w:r w:rsidR="0008764A">
        <w:rPr>
          <w:sz w:val="24"/>
          <w:szCs w:val="24"/>
        </w:rPr>
        <w:t xml:space="preserve">idade de conclusão da operação e </w:t>
      </w:r>
      <w:r w:rsidRPr="00805651">
        <w:rPr>
          <w:sz w:val="24"/>
          <w:szCs w:val="24"/>
        </w:rPr>
        <w:t>por não estarem listadas na B3 (Bolsa Brasil e Balcão)</w:t>
      </w:r>
      <w:r w:rsidR="009877BC">
        <w:rPr>
          <w:sz w:val="24"/>
          <w:szCs w:val="24"/>
        </w:rPr>
        <w:t>.</w:t>
      </w:r>
      <w:r>
        <w:rPr>
          <w:sz w:val="24"/>
          <w:szCs w:val="24"/>
        </w:rPr>
        <w:t xml:space="preserve"> </w:t>
      </w:r>
    </w:p>
    <w:p w:rsidR="0000195C" w:rsidRDefault="0000195C" w:rsidP="0043394E">
      <w:pPr>
        <w:jc w:val="both"/>
      </w:pPr>
      <w:r>
        <w:rPr>
          <w:b/>
          <w:sz w:val="24"/>
          <w:szCs w:val="24"/>
        </w:rPr>
        <w:t>3.3 CÁLCULOS DOS RETORNOS</w:t>
      </w:r>
    </w:p>
    <w:p w:rsidR="0000195C" w:rsidRDefault="0000195C" w:rsidP="0043394E">
      <w:pPr>
        <w:ind w:firstLine="709"/>
        <w:jc w:val="both"/>
      </w:pPr>
      <w:r>
        <w:rPr>
          <w:sz w:val="24"/>
          <w:szCs w:val="24"/>
        </w:rPr>
        <w:t>Para o cálculo dos retornos</w:t>
      </w:r>
      <w:r w:rsidR="0008764A">
        <w:rPr>
          <w:sz w:val="24"/>
          <w:szCs w:val="24"/>
        </w:rPr>
        <w:t xml:space="preserve"> </w:t>
      </w:r>
      <w:r>
        <w:rPr>
          <w:sz w:val="24"/>
          <w:szCs w:val="24"/>
        </w:rPr>
        <w:t>foram coletadas cotações diárias de fechamento</w:t>
      </w:r>
      <w:r w:rsidR="0008764A">
        <w:rPr>
          <w:sz w:val="24"/>
          <w:szCs w:val="24"/>
        </w:rPr>
        <w:t xml:space="preserve"> </w:t>
      </w:r>
      <w:r>
        <w:rPr>
          <w:sz w:val="24"/>
          <w:szCs w:val="24"/>
        </w:rPr>
        <w:t xml:space="preserve">das empresas e do Índice Bovespa (Ibovespa) na base de dados da </w:t>
      </w:r>
      <w:proofErr w:type="spellStart"/>
      <w:r>
        <w:rPr>
          <w:sz w:val="24"/>
          <w:szCs w:val="24"/>
        </w:rPr>
        <w:t>Economática</w:t>
      </w:r>
      <w:proofErr w:type="spellEnd"/>
      <w:r>
        <w:rPr>
          <w:sz w:val="24"/>
          <w:szCs w:val="24"/>
          <w:vertAlign w:val="superscript"/>
        </w:rPr>
        <w:t>©</w:t>
      </w:r>
      <w:r>
        <w:rPr>
          <w:sz w:val="24"/>
          <w:szCs w:val="24"/>
        </w:rPr>
        <w:t xml:space="preserve"> e, após a coleta das cotações, foram realizados os cálculos dos retornos. Os cálculos dos retornos foram realizados utilizando </w:t>
      </w:r>
      <w:proofErr w:type="gramStart"/>
      <w:r>
        <w:rPr>
          <w:sz w:val="24"/>
          <w:szCs w:val="24"/>
        </w:rPr>
        <w:t xml:space="preserve">o </w:t>
      </w:r>
      <w:r>
        <w:rPr>
          <w:i/>
          <w:sz w:val="24"/>
          <w:szCs w:val="24"/>
        </w:rPr>
        <w:t>Microsoft Excel</w:t>
      </w:r>
      <w:proofErr w:type="gramEnd"/>
      <w:r>
        <w:rPr>
          <w:sz w:val="24"/>
          <w:szCs w:val="24"/>
        </w:rPr>
        <w:t xml:space="preserve"> 2010. Para esses, foi utilizada a forma logarítmica</w:t>
      </w:r>
      <w:r w:rsidR="0008764A">
        <w:rPr>
          <w:sz w:val="24"/>
          <w:szCs w:val="24"/>
        </w:rPr>
        <w:t xml:space="preserve">, conforme exposta na equação </w:t>
      </w:r>
      <w:proofErr w:type="gramStart"/>
      <w:r w:rsidR="0008764A">
        <w:rPr>
          <w:sz w:val="24"/>
          <w:szCs w:val="24"/>
        </w:rPr>
        <w:t>1</w:t>
      </w:r>
      <w:proofErr w:type="gramEnd"/>
      <w:r>
        <w:rPr>
          <w:sz w:val="24"/>
          <w:szCs w:val="24"/>
        </w:rPr>
        <w:t xml:space="preserve">. A forma logarítmica gera retornos </w:t>
      </w:r>
      <w:r w:rsidR="0008764A">
        <w:rPr>
          <w:sz w:val="24"/>
          <w:szCs w:val="24"/>
        </w:rPr>
        <w:t>que se apresentam próximos à distribuição</w:t>
      </w:r>
      <w:r>
        <w:rPr>
          <w:sz w:val="24"/>
          <w:szCs w:val="24"/>
        </w:rPr>
        <w:t xml:space="preserve"> normal, atendendo a um dos pressupostos dos testes estatísticos (Soares, </w:t>
      </w:r>
      <w:proofErr w:type="spellStart"/>
      <w:r>
        <w:rPr>
          <w:sz w:val="24"/>
          <w:szCs w:val="24"/>
        </w:rPr>
        <w:t>Rostagno</w:t>
      </w:r>
      <w:proofErr w:type="spellEnd"/>
      <w:r>
        <w:rPr>
          <w:sz w:val="24"/>
          <w:szCs w:val="24"/>
        </w:rPr>
        <w:t xml:space="preserve">, &amp; Soares, 2002). </w:t>
      </w:r>
    </w:p>
    <w:p w:rsidR="0000195C" w:rsidRDefault="0000195C" w:rsidP="0000195C">
      <w:pPr>
        <w:jc w:val="both"/>
      </w:pPr>
      <w:proofErr w:type="spellStart"/>
      <w:r>
        <w:rPr>
          <w:sz w:val="24"/>
          <w:szCs w:val="24"/>
        </w:rPr>
        <w:t>Rti</w:t>
      </w:r>
      <w:proofErr w:type="spellEnd"/>
      <w:r>
        <w:rPr>
          <w:sz w:val="24"/>
          <w:szCs w:val="24"/>
        </w:rPr>
        <w:t xml:space="preserve"> =   </w:t>
      </w:r>
      <w:r w:rsidR="004043DE" w:rsidRPr="004043DE">
        <w:fldChar w:fldCharType="begin"/>
      </w:r>
      <w:r w:rsidR="00123431">
        <w:instrText xml:space="preserve"> QUOTE  </w:instrText>
      </w:r>
      <w:r w:rsidR="004043DE" w:rsidRPr="004043DE">
        <w:fldChar w:fldCharType="separate"/>
      </w:r>
      <w:r>
        <w:rPr>
          <w:noProof/>
          <w:position w:val="-19"/>
        </w:rPr>
        <w:drawing>
          <wp:inline distT="0" distB="0" distL="0" distR="0">
            <wp:extent cx="331470" cy="293370"/>
            <wp:effectExtent l="1905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91" t="-214" r="-191" b="-214"/>
                    <a:stretch>
                      <a:fillRect/>
                    </a:stretch>
                  </pic:blipFill>
                  <pic:spPr bwMode="auto">
                    <a:xfrm>
                      <a:off x="0" y="0"/>
                      <a:ext cx="331470" cy="293370"/>
                    </a:xfrm>
                    <a:prstGeom prst="rect">
                      <a:avLst/>
                    </a:prstGeom>
                    <a:solidFill>
                      <a:srgbClr val="FFFFFF"/>
                    </a:solidFill>
                    <a:ln w="9525">
                      <a:noFill/>
                      <a:miter lim="800000"/>
                      <a:headEnd/>
                      <a:tailEnd/>
                    </a:ln>
                  </pic:spPr>
                </pic:pic>
              </a:graphicData>
            </a:graphic>
          </wp:inline>
        </w:drawing>
      </w:r>
      <w:r w:rsidR="004043DE">
        <w:rPr>
          <w:noProof/>
          <w:position w:val="-19"/>
        </w:rPr>
        <w:fldChar w:fldCharType="end"/>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roofErr w:type="gramStart"/>
      <w:r>
        <w:rPr>
          <w:szCs w:val="24"/>
        </w:rPr>
        <w:t xml:space="preserve">    </w:t>
      </w:r>
      <w:proofErr w:type="gramEnd"/>
      <w:r>
        <w:rPr>
          <w:szCs w:val="24"/>
        </w:rPr>
        <w:t xml:space="preserve">(1) </w:t>
      </w:r>
      <w:r>
        <w:rPr>
          <w:sz w:val="24"/>
          <w:szCs w:val="24"/>
        </w:rPr>
        <w:t>em que:</w:t>
      </w:r>
    </w:p>
    <w:p w:rsidR="0000195C" w:rsidRDefault="0000195C" w:rsidP="0000195C">
      <w:pPr>
        <w:jc w:val="both"/>
      </w:pPr>
      <w:proofErr w:type="spellStart"/>
      <w:r>
        <w:rPr>
          <w:sz w:val="24"/>
          <w:szCs w:val="24"/>
        </w:rPr>
        <w:t>Rti</w:t>
      </w:r>
      <w:proofErr w:type="spellEnd"/>
      <w:r>
        <w:rPr>
          <w:sz w:val="24"/>
          <w:szCs w:val="24"/>
        </w:rPr>
        <w:t>: retorno da ação na data t</w:t>
      </w:r>
    </w:p>
    <w:p w:rsidR="0000195C" w:rsidRDefault="0000195C" w:rsidP="0000195C">
      <w:pPr>
        <w:jc w:val="both"/>
      </w:pPr>
      <w:proofErr w:type="spellStart"/>
      <w:r>
        <w:rPr>
          <w:sz w:val="24"/>
          <w:szCs w:val="24"/>
        </w:rPr>
        <w:t>Pit</w:t>
      </w:r>
      <w:proofErr w:type="spellEnd"/>
      <w:r>
        <w:rPr>
          <w:sz w:val="24"/>
          <w:szCs w:val="24"/>
        </w:rPr>
        <w:t>: preço da ação na data t</w:t>
      </w:r>
    </w:p>
    <w:p w:rsidR="0000195C" w:rsidRDefault="0000195C" w:rsidP="0000195C">
      <w:pPr>
        <w:jc w:val="both"/>
      </w:pPr>
      <w:proofErr w:type="spellStart"/>
      <w:r>
        <w:rPr>
          <w:sz w:val="24"/>
          <w:szCs w:val="24"/>
        </w:rPr>
        <w:t>Pit</w:t>
      </w:r>
      <w:proofErr w:type="spellEnd"/>
      <w:r>
        <w:rPr>
          <w:sz w:val="24"/>
          <w:szCs w:val="24"/>
        </w:rPr>
        <w:t>-1: preço da ação em t-1</w:t>
      </w:r>
    </w:p>
    <w:p w:rsidR="0000195C" w:rsidRDefault="0000195C" w:rsidP="0000195C">
      <w:pPr>
        <w:ind w:firstLine="567"/>
        <w:jc w:val="both"/>
      </w:pPr>
      <w:r>
        <w:rPr>
          <w:sz w:val="24"/>
          <w:szCs w:val="24"/>
        </w:rPr>
        <w:t xml:space="preserve">Como </w:t>
      </w:r>
      <w:proofErr w:type="spellStart"/>
      <w:proofErr w:type="gramStart"/>
      <w:r>
        <w:rPr>
          <w:i/>
          <w:sz w:val="24"/>
          <w:szCs w:val="24"/>
        </w:rPr>
        <w:t>proxy</w:t>
      </w:r>
      <w:proofErr w:type="spellEnd"/>
      <w:proofErr w:type="gramEnd"/>
      <w:r>
        <w:rPr>
          <w:sz w:val="24"/>
          <w:szCs w:val="24"/>
        </w:rPr>
        <w:t>,</w:t>
      </w:r>
      <w:r w:rsidR="0008764A">
        <w:rPr>
          <w:sz w:val="24"/>
          <w:szCs w:val="24"/>
        </w:rPr>
        <w:t xml:space="preserve"> para o retorno de mercado</w:t>
      </w:r>
      <w:r>
        <w:rPr>
          <w:sz w:val="24"/>
          <w:szCs w:val="24"/>
        </w:rPr>
        <w:t xml:space="preserve"> foi utilizado o índice Bovespa</w:t>
      </w:r>
      <w:r w:rsidR="0008764A">
        <w:rPr>
          <w:sz w:val="24"/>
          <w:szCs w:val="24"/>
        </w:rPr>
        <w:t>.</w:t>
      </w:r>
      <w:r>
        <w:rPr>
          <w:sz w:val="24"/>
          <w:szCs w:val="24"/>
        </w:rPr>
        <w:t xml:space="preserve">  O Ibovespa, no Brasil, é um indicador de desempenho das cotações do mercado de ações (</w:t>
      </w:r>
      <w:proofErr w:type="spellStart"/>
      <w:r>
        <w:rPr>
          <w:sz w:val="24"/>
          <w:szCs w:val="24"/>
        </w:rPr>
        <w:t>BM&amp;FBOVESPA</w:t>
      </w:r>
      <w:proofErr w:type="spellEnd"/>
      <w:r>
        <w:rPr>
          <w:sz w:val="24"/>
          <w:szCs w:val="24"/>
        </w:rPr>
        <w:t>, 2015).</w:t>
      </w:r>
      <w:r w:rsidR="0008764A" w:rsidRPr="0008764A">
        <w:t xml:space="preserve"> </w:t>
      </w:r>
      <w:r w:rsidR="0008764A" w:rsidRPr="0008764A">
        <w:rPr>
          <w:sz w:val="24"/>
          <w:szCs w:val="24"/>
        </w:rPr>
        <w:t>Para o retorn</w:t>
      </w:r>
      <w:r w:rsidR="0008764A">
        <w:rPr>
          <w:sz w:val="24"/>
          <w:szCs w:val="24"/>
        </w:rPr>
        <w:t>o de mercado, assim como efetua</w:t>
      </w:r>
      <w:r w:rsidR="0008764A" w:rsidRPr="0008764A">
        <w:rPr>
          <w:sz w:val="24"/>
          <w:szCs w:val="24"/>
        </w:rPr>
        <w:t xml:space="preserve">do para o retorno da ação, foi adotada a forma </w:t>
      </w:r>
      <w:r w:rsidR="00703EBF" w:rsidRPr="0008764A">
        <w:rPr>
          <w:sz w:val="24"/>
          <w:szCs w:val="24"/>
        </w:rPr>
        <w:t>logarítmica</w:t>
      </w:r>
      <w:r w:rsidR="0008764A" w:rsidRPr="0008764A">
        <w:rPr>
          <w:sz w:val="24"/>
          <w:szCs w:val="24"/>
        </w:rPr>
        <w:t xml:space="preserve">, apresentada na equação </w:t>
      </w:r>
      <w:proofErr w:type="gramStart"/>
      <w:r w:rsidR="0008764A" w:rsidRPr="0008764A">
        <w:rPr>
          <w:sz w:val="24"/>
          <w:szCs w:val="24"/>
        </w:rPr>
        <w:t>2</w:t>
      </w:r>
      <w:proofErr w:type="gramEnd"/>
      <w:r w:rsidR="0008764A" w:rsidRPr="0008764A">
        <w:rPr>
          <w:sz w:val="24"/>
          <w:szCs w:val="24"/>
        </w:rPr>
        <w:t>.</w:t>
      </w:r>
    </w:p>
    <w:p w:rsidR="0000195C" w:rsidRPr="00A02429" w:rsidRDefault="0000195C" w:rsidP="0000195C">
      <w:pPr>
        <w:tabs>
          <w:tab w:val="left" w:pos="7879"/>
        </w:tabs>
        <w:jc w:val="both"/>
        <w:rPr>
          <w:lang w:val="en-US"/>
        </w:rPr>
      </w:pPr>
      <w:proofErr w:type="spellStart"/>
      <w:r w:rsidRPr="00A02429">
        <w:rPr>
          <w:sz w:val="24"/>
          <w:szCs w:val="24"/>
          <w:lang w:val="en-US"/>
        </w:rPr>
        <w:t>Rm</w:t>
      </w:r>
      <w:proofErr w:type="gramStart"/>
      <w:r w:rsidRPr="00A02429">
        <w:rPr>
          <w:sz w:val="24"/>
          <w:szCs w:val="24"/>
          <w:lang w:val="en-US"/>
        </w:rPr>
        <w:t>,t</w:t>
      </w:r>
      <w:proofErr w:type="spellEnd"/>
      <w:proofErr w:type="gramEnd"/>
      <w:r w:rsidRPr="00A02429">
        <w:rPr>
          <w:sz w:val="24"/>
          <w:szCs w:val="24"/>
          <w:lang w:val="en-US"/>
        </w:rPr>
        <w:t xml:space="preserve"> =  LN(</w:t>
      </w:r>
      <w:r w:rsidR="004043DE">
        <w:fldChar w:fldCharType="begin"/>
      </w:r>
      <w:r w:rsidR="00123431" w:rsidRPr="00A02429">
        <w:rPr>
          <w:lang w:val="en-US"/>
        </w:rPr>
        <w:instrText xml:space="preserve"> QUOTE  </w:instrText>
      </w:r>
      <w:r w:rsidR="004043DE">
        <w:fldChar w:fldCharType="end"/>
      </w:r>
      <w:r w:rsidRPr="00A02429">
        <w:rPr>
          <w:sz w:val="24"/>
          <w:szCs w:val="24"/>
          <w:lang w:val="en-US"/>
        </w:rPr>
        <w:t xml:space="preserve">  </w:t>
      </w:r>
      <m:oMath>
        <m:f>
          <m:fPr>
            <m:ctrlPr>
              <w:rPr>
                <w:rFonts w:ascii="Cambria Math" w:hAnsi="Cambria Math"/>
                <w:i/>
                <w:szCs w:val="24"/>
                <w:lang w:val="en-US"/>
              </w:rPr>
            </m:ctrlPr>
          </m:fPr>
          <m:num>
            <m:r>
              <w:rPr>
                <w:rFonts w:ascii="Cambria Math" w:hAnsi="Cambria Math"/>
                <w:szCs w:val="24"/>
                <w:lang w:val="en-US"/>
              </w:rPr>
              <m:t>Ibovespa</m:t>
            </m:r>
          </m:num>
          <m:den>
            <m:r>
              <w:rPr>
                <w:rFonts w:ascii="Cambria Math" w:hAnsi="Cambria Math"/>
                <w:szCs w:val="24"/>
                <w:lang w:val="en-US"/>
              </w:rPr>
              <m:t xml:space="preserve">Ibovespa t-1 </m:t>
            </m:r>
          </m:den>
        </m:f>
      </m:oMath>
      <w:r w:rsidRPr="00A02429">
        <w:rPr>
          <w:sz w:val="24"/>
          <w:szCs w:val="24"/>
          <w:lang w:val="en-US"/>
        </w:rPr>
        <w:t xml:space="preserve">   </w:t>
      </w:r>
      <w:r w:rsidR="00A02429">
        <w:rPr>
          <w:sz w:val="24"/>
          <w:szCs w:val="24"/>
          <w:lang w:val="en-US"/>
        </w:rPr>
        <w:t>)</w:t>
      </w:r>
      <w:r w:rsidRPr="00A02429">
        <w:rPr>
          <w:sz w:val="24"/>
          <w:szCs w:val="24"/>
          <w:lang w:val="en-US"/>
        </w:rPr>
        <w:t xml:space="preserve">                                      </w:t>
      </w:r>
      <w:r w:rsidRPr="00A02429">
        <w:rPr>
          <w:sz w:val="24"/>
          <w:szCs w:val="24"/>
          <w:lang w:val="en-US"/>
        </w:rPr>
        <w:tab/>
        <w:t xml:space="preserve">              (2)</w:t>
      </w:r>
    </w:p>
    <w:p w:rsidR="0000195C" w:rsidRDefault="0000195C" w:rsidP="0000195C">
      <w:pPr>
        <w:jc w:val="both"/>
      </w:pPr>
      <w:proofErr w:type="gramStart"/>
      <w:r>
        <w:rPr>
          <w:sz w:val="24"/>
          <w:szCs w:val="24"/>
        </w:rPr>
        <w:t>onde</w:t>
      </w:r>
      <w:proofErr w:type="gramEnd"/>
      <w:r>
        <w:rPr>
          <w:sz w:val="24"/>
          <w:szCs w:val="24"/>
        </w:rPr>
        <w:t>:</w:t>
      </w:r>
    </w:p>
    <w:p w:rsidR="0000195C" w:rsidRDefault="0000195C" w:rsidP="0000195C">
      <w:pPr>
        <w:jc w:val="both"/>
      </w:pPr>
      <w:proofErr w:type="spellStart"/>
      <w:proofErr w:type="gramStart"/>
      <w:r>
        <w:rPr>
          <w:sz w:val="24"/>
          <w:szCs w:val="24"/>
        </w:rPr>
        <w:t>Rm</w:t>
      </w:r>
      <w:proofErr w:type="spellEnd"/>
      <w:r>
        <w:rPr>
          <w:sz w:val="24"/>
          <w:szCs w:val="24"/>
        </w:rPr>
        <w:t>,</w:t>
      </w:r>
      <w:proofErr w:type="gramEnd"/>
      <w:r>
        <w:rPr>
          <w:sz w:val="24"/>
          <w:szCs w:val="24"/>
        </w:rPr>
        <w:t>t: retorno do portfólio de Mercado (carteira Ibovespa) na data t</w:t>
      </w:r>
    </w:p>
    <w:p w:rsidR="0000195C" w:rsidRDefault="0000195C" w:rsidP="0000195C">
      <w:pPr>
        <w:jc w:val="both"/>
      </w:pPr>
      <w:r>
        <w:rPr>
          <w:sz w:val="24"/>
          <w:szCs w:val="24"/>
        </w:rPr>
        <w:t>It: pontuação de fechamento do Ibovespa na data t</w:t>
      </w:r>
    </w:p>
    <w:p w:rsidR="0000195C" w:rsidRDefault="0000195C" w:rsidP="0000195C">
      <w:pPr>
        <w:jc w:val="both"/>
      </w:pPr>
      <w:r>
        <w:rPr>
          <w:sz w:val="24"/>
          <w:szCs w:val="24"/>
        </w:rPr>
        <w:t>It-</w:t>
      </w:r>
      <w:proofErr w:type="gramStart"/>
      <w:r>
        <w:rPr>
          <w:sz w:val="24"/>
          <w:szCs w:val="24"/>
        </w:rPr>
        <w:t>1:</w:t>
      </w:r>
      <w:proofErr w:type="gramEnd"/>
      <w:r>
        <w:rPr>
          <w:sz w:val="24"/>
          <w:szCs w:val="24"/>
        </w:rPr>
        <w:t>pontuação de fechamento do Ibovespa na data t-1</w:t>
      </w:r>
    </w:p>
    <w:p w:rsidR="0000195C" w:rsidRDefault="0000195C" w:rsidP="0043394E">
      <w:pPr>
        <w:ind w:firstLine="709"/>
        <w:jc w:val="both"/>
      </w:pPr>
      <w:r>
        <w:rPr>
          <w:sz w:val="24"/>
          <w:szCs w:val="24"/>
        </w:rPr>
        <w:lastRenderedPageBreak/>
        <w:t xml:space="preserve">Os valores esperados das ações correspondem à janela de estimação. De acordo com </w:t>
      </w:r>
      <w:proofErr w:type="spellStart"/>
      <w:r>
        <w:rPr>
          <w:sz w:val="24"/>
          <w:szCs w:val="24"/>
        </w:rPr>
        <w:t>Mackinlay</w:t>
      </w:r>
      <w:proofErr w:type="spellEnd"/>
      <w:r>
        <w:rPr>
          <w:sz w:val="24"/>
          <w:szCs w:val="24"/>
        </w:rPr>
        <w:t xml:space="preserve"> (1997), os cálculos podem ter tanto a abordagem estatística quanto a econômica. </w:t>
      </w:r>
      <w:r w:rsidR="00A01960">
        <w:rPr>
          <w:sz w:val="24"/>
          <w:szCs w:val="24"/>
        </w:rPr>
        <w:t xml:space="preserve">Para o cálculo do </w:t>
      </w:r>
      <w:r>
        <w:rPr>
          <w:sz w:val="24"/>
          <w:szCs w:val="24"/>
        </w:rPr>
        <w:t>valor esperado da ação</w:t>
      </w:r>
      <w:r w:rsidR="00A01960">
        <w:rPr>
          <w:sz w:val="24"/>
          <w:szCs w:val="24"/>
        </w:rPr>
        <w:t xml:space="preserve"> a</w:t>
      </w:r>
      <w:r>
        <w:rPr>
          <w:sz w:val="24"/>
          <w:szCs w:val="24"/>
        </w:rPr>
        <w:t>dotou-se a abordage</w:t>
      </w:r>
      <w:r w:rsidR="00A01960">
        <w:rPr>
          <w:sz w:val="24"/>
          <w:szCs w:val="24"/>
        </w:rPr>
        <w:t xml:space="preserve">m estatística e empreendeu-se a </w:t>
      </w:r>
      <w:r>
        <w:rPr>
          <w:sz w:val="24"/>
          <w:szCs w:val="24"/>
        </w:rPr>
        <w:t>equação do modelo de regressão dos mínimos quadrados</w:t>
      </w:r>
      <w:r w:rsidR="00A01960">
        <w:rPr>
          <w:sz w:val="24"/>
          <w:szCs w:val="24"/>
        </w:rPr>
        <w:t xml:space="preserve">, em que </w:t>
      </w:r>
      <w:proofErr w:type="gramStart"/>
      <w:r w:rsidR="00A01960">
        <w:rPr>
          <w:sz w:val="24"/>
          <w:szCs w:val="24"/>
        </w:rPr>
        <w:t>adota-se</w:t>
      </w:r>
      <w:proofErr w:type="gramEnd"/>
      <w:r w:rsidR="00A01960">
        <w:rPr>
          <w:sz w:val="24"/>
          <w:szCs w:val="24"/>
        </w:rPr>
        <w:t xml:space="preserve"> o</w:t>
      </w:r>
      <w:r>
        <w:rPr>
          <w:sz w:val="24"/>
          <w:szCs w:val="24"/>
        </w:rPr>
        <w:t xml:space="preserve"> retorno da ação como a variável dependente e o retorno de mercado como variável independente, conforme </w:t>
      </w:r>
      <w:r w:rsidR="00A01960">
        <w:rPr>
          <w:sz w:val="24"/>
          <w:szCs w:val="24"/>
        </w:rPr>
        <w:t>a equação 3:</w:t>
      </w:r>
    </w:p>
    <w:p w:rsidR="0000195C" w:rsidRDefault="0000195C" w:rsidP="0000195C">
      <w:pPr>
        <w:tabs>
          <w:tab w:val="left" w:pos="8124"/>
          <w:tab w:val="right" w:pos="9071"/>
        </w:tabs>
        <w:jc w:val="both"/>
      </w:pPr>
      <w:proofErr w:type="gramStart"/>
      <w:r>
        <w:rPr>
          <w:sz w:val="24"/>
          <w:szCs w:val="24"/>
        </w:rPr>
        <w:t>Rei,</w:t>
      </w:r>
      <w:proofErr w:type="gramEnd"/>
      <w:r>
        <w:rPr>
          <w:sz w:val="24"/>
          <w:szCs w:val="24"/>
        </w:rPr>
        <w:t xml:space="preserve">t = </w:t>
      </w:r>
      <w:proofErr w:type="spellStart"/>
      <w:r>
        <w:rPr>
          <w:sz w:val="24"/>
          <w:szCs w:val="24"/>
        </w:rPr>
        <w:t>αt</w:t>
      </w:r>
      <w:proofErr w:type="spellEnd"/>
      <w:r>
        <w:rPr>
          <w:sz w:val="24"/>
          <w:szCs w:val="24"/>
        </w:rPr>
        <w:t xml:space="preserve"> + </w:t>
      </w:r>
      <w:proofErr w:type="spellStart"/>
      <w:r>
        <w:rPr>
          <w:sz w:val="24"/>
          <w:szCs w:val="24"/>
        </w:rPr>
        <w:t>βi</w:t>
      </w:r>
      <w:proofErr w:type="spellEnd"/>
      <w:r>
        <w:rPr>
          <w:sz w:val="24"/>
          <w:szCs w:val="24"/>
        </w:rPr>
        <w:t xml:space="preserve"> </w:t>
      </w:r>
      <w:proofErr w:type="spellStart"/>
      <w:r>
        <w:rPr>
          <w:sz w:val="24"/>
          <w:szCs w:val="24"/>
        </w:rPr>
        <w:t>R</w:t>
      </w:r>
      <w:r>
        <w:rPr>
          <w:sz w:val="24"/>
          <w:szCs w:val="24"/>
          <w:vertAlign w:val="subscript"/>
        </w:rPr>
        <w:t>mt</w:t>
      </w:r>
      <w:proofErr w:type="spellEnd"/>
      <w:r>
        <w:rPr>
          <w:sz w:val="24"/>
          <w:szCs w:val="24"/>
          <w:vertAlign w:val="subscript"/>
        </w:rPr>
        <w:t xml:space="preserve"> </w:t>
      </w:r>
      <w:r>
        <w:rPr>
          <w:sz w:val="24"/>
          <w:szCs w:val="24"/>
        </w:rPr>
        <w:t xml:space="preserve">+ </w:t>
      </w:r>
      <w:proofErr w:type="spellStart"/>
      <w:r>
        <w:rPr>
          <w:sz w:val="24"/>
          <w:szCs w:val="24"/>
        </w:rPr>
        <w:t>µt</w:t>
      </w:r>
      <w:proofErr w:type="spellEnd"/>
      <w:r>
        <w:rPr>
          <w:sz w:val="24"/>
          <w:szCs w:val="24"/>
        </w:rPr>
        <w:t xml:space="preserve">. </w:t>
      </w:r>
      <w:r>
        <w:rPr>
          <w:sz w:val="24"/>
          <w:szCs w:val="24"/>
        </w:rPr>
        <w:tab/>
        <w:t xml:space="preserve">          (3</w:t>
      </w:r>
      <w:proofErr w:type="gramStart"/>
      <w:r>
        <w:rPr>
          <w:sz w:val="24"/>
          <w:szCs w:val="24"/>
        </w:rPr>
        <w:t>)</w:t>
      </w:r>
      <w:proofErr w:type="gramEnd"/>
      <w:r>
        <w:rPr>
          <w:sz w:val="24"/>
          <w:szCs w:val="24"/>
        </w:rPr>
        <w:tab/>
      </w:r>
    </w:p>
    <w:p w:rsidR="0000195C" w:rsidRDefault="0000195C" w:rsidP="0000195C">
      <w:pPr>
        <w:jc w:val="both"/>
      </w:pPr>
      <w:r>
        <w:rPr>
          <w:sz w:val="24"/>
          <w:szCs w:val="24"/>
        </w:rPr>
        <w:t xml:space="preserve">Na qual: </w:t>
      </w:r>
    </w:p>
    <w:p w:rsidR="0000195C" w:rsidRDefault="0000195C" w:rsidP="0000195C">
      <w:pPr>
        <w:jc w:val="both"/>
      </w:pPr>
      <w:proofErr w:type="gramStart"/>
      <w:r w:rsidRPr="00A01960">
        <w:rPr>
          <w:sz w:val="24"/>
          <w:szCs w:val="24"/>
        </w:rPr>
        <w:t>Rei,</w:t>
      </w:r>
      <w:proofErr w:type="gramEnd"/>
      <w:r w:rsidRPr="00A01960">
        <w:rPr>
          <w:sz w:val="24"/>
          <w:szCs w:val="24"/>
        </w:rPr>
        <w:t>t</w:t>
      </w:r>
      <w:r>
        <w:rPr>
          <w:i/>
          <w:sz w:val="24"/>
          <w:szCs w:val="24"/>
        </w:rPr>
        <w:t xml:space="preserve"> </w:t>
      </w:r>
      <w:r>
        <w:rPr>
          <w:sz w:val="24"/>
          <w:szCs w:val="24"/>
        </w:rPr>
        <w:t xml:space="preserve">: retorno esperado da ação i no tempo t </w:t>
      </w:r>
    </w:p>
    <w:p w:rsidR="0000195C" w:rsidRDefault="0000195C" w:rsidP="0000195C">
      <w:pPr>
        <w:jc w:val="both"/>
      </w:pPr>
      <w:r w:rsidRPr="00A01960">
        <w:rPr>
          <w:sz w:val="24"/>
          <w:szCs w:val="24"/>
        </w:rPr>
        <w:t>α: e β</w:t>
      </w:r>
      <w:proofErr w:type="gramStart"/>
      <w:r w:rsidRPr="00A01960">
        <w:rPr>
          <w:sz w:val="24"/>
          <w:szCs w:val="24"/>
        </w:rPr>
        <w:t xml:space="preserve"> </w:t>
      </w:r>
      <w:r>
        <w:rPr>
          <w:sz w:val="24"/>
          <w:szCs w:val="24"/>
        </w:rPr>
        <w:t>:</w:t>
      </w:r>
      <w:proofErr w:type="gramEnd"/>
      <w:r>
        <w:rPr>
          <w:sz w:val="24"/>
          <w:szCs w:val="24"/>
        </w:rPr>
        <w:t xml:space="preserve"> são coeficientes de regressão por mínimos quadrados </w:t>
      </w:r>
    </w:p>
    <w:p w:rsidR="0000195C" w:rsidRDefault="0000195C" w:rsidP="0000195C">
      <w:pPr>
        <w:jc w:val="both"/>
      </w:pPr>
      <w:proofErr w:type="gramStart"/>
      <w:r w:rsidRPr="00A01960">
        <w:rPr>
          <w:sz w:val="24"/>
          <w:szCs w:val="24"/>
        </w:rPr>
        <w:t>µ</w:t>
      </w:r>
      <w:proofErr w:type="gramEnd"/>
      <w:r>
        <w:rPr>
          <w:i/>
          <w:sz w:val="24"/>
          <w:szCs w:val="24"/>
        </w:rPr>
        <w:t xml:space="preserve"> </w:t>
      </w:r>
      <w:r>
        <w:rPr>
          <w:sz w:val="24"/>
          <w:szCs w:val="24"/>
        </w:rPr>
        <w:t xml:space="preserve">: erro aleatório, N(0, σ2) </w:t>
      </w:r>
    </w:p>
    <w:p w:rsidR="0000195C" w:rsidRDefault="0000195C" w:rsidP="0000195C">
      <w:pPr>
        <w:jc w:val="both"/>
      </w:pPr>
      <w:proofErr w:type="spellStart"/>
      <w:proofErr w:type="gramStart"/>
      <w:r w:rsidRPr="00A01960">
        <w:rPr>
          <w:sz w:val="24"/>
          <w:szCs w:val="24"/>
        </w:rPr>
        <w:t>Rm</w:t>
      </w:r>
      <w:proofErr w:type="spellEnd"/>
      <w:r w:rsidRPr="00A01960">
        <w:rPr>
          <w:sz w:val="24"/>
          <w:szCs w:val="24"/>
        </w:rPr>
        <w:t>,</w:t>
      </w:r>
      <w:proofErr w:type="gramEnd"/>
      <w:r w:rsidRPr="00A01960">
        <w:rPr>
          <w:sz w:val="24"/>
          <w:szCs w:val="24"/>
        </w:rPr>
        <w:t>t</w:t>
      </w:r>
      <w:r>
        <w:rPr>
          <w:sz w:val="24"/>
          <w:szCs w:val="24"/>
        </w:rPr>
        <w:t xml:space="preserve"> : é o retorno de mercado da ação no tempo t</w:t>
      </w:r>
    </w:p>
    <w:p w:rsidR="0000195C" w:rsidRDefault="0000195C" w:rsidP="0000195C">
      <w:pPr>
        <w:ind w:firstLine="567"/>
        <w:jc w:val="both"/>
      </w:pPr>
      <w:r>
        <w:rPr>
          <w:sz w:val="24"/>
          <w:szCs w:val="24"/>
        </w:rPr>
        <w:t>O retorno anormal da ação é dado pela subtração do retorno observado pelo estimado</w:t>
      </w:r>
      <w:r w:rsidR="00A01960">
        <w:rPr>
          <w:sz w:val="24"/>
          <w:szCs w:val="24"/>
        </w:rPr>
        <w:t xml:space="preserve"> (esperado)</w:t>
      </w:r>
      <w:r>
        <w:rPr>
          <w:sz w:val="24"/>
          <w:szCs w:val="24"/>
        </w:rPr>
        <w:t xml:space="preserve">. De acordo com Brito </w:t>
      </w:r>
      <w:proofErr w:type="spellStart"/>
      <w:proofErr w:type="gramStart"/>
      <w:r>
        <w:rPr>
          <w:i/>
          <w:sz w:val="24"/>
          <w:szCs w:val="24"/>
        </w:rPr>
        <w:t>et</w:t>
      </w:r>
      <w:proofErr w:type="spellEnd"/>
      <w:proofErr w:type="gramEnd"/>
      <w:r>
        <w:rPr>
          <w:i/>
          <w:sz w:val="24"/>
          <w:szCs w:val="24"/>
        </w:rPr>
        <w:t xml:space="preserve"> al.</w:t>
      </w:r>
      <w:r>
        <w:rPr>
          <w:sz w:val="24"/>
          <w:szCs w:val="24"/>
        </w:rPr>
        <w:t xml:space="preserve"> (2005), o retorno anormal compreende a parcela da alteração do valor da ação, a qual é gerada pelos fatores alheios à variação do mercado acionário em geral. </w:t>
      </w:r>
      <w:proofErr w:type="spellStart"/>
      <w:r>
        <w:rPr>
          <w:sz w:val="24"/>
          <w:szCs w:val="24"/>
        </w:rPr>
        <w:t>Mackinlay</w:t>
      </w:r>
      <w:proofErr w:type="spellEnd"/>
      <w:r>
        <w:rPr>
          <w:sz w:val="24"/>
          <w:szCs w:val="24"/>
        </w:rPr>
        <w:t xml:space="preserve"> (1997) ressalta três modelos para cálculo dos retornos </w:t>
      </w:r>
      <w:r w:rsidR="00A01960">
        <w:rPr>
          <w:sz w:val="24"/>
          <w:szCs w:val="24"/>
        </w:rPr>
        <w:t>a</w:t>
      </w:r>
      <w:r>
        <w:rPr>
          <w:sz w:val="24"/>
          <w:szCs w:val="24"/>
        </w:rPr>
        <w:t>normais, sendo eles: modelos de retornos ajustados à média, modelo de retornos ajustados ao mercado, modelo de retorno ajustado ao risco e ao mercado e CAPM (</w:t>
      </w:r>
      <w:r>
        <w:rPr>
          <w:i/>
          <w:sz w:val="24"/>
          <w:szCs w:val="24"/>
        </w:rPr>
        <w:t xml:space="preserve">Capital </w:t>
      </w:r>
      <w:proofErr w:type="spellStart"/>
      <w:r>
        <w:rPr>
          <w:i/>
          <w:sz w:val="24"/>
          <w:szCs w:val="24"/>
        </w:rPr>
        <w:t>Asset</w:t>
      </w:r>
      <w:proofErr w:type="spellEnd"/>
      <w:r>
        <w:rPr>
          <w:i/>
          <w:sz w:val="24"/>
          <w:szCs w:val="24"/>
        </w:rPr>
        <w:t xml:space="preserve"> </w:t>
      </w:r>
      <w:proofErr w:type="spellStart"/>
      <w:r>
        <w:rPr>
          <w:i/>
          <w:sz w:val="24"/>
          <w:szCs w:val="24"/>
        </w:rPr>
        <w:t>Princing</w:t>
      </w:r>
      <w:proofErr w:type="spellEnd"/>
      <w:r>
        <w:rPr>
          <w:i/>
          <w:sz w:val="24"/>
          <w:szCs w:val="24"/>
        </w:rPr>
        <w:t xml:space="preserve"> </w:t>
      </w:r>
      <w:proofErr w:type="spellStart"/>
      <w:r>
        <w:rPr>
          <w:i/>
          <w:sz w:val="24"/>
          <w:szCs w:val="24"/>
        </w:rPr>
        <w:t>Model</w:t>
      </w:r>
      <w:proofErr w:type="spellEnd"/>
      <w:r>
        <w:rPr>
          <w:sz w:val="24"/>
          <w:szCs w:val="24"/>
        </w:rPr>
        <w:t xml:space="preserve">). Neste artigo, utilizou-se o modelo ajustado ao risco e ao mercado, pois, conforme </w:t>
      </w:r>
      <w:proofErr w:type="spellStart"/>
      <w:r>
        <w:rPr>
          <w:sz w:val="24"/>
          <w:szCs w:val="24"/>
        </w:rPr>
        <w:t>Mackinlay</w:t>
      </w:r>
      <w:proofErr w:type="spellEnd"/>
      <w:r>
        <w:rPr>
          <w:sz w:val="24"/>
          <w:szCs w:val="24"/>
        </w:rPr>
        <w:t xml:space="preserve"> (1997), tal modelo re</w:t>
      </w:r>
      <w:r w:rsidR="000A22A0">
        <w:rPr>
          <w:sz w:val="24"/>
          <w:szCs w:val="24"/>
        </w:rPr>
        <w:t>trata</w:t>
      </w:r>
      <w:r>
        <w:rPr>
          <w:sz w:val="24"/>
          <w:szCs w:val="24"/>
        </w:rPr>
        <w:t xml:space="preserve"> o </w:t>
      </w:r>
      <w:r w:rsidR="000A22A0">
        <w:rPr>
          <w:sz w:val="24"/>
          <w:szCs w:val="24"/>
        </w:rPr>
        <w:t xml:space="preserve">retorno de algum ativo baseado no </w:t>
      </w:r>
      <w:r>
        <w:rPr>
          <w:sz w:val="24"/>
          <w:szCs w:val="24"/>
        </w:rPr>
        <w:t>retorno do portfólio de mercado, representado pela equação a seguir:</w:t>
      </w:r>
    </w:p>
    <w:p w:rsidR="0000195C" w:rsidRDefault="0000195C" w:rsidP="0000195C">
      <w:pPr>
        <w:tabs>
          <w:tab w:val="left" w:pos="7838"/>
        </w:tabs>
        <w:jc w:val="both"/>
      </w:pPr>
      <w:r>
        <w:rPr>
          <w:sz w:val="24"/>
          <w:szCs w:val="24"/>
        </w:rPr>
        <w:t xml:space="preserve">RA = </w:t>
      </w:r>
      <w:proofErr w:type="spellStart"/>
      <w:r>
        <w:rPr>
          <w:sz w:val="24"/>
          <w:szCs w:val="24"/>
        </w:rPr>
        <w:t>Rit</w:t>
      </w:r>
      <w:proofErr w:type="spellEnd"/>
      <w:r>
        <w:rPr>
          <w:sz w:val="24"/>
          <w:szCs w:val="24"/>
        </w:rPr>
        <w:t xml:space="preserve"> – Rei, t</w:t>
      </w:r>
      <w:r>
        <w:rPr>
          <w:sz w:val="24"/>
          <w:szCs w:val="24"/>
        </w:rPr>
        <w:tab/>
        <w:t xml:space="preserve">              (4</w:t>
      </w:r>
      <w:proofErr w:type="gramStart"/>
      <w:r>
        <w:rPr>
          <w:sz w:val="24"/>
          <w:szCs w:val="24"/>
        </w:rPr>
        <w:t>)</w:t>
      </w:r>
      <w:proofErr w:type="gramEnd"/>
    </w:p>
    <w:p w:rsidR="0000195C" w:rsidRDefault="0000195C" w:rsidP="0000195C">
      <w:pPr>
        <w:ind w:firstLine="567"/>
        <w:jc w:val="both"/>
      </w:pPr>
      <w:r>
        <w:rPr>
          <w:sz w:val="24"/>
          <w:szCs w:val="24"/>
        </w:rPr>
        <w:tab/>
        <w:t>Os retornos anormais observados devem ser agrupados entre as ações e no tempo, possibilitando inferências para o estudo empreendido (</w:t>
      </w:r>
      <w:proofErr w:type="spellStart"/>
      <w:r>
        <w:rPr>
          <w:sz w:val="24"/>
          <w:szCs w:val="24"/>
        </w:rPr>
        <w:t>Mackinlay</w:t>
      </w:r>
      <w:proofErr w:type="spellEnd"/>
      <w:r>
        <w:rPr>
          <w:sz w:val="24"/>
          <w:szCs w:val="24"/>
        </w:rPr>
        <w:t>, 1997). Dessa forma foi realizado o somatório de todos os retornos anormais observados na janela do evento conforme equação a seguir:</w:t>
      </w:r>
    </w:p>
    <w:p w:rsidR="0000195C" w:rsidRDefault="0000195C" w:rsidP="0000195C">
      <w:pPr>
        <w:tabs>
          <w:tab w:val="left" w:pos="8273"/>
        </w:tabs>
        <w:jc w:val="both"/>
      </w:pPr>
      <w:proofErr w:type="spellStart"/>
      <w:proofErr w:type="gramStart"/>
      <w:r>
        <w:rPr>
          <w:sz w:val="24"/>
          <w:szCs w:val="24"/>
        </w:rPr>
        <w:t>RACi</w:t>
      </w:r>
      <w:proofErr w:type="spellEnd"/>
      <w:proofErr w:type="gramEnd"/>
      <w:r>
        <w:rPr>
          <w:sz w:val="24"/>
          <w:szCs w:val="24"/>
        </w:rPr>
        <w:t xml:space="preserve">,t  = </w:t>
      </w:r>
      <w:r w:rsidR="004043DE" w:rsidRPr="004043DE">
        <w:fldChar w:fldCharType="begin"/>
      </w:r>
      <w:r w:rsidR="00123431">
        <w:instrText xml:space="preserve"> QUOTE  </w:instrText>
      </w:r>
      <w:r w:rsidR="004043DE" w:rsidRPr="004043DE">
        <w:fldChar w:fldCharType="separate"/>
      </w:r>
      <w:r>
        <w:rPr>
          <w:noProof/>
          <w:position w:val="-10"/>
        </w:rPr>
        <w:drawing>
          <wp:inline distT="0" distB="0" distL="0" distR="0">
            <wp:extent cx="561340" cy="20828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l="-113" t="-302" r="-113" b="-302"/>
                    <a:stretch>
                      <a:fillRect/>
                    </a:stretch>
                  </pic:blipFill>
                  <pic:spPr bwMode="auto">
                    <a:xfrm>
                      <a:off x="0" y="0"/>
                      <a:ext cx="561340" cy="208280"/>
                    </a:xfrm>
                    <a:prstGeom prst="rect">
                      <a:avLst/>
                    </a:prstGeom>
                    <a:solidFill>
                      <a:srgbClr val="FFFFFF"/>
                    </a:solidFill>
                    <a:ln w="9525">
                      <a:noFill/>
                      <a:miter lim="800000"/>
                      <a:headEnd/>
                      <a:tailEnd/>
                    </a:ln>
                  </pic:spPr>
                </pic:pic>
              </a:graphicData>
            </a:graphic>
          </wp:inline>
        </w:drawing>
      </w:r>
      <w:r w:rsidR="004043DE">
        <w:rPr>
          <w:noProof/>
          <w:position w:val="-10"/>
        </w:rPr>
        <w:fldChar w:fldCharType="end"/>
      </w:r>
      <w:r>
        <w:rPr>
          <w:sz w:val="24"/>
          <w:szCs w:val="24"/>
        </w:rPr>
        <w:t xml:space="preserve">                       </w:t>
      </w:r>
      <w:r>
        <w:rPr>
          <w:sz w:val="24"/>
          <w:szCs w:val="24"/>
        </w:rPr>
        <w:tab/>
        <w:t xml:space="preserve">        (5)</w:t>
      </w:r>
    </w:p>
    <w:p w:rsidR="0000195C" w:rsidRDefault="0000195C" w:rsidP="0000195C">
      <w:pPr>
        <w:jc w:val="both"/>
      </w:pPr>
      <w:r>
        <w:rPr>
          <w:sz w:val="24"/>
          <w:szCs w:val="24"/>
        </w:rPr>
        <w:t>Onde:</w:t>
      </w:r>
    </w:p>
    <w:p w:rsidR="0000195C" w:rsidRDefault="0000195C" w:rsidP="0000195C">
      <w:pPr>
        <w:jc w:val="both"/>
      </w:pPr>
      <w:proofErr w:type="spellStart"/>
      <w:proofErr w:type="gramStart"/>
      <w:r>
        <w:rPr>
          <w:sz w:val="24"/>
          <w:szCs w:val="24"/>
        </w:rPr>
        <w:t>RACi</w:t>
      </w:r>
      <w:proofErr w:type="spellEnd"/>
      <w:proofErr w:type="gramEnd"/>
      <w:r>
        <w:rPr>
          <w:sz w:val="24"/>
          <w:szCs w:val="24"/>
        </w:rPr>
        <w:t>,t: retorno anormal acumulado da ação i na data t</w:t>
      </w:r>
    </w:p>
    <w:p w:rsidR="0000195C" w:rsidRPr="00EC329E" w:rsidRDefault="004043DE" w:rsidP="0000195C">
      <w:pPr>
        <w:jc w:val="both"/>
      </w:pPr>
      <w:r w:rsidRPr="004043DE">
        <w:fldChar w:fldCharType="begin"/>
      </w:r>
      <w:r w:rsidR="00123431">
        <w:instrText xml:space="preserve"> QUOTE  </w:instrText>
      </w:r>
      <w:r w:rsidRPr="004043DE">
        <w:fldChar w:fldCharType="separate"/>
      </w:r>
      <w:r w:rsidR="0000195C">
        <w:rPr>
          <w:noProof/>
          <w:position w:val="-10"/>
        </w:rPr>
        <w:drawing>
          <wp:inline distT="0" distB="0" distL="0" distR="0">
            <wp:extent cx="561340" cy="20828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13" t="-302" r="-113" b="-302"/>
                    <a:stretch>
                      <a:fillRect/>
                    </a:stretch>
                  </pic:blipFill>
                  <pic:spPr bwMode="auto">
                    <a:xfrm>
                      <a:off x="0" y="0"/>
                      <a:ext cx="561340" cy="208280"/>
                    </a:xfrm>
                    <a:prstGeom prst="rect">
                      <a:avLst/>
                    </a:prstGeom>
                    <a:solidFill>
                      <a:srgbClr val="FFFFFF"/>
                    </a:solidFill>
                    <a:ln w="9525">
                      <a:noFill/>
                      <a:miter lim="800000"/>
                      <a:headEnd/>
                      <a:tailEnd/>
                    </a:ln>
                  </pic:spPr>
                </pic:pic>
              </a:graphicData>
            </a:graphic>
          </wp:inline>
        </w:drawing>
      </w:r>
      <w:r>
        <w:rPr>
          <w:noProof/>
          <w:position w:val="-10"/>
        </w:rPr>
        <w:fldChar w:fldCharType="end"/>
      </w:r>
      <w:r w:rsidR="0000195C">
        <w:rPr>
          <w:sz w:val="24"/>
          <w:szCs w:val="24"/>
        </w:rPr>
        <w:t xml:space="preserve"> : somatório dos retornos anormais das ações i na data t na janela do evento de 1 a 5</w:t>
      </w:r>
    </w:p>
    <w:p w:rsidR="0000195C" w:rsidRDefault="0000195C" w:rsidP="0000195C">
      <w:pPr>
        <w:jc w:val="both"/>
      </w:pPr>
      <w:proofErr w:type="gramStart"/>
      <w:r>
        <w:rPr>
          <w:b/>
          <w:sz w:val="24"/>
          <w:szCs w:val="24"/>
        </w:rPr>
        <w:t>3.4 PROCEDIMENTO</w:t>
      </w:r>
      <w:proofErr w:type="gramEnd"/>
      <w:r>
        <w:rPr>
          <w:b/>
          <w:sz w:val="24"/>
          <w:szCs w:val="24"/>
        </w:rPr>
        <w:t xml:space="preserve"> DE TESTE</w:t>
      </w:r>
    </w:p>
    <w:p w:rsidR="0000195C" w:rsidRDefault="0000195C" w:rsidP="0043394E">
      <w:pPr>
        <w:ind w:firstLine="709"/>
        <w:jc w:val="both"/>
      </w:pPr>
      <w:r>
        <w:rPr>
          <w:sz w:val="24"/>
          <w:szCs w:val="24"/>
        </w:rPr>
        <w:t>O teste estatístico desta seção buscou verificar a existência ou não de retornos anormais acumulados</w:t>
      </w:r>
      <w:r w:rsidR="000A22A0">
        <w:rPr>
          <w:sz w:val="24"/>
          <w:szCs w:val="24"/>
        </w:rPr>
        <w:t xml:space="preserve"> significativos estatisticamente</w:t>
      </w:r>
      <w:r>
        <w:rPr>
          <w:sz w:val="24"/>
          <w:szCs w:val="24"/>
        </w:rPr>
        <w:t>, dentro do período da janela de evento estabelecido neste estudo, de cinco dias após o anúncio da combinação de negócio e da conclusão ou aprovação do CADE. Para tanto, testou-se a hipótese de que</w:t>
      </w:r>
      <w:r w:rsidR="000A22A0">
        <w:rPr>
          <w:sz w:val="24"/>
          <w:szCs w:val="24"/>
        </w:rPr>
        <w:t xml:space="preserve">, </w:t>
      </w:r>
      <w:proofErr w:type="gramStart"/>
      <w:r w:rsidR="000A22A0" w:rsidRPr="000A22A0">
        <w:rPr>
          <w:sz w:val="24"/>
          <w:szCs w:val="24"/>
        </w:rPr>
        <w:t>a média dos retornos acumulados são</w:t>
      </w:r>
      <w:proofErr w:type="gramEnd"/>
      <w:r w:rsidR="000A22A0" w:rsidRPr="000A22A0">
        <w:rPr>
          <w:sz w:val="24"/>
          <w:szCs w:val="24"/>
        </w:rPr>
        <w:t xml:space="preserve"> ou não estatisticamente iguais a zero.</w:t>
      </w:r>
      <w:r>
        <w:rPr>
          <w:sz w:val="24"/>
          <w:szCs w:val="24"/>
        </w:rPr>
        <w:t xml:space="preserve"> </w:t>
      </w:r>
      <w:r w:rsidR="000A22A0">
        <w:rPr>
          <w:sz w:val="24"/>
          <w:szCs w:val="24"/>
        </w:rPr>
        <w:t xml:space="preserve">Ou seja, foi analisado, respectivamente, se </w:t>
      </w:r>
      <w:r>
        <w:rPr>
          <w:sz w:val="24"/>
          <w:szCs w:val="24"/>
        </w:rPr>
        <w:t>ambos os anúncios não têm</w:t>
      </w:r>
      <w:r w:rsidR="000A22A0">
        <w:rPr>
          <w:sz w:val="24"/>
          <w:szCs w:val="24"/>
        </w:rPr>
        <w:t xml:space="preserve"> ou têm</w:t>
      </w:r>
      <w:proofErr w:type="gramStart"/>
      <w:r w:rsidR="000A22A0">
        <w:rPr>
          <w:sz w:val="24"/>
          <w:szCs w:val="24"/>
        </w:rPr>
        <w:t xml:space="preserve"> </w:t>
      </w:r>
      <w:r>
        <w:rPr>
          <w:sz w:val="24"/>
          <w:szCs w:val="24"/>
        </w:rPr>
        <w:t xml:space="preserve"> </w:t>
      </w:r>
      <w:proofErr w:type="gramEnd"/>
      <w:r>
        <w:rPr>
          <w:sz w:val="24"/>
          <w:szCs w:val="24"/>
        </w:rPr>
        <w:t xml:space="preserve">relevância no comportamento dos preços das ações </w:t>
      </w:r>
    </w:p>
    <w:p w:rsidR="0000195C" w:rsidRDefault="0000195C" w:rsidP="0000195C">
      <w:pPr>
        <w:jc w:val="both"/>
      </w:pPr>
      <w:r>
        <w:rPr>
          <w:sz w:val="24"/>
          <w:szCs w:val="24"/>
        </w:rPr>
        <w:t>H</w:t>
      </w:r>
      <w:r>
        <w:rPr>
          <w:sz w:val="24"/>
          <w:szCs w:val="24"/>
          <w:vertAlign w:val="subscript"/>
        </w:rPr>
        <w:t>0</w:t>
      </w:r>
      <w:r>
        <w:rPr>
          <w:sz w:val="24"/>
          <w:szCs w:val="24"/>
        </w:rPr>
        <w:t>: RAA = 0. O evento não influencia o comportamento dos preços das ações</w:t>
      </w:r>
      <w:r w:rsidR="000A22A0">
        <w:rPr>
          <w:sz w:val="24"/>
          <w:szCs w:val="24"/>
        </w:rPr>
        <w:t>,</w:t>
      </w:r>
      <w:r>
        <w:rPr>
          <w:sz w:val="24"/>
          <w:szCs w:val="24"/>
        </w:rPr>
        <w:t xml:space="preserve"> por ser o retorno anormal acumulado</w:t>
      </w:r>
      <w:r w:rsidR="000A22A0">
        <w:rPr>
          <w:sz w:val="24"/>
          <w:szCs w:val="24"/>
        </w:rPr>
        <w:t xml:space="preserve"> </w:t>
      </w:r>
      <w:r>
        <w:rPr>
          <w:sz w:val="24"/>
          <w:szCs w:val="24"/>
        </w:rPr>
        <w:t xml:space="preserve">igual a zero. </w:t>
      </w:r>
    </w:p>
    <w:p w:rsidR="0000195C" w:rsidRPr="00EC329E" w:rsidRDefault="0000195C" w:rsidP="0000195C">
      <w:pPr>
        <w:jc w:val="both"/>
      </w:pPr>
      <w:r>
        <w:rPr>
          <w:sz w:val="24"/>
          <w:szCs w:val="24"/>
        </w:rPr>
        <w:t>H</w:t>
      </w:r>
      <w:r>
        <w:rPr>
          <w:sz w:val="24"/>
          <w:szCs w:val="24"/>
          <w:vertAlign w:val="subscript"/>
        </w:rPr>
        <w:t>1</w:t>
      </w:r>
      <w:r>
        <w:rPr>
          <w:sz w:val="24"/>
          <w:szCs w:val="24"/>
        </w:rPr>
        <w:t xml:space="preserve">: RAA ≠ </w:t>
      </w:r>
      <w:proofErr w:type="gramStart"/>
      <w:r>
        <w:rPr>
          <w:sz w:val="24"/>
          <w:szCs w:val="24"/>
        </w:rPr>
        <w:t>0</w:t>
      </w:r>
      <w:proofErr w:type="gramEnd"/>
      <w:r>
        <w:rPr>
          <w:sz w:val="24"/>
          <w:szCs w:val="24"/>
        </w:rPr>
        <w:t>. O evento influencia o comportamento dos preços, por ser o retorno anormal acumulado</w:t>
      </w:r>
      <w:r w:rsidR="00371E3F">
        <w:rPr>
          <w:sz w:val="24"/>
          <w:szCs w:val="24"/>
        </w:rPr>
        <w:t xml:space="preserve"> d</w:t>
      </w:r>
      <w:r>
        <w:rPr>
          <w:sz w:val="24"/>
          <w:szCs w:val="24"/>
        </w:rPr>
        <w:t xml:space="preserve">iferente de zero. </w:t>
      </w:r>
    </w:p>
    <w:p w:rsidR="00702A49" w:rsidRDefault="00702A49" w:rsidP="00702A49">
      <w:pPr>
        <w:jc w:val="both"/>
      </w:pPr>
      <w:proofErr w:type="gramStart"/>
      <w:r>
        <w:rPr>
          <w:b/>
          <w:sz w:val="24"/>
          <w:szCs w:val="24"/>
        </w:rPr>
        <w:t>4</w:t>
      </w:r>
      <w:proofErr w:type="gramEnd"/>
      <w:r>
        <w:rPr>
          <w:b/>
          <w:sz w:val="24"/>
          <w:szCs w:val="24"/>
        </w:rPr>
        <w:t xml:space="preserve"> RESULTADOS</w:t>
      </w:r>
    </w:p>
    <w:p w:rsidR="00702A49" w:rsidRPr="00380DF0" w:rsidRDefault="00702A49" w:rsidP="00380DF0">
      <w:pPr>
        <w:ind w:firstLine="709"/>
        <w:jc w:val="both"/>
        <w:rPr>
          <w:sz w:val="24"/>
          <w:szCs w:val="24"/>
        </w:rPr>
      </w:pPr>
      <w:r>
        <w:rPr>
          <w:sz w:val="24"/>
          <w:szCs w:val="24"/>
        </w:rPr>
        <w:t>Nesta seção são analisados os achados das análises estatísticas dos 26 eventos analisados. A tabela a seguir ilustra o retorno anormal observado na data zero e em t+1, objetivando verificar o comportamento das ações quando da divulgação do fato relevante sobre combinação de negócios. De acordo com Romano e Almeida (2015), em mercados eficientes</w:t>
      </w:r>
      <w:r>
        <w:rPr>
          <w:rStyle w:val="Refdecomentrio"/>
        </w:rPr>
        <w:t xml:space="preserve"> </w:t>
      </w:r>
      <w:r w:rsidRPr="00C66F1F">
        <w:rPr>
          <w:rStyle w:val="Refdecomentrio"/>
          <w:sz w:val="24"/>
        </w:rPr>
        <w:t>e</w:t>
      </w:r>
      <w:r>
        <w:rPr>
          <w:sz w:val="24"/>
          <w:szCs w:val="24"/>
        </w:rPr>
        <w:t xml:space="preserve">m termos </w:t>
      </w:r>
      <w:proofErr w:type="spellStart"/>
      <w:r>
        <w:rPr>
          <w:sz w:val="24"/>
          <w:szCs w:val="24"/>
        </w:rPr>
        <w:t>informacionais</w:t>
      </w:r>
      <w:proofErr w:type="spellEnd"/>
      <w:r>
        <w:rPr>
          <w:sz w:val="24"/>
          <w:szCs w:val="24"/>
        </w:rPr>
        <w:t xml:space="preserve">, </w:t>
      </w:r>
      <w:proofErr w:type="gramStart"/>
      <w:r>
        <w:rPr>
          <w:sz w:val="24"/>
          <w:szCs w:val="24"/>
        </w:rPr>
        <w:t>a</w:t>
      </w:r>
      <w:proofErr w:type="gramEnd"/>
      <w:r>
        <w:rPr>
          <w:sz w:val="24"/>
          <w:szCs w:val="24"/>
        </w:rPr>
        <w:t xml:space="preserve"> divulgação de um processo de fusão e aquisição deve </w:t>
      </w:r>
      <w:r>
        <w:rPr>
          <w:sz w:val="24"/>
          <w:szCs w:val="24"/>
        </w:rPr>
        <w:lastRenderedPageBreak/>
        <w:t>ser incorporada aos preços dos títulos e às expectativas dos investidores quanto aos resultados futuros do processo de combinação empresarial.</w:t>
      </w:r>
    </w:p>
    <w:p w:rsidR="00702A49" w:rsidRPr="007368CC" w:rsidRDefault="00702A49" w:rsidP="00702A49">
      <w:pPr>
        <w:ind w:left="993"/>
        <w:jc w:val="both"/>
      </w:pPr>
      <w:r>
        <w:rPr>
          <w:b/>
        </w:rPr>
        <w:t xml:space="preserve">Tabela 1 </w:t>
      </w:r>
      <w:r>
        <w:t xml:space="preserve">Retorno Anormal (RA) para o anúncio da combinação de negócios </w:t>
      </w:r>
    </w:p>
    <w:tbl>
      <w:tblPr>
        <w:tblW w:w="0" w:type="auto"/>
        <w:jc w:val="center"/>
        <w:tblLayout w:type="fixed"/>
        <w:tblCellMar>
          <w:left w:w="70" w:type="dxa"/>
          <w:right w:w="70" w:type="dxa"/>
        </w:tblCellMar>
        <w:tblLook w:val="0000"/>
      </w:tblPr>
      <w:tblGrid>
        <w:gridCol w:w="2313"/>
        <w:gridCol w:w="2516"/>
        <w:gridCol w:w="2352"/>
      </w:tblGrid>
      <w:tr w:rsidR="00702A49" w:rsidRPr="007368CC" w:rsidTr="00544A4E">
        <w:trPr>
          <w:trHeight w:val="1890"/>
          <w:jc w:val="center"/>
        </w:trPr>
        <w:tc>
          <w:tcPr>
            <w:tcW w:w="2313" w:type="dxa"/>
            <w:tcBorders>
              <w:top w:val="single" w:sz="4" w:space="0" w:color="000000"/>
              <w:left w:val="none" w:sz="0" w:space="0" w:color="000000"/>
              <w:bottom w:val="single" w:sz="4" w:space="0" w:color="000000"/>
            </w:tcBorders>
            <w:shd w:val="clear" w:color="auto" w:fill="auto"/>
            <w:vAlign w:val="center"/>
          </w:tcPr>
          <w:p w:rsidR="00702A49" w:rsidRPr="007368CC" w:rsidRDefault="00702A49" w:rsidP="00544A4E">
            <w:pPr>
              <w:jc w:val="center"/>
            </w:pPr>
            <w:r w:rsidRPr="007368CC">
              <w:rPr>
                <w:b/>
                <w:bCs/>
                <w:color w:val="000000"/>
              </w:rPr>
              <w:t>EMPRESA</w:t>
            </w:r>
          </w:p>
        </w:tc>
        <w:tc>
          <w:tcPr>
            <w:tcW w:w="2516" w:type="dxa"/>
            <w:tcBorders>
              <w:top w:val="single" w:sz="4" w:space="0" w:color="000000"/>
              <w:left w:val="single" w:sz="4" w:space="0" w:color="000000"/>
              <w:bottom w:val="single" w:sz="4" w:space="0" w:color="000000"/>
            </w:tcBorders>
            <w:shd w:val="clear" w:color="auto" w:fill="auto"/>
            <w:vAlign w:val="center"/>
          </w:tcPr>
          <w:p w:rsidR="00702A49" w:rsidRPr="007368CC" w:rsidRDefault="00702A49" w:rsidP="00544A4E">
            <w:pPr>
              <w:jc w:val="center"/>
            </w:pPr>
            <w:r>
              <w:rPr>
                <w:b/>
                <w:bCs/>
                <w:color w:val="000000"/>
              </w:rPr>
              <w:t xml:space="preserve">RA em t (data da divulgação DO ANÚNCIO da </w:t>
            </w:r>
            <w:r w:rsidRPr="007368CC">
              <w:rPr>
                <w:b/>
                <w:bCs/>
                <w:color w:val="000000"/>
              </w:rPr>
              <w:t>combinação de negócios</w:t>
            </w:r>
            <w:r>
              <w:rPr>
                <w:b/>
                <w:bCs/>
                <w:color w:val="000000"/>
              </w:rPr>
              <w:t>)</w:t>
            </w:r>
          </w:p>
        </w:tc>
        <w:tc>
          <w:tcPr>
            <w:tcW w:w="2352" w:type="dxa"/>
            <w:tcBorders>
              <w:top w:val="single" w:sz="4" w:space="0" w:color="000000"/>
              <w:left w:val="single" w:sz="4" w:space="0" w:color="000000"/>
              <w:bottom w:val="single" w:sz="4" w:space="0" w:color="000000"/>
              <w:right w:val="none" w:sz="0" w:space="0" w:color="000000"/>
            </w:tcBorders>
            <w:shd w:val="clear" w:color="auto" w:fill="auto"/>
            <w:vAlign w:val="center"/>
          </w:tcPr>
          <w:p w:rsidR="00702A49" w:rsidRPr="007368CC" w:rsidRDefault="00702A49" w:rsidP="00544A4E">
            <w:pPr>
              <w:jc w:val="center"/>
            </w:pPr>
            <w:r>
              <w:rPr>
                <w:b/>
                <w:bCs/>
                <w:color w:val="000000"/>
              </w:rPr>
              <w:t>RA</w:t>
            </w:r>
            <w:r w:rsidRPr="007368CC">
              <w:rPr>
                <w:b/>
                <w:bCs/>
                <w:color w:val="000000"/>
              </w:rPr>
              <w:t xml:space="preserve"> </w:t>
            </w:r>
            <w:r>
              <w:rPr>
                <w:b/>
                <w:bCs/>
                <w:color w:val="000000"/>
              </w:rPr>
              <w:t xml:space="preserve">em t+1 (data seguinte à divulgação DO ANÚNCIO </w:t>
            </w:r>
            <w:r w:rsidRPr="007368CC">
              <w:rPr>
                <w:b/>
                <w:bCs/>
                <w:color w:val="000000"/>
              </w:rPr>
              <w:t>combinação de negócios</w:t>
            </w:r>
            <w:r>
              <w:rPr>
                <w:b/>
                <w:bCs/>
                <w:color w:val="000000"/>
              </w:rPr>
              <w:t>)</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BRADESCO</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rPr>
                <w:b/>
              </w:rPr>
              <w:t>0.0185</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rPr>
                <w:b/>
              </w:rPr>
              <w:t>0.0012</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CETIP</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-0.0029</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-0.0088</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COELBA</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0.0218</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-0.0206</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CEMIG</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-0.0097</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0.0241</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CEDRO</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-0.0331</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0.0465</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CSN</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-0.0236</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-0.0043</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COSAN</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-0.0013</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-0.0127</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CPFL</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rPr>
                <w:b/>
              </w:rPr>
              <w:t>0.0213</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rPr>
                <w:b/>
              </w:rPr>
              <w:t>0.0051</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CVC</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0.0107</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-0.0175</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JSL</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-0.0074</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0.0260</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LOCALIZA</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-0.0024</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0.0054</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MAGNESITA</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rPr>
                <w:b/>
              </w:rPr>
              <w:t>0.0120</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rPr>
                <w:b/>
              </w:rPr>
              <w:t>0.1171</w:t>
            </w:r>
          </w:p>
        </w:tc>
      </w:tr>
      <w:tr w:rsidR="00702A49" w:rsidRPr="007368CC" w:rsidTr="00544A4E">
        <w:trPr>
          <w:trHeight w:val="378"/>
          <w:jc w:val="center"/>
        </w:trPr>
        <w:tc>
          <w:tcPr>
            <w:tcW w:w="2313" w:type="dxa"/>
            <w:tcBorders>
              <w:top w:val="none" w:sz="0" w:space="0" w:color="000000"/>
              <w:left w:val="none" w:sz="0" w:space="0" w:color="000000"/>
              <w:bottom w:val="single" w:sz="4" w:space="0" w:color="000000"/>
            </w:tcBorders>
            <w:shd w:val="clear" w:color="auto" w:fill="FFFFFF"/>
            <w:vAlign w:val="bottom"/>
          </w:tcPr>
          <w:p w:rsidR="00702A49" w:rsidRPr="007368CC" w:rsidRDefault="00702A49" w:rsidP="00544A4E">
            <w:r w:rsidRPr="007368CC">
              <w:rPr>
                <w:b/>
                <w:bCs/>
                <w:color w:val="000000"/>
              </w:rPr>
              <w:t>SÃO MARTINHO</w:t>
            </w:r>
          </w:p>
        </w:tc>
        <w:tc>
          <w:tcPr>
            <w:tcW w:w="2516" w:type="dxa"/>
            <w:tcBorders>
              <w:top w:val="none" w:sz="0" w:space="0" w:color="000000"/>
              <w:left w:val="single" w:sz="4" w:space="0" w:color="000000"/>
              <w:bottom w:val="single" w:sz="4" w:space="0" w:color="000000"/>
            </w:tcBorders>
            <w:shd w:val="clear" w:color="auto" w:fill="FFFFFF"/>
            <w:vAlign w:val="bottom"/>
          </w:tcPr>
          <w:p w:rsidR="00702A49" w:rsidRPr="007368CC" w:rsidRDefault="00702A49" w:rsidP="00544A4E">
            <w:pPr>
              <w:jc w:val="center"/>
            </w:pPr>
            <w:r w:rsidRPr="007368CC">
              <w:t>-0.0018</w:t>
            </w:r>
          </w:p>
        </w:tc>
        <w:tc>
          <w:tcPr>
            <w:tcW w:w="2352"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Pr="007368CC" w:rsidRDefault="00702A49" w:rsidP="00544A4E">
            <w:pPr>
              <w:jc w:val="center"/>
            </w:pPr>
            <w:r w:rsidRPr="007368CC">
              <w:t>0.0383</w:t>
            </w:r>
          </w:p>
        </w:tc>
      </w:tr>
    </w:tbl>
    <w:p w:rsidR="00702A49" w:rsidRDefault="00702A49" w:rsidP="00702A49">
      <w:pPr>
        <w:jc w:val="both"/>
      </w:pPr>
      <w:r>
        <w:rPr>
          <w:b/>
        </w:rPr>
        <w:t xml:space="preserve">                   </w:t>
      </w:r>
      <w:r w:rsidRPr="007368CC">
        <w:rPr>
          <w:b/>
        </w:rPr>
        <w:t>Fonte</w:t>
      </w:r>
      <w:r w:rsidRPr="007368CC">
        <w:t>: elaborada pelos autores</w:t>
      </w:r>
    </w:p>
    <w:p w:rsidR="00702A49" w:rsidRDefault="00702A49" w:rsidP="00702A49">
      <w:pPr>
        <w:ind w:firstLine="709"/>
        <w:jc w:val="both"/>
      </w:pPr>
      <w:r>
        <w:rPr>
          <w:sz w:val="24"/>
          <w:szCs w:val="24"/>
        </w:rPr>
        <w:t xml:space="preserve">Conforme pode ser observado na tabela anterior, o BRADESCO, a CPFL e a MAGNESTIA apresentaram retorno anormal positivo, tanto no dia do anúncio da combinação de negócios quanto no dia posterior a ela. Enquanto isso, a COELBA e a CVC apresentaram retorno anormal positivo somente no dia do anúncio da combinação de negócios e retorno anormal negativo, um dia após </w:t>
      </w:r>
      <w:proofErr w:type="gramStart"/>
      <w:r>
        <w:rPr>
          <w:sz w:val="24"/>
          <w:szCs w:val="24"/>
        </w:rPr>
        <w:t>à</w:t>
      </w:r>
      <w:proofErr w:type="gramEnd"/>
      <w:r>
        <w:rPr>
          <w:sz w:val="24"/>
          <w:szCs w:val="24"/>
        </w:rPr>
        <w:t xml:space="preserve"> divulgação. Já a CEMIG, a CEDRO, a JSL, a LOCALIZA e a SÃO MARTINHO apresentaram retornos anormais positivos somente um dia após </w:t>
      </w:r>
      <w:proofErr w:type="gramStart"/>
      <w:r>
        <w:rPr>
          <w:sz w:val="24"/>
          <w:szCs w:val="24"/>
        </w:rPr>
        <w:t>à</w:t>
      </w:r>
      <w:proofErr w:type="gramEnd"/>
      <w:r>
        <w:rPr>
          <w:sz w:val="24"/>
          <w:szCs w:val="24"/>
        </w:rPr>
        <w:t xml:space="preserve"> divulgação da combinação de negó</w:t>
      </w:r>
      <w:r w:rsidR="00703EBF">
        <w:rPr>
          <w:sz w:val="24"/>
          <w:szCs w:val="24"/>
        </w:rPr>
        <w:t xml:space="preserve">cios. Nessa amostra, </w:t>
      </w:r>
      <w:proofErr w:type="gramStart"/>
      <w:r w:rsidR="00703EBF">
        <w:rPr>
          <w:sz w:val="24"/>
          <w:szCs w:val="24"/>
        </w:rPr>
        <w:t>cerca de 23</w:t>
      </w:r>
      <w:proofErr w:type="gramEnd"/>
      <w:r>
        <w:rPr>
          <w:sz w:val="24"/>
          <w:szCs w:val="24"/>
        </w:rPr>
        <w:t>% das empresas apresentaram retornos anormais</w:t>
      </w:r>
      <w:r w:rsidR="00703EBF">
        <w:rPr>
          <w:sz w:val="24"/>
          <w:szCs w:val="24"/>
        </w:rPr>
        <w:t xml:space="preserve"> positivos</w:t>
      </w:r>
      <w:r>
        <w:rPr>
          <w:sz w:val="24"/>
          <w:szCs w:val="24"/>
        </w:rPr>
        <w:t xml:space="preserve">, tanto no dia da divulgação quanto um dia após. A partir do exposto, observou-se que os resultados foram ao encontro dos de </w:t>
      </w:r>
      <w:proofErr w:type="spellStart"/>
      <w:r>
        <w:rPr>
          <w:sz w:val="24"/>
          <w:szCs w:val="24"/>
        </w:rPr>
        <w:t>Healy</w:t>
      </w:r>
      <w:proofErr w:type="spellEnd"/>
      <w:r>
        <w:rPr>
          <w:sz w:val="24"/>
          <w:szCs w:val="24"/>
        </w:rPr>
        <w:t xml:space="preserve"> </w:t>
      </w:r>
      <w:proofErr w:type="spellStart"/>
      <w:proofErr w:type="gramStart"/>
      <w:r>
        <w:rPr>
          <w:i/>
          <w:sz w:val="24"/>
          <w:szCs w:val="24"/>
        </w:rPr>
        <w:t>et</w:t>
      </w:r>
      <w:proofErr w:type="spellEnd"/>
      <w:proofErr w:type="gramEnd"/>
      <w:r>
        <w:rPr>
          <w:i/>
          <w:sz w:val="24"/>
          <w:szCs w:val="24"/>
        </w:rPr>
        <w:t xml:space="preserve"> </w:t>
      </w:r>
      <w:proofErr w:type="spellStart"/>
      <w:r>
        <w:rPr>
          <w:i/>
          <w:sz w:val="24"/>
          <w:szCs w:val="24"/>
        </w:rPr>
        <w:t>al</w:t>
      </w:r>
      <w:proofErr w:type="spellEnd"/>
      <w:r>
        <w:rPr>
          <w:sz w:val="24"/>
          <w:szCs w:val="24"/>
        </w:rPr>
        <w:t xml:space="preserve"> (1993), isto é, os anúncios de fusões e aquisições corroboram retornos anormais positivos. Os resultados também </w:t>
      </w:r>
      <w:proofErr w:type="gramStart"/>
      <w:r>
        <w:rPr>
          <w:sz w:val="24"/>
          <w:szCs w:val="24"/>
        </w:rPr>
        <w:t>encontram-se</w:t>
      </w:r>
      <w:proofErr w:type="gramEnd"/>
      <w:r>
        <w:rPr>
          <w:sz w:val="24"/>
          <w:szCs w:val="24"/>
        </w:rPr>
        <w:t xml:space="preserve"> alinhados  à pesquisa de Patrocínio, </w:t>
      </w:r>
      <w:proofErr w:type="spellStart"/>
      <w:r>
        <w:rPr>
          <w:sz w:val="24"/>
          <w:szCs w:val="24"/>
        </w:rPr>
        <w:t>Kayo</w:t>
      </w:r>
      <w:proofErr w:type="spellEnd"/>
      <w:r>
        <w:rPr>
          <w:sz w:val="24"/>
          <w:szCs w:val="24"/>
        </w:rPr>
        <w:t xml:space="preserve"> &amp; Kimura (2007) de que, nos processos de </w:t>
      </w:r>
      <w:proofErr w:type="spellStart"/>
      <w:r>
        <w:rPr>
          <w:sz w:val="24"/>
          <w:szCs w:val="24"/>
        </w:rPr>
        <w:t>F&amp;A</w:t>
      </w:r>
      <w:proofErr w:type="spellEnd"/>
      <w:r>
        <w:rPr>
          <w:sz w:val="24"/>
          <w:szCs w:val="24"/>
        </w:rPr>
        <w:t xml:space="preserve"> entre empresas intensivas intangíveis, os retornos anormais são estatisticamente diferentes de zero e positivos. </w:t>
      </w:r>
    </w:p>
    <w:p w:rsidR="00702A49" w:rsidRPr="00380DF0" w:rsidRDefault="00702A49" w:rsidP="00380DF0">
      <w:pPr>
        <w:ind w:firstLine="709"/>
        <w:jc w:val="both"/>
        <w:rPr>
          <w:szCs w:val="24"/>
        </w:rPr>
      </w:pPr>
      <w:r>
        <w:rPr>
          <w:sz w:val="24"/>
          <w:szCs w:val="24"/>
        </w:rPr>
        <w:t>A tabela 2 analisou o evento da conclusão ou da aprovação do CADE com o propósito de verificar se o anúncio fez com que os retornos anormais positivos persistissem ou não.</w:t>
      </w:r>
      <w:r>
        <w:rPr>
          <w:szCs w:val="24"/>
        </w:rPr>
        <w:t xml:space="preserve"> </w:t>
      </w:r>
    </w:p>
    <w:p w:rsidR="006C79DF" w:rsidRDefault="006C79DF" w:rsidP="00380DF0">
      <w:pPr>
        <w:ind w:left="1134"/>
        <w:jc w:val="both"/>
        <w:rPr>
          <w:b/>
          <w:szCs w:val="24"/>
        </w:rPr>
      </w:pPr>
    </w:p>
    <w:p w:rsidR="006C79DF" w:rsidRDefault="006C79DF" w:rsidP="00380DF0">
      <w:pPr>
        <w:ind w:left="1134"/>
        <w:jc w:val="both"/>
        <w:rPr>
          <w:b/>
          <w:szCs w:val="24"/>
        </w:rPr>
      </w:pPr>
    </w:p>
    <w:p w:rsidR="006C79DF" w:rsidRDefault="006C79DF" w:rsidP="00380DF0">
      <w:pPr>
        <w:ind w:left="1134"/>
        <w:jc w:val="both"/>
        <w:rPr>
          <w:b/>
          <w:szCs w:val="24"/>
        </w:rPr>
      </w:pPr>
    </w:p>
    <w:p w:rsidR="006C79DF" w:rsidRDefault="006C79DF" w:rsidP="00380DF0">
      <w:pPr>
        <w:ind w:left="1134"/>
        <w:jc w:val="both"/>
        <w:rPr>
          <w:b/>
          <w:szCs w:val="24"/>
        </w:rPr>
      </w:pPr>
    </w:p>
    <w:p w:rsidR="006C79DF" w:rsidRDefault="006C79DF" w:rsidP="00380DF0">
      <w:pPr>
        <w:ind w:left="1134"/>
        <w:jc w:val="both"/>
        <w:rPr>
          <w:b/>
          <w:szCs w:val="24"/>
        </w:rPr>
      </w:pPr>
    </w:p>
    <w:p w:rsidR="006C79DF" w:rsidRDefault="006C79DF" w:rsidP="00380DF0">
      <w:pPr>
        <w:ind w:left="1134"/>
        <w:jc w:val="both"/>
        <w:rPr>
          <w:b/>
          <w:szCs w:val="24"/>
        </w:rPr>
      </w:pPr>
    </w:p>
    <w:p w:rsidR="006C79DF" w:rsidRDefault="006C79DF" w:rsidP="00380DF0">
      <w:pPr>
        <w:ind w:left="1134"/>
        <w:jc w:val="both"/>
        <w:rPr>
          <w:b/>
          <w:szCs w:val="24"/>
        </w:rPr>
      </w:pPr>
    </w:p>
    <w:p w:rsidR="00702A49" w:rsidRDefault="00702A49" w:rsidP="00380DF0">
      <w:pPr>
        <w:ind w:left="1134"/>
        <w:jc w:val="both"/>
        <w:rPr>
          <w:szCs w:val="24"/>
        </w:rPr>
      </w:pPr>
      <w:r>
        <w:rPr>
          <w:b/>
          <w:szCs w:val="24"/>
        </w:rPr>
        <w:lastRenderedPageBreak/>
        <w:t>Tabela 2</w:t>
      </w:r>
      <w:r>
        <w:rPr>
          <w:szCs w:val="24"/>
        </w:rPr>
        <w:t xml:space="preserve">: Retorno Anormal (RA) para aprovação/conclusão da combinação de </w:t>
      </w:r>
    </w:p>
    <w:p w:rsidR="00702A49" w:rsidRDefault="00702A49" w:rsidP="00380DF0">
      <w:pPr>
        <w:ind w:left="1134"/>
        <w:jc w:val="both"/>
      </w:pPr>
      <w:proofErr w:type="gramStart"/>
      <w:r>
        <w:rPr>
          <w:szCs w:val="24"/>
        </w:rPr>
        <w:t>negócios</w:t>
      </w:r>
      <w:proofErr w:type="gramEnd"/>
      <w:r>
        <w:rPr>
          <w:szCs w:val="24"/>
        </w:rPr>
        <w:t xml:space="preserve"> </w:t>
      </w:r>
    </w:p>
    <w:tbl>
      <w:tblPr>
        <w:tblW w:w="0" w:type="auto"/>
        <w:jc w:val="center"/>
        <w:tblLayout w:type="fixed"/>
        <w:tblCellMar>
          <w:left w:w="70" w:type="dxa"/>
          <w:right w:w="70" w:type="dxa"/>
        </w:tblCellMar>
        <w:tblLook w:val="0000"/>
      </w:tblPr>
      <w:tblGrid>
        <w:gridCol w:w="2172"/>
        <w:gridCol w:w="2364"/>
        <w:gridCol w:w="2208"/>
      </w:tblGrid>
      <w:tr w:rsidR="00702A49" w:rsidTr="006C79DF">
        <w:trPr>
          <w:trHeight w:val="1221"/>
          <w:jc w:val="center"/>
        </w:trPr>
        <w:tc>
          <w:tcPr>
            <w:tcW w:w="2172" w:type="dxa"/>
            <w:tcBorders>
              <w:top w:val="single" w:sz="4" w:space="0" w:color="000000"/>
              <w:left w:val="none" w:sz="0" w:space="0" w:color="000000"/>
              <w:bottom w:val="single" w:sz="4" w:space="0" w:color="000000"/>
            </w:tcBorders>
            <w:shd w:val="clear" w:color="auto" w:fill="auto"/>
            <w:vAlign w:val="center"/>
          </w:tcPr>
          <w:p w:rsidR="00702A49" w:rsidRDefault="00702A49" w:rsidP="00544A4E">
            <w:pPr>
              <w:jc w:val="center"/>
            </w:pPr>
            <w:r>
              <w:rPr>
                <w:b/>
                <w:bCs/>
                <w:color w:val="000000"/>
              </w:rPr>
              <w:t>EMPRESA</w:t>
            </w:r>
          </w:p>
        </w:tc>
        <w:tc>
          <w:tcPr>
            <w:tcW w:w="2364" w:type="dxa"/>
            <w:tcBorders>
              <w:top w:val="single" w:sz="4" w:space="0" w:color="000000"/>
              <w:left w:val="single" w:sz="4" w:space="0" w:color="000000"/>
              <w:bottom w:val="single" w:sz="4" w:space="0" w:color="000000"/>
            </w:tcBorders>
            <w:shd w:val="clear" w:color="auto" w:fill="auto"/>
            <w:vAlign w:val="center"/>
          </w:tcPr>
          <w:p w:rsidR="00702A49" w:rsidRDefault="00702A49" w:rsidP="00544A4E">
            <w:pPr>
              <w:jc w:val="center"/>
            </w:pPr>
            <w:r>
              <w:rPr>
                <w:b/>
                <w:bCs/>
                <w:color w:val="000000"/>
              </w:rPr>
              <w:t>RA em t (dia da divulgação da APROVAÇÃO do CADE)</w:t>
            </w:r>
          </w:p>
        </w:tc>
        <w:tc>
          <w:tcPr>
            <w:tcW w:w="2208" w:type="dxa"/>
            <w:tcBorders>
              <w:top w:val="single" w:sz="4" w:space="0" w:color="000000"/>
              <w:left w:val="single" w:sz="4" w:space="0" w:color="000000"/>
              <w:bottom w:val="single" w:sz="4" w:space="0" w:color="000000"/>
              <w:right w:val="none" w:sz="0" w:space="0" w:color="000000"/>
            </w:tcBorders>
            <w:shd w:val="clear" w:color="auto" w:fill="auto"/>
            <w:vAlign w:val="center"/>
          </w:tcPr>
          <w:p w:rsidR="00702A49" w:rsidRDefault="00702A49" w:rsidP="00544A4E">
            <w:pPr>
              <w:jc w:val="center"/>
            </w:pPr>
            <w:r>
              <w:rPr>
                <w:b/>
                <w:bCs/>
                <w:color w:val="000000"/>
              </w:rPr>
              <w:t>RA em t+1 (dia da divulgação da aprovação do CADE)</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BRADESCO</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t>-0.0069</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t>-0.0093</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CETIP</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rPr>
                <w:b/>
                <w:bCs/>
                <w:iCs/>
              </w:rPr>
              <w:t>0.0092</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rPr>
                <w:b/>
                <w:bCs/>
                <w:iCs/>
              </w:rPr>
              <w:t>0.1084</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COELBA</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rPr>
                <w:b/>
                <w:bCs/>
                <w:iCs/>
              </w:rPr>
              <w:t>0.0245</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t>-0.0659</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 xml:space="preserve">CEMIG </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t>-0.0501</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t>-0.0171</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CEDRO</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t>-0.0645</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t>-0.0113</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CSN</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rPr>
                <w:b/>
                <w:bCs/>
                <w:iCs/>
              </w:rPr>
              <w:t>0.0451</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rPr>
                <w:b/>
                <w:bCs/>
                <w:iCs/>
              </w:rPr>
              <w:t>0.0052</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COSAN</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t>-0.0012</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rPr>
                <w:b/>
                <w:bCs/>
                <w:iCs/>
              </w:rPr>
              <w:t>0.0662</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CPFL</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t>-0.0014</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t>-0.0048</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CVC</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rPr>
                <w:b/>
                <w:bCs/>
                <w:iCs/>
              </w:rPr>
              <w:t>0.0167</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rPr>
                <w:b/>
                <w:bCs/>
                <w:iCs/>
              </w:rPr>
              <w:t>0.0029</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JSL</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t>-0.0024</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rPr>
                <w:b/>
                <w:bCs/>
                <w:iCs/>
              </w:rPr>
              <w:t>0.0054</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LOCALIZA</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t>-0.0250</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rPr>
                <w:b/>
                <w:bCs/>
                <w:iCs/>
              </w:rPr>
              <w:t>0.0779</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MAGNESITA</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t>-0.0190</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rPr>
                <w:b/>
                <w:bCs/>
                <w:iCs/>
              </w:rPr>
              <w:t>0.0019</w:t>
            </w:r>
          </w:p>
        </w:tc>
      </w:tr>
      <w:tr w:rsidR="00702A49" w:rsidTr="006C79DF">
        <w:trPr>
          <w:trHeight w:val="299"/>
          <w:jc w:val="center"/>
        </w:trPr>
        <w:tc>
          <w:tcPr>
            <w:tcW w:w="2172"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SÃO MARTINHO</w:t>
            </w:r>
          </w:p>
        </w:tc>
        <w:tc>
          <w:tcPr>
            <w:tcW w:w="2364"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center"/>
            </w:pPr>
            <w:r>
              <w:t>-0.0081</w:t>
            </w:r>
          </w:p>
        </w:tc>
        <w:tc>
          <w:tcPr>
            <w:tcW w:w="22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center"/>
            </w:pPr>
            <w:r>
              <w:rPr>
                <w:b/>
                <w:bCs/>
                <w:iCs/>
              </w:rPr>
              <w:t>0.0046</w:t>
            </w:r>
          </w:p>
        </w:tc>
      </w:tr>
    </w:tbl>
    <w:p w:rsidR="00702A49" w:rsidRPr="00924F05" w:rsidRDefault="00702A49" w:rsidP="00702A49">
      <w:pPr>
        <w:jc w:val="both"/>
      </w:pPr>
      <w:r>
        <w:rPr>
          <w:b/>
          <w:szCs w:val="24"/>
        </w:rPr>
        <w:t xml:space="preserve">                      </w:t>
      </w:r>
      <w:r w:rsidR="006C79DF">
        <w:rPr>
          <w:b/>
          <w:szCs w:val="24"/>
        </w:rPr>
        <w:t xml:space="preserve"> </w:t>
      </w:r>
      <w:r>
        <w:rPr>
          <w:b/>
          <w:szCs w:val="24"/>
        </w:rPr>
        <w:t>Fonte</w:t>
      </w:r>
      <w:r>
        <w:rPr>
          <w:szCs w:val="24"/>
        </w:rPr>
        <w:t>: elaborada pelos autores</w:t>
      </w:r>
    </w:p>
    <w:p w:rsidR="00702A49" w:rsidRDefault="00702A49" w:rsidP="00702A49">
      <w:pPr>
        <w:ind w:firstLine="709"/>
        <w:jc w:val="both"/>
      </w:pPr>
      <w:r>
        <w:rPr>
          <w:sz w:val="24"/>
          <w:szCs w:val="24"/>
        </w:rPr>
        <w:t xml:space="preserve">Diferentemente do anúncio da combinação de negócios, as empresas que apresentaram retornos anormais positivos, tanto no dia da conclusão ou aprovação da combinação de negócios quanto um dia após, foram a CETIP, a CSN e a CVC, ou seja, não se pode inferir que o comportamento </w:t>
      </w:r>
      <w:r>
        <w:rPr>
          <w:i/>
          <w:sz w:val="24"/>
          <w:szCs w:val="24"/>
        </w:rPr>
        <w:t>ex ante</w:t>
      </w:r>
      <w:r>
        <w:rPr>
          <w:sz w:val="24"/>
          <w:szCs w:val="24"/>
        </w:rPr>
        <w:t xml:space="preserve"> do anúncio irá continuar quando da concretização da combinação de negócios. A COELBA apresentou RA positivo apenas na data da concretização. Ademais, a COSAN, a JSL, a LOCALIZA, a MAGNESITA e a SÃO MARTINHO apresentaram retorno anormal um dia após a concretização. Tais achados confirmam a pesquisa de Leitão e </w:t>
      </w:r>
      <w:proofErr w:type="spellStart"/>
      <w:r>
        <w:rPr>
          <w:sz w:val="24"/>
          <w:szCs w:val="24"/>
        </w:rPr>
        <w:t>Galli</w:t>
      </w:r>
      <w:proofErr w:type="spellEnd"/>
      <w:r>
        <w:rPr>
          <w:sz w:val="24"/>
          <w:szCs w:val="24"/>
        </w:rPr>
        <w:t xml:space="preserve"> (2014) em que, ao analisarem </w:t>
      </w:r>
      <w:proofErr w:type="gramStart"/>
      <w:r>
        <w:rPr>
          <w:sz w:val="24"/>
          <w:szCs w:val="24"/>
        </w:rPr>
        <w:t>as volatilidade</w:t>
      </w:r>
      <w:proofErr w:type="gramEnd"/>
      <w:r>
        <w:rPr>
          <w:sz w:val="24"/>
          <w:szCs w:val="24"/>
        </w:rPr>
        <w:t xml:space="preserve"> das ações nas operações de combinações de negócios, tal comportamento pode ser observado tanto numa perspectiva </w:t>
      </w:r>
      <w:r>
        <w:rPr>
          <w:i/>
          <w:sz w:val="24"/>
          <w:szCs w:val="24"/>
        </w:rPr>
        <w:t>ex ante</w:t>
      </w:r>
      <w:r>
        <w:rPr>
          <w:sz w:val="24"/>
          <w:szCs w:val="24"/>
        </w:rPr>
        <w:t xml:space="preserve"> (em torno do anúncio da operação) como </w:t>
      </w:r>
      <w:r>
        <w:rPr>
          <w:i/>
          <w:sz w:val="24"/>
          <w:szCs w:val="24"/>
        </w:rPr>
        <w:t xml:space="preserve">ex </w:t>
      </w:r>
      <w:proofErr w:type="spellStart"/>
      <w:r>
        <w:rPr>
          <w:i/>
          <w:sz w:val="24"/>
          <w:szCs w:val="24"/>
        </w:rPr>
        <w:t>post</w:t>
      </w:r>
      <w:proofErr w:type="spellEnd"/>
      <w:r>
        <w:rPr>
          <w:i/>
          <w:sz w:val="24"/>
          <w:szCs w:val="24"/>
        </w:rPr>
        <w:t xml:space="preserve"> </w:t>
      </w:r>
      <w:r>
        <w:rPr>
          <w:sz w:val="24"/>
          <w:szCs w:val="24"/>
        </w:rPr>
        <w:t>(em torno da conclusão da operação).</w:t>
      </w:r>
    </w:p>
    <w:p w:rsidR="00702A49" w:rsidRPr="006C79DF" w:rsidRDefault="00702A49" w:rsidP="006C79DF">
      <w:pPr>
        <w:ind w:firstLine="709"/>
        <w:jc w:val="both"/>
      </w:pPr>
      <w:r>
        <w:rPr>
          <w:sz w:val="24"/>
          <w:szCs w:val="24"/>
        </w:rPr>
        <w:t>A tabela 3 apresenta os Retornos Anormais Acumulados (</w:t>
      </w:r>
      <w:proofErr w:type="spellStart"/>
      <w:r>
        <w:rPr>
          <w:sz w:val="24"/>
          <w:szCs w:val="24"/>
        </w:rPr>
        <w:t>RAAs</w:t>
      </w:r>
      <w:proofErr w:type="spellEnd"/>
      <w:r>
        <w:rPr>
          <w:sz w:val="24"/>
          <w:szCs w:val="24"/>
        </w:rPr>
        <w:t xml:space="preserve">). Quando esses retornos apresentam valores negativos na janela do evento, significa que o valor da ação foi menor do que o valor projetado, conforme modelo de </w:t>
      </w:r>
      <w:proofErr w:type="gramStart"/>
      <w:r>
        <w:rPr>
          <w:sz w:val="24"/>
          <w:szCs w:val="24"/>
        </w:rPr>
        <w:t>estimativa adotado</w:t>
      </w:r>
      <w:proofErr w:type="gramEnd"/>
      <w:r>
        <w:rPr>
          <w:sz w:val="24"/>
          <w:szCs w:val="24"/>
        </w:rPr>
        <w:t xml:space="preserve"> (Machado, 2009). </w:t>
      </w:r>
    </w:p>
    <w:p w:rsidR="00702A49" w:rsidRDefault="00702A49" w:rsidP="00702A49">
      <w:pPr>
        <w:jc w:val="both"/>
      </w:pPr>
      <w:r>
        <w:rPr>
          <w:b/>
          <w:szCs w:val="24"/>
        </w:rPr>
        <w:t xml:space="preserve">Tabela 3: </w:t>
      </w:r>
      <w:r>
        <w:rPr>
          <w:szCs w:val="24"/>
        </w:rPr>
        <w:t>Retorno Anormal Acumulado (RAA) do anúncio e da concretização da combinação de negócios</w:t>
      </w:r>
    </w:p>
    <w:p w:rsidR="00702A49" w:rsidRDefault="00702A49" w:rsidP="00702A49">
      <w:pPr>
        <w:jc w:val="both"/>
      </w:pPr>
      <w:r>
        <w:t xml:space="preserve"> Concretização ou aprovação pelo CADE.</w:t>
      </w:r>
    </w:p>
    <w:tbl>
      <w:tblPr>
        <w:tblW w:w="9209" w:type="dxa"/>
        <w:jc w:val="center"/>
        <w:tblLayout w:type="fixed"/>
        <w:tblCellMar>
          <w:left w:w="70" w:type="dxa"/>
          <w:right w:w="70" w:type="dxa"/>
        </w:tblCellMar>
        <w:tblLook w:val="0000"/>
      </w:tblPr>
      <w:tblGrid>
        <w:gridCol w:w="1844"/>
        <w:gridCol w:w="1598"/>
        <w:gridCol w:w="1761"/>
        <w:gridCol w:w="1895"/>
        <w:gridCol w:w="2111"/>
      </w:tblGrid>
      <w:tr w:rsidR="00702A49" w:rsidTr="006C79DF">
        <w:trPr>
          <w:trHeight w:val="547"/>
          <w:jc w:val="center"/>
        </w:trPr>
        <w:tc>
          <w:tcPr>
            <w:tcW w:w="1844" w:type="dxa"/>
            <w:vMerge w:val="restart"/>
            <w:tcBorders>
              <w:top w:val="single" w:sz="4" w:space="0" w:color="000000"/>
              <w:left w:val="none" w:sz="0" w:space="0" w:color="000000"/>
              <w:bottom w:val="single" w:sz="4" w:space="0" w:color="000000"/>
            </w:tcBorders>
            <w:shd w:val="clear" w:color="auto" w:fill="FFFFFF"/>
            <w:vAlign w:val="center"/>
          </w:tcPr>
          <w:p w:rsidR="00702A49" w:rsidRDefault="00702A49" w:rsidP="00544A4E">
            <w:pPr>
              <w:jc w:val="center"/>
            </w:pPr>
            <w:r>
              <w:rPr>
                <w:b/>
                <w:bCs/>
                <w:color w:val="000000"/>
              </w:rPr>
              <w:t>EMPRESA</w:t>
            </w:r>
          </w:p>
        </w:tc>
        <w:tc>
          <w:tcPr>
            <w:tcW w:w="3359" w:type="dxa"/>
            <w:gridSpan w:val="2"/>
            <w:tcBorders>
              <w:top w:val="single" w:sz="4" w:space="0" w:color="000000"/>
              <w:left w:val="single" w:sz="4" w:space="0" w:color="000000"/>
              <w:bottom w:val="single" w:sz="4" w:space="0" w:color="000000"/>
            </w:tcBorders>
            <w:shd w:val="clear" w:color="auto" w:fill="FFFFFF"/>
            <w:vAlign w:val="center"/>
          </w:tcPr>
          <w:p w:rsidR="00702A49" w:rsidRDefault="00702A49" w:rsidP="00544A4E">
            <w:pPr>
              <w:jc w:val="center"/>
            </w:pPr>
            <w:r>
              <w:rPr>
                <w:b/>
                <w:bCs/>
                <w:color w:val="000000"/>
              </w:rPr>
              <w:t>ANÚNCIO COMBINAÇÃO DE NEGÓCIOS</w:t>
            </w:r>
          </w:p>
        </w:tc>
        <w:tc>
          <w:tcPr>
            <w:tcW w:w="4006" w:type="dxa"/>
            <w:gridSpan w:val="2"/>
            <w:tcBorders>
              <w:top w:val="single" w:sz="4" w:space="0" w:color="000000"/>
              <w:left w:val="single" w:sz="4" w:space="0" w:color="000000"/>
              <w:bottom w:val="single" w:sz="4" w:space="0" w:color="000000"/>
              <w:right w:val="none" w:sz="0" w:space="0" w:color="000000"/>
            </w:tcBorders>
            <w:shd w:val="clear" w:color="auto" w:fill="FFFFFF"/>
            <w:vAlign w:val="center"/>
          </w:tcPr>
          <w:p w:rsidR="00702A49" w:rsidRDefault="00702A49" w:rsidP="00544A4E">
            <w:pPr>
              <w:jc w:val="center"/>
            </w:pPr>
            <w:r>
              <w:rPr>
                <w:b/>
                <w:bCs/>
                <w:color w:val="000000"/>
              </w:rPr>
              <w:t>CONCRETIZAÇÃO/APROVAÇÃO DO CADE</w:t>
            </w:r>
          </w:p>
        </w:tc>
      </w:tr>
      <w:tr w:rsidR="00702A49" w:rsidTr="006C79DF">
        <w:trPr>
          <w:trHeight w:val="1431"/>
          <w:jc w:val="center"/>
        </w:trPr>
        <w:tc>
          <w:tcPr>
            <w:tcW w:w="1844" w:type="dxa"/>
            <w:vMerge/>
            <w:tcBorders>
              <w:top w:val="single" w:sz="4" w:space="0" w:color="000000"/>
              <w:left w:val="none" w:sz="0" w:space="0" w:color="000000"/>
              <w:bottom w:val="single" w:sz="4" w:space="0" w:color="000000"/>
            </w:tcBorders>
            <w:shd w:val="clear" w:color="auto" w:fill="FFFFFF"/>
            <w:vAlign w:val="center"/>
          </w:tcPr>
          <w:p w:rsidR="00702A49" w:rsidRDefault="00702A49" w:rsidP="00544A4E">
            <w:pPr>
              <w:snapToGrid w:val="0"/>
              <w:rPr>
                <w:b/>
                <w:bCs/>
                <w:color w:val="000000"/>
              </w:rPr>
            </w:pPr>
          </w:p>
        </w:tc>
        <w:tc>
          <w:tcPr>
            <w:tcW w:w="1598" w:type="dxa"/>
            <w:tcBorders>
              <w:top w:val="none" w:sz="0" w:space="0" w:color="000000"/>
              <w:left w:val="single" w:sz="4" w:space="0" w:color="000000"/>
              <w:bottom w:val="single" w:sz="4" w:space="0" w:color="000000"/>
            </w:tcBorders>
            <w:shd w:val="clear" w:color="auto" w:fill="FFFFFF"/>
            <w:vAlign w:val="center"/>
          </w:tcPr>
          <w:p w:rsidR="00702A49" w:rsidRDefault="00702A49" w:rsidP="00544A4E">
            <w:pPr>
              <w:jc w:val="center"/>
            </w:pPr>
            <w:r>
              <w:rPr>
                <w:b/>
                <w:bCs/>
                <w:color w:val="000000"/>
              </w:rPr>
              <w:t>RAA em t (data da divulgação DO ANÚNCIO da</w:t>
            </w:r>
            <w:proofErr w:type="gramStart"/>
            <w:r>
              <w:rPr>
                <w:b/>
                <w:bCs/>
                <w:color w:val="000000"/>
              </w:rPr>
              <w:t xml:space="preserve"> </w:t>
            </w:r>
            <w:r w:rsidRPr="007368CC">
              <w:rPr>
                <w:b/>
                <w:bCs/>
                <w:color w:val="000000"/>
              </w:rPr>
              <w:t xml:space="preserve"> </w:t>
            </w:r>
            <w:proofErr w:type="gramEnd"/>
            <w:r w:rsidRPr="007368CC">
              <w:rPr>
                <w:b/>
                <w:bCs/>
                <w:color w:val="000000"/>
              </w:rPr>
              <w:t>combinação de negócios</w:t>
            </w:r>
            <w:r>
              <w:rPr>
                <w:b/>
                <w:bCs/>
                <w:color w:val="000000"/>
              </w:rPr>
              <w:t>)</w:t>
            </w:r>
          </w:p>
        </w:tc>
        <w:tc>
          <w:tcPr>
            <w:tcW w:w="1761" w:type="dxa"/>
            <w:tcBorders>
              <w:top w:val="none" w:sz="0" w:space="0" w:color="000000"/>
              <w:left w:val="single" w:sz="4" w:space="0" w:color="000000"/>
              <w:bottom w:val="single" w:sz="4" w:space="0" w:color="000000"/>
            </w:tcBorders>
            <w:shd w:val="clear" w:color="auto" w:fill="FFFFFF"/>
            <w:vAlign w:val="center"/>
          </w:tcPr>
          <w:p w:rsidR="00702A49" w:rsidRDefault="00702A49" w:rsidP="00544A4E">
            <w:pPr>
              <w:jc w:val="center"/>
            </w:pPr>
            <w:r>
              <w:rPr>
                <w:b/>
                <w:bCs/>
                <w:color w:val="000000"/>
              </w:rPr>
              <w:t xml:space="preserve"> RAA t+1 (data seguinte à divulgação DO ANÚNCIO </w:t>
            </w:r>
            <w:r w:rsidRPr="007368CC">
              <w:rPr>
                <w:b/>
                <w:bCs/>
                <w:color w:val="000000"/>
              </w:rPr>
              <w:t>combinação de negócios</w:t>
            </w:r>
            <w:r>
              <w:rPr>
                <w:b/>
                <w:bCs/>
                <w:color w:val="000000"/>
              </w:rPr>
              <w:t>)</w:t>
            </w:r>
          </w:p>
        </w:tc>
        <w:tc>
          <w:tcPr>
            <w:tcW w:w="1895" w:type="dxa"/>
            <w:tcBorders>
              <w:top w:val="none" w:sz="0" w:space="0" w:color="000000"/>
              <w:left w:val="single" w:sz="4" w:space="0" w:color="000000"/>
              <w:bottom w:val="single" w:sz="4" w:space="0" w:color="000000"/>
            </w:tcBorders>
            <w:shd w:val="clear" w:color="auto" w:fill="FFFFFF"/>
            <w:vAlign w:val="center"/>
          </w:tcPr>
          <w:p w:rsidR="00702A49" w:rsidRDefault="00702A49" w:rsidP="00544A4E">
            <w:pPr>
              <w:jc w:val="center"/>
            </w:pPr>
            <w:r>
              <w:rPr>
                <w:b/>
                <w:bCs/>
                <w:color w:val="000000"/>
              </w:rPr>
              <w:t>RAA em t (data da divulgação DA APROVAÇÃO da</w:t>
            </w:r>
            <w:proofErr w:type="gramStart"/>
            <w:r>
              <w:rPr>
                <w:b/>
                <w:bCs/>
                <w:color w:val="000000"/>
              </w:rPr>
              <w:t xml:space="preserve"> </w:t>
            </w:r>
            <w:r w:rsidRPr="007368CC">
              <w:rPr>
                <w:b/>
                <w:bCs/>
                <w:color w:val="000000"/>
              </w:rPr>
              <w:t xml:space="preserve"> </w:t>
            </w:r>
            <w:proofErr w:type="gramEnd"/>
            <w:r w:rsidRPr="007368CC">
              <w:rPr>
                <w:b/>
                <w:bCs/>
                <w:color w:val="000000"/>
              </w:rPr>
              <w:t>combinação de negócios</w:t>
            </w:r>
            <w:r>
              <w:rPr>
                <w:b/>
                <w:bCs/>
                <w:color w:val="000000"/>
              </w:rPr>
              <w:t>)</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center"/>
          </w:tcPr>
          <w:p w:rsidR="00702A49" w:rsidRDefault="00702A49" w:rsidP="00544A4E">
            <w:pPr>
              <w:jc w:val="center"/>
            </w:pPr>
            <w:r>
              <w:rPr>
                <w:b/>
                <w:bCs/>
                <w:color w:val="000000"/>
              </w:rPr>
              <w:t>RAA t+1 (data seguinte à divulgação</w:t>
            </w:r>
            <w:r w:rsidR="00161B58">
              <w:rPr>
                <w:b/>
                <w:bCs/>
                <w:color w:val="000000"/>
              </w:rPr>
              <w:t xml:space="preserve"> DA</w:t>
            </w:r>
            <w:r>
              <w:rPr>
                <w:b/>
                <w:bCs/>
                <w:color w:val="000000"/>
              </w:rPr>
              <w:t xml:space="preserve"> APROVAÇÃO da </w:t>
            </w:r>
            <w:r w:rsidRPr="007368CC">
              <w:rPr>
                <w:b/>
                <w:bCs/>
                <w:color w:val="000000"/>
              </w:rPr>
              <w:t>combinação de negócios</w:t>
            </w:r>
            <w:r>
              <w:rPr>
                <w:b/>
                <w:bCs/>
                <w:color w:val="000000"/>
              </w:rPr>
              <w:t>)</w:t>
            </w:r>
          </w:p>
        </w:tc>
      </w:tr>
      <w:tr w:rsidR="00702A49" w:rsidTr="006C79DF">
        <w:trPr>
          <w:trHeight w:val="266"/>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BRADESCO</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iCs/>
              </w:rPr>
              <w:t>0.0194</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iCs/>
              </w:rPr>
              <w:t>0.0206</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iCs/>
              </w:rPr>
              <w:t>0.0119</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rPr>
                <w:b/>
                <w:bCs/>
                <w:iCs/>
              </w:rPr>
              <w:t>0.0026</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CETIP</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-0.0029</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-0.0117</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0.0092</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rPr>
                <w:b/>
                <w:bCs/>
              </w:rPr>
              <w:t>0.1176</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COELBA</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0.0219</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0.0102</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0.0258</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t>-0.0401</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 xml:space="preserve">CEMIG </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-0.0097</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0.0144</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-0.0501</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t>-0.0672</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CEDRO</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-0.0331</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0.0134</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0.4597</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rPr>
                <w:b/>
                <w:bCs/>
              </w:rPr>
              <w:t>0.4484</w:t>
            </w:r>
          </w:p>
        </w:tc>
      </w:tr>
      <w:tr w:rsidR="00702A49" w:rsidTr="006C79DF">
        <w:trPr>
          <w:trHeight w:val="266"/>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lastRenderedPageBreak/>
              <w:t>CSN</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iCs/>
              </w:rPr>
              <w:t>0.0884</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iCs/>
              </w:rPr>
              <w:t>0.0842</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iCs/>
              </w:rPr>
              <w:t>0.4927</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rPr>
                <w:b/>
                <w:bCs/>
                <w:iCs/>
              </w:rPr>
              <w:t>0.4979</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COSAN</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-0.0906</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-0.1033</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-0.2254</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t>-0.1592</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CPFL</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0.0169</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0.0220</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-0.0361</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t>-0.0410</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CVC</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0.0171</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-0.0004</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0.0185</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rPr>
                <w:b/>
                <w:bCs/>
              </w:rPr>
              <w:t>0.0214</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JSL</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-0.0376</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-0.0116</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-0.0048</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rPr>
                <w:b/>
                <w:bCs/>
              </w:rPr>
              <w:t>0.0006</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LOCALIZA</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-0.0048</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0.0006</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-0.0163</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rPr>
                <w:b/>
                <w:bCs/>
              </w:rPr>
              <w:t>0.0616</w:t>
            </w:r>
          </w:p>
        </w:tc>
      </w:tr>
      <w:tr w:rsidR="00702A49" w:rsidTr="006C79DF">
        <w:trPr>
          <w:trHeight w:val="266"/>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MAGNESITA</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iCs/>
                <w:color w:val="000000"/>
              </w:rPr>
              <w:t>0.0029</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iCs/>
                <w:color w:val="000000"/>
              </w:rPr>
              <w:t>0.1200</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iCs/>
              </w:rPr>
              <w:t>0.5122</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rPr>
                <w:b/>
                <w:bCs/>
                <w:iCs/>
              </w:rPr>
              <w:t>0.5141</w:t>
            </w:r>
          </w:p>
        </w:tc>
      </w:tr>
      <w:tr w:rsidR="00702A49" w:rsidTr="006C79DF">
        <w:trPr>
          <w:trHeight w:val="251"/>
          <w:jc w:val="center"/>
        </w:trPr>
        <w:tc>
          <w:tcPr>
            <w:tcW w:w="1844"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SÃO MARTINHO</w:t>
            </w:r>
          </w:p>
        </w:tc>
        <w:tc>
          <w:tcPr>
            <w:tcW w:w="1598"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t>-0.0181</w:t>
            </w:r>
          </w:p>
        </w:tc>
        <w:tc>
          <w:tcPr>
            <w:tcW w:w="1761"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0.0203</w:t>
            </w:r>
          </w:p>
        </w:tc>
        <w:tc>
          <w:tcPr>
            <w:tcW w:w="1895" w:type="dxa"/>
            <w:tcBorders>
              <w:top w:val="none" w:sz="0" w:space="0" w:color="000000"/>
              <w:left w:val="single" w:sz="4" w:space="0" w:color="000000"/>
              <w:bottom w:val="single" w:sz="4" w:space="0" w:color="000000"/>
            </w:tcBorders>
            <w:shd w:val="clear" w:color="auto" w:fill="FFFFFF"/>
            <w:vAlign w:val="bottom"/>
          </w:tcPr>
          <w:p w:rsidR="00702A49" w:rsidRDefault="00702A49" w:rsidP="00544A4E">
            <w:pPr>
              <w:jc w:val="right"/>
            </w:pPr>
            <w:r>
              <w:rPr>
                <w:b/>
                <w:bCs/>
              </w:rPr>
              <w:t>0.0166</w:t>
            </w:r>
          </w:p>
        </w:tc>
        <w:tc>
          <w:tcPr>
            <w:tcW w:w="2111"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544A4E">
            <w:pPr>
              <w:jc w:val="right"/>
            </w:pPr>
            <w:r>
              <w:rPr>
                <w:b/>
                <w:bCs/>
              </w:rPr>
              <w:t>0.0212</w:t>
            </w:r>
          </w:p>
        </w:tc>
      </w:tr>
    </w:tbl>
    <w:p w:rsidR="00702A49" w:rsidRDefault="00702A49" w:rsidP="00702A49">
      <w:pPr>
        <w:jc w:val="both"/>
      </w:pPr>
      <w:r>
        <w:rPr>
          <w:b/>
          <w:szCs w:val="24"/>
        </w:rPr>
        <w:t>Fonte</w:t>
      </w:r>
      <w:r>
        <w:rPr>
          <w:szCs w:val="24"/>
        </w:rPr>
        <w:t>: elaborada pelos autores</w:t>
      </w:r>
    </w:p>
    <w:p w:rsidR="00702A49" w:rsidRDefault="00702A49" w:rsidP="00702A49">
      <w:pPr>
        <w:ind w:firstLine="709"/>
        <w:jc w:val="both"/>
      </w:pPr>
      <w:r>
        <w:rPr>
          <w:sz w:val="24"/>
          <w:szCs w:val="24"/>
        </w:rPr>
        <w:t xml:space="preserve">Como pode ser observado na tabela anterior, o BRADESCO, a CSN e a MAGNESITA apresentaram </w:t>
      </w:r>
      <w:proofErr w:type="spellStart"/>
      <w:r>
        <w:rPr>
          <w:sz w:val="24"/>
          <w:szCs w:val="24"/>
        </w:rPr>
        <w:t>RAAs</w:t>
      </w:r>
      <w:proofErr w:type="spellEnd"/>
      <w:r>
        <w:rPr>
          <w:sz w:val="24"/>
          <w:szCs w:val="24"/>
        </w:rPr>
        <w:t xml:space="preserve"> positivos em t e t</w:t>
      </w:r>
      <w:r w:rsidRPr="00FA4680">
        <w:rPr>
          <w:sz w:val="24"/>
          <w:szCs w:val="24"/>
        </w:rPr>
        <w:t>+1</w:t>
      </w:r>
      <w:r>
        <w:rPr>
          <w:sz w:val="24"/>
          <w:szCs w:val="24"/>
        </w:rPr>
        <w:t xml:space="preserve"> tanto no anúncio da combinação de negócios quanto da sua concretização, inferindo-se a previsibilidade de agregação de valor após o anúncio da combinação de negócios. Ademais, a CETIP, a CEDRO e a SÃO MARTINHO apresentaram </w:t>
      </w:r>
      <w:proofErr w:type="spellStart"/>
      <w:r>
        <w:rPr>
          <w:sz w:val="24"/>
          <w:szCs w:val="24"/>
        </w:rPr>
        <w:t>RAAs</w:t>
      </w:r>
      <w:proofErr w:type="spellEnd"/>
      <w:r>
        <w:rPr>
          <w:sz w:val="24"/>
          <w:szCs w:val="24"/>
        </w:rPr>
        <w:t xml:space="preserve"> positivos em t e t+1</w:t>
      </w:r>
      <w:r>
        <w:rPr>
          <w:sz w:val="24"/>
          <w:szCs w:val="24"/>
          <w:vertAlign w:val="subscript"/>
        </w:rPr>
        <w:t xml:space="preserve">, </w:t>
      </w:r>
      <w:r>
        <w:rPr>
          <w:sz w:val="24"/>
          <w:szCs w:val="24"/>
        </w:rPr>
        <w:t xml:space="preserve">somente após a concretização da combinação de negócios. A CEMIG, durante a conclusão da operação, apresentou </w:t>
      </w:r>
      <w:proofErr w:type="spellStart"/>
      <w:r>
        <w:rPr>
          <w:sz w:val="24"/>
          <w:szCs w:val="24"/>
        </w:rPr>
        <w:t>RAAs</w:t>
      </w:r>
      <w:proofErr w:type="spellEnd"/>
      <w:r>
        <w:rPr>
          <w:sz w:val="24"/>
          <w:szCs w:val="24"/>
        </w:rPr>
        <w:t xml:space="preserve"> negativos em t e t+1, indo ao encontro</w:t>
      </w:r>
      <w:proofErr w:type="gramStart"/>
      <w:r>
        <w:rPr>
          <w:sz w:val="24"/>
          <w:szCs w:val="24"/>
        </w:rPr>
        <w:t xml:space="preserve">  </w:t>
      </w:r>
      <w:proofErr w:type="gramEnd"/>
      <w:r>
        <w:rPr>
          <w:sz w:val="24"/>
          <w:szCs w:val="24"/>
        </w:rPr>
        <w:t xml:space="preserve">dos achados de </w:t>
      </w:r>
      <w:proofErr w:type="spellStart"/>
      <w:r>
        <w:rPr>
          <w:sz w:val="24"/>
          <w:szCs w:val="24"/>
        </w:rPr>
        <w:t>Noda</w:t>
      </w:r>
      <w:proofErr w:type="spellEnd"/>
      <w:r>
        <w:rPr>
          <w:sz w:val="24"/>
          <w:szCs w:val="24"/>
        </w:rPr>
        <w:t xml:space="preserve">, Oliveira Júnior &amp; </w:t>
      </w:r>
      <w:proofErr w:type="spellStart"/>
      <w:r>
        <w:rPr>
          <w:sz w:val="24"/>
          <w:szCs w:val="24"/>
        </w:rPr>
        <w:t>Kayo</w:t>
      </w:r>
      <w:proofErr w:type="spellEnd"/>
      <w:r>
        <w:rPr>
          <w:sz w:val="24"/>
          <w:szCs w:val="24"/>
        </w:rPr>
        <w:t xml:space="preserve"> (2014) de que há RAA negativo na janela (-5,+5), quando do processo de combinação de negócios. </w:t>
      </w:r>
      <w:r>
        <w:rPr>
          <w:sz w:val="24"/>
          <w:szCs w:val="24"/>
          <w:vertAlign w:val="subscript"/>
        </w:rPr>
        <w:t>.</w:t>
      </w:r>
      <w:r>
        <w:rPr>
          <w:sz w:val="24"/>
          <w:szCs w:val="24"/>
        </w:rPr>
        <w:t xml:space="preserve">Nota-se que o comportamento das empresas não é o mesmo quando houve anúncio da combinação de negócios e da concretização. Dessa forma, o presente estudo corrobora em parte os achados de Peter </w:t>
      </w:r>
      <w:proofErr w:type="spellStart"/>
      <w:r>
        <w:rPr>
          <w:sz w:val="24"/>
          <w:szCs w:val="24"/>
        </w:rPr>
        <w:t>Dodd</w:t>
      </w:r>
      <w:proofErr w:type="spellEnd"/>
      <w:r>
        <w:rPr>
          <w:sz w:val="24"/>
          <w:szCs w:val="24"/>
        </w:rPr>
        <w:t xml:space="preserve"> (1980) de que há reação do mercado para o anúncio das combinações de negócios e também, uma reação positiva para as propostas concluídas e uma reação negativa, para as propostas canceladas. Além disso,</w:t>
      </w:r>
      <w:r w:rsidRPr="00456BFF">
        <w:t xml:space="preserve"> </w:t>
      </w:r>
      <w:r w:rsidRPr="00456BFF">
        <w:rPr>
          <w:sz w:val="24"/>
          <w:szCs w:val="24"/>
        </w:rPr>
        <w:t>tal como observado nessa análise e nas literaturas acerca dos estudos que relacionam combinações de negócios e mercado acionário, não há consenso</w:t>
      </w:r>
      <w:r>
        <w:rPr>
          <w:sz w:val="24"/>
          <w:szCs w:val="24"/>
        </w:rPr>
        <w:t xml:space="preserve"> acerca da existência ou não de retornos anormais positivos ou negativos no período em que houve transações de combinação de negócios.</w:t>
      </w:r>
    </w:p>
    <w:p w:rsidR="00702A49" w:rsidRPr="006C79DF" w:rsidRDefault="00702A49" w:rsidP="006C79DF">
      <w:pPr>
        <w:ind w:firstLine="709"/>
        <w:jc w:val="both"/>
        <w:rPr>
          <w:sz w:val="24"/>
          <w:szCs w:val="24"/>
        </w:rPr>
      </w:pPr>
      <w:r>
        <w:rPr>
          <w:sz w:val="24"/>
          <w:szCs w:val="24"/>
        </w:rPr>
        <w:t xml:space="preserve">Posteriormente, foi realizado o teste de médias para amostras pareadas, dos </w:t>
      </w:r>
      <w:proofErr w:type="spellStart"/>
      <w:r>
        <w:rPr>
          <w:sz w:val="24"/>
          <w:szCs w:val="24"/>
        </w:rPr>
        <w:t>RAAs</w:t>
      </w:r>
      <w:proofErr w:type="spellEnd"/>
      <w:r>
        <w:rPr>
          <w:sz w:val="24"/>
          <w:szCs w:val="24"/>
        </w:rPr>
        <w:t xml:space="preserve"> t-5 e t+5 após a divulgação dos eventos: anúncio da combinação de negócios e concretização da combinação de negócios a partir do Teste “t” de </w:t>
      </w:r>
      <w:proofErr w:type="spellStart"/>
      <w:r>
        <w:rPr>
          <w:sz w:val="24"/>
          <w:szCs w:val="24"/>
        </w:rPr>
        <w:t>Student</w:t>
      </w:r>
      <w:proofErr w:type="spellEnd"/>
      <w:r>
        <w:rPr>
          <w:sz w:val="24"/>
          <w:szCs w:val="24"/>
        </w:rPr>
        <w:t>.  O valor de “p” (p-valor) da estatística com intervalo de confiança de 90%, 95%</w:t>
      </w:r>
      <w:r w:rsidR="00C01559">
        <w:rPr>
          <w:sz w:val="24"/>
          <w:szCs w:val="24"/>
        </w:rPr>
        <w:t>, 99%</w:t>
      </w:r>
      <w:r>
        <w:rPr>
          <w:sz w:val="24"/>
          <w:szCs w:val="24"/>
        </w:rPr>
        <w:t xml:space="preserve"> corresponde a 0,1, 0,05,</w:t>
      </w:r>
      <w:r w:rsidR="00C01559">
        <w:rPr>
          <w:sz w:val="24"/>
          <w:szCs w:val="24"/>
        </w:rPr>
        <w:t xml:space="preserve"> 0,01</w:t>
      </w:r>
      <w:r>
        <w:rPr>
          <w:sz w:val="24"/>
          <w:szCs w:val="24"/>
        </w:rPr>
        <w:t xml:space="preserve"> respectivamente. Dessa forma, os valores menores que 0,1 rejeitam a hipótese nula de que os </w:t>
      </w:r>
      <w:proofErr w:type="spellStart"/>
      <w:r>
        <w:rPr>
          <w:sz w:val="24"/>
          <w:szCs w:val="24"/>
        </w:rPr>
        <w:t>RAAs</w:t>
      </w:r>
      <w:proofErr w:type="spellEnd"/>
      <w:r>
        <w:rPr>
          <w:sz w:val="24"/>
          <w:szCs w:val="24"/>
        </w:rPr>
        <w:t xml:space="preserve"> sejam iguais </w:t>
      </w:r>
      <w:proofErr w:type="gramStart"/>
      <w:r>
        <w:rPr>
          <w:sz w:val="24"/>
          <w:szCs w:val="24"/>
        </w:rPr>
        <w:t>a</w:t>
      </w:r>
      <w:proofErr w:type="gramEnd"/>
      <w:r>
        <w:rPr>
          <w:sz w:val="24"/>
          <w:szCs w:val="24"/>
        </w:rPr>
        <w:t xml:space="preserve"> zero, não impactando o valor da ação. A seguir, a tabela 5 apresenta o resultado do teste realizado.</w:t>
      </w:r>
    </w:p>
    <w:p w:rsidR="00702A49" w:rsidRPr="005F301F" w:rsidRDefault="00702A49" w:rsidP="00702A49">
      <w:pPr>
        <w:jc w:val="both"/>
        <w:rPr>
          <w:b/>
        </w:rPr>
      </w:pPr>
      <w:r w:rsidRPr="005F301F">
        <w:rPr>
          <w:b/>
        </w:rPr>
        <w:t>T</w:t>
      </w:r>
      <w:r>
        <w:rPr>
          <w:b/>
        </w:rPr>
        <w:t>abela</w:t>
      </w:r>
      <w:r w:rsidRPr="005F301F">
        <w:rPr>
          <w:b/>
        </w:rPr>
        <w:t xml:space="preserve"> 5: Teste de média para a janela </w:t>
      </w:r>
      <w:r>
        <w:rPr>
          <w:b/>
        </w:rPr>
        <w:t>t-5</w:t>
      </w:r>
      <w:r w:rsidRPr="005F301F">
        <w:rPr>
          <w:b/>
        </w:rPr>
        <w:t xml:space="preserve"> </w:t>
      </w:r>
      <w:r w:rsidR="00C01559">
        <w:rPr>
          <w:b/>
        </w:rPr>
        <w:t xml:space="preserve">e </w:t>
      </w:r>
      <w:r w:rsidRPr="005F301F">
        <w:rPr>
          <w:b/>
        </w:rPr>
        <w:t>t</w:t>
      </w:r>
      <w:r>
        <w:rPr>
          <w:b/>
        </w:rPr>
        <w:t>+5</w:t>
      </w:r>
    </w:p>
    <w:tbl>
      <w:tblPr>
        <w:tblW w:w="0" w:type="auto"/>
        <w:tblInd w:w="55" w:type="dxa"/>
        <w:tblLayout w:type="fixed"/>
        <w:tblCellMar>
          <w:left w:w="70" w:type="dxa"/>
          <w:right w:w="70" w:type="dxa"/>
        </w:tblCellMar>
        <w:tblLook w:val="0000"/>
      </w:tblPr>
      <w:tblGrid>
        <w:gridCol w:w="1596"/>
        <w:gridCol w:w="3536"/>
        <w:gridCol w:w="3608"/>
      </w:tblGrid>
      <w:tr w:rsidR="00702A49" w:rsidTr="006C79DF">
        <w:trPr>
          <w:trHeight w:val="269"/>
        </w:trPr>
        <w:tc>
          <w:tcPr>
            <w:tcW w:w="1596" w:type="dxa"/>
            <w:vMerge w:val="restart"/>
            <w:tcBorders>
              <w:top w:val="single" w:sz="4" w:space="0" w:color="000000"/>
              <w:left w:val="none" w:sz="0" w:space="0" w:color="000000"/>
              <w:bottom w:val="single" w:sz="4" w:space="0" w:color="000000"/>
            </w:tcBorders>
            <w:shd w:val="clear" w:color="auto" w:fill="auto"/>
            <w:vAlign w:val="center"/>
          </w:tcPr>
          <w:p w:rsidR="00702A49" w:rsidRDefault="00702A49" w:rsidP="00544A4E">
            <w:pPr>
              <w:jc w:val="center"/>
            </w:pPr>
            <w:r>
              <w:rPr>
                <w:b/>
                <w:bCs/>
                <w:color w:val="000000"/>
              </w:rPr>
              <w:t>EMPRESA</w:t>
            </w:r>
          </w:p>
        </w:tc>
        <w:tc>
          <w:tcPr>
            <w:tcW w:w="7144" w:type="dxa"/>
            <w:gridSpan w:val="2"/>
            <w:tcBorders>
              <w:top w:val="single" w:sz="4" w:space="0" w:color="000000"/>
              <w:left w:val="single" w:sz="4" w:space="0" w:color="000000"/>
              <w:bottom w:val="single" w:sz="4" w:space="0" w:color="000000"/>
              <w:right w:val="none" w:sz="0" w:space="0" w:color="000000"/>
            </w:tcBorders>
            <w:shd w:val="clear" w:color="auto" w:fill="auto"/>
            <w:vAlign w:val="bottom"/>
          </w:tcPr>
          <w:p w:rsidR="00702A49" w:rsidRDefault="00702A49" w:rsidP="00544A4E">
            <w:pPr>
              <w:jc w:val="center"/>
            </w:pPr>
            <w:proofErr w:type="gramStart"/>
            <w:r>
              <w:rPr>
                <w:b/>
                <w:bCs/>
                <w:color w:val="000000"/>
              </w:rPr>
              <w:t>p</w:t>
            </w:r>
            <w:proofErr w:type="gramEnd"/>
            <w:r>
              <w:rPr>
                <w:b/>
                <w:bCs/>
                <w:color w:val="000000"/>
              </w:rPr>
              <w:t>-valor</w:t>
            </w:r>
          </w:p>
        </w:tc>
      </w:tr>
      <w:tr w:rsidR="00702A49" w:rsidTr="006C79DF">
        <w:trPr>
          <w:trHeight w:val="454"/>
        </w:trPr>
        <w:tc>
          <w:tcPr>
            <w:tcW w:w="1596" w:type="dxa"/>
            <w:vMerge/>
            <w:tcBorders>
              <w:top w:val="single" w:sz="4" w:space="0" w:color="000000"/>
              <w:left w:val="none" w:sz="0" w:space="0" w:color="000000"/>
              <w:bottom w:val="single" w:sz="4" w:space="0" w:color="000000"/>
            </w:tcBorders>
            <w:shd w:val="clear" w:color="auto" w:fill="auto"/>
            <w:vAlign w:val="center"/>
          </w:tcPr>
          <w:p w:rsidR="00702A49" w:rsidRDefault="00702A49" w:rsidP="00544A4E">
            <w:pPr>
              <w:snapToGrid w:val="0"/>
              <w:rPr>
                <w:b/>
                <w:bCs/>
                <w:color w:val="000000"/>
              </w:rPr>
            </w:pPr>
          </w:p>
        </w:tc>
        <w:tc>
          <w:tcPr>
            <w:tcW w:w="3536" w:type="dxa"/>
            <w:tcBorders>
              <w:top w:val="none" w:sz="0" w:space="0" w:color="000000"/>
              <w:left w:val="single" w:sz="4" w:space="0" w:color="000000"/>
              <w:bottom w:val="single" w:sz="4" w:space="0" w:color="000000"/>
            </w:tcBorders>
            <w:shd w:val="clear" w:color="auto" w:fill="FFFFFF"/>
            <w:vAlign w:val="center"/>
          </w:tcPr>
          <w:p w:rsidR="00702A49" w:rsidRDefault="00702A49" w:rsidP="00C01559">
            <w:pPr>
              <w:jc w:val="center"/>
            </w:pPr>
            <w:r>
              <w:rPr>
                <w:b/>
                <w:bCs/>
                <w:color w:val="000000"/>
              </w:rPr>
              <w:t>ANÚNCIO COMBINAÇÃO DE NEGÓCIOS</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center"/>
          </w:tcPr>
          <w:p w:rsidR="00702A49" w:rsidRDefault="00702A49" w:rsidP="00C01559">
            <w:pPr>
              <w:jc w:val="center"/>
            </w:pPr>
            <w:r>
              <w:rPr>
                <w:b/>
                <w:bCs/>
                <w:color w:val="000000"/>
              </w:rPr>
              <w:t>CONCRETIZAÇÃO OU APROVAÇÃO DO CADE</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BRADESCO</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color w:val="000000"/>
              </w:rPr>
              <w:t>0.438104</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color w:val="000000"/>
              </w:rPr>
              <w:t>0.349275</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CETIP</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b/>
                <w:bCs/>
                <w:color w:val="000000"/>
              </w:rPr>
              <w:t>0.056183</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b/>
                <w:bCs/>
                <w:color w:val="000000"/>
              </w:rPr>
              <w:t>0.000006</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COELBA</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b/>
                <w:bCs/>
                <w:color w:val="000000"/>
              </w:rPr>
              <w:t>0.027955</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color w:val="000000"/>
              </w:rPr>
              <w:t>0.164360</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 xml:space="preserve">CEMIG </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color w:val="000000"/>
              </w:rPr>
              <w:t>0.349087</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b/>
                <w:bCs/>
                <w:color w:val="000000"/>
              </w:rPr>
              <w:t>0.013007</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CEDRO</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color w:val="000000"/>
              </w:rPr>
              <w:t>0.375668</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color w:val="000000"/>
              </w:rPr>
              <w:t>0.362383</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CSN</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b/>
                <w:bCs/>
                <w:color w:val="000000"/>
              </w:rPr>
              <w:t>0.055165</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b/>
                <w:bCs/>
                <w:color w:val="000000"/>
              </w:rPr>
              <w:t>0.034496</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COSAN</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b/>
                <w:bCs/>
                <w:color w:val="000000"/>
              </w:rPr>
              <w:t>0.030969</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b/>
                <w:bCs/>
                <w:color w:val="000000"/>
              </w:rPr>
              <w:t>0.000667</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CPFL</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b/>
                <w:bCs/>
                <w:color w:val="000000"/>
              </w:rPr>
              <w:t>0.001790</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b/>
                <w:bCs/>
                <w:color w:val="000000"/>
              </w:rPr>
              <w:t>0.000045</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CVC</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b/>
                <w:bCs/>
                <w:color w:val="000000"/>
              </w:rPr>
              <w:t>0.001652</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b/>
                <w:bCs/>
                <w:color w:val="000000"/>
              </w:rPr>
              <w:t>0.011772</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JSL</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b/>
                <w:bCs/>
                <w:color w:val="000000"/>
              </w:rPr>
              <w:t>0.033675</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color w:val="000000"/>
              </w:rPr>
              <w:t>0.380101</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LOCALIZA</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color w:val="000000"/>
              </w:rPr>
              <w:t>0.380101</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b/>
                <w:color w:val="000000"/>
              </w:rPr>
              <w:t>0.094447</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MAGNESITA</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b/>
                <w:bCs/>
                <w:color w:val="000000"/>
              </w:rPr>
              <w:t>0.000123</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b/>
                <w:bCs/>
                <w:color w:val="000000"/>
              </w:rPr>
              <w:t>0.016516</w:t>
            </w:r>
          </w:p>
        </w:tc>
      </w:tr>
      <w:tr w:rsidR="00702A49" w:rsidTr="006C79DF">
        <w:trPr>
          <w:trHeight w:val="229"/>
        </w:trPr>
        <w:tc>
          <w:tcPr>
            <w:tcW w:w="1596" w:type="dxa"/>
            <w:tcBorders>
              <w:top w:val="none" w:sz="0" w:space="0" w:color="000000"/>
              <w:left w:val="none" w:sz="0" w:space="0" w:color="000000"/>
              <w:bottom w:val="single" w:sz="4" w:space="0" w:color="000000"/>
            </w:tcBorders>
            <w:shd w:val="clear" w:color="auto" w:fill="FFFFFF"/>
            <w:vAlign w:val="bottom"/>
          </w:tcPr>
          <w:p w:rsidR="00702A49" w:rsidRDefault="00702A49" w:rsidP="00544A4E">
            <w:r>
              <w:rPr>
                <w:b/>
                <w:bCs/>
                <w:color w:val="000000"/>
              </w:rPr>
              <w:t>SÃO MARTINHO</w:t>
            </w:r>
          </w:p>
        </w:tc>
        <w:tc>
          <w:tcPr>
            <w:tcW w:w="3536" w:type="dxa"/>
            <w:tcBorders>
              <w:top w:val="none" w:sz="0" w:space="0" w:color="000000"/>
              <w:left w:val="single" w:sz="4" w:space="0" w:color="000000"/>
              <w:bottom w:val="single" w:sz="4" w:space="0" w:color="000000"/>
            </w:tcBorders>
            <w:shd w:val="clear" w:color="auto" w:fill="FFFFFF"/>
            <w:vAlign w:val="bottom"/>
          </w:tcPr>
          <w:p w:rsidR="00702A49" w:rsidRDefault="00702A49" w:rsidP="00C01559">
            <w:pPr>
              <w:jc w:val="center"/>
            </w:pPr>
            <w:r>
              <w:rPr>
                <w:b/>
                <w:bCs/>
                <w:color w:val="000000"/>
              </w:rPr>
              <w:t>0.026445</w:t>
            </w:r>
          </w:p>
        </w:tc>
        <w:tc>
          <w:tcPr>
            <w:tcW w:w="3608" w:type="dxa"/>
            <w:tcBorders>
              <w:top w:val="none" w:sz="0" w:space="0" w:color="000000"/>
              <w:left w:val="single" w:sz="4" w:space="0" w:color="000000"/>
              <w:bottom w:val="single" w:sz="4" w:space="0" w:color="000000"/>
              <w:right w:val="none" w:sz="0" w:space="0" w:color="000000"/>
            </w:tcBorders>
            <w:shd w:val="clear" w:color="auto" w:fill="FFFFFF"/>
            <w:vAlign w:val="bottom"/>
          </w:tcPr>
          <w:p w:rsidR="00702A49" w:rsidRDefault="00702A49" w:rsidP="00C01559">
            <w:pPr>
              <w:jc w:val="center"/>
            </w:pPr>
            <w:r>
              <w:rPr>
                <w:color w:val="000000"/>
              </w:rPr>
              <w:t>0.276161</w:t>
            </w:r>
          </w:p>
        </w:tc>
      </w:tr>
    </w:tbl>
    <w:p w:rsidR="00702A49" w:rsidRDefault="00702A49" w:rsidP="00702A49">
      <w:pPr>
        <w:jc w:val="both"/>
      </w:pPr>
      <w:r>
        <w:rPr>
          <w:b/>
          <w:szCs w:val="24"/>
        </w:rPr>
        <w:t>Fonte</w:t>
      </w:r>
      <w:r>
        <w:rPr>
          <w:szCs w:val="24"/>
        </w:rPr>
        <w:t>: elaborada pelos autores</w:t>
      </w:r>
    </w:p>
    <w:p w:rsidR="00702A49" w:rsidRDefault="00702A49" w:rsidP="00702A49">
      <w:pPr>
        <w:ind w:firstLine="709"/>
        <w:jc w:val="both"/>
      </w:pPr>
      <w:r>
        <w:rPr>
          <w:sz w:val="24"/>
          <w:szCs w:val="24"/>
        </w:rPr>
        <w:t xml:space="preserve">Conforme pode ser observado, </w:t>
      </w:r>
      <w:proofErr w:type="gramStart"/>
      <w:r>
        <w:rPr>
          <w:sz w:val="24"/>
          <w:szCs w:val="24"/>
        </w:rPr>
        <w:t>cerca de 46</w:t>
      </w:r>
      <w:proofErr w:type="gramEnd"/>
      <w:r>
        <w:rPr>
          <w:sz w:val="24"/>
          <w:szCs w:val="24"/>
        </w:rPr>
        <w:t xml:space="preserve">% das empresas (CETIP, CSN, COSAN, CPFK, CVC e MAGNESITA) da amostra apontam valores com significância estatística, na </w:t>
      </w:r>
      <w:r>
        <w:rPr>
          <w:sz w:val="24"/>
          <w:szCs w:val="24"/>
        </w:rPr>
        <w:lastRenderedPageBreak/>
        <w:t>divulgação do anúncio da combinação de negócios e da divulgação da conclusão da combinação de negócios, a</w:t>
      </w:r>
      <w:r w:rsidR="00C01559">
        <w:rPr>
          <w:sz w:val="24"/>
          <w:szCs w:val="24"/>
        </w:rPr>
        <w:t>o</w:t>
      </w:r>
      <w:r>
        <w:rPr>
          <w:sz w:val="24"/>
          <w:szCs w:val="24"/>
        </w:rPr>
        <w:t xml:space="preserve"> mesmo tempo, dando suporte à hipótese de eficiência de mercado semiforte. </w:t>
      </w:r>
      <w:r w:rsidRPr="00AF4D49">
        <w:t xml:space="preserve"> </w:t>
      </w:r>
      <w:r w:rsidRPr="00AF4D49">
        <w:rPr>
          <w:sz w:val="24"/>
          <w:szCs w:val="24"/>
        </w:rPr>
        <w:t>Os resultados podem também indicar a relevância da combinação de negócios</w:t>
      </w:r>
      <w:proofErr w:type="gramStart"/>
      <w:r w:rsidRPr="00AF4D49">
        <w:rPr>
          <w:sz w:val="24"/>
          <w:szCs w:val="24"/>
        </w:rPr>
        <w:t xml:space="preserve"> pois</w:t>
      </w:r>
      <w:proofErr w:type="gramEnd"/>
      <w:r w:rsidRPr="00AF4D49">
        <w:rPr>
          <w:sz w:val="24"/>
          <w:szCs w:val="24"/>
        </w:rPr>
        <w:t>, ao longo desse processo (seu anúncio e concretização), houve reação do mercado, indicando que há alteração nas expectativas dos investidores quanto a esse fato.</w:t>
      </w:r>
    </w:p>
    <w:p w:rsidR="00702A49" w:rsidRDefault="00702A49" w:rsidP="00702A49">
      <w:pPr>
        <w:ind w:firstLine="709"/>
        <w:jc w:val="both"/>
      </w:pPr>
      <w:r>
        <w:rPr>
          <w:sz w:val="24"/>
          <w:szCs w:val="24"/>
        </w:rPr>
        <w:t xml:space="preserve">Como pode ser visto, </w:t>
      </w:r>
      <w:proofErr w:type="gramStart"/>
      <w:r>
        <w:rPr>
          <w:sz w:val="24"/>
          <w:szCs w:val="24"/>
        </w:rPr>
        <w:t>9</w:t>
      </w:r>
      <w:proofErr w:type="gramEnd"/>
      <w:r>
        <w:rPr>
          <w:sz w:val="24"/>
          <w:szCs w:val="24"/>
        </w:rPr>
        <w:t xml:space="preserve"> empresas apresentaram significância estatística na divulgação do anúncio da combinação de negócios. Sendo a CETIP e a </w:t>
      </w:r>
      <w:proofErr w:type="gramStart"/>
      <w:r>
        <w:rPr>
          <w:sz w:val="24"/>
          <w:szCs w:val="24"/>
        </w:rPr>
        <w:t>CSN estatisticamente significativas ao nível de 10%</w:t>
      </w:r>
      <w:proofErr w:type="gramEnd"/>
      <w:r>
        <w:rPr>
          <w:sz w:val="24"/>
          <w:szCs w:val="24"/>
        </w:rPr>
        <w:t xml:space="preserve"> (significância de 0,056138 e 0,055165, respectivamente), a COELBA, COSAN, JSL e SÃO MARTINHO estatisticamente significativas ao nível de 5% (significância de 0,27955, 0,030969, 0,033675 e 0,026445, respectivamente) </w:t>
      </w:r>
      <w:r w:rsidRPr="008C1DD5">
        <w:rPr>
          <w:sz w:val="24"/>
          <w:szCs w:val="24"/>
        </w:rPr>
        <w:t>e</w:t>
      </w:r>
      <w:r>
        <w:rPr>
          <w:rStyle w:val="Refdecomentrio"/>
          <w:sz w:val="24"/>
        </w:rPr>
        <w:t xml:space="preserve"> a </w:t>
      </w:r>
      <w:r w:rsidRPr="008C1DD5">
        <w:rPr>
          <w:sz w:val="24"/>
          <w:szCs w:val="24"/>
        </w:rPr>
        <w:t>CPFL</w:t>
      </w:r>
      <w:r>
        <w:rPr>
          <w:sz w:val="24"/>
          <w:szCs w:val="24"/>
        </w:rPr>
        <w:t xml:space="preserve">, a CVC e a MAGNESITA estatisticamente significativas ao nível de 1% (significância de 0,001790, 0,001652 e 0,000123, respectivamente). Dessa forma, rejeita-se a hipótese nula de que o evento não impacta os valores das ações. </w:t>
      </w:r>
    </w:p>
    <w:p w:rsidR="00702A49" w:rsidRDefault="00702A49" w:rsidP="00702A49">
      <w:pPr>
        <w:ind w:firstLine="709"/>
        <w:jc w:val="both"/>
      </w:pPr>
      <w:r>
        <w:rPr>
          <w:sz w:val="24"/>
          <w:szCs w:val="24"/>
        </w:rPr>
        <w:t xml:space="preserve">Das 13 empresas, </w:t>
      </w:r>
      <w:proofErr w:type="gramStart"/>
      <w:r>
        <w:rPr>
          <w:sz w:val="24"/>
          <w:szCs w:val="24"/>
        </w:rPr>
        <w:t>8</w:t>
      </w:r>
      <w:proofErr w:type="gramEnd"/>
      <w:r>
        <w:rPr>
          <w:sz w:val="24"/>
          <w:szCs w:val="24"/>
        </w:rPr>
        <w:t xml:space="preserve"> apresentaram significância estatística quando da divulgação da concretização da combinação de negócios: a LOCALIZA estatisticamente significativa ao nível de 10% (significância de </w:t>
      </w:r>
      <w:r>
        <w:rPr>
          <w:color w:val="000000"/>
          <w:sz w:val="24"/>
          <w:szCs w:val="24"/>
        </w:rPr>
        <w:t xml:space="preserve">0,094447), a CEMIG, a CSN, CVC, MAGNESITA </w:t>
      </w:r>
      <w:r>
        <w:rPr>
          <w:sz w:val="24"/>
          <w:szCs w:val="24"/>
        </w:rPr>
        <w:t>estatisticamente significativas ao nível de 5% (significância de 0,</w:t>
      </w:r>
      <w:r>
        <w:rPr>
          <w:bCs/>
          <w:color w:val="000000"/>
          <w:sz w:val="24"/>
          <w:szCs w:val="24"/>
        </w:rPr>
        <w:t xml:space="preserve">013007, 0,034496, 0.011772 e 0,016516 respectivamente) e a CETIP, COSAN, CPFL </w:t>
      </w:r>
      <w:r>
        <w:rPr>
          <w:sz w:val="24"/>
          <w:szCs w:val="24"/>
        </w:rPr>
        <w:t xml:space="preserve">estatisticamente significativas ao nível de 1% </w:t>
      </w:r>
      <w:r>
        <w:rPr>
          <w:bCs/>
          <w:color w:val="000000"/>
          <w:sz w:val="24"/>
          <w:szCs w:val="24"/>
        </w:rPr>
        <w:t xml:space="preserve"> (0,000006, 0,000667, 0,000045, respectivamente), também rejeitando a hipótese nula de que o evento não impacta os valores das ações.</w:t>
      </w:r>
    </w:p>
    <w:p w:rsidR="00702A49" w:rsidRDefault="00702A49" w:rsidP="00702A49">
      <w:pPr>
        <w:ind w:firstLine="709"/>
        <w:jc w:val="both"/>
      </w:pPr>
      <w:r>
        <w:rPr>
          <w:sz w:val="24"/>
          <w:szCs w:val="24"/>
        </w:rPr>
        <w:t xml:space="preserve">Ademais, o BRADESCO e CEDRO não mostraram significância estatística em nenhum dos dois eventos, ou seja, tais eventos não impactam os valores das ações. A COELBA, a JSL e SÃO MARTINHO só apresentaram significância estatística no evento referente ao anúncio da combinação de negócios. </w:t>
      </w:r>
    </w:p>
    <w:p w:rsidR="00702A49" w:rsidRDefault="00702A49" w:rsidP="00702A49">
      <w:pPr>
        <w:ind w:firstLine="709"/>
        <w:jc w:val="both"/>
      </w:pPr>
      <w:r>
        <w:rPr>
          <w:sz w:val="24"/>
          <w:szCs w:val="24"/>
        </w:rPr>
        <w:t xml:space="preserve">As diferenças estatísticas apresentadas entre as empresas podem estar relacionadas com as características desse fato relacionado </w:t>
      </w:r>
      <w:proofErr w:type="gramStart"/>
      <w:r>
        <w:rPr>
          <w:sz w:val="24"/>
          <w:szCs w:val="24"/>
        </w:rPr>
        <w:t>à</w:t>
      </w:r>
      <w:proofErr w:type="gramEnd"/>
      <w:r>
        <w:rPr>
          <w:sz w:val="24"/>
          <w:szCs w:val="24"/>
        </w:rPr>
        <w:t xml:space="preserve"> cada uma delas, como por exemplo, se a combinação de negócios foi realizada ou não com empresas do exterior. O trabalho de Simões, Macedo-Soares, </w:t>
      </w:r>
      <w:proofErr w:type="spellStart"/>
      <w:r>
        <w:rPr>
          <w:sz w:val="24"/>
          <w:szCs w:val="24"/>
        </w:rPr>
        <w:t>Klotzle</w:t>
      </w:r>
      <w:proofErr w:type="spellEnd"/>
      <w:r>
        <w:rPr>
          <w:sz w:val="24"/>
          <w:szCs w:val="24"/>
        </w:rPr>
        <w:t xml:space="preserve"> &amp; Pinto (2012) analisou o anúncio das combinações de negócios, no Brasil, na Argentina e no Chile e, nesse trabalho, encontraram-se reações diferentes para cada um dos países devido às características dos mercados acionários no qual as empresas estão inseridas. </w:t>
      </w:r>
      <w:r w:rsidRPr="008C1DD5">
        <w:rPr>
          <w:sz w:val="24"/>
          <w:szCs w:val="24"/>
        </w:rPr>
        <w:t>Conforme os resultados do estudo de evento executado pelos autores, os retornos anormais positivos no Chile e na Argentina ocorreram um dia após o anúncio, enquanto no Brasil, esse resultado foi no dia do anúncio.</w:t>
      </w:r>
    </w:p>
    <w:p w:rsidR="00702A49" w:rsidRDefault="00702A49" w:rsidP="00702A49">
      <w:pPr>
        <w:ind w:firstLine="709"/>
        <w:jc w:val="both"/>
      </w:pPr>
      <w:r>
        <w:rPr>
          <w:sz w:val="24"/>
          <w:szCs w:val="24"/>
        </w:rPr>
        <w:t xml:space="preserve">Os resultados dos testes de média são sustentados pelo estudo realizado por Romano e Almeida (2015) acerca do caso Sadia e Perdigão, o qual apresentou retornos </w:t>
      </w:r>
      <w:r w:rsidR="007E6F11">
        <w:rPr>
          <w:sz w:val="24"/>
          <w:szCs w:val="24"/>
        </w:rPr>
        <w:t>anormais</w:t>
      </w:r>
      <w:r>
        <w:rPr>
          <w:sz w:val="24"/>
          <w:szCs w:val="24"/>
        </w:rPr>
        <w:t xml:space="preserve"> positivos e estaticamente significativos, tanto para as empresas adquirentes quanto para as adquiridas. Também se alinham aos achados dos estudos de </w:t>
      </w:r>
      <w:proofErr w:type="spellStart"/>
      <w:r>
        <w:rPr>
          <w:sz w:val="24"/>
          <w:szCs w:val="24"/>
        </w:rPr>
        <w:t>Agarwal</w:t>
      </w:r>
      <w:proofErr w:type="spellEnd"/>
      <w:r>
        <w:rPr>
          <w:sz w:val="24"/>
          <w:szCs w:val="24"/>
        </w:rPr>
        <w:t xml:space="preserve"> e </w:t>
      </w:r>
      <w:proofErr w:type="spellStart"/>
      <w:r>
        <w:rPr>
          <w:sz w:val="24"/>
          <w:szCs w:val="24"/>
        </w:rPr>
        <w:t>Singh</w:t>
      </w:r>
      <w:proofErr w:type="spellEnd"/>
      <w:r>
        <w:rPr>
          <w:sz w:val="24"/>
          <w:szCs w:val="24"/>
        </w:rPr>
        <w:t xml:space="preserve"> (2006) e de Pinheiro e Carvalhal (2011) de que tanto as empresas adquirentes quanto as adquiridas obtêm retornos extraordinários maiores que zero quando dos anúncios de combinação de negócios, criando valor para os acionistas. </w:t>
      </w:r>
    </w:p>
    <w:p w:rsidR="00702A49" w:rsidRDefault="00702A49" w:rsidP="00702A49">
      <w:pPr>
        <w:tabs>
          <w:tab w:val="left" w:pos="567"/>
        </w:tabs>
        <w:ind w:firstLine="709"/>
        <w:jc w:val="both"/>
      </w:pPr>
      <w:r>
        <w:rPr>
          <w:sz w:val="24"/>
          <w:szCs w:val="24"/>
        </w:rPr>
        <w:t xml:space="preserve">Os resultados evidenciam que a divulgação do fato relevante sobre combinação de </w:t>
      </w:r>
      <w:r w:rsidRPr="00D604C5">
        <w:rPr>
          <w:sz w:val="24"/>
          <w:szCs w:val="24"/>
        </w:rPr>
        <w:t>negócios é um evento corporativo que influencia significativamente as expectativas dos investidores, afetando os valores mobiliários das empresas. A divulgação desse fato relevante possui conteúdo informacional capaz de causar mudanças</w:t>
      </w:r>
      <w:r>
        <w:rPr>
          <w:sz w:val="24"/>
          <w:szCs w:val="24"/>
        </w:rPr>
        <w:t xml:space="preserve"> nas precificações das ações das entidades. Frente a isso, a CVM normatiza a divulgação dos fatos relevantes, conforme já mencionado, objetivando evitar práticas de </w:t>
      </w:r>
      <w:proofErr w:type="spellStart"/>
      <w:r>
        <w:rPr>
          <w:i/>
          <w:sz w:val="24"/>
          <w:szCs w:val="24"/>
        </w:rPr>
        <w:t>insider</w:t>
      </w:r>
      <w:proofErr w:type="spellEnd"/>
      <w:r>
        <w:rPr>
          <w:i/>
          <w:sz w:val="24"/>
          <w:szCs w:val="24"/>
        </w:rPr>
        <w:t xml:space="preserve"> trading.</w:t>
      </w:r>
      <w:r>
        <w:rPr>
          <w:sz w:val="24"/>
          <w:szCs w:val="24"/>
        </w:rPr>
        <w:t xml:space="preserve"> </w:t>
      </w:r>
    </w:p>
    <w:p w:rsidR="00702A49" w:rsidRDefault="00702A49" w:rsidP="00702A49">
      <w:pPr>
        <w:ind w:firstLine="709"/>
        <w:jc w:val="both"/>
      </w:pPr>
      <w:r>
        <w:rPr>
          <w:sz w:val="24"/>
          <w:szCs w:val="24"/>
        </w:rPr>
        <w:t>A normatização se faz necessária, pois a divulgação ou não de um fato relevante traz a discricionariedade do gestor e a omissão desse fato poderá causar impacto nas decisões dos usuários externos. Deste modo, a CVM busca suprir falhas de mercado, objetivando proteger os investidores de possíveis decisões inadequadas tomadas pelos gestores e</w:t>
      </w:r>
      <w:r w:rsidRPr="005D29E2">
        <w:rPr>
          <w:sz w:val="24"/>
          <w:szCs w:val="24"/>
        </w:rPr>
        <w:t xml:space="preserve"> da tentativa de </w:t>
      </w:r>
      <w:r w:rsidRPr="005D29E2">
        <w:rPr>
          <w:sz w:val="24"/>
          <w:szCs w:val="24"/>
        </w:rPr>
        <w:lastRenderedPageBreak/>
        <w:t>expropriação de recursos</w:t>
      </w:r>
      <w:r>
        <w:rPr>
          <w:sz w:val="24"/>
          <w:szCs w:val="24"/>
        </w:rPr>
        <w:t xml:space="preserve">. Essas falhas ocorrem, pois, no Brasil, conforme estudos empíricos já citados anteriormente, a HME </w:t>
      </w:r>
      <w:proofErr w:type="gramStart"/>
      <w:r>
        <w:rPr>
          <w:sz w:val="24"/>
          <w:szCs w:val="24"/>
        </w:rPr>
        <w:t>é,</w:t>
      </w:r>
      <w:proofErr w:type="gramEnd"/>
      <w:r>
        <w:rPr>
          <w:sz w:val="24"/>
          <w:szCs w:val="24"/>
        </w:rPr>
        <w:t xml:space="preserve"> semiforte. </w:t>
      </w:r>
    </w:p>
    <w:p w:rsidR="00702A49" w:rsidRDefault="00702A49" w:rsidP="00702A49">
      <w:pPr>
        <w:ind w:firstLine="709"/>
        <w:jc w:val="both"/>
      </w:pPr>
      <w:r>
        <w:rPr>
          <w:sz w:val="24"/>
          <w:szCs w:val="24"/>
        </w:rPr>
        <w:t xml:space="preserve">As divulgações do anúncio das combinações de negócios causam novos rearranjos nas expectativas dos investidores devido ao fato de </w:t>
      </w:r>
      <w:r>
        <w:rPr>
          <w:sz w:val="24"/>
          <w:szCs w:val="23"/>
        </w:rPr>
        <w:t xml:space="preserve">possuir relevância informacional, bem como influenciar as decisões dos usuários no mercado de capitais, uma vez que os investidores constantemente necessitam de informações para que possam fazer suas escolhas. </w:t>
      </w:r>
    </w:p>
    <w:p w:rsidR="00702A49" w:rsidRDefault="00702A49" w:rsidP="00702A49">
      <w:pPr>
        <w:ind w:firstLine="709"/>
        <w:jc w:val="both"/>
      </w:pPr>
      <w:r>
        <w:rPr>
          <w:sz w:val="24"/>
          <w:szCs w:val="24"/>
        </w:rPr>
        <w:t xml:space="preserve">Ademais, a divulgação do fato relevante sobre combinações de negócios evidenciou retornos positivos e estatisticamente diferentes de zero, consequentemente, as divulgações de combinações de negócios ocasionam mudanças na riqueza gerada para as empresas e para os acionistas, evidenciando a relevância econômica dessa categoria de fato relevante. Desse modo, as divulgações de fatos relevantes sobre combinações de negócios devem ser vistas com atenção, tendo em vista que os resultados evidenciaram sua relevância. </w:t>
      </w:r>
    </w:p>
    <w:p w:rsidR="00702A49" w:rsidRDefault="00702A49" w:rsidP="00702A49">
      <w:pPr>
        <w:ind w:firstLine="709"/>
        <w:jc w:val="both"/>
      </w:pPr>
      <w:r>
        <w:rPr>
          <w:sz w:val="24"/>
          <w:szCs w:val="24"/>
        </w:rPr>
        <w:t xml:space="preserve">Os resultados aludem ao fato de que a divulgação do fato relevante “combinação de negócios” alinha-se à HME semiforte, pois os preços são reflexos do comportamento passado e das informações publicadas, </w:t>
      </w:r>
      <w:r w:rsidR="007E6F11">
        <w:rPr>
          <w:sz w:val="24"/>
          <w:szCs w:val="24"/>
        </w:rPr>
        <w:t>além de se ajustarem</w:t>
      </w:r>
      <w:r>
        <w:rPr>
          <w:sz w:val="24"/>
          <w:szCs w:val="24"/>
        </w:rPr>
        <w:t xml:space="preserve"> de forma rápida, conforme resultados descritos, algumas empresas com retornos positivos em t, outras em t+1. </w:t>
      </w:r>
    </w:p>
    <w:p w:rsidR="00702A49" w:rsidRDefault="00702A49" w:rsidP="00702A49">
      <w:pPr>
        <w:ind w:firstLine="709"/>
        <w:jc w:val="both"/>
      </w:pPr>
      <w:r>
        <w:rPr>
          <w:sz w:val="24"/>
          <w:szCs w:val="24"/>
        </w:rPr>
        <w:t xml:space="preserve">Essas exposições trazem perspectivas de que, os retornos positivos obtidos com a divulgação do fato relevante sobre “combinação de negócios”, tanto na divulgação do anúncio quanto da conclusão da combinação de negócios, </w:t>
      </w:r>
      <w:r w:rsidR="005219D1">
        <w:rPr>
          <w:sz w:val="24"/>
          <w:szCs w:val="24"/>
        </w:rPr>
        <w:t>poderão ocorrer</w:t>
      </w:r>
      <w:r>
        <w:rPr>
          <w:sz w:val="24"/>
          <w:szCs w:val="24"/>
        </w:rPr>
        <w:t xml:space="preserve"> também com outras categorias de fatos relevantes. A divulgação dos fatos relevantes faz-se necessário para a transparência, redução da assimetria informacional, bem como na perspectiva de boas práticas de governança corporativa. </w:t>
      </w:r>
    </w:p>
    <w:p w:rsidR="00702A49" w:rsidRPr="00216131" w:rsidRDefault="00702A49" w:rsidP="00702A49">
      <w:pPr>
        <w:ind w:firstLine="709"/>
        <w:jc w:val="both"/>
        <w:rPr>
          <w:sz w:val="24"/>
          <w:szCs w:val="24"/>
        </w:rPr>
      </w:pPr>
      <w:r>
        <w:rPr>
          <w:sz w:val="24"/>
          <w:szCs w:val="24"/>
        </w:rPr>
        <w:t xml:space="preserve">Dessa forma, conforme os resultados apresentados, algumas empresas apresentam reação com significância estatística, inferindo-se que o mercado é influenciado pela divulgação desses dois eventos em questão. Usualmente, os resultados apresentados seguem a literatura, em consonância com o trabalho de </w:t>
      </w:r>
      <w:proofErr w:type="spellStart"/>
      <w:r>
        <w:rPr>
          <w:sz w:val="24"/>
          <w:szCs w:val="24"/>
        </w:rPr>
        <w:t>Petter</w:t>
      </w:r>
      <w:proofErr w:type="spellEnd"/>
      <w:r>
        <w:rPr>
          <w:sz w:val="24"/>
          <w:szCs w:val="24"/>
        </w:rPr>
        <w:t xml:space="preserve"> </w:t>
      </w:r>
      <w:proofErr w:type="spellStart"/>
      <w:r>
        <w:rPr>
          <w:sz w:val="24"/>
          <w:szCs w:val="24"/>
        </w:rPr>
        <w:t>Dodd</w:t>
      </w:r>
      <w:proofErr w:type="spellEnd"/>
      <w:r>
        <w:rPr>
          <w:sz w:val="24"/>
          <w:szCs w:val="24"/>
        </w:rPr>
        <w:t xml:space="preserve"> (1980), e refutam o trabalho de Pimenta </w:t>
      </w:r>
      <w:proofErr w:type="spellStart"/>
      <w:proofErr w:type="gramStart"/>
      <w:r>
        <w:rPr>
          <w:i/>
          <w:sz w:val="24"/>
          <w:szCs w:val="24"/>
        </w:rPr>
        <w:t>et</w:t>
      </w:r>
      <w:proofErr w:type="spellEnd"/>
      <w:proofErr w:type="gramEnd"/>
      <w:r>
        <w:rPr>
          <w:i/>
          <w:sz w:val="24"/>
          <w:szCs w:val="24"/>
        </w:rPr>
        <w:t xml:space="preserve"> </w:t>
      </w:r>
      <w:proofErr w:type="spellStart"/>
      <w:r>
        <w:rPr>
          <w:i/>
          <w:sz w:val="24"/>
          <w:szCs w:val="24"/>
        </w:rPr>
        <w:t>al</w:t>
      </w:r>
      <w:proofErr w:type="spellEnd"/>
      <w:r>
        <w:rPr>
          <w:i/>
          <w:sz w:val="24"/>
          <w:szCs w:val="24"/>
        </w:rPr>
        <w:t xml:space="preserve"> </w:t>
      </w:r>
      <w:r>
        <w:rPr>
          <w:sz w:val="24"/>
          <w:szCs w:val="24"/>
        </w:rPr>
        <w:t>(2015), já que os resultados evidenciaram que, mais de um evento apresentou diferença estatística significativa na janela do evento. Além disso, os resultados alinham-se com outros autores já citados anteriormente.</w:t>
      </w:r>
    </w:p>
    <w:p w:rsidR="00702A49" w:rsidRDefault="00702A49" w:rsidP="00702A49">
      <w:pPr>
        <w:jc w:val="both"/>
      </w:pPr>
      <w:proofErr w:type="gramStart"/>
      <w:r>
        <w:rPr>
          <w:b/>
          <w:sz w:val="24"/>
          <w:szCs w:val="24"/>
        </w:rPr>
        <w:t>5</w:t>
      </w:r>
      <w:proofErr w:type="gramEnd"/>
      <w:r>
        <w:rPr>
          <w:b/>
          <w:sz w:val="24"/>
          <w:szCs w:val="24"/>
        </w:rPr>
        <w:t xml:space="preserve"> CONSIDERAÇÕES</w:t>
      </w:r>
    </w:p>
    <w:p w:rsidR="00702A49" w:rsidRDefault="00702A49" w:rsidP="00702A49">
      <w:pPr>
        <w:ind w:firstLine="709"/>
        <w:jc w:val="both"/>
      </w:pPr>
      <w:r>
        <w:rPr>
          <w:sz w:val="24"/>
          <w:szCs w:val="24"/>
        </w:rPr>
        <w:t xml:space="preserve">Esta pesquisa objetivou verificar a influência, nos preços das ações, de dois eventos envolvendo combinação de negócios, o anúncio e a efetivação das operações. Verificou-se como o mercado reage após tais anúncios. Para tanto, empreendeu-se a técnica de </w:t>
      </w:r>
      <w:r w:rsidR="007E6F11">
        <w:rPr>
          <w:sz w:val="24"/>
          <w:szCs w:val="24"/>
        </w:rPr>
        <w:t>Estudo de E</w:t>
      </w:r>
      <w:r>
        <w:rPr>
          <w:sz w:val="24"/>
          <w:szCs w:val="24"/>
        </w:rPr>
        <w:t xml:space="preserve">ventos. </w:t>
      </w:r>
    </w:p>
    <w:p w:rsidR="00702A49" w:rsidRDefault="00702A49" w:rsidP="00702A49">
      <w:pPr>
        <w:ind w:firstLine="709"/>
        <w:jc w:val="both"/>
      </w:pPr>
      <w:r>
        <w:rPr>
          <w:sz w:val="24"/>
          <w:szCs w:val="24"/>
        </w:rPr>
        <w:t>Os resultados obtidos com a presente pesquisa corroboram algumas suposições teóricas, bem como refutaram outras, reafirmando que não há um consenso quanto aos resultados das pesquisas que envolvem combinação de negócios. A distribuição assimétrica dos ganhos entre adquirentes e adquiridos permanece como um quebra-cabeça tanto na literatura de finanças quanto de estratégica (</w:t>
      </w:r>
      <w:proofErr w:type="spellStart"/>
      <w:r>
        <w:rPr>
          <w:sz w:val="24"/>
          <w:szCs w:val="24"/>
        </w:rPr>
        <w:t>Capron</w:t>
      </w:r>
      <w:proofErr w:type="spellEnd"/>
      <w:r>
        <w:rPr>
          <w:sz w:val="24"/>
          <w:szCs w:val="24"/>
        </w:rPr>
        <w:t xml:space="preserve"> &amp; </w:t>
      </w:r>
      <w:proofErr w:type="spellStart"/>
      <w:r>
        <w:rPr>
          <w:sz w:val="24"/>
          <w:szCs w:val="24"/>
        </w:rPr>
        <w:t>Pistre</w:t>
      </w:r>
      <w:proofErr w:type="spellEnd"/>
      <w:r>
        <w:rPr>
          <w:sz w:val="24"/>
          <w:szCs w:val="24"/>
        </w:rPr>
        <w:t xml:space="preserve">, 2002). </w:t>
      </w:r>
    </w:p>
    <w:p w:rsidR="00702A49" w:rsidRDefault="00702A49" w:rsidP="00702A49">
      <w:pPr>
        <w:ind w:firstLine="709"/>
        <w:jc w:val="both"/>
      </w:pPr>
      <w:r>
        <w:rPr>
          <w:sz w:val="24"/>
          <w:szCs w:val="24"/>
        </w:rPr>
        <w:t xml:space="preserve">Os achados deste estudo vão ao encontro do trabalho de Romano e Almeida (2015), no qual há evidências empíricas de que existem retornos anormais positivos e estatisticamente significativos para a empresa adquirente e para a adquirida e a qual contraria a ideia de que os retornos das adquirentes são próximos de zero. Contudo este estudo somente faz a análise empírica na visão da adquirente. </w:t>
      </w:r>
    </w:p>
    <w:p w:rsidR="00702A49" w:rsidRDefault="00702A49" w:rsidP="00702A49">
      <w:pPr>
        <w:ind w:firstLine="709"/>
        <w:jc w:val="both"/>
        <w:rPr>
          <w:sz w:val="24"/>
          <w:szCs w:val="24"/>
        </w:rPr>
      </w:pPr>
      <w:r>
        <w:rPr>
          <w:sz w:val="24"/>
          <w:szCs w:val="24"/>
        </w:rPr>
        <w:t xml:space="preserve">Os resultados das evidências analisadas sugerem que, em alguns casos, há retornos anormais positivos na divulgação do anúncio da combinação de negócios e na concretização da combinação de negócios, sendo esse principal evento relevante para análise do investidor. </w:t>
      </w:r>
    </w:p>
    <w:p w:rsidR="00702A49" w:rsidRPr="00E32090" w:rsidRDefault="00702A49" w:rsidP="00702A49">
      <w:pPr>
        <w:ind w:firstLine="709"/>
        <w:jc w:val="both"/>
        <w:rPr>
          <w:sz w:val="24"/>
          <w:szCs w:val="24"/>
        </w:rPr>
      </w:pPr>
      <w:r>
        <w:rPr>
          <w:sz w:val="24"/>
          <w:szCs w:val="24"/>
        </w:rPr>
        <w:t xml:space="preserve">A partir dos estudos de eventos realizados, verificou-se que tanto na divulgação do anúncio, quanto na concretização da combinação de negócios, o mercado se mostra eficiente na sua forma semiforte, contribuindo com a literatura existente. Em suma, igualmente no </w:t>
      </w:r>
      <w:r>
        <w:rPr>
          <w:sz w:val="24"/>
          <w:szCs w:val="24"/>
        </w:rPr>
        <w:lastRenderedPageBreak/>
        <w:t xml:space="preserve">anúncio e na conclusão da combinação de negócios, em mais da metade das empresas da amostra, os </w:t>
      </w:r>
      <w:proofErr w:type="spellStart"/>
      <w:r>
        <w:rPr>
          <w:sz w:val="24"/>
          <w:szCs w:val="24"/>
        </w:rPr>
        <w:t>RAAs</w:t>
      </w:r>
      <w:proofErr w:type="spellEnd"/>
      <w:r>
        <w:rPr>
          <w:sz w:val="24"/>
          <w:szCs w:val="24"/>
        </w:rPr>
        <w:t xml:space="preserve"> foram estatisticamente significativos. </w:t>
      </w:r>
    </w:p>
    <w:p w:rsidR="00702A49" w:rsidRDefault="00702A49" w:rsidP="00702A49">
      <w:pPr>
        <w:ind w:firstLine="709"/>
        <w:jc w:val="both"/>
        <w:rPr>
          <w:sz w:val="24"/>
          <w:szCs w:val="24"/>
        </w:rPr>
      </w:pPr>
      <w:r>
        <w:rPr>
          <w:sz w:val="24"/>
          <w:szCs w:val="24"/>
        </w:rPr>
        <w:t xml:space="preserve">A presente pesquisa contribuiu para as discussões a respeito das combinações de negócios na criação de valor para o acionista </w:t>
      </w:r>
      <w:r w:rsidRPr="00CB63BD">
        <w:rPr>
          <w:sz w:val="24"/>
          <w:szCs w:val="24"/>
        </w:rPr>
        <w:t xml:space="preserve">e na alteração das </w:t>
      </w:r>
      <w:r w:rsidR="001C19E3" w:rsidRPr="00CB63BD">
        <w:rPr>
          <w:sz w:val="24"/>
          <w:szCs w:val="24"/>
        </w:rPr>
        <w:t>expectativas</w:t>
      </w:r>
      <w:r w:rsidRPr="00CB63BD">
        <w:rPr>
          <w:sz w:val="24"/>
          <w:szCs w:val="24"/>
        </w:rPr>
        <w:t xml:space="preserve"> dos investidores, corroborando a relevância do fato relevante referente à combinação de negócios.</w:t>
      </w:r>
      <w:r>
        <w:rPr>
          <w:sz w:val="24"/>
          <w:szCs w:val="24"/>
        </w:rPr>
        <w:t xml:space="preserve"> Academicamente, o estudo empreendido contribui para que novas pesquisas explorem fatos relevantes e sua </w:t>
      </w:r>
      <w:proofErr w:type="spellStart"/>
      <w:r w:rsidRPr="008D1AA0">
        <w:rPr>
          <w:i/>
          <w:sz w:val="24"/>
          <w:szCs w:val="24"/>
        </w:rPr>
        <w:t>value</w:t>
      </w:r>
      <w:proofErr w:type="spellEnd"/>
      <w:r w:rsidRPr="008D1AA0">
        <w:rPr>
          <w:i/>
          <w:sz w:val="24"/>
          <w:szCs w:val="24"/>
        </w:rPr>
        <w:t xml:space="preserve"> </w:t>
      </w:r>
      <w:proofErr w:type="spellStart"/>
      <w:r w:rsidRPr="008D1AA0">
        <w:rPr>
          <w:i/>
          <w:sz w:val="24"/>
          <w:szCs w:val="24"/>
        </w:rPr>
        <w:t>rel</w:t>
      </w:r>
      <w:r>
        <w:rPr>
          <w:i/>
          <w:sz w:val="24"/>
          <w:szCs w:val="24"/>
        </w:rPr>
        <w:t>ev</w:t>
      </w:r>
      <w:r w:rsidRPr="008D1AA0">
        <w:rPr>
          <w:i/>
          <w:sz w:val="24"/>
          <w:szCs w:val="24"/>
        </w:rPr>
        <w:t>ance</w:t>
      </w:r>
      <w:proofErr w:type="spellEnd"/>
      <w:r>
        <w:rPr>
          <w:sz w:val="24"/>
          <w:szCs w:val="24"/>
        </w:rPr>
        <w:t>, a partir da v</w:t>
      </w:r>
      <w:r w:rsidR="00380DF0">
        <w:rPr>
          <w:sz w:val="24"/>
          <w:szCs w:val="24"/>
        </w:rPr>
        <w:t xml:space="preserve">isão da combinação de negócios e também para verificação do volume de divulgação de informações que sejam </w:t>
      </w:r>
      <w:r w:rsidR="001C19E3">
        <w:rPr>
          <w:sz w:val="24"/>
          <w:szCs w:val="24"/>
        </w:rPr>
        <w:t>relevantes, tendo em vista que</w:t>
      </w:r>
      <w:proofErr w:type="gramStart"/>
      <w:r w:rsidR="001C19E3">
        <w:rPr>
          <w:sz w:val="24"/>
          <w:szCs w:val="24"/>
        </w:rPr>
        <w:t xml:space="preserve"> </w:t>
      </w:r>
      <w:r w:rsidR="00380DF0">
        <w:rPr>
          <w:sz w:val="24"/>
          <w:szCs w:val="24"/>
        </w:rPr>
        <w:t xml:space="preserve"> </w:t>
      </w:r>
      <w:proofErr w:type="gramEnd"/>
      <w:r w:rsidR="00380DF0">
        <w:rPr>
          <w:sz w:val="24"/>
          <w:szCs w:val="24"/>
        </w:rPr>
        <w:t xml:space="preserve">divulgar informações gera custos. </w:t>
      </w:r>
      <w:r>
        <w:rPr>
          <w:sz w:val="24"/>
          <w:szCs w:val="24"/>
        </w:rPr>
        <w:t xml:space="preserve">Contudo, apesar de ter alcançado o fim proposto, a pesquisa possui algumas limitações. </w:t>
      </w:r>
    </w:p>
    <w:p w:rsidR="00702A49" w:rsidRDefault="00702A49" w:rsidP="00702A49">
      <w:pPr>
        <w:ind w:firstLine="709"/>
        <w:jc w:val="both"/>
        <w:rPr>
          <w:sz w:val="24"/>
          <w:szCs w:val="24"/>
        </w:rPr>
      </w:pPr>
      <w:r>
        <w:rPr>
          <w:sz w:val="24"/>
          <w:szCs w:val="24"/>
        </w:rPr>
        <w:t xml:space="preserve">O estabelecimento da janela de estimação é uma delas, pois cabe ao pesquisador a sua determinação, conforme o objetivo que pretende alcançar, gerando certa discricionariedade. Além disso, </w:t>
      </w:r>
      <w:proofErr w:type="spellStart"/>
      <w:r>
        <w:rPr>
          <w:sz w:val="24"/>
          <w:szCs w:val="24"/>
        </w:rPr>
        <w:t>Camargos</w:t>
      </w:r>
      <w:proofErr w:type="spellEnd"/>
      <w:r>
        <w:rPr>
          <w:sz w:val="24"/>
          <w:szCs w:val="24"/>
        </w:rPr>
        <w:t xml:space="preserve"> e Barbosa (2003) ressaltam que há alguma dificuldade em determinar a data exata em que o mercado recebeu a informação do evento em estudo e como a reação do mercado pode difundir-se nesses dias. Os cálculos dos retornos anormais, que possuem mais de um modelo para utilização, bem como a possibilidade da existência de </w:t>
      </w:r>
      <w:proofErr w:type="spellStart"/>
      <w:r>
        <w:rPr>
          <w:sz w:val="24"/>
          <w:szCs w:val="24"/>
        </w:rPr>
        <w:t>estacionariedade</w:t>
      </w:r>
      <w:proofErr w:type="spellEnd"/>
      <w:r>
        <w:rPr>
          <w:sz w:val="24"/>
          <w:szCs w:val="24"/>
        </w:rPr>
        <w:t xml:space="preserve"> das variáveis, </w:t>
      </w:r>
      <w:r w:rsidRPr="00CB63BD">
        <w:rPr>
          <w:sz w:val="24"/>
          <w:szCs w:val="24"/>
        </w:rPr>
        <w:t xml:space="preserve">também </w:t>
      </w:r>
      <w:proofErr w:type="gramStart"/>
      <w:r w:rsidRPr="00CB63BD">
        <w:rPr>
          <w:sz w:val="24"/>
          <w:szCs w:val="24"/>
        </w:rPr>
        <w:t>configuram-se</w:t>
      </w:r>
      <w:proofErr w:type="gramEnd"/>
      <w:r w:rsidRPr="00CB63BD">
        <w:rPr>
          <w:sz w:val="24"/>
          <w:szCs w:val="24"/>
        </w:rPr>
        <w:t xml:space="preserve"> como limitação</w:t>
      </w:r>
      <w:r>
        <w:rPr>
          <w:sz w:val="24"/>
          <w:szCs w:val="24"/>
        </w:rPr>
        <w:t xml:space="preserve">. O período de análise é curto, apesar de resultados significativos, devido ao fato de haver poucas empresas que anunciaram e realmente concluíram a operação. </w:t>
      </w:r>
    </w:p>
    <w:p w:rsidR="00702A49" w:rsidRPr="00CB63BD" w:rsidRDefault="00702A49" w:rsidP="00702A49">
      <w:pPr>
        <w:ind w:firstLine="709"/>
        <w:jc w:val="both"/>
        <w:rPr>
          <w:sz w:val="24"/>
          <w:szCs w:val="24"/>
        </w:rPr>
      </w:pPr>
      <w:r>
        <w:rPr>
          <w:sz w:val="24"/>
          <w:szCs w:val="24"/>
        </w:rPr>
        <w:t xml:space="preserve">Sugere-se, como pesquisas futuras, a realização do mesmo estudo com um período de análise maior e também, a utilização de outro modelo estatístico para previsão do valor das ações, devido à volatilidade das ações. Também se recomenda a segregação da amostra por setores ou empresas públicas ou privadas, pois os </w:t>
      </w:r>
      <w:proofErr w:type="spellStart"/>
      <w:r>
        <w:rPr>
          <w:sz w:val="24"/>
          <w:szCs w:val="24"/>
        </w:rPr>
        <w:t>RAAs</w:t>
      </w:r>
      <w:proofErr w:type="spellEnd"/>
      <w:r>
        <w:rPr>
          <w:sz w:val="24"/>
          <w:szCs w:val="24"/>
        </w:rPr>
        <w:t xml:space="preserve"> não possuem comportamento estático, ora positivo, ora negativo, variando de empresa para empresa. Como o presente artigo teve como objeto de estudo apenas um tipo de fato relevante, recomenda a análise de outros tipos de fatos relevantes. </w:t>
      </w:r>
      <w:r w:rsidRPr="00CB63BD">
        <w:rPr>
          <w:sz w:val="24"/>
          <w:szCs w:val="24"/>
        </w:rPr>
        <w:t>Ainda, recomenda-se analisar empresas de diferentes mercados, tais como o americano, com objetivo de trazer mais subsídios referentes ao impacto dos fatos relevantes em diferentes mercados.</w:t>
      </w:r>
    </w:p>
    <w:p w:rsidR="00702A49" w:rsidRPr="0043394E" w:rsidRDefault="00702A49" w:rsidP="00702A49">
      <w:pPr>
        <w:jc w:val="both"/>
      </w:pPr>
      <w:r>
        <w:rPr>
          <w:b/>
          <w:sz w:val="24"/>
        </w:rPr>
        <w:t>REFERÊNCIAS</w:t>
      </w:r>
    </w:p>
    <w:p w:rsidR="00702A49" w:rsidRDefault="00702A49" w:rsidP="00702A49">
      <w:pPr>
        <w:ind w:left="851" w:hanging="851"/>
        <w:jc w:val="both"/>
      </w:pPr>
      <w:r>
        <w:rPr>
          <w:sz w:val="24"/>
        </w:rPr>
        <w:t xml:space="preserve">Araújo, J. M., &amp; Leite, P. A. M. (2012). Modelagem da Volatilidade Apresentada Pelos Índices IVBX-2 e SMLL no Ano de 2008 Usando Modelos da Família ARCH. </w:t>
      </w:r>
      <w:r>
        <w:rPr>
          <w:i/>
          <w:sz w:val="24"/>
        </w:rPr>
        <w:t>Revista de Administração Mackenzie,</w:t>
      </w:r>
      <w:r>
        <w:rPr>
          <w:sz w:val="24"/>
        </w:rPr>
        <w:t xml:space="preserve"> 13(4).</w:t>
      </w:r>
    </w:p>
    <w:p w:rsidR="00702A49" w:rsidRDefault="00702A49" w:rsidP="00702A49">
      <w:pPr>
        <w:ind w:left="851" w:hanging="851"/>
        <w:jc w:val="both"/>
      </w:pPr>
      <w:proofErr w:type="spellStart"/>
      <w:proofErr w:type="gramStart"/>
      <w:r w:rsidRPr="00530802">
        <w:rPr>
          <w:sz w:val="24"/>
          <w:lang w:val="en-US"/>
        </w:rPr>
        <w:t>Agrawal</w:t>
      </w:r>
      <w:proofErr w:type="spellEnd"/>
      <w:r w:rsidRPr="00530802">
        <w:rPr>
          <w:sz w:val="24"/>
          <w:lang w:val="en-US"/>
        </w:rPr>
        <w:t xml:space="preserve">, A., Jaffe, J., &amp; </w:t>
      </w:r>
      <w:proofErr w:type="spellStart"/>
      <w:r w:rsidRPr="00530802">
        <w:rPr>
          <w:sz w:val="24"/>
          <w:lang w:val="en-US"/>
        </w:rPr>
        <w:t>Mandelker</w:t>
      </w:r>
      <w:proofErr w:type="spellEnd"/>
      <w:r w:rsidRPr="00530802">
        <w:rPr>
          <w:sz w:val="24"/>
          <w:lang w:val="en-US"/>
        </w:rPr>
        <w:t>, G. (1992).</w:t>
      </w:r>
      <w:proofErr w:type="gramEnd"/>
      <w:r w:rsidRPr="00530802">
        <w:rPr>
          <w:sz w:val="24"/>
          <w:lang w:val="en-US"/>
        </w:rPr>
        <w:t xml:space="preserve"> </w:t>
      </w:r>
      <w:proofErr w:type="spellStart"/>
      <w:r w:rsidRPr="0072111E">
        <w:rPr>
          <w:sz w:val="24"/>
        </w:rPr>
        <w:t>The</w:t>
      </w:r>
      <w:proofErr w:type="spellEnd"/>
      <w:r w:rsidRPr="0072111E">
        <w:rPr>
          <w:sz w:val="24"/>
        </w:rPr>
        <w:t xml:space="preserve"> </w:t>
      </w:r>
      <w:proofErr w:type="spellStart"/>
      <w:r w:rsidRPr="0072111E">
        <w:rPr>
          <w:sz w:val="24"/>
        </w:rPr>
        <w:t>Post-merger</w:t>
      </w:r>
      <w:proofErr w:type="spellEnd"/>
      <w:r w:rsidRPr="0072111E">
        <w:rPr>
          <w:sz w:val="24"/>
        </w:rPr>
        <w:t xml:space="preserve"> </w:t>
      </w:r>
      <w:proofErr w:type="gramStart"/>
      <w:r w:rsidRPr="0072111E">
        <w:rPr>
          <w:sz w:val="24"/>
        </w:rPr>
        <w:t>Performance</w:t>
      </w:r>
      <w:proofErr w:type="gramEnd"/>
      <w:r w:rsidRPr="0072111E">
        <w:rPr>
          <w:sz w:val="24"/>
        </w:rPr>
        <w:t xml:space="preserve"> </w:t>
      </w:r>
      <w:proofErr w:type="spellStart"/>
      <w:r w:rsidRPr="0072111E">
        <w:rPr>
          <w:sz w:val="24"/>
        </w:rPr>
        <w:t>of</w:t>
      </w:r>
      <w:proofErr w:type="spellEnd"/>
      <w:r w:rsidRPr="0072111E">
        <w:rPr>
          <w:sz w:val="24"/>
        </w:rPr>
        <w:t xml:space="preserve"> </w:t>
      </w:r>
      <w:proofErr w:type="spellStart"/>
      <w:r w:rsidRPr="0072111E">
        <w:rPr>
          <w:sz w:val="24"/>
        </w:rPr>
        <w:t>Acquiring</w:t>
      </w:r>
      <w:proofErr w:type="spellEnd"/>
      <w:r w:rsidRPr="0072111E">
        <w:rPr>
          <w:sz w:val="24"/>
        </w:rPr>
        <w:t xml:space="preserve"> </w:t>
      </w:r>
      <w:proofErr w:type="spellStart"/>
      <w:r w:rsidRPr="0072111E">
        <w:rPr>
          <w:sz w:val="24"/>
        </w:rPr>
        <w:t>Firms</w:t>
      </w:r>
      <w:proofErr w:type="spellEnd"/>
      <w:r>
        <w:rPr>
          <w:sz w:val="24"/>
          <w:lang w:val="en-US"/>
        </w:rPr>
        <w:t xml:space="preserve">: a re-examination of an anomaly. </w:t>
      </w:r>
      <w:proofErr w:type="spellStart"/>
      <w:r w:rsidRPr="00086997">
        <w:rPr>
          <w:i/>
          <w:sz w:val="24"/>
        </w:rPr>
        <w:t>Journal</w:t>
      </w:r>
      <w:proofErr w:type="spellEnd"/>
      <w:r w:rsidRPr="00086997">
        <w:rPr>
          <w:i/>
          <w:sz w:val="24"/>
        </w:rPr>
        <w:t xml:space="preserve"> </w:t>
      </w:r>
      <w:proofErr w:type="spellStart"/>
      <w:r w:rsidRPr="00086997">
        <w:rPr>
          <w:i/>
          <w:sz w:val="24"/>
        </w:rPr>
        <w:t>of</w:t>
      </w:r>
      <w:proofErr w:type="spellEnd"/>
      <w:r w:rsidRPr="00086997">
        <w:rPr>
          <w:i/>
          <w:sz w:val="24"/>
        </w:rPr>
        <w:t xml:space="preserve"> </w:t>
      </w:r>
      <w:proofErr w:type="spellStart"/>
      <w:r w:rsidRPr="00086997">
        <w:rPr>
          <w:i/>
          <w:sz w:val="24"/>
        </w:rPr>
        <w:t>Finance</w:t>
      </w:r>
      <w:proofErr w:type="spellEnd"/>
      <w:r w:rsidRPr="00086997">
        <w:rPr>
          <w:i/>
          <w:sz w:val="24"/>
        </w:rPr>
        <w:t>,</w:t>
      </w:r>
      <w:r w:rsidRPr="00086997">
        <w:rPr>
          <w:sz w:val="24"/>
        </w:rPr>
        <w:t xml:space="preserve"> 47(14), 1605-1622.</w:t>
      </w:r>
    </w:p>
    <w:p w:rsidR="00702A49" w:rsidRPr="002321C2" w:rsidRDefault="00702A49" w:rsidP="00702A49">
      <w:pPr>
        <w:ind w:left="851" w:hanging="851"/>
        <w:jc w:val="both"/>
        <w:rPr>
          <w:sz w:val="24"/>
        </w:rPr>
      </w:pPr>
      <w:r>
        <w:rPr>
          <w:sz w:val="24"/>
        </w:rPr>
        <w:t xml:space="preserve">Alves, </w:t>
      </w:r>
      <w:proofErr w:type="spellStart"/>
      <w:r>
        <w:rPr>
          <w:sz w:val="24"/>
        </w:rPr>
        <w:t>P.S.</w:t>
      </w:r>
      <w:proofErr w:type="spellEnd"/>
      <w:r>
        <w:rPr>
          <w:sz w:val="24"/>
        </w:rPr>
        <w:t xml:space="preserve"> (2011) </w:t>
      </w:r>
      <w:r w:rsidRPr="002321C2">
        <w:rPr>
          <w:sz w:val="24"/>
        </w:rPr>
        <w:t xml:space="preserve">Fusões e Aquisições no Setor Bancário: Estudo de Eventos. </w:t>
      </w:r>
      <w:proofErr w:type="gramStart"/>
      <w:r>
        <w:rPr>
          <w:sz w:val="24"/>
        </w:rPr>
        <w:t>(</w:t>
      </w:r>
      <w:r w:rsidRPr="002321C2">
        <w:rPr>
          <w:sz w:val="24"/>
        </w:rPr>
        <w:t>Dissertação de</w:t>
      </w:r>
    </w:p>
    <w:p w:rsidR="00702A49" w:rsidRDefault="00702A49" w:rsidP="00702A49">
      <w:pPr>
        <w:ind w:left="851"/>
        <w:jc w:val="both"/>
        <w:rPr>
          <w:sz w:val="24"/>
        </w:rPr>
      </w:pPr>
      <w:r w:rsidRPr="002321C2">
        <w:rPr>
          <w:sz w:val="24"/>
        </w:rPr>
        <w:t>Mestrado</w:t>
      </w:r>
      <w:r>
        <w:rPr>
          <w:sz w:val="24"/>
        </w:rPr>
        <w:t>)</w:t>
      </w:r>
      <w:proofErr w:type="gramEnd"/>
      <w:r>
        <w:rPr>
          <w:sz w:val="24"/>
        </w:rPr>
        <w:t>, Rio Grande do Sul.</w:t>
      </w:r>
    </w:p>
    <w:p w:rsidR="00702A49" w:rsidRPr="00086997" w:rsidRDefault="00702A49" w:rsidP="00702A49">
      <w:pPr>
        <w:ind w:left="851" w:hanging="851"/>
        <w:jc w:val="both"/>
        <w:rPr>
          <w:sz w:val="24"/>
          <w:szCs w:val="24"/>
        </w:rPr>
      </w:pPr>
      <w:r w:rsidRPr="0072111E">
        <w:rPr>
          <w:sz w:val="24"/>
        </w:rPr>
        <w:t xml:space="preserve">Alves, </w:t>
      </w:r>
      <w:proofErr w:type="spellStart"/>
      <w:r w:rsidRPr="0072111E">
        <w:rPr>
          <w:sz w:val="24"/>
        </w:rPr>
        <w:t>J.M.</w:t>
      </w:r>
      <w:proofErr w:type="spellEnd"/>
      <w:r w:rsidRPr="0072111E">
        <w:rPr>
          <w:sz w:val="24"/>
        </w:rPr>
        <w:t xml:space="preserve">, &amp; </w:t>
      </w:r>
      <w:proofErr w:type="spellStart"/>
      <w:r>
        <w:rPr>
          <w:sz w:val="24"/>
        </w:rPr>
        <w:t>Zotes</w:t>
      </w:r>
      <w:proofErr w:type="spellEnd"/>
      <w:r>
        <w:rPr>
          <w:sz w:val="24"/>
        </w:rPr>
        <w:t xml:space="preserve">, L.P (2016). Fusões e Aquisições e seus impactos no valor da firma: investigação no setor de ensino superior no Brasil. INOVARSE, XII Congresso Nacional de Excelência e Gestão &amp; III </w:t>
      </w:r>
      <w:proofErr w:type="spellStart"/>
      <w:r>
        <w:rPr>
          <w:sz w:val="24"/>
        </w:rPr>
        <w:t>Inovarse</w:t>
      </w:r>
      <w:proofErr w:type="spellEnd"/>
      <w:r>
        <w:rPr>
          <w:sz w:val="24"/>
        </w:rPr>
        <w:t xml:space="preserve"> – Responsabilidade Social Aplicada. </w:t>
      </w:r>
    </w:p>
    <w:p w:rsidR="006C79DF" w:rsidRDefault="00702A49" w:rsidP="006C79DF">
      <w:pPr>
        <w:ind w:left="851" w:hanging="851"/>
        <w:jc w:val="both"/>
        <w:rPr>
          <w:sz w:val="24"/>
          <w:szCs w:val="24"/>
          <w:lang w:val="en-US"/>
        </w:rPr>
      </w:pPr>
      <w:proofErr w:type="spellStart"/>
      <w:r>
        <w:rPr>
          <w:sz w:val="24"/>
          <w:szCs w:val="24"/>
          <w:lang w:val="en-US"/>
        </w:rPr>
        <w:t>Balcilar</w:t>
      </w:r>
      <w:proofErr w:type="spellEnd"/>
      <w:r>
        <w:rPr>
          <w:sz w:val="24"/>
          <w:szCs w:val="24"/>
          <w:lang w:val="en-US"/>
        </w:rPr>
        <w:t xml:space="preserve">, M., &amp; </w:t>
      </w:r>
      <w:proofErr w:type="spellStart"/>
      <w:r>
        <w:rPr>
          <w:sz w:val="24"/>
          <w:szCs w:val="24"/>
          <w:lang w:val="en-US"/>
        </w:rPr>
        <w:t>Cakan</w:t>
      </w:r>
      <w:proofErr w:type="gramStart"/>
      <w:r>
        <w:rPr>
          <w:sz w:val="24"/>
          <w:szCs w:val="24"/>
          <w:lang w:val="en-US"/>
        </w:rPr>
        <w:t>,S</w:t>
      </w:r>
      <w:proofErr w:type="spellEnd"/>
      <w:proofErr w:type="gramEnd"/>
      <w:r>
        <w:rPr>
          <w:sz w:val="24"/>
          <w:szCs w:val="24"/>
          <w:lang w:val="en-US"/>
        </w:rPr>
        <w:t xml:space="preserve">, </w:t>
      </w:r>
      <w:proofErr w:type="spellStart"/>
      <w:r>
        <w:rPr>
          <w:sz w:val="24"/>
          <w:szCs w:val="24"/>
          <w:lang w:val="en-US"/>
        </w:rPr>
        <w:t>Guptar</w:t>
      </w:r>
      <w:proofErr w:type="spellEnd"/>
      <w:r>
        <w:rPr>
          <w:sz w:val="24"/>
          <w:szCs w:val="24"/>
          <w:lang w:val="en-US"/>
        </w:rPr>
        <w:t xml:space="preserve">, R. (2017). Does US news impact Asian emerging markets? </w:t>
      </w:r>
      <w:proofErr w:type="gramStart"/>
      <w:r>
        <w:rPr>
          <w:sz w:val="24"/>
          <w:szCs w:val="24"/>
          <w:lang w:val="en-US"/>
        </w:rPr>
        <w:t>Evidence from nonparametric causality-in-</w:t>
      </w:r>
      <w:proofErr w:type="spellStart"/>
      <w:r>
        <w:rPr>
          <w:sz w:val="24"/>
          <w:szCs w:val="24"/>
          <w:lang w:val="en-US"/>
        </w:rPr>
        <w:t>quantiles</w:t>
      </w:r>
      <w:proofErr w:type="spellEnd"/>
      <w:r>
        <w:rPr>
          <w:sz w:val="24"/>
          <w:szCs w:val="24"/>
          <w:lang w:val="en-US"/>
        </w:rPr>
        <w:t xml:space="preserve"> test.</w:t>
      </w:r>
      <w:proofErr w:type="gramEnd"/>
      <w:r>
        <w:rPr>
          <w:sz w:val="24"/>
          <w:szCs w:val="24"/>
          <w:lang w:val="en-US"/>
        </w:rPr>
        <w:t xml:space="preserve"> </w:t>
      </w:r>
      <w:r>
        <w:rPr>
          <w:i/>
          <w:sz w:val="24"/>
          <w:szCs w:val="24"/>
          <w:lang w:val="en-US"/>
        </w:rPr>
        <w:t xml:space="preserve">The </w:t>
      </w:r>
      <w:proofErr w:type="spellStart"/>
      <w:r>
        <w:rPr>
          <w:i/>
          <w:sz w:val="24"/>
          <w:szCs w:val="24"/>
          <w:lang w:val="en-US"/>
        </w:rPr>
        <w:t>Noth</w:t>
      </w:r>
      <w:proofErr w:type="spellEnd"/>
      <w:r>
        <w:rPr>
          <w:i/>
          <w:sz w:val="24"/>
          <w:szCs w:val="24"/>
          <w:lang w:val="en-US"/>
        </w:rPr>
        <w:t xml:space="preserve"> American Journal of Economics and Finance, </w:t>
      </w:r>
      <w:r>
        <w:rPr>
          <w:sz w:val="24"/>
          <w:szCs w:val="24"/>
          <w:lang w:val="en-US"/>
        </w:rPr>
        <w:t>41, 32-43.</w:t>
      </w:r>
    </w:p>
    <w:p w:rsidR="00702A49" w:rsidRDefault="00702A49" w:rsidP="006C79DF">
      <w:pPr>
        <w:ind w:left="851" w:hanging="851"/>
        <w:jc w:val="both"/>
      </w:pPr>
      <w:r w:rsidRPr="00A47C46">
        <w:rPr>
          <w:sz w:val="24"/>
          <w:szCs w:val="24"/>
        </w:rPr>
        <w:t>Belo, N</w:t>
      </w:r>
      <w:r>
        <w:rPr>
          <w:sz w:val="24"/>
          <w:szCs w:val="24"/>
        </w:rPr>
        <w:t xml:space="preserve">., Brasil, H. Assimetria Informacional e Eficiência Semiforte de Mercado. (2006). </w:t>
      </w:r>
      <w:r>
        <w:rPr>
          <w:i/>
          <w:sz w:val="24"/>
          <w:szCs w:val="24"/>
        </w:rPr>
        <w:t>Revista de Administração de Empresas (RAE</w:t>
      </w:r>
      <w:r>
        <w:rPr>
          <w:sz w:val="24"/>
          <w:szCs w:val="24"/>
        </w:rPr>
        <w:t>), 46, 48-57.</w:t>
      </w:r>
    </w:p>
    <w:p w:rsidR="00702A49" w:rsidRDefault="00702A49" w:rsidP="00702A49">
      <w:pPr>
        <w:tabs>
          <w:tab w:val="left" w:pos="851"/>
        </w:tabs>
        <w:ind w:left="851" w:hanging="851"/>
        <w:jc w:val="both"/>
      </w:pPr>
      <w:r>
        <w:rPr>
          <w:sz w:val="24"/>
          <w:szCs w:val="24"/>
        </w:rPr>
        <w:t>Barbosa, J</w:t>
      </w:r>
      <w:proofErr w:type="gramStart"/>
      <w:r>
        <w:rPr>
          <w:sz w:val="24"/>
          <w:szCs w:val="24"/>
        </w:rPr>
        <w:t>.,</w:t>
      </w:r>
      <w:proofErr w:type="gramEnd"/>
      <w:r>
        <w:rPr>
          <w:sz w:val="24"/>
          <w:szCs w:val="24"/>
        </w:rPr>
        <w:t xml:space="preserve"> </w:t>
      </w:r>
      <w:proofErr w:type="spellStart"/>
      <w:r>
        <w:rPr>
          <w:sz w:val="24"/>
          <w:szCs w:val="24"/>
        </w:rPr>
        <w:t>Altoé</w:t>
      </w:r>
      <w:proofErr w:type="spellEnd"/>
      <w:r>
        <w:rPr>
          <w:sz w:val="24"/>
          <w:szCs w:val="24"/>
        </w:rPr>
        <w:t xml:space="preserve">, </w:t>
      </w:r>
      <w:proofErr w:type="spellStart"/>
      <w:r>
        <w:rPr>
          <w:sz w:val="24"/>
          <w:szCs w:val="24"/>
        </w:rPr>
        <w:t>S.M.</w:t>
      </w:r>
      <w:proofErr w:type="spellEnd"/>
      <w:r>
        <w:rPr>
          <w:sz w:val="24"/>
          <w:szCs w:val="24"/>
        </w:rPr>
        <w:t xml:space="preserve">L, Silva, </w:t>
      </w:r>
      <w:proofErr w:type="spellStart"/>
      <w:r>
        <w:rPr>
          <w:sz w:val="24"/>
          <w:szCs w:val="24"/>
        </w:rPr>
        <w:t>W.V.</w:t>
      </w:r>
      <w:proofErr w:type="spellEnd"/>
      <w:r>
        <w:rPr>
          <w:sz w:val="24"/>
          <w:szCs w:val="24"/>
        </w:rPr>
        <w:t xml:space="preserve">, Almeida, </w:t>
      </w:r>
      <w:proofErr w:type="spellStart"/>
      <w:r>
        <w:rPr>
          <w:sz w:val="24"/>
          <w:szCs w:val="24"/>
        </w:rPr>
        <w:t>L.B.</w:t>
      </w:r>
      <w:proofErr w:type="spellEnd"/>
      <w:r>
        <w:rPr>
          <w:sz w:val="24"/>
          <w:szCs w:val="24"/>
        </w:rPr>
        <w:t xml:space="preserve">  (2013). Índice carbono eficiente (ICO2) e retorno das ações: um estudo de eventos em empresas não financeiras de capital aberto. </w:t>
      </w:r>
      <w:r>
        <w:rPr>
          <w:i/>
          <w:sz w:val="24"/>
          <w:szCs w:val="24"/>
        </w:rPr>
        <w:t xml:space="preserve">Revista de Contabilidade e Organizações, </w:t>
      </w:r>
      <w:r>
        <w:rPr>
          <w:sz w:val="24"/>
          <w:szCs w:val="24"/>
        </w:rPr>
        <w:t>19, 59-69.</w:t>
      </w:r>
    </w:p>
    <w:p w:rsidR="00702A49" w:rsidRDefault="00702A49" w:rsidP="00702A49">
      <w:pPr>
        <w:tabs>
          <w:tab w:val="left" w:pos="851"/>
        </w:tabs>
        <w:ind w:left="851" w:hanging="851"/>
        <w:jc w:val="both"/>
      </w:pPr>
      <w:proofErr w:type="spellStart"/>
      <w:r>
        <w:rPr>
          <w:sz w:val="24"/>
          <w:szCs w:val="24"/>
        </w:rPr>
        <w:lastRenderedPageBreak/>
        <w:t>Bergmann</w:t>
      </w:r>
      <w:proofErr w:type="spellEnd"/>
      <w:r>
        <w:rPr>
          <w:sz w:val="24"/>
          <w:szCs w:val="24"/>
        </w:rPr>
        <w:t xml:space="preserve">, D. R., </w:t>
      </w:r>
      <w:proofErr w:type="spellStart"/>
      <w:r>
        <w:rPr>
          <w:sz w:val="24"/>
          <w:szCs w:val="24"/>
        </w:rPr>
        <w:t>Savoia</w:t>
      </w:r>
      <w:proofErr w:type="spellEnd"/>
      <w:r>
        <w:rPr>
          <w:sz w:val="24"/>
          <w:szCs w:val="24"/>
        </w:rPr>
        <w:t xml:space="preserve">, J. R. F., &amp; Souza, B. M. (2015). Avaliação dos processos de fusões e aquisições no setor </w:t>
      </w:r>
      <w:proofErr w:type="gramStart"/>
      <w:r>
        <w:rPr>
          <w:sz w:val="24"/>
          <w:szCs w:val="24"/>
        </w:rPr>
        <w:t>bancários brasileiro</w:t>
      </w:r>
      <w:proofErr w:type="gramEnd"/>
      <w:r>
        <w:rPr>
          <w:sz w:val="24"/>
          <w:szCs w:val="24"/>
        </w:rPr>
        <w:t xml:space="preserve"> por meio de estudos de eventos. Revista Brasileira de Gestão de Negócios, 17(56), 1105-1115.</w:t>
      </w:r>
    </w:p>
    <w:p w:rsidR="00702A49" w:rsidRDefault="00702A49" w:rsidP="00702A49">
      <w:pPr>
        <w:tabs>
          <w:tab w:val="left" w:pos="851"/>
        </w:tabs>
        <w:ind w:left="851" w:hanging="851"/>
        <w:jc w:val="both"/>
      </w:pPr>
      <w:proofErr w:type="gramStart"/>
      <w:r>
        <w:rPr>
          <w:sz w:val="24"/>
          <w:szCs w:val="24"/>
        </w:rPr>
        <w:t>Brito,</w:t>
      </w:r>
      <w:proofErr w:type="gramEnd"/>
      <w:r>
        <w:rPr>
          <w:sz w:val="24"/>
          <w:szCs w:val="24"/>
        </w:rPr>
        <w:t xml:space="preserve"> </w:t>
      </w:r>
      <w:proofErr w:type="spellStart"/>
      <w:r>
        <w:rPr>
          <w:sz w:val="24"/>
          <w:szCs w:val="24"/>
        </w:rPr>
        <w:t>G.A.</w:t>
      </w:r>
      <w:proofErr w:type="spellEnd"/>
      <w:r>
        <w:rPr>
          <w:sz w:val="24"/>
          <w:szCs w:val="24"/>
        </w:rPr>
        <w:t xml:space="preserve"> S., </w:t>
      </w:r>
      <w:proofErr w:type="spellStart"/>
      <w:r>
        <w:rPr>
          <w:sz w:val="24"/>
          <w:szCs w:val="24"/>
        </w:rPr>
        <w:t>Batistella</w:t>
      </w:r>
      <w:proofErr w:type="spellEnd"/>
      <w:r>
        <w:rPr>
          <w:sz w:val="24"/>
          <w:szCs w:val="24"/>
        </w:rPr>
        <w:t xml:space="preserve">, </w:t>
      </w:r>
      <w:proofErr w:type="spellStart"/>
      <w:r>
        <w:rPr>
          <w:sz w:val="24"/>
          <w:szCs w:val="24"/>
        </w:rPr>
        <w:t>F.D.</w:t>
      </w:r>
      <w:proofErr w:type="spellEnd"/>
      <w:r>
        <w:rPr>
          <w:sz w:val="24"/>
          <w:szCs w:val="24"/>
        </w:rPr>
        <w:t xml:space="preserve">, &amp; </w:t>
      </w:r>
      <w:proofErr w:type="spellStart"/>
      <w:r>
        <w:rPr>
          <w:sz w:val="24"/>
          <w:szCs w:val="24"/>
        </w:rPr>
        <w:t>Famá</w:t>
      </w:r>
      <w:proofErr w:type="spellEnd"/>
      <w:r>
        <w:rPr>
          <w:sz w:val="24"/>
          <w:szCs w:val="24"/>
        </w:rPr>
        <w:t xml:space="preserve">, R. (2005). Fusões e Aquisições no setor bancário: avaliação empírica do efeito sobre o valor das ações. </w:t>
      </w:r>
      <w:r>
        <w:rPr>
          <w:i/>
          <w:sz w:val="24"/>
          <w:szCs w:val="24"/>
        </w:rPr>
        <w:t xml:space="preserve">Revista de </w:t>
      </w:r>
      <w:proofErr w:type="gramStart"/>
      <w:r>
        <w:rPr>
          <w:i/>
          <w:sz w:val="24"/>
          <w:szCs w:val="24"/>
        </w:rPr>
        <w:t>administração</w:t>
      </w:r>
      <w:r>
        <w:rPr>
          <w:sz w:val="24"/>
          <w:szCs w:val="24"/>
        </w:rPr>
        <w:t xml:space="preserve"> –RAUSP</w:t>
      </w:r>
      <w:proofErr w:type="gramEnd"/>
      <w:r>
        <w:rPr>
          <w:sz w:val="24"/>
          <w:szCs w:val="24"/>
        </w:rPr>
        <w:t>, 40(4), 3-360.</w:t>
      </w:r>
    </w:p>
    <w:p w:rsidR="00702A49" w:rsidRDefault="00702A49" w:rsidP="00702A49">
      <w:pPr>
        <w:tabs>
          <w:tab w:val="left" w:pos="851"/>
        </w:tabs>
        <w:ind w:left="851" w:hanging="851"/>
        <w:jc w:val="both"/>
      </w:pPr>
      <w:proofErr w:type="spellStart"/>
      <w:r>
        <w:rPr>
          <w:sz w:val="24"/>
          <w:szCs w:val="24"/>
        </w:rPr>
        <w:t>Camargos</w:t>
      </w:r>
      <w:proofErr w:type="spellEnd"/>
      <w:r>
        <w:rPr>
          <w:sz w:val="24"/>
          <w:szCs w:val="24"/>
        </w:rPr>
        <w:t xml:space="preserve">, M. A., &amp; Barbosa, </w:t>
      </w:r>
      <w:proofErr w:type="spellStart"/>
      <w:r>
        <w:rPr>
          <w:sz w:val="24"/>
          <w:szCs w:val="24"/>
        </w:rPr>
        <w:t>F.V.</w:t>
      </w:r>
      <w:proofErr w:type="spellEnd"/>
      <w:r>
        <w:rPr>
          <w:sz w:val="24"/>
          <w:szCs w:val="24"/>
        </w:rPr>
        <w:t xml:space="preserve"> (2003). </w:t>
      </w:r>
      <w:r>
        <w:rPr>
          <w:bCs/>
          <w:sz w:val="24"/>
          <w:szCs w:val="24"/>
        </w:rPr>
        <w:t xml:space="preserve">Estudo de eventos: teoria e operacionalização. </w:t>
      </w:r>
      <w:r>
        <w:rPr>
          <w:i/>
          <w:iCs/>
          <w:sz w:val="24"/>
          <w:szCs w:val="24"/>
        </w:rPr>
        <w:t>Caderno de Pesquisas em Administração</w:t>
      </w:r>
      <w:r>
        <w:rPr>
          <w:sz w:val="24"/>
          <w:szCs w:val="24"/>
        </w:rPr>
        <w:t xml:space="preserve">, 10(3), 01-20. </w:t>
      </w:r>
    </w:p>
    <w:p w:rsidR="00702A49" w:rsidRDefault="00702A49" w:rsidP="00702A49">
      <w:pPr>
        <w:tabs>
          <w:tab w:val="left" w:pos="851"/>
        </w:tabs>
        <w:ind w:left="851" w:hanging="851"/>
        <w:jc w:val="both"/>
      </w:pPr>
      <w:proofErr w:type="spellStart"/>
      <w:r>
        <w:rPr>
          <w:sz w:val="24"/>
        </w:rPr>
        <w:t>Carmargos</w:t>
      </w:r>
      <w:proofErr w:type="spellEnd"/>
      <w:r>
        <w:rPr>
          <w:sz w:val="24"/>
        </w:rPr>
        <w:t xml:space="preserve">, M. A., &amp; Barbosa, F. V. (2009). Fusões e aquisições de empresas brasileiras: criação de valor e sinergias operacionais. </w:t>
      </w:r>
      <w:r>
        <w:rPr>
          <w:i/>
          <w:sz w:val="24"/>
        </w:rPr>
        <w:t>Revista de Administração de Empresas,</w:t>
      </w:r>
      <w:r>
        <w:rPr>
          <w:sz w:val="24"/>
        </w:rPr>
        <w:t xml:space="preserve"> 49(2), 206-220.</w:t>
      </w:r>
    </w:p>
    <w:p w:rsidR="00702A49" w:rsidRPr="00F8698C" w:rsidRDefault="00702A49" w:rsidP="00702A49">
      <w:pPr>
        <w:tabs>
          <w:tab w:val="left" w:pos="851"/>
        </w:tabs>
        <w:ind w:left="851" w:hanging="851"/>
        <w:jc w:val="both"/>
        <w:rPr>
          <w:lang w:val="en-US"/>
        </w:rPr>
      </w:pPr>
      <w:proofErr w:type="gramStart"/>
      <w:r w:rsidRPr="002673D9">
        <w:rPr>
          <w:sz w:val="24"/>
          <w:szCs w:val="24"/>
          <w:lang w:val="en-US"/>
        </w:rPr>
        <w:t xml:space="preserve">Campbell, J.; LO, A.W; </w:t>
      </w:r>
      <w:proofErr w:type="spellStart"/>
      <w:r w:rsidRPr="002673D9">
        <w:rPr>
          <w:sz w:val="24"/>
          <w:szCs w:val="24"/>
          <w:lang w:val="en-US"/>
        </w:rPr>
        <w:t>Mackinlay</w:t>
      </w:r>
      <w:proofErr w:type="spellEnd"/>
      <w:r w:rsidRPr="002673D9">
        <w:rPr>
          <w:sz w:val="24"/>
          <w:szCs w:val="24"/>
          <w:lang w:val="en-US"/>
        </w:rPr>
        <w:t>, A. (1997).</w:t>
      </w:r>
      <w:proofErr w:type="gramEnd"/>
      <w:r w:rsidRPr="002673D9">
        <w:rPr>
          <w:sz w:val="24"/>
          <w:szCs w:val="24"/>
          <w:lang w:val="en-US"/>
        </w:rPr>
        <w:t xml:space="preserve"> </w:t>
      </w:r>
      <w:proofErr w:type="gramStart"/>
      <w:r w:rsidRPr="002673D9">
        <w:rPr>
          <w:sz w:val="24"/>
          <w:szCs w:val="24"/>
          <w:lang w:val="en-US"/>
        </w:rPr>
        <w:t>The Econometric of Financial Markets.</w:t>
      </w:r>
      <w:proofErr w:type="gramEnd"/>
      <w:r w:rsidRPr="002673D9">
        <w:rPr>
          <w:sz w:val="24"/>
          <w:szCs w:val="24"/>
          <w:lang w:val="en-US"/>
        </w:rPr>
        <w:t xml:space="preserve"> </w:t>
      </w:r>
      <w:r>
        <w:rPr>
          <w:i/>
          <w:sz w:val="24"/>
          <w:szCs w:val="24"/>
          <w:lang w:val="en-US"/>
        </w:rPr>
        <w:t xml:space="preserve">New Jersey: Princeton University Press. </w:t>
      </w:r>
    </w:p>
    <w:p w:rsidR="00702A49" w:rsidRDefault="00702A49" w:rsidP="00702A49">
      <w:pPr>
        <w:autoSpaceDE w:val="0"/>
        <w:ind w:left="851" w:hanging="851"/>
        <w:jc w:val="both"/>
      </w:pPr>
      <w:proofErr w:type="gramStart"/>
      <w:r>
        <w:rPr>
          <w:sz w:val="24"/>
          <w:szCs w:val="24"/>
          <w:lang w:val="en-US"/>
        </w:rPr>
        <w:t xml:space="preserve">Capron, L., &amp; </w:t>
      </w:r>
      <w:proofErr w:type="spellStart"/>
      <w:r>
        <w:rPr>
          <w:sz w:val="24"/>
          <w:szCs w:val="24"/>
          <w:lang w:val="en-US"/>
        </w:rPr>
        <w:t>Pistre</w:t>
      </w:r>
      <w:proofErr w:type="spellEnd"/>
      <w:r>
        <w:rPr>
          <w:sz w:val="24"/>
          <w:szCs w:val="24"/>
          <w:lang w:val="en-US"/>
        </w:rPr>
        <w:t>, N. (2002).</w:t>
      </w:r>
      <w:proofErr w:type="gramEnd"/>
      <w:r>
        <w:rPr>
          <w:sz w:val="24"/>
          <w:szCs w:val="24"/>
          <w:lang w:val="en-US"/>
        </w:rPr>
        <w:t xml:space="preserve"> When do acquirers earn abnormal returns</w:t>
      </w:r>
      <w:r>
        <w:rPr>
          <w:i/>
          <w:sz w:val="24"/>
          <w:szCs w:val="24"/>
          <w:lang w:val="en-US"/>
        </w:rPr>
        <w:t xml:space="preserve">? </w:t>
      </w:r>
      <w:proofErr w:type="spellStart"/>
      <w:r>
        <w:rPr>
          <w:i/>
          <w:iCs/>
          <w:sz w:val="24"/>
          <w:szCs w:val="24"/>
        </w:rPr>
        <w:t>Strategic</w:t>
      </w:r>
      <w:proofErr w:type="spellEnd"/>
      <w:r>
        <w:rPr>
          <w:i/>
          <w:iCs/>
          <w:sz w:val="24"/>
          <w:szCs w:val="24"/>
        </w:rPr>
        <w:t xml:space="preserve"> Management </w:t>
      </w:r>
      <w:proofErr w:type="spellStart"/>
      <w:r>
        <w:rPr>
          <w:i/>
          <w:iCs/>
          <w:sz w:val="24"/>
          <w:szCs w:val="24"/>
        </w:rPr>
        <w:t>Journal</w:t>
      </w:r>
      <w:proofErr w:type="spellEnd"/>
      <w:r>
        <w:rPr>
          <w:i/>
          <w:sz w:val="24"/>
          <w:szCs w:val="24"/>
        </w:rPr>
        <w:t>,</w:t>
      </w:r>
      <w:r>
        <w:rPr>
          <w:sz w:val="24"/>
          <w:szCs w:val="24"/>
        </w:rPr>
        <w:t xml:space="preserve"> </w:t>
      </w:r>
      <w:r>
        <w:rPr>
          <w:iCs/>
          <w:sz w:val="24"/>
          <w:szCs w:val="24"/>
        </w:rPr>
        <w:t>23</w:t>
      </w:r>
      <w:r>
        <w:rPr>
          <w:sz w:val="24"/>
          <w:szCs w:val="24"/>
        </w:rPr>
        <w:t>(9), 781-94.</w:t>
      </w:r>
    </w:p>
    <w:p w:rsidR="00702A49" w:rsidRDefault="00702A49" w:rsidP="00702A49">
      <w:pPr>
        <w:ind w:left="851" w:hanging="851"/>
        <w:jc w:val="both"/>
      </w:pPr>
      <w:r>
        <w:rPr>
          <w:sz w:val="24"/>
        </w:rPr>
        <w:t>Cardoso, R., Martins, V. (2012). Hipótese de Mercado Eficiente e o modelo de precificação de ativos financeiros. In: LOPES, A, MARTINS, V. Teoria Avançada de Contabilidade. São Paulo.</w:t>
      </w:r>
    </w:p>
    <w:p w:rsidR="00702A49" w:rsidRDefault="00702A49" w:rsidP="00702A49">
      <w:pPr>
        <w:ind w:left="851" w:hanging="851"/>
        <w:jc w:val="both"/>
        <w:rPr>
          <w:sz w:val="24"/>
        </w:rPr>
      </w:pPr>
      <w:r>
        <w:rPr>
          <w:sz w:val="24"/>
        </w:rPr>
        <w:t xml:space="preserve">Castro, R. </w:t>
      </w:r>
      <w:proofErr w:type="gramStart"/>
      <w:r>
        <w:rPr>
          <w:sz w:val="24"/>
        </w:rPr>
        <w:t>D.</w:t>
      </w:r>
      <w:proofErr w:type="gramEnd"/>
      <w:r>
        <w:rPr>
          <w:sz w:val="24"/>
        </w:rPr>
        <w:t xml:space="preserve">, &amp; Marques, </w:t>
      </w:r>
      <w:proofErr w:type="spellStart"/>
      <w:r>
        <w:rPr>
          <w:sz w:val="24"/>
        </w:rPr>
        <w:t>V.A.</w:t>
      </w:r>
      <w:proofErr w:type="spellEnd"/>
      <w:r>
        <w:rPr>
          <w:sz w:val="24"/>
        </w:rPr>
        <w:t xml:space="preserve"> (2013). </w:t>
      </w:r>
      <w:r w:rsidRPr="00155268">
        <w:rPr>
          <w:sz w:val="24"/>
        </w:rPr>
        <w:t>Relevância da informação contábil para o mercado de capitais: evidências no mercado brasileiro</w:t>
      </w:r>
      <w:r>
        <w:rPr>
          <w:sz w:val="24"/>
        </w:rPr>
        <w:t xml:space="preserve">. </w:t>
      </w:r>
      <w:proofErr w:type="spellStart"/>
      <w:r w:rsidRPr="00155268">
        <w:rPr>
          <w:sz w:val="24"/>
        </w:rPr>
        <w:t>Red</w:t>
      </w:r>
      <w:proofErr w:type="spellEnd"/>
      <w:r w:rsidRPr="00155268">
        <w:rPr>
          <w:sz w:val="24"/>
        </w:rPr>
        <w:t xml:space="preserve"> de Revistas Científicas de América Latina y </w:t>
      </w:r>
      <w:proofErr w:type="spellStart"/>
      <w:proofErr w:type="gramStart"/>
      <w:r w:rsidRPr="00155268">
        <w:rPr>
          <w:sz w:val="24"/>
        </w:rPr>
        <w:t>el</w:t>
      </w:r>
      <w:proofErr w:type="spellEnd"/>
      <w:proofErr w:type="gramEnd"/>
      <w:r w:rsidRPr="00155268">
        <w:rPr>
          <w:sz w:val="24"/>
        </w:rPr>
        <w:t xml:space="preserve"> Caribe, </w:t>
      </w:r>
      <w:proofErr w:type="spellStart"/>
      <w:r w:rsidRPr="00155268">
        <w:rPr>
          <w:sz w:val="24"/>
        </w:rPr>
        <w:t>España</w:t>
      </w:r>
      <w:proofErr w:type="spellEnd"/>
      <w:r w:rsidRPr="00155268">
        <w:rPr>
          <w:sz w:val="24"/>
        </w:rPr>
        <w:t xml:space="preserve"> y Portugal</w:t>
      </w:r>
      <w:r>
        <w:rPr>
          <w:sz w:val="24"/>
        </w:rPr>
        <w:t xml:space="preserve">, 32(1), 109-124. </w:t>
      </w:r>
    </w:p>
    <w:p w:rsidR="00702A49" w:rsidRDefault="00702A49" w:rsidP="00702A49">
      <w:pPr>
        <w:ind w:left="851" w:hanging="851"/>
        <w:jc w:val="both"/>
      </w:pPr>
      <w:r>
        <w:rPr>
          <w:sz w:val="24"/>
        </w:rPr>
        <w:t xml:space="preserve">Costa Junior, </w:t>
      </w:r>
      <w:proofErr w:type="spellStart"/>
      <w:r>
        <w:rPr>
          <w:sz w:val="24"/>
        </w:rPr>
        <w:t>J.V.</w:t>
      </w:r>
      <w:proofErr w:type="spellEnd"/>
      <w:r>
        <w:rPr>
          <w:sz w:val="24"/>
        </w:rPr>
        <w:t xml:space="preserve"> (2008). Retornos anormais versus performances operacionais anormais de firmas brasileiras envolvidas em fusões e aquisições no período de 2002 a 2006. Tese (Doutorado) Universidade de São Paulo.</w:t>
      </w:r>
    </w:p>
    <w:p w:rsidR="00702A49" w:rsidRDefault="00702A49" w:rsidP="00702A49">
      <w:pPr>
        <w:ind w:left="851" w:hanging="851"/>
        <w:jc w:val="both"/>
      </w:pPr>
      <w:proofErr w:type="gramStart"/>
      <w:r w:rsidRPr="004F28DB">
        <w:rPr>
          <w:sz w:val="24"/>
          <w:lang w:val="en-US"/>
        </w:rPr>
        <w:t xml:space="preserve">Copeland, T.E.; </w:t>
      </w:r>
      <w:proofErr w:type="spellStart"/>
      <w:r w:rsidRPr="004F28DB">
        <w:rPr>
          <w:sz w:val="24"/>
          <w:lang w:val="en-US"/>
        </w:rPr>
        <w:t>Koller</w:t>
      </w:r>
      <w:proofErr w:type="spellEnd"/>
      <w:r w:rsidRPr="004F28DB">
        <w:rPr>
          <w:sz w:val="24"/>
          <w:lang w:val="en-US"/>
        </w:rPr>
        <w:t>, T.; Murrin, J. (2002).</w:t>
      </w:r>
      <w:proofErr w:type="gramEnd"/>
      <w:r w:rsidRPr="004F28DB">
        <w:rPr>
          <w:sz w:val="24"/>
          <w:lang w:val="en-US"/>
        </w:rPr>
        <w:t xml:space="preserve"> </w:t>
      </w:r>
      <w:r>
        <w:rPr>
          <w:sz w:val="24"/>
        </w:rPr>
        <w:t xml:space="preserve">Avaliação de empresas </w:t>
      </w:r>
      <w:proofErr w:type="spellStart"/>
      <w:r>
        <w:rPr>
          <w:sz w:val="24"/>
        </w:rPr>
        <w:t>valuation</w:t>
      </w:r>
      <w:proofErr w:type="spellEnd"/>
      <w:r>
        <w:rPr>
          <w:sz w:val="24"/>
        </w:rPr>
        <w:t xml:space="preserve">: calculando e gerenciando o valor das empresas. (3ª. Ed.) Pearson </w:t>
      </w:r>
      <w:proofErr w:type="spellStart"/>
      <w:r>
        <w:rPr>
          <w:sz w:val="24"/>
        </w:rPr>
        <w:t>Makron</w:t>
      </w:r>
      <w:proofErr w:type="spellEnd"/>
      <w:r>
        <w:rPr>
          <w:sz w:val="24"/>
        </w:rPr>
        <w:t xml:space="preserve"> Books. </w:t>
      </w:r>
    </w:p>
    <w:p w:rsidR="00702A49" w:rsidRDefault="00702A49" w:rsidP="00702A49">
      <w:pPr>
        <w:ind w:left="851" w:hanging="851"/>
        <w:jc w:val="both"/>
      </w:pPr>
      <w:r>
        <w:rPr>
          <w:sz w:val="24"/>
          <w:szCs w:val="24"/>
        </w:rPr>
        <w:t xml:space="preserve">Comitê de Pronunciamentos Contábeis (CPC). (2011). CPC 00 (R1) – Estrutura Conceitual para Elaboração e Divulgação de Relatório </w:t>
      </w:r>
      <w:proofErr w:type="spellStart"/>
      <w:r>
        <w:rPr>
          <w:sz w:val="24"/>
          <w:szCs w:val="24"/>
        </w:rPr>
        <w:t>Contábil-Financeiro</w:t>
      </w:r>
      <w:proofErr w:type="spellEnd"/>
      <w:r>
        <w:rPr>
          <w:sz w:val="24"/>
          <w:szCs w:val="24"/>
        </w:rPr>
        <w:t>. Disponível em: &lt;http://static.cpc.mediagroup.com.br/Documentos/147_CPC00_R1.pdf&gt;. Acesso em: 16 dez. 2017.</w:t>
      </w:r>
    </w:p>
    <w:p w:rsidR="00702A49" w:rsidRDefault="00702A49" w:rsidP="00702A49">
      <w:pPr>
        <w:ind w:left="567" w:hanging="567"/>
        <w:jc w:val="both"/>
      </w:pPr>
      <w:r>
        <w:rPr>
          <w:sz w:val="24"/>
          <w:szCs w:val="24"/>
        </w:rPr>
        <w:t xml:space="preserve">CVM - </w:t>
      </w:r>
      <w:proofErr w:type="gramStart"/>
      <w:r>
        <w:rPr>
          <w:sz w:val="24"/>
          <w:szCs w:val="24"/>
        </w:rPr>
        <w:t>Comissão de Valores Mobiliário</w:t>
      </w:r>
      <w:proofErr w:type="gramEnd"/>
      <w:r>
        <w:rPr>
          <w:sz w:val="24"/>
          <w:szCs w:val="24"/>
        </w:rPr>
        <w:t xml:space="preserve">. (2017). Instrução CVM nº 358, de </w:t>
      </w:r>
      <w:proofErr w:type="gramStart"/>
      <w:r>
        <w:rPr>
          <w:sz w:val="24"/>
          <w:szCs w:val="24"/>
        </w:rPr>
        <w:t>3</w:t>
      </w:r>
      <w:proofErr w:type="gramEnd"/>
      <w:r>
        <w:rPr>
          <w:sz w:val="24"/>
          <w:szCs w:val="24"/>
        </w:rPr>
        <w:t xml:space="preserve"> de janeiro de 2002. Recuperado em 20 de dezembro, 2017, de http://www.cvm.gov.br/legislacao/inst/inst358.html.</w:t>
      </w:r>
    </w:p>
    <w:p w:rsidR="00702A49" w:rsidRPr="00F8698C" w:rsidRDefault="00702A49" w:rsidP="00702A49">
      <w:pPr>
        <w:ind w:left="851" w:hanging="851"/>
        <w:jc w:val="both"/>
        <w:rPr>
          <w:lang w:val="en-US"/>
        </w:rPr>
      </w:pPr>
      <w:r>
        <w:rPr>
          <w:sz w:val="24"/>
          <w:lang w:val="en-US"/>
        </w:rPr>
        <w:t xml:space="preserve">Dodd, P. (1980). </w:t>
      </w:r>
      <w:proofErr w:type="gramStart"/>
      <w:r>
        <w:rPr>
          <w:sz w:val="24"/>
          <w:lang w:val="en-US"/>
        </w:rPr>
        <w:t>Mergers Proposals, Management Discretion and Stockholder Wealth.</w:t>
      </w:r>
      <w:proofErr w:type="gramEnd"/>
      <w:r>
        <w:rPr>
          <w:sz w:val="24"/>
          <w:lang w:val="en-US"/>
        </w:rPr>
        <w:t xml:space="preserve"> </w:t>
      </w:r>
      <w:r>
        <w:rPr>
          <w:i/>
          <w:sz w:val="24"/>
          <w:lang w:val="en-US"/>
        </w:rPr>
        <w:t>Journal of Financials Economics</w:t>
      </w:r>
      <w:r>
        <w:rPr>
          <w:sz w:val="24"/>
          <w:lang w:val="en-US"/>
        </w:rPr>
        <w:t>, 8(2), 105-138.</w:t>
      </w:r>
    </w:p>
    <w:p w:rsidR="00702A49" w:rsidRDefault="00702A49" w:rsidP="00702A49">
      <w:pPr>
        <w:ind w:left="851" w:hanging="851"/>
        <w:jc w:val="both"/>
      </w:pPr>
      <w:proofErr w:type="spellStart"/>
      <w:r>
        <w:rPr>
          <w:sz w:val="24"/>
          <w:szCs w:val="24"/>
          <w:lang w:val="en-US"/>
        </w:rPr>
        <w:t>Fama</w:t>
      </w:r>
      <w:proofErr w:type="spellEnd"/>
      <w:r>
        <w:rPr>
          <w:sz w:val="24"/>
          <w:szCs w:val="24"/>
          <w:lang w:val="en-US"/>
        </w:rPr>
        <w:t>, E.F</w:t>
      </w:r>
      <w:proofErr w:type="gramStart"/>
      <w:r>
        <w:rPr>
          <w:sz w:val="24"/>
          <w:szCs w:val="24"/>
          <w:lang w:val="en-US"/>
        </w:rPr>
        <w:t>.(</w:t>
      </w:r>
      <w:proofErr w:type="gramEnd"/>
      <w:r>
        <w:rPr>
          <w:sz w:val="24"/>
          <w:szCs w:val="24"/>
          <w:lang w:val="en-US"/>
        </w:rPr>
        <w:t xml:space="preserve">1970a). Efficient capital markets: a review of theory and empirical work. </w:t>
      </w:r>
      <w:proofErr w:type="spellStart"/>
      <w:r>
        <w:rPr>
          <w:sz w:val="24"/>
          <w:szCs w:val="24"/>
        </w:rPr>
        <w:t>Journal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Finance</w:t>
      </w:r>
      <w:proofErr w:type="spellEnd"/>
      <w:r>
        <w:rPr>
          <w:sz w:val="24"/>
          <w:szCs w:val="24"/>
        </w:rPr>
        <w:t>, 25(2).</w:t>
      </w:r>
    </w:p>
    <w:p w:rsidR="00702A49" w:rsidRPr="004F28DB" w:rsidRDefault="00702A49" w:rsidP="00702A49">
      <w:pPr>
        <w:ind w:left="851" w:hanging="851"/>
        <w:jc w:val="both"/>
      </w:pPr>
      <w:r>
        <w:rPr>
          <w:sz w:val="24"/>
        </w:rPr>
        <w:t xml:space="preserve">Ferreira, D. S. B. (2010). Volume de negociação, fatos relevantes e notícias de imprensa econômica no Brasil. </w:t>
      </w:r>
      <w:r w:rsidRPr="004F28DB">
        <w:rPr>
          <w:sz w:val="24"/>
        </w:rPr>
        <w:t>Contabilidade, Gestão e Governança. 13(3), 53-70.</w:t>
      </w:r>
    </w:p>
    <w:p w:rsidR="00702A49" w:rsidRPr="00F8698C" w:rsidRDefault="00702A49" w:rsidP="00702A49">
      <w:pPr>
        <w:ind w:left="851" w:hanging="851"/>
        <w:jc w:val="both"/>
        <w:rPr>
          <w:lang w:val="en-US"/>
        </w:rPr>
      </w:pPr>
      <w:proofErr w:type="gramStart"/>
      <w:r w:rsidRPr="004F28DB">
        <w:rPr>
          <w:sz w:val="24"/>
          <w:lang w:val="en-US"/>
        </w:rPr>
        <w:t xml:space="preserve">Gilson, R. J., &amp; </w:t>
      </w:r>
      <w:proofErr w:type="spellStart"/>
      <w:r w:rsidRPr="004F28DB">
        <w:rPr>
          <w:sz w:val="24"/>
          <w:lang w:val="en-US"/>
        </w:rPr>
        <w:t>KraaKman</w:t>
      </w:r>
      <w:proofErr w:type="spellEnd"/>
      <w:r w:rsidRPr="004F28DB">
        <w:rPr>
          <w:sz w:val="24"/>
          <w:lang w:val="en-US"/>
        </w:rPr>
        <w:t>, R. (2014).</w:t>
      </w:r>
      <w:proofErr w:type="gramEnd"/>
      <w:r w:rsidRPr="004F28DB">
        <w:rPr>
          <w:sz w:val="24"/>
          <w:lang w:val="en-US"/>
        </w:rPr>
        <w:t xml:space="preserve"> Market Efficiency after the Financial Cr</w:t>
      </w:r>
      <w:r>
        <w:rPr>
          <w:sz w:val="24"/>
          <w:lang w:val="en-US"/>
        </w:rPr>
        <w:t xml:space="preserve">isis: It’s Still a Matter of Information Costs. </w:t>
      </w:r>
      <w:proofErr w:type="gramStart"/>
      <w:r>
        <w:rPr>
          <w:sz w:val="24"/>
          <w:lang w:val="en-US"/>
        </w:rPr>
        <w:t>SSRN, 458.</w:t>
      </w:r>
      <w:proofErr w:type="gramEnd"/>
    </w:p>
    <w:p w:rsidR="00702A49" w:rsidRPr="00F8698C" w:rsidRDefault="00702A49" w:rsidP="00702A49">
      <w:pPr>
        <w:ind w:left="851" w:hanging="851"/>
        <w:jc w:val="both"/>
        <w:rPr>
          <w:lang w:val="en-US"/>
        </w:rPr>
      </w:pPr>
      <w:proofErr w:type="gramStart"/>
      <w:r>
        <w:rPr>
          <w:sz w:val="24"/>
          <w:lang w:val="en-US"/>
        </w:rPr>
        <w:t xml:space="preserve">Healy, P.M.; </w:t>
      </w:r>
      <w:proofErr w:type="spellStart"/>
      <w:r>
        <w:rPr>
          <w:sz w:val="24"/>
          <w:lang w:val="en-US"/>
        </w:rPr>
        <w:t>Palepu</w:t>
      </w:r>
      <w:proofErr w:type="spellEnd"/>
      <w:r>
        <w:rPr>
          <w:sz w:val="24"/>
          <w:lang w:val="en-US"/>
        </w:rPr>
        <w:t xml:space="preserve">, K.G., &amp; </w:t>
      </w:r>
      <w:proofErr w:type="spellStart"/>
      <w:r>
        <w:rPr>
          <w:sz w:val="24"/>
          <w:lang w:val="en-US"/>
        </w:rPr>
        <w:t>Ruback</w:t>
      </w:r>
      <w:proofErr w:type="spellEnd"/>
      <w:r>
        <w:rPr>
          <w:sz w:val="24"/>
          <w:lang w:val="en-US"/>
        </w:rPr>
        <w:t>, R.S. (1992).</w:t>
      </w:r>
      <w:proofErr w:type="gramEnd"/>
      <w:r>
        <w:rPr>
          <w:sz w:val="24"/>
          <w:lang w:val="en-US"/>
        </w:rPr>
        <w:t xml:space="preserve"> Does corporate performance improve after mergers? </w:t>
      </w:r>
      <w:proofErr w:type="gramStart"/>
      <w:r>
        <w:rPr>
          <w:sz w:val="24"/>
          <w:lang w:val="en-US"/>
        </w:rPr>
        <w:t>Journal of financial economics.</w:t>
      </w:r>
      <w:proofErr w:type="gramEnd"/>
      <w:r>
        <w:rPr>
          <w:sz w:val="24"/>
          <w:lang w:val="en-US"/>
        </w:rPr>
        <w:t xml:space="preserve"> 31(2), 135-175.</w:t>
      </w:r>
    </w:p>
    <w:p w:rsidR="00702A49" w:rsidRPr="00E06246" w:rsidRDefault="00702A49" w:rsidP="00702A49">
      <w:pPr>
        <w:ind w:left="851" w:hanging="851"/>
        <w:jc w:val="both"/>
      </w:pPr>
      <w:proofErr w:type="spellStart"/>
      <w:r w:rsidRPr="00E06246">
        <w:rPr>
          <w:sz w:val="24"/>
          <w:szCs w:val="24"/>
        </w:rPr>
        <w:t>Hendriksen</w:t>
      </w:r>
      <w:proofErr w:type="spellEnd"/>
      <w:r w:rsidRPr="00E06246">
        <w:rPr>
          <w:sz w:val="24"/>
          <w:szCs w:val="24"/>
        </w:rPr>
        <w:t xml:space="preserve">, E. S., &amp; </w:t>
      </w:r>
      <w:proofErr w:type="spellStart"/>
      <w:r w:rsidRPr="00E06246">
        <w:rPr>
          <w:sz w:val="24"/>
          <w:szCs w:val="24"/>
        </w:rPr>
        <w:t>Breda</w:t>
      </w:r>
      <w:proofErr w:type="spellEnd"/>
      <w:r w:rsidRPr="00E06246">
        <w:rPr>
          <w:sz w:val="24"/>
          <w:szCs w:val="24"/>
        </w:rPr>
        <w:t xml:space="preserve">, M. F. Van. (1999). </w:t>
      </w:r>
      <w:r>
        <w:rPr>
          <w:sz w:val="24"/>
          <w:szCs w:val="24"/>
        </w:rPr>
        <w:t xml:space="preserve">Teoria da contabilidade (A. Z. </w:t>
      </w:r>
      <w:proofErr w:type="spellStart"/>
      <w:r>
        <w:rPr>
          <w:sz w:val="24"/>
          <w:szCs w:val="24"/>
        </w:rPr>
        <w:t>Sanvicente</w:t>
      </w:r>
      <w:proofErr w:type="spellEnd"/>
      <w:r>
        <w:rPr>
          <w:sz w:val="24"/>
          <w:szCs w:val="24"/>
        </w:rPr>
        <w:t xml:space="preserve">, Trad.). </w:t>
      </w:r>
      <w:r w:rsidRPr="00E06246">
        <w:rPr>
          <w:sz w:val="24"/>
          <w:szCs w:val="24"/>
        </w:rPr>
        <w:t>São Paulo: Atlas. (Obra original publicada em 1992).</w:t>
      </w:r>
    </w:p>
    <w:p w:rsidR="00C93D17" w:rsidRDefault="00C93D17" w:rsidP="00C93D17">
      <w:pPr>
        <w:spacing w:line="360" w:lineRule="auto"/>
        <w:jc w:val="both"/>
        <w:rPr>
          <w:sz w:val="24"/>
          <w:szCs w:val="24"/>
          <w:lang w:val="en-US"/>
        </w:rPr>
      </w:pPr>
      <w:proofErr w:type="gramStart"/>
      <w:r>
        <w:rPr>
          <w:sz w:val="24"/>
          <w:szCs w:val="24"/>
          <w:lang w:val="en-US"/>
        </w:rPr>
        <w:t>IFRS Foundation.</w:t>
      </w:r>
      <w:proofErr w:type="gramEnd"/>
      <w:r w:rsidR="002925C9">
        <w:rPr>
          <w:sz w:val="24"/>
          <w:szCs w:val="24"/>
          <w:lang w:val="en-US"/>
        </w:rPr>
        <w:t xml:space="preserve"> (2017).</w:t>
      </w:r>
      <w:r>
        <w:rPr>
          <w:sz w:val="24"/>
          <w:szCs w:val="24"/>
          <w:lang w:val="en-US"/>
        </w:rPr>
        <w:t xml:space="preserve"> </w:t>
      </w:r>
      <w:r w:rsidRPr="002925C9">
        <w:rPr>
          <w:sz w:val="24"/>
          <w:szCs w:val="24"/>
          <w:lang w:val="en-US"/>
        </w:rPr>
        <w:t>B</w:t>
      </w:r>
      <w:r w:rsidR="00450493">
        <w:rPr>
          <w:sz w:val="24"/>
          <w:szCs w:val="24"/>
          <w:lang w:val="en-US"/>
        </w:rPr>
        <w:t xml:space="preserve">etter </w:t>
      </w:r>
      <w:proofErr w:type="spellStart"/>
      <w:r w:rsidR="00450493">
        <w:rPr>
          <w:sz w:val="24"/>
          <w:szCs w:val="24"/>
          <w:lang w:val="en-US"/>
        </w:rPr>
        <w:t>Commuication</w:t>
      </w:r>
      <w:proofErr w:type="spellEnd"/>
      <w:r w:rsidR="00450493">
        <w:rPr>
          <w:sz w:val="24"/>
          <w:szCs w:val="24"/>
          <w:lang w:val="en-US"/>
        </w:rPr>
        <w:t xml:space="preserve"> I Financial Reporting</w:t>
      </w:r>
      <w:r>
        <w:rPr>
          <w:sz w:val="24"/>
          <w:szCs w:val="24"/>
          <w:lang w:val="en-US"/>
        </w:rPr>
        <w:t>. https://www.ifrs.org/projects/work-plan/principles-of-disclosure/#about</w:t>
      </w:r>
    </w:p>
    <w:p w:rsidR="00702A49" w:rsidRPr="00F8698C" w:rsidRDefault="00702A49" w:rsidP="00702A49">
      <w:pPr>
        <w:ind w:left="851" w:hanging="851"/>
        <w:jc w:val="both"/>
        <w:rPr>
          <w:lang w:val="en-US"/>
        </w:rPr>
      </w:pPr>
      <w:r w:rsidRPr="00E06246">
        <w:rPr>
          <w:sz w:val="24"/>
          <w:szCs w:val="24"/>
          <w:lang w:val="en-US"/>
        </w:rPr>
        <w:t xml:space="preserve">Jensen, M.C., </w:t>
      </w:r>
      <w:proofErr w:type="spellStart"/>
      <w:r w:rsidRPr="00E06246">
        <w:rPr>
          <w:sz w:val="24"/>
          <w:szCs w:val="24"/>
          <w:lang w:val="en-US"/>
        </w:rPr>
        <w:t>Meckling</w:t>
      </w:r>
      <w:proofErr w:type="spellEnd"/>
      <w:r w:rsidRPr="00E06246">
        <w:rPr>
          <w:sz w:val="24"/>
          <w:szCs w:val="24"/>
          <w:lang w:val="en-US"/>
        </w:rPr>
        <w:t xml:space="preserve">, </w:t>
      </w:r>
      <w:r>
        <w:rPr>
          <w:sz w:val="24"/>
          <w:szCs w:val="24"/>
          <w:lang w:val="en-US"/>
        </w:rPr>
        <w:t xml:space="preserve">W.H. (1976). Theory of the firm: Managerial behavior, agency costs and ownership structure. </w:t>
      </w:r>
      <w:r>
        <w:rPr>
          <w:i/>
          <w:sz w:val="24"/>
          <w:szCs w:val="24"/>
          <w:lang w:val="en-US"/>
        </w:rPr>
        <w:t>Journal of Financial Economics</w:t>
      </w:r>
      <w:r>
        <w:rPr>
          <w:sz w:val="24"/>
          <w:szCs w:val="24"/>
          <w:lang w:val="en-US"/>
        </w:rPr>
        <w:t>, 3(4), 305-360.</w:t>
      </w:r>
    </w:p>
    <w:p w:rsidR="00702A49" w:rsidRPr="00F8698C" w:rsidRDefault="00702A49" w:rsidP="00702A49">
      <w:pPr>
        <w:ind w:left="851" w:hanging="851"/>
        <w:jc w:val="both"/>
        <w:rPr>
          <w:lang w:val="en-US"/>
        </w:rPr>
      </w:pPr>
      <w:proofErr w:type="gramStart"/>
      <w:r>
        <w:rPr>
          <w:sz w:val="24"/>
          <w:lang w:val="en-US"/>
        </w:rPr>
        <w:lastRenderedPageBreak/>
        <w:t xml:space="preserve">Jensen, M.C., &amp; </w:t>
      </w:r>
      <w:proofErr w:type="spellStart"/>
      <w:r>
        <w:rPr>
          <w:sz w:val="24"/>
          <w:lang w:val="en-US"/>
        </w:rPr>
        <w:t>Ruback</w:t>
      </w:r>
      <w:proofErr w:type="spellEnd"/>
      <w:r>
        <w:rPr>
          <w:sz w:val="24"/>
          <w:lang w:val="en-US"/>
        </w:rPr>
        <w:t>, R.S. (1983).</w:t>
      </w:r>
      <w:proofErr w:type="gramEnd"/>
      <w:r>
        <w:rPr>
          <w:sz w:val="24"/>
          <w:lang w:val="en-US"/>
        </w:rPr>
        <w:t xml:space="preserve"> The market for corporate control: the scientific evidence. </w:t>
      </w:r>
      <w:r>
        <w:rPr>
          <w:i/>
          <w:sz w:val="24"/>
          <w:lang w:val="en-US"/>
        </w:rPr>
        <w:t>Journal of Financial Economics,</w:t>
      </w:r>
      <w:r>
        <w:rPr>
          <w:sz w:val="24"/>
          <w:lang w:val="en-US"/>
        </w:rPr>
        <w:t xml:space="preserve"> 11(1-4), 5-50.</w:t>
      </w:r>
    </w:p>
    <w:p w:rsidR="00702A49" w:rsidRPr="00163BC1" w:rsidRDefault="00702A49" w:rsidP="00702A49">
      <w:pPr>
        <w:ind w:left="851" w:hanging="851"/>
        <w:jc w:val="both"/>
        <w:rPr>
          <w:sz w:val="32"/>
          <w:lang w:val="en-US"/>
        </w:rPr>
      </w:pPr>
      <w:r w:rsidRPr="00163BC1">
        <w:rPr>
          <w:sz w:val="32"/>
          <w:lang w:val="en-US"/>
        </w:rPr>
        <w:t xml:space="preserve"> </w:t>
      </w:r>
      <w:proofErr w:type="spellStart"/>
      <w:r w:rsidRPr="00163BC1">
        <w:rPr>
          <w:sz w:val="24"/>
          <w:lang w:val="en-US"/>
        </w:rPr>
        <w:t>Khana</w:t>
      </w:r>
      <w:proofErr w:type="spellEnd"/>
      <w:r w:rsidRPr="00163BC1">
        <w:rPr>
          <w:sz w:val="24"/>
          <w:lang w:val="en-US"/>
        </w:rPr>
        <w:t xml:space="preserve">, A. R., </w:t>
      </w:r>
      <w:proofErr w:type="spellStart"/>
      <w:r w:rsidRPr="00163BC1">
        <w:rPr>
          <w:sz w:val="24"/>
          <w:lang w:val="en-US"/>
        </w:rPr>
        <w:t>Mishra</w:t>
      </w:r>
      <w:proofErr w:type="spellEnd"/>
      <w:r w:rsidRPr="00163BC1">
        <w:rPr>
          <w:sz w:val="24"/>
          <w:lang w:val="en-US"/>
        </w:rPr>
        <w:t xml:space="preserve">, A. K., &amp; </w:t>
      </w:r>
      <w:proofErr w:type="spellStart"/>
      <w:r w:rsidRPr="00163BC1">
        <w:rPr>
          <w:sz w:val="24"/>
          <w:lang w:val="en-US"/>
        </w:rPr>
        <w:t>Mottleb</w:t>
      </w:r>
      <w:proofErr w:type="spellEnd"/>
      <w:r w:rsidRPr="00163BC1">
        <w:rPr>
          <w:sz w:val="24"/>
          <w:lang w:val="en-US"/>
        </w:rPr>
        <w:t>, K. A</w:t>
      </w:r>
      <w:proofErr w:type="gramStart"/>
      <w:r w:rsidRPr="00163BC1">
        <w:rPr>
          <w:sz w:val="24"/>
          <w:lang w:val="en-US"/>
        </w:rPr>
        <w:t>.(</w:t>
      </w:r>
      <w:proofErr w:type="gramEnd"/>
      <w:r w:rsidRPr="00163BC1">
        <w:rPr>
          <w:sz w:val="24"/>
          <w:lang w:val="en-US"/>
        </w:rPr>
        <w:t xml:space="preserve">2014). Impact of mergers and acquisitions on stock prices: The U.S. ethanol-based </w:t>
      </w:r>
      <w:proofErr w:type="spellStart"/>
      <w:r w:rsidRPr="00163BC1">
        <w:rPr>
          <w:sz w:val="24"/>
          <w:lang w:val="en-US"/>
        </w:rPr>
        <w:t>biofuel</w:t>
      </w:r>
      <w:proofErr w:type="spellEnd"/>
      <w:r w:rsidRPr="00163BC1">
        <w:rPr>
          <w:sz w:val="24"/>
          <w:lang w:val="en-US"/>
        </w:rPr>
        <w:t xml:space="preserve"> industry. </w:t>
      </w:r>
      <w:proofErr w:type="spellStart"/>
      <w:r w:rsidRPr="00163BC1">
        <w:rPr>
          <w:sz w:val="24"/>
          <w:lang w:val="en-US"/>
        </w:rPr>
        <w:t>Biomas</w:t>
      </w:r>
      <w:proofErr w:type="spellEnd"/>
      <w:r w:rsidRPr="00163BC1">
        <w:rPr>
          <w:sz w:val="24"/>
          <w:lang w:val="en-US"/>
        </w:rPr>
        <w:t xml:space="preserve"> and </w:t>
      </w:r>
      <w:proofErr w:type="spellStart"/>
      <w:r w:rsidRPr="00163BC1">
        <w:rPr>
          <w:sz w:val="24"/>
          <w:lang w:val="en-US"/>
        </w:rPr>
        <w:t>Bioenergy</w:t>
      </w:r>
      <w:proofErr w:type="spellEnd"/>
      <w:r w:rsidRPr="00163BC1">
        <w:rPr>
          <w:sz w:val="24"/>
          <w:lang w:val="en-US"/>
        </w:rPr>
        <w:t>, 61, 138–145.</w:t>
      </w:r>
      <w:r w:rsidRPr="00163BC1">
        <w:rPr>
          <w:sz w:val="32"/>
          <w:lang w:val="en-US"/>
        </w:rPr>
        <w:t xml:space="preserve"> </w:t>
      </w:r>
    </w:p>
    <w:p w:rsidR="00702A49" w:rsidRPr="00F8698C" w:rsidRDefault="00702A49" w:rsidP="00702A49">
      <w:pPr>
        <w:ind w:left="851" w:hanging="851"/>
        <w:jc w:val="both"/>
        <w:rPr>
          <w:lang w:val="en-US"/>
        </w:rPr>
      </w:pPr>
      <w:r>
        <w:rPr>
          <w:sz w:val="24"/>
          <w:lang w:val="en-US"/>
        </w:rPr>
        <w:t xml:space="preserve">King, D. R., Dalton, D. R., Daily, C. M., &amp; </w:t>
      </w:r>
      <w:proofErr w:type="spellStart"/>
      <w:r>
        <w:rPr>
          <w:sz w:val="24"/>
          <w:lang w:val="en-US"/>
        </w:rPr>
        <w:t>Covin</w:t>
      </w:r>
      <w:proofErr w:type="spellEnd"/>
      <w:r>
        <w:rPr>
          <w:sz w:val="24"/>
          <w:lang w:val="en-US"/>
        </w:rPr>
        <w:t xml:space="preserve">, J. G. (2004). Meta-analyses of </w:t>
      </w:r>
      <w:proofErr w:type="spellStart"/>
      <w:r>
        <w:rPr>
          <w:sz w:val="24"/>
          <w:lang w:val="en-US"/>
        </w:rPr>
        <w:t>Postacquisition</w:t>
      </w:r>
      <w:proofErr w:type="spellEnd"/>
      <w:r>
        <w:rPr>
          <w:sz w:val="24"/>
          <w:lang w:val="en-US"/>
        </w:rPr>
        <w:t xml:space="preserve"> Performance: indications of unidentified moderators. Strategic Management Journal, 25(2), 187-200.</w:t>
      </w:r>
    </w:p>
    <w:p w:rsidR="00702A49" w:rsidRDefault="00702A49" w:rsidP="00702A49">
      <w:pPr>
        <w:ind w:left="851" w:hanging="851"/>
        <w:jc w:val="both"/>
      </w:pPr>
      <w:proofErr w:type="spellStart"/>
      <w:r>
        <w:rPr>
          <w:sz w:val="24"/>
          <w:szCs w:val="24"/>
        </w:rPr>
        <w:t>Lanzana</w:t>
      </w:r>
      <w:proofErr w:type="spellEnd"/>
      <w:r>
        <w:rPr>
          <w:sz w:val="24"/>
          <w:szCs w:val="24"/>
        </w:rPr>
        <w:t xml:space="preserve">, A. P. Relação entre </w:t>
      </w:r>
      <w:proofErr w:type="spellStart"/>
      <w:r>
        <w:rPr>
          <w:i/>
          <w:sz w:val="24"/>
          <w:szCs w:val="24"/>
        </w:rPr>
        <w:t>Disclosure</w:t>
      </w:r>
      <w:proofErr w:type="spellEnd"/>
      <w:r>
        <w:rPr>
          <w:sz w:val="24"/>
          <w:szCs w:val="24"/>
        </w:rPr>
        <w:t xml:space="preserve"> e Governança Corporativa das Empresas Brasileiras. (2004). 154 f. Dissertação (Mestrado) - Curso de Administração, Departamento de Administração da Faculdade de Economia, Administração e Contabilidade, Universidade de São Paulo, São Paulo, 2004.</w:t>
      </w:r>
    </w:p>
    <w:p w:rsidR="00702A49" w:rsidRDefault="00702A49" w:rsidP="00702A49">
      <w:pPr>
        <w:ind w:left="851" w:hanging="851"/>
        <w:jc w:val="both"/>
      </w:pPr>
      <w:r>
        <w:rPr>
          <w:sz w:val="24"/>
          <w:szCs w:val="24"/>
        </w:rPr>
        <w:t xml:space="preserve">Leitão, </w:t>
      </w:r>
      <w:proofErr w:type="spellStart"/>
      <w:r>
        <w:rPr>
          <w:sz w:val="24"/>
          <w:szCs w:val="24"/>
        </w:rPr>
        <w:t>C.R.S.</w:t>
      </w:r>
      <w:proofErr w:type="spellEnd"/>
      <w:r>
        <w:rPr>
          <w:sz w:val="24"/>
          <w:szCs w:val="24"/>
        </w:rPr>
        <w:t xml:space="preserve">, &amp; </w:t>
      </w:r>
      <w:proofErr w:type="spellStart"/>
      <w:r>
        <w:rPr>
          <w:sz w:val="24"/>
          <w:szCs w:val="24"/>
        </w:rPr>
        <w:t>Galli</w:t>
      </w:r>
      <w:proofErr w:type="spellEnd"/>
      <w:r>
        <w:rPr>
          <w:sz w:val="24"/>
          <w:szCs w:val="24"/>
        </w:rPr>
        <w:t xml:space="preserve">, </w:t>
      </w:r>
      <w:proofErr w:type="spellStart"/>
      <w:r>
        <w:rPr>
          <w:sz w:val="24"/>
          <w:szCs w:val="24"/>
        </w:rPr>
        <w:t>O.C.</w:t>
      </w:r>
      <w:proofErr w:type="spellEnd"/>
      <w:r>
        <w:rPr>
          <w:sz w:val="24"/>
          <w:szCs w:val="24"/>
        </w:rPr>
        <w:t xml:space="preserve"> (2014). Volatilidade em fusões e aquisições: um estudo no mercado brasileiro. </w:t>
      </w:r>
      <w:r>
        <w:rPr>
          <w:i/>
          <w:sz w:val="24"/>
          <w:szCs w:val="24"/>
        </w:rPr>
        <w:t>Revista Organizações em Contexto</w:t>
      </w:r>
      <w:r>
        <w:rPr>
          <w:sz w:val="24"/>
          <w:szCs w:val="24"/>
        </w:rPr>
        <w:t>, 10(20), 267-296.</w:t>
      </w:r>
    </w:p>
    <w:p w:rsidR="00702A49" w:rsidRDefault="00702A49" w:rsidP="00702A49">
      <w:pPr>
        <w:ind w:left="851" w:hanging="851"/>
        <w:jc w:val="both"/>
      </w:pPr>
      <w:r>
        <w:rPr>
          <w:sz w:val="24"/>
          <w:szCs w:val="24"/>
        </w:rPr>
        <w:t xml:space="preserve">Lopes, </w:t>
      </w:r>
      <w:proofErr w:type="spellStart"/>
      <w:r>
        <w:rPr>
          <w:sz w:val="24"/>
          <w:szCs w:val="24"/>
        </w:rPr>
        <w:t>A.B.</w:t>
      </w:r>
      <w:proofErr w:type="spellEnd"/>
      <w:r>
        <w:rPr>
          <w:sz w:val="24"/>
          <w:szCs w:val="24"/>
        </w:rPr>
        <w:t xml:space="preserve">, &amp; Martins, </w:t>
      </w:r>
      <w:proofErr w:type="spellStart"/>
      <w:r>
        <w:rPr>
          <w:sz w:val="24"/>
          <w:szCs w:val="24"/>
        </w:rPr>
        <w:t>E</w:t>
      </w:r>
      <w:proofErr w:type="gramStart"/>
      <w:r>
        <w:rPr>
          <w:sz w:val="24"/>
          <w:szCs w:val="24"/>
        </w:rPr>
        <w:t>.</w:t>
      </w:r>
      <w:proofErr w:type="spellEnd"/>
      <w:r>
        <w:rPr>
          <w:sz w:val="24"/>
          <w:szCs w:val="24"/>
        </w:rPr>
        <w:t>.</w:t>
      </w:r>
      <w:proofErr w:type="gramEnd"/>
      <w:r>
        <w:rPr>
          <w:sz w:val="24"/>
          <w:szCs w:val="24"/>
        </w:rPr>
        <w:t xml:space="preserve"> </w:t>
      </w:r>
      <w:r>
        <w:rPr>
          <w:bCs/>
          <w:sz w:val="24"/>
          <w:szCs w:val="24"/>
        </w:rPr>
        <w:t xml:space="preserve">(2007) Teoria da Contabilidade: Uma Nova Abordagem. (2ª ed.). </w:t>
      </w:r>
      <w:r>
        <w:rPr>
          <w:sz w:val="24"/>
          <w:szCs w:val="24"/>
        </w:rPr>
        <w:t>São Paulo: Atlas.</w:t>
      </w:r>
    </w:p>
    <w:p w:rsidR="00702A49" w:rsidRDefault="00702A49" w:rsidP="00702A49">
      <w:pPr>
        <w:ind w:left="851" w:hanging="851"/>
        <w:jc w:val="both"/>
      </w:pPr>
      <w:r>
        <w:rPr>
          <w:sz w:val="24"/>
          <w:szCs w:val="23"/>
        </w:rPr>
        <w:t xml:space="preserve">Machado, </w:t>
      </w:r>
      <w:proofErr w:type="spellStart"/>
      <w:r>
        <w:rPr>
          <w:sz w:val="24"/>
          <w:szCs w:val="23"/>
        </w:rPr>
        <w:t>C.A.</w:t>
      </w:r>
      <w:proofErr w:type="spellEnd"/>
      <w:r>
        <w:rPr>
          <w:sz w:val="24"/>
          <w:szCs w:val="23"/>
        </w:rPr>
        <w:t xml:space="preserve"> (2009). </w:t>
      </w:r>
      <w:r>
        <w:rPr>
          <w:bCs/>
          <w:sz w:val="24"/>
          <w:szCs w:val="23"/>
        </w:rPr>
        <w:t xml:space="preserve">Evidências de </w:t>
      </w:r>
      <w:proofErr w:type="spellStart"/>
      <w:r>
        <w:rPr>
          <w:bCs/>
          <w:sz w:val="24"/>
          <w:szCs w:val="23"/>
        </w:rPr>
        <w:t>Insider</w:t>
      </w:r>
      <w:proofErr w:type="spellEnd"/>
      <w:r>
        <w:rPr>
          <w:bCs/>
          <w:sz w:val="24"/>
          <w:szCs w:val="23"/>
        </w:rPr>
        <w:t xml:space="preserve"> Trading em eventos de descoberta de petróleo e reservas de gás no Brasil</w:t>
      </w:r>
      <w:r>
        <w:rPr>
          <w:sz w:val="24"/>
          <w:szCs w:val="23"/>
        </w:rPr>
        <w:t xml:space="preserve">. (Dissertação de Mestrado) – Programa </w:t>
      </w:r>
      <w:proofErr w:type="spellStart"/>
      <w:r>
        <w:rPr>
          <w:sz w:val="24"/>
          <w:szCs w:val="23"/>
        </w:rPr>
        <w:t>Multiinstitucional</w:t>
      </w:r>
      <w:proofErr w:type="spellEnd"/>
      <w:r>
        <w:rPr>
          <w:sz w:val="24"/>
          <w:szCs w:val="23"/>
        </w:rPr>
        <w:t xml:space="preserve"> e Inter-Regional de Pós-Graduação em Ciências Contábeis (UnB, UFPB, UFPE, UFRN).</w:t>
      </w:r>
    </w:p>
    <w:p w:rsidR="00702A49" w:rsidRDefault="00702A49" w:rsidP="00702A49">
      <w:pPr>
        <w:ind w:left="851" w:hanging="851"/>
        <w:jc w:val="both"/>
      </w:pPr>
      <w:r>
        <w:rPr>
          <w:sz w:val="24"/>
          <w:szCs w:val="24"/>
        </w:rPr>
        <w:t xml:space="preserve">Machado, C. A., Da Cunha, M. F., Iara, R. N., &amp; Gomes, J. V. (2013). A ocorrência de retornos anormais na emissão de debêntures e na mudança de diretoria: Um estudo sob a perspectiva da divulgação de fatos relevantes. SEMINARIO EM ADMINISTRAÇÃO, </w:t>
      </w:r>
      <w:r>
        <w:rPr>
          <w:i/>
          <w:sz w:val="24"/>
          <w:szCs w:val="24"/>
        </w:rPr>
        <w:t>SEMEAD 16</w:t>
      </w:r>
      <w:r>
        <w:rPr>
          <w:sz w:val="24"/>
          <w:szCs w:val="24"/>
        </w:rPr>
        <w:t>, São Paulo, Anais.</w:t>
      </w:r>
    </w:p>
    <w:p w:rsidR="00702A49" w:rsidRPr="00F8698C" w:rsidRDefault="00702A49" w:rsidP="00702A49">
      <w:pPr>
        <w:ind w:left="851" w:hanging="851"/>
        <w:jc w:val="both"/>
        <w:rPr>
          <w:lang w:val="en-US"/>
        </w:rPr>
      </w:pPr>
      <w:proofErr w:type="spellStart"/>
      <w:r w:rsidRPr="00F8698C">
        <w:rPr>
          <w:sz w:val="24"/>
          <w:szCs w:val="24"/>
        </w:rPr>
        <w:t>Mackinlay</w:t>
      </w:r>
      <w:proofErr w:type="spellEnd"/>
      <w:r w:rsidRPr="00F8698C">
        <w:rPr>
          <w:sz w:val="24"/>
          <w:szCs w:val="24"/>
        </w:rPr>
        <w:t xml:space="preserve">, A. (1997) </w:t>
      </w:r>
      <w:proofErr w:type="spellStart"/>
      <w:r w:rsidRPr="00F8698C">
        <w:rPr>
          <w:sz w:val="24"/>
          <w:szCs w:val="24"/>
        </w:rPr>
        <w:t>Event</w:t>
      </w:r>
      <w:proofErr w:type="spellEnd"/>
      <w:r w:rsidRPr="00F8698C">
        <w:rPr>
          <w:sz w:val="24"/>
          <w:szCs w:val="24"/>
        </w:rPr>
        <w:t xml:space="preserve"> </w:t>
      </w:r>
      <w:proofErr w:type="spellStart"/>
      <w:r w:rsidRPr="00F8698C">
        <w:rPr>
          <w:sz w:val="24"/>
          <w:szCs w:val="24"/>
        </w:rPr>
        <w:t>Studies</w:t>
      </w:r>
      <w:proofErr w:type="spellEnd"/>
      <w:r w:rsidRPr="00F8698C">
        <w:rPr>
          <w:sz w:val="24"/>
          <w:szCs w:val="24"/>
        </w:rPr>
        <w:t xml:space="preserve"> in </w:t>
      </w:r>
      <w:proofErr w:type="spellStart"/>
      <w:r w:rsidRPr="00F8698C">
        <w:rPr>
          <w:sz w:val="24"/>
          <w:szCs w:val="24"/>
        </w:rPr>
        <w:t>Economic</w:t>
      </w:r>
      <w:proofErr w:type="spellEnd"/>
      <w:r w:rsidRPr="00F8698C">
        <w:rPr>
          <w:sz w:val="24"/>
          <w:szCs w:val="24"/>
        </w:rPr>
        <w:t xml:space="preserve"> na </w:t>
      </w:r>
      <w:proofErr w:type="spellStart"/>
      <w:r w:rsidRPr="00F8698C">
        <w:rPr>
          <w:sz w:val="24"/>
          <w:szCs w:val="24"/>
        </w:rPr>
        <w:t>Finance</w:t>
      </w:r>
      <w:proofErr w:type="spellEnd"/>
      <w:r w:rsidRPr="00F8698C">
        <w:rPr>
          <w:sz w:val="24"/>
          <w:szCs w:val="24"/>
        </w:rPr>
        <w:t xml:space="preserve">. </w:t>
      </w:r>
      <w:proofErr w:type="gramStart"/>
      <w:r>
        <w:rPr>
          <w:i/>
          <w:sz w:val="24"/>
          <w:szCs w:val="24"/>
          <w:lang w:val="en-US"/>
        </w:rPr>
        <w:t>Journal of Economic Literature.</w:t>
      </w:r>
      <w:proofErr w:type="gramEnd"/>
      <w:r>
        <w:rPr>
          <w:sz w:val="24"/>
          <w:szCs w:val="24"/>
          <w:lang w:val="en-US"/>
        </w:rPr>
        <w:t xml:space="preserve"> 35(1), 13-37. </w:t>
      </w:r>
    </w:p>
    <w:p w:rsidR="00702A49" w:rsidRPr="00F8698C" w:rsidRDefault="00702A49" w:rsidP="00702A49">
      <w:pPr>
        <w:ind w:left="851" w:hanging="851"/>
        <w:rPr>
          <w:lang w:val="en-US"/>
        </w:rPr>
      </w:pPr>
      <w:proofErr w:type="spellStart"/>
      <w:proofErr w:type="gramStart"/>
      <w:r>
        <w:rPr>
          <w:sz w:val="24"/>
          <w:lang w:val="en-US"/>
        </w:rPr>
        <w:t>Malmendier</w:t>
      </w:r>
      <w:proofErr w:type="spellEnd"/>
      <w:r>
        <w:rPr>
          <w:sz w:val="24"/>
          <w:lang w:val="en-US"/>
        </w:rPr>
        <w:t>, U &amp; Tate, G. (2008).</w:t>
      </w:r>
      <w:proofErr w:type="gramEnd"/>
      <w:r>
        <w:rPr>
          <w:sz w:val="24"/>
          <w:lang w:val="en-US"/>
        </w:rPr>
        <w:t xml:space="preserve"> Who makes acquisitions? </w:t>
      </w:r>
      <w:proofErr w:type="gramStart"/>
      <w:r>
        <w:rPr>
          <w:sz w:val="24"/>
          <w:lang w:val="en-US"/>
        </w:rPr>
        <w:t>CEO overconfidence and the market’s reaction</w:t>
      </w:r>
      <w:r>
        <w:rPr>
          <w:i/>
          <w:sz w:val="24"/>
          <w:lang w:val="en-US"/>
        </w:rPr>
        <w:t>.</w:t>
      </w:r>
      <w:proofErr w:type="gramEnd"/>
      <w:r>
        <w:rPr>
          <w:i/>
          <w:sz w:val="24"/>
          <w:lang w:val="en-US"/>
        </w:rPr>
        <w:t xml:space="preserve"> Journal of Financial Economics</w:t>
      </w:r>
      <w:r>
        <w:rPr>
          <w:sz w:val="24"/>
          <w:lang w:val="en-US"/>
        </w:rPr>
        <w:t>, 89(1), 20-43.</w:t>
      </w:r>
    </w:p>
    <w:p w:rsidR="00702A49" w:rsidRDefault="00702A49" w:rsidP="00702A49">
      <w:pPr>
        <w:ind w:left="851" w:hanging="851"/>
      </w:pPr>
      <w:r>
        <w:rPr>
          <w:sz w:val="24"/>
          <w:lang w:val="en-US"/>
        </w:rPr>
        <w:t xml:space="preserve">Marks, K. H. Robbins, L. E., G. </w:t>
      </w:r>
      <w:proofErr w:type="spellStart"/>
      <w:r>
        <w:rPr>
          <w:sz w:val="24"/>
          <w:lang w:val="en-US"/>
        </w:rPr>
        <w:t>Fernández</w:t>
      </w:r>
      <w:proofErr w:type="spellEnd"/>
      <w:r>
        <w:rPr>
          <w:sz w:val="24"/>
          <w:lang w:val="en-US"/>
        </w:rPr>
        <w:t xml:space="preserve">, </w:t>
      </w:r>
      <w:proofErr w:type="spellStart"/>
      <w:r>
        <w:rPr>
          <w:sz w:val="24"/>
          <w:lang w:val="en-US"/>
        </w:rPr>
        <w:t>Funkhouser</w:t>
      </w:r>
      <w:proofErr w:type="spellEnd"/>
      <w:r>
        <w:rPr>
          <w:sz w:val="24"/>
          <w:lang w:val="en-US"/>
        </w:rPr>
        <w:t xml:space="preserve">, J. P. &amp; William, D. L. (2009). The Handbook of Financing Growth: Strategies, Capital Structure, and M&amp;A Transactions. </w:t>
      </w:r>
      <w:r>
        <w:rPr>
          <w:sz w:val="24"/>
        </w:rPr>
        <w:t xml:space="preserve">(2rd ed.) John </w:t>
      </w:r>
      <w:proofErr w:type="spellStart"/>
      <w:r>
        <w:rPr>
          <w:sz w:val="24"/>
        </w:rPr>
        <w:t>Wiley</w:t>
      </w:r>
      <w:proofErr w:type="spellEnd"/>
      <w:r>
        <w:rPr>
          <w:sz w:val="24"/>
        </w:rPr>
        <w:t xml:space="preserve"> &amp; Sons, Inc., </w:t>
      </w:r>
      <w:proofErr w:type="spellStart"/>
      <w:r>
        <w:rPr>
          <w:sz w:val="24"/>
        </w:rPr>
        <w:t>Hoboken</w:t>
      </w:r>
      <w:proofErr w:type="spellEnd"/>
      <w:r>
        <w:rPr>
          <w:sz w:val="24"/>
        </w:rPr>
        <w:t>, NJ, USA.</w:t>
      </w:r>
    </w:p>
    <w:p w:rsidR="00702A49" w:rsidRDefault="00702A49" w:rsidP="00702A49">
      <w:pPr>
        <w:ind w:left="851" w:hanging="851"/>
        <w:jc w:val="both"/>
      </w:pPr>
      <w:r>
        <w:rPr>
          <w:sz w:val="24"/>
        </w:rPr>
        <w:t xml:space="preserve">Matos, </w:t>
      </w:r>
      <w:proofErr w:type="spellStart"/>
      <w:r>
        <w:rPr>
          <w:sz w:val="24"/>
        </w:rPr>
        <w:t>R.M.</w:t>
      </w:r>
      <w:proofErr w:type="spellEnd"/>
      <w:r>
        <w:rPr>
          <w:sz w:val="24"/>
        </w:rPr>
        <w:t xml:space="preserve"> (2016). Retorno anormal e a mudança de </w:t>
      </w:r>
      <w:r>
        <w:rPr>
          <w:i/>
          <w:sz w:val="24"/>
        </w:rPr>
        <w:t>CEO</w:t>
      </w:r>
      <w:r>
        <w:rPr>
          <w:sz w:val="24"/>
        </w:rPr>
        <w:t xml:space="preserve"> em companhias abertas com participações societárias em fundos de pensão. Dissertação de mestrado, Universidade Federal do Paraná, Paraná, PR, Brasil. </w:t>
      </w:r>
    </w:p>
    <w:p w:rsidR="00702A49" w:rsidRPr="00F8698C" w:rsidRDefault="00702A49" w:rsidP="00702A49">
      <w:pPr>
        <w:ind w:left="851" w:hanging="851"/>
        <w:jc w:val="both"/>
        <w:rPr>
          <w:lang w:val="en-US"/>
        </w:rPr>
      </w:pPr>
      <w:proofErr w:type="spellStart"/>
      <w:proofErr w:type="gramStart"/>
      <w:r w:rsidRPr="00375856">
        <w:rPr>
          <w:sz w:val="24"/>
          <w:lang w:val="en-US"/>
        </w:rPr>
        <w:t>Milgrom</w:t>
      </w:r>
      <w:proofErr w:type="spellEnd"/>
      <w:r w:rsidRPr="00375856">
        <w:rPr>
          <w:sz w:val="24"/>
          <w:lang w:val="en-US"/>
        </w:rPr>
        <w:t>, P., &amp; Roberts, J. (1992).</w:t>
      </w:r>
      <w:proofErr w:type="gramEnd"/>
      <w:r w:rsidRPr="00375856">
        <w:rPr>
          <w:sz w:val="24"/>
          <w:lang w:val="en-US"/>
        </w:rPr>
        <w:t xml:space="preserve"> </w:t>
      </w:r>
      <w:proofErr w:type="gramStart"/>
      <w:r w:rsidRPr="00375856">
        <w:rPr>
          <w:sz w:val="24"/>
          <w:lang w:val="en-US"/>
        </w:rPr>
        <w:t xml:space="preserve">Economics, </w:t>
      </w:r>
      <w:proofErr w:type="spellStart"/>
      <w:r w:rsidRPr="00375856">
        <w:rPr>
          <w:sz w:val="24"/>
          <w:lang w:val="en-US"/>
        </w:rPr>
        <w:t>Orga</w:t>
      </w:r>
      <w:r>
        <w:rPr>
          <w:sz w:val="24"/>
          <w:lang w:val="en-US"/>
        </w:rPr>
        <w:t>nizacional</w:t>
      </w:r>
      <w:proofErr w:type="spellEnd"/>
      <w:r>
        <w:rPr>
          <w:sz w:val="24"/>
          <w:lang w:val="en-US"/>
        </w:rPr>
        <w:t xml:space="preserve"> &amp; Management.</w:t>
      </w:r>
      <w:proofErr w:type="gramEnd"/>
      <w:r>
        <w:rPr>
          <w:sz w:val="24"/>
          <w:lang w:val="en-US"/>
        </w:rPr>
        <w:t xml:space="preserve"> New Jersey: </w:t>
      </w:r>
      <w:r>
        <w:rPr>
          <w:i/>
          <w:sz w:val="24"/>
          <w:lang w:val="en-US"/>
        </w:rPr>
        <w:t>Prentice-Hall</w:t>
      </w:r>
      <w:r>
        <w:rPr>
          <w:sz w:val="24"/>
          <w:lang w:val="en-US"/>
        </w:rPr>
        <w:t xml:space="preserve">. </w:t>
      </w:r>
    </w:p>
    <w:p w:rsidR="00702A49" w:rsidRDefault="00702A49" w:rsidP="00702A49">
      <w:pPr>
        <w:ind w:left="851" w:hanging="851"/>
        <w:jc w:val="both"/>
      </w:pPr>
      <w:proofErr w:type="gramStart"/>
      <w:r>
        <w:rPr>
          <w:sz w:val="24"/>
          <w:lang w:val="en-US"/>
        </w:rPr>
        <w:t xml:space="preserve">Moeller, S. B., </w:t>
      </w:r>
      <w:proofErr w:type="spellStart"/>
      <w:r>
        <w:rPr>
          <w:sz w:val="24"/>
          <w:lang w:val="en-US"/>
        </w:rPr>
        <w:t>Schlingemann</w:t>
      </w:r>
      <w:proofErr w:type="spellEnd"/>
      <w:r>
        <w:rPr>
          <w:sz w:val="24"/>
          <w:lang w:val="en-US"/>
        </w:rPr>
        <w:t xml:space="preserve">, F. P. &amp; </w:t>
      </w:r>
      <w:proofErr w:type="spellStart"/>
      <w:r>
        <w:rPr>
          <w:sz w:val="24"/>
          <w:lang w:val="en-US"/>
        </w:rPr>
        <w:t>Stulz</w:t>
      </w:r>
      <w:proofErr w:type="spellEnd"/>
      <w:r>
        <w:rPr>
          <w:sz w:val="24"/>
          <w:lang w:val="en-US"/>
        </w:rPr>
        <w:t>, R. M. (2005).</w:t>
      </w:r>
      <w:proofErr w:type="gramEnd"/>
      <w:r>
        <w:rPr>
          <w:sz w:val="24"/>
          <w:lang w:val="en-US"/>
        </w:rPr>
        <w:t xml:space="preserve"> </w:t>
      </w:r>
      <w:proofErr w:type="gramStart"/>
      <w:r>
        <w:rPr>
          <w:sz w:val="24"/>
          <w:lang w:val="en-US"/>
        </w:rPr>
        <w:t>Wealth Destruction on a Massive Scale?</w:t>
      </w:r>
      <w:proofErr w:type="gramEnd"/>
      <w:r>
        <w:rPr>
          <w:sz w:val="24"/>
          <w:lang w:val="en-US"/>
        </w:rPr>
        <w:t xml:space="preserve"> </w:t>
      </w:r>
      <w:proofErr w:type="gramStart"/>
      <w:r>
        <w:rPr>
          <w:sz w:val="24"/>
          <w:lang w:val="en-US"/>
        </w:rPr>
        <w:t>A Study of Acquiring-Firm Returns in the Recent Merger Wave.</w:t>
      </w:r>
      <w:proofErr w:type="gramEnd"/>
      <w:r>
        <w:rPr>
          <w:sz w:val="24"/>
          <w:lang w:val="en-US"/>
        </w:rPr>
        <w:t xml:space="preserve"> </w:t>
      </w:r>
      <w:proofErr w:type="spellStart"/>
      <w:r>
        <w:rPr>
          <w:i/>
          <w:sz w:val="24"/>
        </w:rPr>
        <w:t>The</w:t>
      </w:r>
      <w:proofErr w:type="spellEnd"/>
      <w:r>
        <w:rPr>
          <w:i/>
          <w:sz w:val="24"/>
        </w:rPr>
        <w:t xml:space="preserve"> </w:t>
      </w:r>
      <w:proofErr w:type="spellStart"/>
      <w:r>
        <w:rPr>
          <w:i/>
          <w:sz w:val="24"/>
        </w:rPr>
        <w:t>Journal</w:t>
      </w:r>
      <w:proofErr w:type="spellEnd"/>
      <w:r>
        <w:rPr>
          <w:i/>
          <w:sz w:val="24"/>
        </w:rPr>
        <w:t xml:space="preserve"> </w:t>
      </w:r>
      <w:proofErr w:type="spellStart"/>
      <w:r>
        <w:rPr>
          <w:i/>
          <w:sz w:val="24"/>
        </w:rPr>
        <w:t>of</w:t>
      </w:r>
      <w:proofErr w:type="spellEnd"/>
      <w:r>
        <w:rPr>
          <w:i/>
          <w:sz w:val="24"/>
        </w:rPr>
        <w:t xml:space="preserve"> </w:t>
      </w:r>
      <w:proofErr w:type="spellStart"/>
      <w:r>
        <w:rPr>
          <w:i/>
          <w:sz w:val="24"/>
        </w:rPr>
        <w:t>Finance</w:t>
      </w:r>
      <w:proofErr w:type="spellEnd"/>
      <w:r>
        <w:rPr>
          <w:i/>
          <w:sz w:val="24"/>
        </w:rPr>
        <w:t>,</w:t>
      </w:r>
      <w:r>
        <w:rPr>
          <w:sz w:val="24"/>
        </w:rPr>
        <w:t xml:space="preserve"> 60(2), 757-782.</w:t>
      </w:r>
    </w:p>
    <w:p w:rsidR="00702A49" w:rsidRDefault="00702A49" w:rsidP="00702A49">
      <w:pPr>
        <w:ind w:left="851" w:hanging="851"/>
        <w:jc w:val="both"/>
      </w:pPr>
      <w:proofErr w:type="spellStart"/>
      <w:r>
        <w:rPr>
          <w:sz w:val="24"/>
          <w:szCs w:val="24"/>
        </w:rPr>
        <w:t>Mosquera</w:t>
      </w:r>
      <w:proofErr w:type="spellEnd"/>
      <w:r>
        <w:rPr>
          <w:sz w:val="24"/>
          <w:szCs w:val="24"/>
        </w:rPr>
        <w:t xml:space="preserve">, R. Q. </w:t>
      </w:r>
      <w:r>
        <w:rPr>
          <w:bCs/>
          <w:sz w:val="24"/>
          <w:szCs w:val="24"/>
        </w:rPr>
        <w:t xml:space="preserve">Aspectos atuais do Direito do Mercado Financeiro e de Capitais. (1999) </w:t>
      </w:r>
      <w:r>
        <w:rPr>
          <w:sz w:val="24"/>
          <w:szCs w:val="24"/>
        </w:rPr>
        <w:t>São Paulo: Dialética.</w:t>
      </w:r>
    </w:p>
    <w:p w:rsidR="00702A49" w:rsidRDefault="00702A49" w:rsidP="00702A49">
      <w:pPr>
        <w:ind w:left="851" w:hanging="851"/>
      </w:pPr>
      <w:proofErr w:type="spellStart"/>
      <w:r>
        <w:rPr>
          <w:sz w:val="24"/>
          <w:szCs w:val="24"/>
        </w:rPr>
        <w:t>Mussa</w:t>
      </w:r>
      <w:proofErr w:type="spellEnd"/>
      <w:r>
        <w:rPr>
          <w:sz w:val="24"/>
          <w:szCs w:val="24"/>
        </w:rPr>
        <w:t xml:space="preserve"> A., YANG, E</w:t>
      </w:r>
      <w:proofErr w:type="gramStart"/>
      <w:r>
        <w:rPr>
          <w:sz w:val="24"/>
          <w:szCs w:val="24"/>
        </w:rPr>
        <w:t>.,</w:t>
      </w:r>
      <w:proofErr w:type="gramEnd"/>
      <w:r>
        <w:rPr>
          <w:sz w:val="24"/>
          <w:szCs w:val="24"/>
        </w:rPr>
        <w:t xml:space="preserve"> </w:t>
      </w:r>
      <w:proofErr w:type="spellStart"/>
      <w:r>
        <w:rPr>
          <w:sz w:val="24"/>
          <w:szCs w:val="24"/>
        </w:rPr>
        <w:t>Ttrovão</w:t>
      </w:r>
      <w:proofErr w:type="spellEnd"/>
      <w:r>
        <w:rPr>
          <w:sz w:val="24"/>
          <w:szCs w:val="24"/>
        </w:rPr>
        <w:t xml:space="preserve"> R., &amp; </w:t>
      </w:r>
      <w:proofErr w:type="spellStart"/>
      <w:r>
        <w:rPr>
          <w:sz w:val="24"/>
          <w:szCs w:val="24"/>
        </w:rPr>
        <w:t>Famá</w:t>
      </w:r>
      <w:proofErr w:type="spellEnd"/>
      <w:r>
        <w:rPr>
          <w:sz w:val="24"/>
          <w:szCs w:val="24"/>
        </w:rPr>
        <w:t xml:space="preserve"> R. (2008). </w:t>
      </w:r>
      <w:r>
        <w:rPr>
          <w:bCs/>
          <w:sz w:val="24"/>
          <w:szCs w:val="24"/>
        </w:rPr>
        <w:t xml:space="preserve">Hipótese de Mercados Eficientes e Finanças Comportamentais _ As Discussões Persistem. </w:t>
      </w:r>
      <w:r>
        <w:rPr>
          <w:sz w:val="24"/>
        </w:rPr>
        <w:t xml:space="preserve">FACEF Pesquisa, </w:t>
      </w:r>
      <w:r w:rsidRPr="004F44C0">
        <w:rPr>
          <w:sz w:val="24"/>
        </w:rPr>
        <w:t>11</w:t>
      </w:r>
      <w:r>
        <w:rPr>
          <w:sz w:val="24"/>
        </w:rPr>
        <w:t>(1), 5-17.</w:t>
      </w:r>
    </w:p>
    <w:p w:rsidR="00702A49" w:rsidRDefault="00702A49" w:rsidP="00702A49">
      <w:pPr>
        <w:ind w:left="851" w:hanging="851"/>
        <w:jc w:val="both"/>
      </w:pPr>
      <w:r>
        <w:rPr>
          <w:sz w:val="24"/>
        </w:rPr>
        <w:t xml:space="preserve">Nascimento, A. M., &amp; </w:t>
      </w:r>
      <w:proofErr w:type="spellStart"/>
      <w:r>
        <w:rPr>
          <w:sz w:val="24"/>
        </w:rPr>
        <w:t>Reginato</w:t>
      </w:r>
      <w:proofErr w:type="spellEnd"/>
      <w:r>
        <w:rPr>
          <w:sz w:val="24"/>
        </w:rPr>
        <w:t xml:space="preserve">, L. (2008). Divulgação da Informação Contábil, Governança Corporativa e Controle Organizacional: uma relação necessária. </w:t>
      </w:r>
      <w:proofErr w:type="gramStart"/>
      <w:r>
        <w:rPr>
          <w:i/>
          <w:sz w:val="24"/>
        </w:rPr>
        <w:t>Revista Universo Contábil</w:t>
      </w:r>
      <w:proofErr w:type="gramEnd"/>
      <w:r>
        <w:rPr>
          <w:i/>
          <w:sz w:val="24"/>
        </w:rPr>
        <w:t xml:space="preserve">, </w:t>
      </w:r>
      <w:r>
        <w:rPr>
          <w:sz w:val="24"/>
        </w:rPr>
        <w:t>4(3), 25-47.</w:t>
      </w:r>
    </w:p>
    <w:p w:rsidR="00702A49" w:rsidRDefault="00702A49" w:rsidP="00702A49">
      <w:pPr>
        <w:ind w:left="851" w:hanging="851"/>
        <w:jc w:val="both"/>
      </w:pPr>
      <w:proofErr w:type="spellStart"/>
      <w:r>
        <w:rPr>
          <w:sz w:val="24"/>
        </w:rPr>
        <w:t>Noda</w:t>
      </w:r>
      <w:proofErr w:type="spellEnd"/>
      <w:r>
        <w:rPr>
          <w:sz w:val="24"/>
        </w:rPr>
        <w:t xml:space="preserve">, R. F., Oliveira, Jr., &amp; Eduardo, K. E. (2014). </w:t>
      </w:r>
      <w:proofErr w:type="spellStart"/>
      <w:r>
        <w:rPr>
          <w:sz w:val="24"/>
        </w:rPr>
        <w:t>Internalização</w:t>
      </w:r>
      <w:proofErr w:type="spellEnd"/>
      <w:r>
        <w:rPr>
          <w:sz w:val="24"/>
        </w:rPr>
        <w:t xml:space="preserve"> de empresas brasileiras por meio de aquisições e geração de valor para o adquirente. </w:t>
      </w:r>
      <w:r>
        <w:rPr>
          <w:i/>
          <w:sz w:val="24"/>
        </w:rPr>
        <w:t>Revista de Finanças Aplicadas,</w:t>
      </w:r>
      <w:r>
        <w:rPr>
          <w:sz w:val="24"/>
        </w:rPr>
        <w:t xml:space="preserve"> </w:t>
      </w:r>
      <w:proofErr w:type="gramStart"/>
      <w:r>
        <w:rPr>
          <w:sz w:val="24"/>
        </w:rPr>
        <w:t>3</w:t>
      </w:r>
      <w:proofErr w:type="gramEnd"/>
      <w:r>
        <w:rPr>
          <w:sz w:val="24"/>
        </w:rPr>
        <w:t>, 1-29.</w:t>
      </w:r>
    </w:p>
    <w:p w:rsidR="00702A49" w:rsidRDefault="00702A49" w:rsidP="00702A49">
      <w:pPr>
        <w:ind w:left="851" w:hanging="851"/>
        <w:jc w:val="both"/>
      </w:pPr>
      <w:r>
        <w:rPr>
          <w:sz w:val="24"/>
        </w:rPr>
        <w:lastRenderedPageBreak/>
        <w:t xml:space="preserve">Patrocínio, </w:t>
      </w:r>
      <w:proofErr w:type="spellStart"/>
      <w:r>
        <w:rPr>
          <w:sz w:val="24"/>
        </w:rPr>
        <w:t>M.R.</w:t>
      </w:r>
      <w:proofErr w:type="spellEnd"/>
      <w:r>
        <w:rPr>
          <w:sz w:val="24"/>
        </w:rPr>
        <w:t xml:space="preserve">, </w:t>
      </w:r>
      <w:proofErr w:type="spellStart"/>
      <w:r>
        <w:rPr>
          <w:sz w:val="24"/>
        </w:rPr>
        <w:t>Kayo</w:t>
      </w:r>
      <w:proofErr w:type="spellEnd"/>
      <w:r>
        <w:rPr>
          <w:sz w:val="24"/>
        </w:rPr>
        <w:t xml:space="preserve">, </w:t>
      </w:r>
      <w:proofErr w:type="spellStart"/>
      <w:r>
        <w:rPr>
          <w:sz w:val="24"/>
        </w:rPr>
        <w:t>E.K.</w:t>
      </w:r>
      <w:proofErr w:type="spellEnd"/>
      <w:r>
        <w:rPr>
          <w:sz w:val="24"/>
        </w:rPr>
        <w:t xml:space="preserve">, &amp; Kimura, H. (2007). Intangibilidade e criação de valor nos eventos de fusão e aquisição: uma análise dos retornos anormais do período de 1994 a 2004. Revista de Administração, </w:t>
      </w:r>
      <w:r w:rsidRPr="00D830C2">
        <w:rPr>
          <w:sz w:val="24"/>
        </w:rPr>
        <w:t>42</w:t>
      </w:r>
      <w:r>
        <w:rPr>
          <w:sz w:val="24"/>
        </w:rPr>
        <w:t xml:space="preserve">(2), </w:t>
      </w:r>
      <w:r w:rsidRPr="00D830C2">
        <w:rPr>
          <w:sz w:val="24"/>
        </w:rPr>
        <w:t>205-215</w:t>
      </w:r>
      <w:r>
        <w:rPr>
          <w:sz w:val="24"/>
        </w:rPr>
        <w:t>.</w:t>
      </w:r>
    </w:p>
    <w:p w:rsidR="00702A49" w:rsidRDefault="00702A49" w:rsidP="00702A49">
      <w:pPr>
        <w:ind w:left="851" w:hanging="851"/>
        <w:jc w:val="both"/>
      </w:pPr>
      <w:proofErr w:type="spellStart"/>
      <w:r>
        <w:rPr>
          <w:sz w:val="24"/>
        </w:rPr>
        <w:t>Pessanha</w:t>
      </w:r>
      <w:proofErr w:type="spellEnd"/>
      <w:r>
        <w:rPr>
          <w:sz w:val="24"/>
        </w:rPr>
        <w:t xml:space="preserve">, </w:t>
      </w:r>
      <w:proofErr w:type="spellStart"/>
      <w:r>
        <w:rPr>
          <w:sz w:val="24"/>
        </w:rPr>
        <w:t>C.R.G.</w:t>
      </w:r>
      <w:proofErr w:type="spellEnd"/>
      <w:r>
        <w:rPr>
          <w:sz w:val="24"/>
        </w:rPr>
        <w:t xml:space="preserve">, </w:t>
      </w:r>
      <w:proofErr w:type="spellStart"/>
      <w:r>
        <w:rPr>
          <w:sz w:val="24"/>
        </w:rPr>
        <w:t>Calegario</w:t>
      </w:r>
      <w:proofErr w:type="spellEnd"/>
      <w:r>
        <w:rPr>
          <w:sz w:val="24"/>
        </w:rPr>
        <w:t xml:space="preserve">, </w:t>
      </w:r>
      <w:proofErr w:type="spellStart"/>
      <w:r>
        <w:rPr>
          <w:sz w:val="24"/>
        </w:rPr>
        <w:t>C.L.L.</w:t>
      </w:r>
      <w:proofErr w:type="spellEnd"/>
      <w:r>
        <w:rPr>
          <w:sz w:val="24"/>
        </w:rPr>
        <w:t xml:space="preserve">, </w:t>
      </w:r>
      <w:proofErr w:type="spellStart"/>
      <w:r>
        <w:rPr>
          <w:sz w:val="24"/>
        </w:rPr>
        <w:t>Sáfadi</w:t>
      </w:r>
      <w:proofErr w:type="spellEnd"/>
      <w:r>
        <w:rPr>
          <w:sz w:val="24"/>
        </w:rPr>
        <w:t xml:space="preserve">, T., &amp; </w:t>
      </w:r>
      <w:proofErr w:type="spellStart"/>
      <w:r>
        <w:rPr>
          <w:sz w:val="24"/>
        </w:rPr>
        <w:t>Alcâtara</w:t>
      </w:r>
      <w:proofErr w:type="spellEnd"/>
      <w:r>
        <w:rPr>
          <w:sz w:val="24"/>
        </w:rPr>
        <w:t xml:space="preserve">, </w:t>
      </w:r>
      <w:proofErr w:type="spellStart"/>
      <w:r>
        <w:rPr>
          <w:sz w:val="24"/>
        </w:rPr>
        <w:t>J.N.</w:t>
      </w:r>
      <w:proofErr w:type="spellEnd"/>
      <w:r>
        <w:rPr>
          <w:sz w:val="24"/>
        </w:rPr>
        <w:t xml:space="preserve"> (2014). Influências das fusões e aquisições no valor de mercado das instituições bancárias adquirentes. </w:t>
      </w:r>
      <w:r>
        <w:rPr>
          <w:i/>
          <w:sz w:val="24"/>
        </w:rPr>
        <w:t>Contabilidade, Gestão e Governança</w:t>
      </w:r>
      <w:r>
        <w:rPr>
          <w:sz w:val="24"/>
        </w:rPr>
        <w:t>, 17(3), 145-158.</w:t>
      </w:r>
    </w:p>
    <w:p w:rsidR="00702A49" w:rsidRPr="002329CD" w:rsidRDefault="00702A49" w:rsidP="00702A49">
      <w:pPr>
        <w:ind w:left="851" w:hanging="851"/>
        <w:jc w:val="both"/>
        <w:rPr>
          <w:lang w:val="en-US"/>
        </w:rPr>
      </w:pPr>
      <w:r>
        <w:rPr>
          <w:sz w:val="24"/>
        </w:rPr>
        <w:t>Pimenta, M. M., Marques, J. A. V. C., &amp; Macedo, M. A. S. (2015). Retornos Anormais Versus Criação de Valor e Sinergias Operacionais de Firmas Brasileiras Envolvidas em Combinações de Negócios</w:t>
      </w:r>
      <w:r>
        <w:rPr>
          <w:i/>
          <w:sz w:val="24"/>
        </w:rPr>
        <w:t xml:space="preserve">. </w:t>
      </w:r>
      <w:proofErr w:type="spellStart"/>
      <w:r w:rsidRPr="002329CD">
        <w:rPr>
          <w:i/>
          <w:sz w:val="24"/>
          <w:lang w:val="en-US"/>
        </w:rPr>
        <w:t>Pensar</w:t>
      </w:r>
      <w:proofErr w:type="spellEnd"/>
      <w:r w:rsidRPr="002329CD">
        <w:rPr>
          <w:i/>
          <w:sz w:val="24"/>
          <w:lang w:val="en-US"/>
        </w:rPr>
        <w:t xml:space="preserve"> </w:t>
      </w:r>
      <w:proofErr w:type="spellStart"/>
      <w:r w:rsidRPr="002329CD">
        <w:rPr>
          <w:i/>
          <w:sz w:val="24"/>
          <w:lang w:val="en-US"/>
        </w:rPr>
        <w:t>Contábil</w:t>
      </w:r>
      <w:proofErr w:type="spellEnd"/>
      <w:r w:rsidRPr="002329CD">
        <w:rPr>
          <w:i/>
          <w:sz w:val="24"/>
          <w:lang w:val="en-US"/>
        </w:rPr>
        <w:t>,</w:t>
      </w:r>
      <w:r w:rsidRPr="002329CD">
        <w:rPr>
          <w:sz w:val="24"/>
          <w:lang w:val="en-US"/>
        </w:rPr>
        <w:t xml:space="preserve"> 17(64), 30-38.</w:t>
      </w:r>
    </w:p>
    <w:p w:rsidR="00702A49" w:rsidRDefault="00702A49" w:rsidP="00702A49">
      <w:pPr>
        <w:ind w:left="851" w:hanging="851"/>
        <w:jc w:val="both"/>
        <w:rPr>
          <w:sz w:val="24"/>
          <w:lang w:val="en-US"/>
        </w:rPr>
      </w:pPr>
      <w:proofErr w:type="spellStart"/>
      <w:proofErr w:type="gramStart"/>
      <w:r>
        <w:rPr>
          <w:sz w:val="24"/>
          <w:lang w:val="en-US"/>
        </w:rPr>
        <w:t>Pinheiro</w:t>
      </w:r>
      <w:proofErr w:type="spellEnd"/>
      <w:r>
        <w:rPr>
          <w:sz w:val="24"/>
          <w:lang w:val="en-US"/>
        </w:rPr>
        <w:t xml:space="preserve">, A., &amp; </w:t>
      </w:r>
      <w:proofErr w:type="spellStart"/>
      <w:r>
        <w:rPr>
          <w:sz w:val="24"/>
          <w:lang w:val="en-US"/>
        </w:rPr>
        <w:t>Carvalhal</w:t>
      </w:r>
      <w:proofErr w:type="spellEnd"/>
      <w:r>
        <w:rPr>
          <w:sz w:val="24"/>
          <w:lang w:val="en-US"/>
        </w:rPr>
        <w:t>, A. (2011).</w:t>
      </w:r>
      <w:proofErr w:type="gramEnd"/>
      <w:r>
        <w:rPr>
          <w:sz w:val="24"/>
          <w:lang w:val="en-US"/>
        </w:rPr>
        <w:t xml:space="preserve"> Abnormal returns in mergers and acquisitions: new evidence in Brazil. </w:t>
      </w:r>
      <w:proofErr w:type="spellStart"/>
      <w:r>
        <w:rPr>
          <w:i/>
          <w:sz w:val="24"/>
          <w:lang w:val="en-US"/>
        </w:rPr>
        <w:t>Inventi</w:t>
      </w:r>
      <w:proofErr w:type="spellEnd"/>
      <w:r>
        <w:rPr>
          <w:i/>
          <w:sz w:val="24"/>
          <w:lang w:val="en-US"/>
        </w:rPr>
        <w:t xml:space="preserve"> Impact: Emerging Economies, </w:t>
      </w:r>
      <w:r>
        <w:rPr>
          <w:sz w:val="24"/>
          <w:lang w:val="en-US"/>
        </w:rPr>
        <w:t>2011(1), 10-14.</w:t>
      </w:r>
    </w:p>
    <w:p w:rsidR="00702A49" w:rsidRDefault="00702A49" w:rsidP="00702A49">
      <w:pPr>
        <w:ind w:left="851" w:hanging="851"/>
        <w:jc w:val="both"/>
      </w:pPr>
      <w:proofErr w:type="spellStart"/>
      <w:r>
        <w:rPr>
          <w:sz w:val="24"/>
          <w:lang w:val="en-US"/>
        </w:rPr>
        <w:t>Rahman</w:t>
      </w:r>
      <w:proofErr w:type="spellEnd"/>
      <w:r>
        <w:rPr>
          <w:sz w:val="24"/>
          <w:lang w:val="en-US"/>
        </w:rPr>
        <w:t xml:space="preserve">, Z., Ali, A., &amp; </w:t>
      </w:r>
      <w:proofErr w:type="spellStart"/>
      <w:r>
        <w:rPr>
          <w:sz w:val="24"/>
          <w:lang w:val="en-US"/>
        </w:rPr>
        <w:t>Jebran</w:t>
      </w:r>
      <w:proofErr w:type="spellEnd"/>
      <w:r>
        <w:rPr>
          <w:sz w:val="24"/>
          <w:lang w:val="en-US"/>
        </w:rPr>
        <w:t xml:space="preserve">, K. </w:t>
      </w:r>
      <w:r w:rsidRPr="00F8698C">
        <w:rPr>
          <w:sz w:val="24"/>
          <w:lang w:val="en-US"/>
        </w:rPr>
        <w:t xml:space="preserve">(2018) </w:t>
      </w:r>
      <w:proofErr w:type="gramStart"/>
      <w:r w:rsidRPr="00F8698C">
        <w:rPr>
          <w:sz w:val="24"/>
          <w:lang w:val="en-US"/>
        </w:rPr>
        <w:t>The</w:t>
      </w:r>
      <w:proofErr w:type="gramEnd"/>
      <w:r w:rsidRPr="00F8698C">
        <w:rPr>
          <w:sz w:val="24"/>
          <w:lang w:val="en-US"/>
        </w:rPr>
        <w:t xml:space="preserve"> effects of mergers and acquisitions on stock price behavior in banking sector of Pakistan. </w:t>
      </w:r>
      <w:proofErr w:type="spellStart"/>
      <w:r w:rsidRPr="009248C6">
        <w:rPr>
          <w:i/>
          <w:sz w:val="24"/>
        </w:rPr>
        <w:t>The</w:t>
      </w:r>
      <w:proofErr w:type="spellEnd"/>
      <w:r w:rsidRPr="009248C6">
        <w:rPr>
          <w:i/>
          <w:sz w:val="24"/>
        </w:rPr>
        <w:t xml:space="preserve"> </w:t>
      </w:r>
      <w:proofErr w:type="spellStart"/>
      <w:r w:rsidRPr="009248C6">
        <w:rPr>
          <w:i/>
          <w:sz w:val="24"/>
        </w:rPr>
        <w:t>Journal</w:t>
      </w:r>
      <w:proofErr w:type="spellEnd"/>
      <w:r w:rsidRPr="009248C6">
        <w:rPr>
          <w:i/>
          <w:sz w:val="24"/>
        </w:rPr>
        <w:t xml:space="preserve"> </w:t>
      </w:r>
      <w:proofErr w:type="spellStart"/>
      <w:r w:rsidRPr="009248C6">
        <w:rPr>
          <w:i/>
          <w:sz w:val="24"/>
        </w:rPr>
        <w:t>of</w:t>
      </w:r>
      <w:proofErr w:type="spellEnd"/>
      <w:r w:rsidRPr="009248C6">
        <w:rPr>
          <w:i/>
          <w:sz w:val="24"/>
        </w:rPr>
        <w:t xml:space="preserve"> </w:t>
      </w:r>
      <w:proofErr w:type="spellStart"/>
      <w:r w:rsidRPr="009248C6">
        <w:rPr>
          <w:i/>
          <w:sz w:val="24"/>
        </w:rPr>
        <w:t>Finance</w:t>
      </w:r>
      <w:proofErr w:type="spellEnd"/>
      <w:r w:rsidRPr="009248C6">
        <w:rPr>
          <w:i/>
          <w:sz w:val="24"/>
        </w:rPr>
        <w:t xml:space="preserve"> </w:t>
      </w:r>
      <w:proofErr w:type="spellStart"/>
      <w:r w:rsidRPr="009248C6">
        <w:rPr>
          <w:i/>
          <w:sz w:val="24"/>
        </w:rPr>
        <w:t>and</w:t>
      </w:r>
      <w:proofErr w:type="spellEnd"/>
      <w:r w:rsidRPr="009248C6">
        <w:rPr>
          <w:i/>
          <w:sz w:val="24"/>
        </w:rPr>
        <w:t xml:space="preserve"> Data </w:t>
      </w:r>
      <w:proofErr w:type="spellStart"/>
      <w:r w:rsidRPr="009248C6">
        <w:rPr>
          <w:i/>
          <w:sz w:val="24"/>
        </w:rPr>
        <w:t>Science</w:t>
      </w:r>
      <w:proofErr w:type="spellEnd"/>
      <w:r>
        <w:rPr>
          <w:sz w:val="24"/>
        </w:rPr>
        <w:t>,</w:t>
      </w:r>
      <w:proofErr w:type="gramStart"/>
      <w:r>
        <w:rPr>
          <w:sz w:val="24"/>
        </w:rPr>
        <w:t xml:space="preserve">  </w:t>
      </w:r>
      <w:proofErr w:type="gramEnd"/>
      <w:r>
        <w:rPr>
          <w:sz w:val="24"/>
        </w:rPr>
        <w:t>4, 44-</w:t>
      </w:r>
      <w:r w:rsidRPr="009248C6">
        <w:rPr>
          <w:sz w:val="24"/>
        </w:rPr>
        <w:t>54</w:t>
      </w:r>
    </w:p>
    <w:p w:rsidR="00702A49" w:rsidRDefault="00702A49" w:rsidP="00702A49">
      <w:pPr>
        <w:ind w:left="851" w:hanging="851"/>
        <w:jc w:val="both"/>
      </w:pPr>
      <w:r>
        <w:rPr>
          <w:sz w:val="24"/>
        </w:rPr>
        <w:t>Rocha, I</w:t>
      </w:r>
      <w:proofErr w:type="gramStart"/>
      <w:r>
        <w:rPr>
          <w:sz w:val="24"/>
        </w:rPr>
        <w:t>.,</w:t>
      </w:r>
      <w:proofErr w:type="gramEnd"/>
      <w:r>
        <w:rPr>
          <w:sz w:val="24"/>
        </w:rPr>
        <w:t xml:space="preserve"> Pereira, A. M., Bezerra, F. A., &amp; Nascimento, S. (2012). Análise da produção científica sobre teoria da agência e assimetria da informação. </w:t>
      </w:r>
      <w:r>
        <w:rPr>
          <w:i/>
          <w:sz w:val="24"/>
        </w:rPr>
        <w:t>Revista de Gestão</w:t>
      </w:r>
      <w:r>
        <w:rPr>
          <w:sz w:val="24"/>
        </w:rPr>
        <w:t>, 19(2), 227-340.</w:t>
      </w:r>
    </w:p>
    <w:p w:rsidR="00702A49" w:rsidRDefault="00702A49" w:rsidP="00702A49">
      <w:pPr>
        <w:ind w:left="851" w:hanging="851"/>
        <w:jc w:val="both"/>
      </w:pPr>
      <w:r>
        <w:rPr>
          <w:sz w:val="24"/>
        </w:rPr>
        <w:t xml:space="preserve">Romano, P. R., &amp; Almeida, V. S. (2015). Análise dos Efeitos em Mercado de Capitais Decorrentes de Fusões: O caso BRF S.A. </w:t>
      </w:r>
      <w:r>
        <w:rPr>
          <w:i/>
          <w:sz w:val="24"/>
        </w:rPr>
        <w:t>RAC,</w:t>
      </w:r>
      <w:r>
        <w:rPr>
          <w:sz w:val="24"/>
        </w:rPr>
        <w:t xml:space="preserve"> 19(5), 606-625.</w:t>
      </w:r>
    </w:p>
    <w:p w:rsidR="00702A49" w:rsidRDefault="00702A49" w:rsidP="00702A49">
      <w:pPr>
        <w:ind w:left="851" w:hanging="851"/>
        <w:jc w:val="both"/>
      </w:pPr>
      <w:r>
        <w:rPr>
          <w:sz w:val="24"/>
        </w:rPr>
        <w:t>Silva, J</w:t>
      </w:r>
      <w:proofErr w:type="gramStart"/>
      <w:r>
        <w:rPr>
          <w:sz w:val="24"/>
        </w:rPr>
        <w:t>.,</w:t>
      </w:r>
      <w:proofErr w:type="gramEnd"/>
      <w:r>
        <w:rPr>
          <w:sz w:val="24"/>
        </w:rPr>
        <w:t xml:space="preserve"> &amp; </w:t>
      </w:r>
      <w:proofErr w:type="spellStart"/>
      <w:r>
        <w:rPr>
          <w:sz w:val="24"/>
        </w:rPr>
        <w:t>Famá</w:t>
      </w:r>
      <w:proofErr w:type="spellEnd"/>
      <w:r>
        <w:rPr>
          <w:sz w:val="24"/>
        </w:rPr>
        <w:t xml:space="preserve">, R. (2011). Evidências de retornos anormais nos processos de IPO na Bovespa no período de 2004 a 2007: um estudo de evento. </w:t>
      </w:r>
      <w:r>
        <w:rPr>
          <w:i/>
          <w:sz w:val="24"/>
        </w:rPr>
        <w:t>Revista de Administração,</w:t>
      </w:r>
      <w:r>
        <w:rPr>
          <w:sz w:val="24"/>
        </w:rPr>
        <w:t xml:space="preserve"> 46(2), 178-190.</w:t>
      </w:r>
    </w:p>
    <w:p w:rsidR="00702A49" w:rsidRDefault="00702A49" w:rsidP="00702A49">
      <w:pPr>
        <w:ind w:left="851" w:hanging="851"/>
        <w:jc w:val="both"/>
      </w:pPr>
      <w:r>
        <w:rPr>
          <w:sz w:val="24"/>
          <w:szCs w:val="24"/>
        </w:rPr>
        <w:t xml:space="preserve">Silva, </w:t>
      </w:r>
      <w:proofErr w:type="spellStart"/>
      <w:proofErr w:type="gramStart"/>
      <w:r>
        <w:rPr>
          <w:sz w:val="24"/>
          <w:szCs w:val="24"/>
        </w:rPr>
        <w:t>C.A.</w:t>
      </w:r>
      <w:proofErr w:type="spellEnd"/>
      <w:proofErr w:type="gramEnd"/>
      <w:r>
        <w:rPr>
          <w:sz w:val="24"/>
          <w:szCs w:val="24"/>
        </w:rPr>
        <w:t xml:space="preserve">T, &amp; Fernandes, J. L. T. (2009). Legibilidade dos fatos relevantes no Brasil. </w:t>
      </w:r>
      <w:r>
        <w:rPr>
          <w:i/>
          <w:sz w:val="24"/>
          <w:szCs w:val="24"/>
        </w:rPr>
        <w:t>RAC</w:t>
      </w:r>
      <w:r>
        <w:rPr>
          <w:sz w:val="24"/>
          <w:szCs w:val="24"/>
        </w:rPr>
        <w:t>, 3(1), 142-158.</w:t>
      </w:r>
    </w:p>
    <w:p w:rsidR="00702A49" w:rsidRDefault="00702A49" w:rsidP="00702A49">
      <w:pPr>
        <w:ind w:left="851" w:hanging="851"/>
        <w:jc w:val="both"/>
      </w:pPr>
      <w:r>
        <w:rPr>
          <w:sz w:val="24"/>
          <w:szCs w:val="24"/>
        </w:rPr>
        <w:t xml:space="preserve">Silva, </w:t>
      </w:r>
      <w:proofErr w:type="spellStart"/>
      <w:r>
        <w:rPr>
          <w:sz w:val="24"/>
          <w:szCs w:val="24"/>
        </w:rPr>
        <w:t>C.A.T.</w:t>
      </w:r>
      <w:proofErr w:type="spellEnd"/>
      <w:r>
        <w:rPr>
          <w:sz w:val="24"/>
          <w:szCs w:val="24"/>
        </w:rPr>
        <w:t xml:space="preserve">, &amp; Pereira, </w:t>
      </w:r>
      <w:proofErr w:type="spellStart"/>
      <w:r>
        <w:rPr>
          <w:sz w:val="24"/>
          <w:szCs w:val="24"/>
        </w:rPr>
        <w:t>V.A.S.</w:t>
      </w:r>
      <w:proofErr w:type="spellEnd"/>
      <w:r>
        <w:rPr>
          <w:sz w:val="24"/>
          <w:szCs w:val="24"/>
        </w:rPr>
        <w:t xml:space="preserve"> (2008). </w:t>
      </w:r>
      <w:proofErr w:type="gramStart"/>
      <w:r>
        <w:rPr>
          <w:bCs/>
          <w:sz w:val="24"/>
          <w:szCs w:val="24"/>
        </w:rPr>
        <w:t>Fatos relevante</w:t>
      </w:r>
      <w:proofErr w:type="gramEnd"/>
      <w:r>
        <w:rPr>
          <w:bCs/>
          <w:sz w:val="24"/>
          <w:szCs w:val="24"/>
        </w:rPr>
        <w:t xml:space="preserve"> e sua influência no preço das ações no Brasil. </w:t>
      </w:r>
      <w:r>
        <w:rPr>
          <w:sz w:val="24"/>
          <w:szCs w:val="24"/>
        </w:rPr>
        <w:t>In: 5º CONGRESSO USP INICIAÇÃO CIENTÍFICA EM CONTABILIDADE.</w:t>
      </w:r>
    </w:p>
    <w:p w:rsidR="00702A49" w:rsidRPr="00233A0F" w:rsidRDefault="00702A49" w:rsidP="00702A49">
      <w:pPr>
        <w:ind w:left="851" w:hanging="851"/>
        <w:jc w:val="both"/>
        <w:rPr>
          <w:lang w:val="en-US"/>
        </w:rPr>
      </w:pPr>
      <w:r>
        <w:rPr>
          <w:sz w:val="24"/>
          <w:szCs w:val="24"/>
        </w:rPr>
        <w:t xml:space="preserve">Silva, C. C., Silva, F. G. F., &amp; Silva, E. V. A. (2017). Impacto do anúncio de fusões &amp; aquisições sobre a competitividade do mercado: Um estudo de caso da fusão Bradesco-HSBC Brasil. </w:t>
      </w:r>
      <w:proofErr w:type="spellStart"/>
      <w:r>
        <w:rPr>
          <w:i/>
          <w:sz w:val="24"/>
          <w:szCs w:val="24"/>
          <w:lang w:val="en-US"/>
        </w:rPr>
        <w:t>Revista</w:t>
      </w:r>
      <w:proofErr w:type="spellEnd"/>
      <w:r>
        <w:rPr>
          <w:i/>
          <w:sz w:val="24"/>
          <w:szCs w:val="24"/>
          <w:lang w:val="en-US"/>
        </w:rPr>
        <w:t xml:space="preserve"> </w:t>
      </w:r>
      <w:proofErr w:type="spellStart"/>
      <w:r>
        <w:rPr>
          <w:i/>
          <w:sz w:val="24"/>
          <w:szCs w:val="24"/>
          <w:lang w:val="en-US"/>
        </w:rPr>
        <w:t>Espacios</w:t>
      </w:r>
      <w:proofErr w:type="spellEnd"/>
      <w:r>
        <w:rPr>
          <w:i/>
          <w:sz w:val="24"/>
          <w:szCs w:val="24"/>
          <w:lang w:val="en-US"/>
        </w:rPr>
        <w:t xml:space="preserve">, </w:t>
      </w:r>
      <w:r>
        <w:rPr>
          <w:sz w:val="24"/>
          <w:szCs w:val="24"/>
          <w:lang w:val="en-US"/>
        </w:rPr>
        <w:t>38(38), 12.</w:t>
      </w:r>
    </w:p>
    <w:p w:rsidR="00702A49" w:rsidRPr="00233A0F" w:rsidRDefault="00702A49" w:rsidP="00702A49">
      <w:pPr>
        <w:ind w:left="851" w:hanging="851"/>
        <w:jc w:val="both"/>
        <w:rPr>
          <w:lang w:val="en-US"/>
        </w:rPr>
      </w:pPr>
      <w:proofErr w:type="spellStart"/>
      <w:r>
        <w:rPr>
          <w:sz w:val="24"/>
          <w:szCs w:val="24"/>
          <w:lang w:val="en-US"/>
        </w:rPr>
        <w:t>Simões</w:t>
      </w:r>
      <w:proofErr w:type="spellEnd"/>
      <w:r>
        <w:rPr>
          <w:sz w:val="24"/>
          <w:szCs w:val="24"/>
          <w:lang w:val="en-US"/>
        </w:rPr>
        <w:t>, M.D</w:t>
      </w:r>
      <w:proofErr w:type="gramStart"/>
      <w:r>
        <w:rPr>
          <w:sz w:val="24"/>
          <w:szCs w:val="24"/>
          <w:lang w:val="en-US"/>
        </w:rPr>
        <w:t>. ,</w:t>
      </w:r>
      <w:proofErr w:type="gramEnd"/>
      <w:r>
        <w:rPr>
          <w:sz w:val="24"/>
          <w:szCs w:val="24"/>
          <w:lang w:val="en-US"/>
        </w:rPr>
        <w:t xml:space="preserve"> </w:t>
      </w:r>
      <w:proofErr w:type="spellStart"/>
      <w:r>
        <w:rPr>
          <w:sz w:val="24"/>
          <w:szCs w:val="24"/>
          <w:lang w:val="en-US"/>
        </w:rPr>
        <w:t>Macedo-Soares</w:t>
      </w:r>
      <w:proofErr w:type="spellEnd"/>
      <w:r>
        <w:rPr>
          <w:sz w:val="24"/>
          <w:szCs w:val="24"/>
          <w:lang w:val="en-US"/>
        </w:rPr>
        <w:t xml:space="preserve">, T. D. L. A., </w:t>
      </w:r>
      <w:proofErr w:type="spellStart"/>
      <w:r>
        <w:rPr>
          <w:sz w:val="24"/>
          <w:szCs w:val="24"/>
          <w:lang w:val="en-US"/>
        </w:rPr>
        <w:t>Klotzle</w:t>
      </w:r>
      <w:proofErr w:type="spellEnd"/>
      <w:r>
        <w:rPr>
          <w:sz w:val="24"/>
          <w:szCs w:val="24"/>
          <w:lang w:val="en-US"/>
        </w:rPr>
        <w:t xml:space="preserve">, M. C., &amp; Pinto, A. C. F. (2010, </w:t>
      </w:r>
      <w:proofErr w:type="spellStart"/>
      <w:r>
        <w:rPr>
          <w:sz w:val="24"/>
          <w:szCs w:val="24"/>
          <w:lang w:val="en-US"/>
        </w:rPr>
        <w:t>setembro</w:t>
      </w:r>
      <w:proofErr w:type="spellEnd"/>
      <w:r>
        <w:rPr>
          <w:sz w:val="24"/>
          <w:szCs w:val="24"/>
          <w:lang w:val="en-US"/>
        </w:rPr>
        <w:t xml:space="preserve">). </w:t>
      </w:r>
      <w:proofErr w:type="spellStart"/>
      <w:r>
        <w:rPr>
          <w:sz w:val="24"/>
          <w:szCs w:val="24"/>
          <w:lang w:val="en-US"/>
        </w:rPr>
        <w:t>Assesment</w:t>
      </w:r>
      <w:proofErr w:type="spellEnd"/>
      <w:r>
        <w:rPr>
          <w:sz w:val="24"/>
          <w:szCs w:val="24"/>
          <w:lang w:val="en-US"/>
        </w:rPr>
        <w:t xml:space="preserve"> of Market Efficiency in Argentina, Brazil and Chile: </w:t>
      </w:r>
      <w:proofErr w:type="spellStart"/>
      <w:proofErr w:type="gramStart"/>
      <w:r>
        <w:rPr>
          <w:sz w:val="24"/>
          <w:szCs w:val="24"/>
          <w:lang w:val="en-US"/>
        </w:rPr>
        <w:t>na</w:t>
      </w:r>
      <w:proofErr w:type="spellEnd"/>
      <w:proofErr w:type="gramEnd"/>
      <w:r>
        <w:rPr>
          <w:sz w:val="24"/>
          <w:szCs w:val="24"/>
          <w:lang w:val="en-US"/>
        </w:rPr>
        <w:t xml:space="preserve"> Event Study of Mergers and Acquisitions. </w:t>
      </w:r>
      <w:r w:rsidRPr="00233A0F">
        <w:rPr>
          <w:i/>
          <w:sz w:val="24"/>
          <w:szCs w:val="24"/>
          <w:lang w:val="en-US"/>
        </w:rPr>
        <w:t>BAR</w:t>
      </w:r>
      <w:r w:rsidRPr="00233A0F">
        <w:rPr>
          <w:sz w:val="24"/>
          <w:szCs w:val="24"/>
          <w:lang w:val="en-US"/>
        </w:rPr>
        <w:t>, 9(2), 229-245.</w:t>
      </w:r>
    </w:p>
    <w:p w:rsidR="00702A49" w:rsidRDefault="00702A49" w:rsidP="00702A49">
      <w:pPr>
        <w:ind w:left="851" w:hanging="851"/>
        <w:jc w:val="both"/>
      </w:pPr>
      <w:r>
        <w:rPr>
          <w:sz w:val="24"/>
          <w:szCs w:val="24"/>
        </w:rPr>
        <w:t>Soares, R. O</w:t>
      </w:r>
      <w:proofErr w:type="gramStart"/>
      <w:r>
        <w:rPr>
          <w:sz w:val="24"/>
          <w:szCs w:val="24"/>
        </w:rPr>
        <w:t>.,</w:t>
      </w:r>
      <w:proofErr w:type="gramEnd"/>
      <w:r>
        <w:rPr>
          <w:sz w:val="24"/>
          <w:szCs w:val="24"/>
        </w:rPr>
        <w:t xml:space="preserve"> </w:t>
      </w:r>
      <w:proofErr w:type="spellStart"/>
      <w:r>
        <w:rPr>
          <w:sz w:val="24"/>
          <w:szCs w:val="24"/>
        </w:rPr>
        <w:t>Rostagno</w:t>
      </w:r>
      <w:proofErr w:type="spellEnd"/>
      <w:r>
        <w:rPr>
          <w:sz w:val="24"/>
          <w:szCs w:val="24"/>
        </w:rPr>
        <w:t xml:space="preserve">, L. M., &amp; Soares, K. T. C. (2002). </w:t>
      </w:r>
      <w:r>
        <w:rPr>
          <w:bCs/>
          <w:sz w:val="24"/>
          <w:szCs w:val="24"/>
        </w:rPr>
        <w:t xml:space="preserve">Estudo de evento: o método e as formas de cálculo do retorno anormal. </w:t>
      </w:r>
      <w:r>
        <w:rPr>
          <w:sz w:val="24"/>
          <w:szCs w:val="24"/>
        </w:rPr>
        <w:t>In: ENANPAD, XXVI, Salvador. Anais... Salvador, ANPAD.</w:t>
      </w:r>
    </w:p>
    <w:p w:rsidR="00702A49" w:rsidRDefault="00702A49" w:rsidP="00702A49">
      <w:pPr>
        <w:ind w:left="851" w:hanging="851"/>
        <w:jc w:val="both"/>
      </w:pPr>
      <w:r>
        <w:rPr>
          <w:sz w:val="24"/>
        </w:rPr>
        <w:t xml:space="preserve">Souza, M. M., &amp; Borba, J. A. (2017). </w:t>
      </w:r>
      <w:proofErr w:type="spellStart"/>
      <w:r>
        <w:rPr>
          <w:sz w:val="24"/>
        </w:rPr>
        <w:t>Value</w:t>
      </w:r>
      <w:proofErr w:type="spellEnd"/>
      <w:r>
        <w:rPr>
          <w:sz w:val="24"/>
        </w:rPr>
        <w:t xml:space="preserve"> </w:t>
      </w:r>
      <w:proofErr w:type="spellStart"/>
      <w:r>
        <w:rPr>
          <w:sz w:val="24"/>
        </w:rPr>
        <w:t>Relevance</w:t>
      </w:r>
      <w:proofErr w:type="spellEnd"/>
      <w:r>
        <w:rPr>
          <w:sz w:val="24"/>
        </w:rPr>
        <w:t xml:space="preserve"> do Nível de </w:t>
      </w:r>
      <w:proofErr w:type="spellStart"/>
      <w:r>
        <w:rPr>
          <w:sz w:val="24"/>
        </w:rPr>
        <w:t>Disclosure</w:t>
      </w:r>
      <w:proofErr w:type="spellEnd"/>
      <w:r>
        <w:rPr>
          <w:sz w:val="24"/>
        </w:rPr>
        <w:t xml:space="preserve"> das Combinações de Negócios e do </w:t>
      </w:r>
      <w:proofErr w:type="spellStart"/>
      <w:r>
        <w:rPr>
          <w:i/>
          <w:sz w:val="24"/>
        </w:rPr>
        <w:t>Goodwill</w:t>
      </w:r>
      <w:proofErr w:type="spellEnd"/>
      <w:r>
        <w:rPr>
          <w:sz w:val="24"/>
        </w:rPr>
        <w:t xml:space="preserve"> Reconhecido nas Companhias de Capital Aberto Brasileiras. </w:t>
      </w:r>
      <w:r>
        <w:rPr>
          <w:i/>
          <w:sz w:val="24"/>
        </w:rPr>
        <w:t>Revista Contabilidade &amp; Finanças</w:t>
      </w:r>
      <w:r>
        <w:rPr>
          <w:sz w:val="24"/>
        </w:rPr>
        <w:t xml:space="preserve"> - USP, 28(73), 77-92.</w:t>
      </w:r>
    </w:p>
    <w:p w:rsidR="006C79DF" w:rsidRDefault="00702A49" w:rsidP="00702A49">
      <w:pPr>
        <w:ind w:left="851" w:hanging="851"/>
        <w:jc w:val="both"/>
        <w:rPr>
          <w:sz w:val="24"/>
        </w:rPr>
      </w:pPr>
      <w:proofErr w:type="gramStart"/>
      <w:r w:rsidRPr="00D05CD2">
        <w:rPr>
          <w:sz w:val="24"/>
          <w:lang w:val="en-US"/>
        </w:rPr>
        <w:t xml:space="preserve">Takamatsu, R.T., </w:t>
      </w:r>
      <w:proofErr w:type="spellStart"/>
      <w:r w:rsidRPr="00D05CD2">
        <w:rPr>
          <w:sz w:val="24"/>
          <w:lang w:val="en-US"/>
        </w:rPr>
        <w:t>Lamounier</w:t>
      </w:r>
      <w:proofErr w:type="spellEnd"/>
      <w:r w:rsidRPr="00D05CD2">
        <w:rPr>
          <w:sz w:val="24"/>
          <w:lang w:val="en-US"/>
        </w:rPr>
        <w:t xml:space="preserve">, W.M., &amp; </w:t>
      </w:r>
      <w:proofErr w:type="spellStart"/>
      <w:r w:rsidRPr="00D05CD2">
        <w:rPr>
          <w:sz w:val="24"/>
          <w:lang w:val="en-US"/>
        </w:rPr>
        <w:t>Colauto</w:t>
      </w:r>
      <w:proofErr w:type="spellEnd"/>
      <w:r w:rsidRPr="00D05CD2">
        <w:rPr>
          <w:sz w:val="24"/>
          <w:lang w:val="en-US"/>
        </w:rPr>
        <w:t>, R.M. (2008).</w:t>
      </w:r>
      <w:proofErr w:type="gramEnd"/>
      <w:r w:rsidRPr="00D05CD2">
        <w:rPr>
          <w:sz w:val="24"/>
          <w:lang w:val="en-US"/>
        </w:rPr>
        <w:t xml:space="preserve"> </w:t>
      </w:r>
      <w:r>
        <w:rPr>
          <w:sz w:val="24"/>
        </w:rPr>
        <w:t xml:space="preserve">Impacto na divulgação de prejuízos nos retornos de ações de companhias participantes da Bovespa. </w:t>
      </w:r>
      <w:proofErr w:type="gramStart"/>
      <w:r>
        <w:rPr>
          <w:sz w:val="24"/>
        </w:rPr>
        <w:t>Revista Universo Contábil</w:t>
      </w:r>
      <w:proofErr w:type="gramEnd"/>
      <w:r>
        <w:rPr>
          <w:sz w:val="24"/>
        </w:rPr>
        <w:t xml:space="preserve">, 4(1), 46-63. </w:t>
      </w:r>
    </w:p>
    <w:p w:rsidR="00702A49" w:rsidRDefault="00702A49" w:rsidP="00702A49">
      <w:pPr>
        <w:ind w:left="851" w:hanging="851"/>
        <w:jc w:val="both"/>
      </w:pPr>
      <w:r>
        <w:rPr>
          <w:sz w:val="24"/>
          <w:szCs w:val="24"/>
        </w:rPr>
        <w:t xml:space="preserve">Terra, P. R. S., &amp; Lima, J. B. N. (2006, set./dez) </w:t>
      </w:r>
      <w:r>
        <w:rPr>
          <w:bCs/>
          <w:sz w:val="24"/>
          <w:szCs w:val="24"/>
        </w:rPr>
        <w:t xml:space="preserve">Governança corporativa e a reação do mercado de capitais à divulgação das informações contábeis. (Vol. 42, </w:t>
      </w:r>
      <w:proofErr w:type="spellStart"/>
      <w:r>
        <w:rPr>
          <w:bCs/>
          <w:sz w:val="24"/>
          <w:szCs w:val="24"/>
        </w:rPr>
        <w:t>p.p.</w:t>
      </w:r>
      <w:proofErr w:type="spellEnd"/>
      <w:r>
        <w:rPr>
          <w:bCs/>
          <w:sz w:val="24"/>
          <w:szCs w:val="24"/>
        </w:rPr>
        <w:t xml:space="preserve"> 35-49) </w:t>
      </w:r>
      <w:r>
        <w:rPr>
          <w:i/>
          <w:sz w:val="24"/>
          <w:szCs w:val="24"/>
        </w:rPr>
        <w:t>Revista de Contabilidade e Finanças,</w:t>
      </w:r>
      <w:r>
        <w:rPr>
          <w:sz w:val="24"/>
          <w:szCs w:val="24"/>
        </w:rPr>
        <w:t xml:space="preserve"> São Paulo.</w:t>
      </w:r>
    </w:p>
    <w:p w:rsidR="00702A49" w:rsidRDefault="00702A49" w:rsidP="00702A49">
      <w:pPr>
        <w:ind w:left="851" w:hanging="851"/>
        <w:jc w:val="both"/>
        <w:rPr>
          <w:u w:val="single"/>
        </w:rPr>
      </w:pPr>
      <w:r>
        <w:rPr>
          <w:sz w:val="24"/>
          <w:szCs w:val="24"/>
          <w:lang w:val="en-US"/>
        </w:rPr>
        <w:t xml:space="preserve">Watts, R., </w:t>
      </w:r>
      <w:proofErr w:type="gramStart"/>
      <w:r>
        <w:rPr>
          <w:sz w:val="24"/>
          <w:szCs w:val="24"/>
          <w:lang w:val="en-US"/>
        </w:rPr>
        <w:t>&amp;  Zimmerman</w:t>
      </w:r>
      <w:proofErr w:type="gramEnd"/>
      <w:r>
        <w:rPr>
          <w:sz w:val="24"/>
          <w:szCs w:val="24"/>
          <w:lang w:val="en-US"/>
        </w:rPr>
        <w:t xml:space="preserve">, J. (1978). </w:t>
      </w:r>
      <w:proofErr w:type="gramStart"/>
      <w:r>
        <w:rPr>
          <w:sz w:val="24"/>
          <w:szCs w:val="24"/>
          <w:lang w:val="en-US"/>
        </w:rPr>
        <w:t xml:space="preserve">Towards a positive theory of the determination of accounting </w:t>
      </w:r>
      <w:proofErr w:type="spellStart"/>
      <w:r>
        <w:rPr>
          <w:sz w:val="24"/>
          <w:szCs w:val="24"/>
          <w:lang w:val="en-US"/>
        </w:rPr>
        <w:t>standarts</w:t>
      </w:r>
      <w:proofErr w:type="spellEnd"/>
      <w:r>
        <w:rPr>
          <w:sz w:val="24"/>
          <w:szCs w:val="24"/>
          <w:lang w:val="en-US"/>
        </w:rPr>
        <w:t>.</w:t>
      </w:r>
      <w:proofErr w:type="gramEnd"/>
      <w:r>
        <w:rPr>
          <w:sz w:val="24"/>
          <w:szCs w:val="24"/>
          <w:lang w:val="en-US"/>
        </w:rPr>
        <w:t xml:space="preserve"> </w:t>
      </w:r>
      <w:proofErr w:type="gramStart"/>
      <w:r>
        <w:rPr>
          <w:i/>
          <w:sz w:val="24"/>
          <w:szCs w:val="24"/>
          <w:lang w:val="en-US"/>
        </w:rPr>
        <w:t>The Accounting Review.</w:t>
      </w:r>
      <w:proofErr w:type="gramEnd"/>
      <w:r>
        <w:rPr>
          <w:i/>
          <w:sz w:val="24"/>
          <w:szCs w:val="24"/>
          <w:lang w:val="en-US"/>
        </w:rPr>
        <w:t xml:space="preserve"> 53</w:t>
      </w:r>
      <w:r>
        <w:rPr>
          <w:sz w:val="24"/>
          <w:szCs w:val="24"/>
          <w:lang w:val="en-US"/>
        </w:rPr>
        <w:t>.</w:t>
      </w:r>
    </w:p>
    <w:p w:rsidR="0000195C" w:rsidRDefault="0000195C" w:rsidP="0000195C">
      <w:pPr>
        <w:jc w:val="both"/>
        <w:rPr>
          <w:b/>
          <w:sz w:val="24"/>
          <w:szCs w:val="24"/>
        </w:rPr>
      </w:pPr>
    </w:p>
    <w:sectPr w:rsidR="0000195C" w:rsidSect="00E361F4">
      <w:headerReference w:type="default" r:id="rId11"/>
      <w:footerReference w:type="default" r:id="rId12"/>
      <w:pgSz w:w="11900" w:h="16840"/>
      <w:pgMar w:top="1701" w:right="1134" w:bottom="1134" w:left="1701"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64F" w:rsidRDefault="00C9764F" w:rsidP="008A5824">
      <w:r>
        <w:separator/>
      </w:r>
    </w:p>
  </w:endnote>
  <w:endnote w:type="continuationSeparator" w:id="0">
    <w:p w:rsidR="00C9764F" w:rsidRDefault="00C9764F" w:rsidP="008A58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496"/>
      <w:docPartObj>
        <w:docPartGallery w:val="Page Numbers (Bottom of Page)"/>
        <w:docPartUnique/>
      </w:docPartObj>
    </w:sdtPr>
    <w:sdtContent>
      <w:p w:rsidR="000F76E8" w:rsidRDefault="00AB439A">
        <w:pPr>
          <w:pStyle w:val="Rodap"/>
          <w:jc w:val="right"/>
        </w:pPr>
        <w:r>
          <w:rPr>
            <w:noProof/>
            <w:lang w:eastAsia="pt-BR"/>
          </w:rPr>
          <w:drawing>
            <wp:anchor distT="0" distB="0" distL="114300" distR="114300" simplePos="0" relativeHeight="251659264" behindDoc="1" locked="0" layoutInCell="1" allowOverlap="1">
              <wp:simplePos x="0" y="0"/>
              <wp:positionH relativeFrom="column">
                <wp:posOffset>20955</wp:posOffset>
              </wp:positionH>
              <wp:positionV relativeFrom="paragraph">
                <wp:posOffset>49530</wp:posOffset>
              </wp:positionV>
              <wp:extent cx="5565140" cy="647700"/>
              <wp:effectExtent l="1905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5140" cy="647700"/>
                      </a:xfrm>
                      <a:prstGeom prst="rect">
                        <a:avLst/>
                      </a:prstGeom>
                    </pic:spPr>
                  </pic:pic>
                </a:graphicData>
              </a:graphic>
            </wp:anchor>
          </w:drawing>
        </w:r>
        <w:fldSimple w:instr=" PAGE   \* MERGEFORMAT ">
          <w:r w:rsidR="009F111D">
            <w:rPr>
              <w:noProof/>
            </w:rPr>
            <w:t>1</w:t>
          </w:r>
        </w:fldSimple>
      </w:p>
    </w:sdtContent>
  </w:sdt>
  <w:p w:rsidR="000F76E8" w:rsidRDefault="000F76E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64F" w:rsidRDefault="00C9764F" w:rsidP="008A5824">
      <w:r>
        <w:separator/>
      </w:r>
    </w:p>
  </w:footnote>
  <w:footnote w:type="continuationSeparator" w:id="0">
    <w:p w:rsidR="00C9764F" w:rsidRDefault="00C9764F" w:rsidP="008A58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6E8" w:rsidRPr="00E361F4" w:rsidRDefault="000F76E8" w:rsidP="00E361F4">
    <w:pPr>
      <w:pStyle w:val="Cabealho"/>
    </w:pPr>
    <w:r>
      <w:rPr>
        <w:noProof/>
        <w:lang w:eastAsia="pt-BR"/>
      </w:rPr>
      <w:drawing>
        <wp:inline distT="0" distB="0" distL="0" distR="0">
          <wp:extent cx="5756275" cy="108648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30722"/>
  </w:hdrShapeDefaults>
  <w:footnotePr>
    <w:footnote w:id="-1"/>
    <w:footnote w:id="0"/>
  </w:footnotePr>
  <w:endnotePr>
    <w:endnote w:id="-1"/>
    <w:endnote w:id="0"/>
  </w:endnotePr>
  <w:compat/>
  <w:rsids>
    <w:rsidRoot w:val="008A5824"/>
    <w:rsid w:val="0000195C"/>
    <w:rsid w:val="000228CB"/>
    <w:rsid w:val="00023ECF"/>
    <w:rsid w:val="00057E7D"/>
    <w:rsid w:val="0008423A"/>
    <w:rsid w:val="00086997"/>
    <w:rsid w:val="0008764A"/>
    <w:rsid w:val="000A22A0"/>
    <w:rsid w:val="000C5D82"/>
    <w:rsid w:val="000D3342"/>
    <w:rsid w:val="000D46B6"/>
    <w:rsid w:val="000E3871"/>
    <w:rsid w:val="000E7228"/>
    <w:rsid w:val="000F76E8"/>
    <w:rsid w:val="001044DC"/>
    <w:rsid w:val="00105091"/>
    <w:rsid w:val="00121E7F"/>
    <w:rsid w:val="00123431"/>
    <w:rsid w:val="00142EB2"/>
    <w:rsid w:val="0015216D"/>
    <w:rsid w:val="00153D36"/>
    <w:rsid w:val="00155268"/>
    <w:rsid w:val="00160A5E"/>
    <w:rsid w:val="00161B58"/>
    <w:rsid w:val="0016220D"/>
    <w:rsid w:val="00163BC1"/>
    <w:rsid w:val="00164E4B"/>
    <w:rsid w:val="00194BA9"/>
    <w:rsid w:val="001A2ECD"/>
    <w:rsid w:val="001A4423"/>
    <w:rsid w:val="001A62FA"/>
    <w:rsid w:val="001B63F5"/>
    <w:rsid w:val="001B7762"/>
    <w:rsid w:val="001C071C"/>
    <w:rsid w:val="001C0EA6"/>
    <w:rsid w:val="001C19E3"/>
    <w:rsid w:val="001C328B"/>
    <w:rsid w:val="001C58CD"/>
    <w:rsid w:val="001C705C"/>
    <w:rsid w:val="001D28F6"/>
    <w:rsid w:val="001D38D8"/>
    <w:rsid w:val="001E75BC"/>
    <w:rsid w:val="001F6A6D"/>
    <w:rsid w:val="001F6B2A"/>
    <w:rsid w:val="00214695"/>
    <w:rsid w:val="00217AB8"/>
    <w:rsid w:val="002321C2"/>
    <w:rsid w:val="002329CD"/>
    <w:rsid w:val="00233A0F"/>
    <w:rsid w:val="0024537C"/>
    <w:rsid w:val="00252026"/>
    <w:rsid w:val="00255F89"/>
    <w:rsid w:val="0026146B"/>
    <w:rsid w:val="0026566A"/>
    <w:rsid w:val="002673D9"/>
    <w:rsid w:val="00267F18"/>
    <w:rsid w:val="00276DA9"/>
    <w:rsid w:val="002925C9"/>
    <w:rsid w:val="00294E1D"/>
    <w:rsid w:val="00295DCB"/>
    <w:rsid w:val="002B0015"/>
    <w:rsid w:val="002B092F"/>
    <w:rsid w:val="002B2B78"/>
    <w:rsid w:val="002C61BA"/>
    <w:rsid w:val="002E2223"/>
    <w:rsid w:val="002E6901"/>
    <w:rsid w:val="002E6984"/>
    <w:rsid w:val="00306728"/>
    <w:rsid w:val="003225FB"/>
    <w:rsid w:val="0032306C"/>
    <w:rsid w:val="00330B41"/>
    <w:rsid w:val="00335C50"/>
    <w:rsid w:val="00335FB3"/>
    <w:rsid w:val="00343959"/>
    <w:rsid w:val="0036377D"/>
    <w:rsid w:val="003654DC"/>
    <w:rsid w:val="00371E3F"/>
    <w:rsid w:val="003751A2"/>
    <w:rsid w:val="00375856"/>
    <w:rsid w:val="00380DF0"/>
    <w:rsid w:val="0038579D"/>
    <w:rsid w:val="00395BC6"/>
    <w:rsid w:val="003B2258"/>
    <w:rsid w:val="003C5BA6"/>
    <w:rsid w:val="003E04EB"/>
    <w:rsid w:val="003E47FE"/>
    <w:rsid w:val="003E4F57"/>
    <w:rsid w:val="003F17BD"/>
    <w:rsid w:val="003F5A00"/>
    <w:rsid w:val="004020EB"/>
    <w:rsid w:val="004025EA"/>
    <w:rsid w:val="004043DE"/>
    <w:rsid w:val="00417065"/>
    <w:rsid w:val="004258C8"/>
    <w:rsid w:val="0042635F"/>
    <w:rsid w:val="0043394E"/>
    <w:rsid w:val="00434B17"/>
    <w:rsid w:val="004408EC"/>
    <w:rsid w:val="00446BC5"/>
    <w:rsid w:val="004475E0"/>
    <w:rsid w:val="00450493"/>
    <w:rsid w:val="00450E1E"/>
    <w:rsid w:val="00473887"/>
    <w:rsid w:val="00491708"/>
    <w:rsid w:val="00495A6C"/>
    <w:rsid w:val="004B4FFC"/>
    <w:rsid w:val="004C6AC7"/>
    <w:rsid w:val="004F2450"/>
    <w:rsid w:val="004F28DB"/>
    <w:rsid w:val="005219D1"/>
    <w:rsid w:val="00530802"/>
    <w:rsid w:val="00530ED3"/>
    <w:rsid w:val="0053349E"/>
    <w:rsid w:val="00540711"/>
    <w:rsid w:val="00544A4E"/>
    <w:rsid w:val="00556FD4"/>
    <w:rsid w:val="00556FDF"/>
    <w:rsid w:val="005615C0"/>
    <w:rsid w:val="005914C6"/>
    <w:rsid w:val="005A05E8"/>
    <w:rsid w:val="005A379C"/>
    <w:rsid w:val="005A7289"/>
    <w:rsid w:val="005B338E"/>
    <w:rsid w:val="005C16C0"/>
    <w:rsid w:val="005C7D51"/>
    <w:rsid w:val="005F13BF"/>
    <w:rsid w:val="005F301F"/>
    <w:rsid w:val="005F5060"/>
    <w:rsid w:val="00615A7E"/>
    <w:rsid w:val="00620A67"/>
    <w:rsid w:val="00630889"/>
    <w:rsid w:val="00631DCF"/>
    <w:rsid w:val="006413CA"/>
    <w:rsid w:val="00642A80"/>
    <w:rsid w:val="00652699"/>
    <w:rsid w:val="006547CD"/>
    <w:rsid w:val="00676A0E"/>
    <w:rsid w:val="00686527"/>
    <w:rsid w:val="00690847"/>
    <w:rsid w:val="006921BC"/>
    <w:rsid w:val="006A634C"/>
    <w:rsid w:val="006A74DD"/>
    <w:rsid w:val="006B1B47"/>
    <w:rsid w:val="006B36DA"/>
    <w:rsid w:val="006C09B6"/>
    <w:rsid w:val="006C6464"/>
    <w:rsid w:val="006C79DF"/>
    <w:rsid w:val="006D258C"/>
    <w:rsid w:val="006E228E"/>
    <w:rsid w:val="006E3F77"/>
    <w:rsid w:val="0070208E"/>
    <w:rsid w:val="00702A49"/>
    <w:rsid w:val="00703D36"/>
    <w:rsid w:val="00703EBF"/>
    <w:rsid w:val="0072111E"/>
    <w:rsid w:val="0072578D"/>
    <w:rsid w:val="007368CC"/>
    <w:rsid w:val="00740228"/>
    <w:rsid w:val="007430D7"/>
    <w:rsid w:val="0074352E"/>
    <w:rsid w:val="007508D8"/>
    <w:rsid w:val="0075249C"/>
    <w:rsid w:val="007636ED"/>
    <w:rsid w:val="00776435"/>
    <w:rsid w:val="007C2868"/>
    <w:rsid w:val="007C6121"/>
    <w:rsid w:val="007E466A"/>
    <w:rsid w:val="007E4981"/>
    <w:rsid w:val="007E6629"/>
    <w:rsid w:val="007E6B0C"/>
    <w:rsid w:val="007E6F11"/>
    <w:rsid w:val="00835207"/>
    <w:rsid w:val="008401DA"/>
    <w:rsid w:val="0084492B"/>
    <w:rsid w:val="00845E30"/>
    <w:rsid w:val="00856698"/>
    <w:rsid w:val="00860B20"/>
    <w:rsid w:val="0086151C"/>
    <w:rsid w:val="00863861"/>
    <w:rsid w:val="00885185"/>
    <w:rsid w:val="008A3EA6"/>
    <w:rsid w:val="008A5824"/>
    <w:rsid w:val="008C745B"/>
    <w:rsid w:val="008D1AA0"/>
    <w:rsid w:val="008D4F05"/>
    <w:rsid w:val="00901206"/>
    <w:rsid w:val="009012C2"/>
    <w:rsid w:val="00903B1E"/>
    <w:rsid w:val="009078CE"/>
    <w:rsid w:val="00921476"/>
    <w:rsid w:val="009248C6"/>
    <w:rsid w:val="00927E3E"/>
    <w:rsid w:val="00932009"/>
    <w:rsid w:val="00935128"/>
    <w:rsid w:val="00950E50"/>
    <w:rsid w:val="009532B0"/>
    <w:rsid w:val="009612A4"/>
    <w:rsid w:val="00977E29"/>
    <w:rsid w:val="009833D5"/>
    <w:rsid w:val="00985B6A"/>
    <w:rsid w:val="009877BC"/>
    <w:rsid w:val="009B23BB"/>
    <w:rsid w:val="009B5D4E"/>
    <w:rsid w:val="009B5D7C"/>
    <w:rsid w:val="009D7D82"/>
    <w:rsid w:val="009F111D"/>
    <w:rsid w:val="009F1CDC"/>
    <w:rsid w:val="009F3958"/>
    <w:rsid w:val="00A01960"/>
    <w:rsid w:val="00A02429"/>
    <w:rsid w:val="00A039E1"/>
    <w:rsid w:val="00A07F71"/>
    <w:rsid w:val="00A31E85"/>
    <w:rsid w:val="00A34F8C"/>
    <w:rsid w:val="00A42038"/>
    <w:rsid w:val="00A47C46"/>
    <w:rsid w:val="00A932E2"/>
    <w:rsid w:val="00AA3428"/>
    <w:rsid w:val="00AA415F"/>
    <w:rsid w:val="00AA6D9E"/>
    <w:rsid w:val="00AB168B"/>
    <w:rsid w:val="00AB351C"/>
    <w:rsid w:val="00AB439A"/>
    <w:rsid w:val="00AB75D9"/>
    <w:rsid w:val="00AC5182"/>
    <w:rsid w:val="00AC6B10"/>
    <w:rsid w:val="00AD62E0"/>
    <w:rsid w:val="00AD685F"/>
    <w:rsid w:val="00AE3DAE"/>
    <w:rsid w:val="00AE529B"/>
    <w:rsid w:val="00AE587C"/>
    <w:rsid w:val="00AF3C0E"/>
    <w:rsid w:val="00B04EAE"/>
    <w:rsid w:val="00B1242E"/>
    <w:rsid w:val="00B32719"/>
    <w:rsid w:val="00B34CB5"/>
    <w:rsid w:val="00B41AC1"/>
    <w:rsid w:val="00B41CAF"/>
    <w:rsid w:val="00B5603D"/>
    <w:rsid w:val="00B5748A"/>
    <w:rsid w:val="00B70B6A"/>
    <w:rsid w:val="00BC4777"/>
    <w:rsid w:val="00BD0F13"/>
    <w:rsid w:val="00BD6EF5"/>
    <w:rsid w:val="00BE3603"/>
    <w:rsid w:val="00BF49D8"/>
    <w:rsid w:val="00C01559"/>
    <w:rsid w:val="00C30374"/>
    <w:rsid w:val="00C32469"/>
    <w:rsid w:val="00C34421"/>
    <w:rsid w:val="00C4680C"/>
    <w:rsid w:val="00C57F68"/>
    <w:rsid w:val="00C661D9"/>
    <w:rsid w:val="00C66DB7"/>
    <w:rsid w:val="00C928B1"/>
    <w:rsid w:val="00C93D17"/>
    <w:rsid w:val="00C9764F"/>
    <w:rsid w:val="00CA1244"/>
    <w:rsid w:val="00CA2367"/>
    <w:rsid w:val="00CA23F5"/>
    <w:rsid w:val="00CA25AA"/>
    <w:rsid w:val="00CA4349"/>
    <w:rsid w:val="00CC2BC6"/>
    <w:rsid w:val="00CD048B"/>
    <w:rsid w:val="00CD6F3B"/>
    <w:rsid w:val="00CE359C"/>
    <w:rsid w:val="00CE5296"/>
    <w:rsid w:val="00CF645C"/>
    <w:rsid w:val="00D05C4A"/>
    <w:rsid w:val="00D05CD2"/>
    <w:rsid w:val="00D128FE"/>
    <w:rsid w:val="00D50420"/>
    <w:rsid w:val="00D55D19"/>
    <w:rsid w:val="00D80E3D"/>
    <w:rsid w:val="00D830C2"/>
    <w:rsid w:val="00D87045"/>
    <w:rsid w:val="00D94AE3"/>
    <w:rsid w:val="00DA60E4"/>
    <w:rsid w:val="00DB6135"/>
    <w:rsid w:val="00DC28FC"/>
    <w:rsid w:val="00DD11AC"/>
    <w:rsid w:val="00DD3AA3"/>
    <w:rsid w:val="00DE02D0"/>
    <w:rsid w:val="00DE13D8"/>
    <w:rsid w:val="00DE49E1"/>
    <w:rsid w:val="00DE7E28"/>
    <w:rsid w:val="00E06246"/>
    <w:rsid w:val="00E14EF0"/>
    <w:rsid w:val="00E26959"/>
    <w:rsid w:val="00E30BB7"/>
    <w:rsid w:val="00E32090"/>
    <w:rsid w:val="00E361F4"/>
    <w:rsid w:val="00E6136F"/>
    <w:rsid w:val="00E678FC"/>
    <w:rsid w:val="00EA26E0"/>
    <w:rsid w:val="00EB27A5"/>
    <w:rsid w:val="00EB3030"/>
    <w:rsid w:val="00EB5127"/>
    <w:rsid w:val="00EC329E"/>
    <w:rsid w:val="00EE23E8"/>
    <w:rsid w:val="00EF119E"/>
    <w:rsid w:val="00EF6A00"/>
    <w:rsid w:val="00F06688"/>
    <w:rsid w:val="00F12AA4"/>
    <w:rsid w:val="00F14972"/>
    <w:rsid w:val="00F235AF"/>
    <w:rsid w:val="00F3030E"/>
    <w:rsid w:val="00F31076"/>
    <w:rsid w:val="00F3203B"/>
    <w:rsid w:val="00F3759D"/>
    <w:rsid w:val="00F405B0"/>
    <w:rsid w:val="00F45EC6"/>
    <w:rsid w:val="00F8698C"/>
    <w:rsid w:val="00FB5DAF"/>
    <w:rsid w:val="00FB7B07"/>
    <w:rsid w:val="00FC2ECB"/>
    <w:rsid w:val="00FC7033"/>
    <w:rsid w:val="00FC770B"/>
    <w:rsid w:val="00FD7805"/>
    <w:rsid w:val="00FE1B04"/>
    <w:rsid w:val="00FE1CF2"/>
    <w:rsid w:val="00FE6D6D"/>
    <w:rsid w:val="00FF06A0"/>
    <w:rsid w:val="00FF07B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rsid w:val="0000195C"/>
    <w:rPr>
      <w:color w:val="0000FF"/>
      <w:u w:val="single"/>
    </w:rPr>
  </w:style>
  <w:style w:type="character" w:styleId="Refdecomentrio">
    <w:name w:val="annotation reference"/>
    <w:basedOn w:val="Fontepargpadro"/>
    <w:uiPriority w:val="99"/>
    <w:semiHidden/>
    <w:unhideWhenUsed/>
    <w:rsid w:val="002329CD"/>
    <w:rPr>
      <w:sz w:val="18"/>
      <w:szCs w:val="18"/>
    </w:rPr>
  </w:style>
  <w:style w:type="paragraph" w:styleId="Textodecomentrio">
    <w:name w:val="annotation text"/>
    <w:basedOn w:val="Normal"/>
    <w:link w:val="TextodecomentrioChar"/>
    <w:uiPriority w:val="99"/>
    <w:semiHidden/>
    <w:unhideWhenUsed/>
    <w:rsid w:val="002329CD"/>
    <w:rPr>
      <w:sz w:val="24"/>
      <w:szCs w:val="24"/>
    </w:rPr>
  </w:style>
  <w:style w:type="character" w:customStyle="1" w:styleId="TextodecomentrioChar">
    <w:name w:val="Texto de comentário Char"/>
    <w:basedOn w:val="Fontepargpadro"/>
    <w:link w:val="Textodecomentrio"/>
    <w:uiPriority w:val="99"/>
    <w:semiHidden/>
    <w:rsid w:val="002329CD"/>
    <w:rPr>
      <w:rFonts w:ascii="Times New Roman" w:eastAsia="Times New Roman" w:hAnsi="Times New Roman" w:cs="Times New Roman"/>
      <w:lang w:eastAsia="pt-BR"/>
    </w:rPr>
  </w:style>
  <w:style w:type="paragraph" w:styleId="Assuntodocomentrio">
    <w:name w:val="annotation subject"/>
    <w:basedOn w:val="Textodecomentrio"/>
    <w:next w:val="Textodecomentrio"/>
    <w:link w:val="AssuntodocomentrioChar"/>
    <w:uiPriority w:val="99"/>
    <w:semiHidden/>
    <w:unhideWhenUsed/>
    <w:rsid w:val="002329CD"/>
    <w:rPr>
      <w:b/>
      <w:bCs/>
      <w:sz w:val="20"/>
      <w:szCs w:val="20"/>
    </w:rPr>
  </w:style>
  <w:style w:type="character" w:customStyle="1" w:styleId="AssuntodocomentrioChar">
    <w:name w:val="Assunto do comentário Char"/>
    <w:basedOn w:val="TextodecomentrioChar"/>
    <w:link w:val="Assuntodocomentrio"/>
    <w:uiPriority w:val="99"/>
    <w:semiHidden/>
    <w:rsid w:val="002329CD"/>
    <w:rPr>
      <w:rFonts w:ascii="Times New Roman" w:eastAsia="Times New Roman" w:hAnsi="Times New Roman" w:cs="Times New Roman"/>
      <w:b/>
      <w:bCs/>
      <w:sz w:val="20"/>
      <w:szCs w:val="20"/>
      <w:lang w:eastAsia="pt-BR"/>
    </w:rPr>
  </w:style>
  <w:style w:type="character" w:styleId="HiperlinkVisitado">
    <w:name w:val="FollowedHyperlink"/>
    <w:basedOn w:val="Fontepargpadro"/>
    <w:uiPriority w:val="99"/>
    <w:semiHidden/>
    <w:unhideWhenUsed/>
    <w:rsid w:val="006A634C"/>
    <w:rPr>
      <w:color w:val="954F72" w:themeColor="followedHyperlink"/>
      <w:u w:val="single"/>
    </w:rPr>
  </w:style>
  <w:style w:type="character" w:styleId="TextodoEspaoReservado">
    <w:name w:val="Placeholder Text"/>
    <w:basedOn w:val="Fontepargpadro"/>
    <w:uiPriority w:val="99"/>
    <w:semiHidden/>
    <w:rsid w:val="00A0242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rsid w:val="0000195C"/>
    <w:rPr>
      <w:color w:val="0000FF"/>
      <w:u w:val="single"/>
    </w:rPr>
  </w:style>
  <w:style w:type="character" w:styleId="Refdecomentrio">
    <w:name w:val="annotation reference"/>
    <w:basedOn w:val="Fontepargpadro"/>
    <w:uiPriority w:val="99"/>
    <w:semiHidden/>
    <w:unhideWhenUsed/>
    <w:rsid w:val="002329CD"/>
    <w:rPr>
      <w:sz w:val="18"/>
      <w:szCs w:val="18"/>
    </w:rPr>
  </w:style>
  <w:style w:type="paragraph" w:styleId="Textodecomentrio">
    <w:name w:val="annotation text"/>
    <w:basedOn w:val="Normal"/>
    <w:link w:val="TextodecomentrioChar"/>
    <w:uiPriority w:val="99"/>
    <w:semiHidden/>
    <w:unhideWhenUsed/>
    <w:rsid w:val="002329CD"/>
    <w:rPr>
      <w:sz w:val="24"/>
      <w:szCs w:val="24"/>
    </w:rPr>
  </w:style>
  <w:style w:type="character" w:customStyle="1" w:styleId="TextodecomentrioChar">
    <w:name w:val="Texto de comentário Char"/>
    <w:basedOn w:val="Fontepargpadro"/>
    <w:link w:val="Textodecomentrio"/>
    <w:uiPriority w:val="99"/>
    <w:semiHidden/>
    <w:rsid w:val="002329CD"/>
    <w:rPr>
      <w:rFonts w:ascii="Times New Roman" w:eastAsia="Times New Roman" w:hAnsi="Times New Roman" w:cs="Times New Roman"/>
      <w:lang w:eastAsia="pt-BR"/>
    </w:rPr>
  </w:style>
  <w:style w:type="paragraph" w:styleId="Assuntodocomentrio">
    <w:name w:val="annotation subject"/>
    <w:basedOn w:val="Textodecomentrio"/>
    <w:next w:val="Textodecomentrio"/>
    <w:link w:val="AssuntodocomentrioChar"/>
    <w:uiPriority w:val="99"/>
    <w:semiHidden/>
    <w:unhideWhenUsed/>
    <w:rsid w:val="002329CD"/>
    <w:rPr>
      <w:b/>
      <w:bCs/>
      <w:sz w:val="20"/>
      <w:szCs w:val="20"/>
    </w:rPr>
  </w:style>
  <w:style w:type="character" w:customStyle="1" w:styleId="AssuntodocomentrioChar">
    <w:name w:val="Assunto do comentário Char"/>
    <w:basedOn w:val="TextodecomentrioChar"/>
    <w:link w:val="Assuntodocomentrio"/>
    <w:uiPriority w:val="99"/>
    <w:semiHidden/>
    <w:rsid w:val="002329CD"/>
    <w:rPr>
      <w:rFonts w:ascii="Times New Roman" w:eastAsia="Times New Roman" w:hAnsi="Times New Roman" w:cs="Times New Roman"/>
      <w:b/>
      <w:bCs/>
      <w:sz w:val="20"/>
      <w:szCs w:val="20"/>
      <w:lang w:eastAsia="pt-BR"/>
    </w:rPr>
  </w:style>
  <w:style w:type="character" w:styleId="HiperlinkVisitado">
    <w:name w:val="FollowedHyperlink"/>
    <w:basedOn w:val="Fontepargpadro"/>
    <w:uiPriority w:val="99"/>
    <w:semiHidden/>
    <w:unhideWhenUsed/>
    <w:rsid w:val="006A634C"/>
    <w:rPr>
      <w:color w:val="954F72" w:themeColor="followedHyperlink"/>
      <w:u w:val="single"/>
    </w:rPr>
  </w:style>
  <w:style w:type="character" w:styleId="TextodoEspaoReservado">
    <w:name w:val="Placeholder Text"/>
    <w:basedOn w:val="Fontepargpadro"/>
    <w:uiPriority w:val="99"/>
    <w:semiHidden/>
    <w:rsid w:val="00A02429"/>
    <w:rPr>
      <w:color w:val="808080"/>
    </w:rPr>
  </w:style>
</w:styles>
</file>

<file path=word/webSettings.xml><?xml version="1.0" encoding="utf-8"?>
<w:webSettings xmlns:r="http://schemas.openxmlformats.org/officeDocument/2006/relationships" xmlns:w="http://schemas.openxmlformats.org/wordprocessingml/2006/main">
  <w:divs>
    <w:div w:id="25369633">
      <w:bodyDiv w:val="1"/>
      <w:marLeft w:val="0"/>
      <w:marRight w:val="0"/>
      <w:marTop w:val="0"/>
      <w:marBottom w:val="0"/>
      <w:divBdr>
        <w:top w:val="none" w:sz="0" w:space="0" w:color="auto"/>
        <w:left w:val="none" w:sz="0" w:space="0" w:color="auto"/>
        <w:bottom w:val="none" w:sz="0" w:space="0" w:color="auto"/>
        <w:right w:val="none" w:sz="0" w:space="0" w:color="auto"/>
      </w:divBdr>
    </w:div>
    <w:div w:id="385645222">
      <w:bodyDiv w:val="1"/>
      <w:marLeft w:val="0"/>
      <w:marRight w:val="0"/>
      <w:marTop w:val="0"/>
      <w:marBottom w:val="0"/>
      <w:divBdr>
        <w:top w:val="none" w:sz="0" w:space="0" w:color="auto"/>
        <w:left w:val="none" w:sz="0" w:space="0" w:color="auto"/>
        <w:bottom w:val="none" w:sz="0" w:space="0" w:color="auto"/>
        <w:right w:val="none" w:sz="0" w:space="0" w:color="auto"/>
      </w:divBdr>
      <w:divsChild>
        <w:div w:id="1705326790">
          <w:marLeft w:val="0"/>
          <w:marRight w:val="0"/>
          <w:marTop w:val="0"/>
          <w:marBottom w:val="0"/>
          <w:divBdr>
            <w:top w:val="none" w:sz="0" w:space="0" w:color="auto"/>
            <w:left w:val="none" w:sz="0" w:space="0" w:color="auto"/>
            <w:bottom w:val="none" w:sz="0" w:space="0" w:color="auto"/>
            <w:right w:val="none" w:sz="0" w:space="0" w:color="auto"/>
          </w:divBdr>
        </w:div>
      </w:divsChild>
    </w:div>
    <w:div w:id="669213754">
      <w:bodyDiv w:val="1"/>
      <w:marLeft w:val="0"/>
      <w:marRight w:val="0"/>
      <w:marTop w:val="0"/>
      <w:marBottom w:val="0"/>
      <w:divBdr>
        <w:top w:val="none" w:sz="0" w:space="0" w:color="auto"/>
        <w:left w:val="none" w:sz="0" w:space="0" w:color="auto"/>
        <w:bottom w:val="none" w:sz="0" w:space="0" w:color="auto"/>
        <w:right w:val="none" w:sz="0" w:space="0" w:color="auto"/>
      </w:divBdr>
      <w:divsChild>
        <w:div w:id="1023557742">
          <w:marLeft w:val="0"/>
          <w:marRight w:val="0"/>
          <w:marTop w:val="0"/>
          <w:marBottom w:val="87"/>
          <w:divBdr>
            <w:top w:val="none" w:sz="0" w:space="0" w:color="auto"/>
            <w:left w:val="none" w:sz="0" w:space="0" w:color="auto"/>
            <w:bottom w:val="none" w:sz="0" w:space="0" w:color="auto"/>
            <w:right w:val="none" w:sz="0" w:space="0" w:color="auto"/>
          </w:divBdr>
          <w:divsChild>
            <w:div w:id="725377743">
              <w:marLeft w:val="0"/>
              <w:marRight w:val="0"/>
              <w:marTop w:val="0"/>
              <w:marBottom w:val="0"/>
              <w:divBdr>
                <w:top w:val="none" w:sz="0" w:space="0" w:color="auto"/>
                <w:left w:val="none" w:sz="0" w:space="0" w:color="auto"/>
                <w:bottom w:val="none" w:sz="0" w:space="0" w:color="auto"/>
                <w:right w:val="none" w:sz="0" w:space="0" w:color="auto"/>
              </w:divBdr>
              <w:divsChild>
                <w:div w:id="319163661">
                  <w:marLeft w:val="0"/>
                  <w:marRight w:val="0"/>
                  <w:marTop w:val="0"/>
                  <w:marBottom w:val="0"/>
                  <w:divBdr>
                    <w:top w:val="none" w:sz="0" w:space="0" w:color="auto"/>
                    <w:left w:val="none" w:sz="0" w:space="0" w:color="auto"/>
                    <w:bottom w:val="none" w:sz="0" w:space="0" w:color="auto"/>
                    <w:right w:val="none" w:sz="0" w:space="0" w:color="auto"/>
                  </w:divBdr>
                  <w:divsChild>
                    <w:div w:id="618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2561">
          <w:marLeft w:val="0"/>
          <w:marRight w:val="0"/>
          <w:marTop w:val="0"/>
          <w:marBottom w:val="0"/>
          <w:divBdr>
            <w:top w:val="none" w:sz="0" w:space="0" w:color="auto"/>
            <w:left w:val="none" w:sz="0" w:space="0" w:color="auto"/>
            <w:bottom w:val="none" w:sz="0" w:space="0" w:color="auto"/>
            <w:right w:val="none" w:sz="0" w:space="0" w:color="auto"/>
          </w:divBdr>
        </w:div>
        <w:div w:id="2065062968">
          <w:marLeft w:val="0"/>
          <w:marRight w:val="0"/>
          <w:marTop w:val="0"/>
          <w:marBottom w:val="22"/>
          <w:divBdr>
            <w:top w:val="none" w:sz="0" w:space="0" w:color="auto"/>
            <w:left w:val="none" w:sz="0" w:space="0" w:color="auto"/>
            <w:bottom w:val="none" w:sz="0" w:space="0" w:color="auto"/>
            <w:right w:val="none" w:sz="0" w:space="0" w:color="auto"/>
          </w:divBdr>
          <w:divsChild>
            <w:div w:id="999890388">
              <w:marLeft w:val="0"/>
              <w:marRight w:val="0"/>
              <w:marTop w:val="0"/>
              <w:marBottom w:val="0"/>
              <w:divBdr>
                <w:top w:val="none" w:sz="0" w:space="0" w:color="auto"/>
                <w:left w:val="none" w:sz="0" w:space="0" w:color="auto"/>
                <w:bottom w:val="none" w:sz="0" w:space="0" w:color="auto"/>
                <w:right w:val="none" w:sz="0" w:space="0" w:color="auto"/>
              </w:divBdr>
            </w:div>
            <w:div w:id="1901398453">
              <w:marLeft w:val="0"/>
              <w:marRight w:val="0"/>
              <w:marTop w:val="0"/>
              <w:marBottom w:val="0"/>
              <w:divBdr>
                <w:top w:val="none" w:sz="0" w:space="0" w:color="auto"/>
                <w:left w:val="none" w:sz="0" w:space="0" w:color="auto"/>
                <w:bottom w:val="none" w:sz="0" w:space="0" w:color="auto"/>
                <w:right w:val="none" w:sz="0" w:space="0" w:color="auto"/>
              </w:divBdr>
            </w:div>
          </w:divsChild>
        </w:div>
        <w:div w:id="1781664">
          <w:marLeft w:val="0"/>
          <w:marRight w:val="0"/>
          <w:marTop w:val="0"/>
          <w:marBottom w:val="0"/>
          <w:divBdr>
            <w:top w:val="none" w:sz="0" w:space="0" w:color="auto"/>
            <w:left w:val="none" w:sz="0" w:space="0" w:color="auto"/>
            <w:bottom w:val="none" w:sz="0" w:space="0" w:color="auto"/>
            <w:right w:val="none" w:sz="0" w:space="0" w:color="auto"/>
          </w:divBdr>
          <w:divsChild>
            <w:div w:id="1385759764">
              <w:marLeft w:val="0"/>
              <w:marRight w:val="0"/>
              <w:marTop w:val="0"/>
              <w:marBottom w:val="87"/>
              <w:divBdr>
                <w:top w:val="none" w:sz="0" w:space="0" w:color="auto"/>
                <w:left w:val="none" w:sz="0" w:space="0" w:color="auto"/>
                <w:bottom w:val="none" w:sz="0" w:space="0" w:color="auto"/>
                <w:right w:val="none" w:sz="0" w:space="0" w:color="auto"/>
              </w:divBdr>
              <w:divsChild>
                <w:div w:id="19355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6946">
          <w:marLeft w:val="0"/>
          <w:marRight w:val="0"/>
          <w:marTop w:val="0"/>
          <w:marBottom w:val="349"/>
          <w:divBdr>
            <w:top w:val="none" w:sz="0" w:space="0" w:color="auto"/>
            <w:left w:val="none" w:sz="0" w:space="0" w:color="auto"/>
            <w:bottom w:val="single" w:sz="8" w:space="17" w:color="EBEBEB"/>
            <w:right w:val="none" w:sz="0" w:space="0" w:color="auto"/>
          </w:divBdr>
          <w:divsChild>
            <w:div w:id="1048528572">
              <w:marLeft w:val="0"/>
              <w:marRight w:val="0"/>
              <w:marTop w:val="0"/>
              <w:marBottom w:val="0"/>
              <w:divBdr>
                <w:top w:val="none" w:sz="0" w:space="0" w:color="auto"/>
                <w:left w:val="none" w:sz="0" w:space="0" w:color="auto"/>
                <w:bottom w:val="none" w:sz="0" w:space="0" w:color="auto"/>
                <w:right w:val="none" w:sz="0" w:space="0" w:color="auto"/>
              </w:divBdr>
              <w:divsChild>
                <w:div w:id="1496874194">
                  <w:marLeft w:val="0"/>
                  <w:marRight w:val="0"/>
                  <w:marTop w:val="0"/>
                  <w:marBottom w:val="0"/>
                  <w:divBdr>
                    <w:top w:val="none" w:sz="0" w:space="0" w:color="auto"/>
                    <w:left w:val="none" w:sz="0" w:space="0" w:color="auto"/>
                    <w:bottom w:val="none" w:sz="0" w:space="0" w:color="auto"/>
                    <w:right w:val="none" w:sz="0" w:space="0" w:color="auto"/>
                  </w:divBdr>
                </w:div>
                <w:div w:id="940526694">
                  <w:marLeft w:val="0"/>
                  <w:marRight w:val="0"/>
                  <w:marTop w:val="0"/>
                  <w:marBottom w:val="0"/>
                  <w:divBdr>
                    <w:top w:val="none" w:sz="0" w:space="0" w:color="auto"/>
                    <w:left w:val="none" w:sz="0" w:space="0" w:color="auto"/>
                    <w:bottom w:val="none" w:sz="0" w:space="0" w:color="auto"/>
                    <w:right w:val="none" w:sz="0" w:space="0" w:color="auto"/>
                  </w:divBdr>
                </w:div>
                <w:div w:id="307396579">
                  <w:marLeft w:val="0"/>
                  <w:marRight w:val="0"/>
                  <w:marTop w:val="0"/>
                  <w:marBottom w:val="0"/>
                  <w:divBdr>
                    <w:top w:val="none" w:sz="0" w:space="0" w:color="auto"/>
                    <w:left w:val="none" w:sz="0" w:space="0" w:color="auto"/>
                    <w:bottom w:val="none" w:sz="0" w:space="0" w:color="auto"/>
                    <w:right w:val="none" w:sz="0" w:space="0" w:color="auto"/>
                  </w:divBdr>
                </w:div>
                <w:div w:id="1215504262">
                  <w:marLeft w:val="0"/>
                  <w:marRight w:val="0"/>
                  <w:marTop w:val="0"/>
                  <w:marBottom w:val="0"/>
                  <w:divBdr>
                    <w:top w:val="none" w:sz="0" w:space="0" w:color="auto"/>
                    <w:left w:val="none" w:sz="0" w:space="0" w:color="auto"/>
                    <w:bottom w:val="none" w:sz="0" w:space="0" w:color="auto"/>
                    <w:right w:val="none" w:sz="0" w:space="0" w:color="auto"/>
                  </w:divBdr>
                </w:div>
                <w:div w:id="1751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8721">
          <w:marLeft w:val="0"/>
          <w:marRight w:val="0"/>
          <w:marTop w:val="0"/>
          <w:marBottom w:val="0"/>
          <w:divBdr>
            <w:top w:val="none" w:sz="0" w:space="0" w:color="auto"/>
            <w:left w:val="none" w:sz="0" w:space="0" w:color="auto"/>
            <w:bottom w:val="none" w:sz="0" w:space="0" w:color="auto"/>
            <w:right w:val="none" w:sz="0" w:space="0" w:color="auto"/>
          </w:divBdr>
          <w:divsChild>
            <w:div w:id="459035349">
              <w:marLeft w:val="0"/>
              <w:marRight w:val="0"/>
              <w:marTop w:val="0"/>
              <w:marBottom w:val="0"/>
              <w:divBdr>
                <w:top w:val="none" w:sz="0" w:space="0" w:color="auto"/>
                <w:left w:val="none" w:sz="0" w:space="0" w:color="auto"/>
                <w:bottom w:val="none" w:sz="0" w:space="0" w:color="auto"/>
                <w:right w:val="none" w:sz="0" w:space="0" w:color="auto"/>
              </w:divBdr>
              <w:divsChild>
                <w:div w:id="1177159915">
                  <w:marLeft w:val="0"/>
                  <w:marRight w:val="0"/>
                  <w:marTop w:val="0"/>
                  <w:marBottom w:val="0"/>
                  <w:divBdr>
                    <w:top w:val="none" w:sz="0" w:space="0" w:color="auto"/>
                    <w:left w:val="none" w:sz="0" w:space="0" w:color="auto"/>
                    <w:bottom w:val="none" w:sz="0" w:space="0" w:color="auto"/>
                    <w:right w:val="none" w:sz="0" w:space="0" w:color="auto"/>
                  </w:divBdr>
                  <w:divsChild>
                    <w:div w:id="1409226702">
                      <w:marLeft w:val="0"/>
                      <w:marRight w:val="0"/>
                      <w:marTop w:val="175"/>
                      <w:marBottom w:val="175"/>
                      <w:divBdr>
                        <w:top w:val="single" w:sz="8" w:space="0" w:color="EBEBEB"/>
                        <w:left w:val="none" w:sz="0" w:space="0" w:color="auto"/>
                        <w:bottom w:val="single" w:sz="8" w:space="0" w:color="EBEBEB"/>
                        <w:right w:val="none" w:sz="0" w:space="0" w:color="auto"/>
                      </w:divBdr>
                      <w:divsChild>
                        <w:div w:id="818959472">
                          <w:marLeft w:val="262"/>
                          <w:marRight w:val="262"/>
                          <w:marTop w:val="175"/>
                          <w:marBottom w:val="218"/>
                          <w:divBdr>
                            <w:top w:val="none" w:sz="0" w:space="0" w:color="auto"/>
                            <w:left w:val="none" w:sz="0" w:space="0" w:color="auto"/>
                            <w:bottom w:val="none" w:sz="0" w:space="0" w:color="auto"/>
                            <w:right w:val="none" w:sz="0" w:space="0" w:color="auto"/>
                          </w:divBdr>
                        </w:div>
                        <w:div w:id="1936091396">
                          <w:marLeft w:val="0"/>
                          <w:marRight w:val="0"/>
                          <w:marTop w:val="175"/>
                          <w:marBottom w:val="175"/>
                          <w:divBdr>
                            <w:top w:val="none" w:sz="0" w:space="0" w:color="auto"/>
                            <w:left w:val="none" w:sz="0" w:space="0" w:color="auto"/>
                            <w:bottom w:val="none" w:sz="0" w:space="0" w:color="auto"/>
                            <w:right w:val="none" w:sz="0" w:space="0" w:color="auto"/>
                          </w:divBdr>
                        </w:div>
                      </w:divsChild>
                    </w:div>
                  </w:divsChild>
                </w:div>
                <w:div w:id="994454946">
                  <w:marLeft w:val="0"/>
                  <w:marRight w:val="0"/>
                  <w:marTop w:val="240"/>
                  <w:marBottom w:val="240"/>
                  <w:divBdr>
                    <w:top w:val="none" w:sz="0" w:space="0" w:color="auto"/>
                    <w:left w:val="none" w:sz="0" w:space="0" w:color="auto"/>
                    <w:bottom w:val="none" w:sz="0" w:space="0" w:color="auto"/>
                    <w:right w:val="none" w:sz="0" w:space="0" w:color="auto"/>
                  </w:divBdr>
                </w:div>
                <w:div w:id="910579967">
                  <w:marLeft w:val="0"/>
                  <w:marRight w:val="0"/>
                  <w:marTop w:val="240"/>
                  <w:marBottom w:val="240"/>
                  <w:divBdr>
                    <w:top w:val="none" w:sz="0" w:space="0" w:color="auto"/>
                    <w:left w:val="none" w:sz="0" w:space="0" w:color="auto"/>
                    <w:bottom w:val="none" w:sz="0" w:space="0" w:color="auto"/>
                    <w:right w:val="none" w:sz="0" w:space="0" w:color="auto"/>
                  </w:divBdr>
                </w:div>
                <w:div w:id="1470778166">
                  <w:marLeft w:val="0"/>
                  <w:marRight w:val="0"/>
                  <w:marTop w:val="240"/>
                  <w:marBottom w:val="240"/>
                  <w:divBdr>
                    <w:top w:val="none" w:sz="0" w:space="0" w:color="auto"/>
                    <w:left w:val="none" w:sz="0" w:space="0" w:color="auto"/>
                    <w:bottom w:val="none" w:sz="0" w:space="0" w:color="auto"/>
                    <w:right w:val="none" w:sz="0" w:space="0" w:color="auto"/>
                  </w:divBdr>
                </w:div>
                <w:div w:id="93401027">
                  <w:marLeft w:val="0"/>
                  <w:marRight w:val="0"/>
                  <w:marTop w:val="240"/>
                  <w:marBottom w:val="240"/>
                  <w:divBdr>
                    <w:top w:val="none" w:sz="0" w:space="0" w:color="auto"/>
                    <w:left w:val="none" w:sz="0" w:space="0" w:color="auto"/>
                    <w:bottom w:val="none" w:sz="0" w:space="0" w:color="auto"/>
                    <w:right w:val="none" w:sz="0" w:space="0" w:color="auto"/>
                  </w:divBdr>
                </w:div>
                <w:div w:id="321665811">
                  <w:marLeft w:val="0"/>
                  <w:marRight w:val="0"/>
                  <w:marTop w:val="0"/>
                  <w:marBottom w:val="0"/>
                  <w:divBdr>
                    <w:top w:val="none" w:sz="0" w:space="0" w:color="auto"/>
                    <w:left w:val="none" w:sz="0" w:space="0" w:color="auto"/>
                    <w:bottom w:val="none" w:sz="0" w:space="0" w:color="auto"/>
                    <w:right w:val="none" w:sz="0" w:space="0" w:color="auto"/>
                  </w:divBdr>
                  <w:divsChild>
                    <w:div w:id="2007203539">
                      <w:marLeft w:val="0"/>
                      <w:marRight w:val="0"/>
                      <w:marTop w:val="175"/>
                      <w:marBottom w:val="175"/>
                      <w:divBdr>
                        <w:top w:val="single" w:sz="8" w:space="0" w:color="EBEBEB"/>
                        <w:left w:val="none" w:sz="0" w:space="0" w:color="auto"/>
                        <w:bottom w:val="single" w:sz="8" w:space="0" w:color="EBEBEB"/>
                        <w:right w:val="none" w:sz="0" w:space="0" w:color="auto"/>
                      </w:divBdr>
                      <w:divsChild>
                        <w:div w:id="1395547230">
                          <w:marLeft w:val="262"/>
                          <w:marRight w:val="262"/>
                          <w:marTop w:val="175"/>
                          <w:marBottom w:val="218"/>
                          <w:divBdr>
                            <w:top w:val="none" w:sz="0" w:space="0" w:color="auto"/>
                            <w:left w:val="none" w:sz="0" w:space="0" w:color="auto"/>
                            <w:bottom w:val="none" w:sz="0" w:space="0" w:color="auto"/>
                            <w:right w:val="none" w:sz="0" w:space="0" w:color="auto"/>
                          </w:divBdr>
                        </w:div>
                        <w:div w:id="376247150">
                          <w:marLeft w:val="0"/>
                          <w:marRight w:val="0"/>
                          <w:marTop w:val="175"/>
                          <w:marBottom w:val="175"/>
                          <w:divBdr>
                            <w:top w:val="none" w:sz="0" w:space="0" w:color="auto"/>
                            <w:left w:val="none" w:sz="0" w:space="0" w:color="auto"/>
                            <w:bottom w:val="none" w:sz="0" w:space="0" w:color="auto"/>
                            <w:right w:val="none" w:sz="0" w:space="0" w:color="auto"/>
                          </w:divBdr>
                        </w:div>
                      </w:divsChild>
                    </w:div>
                  </w:divsChild>
                </w:div>
                <w:div w:id="1544903143">
                  <w:marLeft w:val="0"/>
                  <w:marRight w:val="0"/>
                  <w:marTop w:val="0"/>
                  <w:marBottom w:val="0"/>
                  <w:divBdr>
                    <w:top w:val="none" w:sz="0" w:space="0" w:color="auto"/>
                    <w:left w:val="none" w:sz="0" w:space="0" w:color="auto"/>
                    <w:bottom w:val="none" w:sz="0" w:space="0" w:color="auto"/>
                    <w:right w:val="none" w:sz="0" w:space="0" w:color="auto"/>
                  </w:divBdr>
                  <w:divsChild>
                    <w:div w:id="589701415">
                      <w:marLeft w:val="0"/>
                      <w:marRight w:val="0"/>
                      <w:marTop w:val="175"/>
                      <w:marBottom w:val="175"/>
                      <w:divBdr>
                        <w:top w:val="single" w:sz="8" w:space="0" w:color="EBEBEB"/>
                        <w:left w:val="none" w:sz="0" w:space="0" w:color="auto"/>
                        <w:bottom w:val="single" w:sz="8" w:space="0" w:color="EBEBEB"/>
                        <w:right w:val="none" w:sz="0" w:space="0" w:color="auto"/>
                      </w:divBdr>
                      <w:divsChild>
                        <w:div w:id="1831292128">
                          <w:marLeft w:val="262"/>
                          <w:marRight w:val="262"/>
                          <w:marTop w:val="175"/>
                          <w:marBottom w:val="218"/>
                          <w:divBdr>
                            <w:top w:val="none" w:sz="0" w:space="0" w:color="auto"/>
                            <w:left w:val="none" w:sz="0" w:space="0" w:color="auto"/>
                            <w:bottom w:val="none" w:sz="0" w:space="0" w:color="auto"/>
                            <w:right w:val="none" w:sz="0" w:space="0" w:color="auto"/>
                          </w:divBdr>
                        </w:div>
                        <w:div w:id="1057512342">
                          <w:marLeft w:val="0"/>
                          <w:marRight w:val="0"/>
                          <w:marTop w:val="175"/>
                          <w:marBottom w:val="175"/>
                          <w:divBdr>
                            <w:top w:val="none" w:sz="0" w:space="0" w:color="auto"/>
                            <w:left w:val="none" w:sz="0" w:space="0" w:color="auto"/>
                            <w:bottom w:val="none" w:sz="0" w:space="0" w:color="auto"/>
                            <w:right w:val="none" w:sz="0" w:space="0" w:color="auto"/>
                          </w:divBdr>
                        </w:div>
                      </w:divsChild>
                    </w:div>
                  </w:divsChild>
                </w:div>
                <w:div w:id="1457336140">
                  <w:marLeft w:val="0"/>
                  <w:marRight w:val="0"/>
                  <w:marTop w:val="0"/>
                  <w:marBottom w:val="0"/>
                  <w:divBdr>
                    <w:top w:val="none" w:sz="0" w:space="0" w:color="auto"/>
                    <w:left w:val="none" w:sz="0" w:space="0" w:color="auto"/>
                    <w:bottom w:val="none" w:sz="0" w:space="0" w:color="auto"/>
                    <w:right w:val="none" w:sz="0" w:space="0" w:color="auto"/>
                  </w:divBdr>
                  <w:divsChild>
                    <w:div w:id="1232538630">
                      <w:marLeft w:val="262"/>
                      <w:marRight w:val="262"/>
                      <w:marTop w:val="0"/>
                      <w:marBottom w:val="218"/>
                      <w:divBdr>
                        <w:top w:val="none" w:sz="0" w:space="0" w:color="auto"/>
                        <w:left w:val="none" w:sz="0" w:space="0" w:color="auto"/>
                        <w:bottom w:val="none" w:sz="0" w:space="0" w:color="auto"/>
                        <w:right w:val="none" w:sz="0" w:space="0" w:color="auto"/>
                      </w:divBdr>
                    </w:div>
                    <w:div w:id="1107893206">
                      <w:marLeft w:val="262"/>
                      <w:marRight w:val="262"/>
                      <w:marTop w:val="0"/>
                      <w:marBottom w:val="218"/>
                      <w:divBdr>
                        <w:top w:val="none" w:sz="0" w:space="0" w:color="auto"/>
                        <w:left w:val="none" w:sz="0" w:space="0" w:color="auto"/>
                        <w:bottom w:val="none" w:sz="0" w:space="0" w:color="auto"/>
                        <w:right w:val="none" w:sz="0" w:space="0" w:color="auto"/>
                      </w:divBdr>
                    </w:div>
                    <w:div w:id="1653171635">
                      <w:marLeft w:val="262"/>
                      <w:marRight w:val="262"/>
                      <w:marTop w:val="0"/>
                      <w:marBottom w:val="218"/>
                      <w:divBdr>
                        <w:top w:val="none" w:sz="0" w:space="0" w:color="auto"/>
                        <w:left w:val="none" w:sz="0" w:space="0" w:color="auto"/>
                        <w:bottom w:val="none" w:sz="0" w:space="0" w:color="auto"/>
                        <w:right w:val="none" w:sz="0" w:space="0" w:color="auto"/>
                      </w:divBdr>
                    </w:div>
                    <w:div w:id="1097945370">
                      <w:marLeft w:val="262"/>
                      <w:marRight w:val="262"/>
                      <w:marTop w:val="0"/>
                      <w:marBottom w:val="218"/>
                      <w:divBdr>
                        <w:top w:val="none" w:sz="0" w:space="0" w:color="auto"/>
                        <w:left w:val="none" w:sz="0" w:space="0" w:color="auto"/>
                        <w:bottom w:val="none" w:sz="0" w:space="0" w:color="auto"/>
                        <w:right w:val="none" w:sz="0" w:space="0" w:color="auto"/>
                      </w:divBdr>
                    </w:div>
                    <w:div w:id="409741031">
                      <w:marLeft w:val="262"/>
                      <w:marRight w:val="262"/>
                      <w:marTop w:val="0"/>
                      <w:marBottom w:val="218"/>
                      <w:divBdr>
                        <w:top w:val="none" w:sz="0" w:space="0" w:color="auto"/>
                        <w:left w:val="none" w:sz="0" w:space="0" w:color="auto"/>
                        <w:bottom w:val="none" w:sz="0" w:space="0" w:color="auto"/>
                        <w:right w:val="none" w:sz="0" w:space="0" w:color="auto"/>
                      </w:divBdr>
                    </w:div>
                    <w:div w:id="1805807367">
                      <w:marLeft w:val="262"/>
                      <w:marRight w:val="262"/>
                      <w:marTop w:val="0"/>
                      <w:marBottom w:val="218"/>
                      <w:divBdr>
                        <w:top w:val="none" w:sz="0" w:space="0" w:color="auto"/>
                        <w:left w:val="none" w:sz="0" w:space="0" w:color="auto"/>
                        <w:bottom w:val="none" w:sz="0" w:space="0" w:color="auto"/>
                        <w:right w:val="none" w:sz="0" w:space="0" w:color="auto"/>
                      </w:divBdr>
                    </w:div>
                    <w:div w:id="1092312075">
                      <w:marLeft w:val="262"/>
                      <w:marRight w:val="262"/>
                      <w:marTop w:val="0"/>
                      <w:marBottom w:val="218"/>
                      <w:divBdr>
                        <w:top w:val="none" w:sz="0" w:space="0" w:color="auto"/>
                        <w:left w:val="none" w:sz="0" w:space="0" w:color="auto"/>
                        <w:bottom w:val="none" w:sz="0" w:space="0" w:color="auto"/>
                        <w:right w:val="none" w:sz="0" w:space="0" w:color="auto"/>
                      </w:divBdr>
                    </w:div>
                    <w:div w:id="625239435">
                      <w:marLeft w:val="262"/>
                      <w:marRight w:val="262"/>
                      <w:marTop w:val="0"/>
                      <w:marBottom w:val="218"/>
                      <w:divBdr>
                        <w:top w:val="none" w:sz="0" w:space="0" w:color="auto"/>
                        <w:left w:val="none" w:sz="0" w:space="0" w:color="auto"/>
                        <w:bottom w:val="none" w:sz="0" w:space="0" w:color="auto"/>
                        <w:right w:val="none" w:sz="0" w:space="0" w:color="auto"/>
                      </w:divBdr>
                    </w:div>
                    <w:div w:id="2028628629">
                      <w:marLeft w:val="262"/>
                      <w:marRight w:val="262"/>
                      <w:marTop w:val="0"/>
                      <w:marBottom w:val="218"/>
                      <w:divBdr>
                        <w:top w:val="none" w:sz="0" w:space="0" w:color="auto"/>
                        <w:left w:val="none" w:sz="0" w:space="0" w:color="auto"/>
                        <w:bottom w:val="none" w:sz="0" w:space="0" w:color="auto"/>
                        <w:right w:val="none" w:sz="0" w:space="0" w:color="auto"/>
                      </w:divBdr>
                    </w:div>
                    <w:div w:id="983464590">
                      <w:marLeft w:val="262"/>
                      <w:marRight w:val="262"/>
                      <w:marTop w:val="0"/>
                      <w:marBottom w:val="218"/>
                      <w:divBdr>
                        <w:top w:val="none" w:sz="0" w:space="0" w:color="auto"/>
                        <w:left w:val="none" w:sz="0" w:space="0" w:color="auto"/>
                        <w:bottom w:val="none" w:sz="0" w:space="0" w:color="auto"/>
                        <w:right w:val="none" w:sz="0" w:space="0" w:color="auto"/>
                      </w:divBdr>
                    </w:div>
                    <w:div w:id="446896679">
                      <w:marLeft w:val="262"/>
                      <w:marRight w:val="262"/>
                      <w:marTop w:val="0"/>
                      <w:marBottom w:val="218"/>
                      <w:divBdr>
                        <w:top w:val="none" w:sz="0" w:space="0" w:color="auto"/>
                        <w:left w:val="none" w:sz="0" w:space="0" w:color="auto"/>
                        <w:bottom w:val="none" w:sz="0" w:space="0" w:color="auto"/>
                        <w:right w:val="none" w:sz="0" w:space="0" w:color="auto"/>
                      </w:divBdr>
                    </w:div>
                  </w:divsChild>
                </w:div>
              </w:divsChild>
            </w:div>
          </w:divsChild>
        </w:div>
        <w:div w:id="1232810464">
          <w:marLeft w:val="0"/>
          <w:marRight w:val="0"/>
          <w:marTop w:val="0"/>
          <w:marBottom w:val="0"/>
          <w:divBdr>
            <w:top w:val="none" w:sz="0" w:space="0" w:color="auto"/>
            <w:left w:val="none" w:sz="0" w:space="0" w:color="auto"/>
            <w:bottom w:val="none" w:sz="0" w:space="0" w:color="auto"/>
            <w:right w:val="none" w:sz="0" w:space="0" w:color="auto"/>
          </w:divBdr>
        </w:div>
        <w:div w:id="1988508508">
          <w:marLeft w:val="0"/>
          <w:marRight w:val="0"/>
          <w:marTop w:val="0"/>
          <w:marBottom w:val="0"/>
          <w:divBdr>
            <w:top w:val="none" w:sz="0" w:space="0" w:color="auto"/>
            <w:left w:val="none" w:sz="0" w:space="0" w:color="auto"/>
            <w:bottom w:val="none" w:sz="0" w:space="0" w:color="auto"/>
            <w:right w:val="none" w:sz="0" w:space="0" w:color="auto"/>
          </w:divBdr>
        </w:div>
        <w:div w:id="1464424955">
          <w:marLeft w:val="0"/>
          <w:marRight w:val="0"/>
          <w:marTop w:val="0"/>
          <w:marBottom w:val="0"/>
          <w:divBdr>
            <w:top w:val="none" w:sz="0" w:space="0" w:color="auto"/>
            <w:left w:val="none" w:sz="0" w:space="0" w:color="auto"/>
            <w:bottom w:val="none" w:sz="0" w:space="0" w:color="auto"/>
            <w:right w:val="none" w:sz="0" w:space="0" w:color="auto"/>
          </w:divBdr>
        </w:div>
        <w:div w:id="529950081">
          <w:marLeft w:val="0"/>
          <w:marRight w:val="0"/>
          <w:marTop w:val="0"/>
          <w:marBottom w:val="0"/>
          <w:divBdr>
            <w:top w:val="none" w:sz="0" w:space="0" w:color="auto"/>
            <w:left w:val="none" w:sz="0" w:space="0" w:color="auto"/>
            <w:bottom w:val="none" w:sz="0" w:space="0" w:color="auto"/>
            <w:right w:val="none" w:sz="0" w:space="0" w:color="auto"/>
          </w:divBdr>
        </w:div>
        <w:div w:id="425922205">
          <w:marLeft w:val="0"/>
          <w:marRight w:val="0"/>
          <w:marTop w:val="0"/>
          <w:marBottom w:val="0"/>
          <w:divBdr>
            <w:top w:val="none" w:sz="0" w:space="0" w:color="auto"/>
            <w:left w:val="none" w:sz="0" w:space="0" w:color="auto"/>
            <w:bottom w:val="none" w:sz="0" w:space="0" w:color="auto"/>
            <w:right w:val="none" w:sz="0" w:space="0" w:color="auto"/>
          </w:divBdr>
        </w:div>
        <w:div w:id="599291810">
          <w:marLeft w:val="0"/>
          <w:marRight w:val="0"/>
          <w:marTop w:val="0"/>
          <w:marBottom w:val="0"/>
          <w:divBdr>
            <w:top w:val="none" w:sz="0" w:space="0" w:color="auto"/>
            <w:left w:val="none" w:sz="0" w:space="0" w:color="auto"/>
            <w:bottom w:val="none" w:sz="0" w:space="0" w:color="auto"/>
            <w:right w:val="none" w:sz="0" w:space="0" w:color="auto"/>
          </w:divBdr>
        </w:div>
        <w:div w:id="555313249">
          <w:marLeft w:val="0"/>
          <w:marRight w:val="0"/>
          <w:marTop w:val="0"/>
          <w:marBottom w:val="0"/>
          <w:divBdr>
            <w:top w:val="none" w:sz="0" w:space="0" w:color="auto"/>
            <w:left w:val="none" w:sz="0" w:space="0" w:color="auto"/>
            <w:bottom w:val="none" w:sz="0" w:space="0" w:color="auto"/>
            <w:right w:val="none" w:sz="0" w:space="0" w:color="auto"/>
          </w:divBdr>
        </w:div>
        <w:div w:id="1731994455">
          <w:marLeft w:val="0"/>
          <w:marRight w:val="0"/>
          <w:marTop w:val="0"/>
          <w:marBottom w:val="0"/>
          <w:divBdr>
            <w:top w:val="none" w:sz="0" w:space="0" w:color="auto"/>
            <w:left w:val="none" w:sz="0" w:space="0" w:color="auto"/>
            <w:bottom w:val="none" w:sz="0" w:space="0" w:color="auto"/>
            <w:right w:val="none" w:sz="0" w:space="0" w:color="auto"/>
          </w:divBdr>
        </w:div>
        <w:div w:id="1221676540">
          <w:marLeft w:val="0"/>
          <w:marRight w:val="0"/>
          <w:marTop w:val="0"/>
          <w:marBottom w:val="0"/>
          <w:divBdr>
            <w:top w:val="none" w:sz="0" w:space="0" w:color="auto"/>
            <w:left w:val="none" w:sz="0" w:space="0" w:color="auto"/>
            <w:bottom w:val="none" w:sz="0" w:space="0" w:color="auto"/>
            <w:right w:val="none" w:sz="0" w:space="0" w:color="auto"/>
          </w:divBdr>
        </w:div>
        <w:div w:id="1565138599">
          <w:marLeft w:val="0"/>
          <w:marRight w:val="0"/>
          <w:marTop w:val="0"/>
          <w:marBottom w:val="0"/>
          <w:divBdr>
            <w:top w:val="none" w:sz="0" w:space="0" w:color="auto"/>
            <w:left w:val="none" w:sz="0" w:space="0" w:color="auto"/>
            <w:bottom w:val="none" w:sz="0" w:space="0" w:color="auto"/>
            <w:right w:val="none" w:sz="0" w:space="0" w:color="auto"/>
          </w:divBdr>
        </w:div>
        <w:div w:id="2023163259">
          <w:marLeft w:val="0"/>
          <w:marRight w:val="0"/>
          <w:marTop w:val="0"/>
          <w:marBottom w:val="0"/>
          <w:divBdr>
            <w:top w:val="none" w:sz="0" w:space="0" w:color="auto"/>
            <w:left w:val="none" w:sz="0" w:space="0" w:color="auto"/>
            <w:bottom w:val="none" w:sz="0" w:space="0" w:color="auto"/>
            <w:right w:val="none" w:sz="0" w:space="0" w:color="auto"/>
          </w:divBdr>
        </w:div>
        <w:div w:id="1063606724">
          <w:marLeft w:val="0"/>
          <w:marRight w:val="0"/>
          <w:marTop w:val="0"/>
          <w:marBottom w:val="0"/>
          <w:divBdr>
            <w:top w:val="none" w:sz="0" w:space="0" w:color="auto"/>
            <w:left w:val="none" w:sz="0" w:space="0" w:color="auto"/>
            <w:bottom w:val="none" w:sz="0" w:space="0" w:color="auto"/>
            <w:right w:val="none" w:sz="0" w:space="0" w:color="auto"/>
          </w:divBdr>
        </w:div>
        <w:div w:id="1354453318">
          <w:marLeft w:val="0"/>
          <w:marRight w:val="0"/>
          <w:marTop w:val="0"/>
          <w:marBottom w:val="0"/>
          <w:divBdr>
            <w:top w:val="none" w:sz="0" w:space="0" w:color="auto"/>
            <w:left w:val="none" w:sz="0" w:space="0" w:color="auto"/>
            <w:bottom w:val="none" w:sz="0" w:space="0" w:color="auto"/>
            <w:right w:val="none" w:sz="0" w:space="0" w:color="auto"/>
          </w:divBdr>
        </w:div>
        <w:div w:id="242490636">
          <w:marLeft w:val="0"/>
          <w:marRight w:val="0"/>
          <w:marTop w:val="0"/>
          <w:marBottom w:val="0"/>
          <w:divBdr>
            <w:top w:val="none" w:sz="0" w:space="0" w:color="auto"/>
            <w:left w:val="none" w:sz="0" w:space="0" w:color="auto"/>
            <w:bottom w:val="none" w:sz="0" w:space="0" w:color="auto"/>
            <w:right w:val="none" w:sz="0" w:space="0" w:color="auto"/>
          </w:divBdr>
        </w:div>
        <w:div w:id="1762483769">
          <w:marLeft w:val="0"/>
          <w:marRight w:val="0"/>
          <w:marTop w:val="0"/>
          <w:marBottom w:val="0"/>
          <w:divBdr>
            <w:top w:val="none" w:sz="0" w:space="0" w:color="auto"/>
            <w:left w:val="none" w:sz="0" w:space="0" w:color="auto"/>
            <w:bottom w:val="none" w:sz="0" w:space="0" w:color="auto"/>
            <w:right w:val="none" w:sz="0" w:space="0" w:color="auto"/>
          </w:divBdr>
        </w:div>
        <w:div w:id="1549759308">
          <w:marLeft w:val="0"/>
          <w:marRight w:val="0"/>
          <w:marTop w:val="0"/>
          <w:marBottom w:val="0"/>
          <w:divBdr>
            <w:top w:val="none" w:sz="0" w:space="0" w:color="auto"/>
            <w:left w:val="none" w:sz="0" w:space="0" w:color="auto"/>
            <w:bottom w:val="none" w:sz="0" w:space="0" w:color="auto"/>
            <w:right w:val="none" w:sz="0" w:space="0" w:color="auto"/>
          </w:divBdr>
        </w:div>
        <w:div w:id="1527212775">
          <w:marLeft w:val="0"/>
          <w:marRight w:val="0"/>
          <w:marTop w:val="0"/>
          <w:marBottom w:val="0"/>
          <w:divBdr>
            <w:top w:val="none" w:sz="0" w:space="0" w:color="auto"/>
            <w:left w:val="none" w:sz="0" w:space="0" w:color="auto"/>
            <w:bottom w:val="none" w:sz="0" w:space="0" w:color="auto"/>
            <w:right w:val="none" w:sz="0" w:space="0" w:color="auto"/>
          </w:divBdr>
        </w:div>
        <w:div w:id="1353142710">
          <w:marLeft w:val="0"/>
          <w:marRight w:val="0"/>
          <w:marTop w:val="0"/>
          <w:marBottom w:val="0"/>
          <w:divBdr>
            <w:top w:val="none" w:sz="0" w:space="0" w:color="auto"/>
            <w:left w:val="none" w:sz="0" w:space="0" w:color="auto"/>
            <w:bottom w:val="none" w:sz="0" w:space="0" w:color="auto"/>
            <w:right w:val="none" w:sz="0" w:space="0" w:color="auto"/>
          </w:divBdr>
        </w:div>
        <w:div w:id="1182158162">
          <w:marLeft w:val="0"/>
          <w:marRight w:val="0"/>
          <w:marTop w:val="0"/>
          <w:marBottom w:val="0"/>
          <w:divBdr>
            <w:top w:val="none" w:sz="0" w:space="0" w:color="auto"/>
            <w:left w:val="none" w:sz="0" w:space="0" w:color="auto"/>
            <w:bottom w:val="none" w:sz="0" w:space="0" w:color="auto"/>
            <w:right w:val="none" w:sz="0" w:space="0" w:color="auto"/>
          </w:divBdr>
        </w:div>
        <w:div w:id="1679691427">
          <w:marLeft w:val="0"/>
          <w:marRight w:val="0"/>
          <w:marTop w:val="0"/>
          <w:marBottom w:val="0"/>
          <w:divBdr>
            <w:top w:val="none" w:sz="0" w:space="0" w:color="auto"/>
            <w:left w:val="none" w:sz="0" w:space="0" w:color="auto"/>
            <w:bottom w:val="none" w:sz="0" w:space="0" w:color="auto"/>
            <w:right w:val="none" w:sz="0" w:space="0" w:color="auto"/>
          </w:divBdr>
        </w:div>
        <w:div w:id="84810971">
          <w:marLeft w:val="0"/>
          <w:marRight w:val="0"/>
          <w:marTop w:val="0"/>
          <w:marBottom w:val="0"/>
          <w:divBdr>
            <w:top w:val="none" w:sz="0" w:space="0" w:color="auto"/>
            <w:left w:val="none" w:sz="0" w:space="0" w:color="auto"/>
            <w:bottom w:val="none" w:sz="0" w:space="0" w:color="auto"/>
            <w:right w:val="none" w:sz="0" w:space="0" w:color="auto"/>
          </w:divBdr>
        </w:div>
        <w:div w:id="248466365">
          <w:marLeft w:val="0"/>
          <w:marRight w:val="0"/>
          <w:marTop w:val="0"/>
          <w:marBottom w:val="0"/>
          <w:divBdr>
            <w:top w:val="none" w:sz="0" w:space="0" w:color="auto"/>
            <w:left w:val="none" w:sz="0" w:space="0" w:color="auto"/>
            <w:bottom w:val="none" w:sz="0" w:space="0" w:color="auto"/>
            <w:right w:val="none" w:sz="0" w:space="0" w:color="auto"/>
          </w:divBdr>
        </w:div>
        <w:div w:id="1099721598">
          <w:marLeft w:val="0"/>
          <w:marRight w:val="0"/>
          <w:marTop w:val="0"/>
          <w:marBottom w:val="0"/>
          <w:divBdr>
            <w:top w:val="none" w:sz="0" w:space="0" w:color="auto"/>
            <w:left w:val="none" w:sz="0" w:space="0" w:color="auto"/>
            <w:bottom w:val="none" w:sz="0" w:space="0" w:color="auto"/>
            <w:right w:val="none" w:sz="0" w:space="0" w:color="auto"/>
          </w:divBdr>
        </w:div>
        <w:div w:id="2012294982">
          <w:marLeft w:val="0"/>
          <w:marRight w:val="0"/>
          <w:marTop w:val="0"/>
          <w:marBottom w:val="0"/>
          <w:divBdr>
            <w:top w:val="none" w:sz="0" w:space="0" w:color="auto"/>
            <w:left w:val="none" w:sz="0" w:space="0" w:color="auto"/>
            <w:bottom w:val="none" w:sz="0" w:space="0" w:color="auto"/>
            <w:right w:val="none" w:sz="0" w:space="0" w:color="auto"/>
          </w:divBdr>
        </w:div>
        <w:div w:id="786629079">
          <w:marLeft w:val="0"/>
          <w:marRight w:val="0"/>
          <w:marTop w:val="0"/>
          <w:marBottom w:val="0"/>
          <w:divBdr>
            <w:top w:val="none" w:sz="0" w:space="0" w:color="auto"/>
            <w:left w:val="none" w:sz="0" w:space="0" w:color="auto"/>
            <w:bottom w:val="none" w:sz="0" w:space="0" w:color="auto"/>
            <w:right w:val="none" w:sz="0" w:space="0" w:color="auto"/>
          </w:divBdr>
        </w:div>
        <w:div w:id="197086436">
          <w:marLeft w:val="0"/>
          <w:marRight w:val="0"/>
          <w:marTop w:val="0"/>
          <w:marBottom w:val="0"/>
          <w:divBdr>
            <w:top w:val="none" w:sz="0" w:space="0" w:color="auto"/>
            <w:left w:val="none" w:sz="0" w:space="0" w:color="auto"/>
            <w:bottom w:val="none" w:sz="0" w:space="0" w:color="auto"/>
            <w:right w:val="none" w:sz="0" w:space="0" w:color="auto"/>
          </w:divBdr>
        </w:div>
        <w:div w:id="1635673469">
          <w:marLeft w:val="0"/>
          <w:marRight w:val="0"/>
          <w:marTop w:val="0"/>
          <w:marBottom w:val="0"/>
          <w:divBdr>
            <w:top w:val="none" w:sz="0" w:space="0" w:color="auto"/>
            <w:left w:val="none" w:sz="0" w:space="0" w:color="auto"/>
            <w:bottom w:val="none" w:sz="0" w:space="0" w:color="auto"/>
            <w:right w:val="none" w:sz="0" w:space="0" w:color="auto"/>
          </w:divBdr>
        </w:div>
        <w:div w:id="631902824">
          <w:marLeft w:val="0"/>
          <w:marRight w:val="0"/>
          <w:marTop w:val="0"/>
          <w:marBottom w:val="0"/>
          <w:divBdr>
            <w:top w:val="none" w:sz="0" w:space="0" w:color="auto"/>
            <w:left w:val="none" w:sz="0" w:space="0" w:color="auto"/>
            <w:bottom w:val="none" w:sz="0" w:space="0" w:color="auto"/>
            <w:right w:val="none" w:sz="0" w:space="0" w:color="auto"/>
          </w:divBdr>
        </w:div>
        <w:div w:id="681517287">
          <w:marLeft w:val="0"/>
          <w:marRight w:val="0"/>
          <w:marTop w:val="0"/>
          <w:marBottom w:val="0"/>
          <w:divBdr>
            <w:top w:val="none" w:sz="0" w:space="0" w:color="auto"/>
            <w:left w:val="none" w:sz="0" w:space="0" w:color="auto"/>
            <w:bottom w:val="none" w:sz="0" w:space="0" w:color="auto"/>
            <w:right w:val="none" w:sz="0" w:space="0" w:color="auto"/>
          </w:divBdr>
        </w:div>
        <w:div w:id="1450391157">
          <w:marLeft w:val="0"/>
          <w:marRight w:val="0"/>
          <w:marTop w:val="0"/>
          <w:marBottom w:val="0"/>
          <w:divBdr>
            <w:top w:val="none" w:sz="0" w:space="0" w:color="auto"/>
            <w:left w:val="none" w:sz="0" w:space="0" w:color="auto"/>
            <w:bottom w:val="none" w:sz="0" w:space="0" w:color="auto"/>
            <w:right w:val="none" w:sz="0" w:space="0" w:color="auto"/>
          </w:divBdr>
        </w:div>
        <w:div w:id="933703307">
          <w:marLeft w:val="0"/>
          <w:marRight w:val="0"/>
          <w:marTop w:val="0"/>
          <w:marBottom w:val="0"/>
          <w:divBdr>
            <w:top w:val="none" w:sz="0" w:space="0" w:color="auto"/>
            <w:left w:val="none" w:sz="0" w:space="0" w:color="auto"/>
            <w:bottom w:val="none" w:sz="0" w:space="0" w:color="auto"/>
            <w:right w:val="none" w:sz="0" w:space="0" w:color="auto"/>
          </w:divBdr>
        </w:div>
        <w:div w:id="844899412">
          <w:marLeft w:val="0"/>
          <w:marRight w:val="0"/>
          <w:marTop w:val="0"/>
          <w:marBottom w:val="0"/>
          <w:divBdr>
            <w:top w:val="none" w:sz="0" w:space="0" w:color="auto"/>
            <w:left w:val="none" w:sz="0" w:space="0" w:color="auto"/>
            <w:bottom w:val="none" w:sz="0" w:space="0" w:color="auto"/>
            <w:right w:val="none" w:sz="0" w:space="0" w:color="auto"/>
          </w:divBdr>
        </w:div>
        <w:div w:id="1321468007">
          <w:marLeft w:val="0"/>
          <w:marRight w:val="0"/>
          <w:marTop w:val="0"/>
          <w:marBottom w:val="0"/>
          <w:divBdr>
            <w:top w:val="none" w:sz="0" w:space="0" w:color="auto"/>
            <w:left w:val="none" w:sz="0" w:space="0" w:color="auto"/>
            <w:bottom w:val="none" w:sz="0" w:space="0" w:color="auto"/>
            <w:right w:val="none" w:sz="0" w:space="0" w:color="auto"/>
          </w:divBdr>
        </w:div>
        <w:div w:id="1906456147">
          <w:marLeft w:val="0"/>
          <w:marRight w:val="0"/>
          <w:marTop w:val="0"/>
          <w:marBottom w:val="0"/>
          <w:divBdr>
            <w:top w:val="none" w:sz="0" w:space="0" w:color="auto"/>
            <w:left w:val="none" w:sz="0" w:space="0" w:color="auto"/>
            <w:bottom w:val="none" w:sz="0" w:space="0" w:color="auto"/>
            <w:right w:val="none" w:sz="0" w:space="0" w:color="auto"/>
          </w:divBdr>
        </w:div>
        <w:div w:id="467821021">
          <w:marLeft w:val="0"/>
          <w:marRight w:val="0"/>
          <w:marTop w:val="0"/>
          <w:marBottom w:val="0"/>
          <w:divBdr>
            <w:top w:val="none" w:sz="0" w:space="0" w:color="auto"/>
            <w:left w:val="none" w:sz="0" w:space="0" w:color="auto"/>
            <w:bottom w:val="none" w:sz="0" w:space="0" w:color="auto"/>
            <w:right w:val="none" w:sz="0" w:space="0" w:color="auto"/>
          </w:divBdr>
        </w:div>
        <w:div w:id="2049720584">
          <w:marLeft w:val="0"/>
          <w:marRight w:val="0"/>
          <w:marTop w:val="0"/>
          <w:marBottom w:val="0"/>
          <w:divBdr>
            <w:top w:val="none" w:sz="0" w:space="0" w:color="auto"/>
            <w:left w:val="none" w:sz="0" w:space="0" w:color="auto"/>
            <w:bottom w:val="none" w:sz="0" w:space="0" w:color="auto"/>
            <w:right w:val="none" w:sz="0" w:space="0" w:color="auto"/>
          </w:divBdr>
        </w:div>
        <w:div w:id="1624649368">
          <w:marLeft w:val="0"/>
          <w:marRight w:val="0"/>
          <w:marTop w:val="0"/>
          <w:marBottom w:val="0"/>
          <w:divBdr>
            <w:top w:val="none" w:sz="0" w:space="0" w:color="auto"/>
            <w:left w:val="none" w:sz="0" w:space="0" w:color="auto"/>
            <w:bottom w:val="none" w:sz="0" w:space="0" w:color="auto"/>
            <w:right w:val="none" w:sz="0" w:space="0" w:color="auto"/>
          </w:divBdr>
        </w:div>
        <w:div w:id="179392331">
          <w:marLeft w:val="0"/>
          <w:marRight w:val="0"/>
          <w:marTop w:val="0"/>
          <w:marBottom w:val="0"/>
          <w:divBdr>
            <w:top w:val="none" w:sz="0" w:space="0" w:color="auto"/>
            <w:left w:val="none" w:sz="0" w:space="0" w:color="auto"/>
            <w:bottom w:val="none" w:sz="0" w:space="0" w:color="auto"/>
            <w:right w:val="none" w:sz="0" w:space="0" w:color="auto"/>
          </w:divBdr>
        </w:div>
        <w:div w:id="115756238">
          <w:marLeft w:val="0"/>
          <w:marRight w:val="0"/>
          <w:marTop w:val="0"/>
          <w:marBottom w:val="0"/>
          <w:divBdr>
            <w:top w:val="none" w:sz="0" w:space="0" w:color="auto"/>
            <w:left w:val="none" w:sz="0" w:space="0" w:color="auto"/>
            <w:bottom w:val="none" w:sz="0" w:space="0" w:color="auto"/>
            <w:right w:val="none" w:sz="0" w:space="0" w:color="auto"/>
          </w:divBdr>
        </w:div>
        <w:div w:id="711272274">
          <w:marLeft w:val="0"/>
          <w:marRight w:val="0"/>
          <w:marTop w:val="0"/>
          <w:marBottom w:val="0"/>
          <w:divBdr>
            <w:top w:val="none" w:sz="0" w:space="0" w:color="auto"/>
            <w:left w:val="none" w:sz="0" w:space="0" w:color="auto"/>
            <w:bottom w:val="none" w:sz="0" w:space="0" w:color="auto"/>
            <w:right w:val="none" w:sz="0" w:space="0" w:color="auto"/>
          </w:divBdr>
        </w:div>
        <w:div w:id="334461431">
          <w:marLeft w:val="0"/>
          <w:marRight w:val="0"/>
          <w:marTop w:val="0"/>
          <w:marBottom w:val="0"/>
          <w:divBdr>
            <w:top w:val="none" w:sz="0" w:space="0" w:color="auto"/>
            <w:left w:val="none" w:sz="0" w:space="0" w:color="auto"/>
            <w:bottom w:val="none" w:sz="0" w:space="0" w:color="auto"/>
            <w:right w:val="none" w:sz="0" w:space="0" w:color="auto"/>
          </w:divBdr>
        </w:div>
        <w:div w:id="660739364">
          <w:marLeft w:val="0"/>
          <w:marRight w:val="0"/>
          <w:marTop w:val="0"/>
          <w:marBottom w:val="0"/>
          <w:divBdr>
            <w:top w:val="none" w:sz="0" w:space="0" w:color="auto"/>
            <w:left w:val="none" w:sz="0" w:space="0" w:color="auto"/>
            <w:bottom w:val="none" w:sz="0" w:space="0" w:color="auto"/>
            <w:right w:val="none" w:sz="0" w:space="0" w:color="auto"/>
          </w:divBdr>
        </w:div>
        <w:div w:id="170990202">
          <w:marLeft w:val="0"/>
          <w:marRight w:val="0"/>
          <w:marTop w:val="0"/>
          <w:marBottom w:val="0"/>
          <w:divBdr>
            <w:top w:val="none" w:sz="0" w:space="0" w:color="auto"/>
            <w:left w:val="none" w:sz="0" w:space="0" w:color="auto"/>
            <w:bottom w:val="none" w:sz="0" w:space="0" w:color="auto"/>
            <w:right w:val="none" w:sz="0" w:space="0" w:color="auto"/>
          </w:divBdr>
        </w:div>
        <w:div w:id="1290239398">
          <w:marLeft w:val="0"/>
          <w:marRight w:val="0"/>
          <w:marTop w:val="0"/>
          <w:marBottom w:val="0"/>
          <w:divBdr>
            <w:top w:val="none" w:sz="0" w:space="0" w:color="auto"/>
            <w:left w:val="none" w:sz="0" w:space="0" w:color="auto"/>
            <w:bottom w:val="none" w:sz="0" w:space="0" w:color="auto"/>
            <w:right w:val="none" w:sz="0" w:space="0" w:color="auto"/>
          </w:divBdr>
        </w:div>
        <w:div w:id="93138442">
          <w:marLeft w:val="0"/>
          <w:marRight w:val="0"/>
          <w:marTop w:val="0"/>
          <w:marBottom w:val="0"/>
          <w:divBdr>
            <w:top w:val="none" w:sz="0" w:space="0" w:color="auto"/>
            <w:left w:val="none" w:sz="0" w:space="0" w:color="auto"/>
            <w:bottom w:val="none" w:sz="0" w:space="0" w:color="auto"/>
            <w:right w:val="none" w:sz="0" w:space="0" w:color="auto"/>
          </w:divBdr>
        </w:div>
        <w:div w:id="1035423716">
          <w:marLeft w:val="0"/>
          <w:marRight w:val="0"/>
          <w:marTop w:val="0"/>
          <w:marBottom w:val="0"/>
          <w:divBdr>
            <w:top w:val="none" w:sz="0" w:space="0" w:color="auto"/>
            <w:left w:val="none" w:sz="0" w:space="0" w:color="auto"/>
            <w:bottom w:val="none" w:sz="0" w:space="0" w:color="auto"/>
            <w:right w:val="none" w:sz="0" w:space="0" w:color="auto"/>
          </w:divBdr>
        </w:div>
        <w:div w:id="47998179">
          <w:marLeft w:val="0"/>
          <w:marRight w:val="0"/>
          <w:marTop w:val="0"/>
          <w:marBottom w:val="0"/>
          <w:divBdr>
            <w:top w:val="none" w:sz="0" w:space="0" w:color="auto"/>
            <w:left w:val="none" w:sz="0" w:space="0" w:color="auto"/>
            <w:bottom w:val="none" w:sz="0" w:space="0" w:color="auto"/>
            <w:right w:val="none" w:sz="0" w:space="0" w:color="auto"/>
          </w:divBdr>
        </w:div>
        <w:div w:id="1934049909">
          <w:marLeft w:val="0"/>
          <w:marRight w:val="0"/>
          <w:marTop w:val="0"/>
          <w:marBottom w:val="0"/>
          <w:divBdr>
            <w:top w:val="none" w:sz="0" w:space="0" w:color="auto"/>
            <w:left w:val="none" w:sz="0" w:space="0" w:color="auto"/>
            <w:bottom w:val="none" w:sz="0" w:space="0" w:color="auto"/>
            <w:right w:val="none" w:sz="0" w:space="0" w:color="auto"/>
          </w:divBdr>
        </w:div>
        <w:div w:id="744492824">
          <w:marLeft w:val="0"/>
          <w:marRight w:val="0"/>
          <w:marTop w:val="0"/>
          <w:marBottom w:val="0"/>
          <w:divBdr>
            <w:top w:val="none" w:sz="0" w:space="0" w:color="auto"/>
            <w:left w:val="none" w:sz="0" w:space="0" w:color="auto"/>
            <w:bottom w:val="none" w:sz="0" w:space="0" w:color="auto"/>
            <w:right w:val="none" w:sz="0" w:space="0" w:color="auto"/>
          </w:divBdr>
        </w:div>
        <w:div w:id="157693976">
          <w:marLeft w:val="0"/>
          <w:marRight w:val="0"/>
          <w:marTop w:val="0"/>
          <w:marBottom w:val="0"/>
          <w:divBdr>
            <w:top w:val="none" w:sz="0" w:space="0" w:color="auto"/>
            <w:left w:val="none" w:sz="0" w:space="0" w:color="auto"/>
            <w:bottom w:val="none" w:sz="0" w:space="0" w:color="auto"/>
            <w:right w:val="none" w:sz="0" w:space="0" w:color="auto"/>
          </w:divBdr>
        </w:div>
        <w:div w:id="1989240193">
          <w:marLeft w:val="0"/>
          <w:marRight w:val="0"/>
          <w:marTop w:val="0"/>
          <w:marBottom w:val="0"/>
          <w:divBdr>
            <w:top w:val="none" w:sz="0" w:space="0" w:color="auto"/>
            <w:left w:val="none" w:sz="0" w:space="0" w:color="auto"/>
            <w:bottom w:val="none" w:sz="0" w:space="0" w:color="auto"/>
            <w:right w:val="none" w:sz="0" w:space="0" w:color="auto"/>
          </w:divBdr>
        </w:div>
        <w:div w:id="922766139">
          <w:marLeft w:val="0"/>
          <w:marRight w:val="0"/>
          <w:marTop w:val="0"/>
          <w:marBottom w:val="0"/>
          <w:divBdr>
            <w:top w:val="none" w:sz="0" w:space="0" w:color="auto"/>
            <w:left w:val="none" w:sz="0" w:space="0" w:color="auto"/>
            <w:bottom w:val="none" w:sz="0" w:space="0" w:color="auto"/>
            <w:right w:val="none" w:sz="0" w:space="0" w:color="auto"/>
          </w:divBdr>
        </w:div>
        <w:div w:id="1115097078">
          <w:marLeft w:val="0"/>
          <w:marRight w:val="0"/>
          <w:marTop w:val="0"/>
          <w:marBottom w:val="0"/>
          <w:divBdr>
            <w:top w:val="none" w:sz="0" w:space="0" w:color="auto"/>
            <w:left w:val="none" w:sz="0" w:space="0" w:color="auto"/>
            <w:bottom w:val="none" w:sz="0" w:space="0" w:color="auto"/>
            <w:right w:val="none" w:sz="0" w:space="0" w:color="auto"/>
          </w:divBdr>
        </w:div>
        <w:div w:id="1642271131">
          <w:marLeft w:val="0"/>
          <w:marRight w:val="0"/>
          <w:marTop w:val="0"/>
          <w:marBottom w:val="0"/>
          <w:divBdr>
            <w:top w:val="none" w:sz="0" w:space="0" w:color="auto"/>
            <w:left w:val="none" w:sz="0" w:space="0" w:color="auto"/>
            <w:bottom w:val="none" w:sz="0" w:space="0" w:color="auto"/>
            <w:right w:val="none" w:sz="0" w:space="0" w:color="auto"/>
          </w:divBdr>
        </w:div>
        <w:div w:id="1973438557">
          <w:marLeft w:val="0"/>
          <w:marRight w:val="0"/>
          <w:marTop w:val="0"/>
          <w:marBottom w:val="0"/>
          <w:divBdr>
            <w:top w:val="none" w:sz="0" w:space="0" w:color="auto"/>
            <w:left w:val="none" w:sz="0" w:space="0" w:color="auto"/>
            <w:bottom w:val="none" w:sz="0" w:space="0" w:color="auto"/>
            <w:right w:val="none" w:sz="0" w:space="0" w:color="auto"/>
          </w:divBdr>
        </w:div>
        <w:div w:id="1077827410">
          <w:marLeft w:val="0"/>
          <w:marRight w:val="0"/>
          <w:marTop w:val="0"/>
          <w:marBottom w:val="0"/>
          <w:divBdr>
            <w:top w:val="none" w:sz="0" w:space="0" w:color="auto"/>
            <w:left w:val="none" w:sz="0" w:space="0" w:color="auto"/>
            <w:bottom w:val="none" w:sz="0" w:space="0" w:color="auto"/>
            <w:right w:val="none" w:sz="0" w:space="0" w:color="auto"/>
          </w:divBdr>
        </w:div>
        <w:div w:id="1989549539">
          <w:marLeft w:val="0"/>
          <w:marRight w:val="0"/>
          <w:marTop w:val="0"/>
          <w:marBottom w:val="0"/>
          <w:divBdr>
            <w:top w:val="none" w:sz="0" w:space="0" w:color="auto"/>
            <w:left w:val="none" w:sz="0" w:space="0" w:color="auto"/>
            <w:bottom w:val="none" w:sz="0" w:space="0" w:color="auto"/>
            <w:right w:val="none" w:sz="0" w:space="0" w:color="auto"/>
          </w:divBdr>
        </w:div>
        <w:div w:id="255478791">
          <w:marLeft w:val="0"/>
          <w:marRight w:val="0"/>
          <w:marTop w:val="0"/>
          <w:marBottom w:val="0"/>
          <w:divBdr>
            <w:top w:val="none" w:sz="0" w:space="0" w:color="auto"/>
            <w:left w:val="none" w:sz="0" w:space="0" w:color="auto"/>
            <w:bottom w:val="none" w:sz="0" w:space="0" w:color="auto"/>
            <w:right w:val="none" w:sz="0" w:space="0" w:color="auto"/>
          </w:divBdr>
        </w:div>
        <w:div w:id="893272380">
          <w:marLeft w:val="0"/>
          <w:marRight w:val="0"/>
          <w:marTop w:val="0"/>
          <w:marBottom w:val="0"/>
          <w:divBdr>
            <w:top w:val="none" w:sz="0" w:space="0" w:color="auto"/>
            <w:left w:val="none" w:sz="0" w:space="0" w:color="auto"/>
            <w:bottom w:val="none" w:sz="0" w:space="0" w:color="auto"/>
            <w:right w:val="none" w:sz="0" w:space="0" w:color="auto"/>
          </w:divBdr>
        </w:div>
        <w:div w:id="884215879">
          <w:marLeft w:val="0"/>
          <w:marRight w:val="0"/>
          <w:marTop w:val="0"/>
          <w:marBottom w:val="0"/>
          <w:divBdr>
            <w:top w:val="none" w:sz="0" w:space="0" w:color="auto"/>
            <w:left w:val="none" w:sz="0" w:space="0" w:color="auto"/>
            <w:bottom w:val="none" w:sz="0" w:space="0" w:color="auto"/>
            <w:right w:val="none" w:sz="0" w:space="0" w:color="auto"/>
          </w:divBdr>
        </w:div>
        <w:div w:id="1918398061">
          <w:marLeft w:val="0"/>
          <w:marRight w:val="0"/>
          <w:marTop w:val="0"/>
          <w:marBottom w:val="0"/>
          <w:divBdr>
            <w:top w:val="none" w:sz="0" w:space="0" w:color="auto"/>
            <w:left w:val="none" w:sz="0" w:space="0" w:color="auto"/>
            <w:bottom w:val="none" w:sz="0" w:space="0" w:color="auto"/>
            <w:right w:val="none" w:sz="0" w:space="0" w:color="auto"/>
          </w:divBdr>
        </w:div>
        <w:div w:id="2135174698">
          <w:marLeft w:val="0"/>
          <w:marRight w:val="0"/>
          <w:marTop w:val="0"/>
          <w:marBottom w:val="0"/>
          <w:divBdr>
            <w:top w:val="none" w:sz="0" w:space="0" w:color="auto"/>
            <w:left w:val="none" w:sz="0" w:space="0" w:color="auto"/>
            <w:bottom w:val="none" w:sz="0" w:space="0" w:color="auto"/>
            <w:right w:val="none" w:sz="0" w:space="0" w:color="auto"/>
          </w:divBdr>
        </w:div>
        <w:div w:id="499271783">
          <w:marLeft w:val="0"/>
          <w:marRight w:val="0"/>
          <w:marTop w:val="0"/>
          <w:marBottom w:val="0"/>
          <w:divBdr>
            <w:top w:val="none" w:sz="0" w:space="0" w:color="auto"/>
            <w:left w:val="none" w:sz="0" w:space="0" w:color="auto"/>
            <w:bottom w:val="none" w:sz="0" w:space="0" w:color="auto"/>
            <w:right w:val="none" w:sz="0" w:space="0" w:color="auto"/>
          </w:divBdr>
        </w:div>
        <w:div w:id="823813691">
          <w:marLeft w:val="0"/>
          <w:marRight w:val="0"/>
          <w:marTop w:val="0"/>
          <w:marBottom w:val="0"/>
          <w:divBdr>
            <w:top w:val="none" w:sz="0" w:space="0" w:color="auto"/>
            <w:left w:val="none" w:sz="0" w:space="0" w:color="auto"/>
            <w:bottom w:val="none" w:sz="0" w:space="0" w:color="auto"/>
            <w:right w:val="none" w:sz="0" w:space="0" w:color="auto"/>
          </w:divBdr>
        </w:div>
        <w:div w:id="2057972182">
          <w:marLeft w:val="0"/>
          <w:marRight w:val="0"/>
          <w:marTop w:val="0"/>
          <w:marBottom w:val="0"/>
          <w:divBdr>
            <w:top w:val="none" w:sz="0" w:space="0" w:color="auto"/>
            <w:left w:val="none" w:sz="0" w:space="0" w:color="auto"/>
            <w:bottom w:val="none" w:sz="0" w:space="0" w:color="auto"/>
            <w:right w:val="none" w:sz="0" w:space="0" w:color="auto"/>
          </w:divBdr>
        </w:div>
        <w:div w:id="2014986346">
          <w:marLeft w:val="0"/>
          <w:marRight w:val="0"/>
          <w:marTop w:val="0"/>
          <w:marBottom w:val="0"/>
          <w:divBdr>
            <w:top w:val="none" w:sz="0" w:space="0" w:color="auto"/>
            <w:left w:val="none" w:sz="0" w:space="0" w:color="auto"/>
            <w:bottom w:val="none" w:sz="0" w:space="0" w:color="auto"/>
            <w:right w:val="none" w:sz="0" w:space="0" w:color="auto"/>
          </w:divBdr>
        </w:div>
        <w:div w:id="1153764588">
          <w:marLeft w:val="0"/>
          <w:marRight w:val="0"/>
          <w:marTop w:val="0"/>
          <w:marBottom w:val="0"/>
          <w:divBdr>
            <w:top w:val="none" w:sz="0" w:space="0" w:color="auto"/>
            <w:left w:val="none" w:sz="0" w:space="0" w:color="auto"/>
            <w:bottom w:val="none" w:sz="0" w:space="0" w:color="auto"/>
            <w:right w:val="none" w:sz="0" w:space="0" w:color="auto"/>
          </w:divBdr>
        </w:div>
        <w:div w:id="1353143626">
          <w:marLeft w:val="0"/>
          <w:marRight w:val="0"/>
          <w:marTop w:val="0"/>
          <w:marBottom w:val="0"/>
          <w:divBdr>
            <w:top w:val="none" w:sz="0" w:space="0" w:color="auto"/>
            <w:left w:val="none" w:sz="0" w:space="0" w:color="auto"/>
            <w:bottom w:val="none" w:sz="0" w:space="0" w:color="auto"/>
            <w:right w:val="none" w:sz="0" w:space="0" w:color="auto"/>
          </w:divBdr>
        </w:div>
        <w:div w:id="231158298">
          <w:marLeft w:val="0"/>
          <w:marRight w:val="0"/>
          <w:marTop w:val="0"/>
          <w:marBottom w:val="0"/>
          <w:divBdr>
            <w:top w:val="none" w:sz="0" w:space="0" w:color="auto"/>
            <w:left w:val="none" w:sz="0" w:space="0" w:color="auto"/>
            <w:bottom w:val="none" w:sz="0" w:space="0" w:color="auto"/>
            <w:right w:val="none" w:sz="0" w:space="0" w:color="auto"/>
          </w:divBdr>
        </w:div>
        <w:div w:id="647127996">
          <w:marLeft w:val="0"/>
          <w:marRight w:val="0"/>
          <w:marTop w:val="0"/>
          <w:marBottom w:val="0"/>
          <w:divBdr>
            <w:top w:val="none" w:sz="0" w:space="0" w:color="auto"/>
            <w:left w:val="none" w:sz="0" w:space="0" w:color="auto"/>
            <w:bottom w:val="none" w:sz="0" w:space="0" w:color="auto"/>
            <w:right w:val="none" w:sz="0" w:space="0" w:color="auto"/>
          </w:divBdr>
        </w:div>
        <w:div w:id="1261178590">
          <w:marLeft w:val="0"/>
          <w:marRight w:val="0"/>
          <w:marTop w:val="0"/>
          <w:marBottom w:val="0"/>
          <w:divBdr>
            <w:top w:val="none" w:sz="0" w:space="0" w:color="auto"/>
            <w:left w:val="none" w:sz="0" w:space="0" w:color="auto"/>
            <w:bottom w:val="none" w:sz="0" w:space="0" w:color="auto"/>
            <w:right w:val="none" w:sz="0" w:space="0" w:color="auto"/>
          </w:divBdr>
        </w:div>
        <w:div w:id="1892954633">
          <w:marLeft w:val="0"/>
          <w:marRight w:val="0"/>
          <w:marTop w:val="0"/>
          <w:marBottom w:val="0"/>
          <w:divBdr>
            <w:top w:val="none" w:sz="0" w:space="0" w:color="auto"/>
            <w:left w:val="none" w:sz="0" w:space="0" w:color="auto"/>
            <w:bottom w:val="none" w:sz="0" w:space="0" w:color="auto"/>
            <w:right w:val="none" w:sz="0" w:space="0" w:color="auto"/>
          </w:divBdr>
        </w:div>
        <w:div w:id="605693599">
          <w:marLeft w:val="0"/>
          <w:marRight w:val="0"/>
          <w:marTop w:val="0"/>
          <w:marBottom w:val="0"/>
          <w:divBdr>
            <w:top w:val="none" w:sz="0" w:space="0" w:color="auto"/>
            <w:left w:val="none" w:sz="0" w:space="0" w:color="auto"/>
            <w:bottom w:val="none" w:sz="0" w:space="0" w:color="auto"/>
            <w:right w:val="none" w:sz="0" w:space="0" w:color="auto"/>
          </w:divBdr>
        </w:div>
        <w:div w:id="907223596">
          <w:marLeft w:val="0"/>
          <w:marRight w:val="0"/>
          <w:marTop w:val="0"/>
          <w:marBottom w:val="0"/>
          <w:divBdr>
            <w:top w:val="none" w:sz="0" w:space="0" w:color="auto"/>
            <w:left w:val="none" w:sz="0" w:space="0" w:color="auto"/>
            <w:bottom w:val="none" w:sz="0" w:space="0" w:color="auto"/>
            <w:right w:val="none" w:sz="0" w:space="0" w:color="auto"/>
          </w:divBdr>
        </w:div>
        <w:div w:id="2028360528">
          <w:marLeft w:val="0"/>
          <w:marRight w:val="0"/>
          <w:marTop w:val="0"/>
          <w:marBottom w:val="0"/>
          <w:divBdr>
            <w:top w:val="none" w:sz="0" w:space="0" w:color="auto"/>
            <w:left w:val="none" w:sz="0" w:space="0" w:color="auto"/>
            <w:bottom w:val="none" w:sz="0" w:space="0" w:color="auto"/>
            <w:right w:val="none" w:sz="0" w:space="0" w:color="auto"/>
          </w:divBdr>
        </w:div>
        <w:div w:id="1243683580">
          <w:marLeft w:val="0"/>
          <w:marRight w:val="0"/>
          <w:marTop w:val="0"/>
          <w:marBottom w:val="0"/>
          <w:divBdr>
            <w:top w:val="none" w:sz="0" w:space="0" w:color="auto"/>
            <w:left w:val="none" w:sz="0" w:space="0" w:color="auto"/>
            <w:bottom w:val="none" w:sz="0" w:space="0" w:color="auto"/>
            <w:right w:val="none" w:sz="0" w:space="0" w:color="auto"/>
          </w:divBdr>
        </w:div>
        <w:div w:id="1242131658">
          <w:marLeft w:val="0"/>
          <w:marRight w:val="0"/>
          <w:marTop w:val="0"/>
          <w:marBottom w:val="0"/>
          <w:divBdr>
            <w:top w:val="none" w:sz="0" w:space="0" w:color="auto"/>
            <w:left w:val="none" w:sz="0" w:space="0" w:color="auto"/>
            <w:bottom w:val="none" w:sz="0" w:space="0" w:color="auto"/>
            <w:right w:val="none" w:sz="0" w:space="0" w:color="auto"/>
          </w:divBdr>
        </w:div>
        <w:div w:id="814296084">
          <w:marLeft w:val="0"/>
          <w:marRight w:val="0"/>
          <w:marTop w:val="0"/>
          <w:marBottom w:val="0"/>
          <w:divBdr>
            <w:top w:val="none" w:sz="0" w:space="0" w:color="auto"/>
            <w:left w:val="none" w:sz="0" w:space="0" w:color="auto"/>
            <w:bottom w:val="none" w:sz="0" w:space="0" w:color="auto"/>
            <w:right w:val="none" w:sz="0" w:space="0" w:color="auto"/>
          </w:divBdr>
        </w:div>
        <w:div w:id="55786585">
          <w:marLeft w:val="0"/>
          <w:marRight w:val="0"/>
          <w:marTop w:val="0"/>
          <w:marBottom w:val="0"/>
          <w:divBdr>
            <w:top w:val="none" w:sz="0" w:space="0" w:color="auto"/>
            <w:left w:val="none" w:sz="0" w:space="0" w:color="auto"/>
            <w:bottom w:val="none" w:sz="0" w:space="0" w:color="auto"/>
            <w:right w:val="none" w:sz="0" w:space="0" w:color="auto"/>
          </w:divBdr>
        </w:div>
        <w:div w:id="1255553973">
          <w:marLeft w:val="0"/>
          <w:marRight w:val="0"/>
          <w:marTop w:val="0"/>
          <w:marBottom w:val="0"/>
          <w:divBdr>
            <w:top w:val="none" w:sz="0" w:space="0" w:color="auto"/>
            <w:left w:val="none" w:sz="0" w:space="0" w:color="auto"/>
            <w:bottom w:val="none" w:sz="0" w:space="0" w:color="auto"/>
            <w:right w:val="none" w:sz="0" w:space="0" w:color="auto"/>
          </w:divBdr>
        </w:div>
        <w:div w:id="848763298">
          <w:marLeft w:val="0"/>
          <w:marRight w:val="0"/>
          <w:marTop w:val="0"/>
          <w:marBottom w:val="0"/>
          <w:divBdr>
            <w:top w:val="none" w:sz="0" w:space="0" w:color="auto"/>
            <w:left w:val="none" w:sz="0" w:space="0" w:color="auto"/>
            <w:bottom w:val="none" w:sz="0" w:space="0" w:color="auto"/>
            <w:right w:val="none" w:sz="0" w:space="0" w:color="auto"/>
          </w:divBdr>
        </w:div>
        <w:div w:id="1526409254">
          <w:marLeft w:val="0"/>
          <w:marRight w:val="0"/>
          <w:marTop w:val="0"/>
          <w:marBottom w:val="0"/>
          <w:divBdr>
            <w:top w:val="none" w:sz="0" w:space="0" w:color="auto"/>
            <w:left w:val="none" w:sz="0" w:space="0" w:color="auto"/>
            <w:bottom w:val="none" w:sz="0" w:space="0" w:color="auto"/>
            <w:right w:val="none" w:sz="0" w:space="0" w:color="auto"/>
          </w:divBdr>
        </w:div>
        <w:div w:id="1257444285">
          <w:marLeft w:val="0"/>
          <w:marRight w:val="0"/>
          <w:marTop w:val="0"/>
          <w:marBottom w:val="0"/>
          <w:divBdr>
            <w:top w:val="none" w:sz="0" w:space="0" w:color="auto"/>
            <w:left w:val="none" w:sz="0" w:space="0" w:color="auto"/>
            <w:bottom w:val="none" w:sz="0" w:space="0" w:color="auto"/>
            <w:right w:val="none" w:sz="0" w:space="0" w:color="auto"/>
          </w:divBdr>
        </w:div>
        <w:div w:id="1414080801">
          <w:marLeft w:val="0"/>
          <w:marRight w:val="0"/>
          <w:marTop w:val="0"/>
          <w:marBottom w:val="0"/>
          <w:divBdr>
            <w:top w:val="none" w:sz="0" w:space="0" w:color="auto"/>
            <w:left w:val="none" w:sz="0" w:space="0" w:color="auto"/>
            <w:bottom w:val="none" w:sz="0" w:space="0" w:color="auto"/>
            <w:right w:val="none" w:sz="0" w:space="0" w:color="auto"/>
          </w:divBdr>
        </w:div>
        <w:div w:id="1653489575">
          <w:marLeft w:val="0"/>
          <w:marRight w:val="0"/>
          <w:marTop w:val="0"/>
          <w:marBottom w:val="0"/>
          <w:divBdr>
            <w:top w:val="none" w:sz="0" w:space="0" w:color="auto"/>
            <w:left w:val="none" w:sz="0" w:space="0" w:color="auto"/>
            <w:bottom w:val="none" w:sz="0" w:space="0" w:color="auto"/>
            <w:right w:val="none" w:sz="0" w:space="0" w:color="auto"/>
          </w:divBdr>
        </w:div>
        <w:div w:id="203520872">
          <w:marLeft w:val="0"/>
          <w:marRight w:val="0"/>
          <w:marTop w:val="0"/>
          <w:marBottom w:val="0"/>
          <w:divBdr>
            <w:top w:val="none" w:sz="0" w:space="0" w:color="auto"/>
            <w:left w:val="none" w:sz="0" w:space="0" w:color="auto"/>
            <w:bottom w:val="none" w:sz="0" w:space="0" w:color="auto"/>
            <w:right w:val="none" w:sz="0" w:space="0" w:color="auto"/>
          </w:divBdr>
        </w:div>
        <w:div w:id="1654985891">
          <w:marLeft w:val="0"/>
          <w:marRight w:val="0"/>
          <w:marTop w:val="0"/>
          <w:marBottom w:val="0"/>
          <w:divBdr>
            <w:top w:val="none" w:sz="0" w:space="0" w:color="auto"/>
            <w:left w:val="none" w:sz="0" w:space="0" w:color="auto"/>
            <w:bottom w:val="none" w:sz="0" w:space="0" w:color="auto"/>
            <w:right w:val="none" w:sz="0" w:space="0" w:color="auto"/>
          </w:divBdr>
        </w:div>
        <w:div w:id="927423486">
          <w:marLeft w:val="0"/>
          <w:marRight w:val="0"/>
          <w:marTop w:val="0"/>
          <w:marBottom w:val="0"/>
          <w:divBdr>
            <w:top w:val="none" w:sz="0" w:space="0" w:color="auto"/>
            <w:left w:val="none" w:sz="0" w:space="0" w:color="auto"/>
            <w:bottom w:val="none" w:sz="0" w:space="0" w:color="auto"/>
            <w:right w:val="none" w:sz="0" w:space="0" w:color="auto"/>
          </w:divBdr>
        </w:div>
        <w:div w:id="1122845280">
          <w:marLeft w:val="0"/>
          <w:marRight w:val="0"/>
          <w:marTop w:val="0"/>
          <w:marBottom w:val="0"/>
          <w:divBdr>
            <w:top w:val="none" w:sz="0" w:space="0" w:color="auto"/>
            <w:left w:val="none" w:sz="0" w:space="0" w:color="auto"/>
            <w:bottom w:val="none" w:sz="0" w:space="0" w:color="auto"/>
            <w:right w:val="none" w:sz="0" w:space="0" w:color="auto"/>
          </w:divBdr>
        </w:div>
        <w:div w:id="19861074">
          <w:marLeft w:val="0"/>
          <w:marRight w:val="0"/>
          <w:marTop w:val="0"/>
          <w:marBottom w:val="0"/>
          <w:divBdr>
            <w:top w:val="none" w:sz="0" w:space="0" w:color="auto"/>
            <w:left w:val="none" w:sz="0" w:space="0" w:color="auto"/>
            <w:bottom w:val="none" w:sz="0" w:space="0" w:color="auto"/>
            <w:right w:val="none" w:sz="0" w:space="0" w:color="auto"/>
          </w:divBdr>
        </w:div>
        <w:div w:id="1658874967">
          <w:marLeft w:val="0"/>
          <w:marRight w:val="0"/>
          <w:marTop w:val="0"/>
          <w:marBottom w:val="0"/>
          <w:divBdr>
            <w:top w:val="none" w:sz="0" w:space="0" w:color="auto"/>
            <w:left w:val="none" w:sz="0" w:space="0" w:color="auto"/>
            <w:bottom w:val="none" w:sz="0" w:space="0" w:color="auto"/>
            <w:right w:val="none" w:sz="0" w:space="0" w:color="auto"/>
          </w:divBdr>
        </w:div>
        <w:div w:id="1980838738">
          <w:marLeft w:val="0"/>
          <w:marRight w:val="0"/>
          <w:marTop w:val="0"/>
          <w:marBottom w:val="0"/>
          <w:divBdr>
            <w:top w:val="none" w:sz="0" w:space="0" w:color="auto"/>
            <w:left w:val="none" w:sz="0" w:space="0" w:color="auto"/>
            <w:bottom w:val="none" w:sz="0" w:space="0" w:color="auto"/>
            <w:right w:val="none" w:sz="0" w:space="0" w:color="auto"/>
          </w:divBdr>
        </w:div>
        <w:div w:id="1959604154">
          <w:marLeft w:val="0"/>
          <w:marRight w:val="0"/>
          <w:marTop w:val="0"/>
          <w:marBottom w:val="0"/>
          <w:divBdr>
            <w:top w:val="none" w:sz="0" w:space="0" w:color="auto"/>
            <w:left w:val="none" w:sz="0" w:space="0" w:color="auto"/>
            <w:bottom w:val="none" w:sz="0" w:space="0" w:color="auto"/>
            <w:right w:val="none" w:sz="0" w:space="0" w:color="auto"/>
          </w:divBdr>
        </w:div>
        <w:div w:id="325672725">
          <w:marLeft w:val="0"/>
          <w:marRight w:val="0"/>
          <w:marTop w:val="0"/>
          <w:marBottom w:val="0"/>
          <w:divBdr>
            <w:top w:val="none" w:sz="0" w:space="0" w:color="auto"/>
            <w:left w:val="none" w:sz="0" w:space="0" w:color="auto"/>
            <w:bottom w:val="none" w:sz="0" w:space="0" w:color="auto"/>
            <w:right w:val="none" w:sz="0" w:space="0" w:color="auto"/>
          </w:divBdr>
        </w:div>
        <w:div w:id="1269460885">
          <w:marLeft w:val="0"/>
          <w:marRight w:val="0"/>
          <w:marTop w:val="0"/>
          <w:marBottom w:val="0"/>
          <w:divBdr>
            <w:top w:val="none" w:sz="0" w:space="0" w:color="auto"/>
            <w:left w:val="none" w:sz="0" w:space="0" w:color="auto"/>
            <w:bottom w:val="none" w:sz="0" w:space="0" w:color="auto"/>
            <w:right w:val="none" w:sz="0" w:space="0" w:color="auto"/>
          </w:divBdr>
        </w:div>
        <w:div w:id="1225408611">
          <w:marLeft w:val="0"/>
          <w:marRight w:val="0"/>
          <w:marTop w:val="0"/>
          <w:marBottom w:val="0"/>
          <w:divBdr>
            <w:top w:val="none" w:sz="0" w:space="0" w:color="auto"/>
            <w:left w:val="none" w:sz="0" w:space="0" w:color="auto"/>
            <w:bottom w:val="none" w:sz="0" w:space="0" w:color="auto"/>
            <w:right w:val="none" w:sz="0" w:space="0" w:color="auto"/>
          </w:divBdr>
        </w:div>
        <w:div w:id="689798265">
          <w:marLeft w:val="0"/>
          <w:marRight w:val="0"/>
          <w:marTop w:val="0"/>
          <w:marBottom w:val="0"/>
          <w:divBdr>
            <w:top w:val="none" w:sz="0" w:space="0" w:color="auto"/>
            <w:left w:val="none" w:sz="0" w:space="0" w:color="auto"/>
            <w:bottom w:val="none" w:sz="0" w:space="0" w:color="auto"/>
            <w:right w:val="none" w:sz="0" w:space="0" w:color="auto"/>
          </w:divBdr>
        </w:div>
        <w:div w:id="1425493300">
          <w:marLeft w:val="0"/>
          <w:marRight w:val="0"/>
          <w:marTop w:val="0"/>
          <w:marBottom w:val="0"/>
          <w:divBdr>
            <w:top w:val="none" w:sz="0" w:space="0" w:color="auto"/>
            <w:left w:val="none" w:sz="0" w:space="0" w:color="auto"/>
            <w:bottom w:val="none" w:sz="0" w:space="0" w:color="auto"/>
            <w:right w:val="none" w:sz="0" w:space="0" w:color="auto"/>
          </w:divBdr>
        </w:div>
        <w:div w:id="1469009810">
          <w:marLeft w:val="0"/>
          <w:marRight w:val="0"/>
          <w:marTop w:val="0"/>
          <w:marBottom w:val="0"/>
          <w:divBdr>
            <w:top w:val="none" w:sz="0" w:space="0" w:color="auto"/>
            <w:left w:val="none" w:sz="0" w:space="0" w:color="auto"/>
            <w:bottom w:val="none" w:sz="0" w:space="0" w:color="auto"/>
            <w:right w:val="none" w:sz="0" w:space="0" w:color="auto"/>
          </w:divBdr>
        </w:div>
        <w:div w:id="731276597">
          <w:marLeft w:val="0"/>
          <w:marRight w:val="0"/>
          <w:marTop w:val="0"/>
          <w:marBottom w:val="0"/>
          <w:divBdr>
            <w:top w:val="none" w:sz="0" w:space="0" w:color="auto"/>
            <w:left w:val="none" w:sz="0" w:space="0" w:color="auto"/>
            <w:bottom w:val="none" w:sz="0" w:space="0" w:color="auto"/>
            <w:right w:val="none" w:sz="0" w:space="0" w:color="auto"/>
          </w:divBdr>
        </w:div>
        <w:div w:id="1360666191">
          <w:marLeft w:val="0"/>
          <w:marRight w:val="0"/>
          <w:marTop w:val="0"/>
          <w:marBottom w:val="0"/>
          <w:divBdr>
            <w:top w:val="none" w:sz="0" w:space="0" w:color="auto"/>
            <w:left w:val="none" w:sz="0" w:space="0" w:color="auto"/>
            <w:bottom w:val="none" w:sz="0" w:space="0" w:color="auto"/>
            <w:right w:val="none" w:sz="0" w:space="0" w:color="auto"/>
          </w:divBdr>
        </w:div>
        <w:div w:id="1277518592">
          <w:marLeft w:val="0"/>
          <w:marRight w:val="0"/>
          <w:marTop w:val="0"/>
          <w:marBottom w:val="0"/>
          <w:divBdr>
            <w:top w:val="none" w:sz="0" w:space="0" w:color="auto"/>
            <w:left w:val="none" w:sz="0" w:space="0" w:color="auto"/>
            <w:bottom w:val="none" w:sz="0" w:space="0" w:color="auto"/>
            <w:right w:val="none" w:sz="0" w:space="0" w:color="auto"/>
          </w:divBdr>
        </w:div>
        <w:div w:id="597176300">
          <w:marLeft w:val="0"/>
          <w:marRight w:val="0"/>
          <w:marTop w:val="0"/>
          <w:marBottom w:val="0"/>
          <w:divBdr>
            <w:top w:val="none" w:sz="0" w:space="0" w:color="auto"/>
            <w:left w:val="none" w:sz="0" w:space="0" w:color="auto"/>
            <w:bottom w:val="none" w:sz="0" w:space="0" w:color="auto"/>
            <w:right w:val="none" w:sz="0" w:space="0" w:color="auto"/>
          </w:divBdr>
        </w:div>
        <w:div w:id="373888705">
          <w:marLeft w:val="0"/>
          <w:marRight w:val="0"/>
          <w:marTop w:val="0"/>
          <w:marBottom w:val="0"/>
          <w:divBdr>
            <w:top w:val="none" w:sz="0" w:space="0" w:color="auto"/>
            <w:left w:val="none" w:sz="0" w:space="0" w:color="auto"/>
            <w:bottom w:val="none" w:sz="0" w:space="0" w:color="auto"/>
            <w:right w:val="none" w:sz="0" w:space="0" w:color="auto"/>
          </w:divBdr>
        </w:div>
        <w:div w:id="1860389500">
          <w:marLeft w:val="0"/>
          <w:marRight w:val="0"/>
          <w:marTop w:val="0"/>
          <w:marBottom w:val="0"/>
          <w:divBdr>
            <w:top w:val="none" w:sz="0" w:space="0" w:color="auto"/>
            <w:left w:val="none" w:sz="0" w:space="0" w:color="auto"/>
            <w:bottom w:val="none" w:sz="0" w:space="0" w:color="auto"/>
            <w:right w:val="none" w:sz="0" w:space="0" w:color="auto"/>
          </w:divBdr>
        </w:div>
        <w:div w:id="436215977">
          <w:marLeft w:val="0"/>
          <w:marRight w:val="0"/>
          <w:marTop w:val="0"/>
          <w:marBottom w:val="0"/>
          <w:divBdr>
            <w:top w:val="none" w:sz="0" w:space="0" w:color="auto"/>
            <w:left w:val="none" w:sz="0" w:space="0" w:color="auto"/>
            <w:bottom w:val="none" w:sz="0" w:space="0" w:color="auto"/>
            <w:right w:val="none" w:sz="0" w:space="0" w:color="auto"/>
          </w:divBdr>
        </w:div>
        <w:div w:id="1934239608">
          <w:marLeft w:val="0"/>
          <w:marRight w:val="0"/>
          <w:marTop w:val="0"/>
          <w:marBottom w:val="0"/>
          <w:divBdr>
            <w:top w:val="none" w:sz="0" w:space="0" w:color="auto"/>
            <w:left w:val="none" w:sz="0" w:space="0" w:color="auto"/>
            <w:bottom w:val="none" w:sz="0" w:space="0" w:color="auto"/>
            <w:right w:val="none" w:sz="0" w:space="0" w:color="auto"/>
          </w:divBdr>
        </w:div>
        <w:div w:id="868762658">
          <w:marLeft w:val="0"/>
          <w:marRight w:val="0"/>
          <w:marTop w:val="0"/>
          <w:marBottom w:val="0"/>
          <w:divBdr>
            <w:top w:val="none" w:sz="0" w:space="0" w:color="auto"/>
            <w:left w:val="none" w:sz="0" w:space="0" w:color="auto"/>
            <w:bottom w:val="none" w:sz="0" w:space="0" w:color="auto"/>
            <w:right w:val="none" w:sz="0" w:space="0" w:color="auto"/>
          </w:divBdr>
        </w:div>
        <w:div w:id="1610233619">
          <w:marLeft w:val="0"/>
          <w:marRight w:val="0"/>
          <w:marTop w:val="0"/>
          <w:marBottom w:val="0"/>
          <w:divBdr>
            <w:top w:val="none" w:sz="0" w:space="0" w:color="auto"/>
            <w:left w:val="none" w:sz="0" w:space="0" w:color="auto"/>
            <w:bottom w:val="none" w:sz="0" w:space="0" w:color="auto"/>
            <w:right w:val="none" w:sz="0" w:space="0" w:color="auto"/>
          </w:divBdr>
        </w:div>
        <w:div w:id="1501778036">
          <w:marLeft w:val="0"/>
          <w:marRight w:val="0"/>
          <w:marTop w:val="0"/>
          <w:marBottom w:val="0"/>
          <w:divBdr>
            <w:top w:val="none" w:sz="0" w:space="0" w:color="auto"/>
            <w:left w:val="none" w:sz="0" w:space="0" w:color="auto"/>
            <w:bottom w:val="none" w:sz="0" w:space="0" w:color="auto"/>
            <w:right w:val="none" w:sz="0" w:space="0" w:color="auto"/>
          </w:divBdr>
        </w:div>
        <w:div w:id="76636558">
          <w:marLeft w:val="0"/>
          <w:marRight w:val="0"/>
          <w:marTop w:val="0"/>
          <w:marBottom w:val="0"/>
          <w:divBdr>
            <w:top w:val="none" w:sz="0" w:space="0" w:color="auto"/>
            <w:left w:val="none" w:sz="0" w:space="0" w:color="auto"/>
            <w:bottom w:val="none" w:sz="0" w:space="0" w:color="auto"/>
            <w:right w:val="none" w:sz="0" w:space="0" w:color="auto"/>
          </w:divBdr>
        </w:div>
        <w:div w:id="716395345">
          <w:marLeft w:val="0"/>
          <w:marRight w:val="0"/>
          <w:marTop w:val="0"/>
          <w:marBottom w:val="0"/>
          <w:divBdr>
            <w:top w:val="none" w:sz="0" w:space="0" w:color="auto"/>
            <w:left w:val="none" w:sz="0" w:space="0" w:color="auto"/>
            <w:bottom w:val="none" w:sz="0" w:space="0" w:color="auto"/>
            <w:right w:val="none" w:sz="0" w:space="0" w:color="auto"/>
          </w:divBdr>
        </w:div>
        <w:div w:id="2029794850">
          <w:marLeft w:val="0"/>
          <w:marRight w:val="0"/>
          <w:marTop w:val="0"/>
          <w:marBottom w:val="0"/>
          <w:divBdr>
            <w:top w:val="none" w:sz="0" w:space="0" w:color="auto"/>
            <w:left w:val="none" w:sz="0" w:space="0" w:color="auto"/>
            <w:bottom w:val="none" w:sz="0" w:space="0" w:color="auto"/>
            <w:right w:val="none" w:sz="0" w:space="0" w:color="auto"/>
          </w:divBdr>
        </w:div>
        <w:div w:id="1612592114">
          <w:marLeft w:val="0"/>
          <w:marRight w:val="0"/>
          <w:marTop w:val="0"/>
          <w:marBottom w:val="0"/>
          <w:divBdr>
            <w:top w:val="none" w:sz="0" w:space="0" w:color="auto"/>
            <w:left w:val="none" w:sz="0" w:space="0" w:color="auto"/>
            <w:bottom w:val="none" w:sz="0" w:space="0" w:color="auto"/>
            <w:right w:val="none" w:sz="0" w:space="0" w:color="auto"/>
          </w:divBdr>
        </w:div>
        <w:div w:id="1825968660">
          <w:marLeft w:val="0"/>
          <w:marRight w:val="0"/>
          <w:marTop w:val="0"/>
          <w:marBottom w:val="0"/>
          <w:divBdr>
            <w:top w:val="none" w:sz="0" w:space="0" w:color="auto"/>
            <w:left w:val="none" w:sz="0" w:space="0" w:color="auto"/>
            <w:bottom w:val="none" w:sz="0" w:space="0" w:color="auto"/>
            <w:right w:val="none" w:sz="0" w:space="0" w:color="auto"/>
          </w:divBdr>
        </w:div>
        <w:div w:id="274411107">
          <w:marLeft w:val="0"/>
          <w:marRight w:val="0"/>
          <w:marTop w:val="0"/>
          <w:marBottom w:val="0"/>
          <w:divBdr>
            <w:top w:val="none" w:sz="0" w:space="0" w:color="auto"/>
            <w:left w:val="none" w:sz="0" w:space="0" w:color="auto"/>
            <w:bottom w:val="none" w:sz="0" w:space="0" w:color="auto"/>
            <w:right w:val="none" w:sz="0" w:space="0" w:color="auto"/>
          </w:divBdr>
        </w:div>
        <w:div w:id="330720074">
          <w:marLeft w:val="0"/>
          <w:marRight w:val="0"/>
          <w:marTop w:val="0"/>
          <w:marBottom w:val="0"/>
          <w:divBdr>
            <w:top w:val="none" w:sz="0" w:space="0" w:color="auto"/>
            <w:left w:val="none" w:sz="0" w:space="0" w:color="auto"/>
            <w:bottom w:val="none" w:sz="0" w:space="0" w:color="auto"/>
            <w:right w:val="none" w:sz="0" w:space="0" w:color="auto"/>
          </w:divBdr>
        </w:div>
        <w:div w:id="1015885668">
          <w:marLeft w:val="0"/>
          <w:marRight w:val="0"/>
          <w:marTop w:val="0"/>
          <w:marBottom w:val="0"/>
          <w:divBdr>
            <w:top w:val="none" w:sz="0" w:space="0" w:color="auto"/>
            <w:left w:val="none" w:sz="0" w:space="0" w:color="auto"/>
            <w:bottom w:val="none" w:sz="0" w:space="0" w:color="auto"/>
            <w:right w:val="none" w:sz="0" w:space="0" w:color="auto"/>
          </w:divBdr>
        </w:div>
        <w:div w:id="649486461">
          <w:marLeft w:val="0"/>
          <w:marRight w:val="0"/>
          <w:marTop w:val="0"/>
          <w:marBottom w:val="0"/>
          <w:divBdr>
            <w:top w:val="none" w:sz="0" w:space="0" w:color="auto"/>
            <w:left w:val="none" w:sz="0" w:space="0" w:color="auto"/>
            <w:bottom w:val="none" w:sz="0" w:space="0" w:color="auto"/>
            <w:right w:val="none" w:sz="0" w:space="0" w:color="auto"/>
          </w:divBdr>
        </w:div>
        <w:div w:id="819421890">
          <w:marLeft w:val="0"/>
          <w:marRight w:val="0"/>
          <w:marTop w:val="0"/>
          <w:marBottom w:val="0"/>
          <w:divBdr>
            <w:top w:val="none" w:sz="0" w:space="0" w:color="auto"/>
            <w:left w:val="none" w:sz="0" w:space="0" w:color="auto"/>
            <w:bottom w:val="none" w:sz="0" w:space="0" w:color="auto"/>
            <w:right w:val="none" w:sz="0" w:space="0" w:color="auto"/>
          </w:divBdr>
        </w:div>
        <w:div w:id="1456362648">
          <w:marLeft w:val="0"/>
          <w:marRight w:val="0"/>
          <w:marTop w:val="0"/>
          <w:marBottom w:val="0"/>
          <w:divBdr>
            <w:top w:val="none" w:sz="0" w:space="0" w:color="auto"/>
            <w:left w:val="none" w:sz="0" w:space="0" w:color="auto"/>
            <w:bottom w:val="none" w:sz="0" w:space="0" w:color="auto"/>
            <w:right w:val="none" w:sz="0" w:space="0" w:color="auto"/>
          </w:divBdr>
        </w:div>
        <w:div w:id="1846750947">
          <w:marLeft w:val="0"/>
          <w:marRight w:val="0"/>
          <w:marTop w:val="349"/>
          <w:marBottom w:val="349"/>
          <w:divBdr>
            <w:top w:val="none" w:sz="0" w:space="0" w:color="auto"/>
            <w:left w:val="none" w:sz="0" w:space="0" w:color="auto"/>
            <w:bottom w:val="none" w:sz="0" w:space="0" w:color="auto"/>
            <w:right w:val="none" w:sz="0" w:space="0" w:color="auto"/>
          </w:divBdr>
        </w:div>
        <w:div w:id="1883781689">
          <w:marLeft w:val="0"/>
          <w:marRight w:val="0"/>
          <w:marTop w:val="0"/>
          <w:marBottom w:val="0"/>
          <w:divBdr>
            <w:top w:val="none" w:sz="0" w:space="0" w:color="auto"/>
            <w:left w:val="none" w:sz="0" w:space="0" w:color="auto"/>
            <w:bottom w:val="none" w:sz="0" w:space="0" w:color="auto"/>
            <w:right w:val="none" w:sz="0" w:space="0" w:color="auto"/>
          </w:divBdr>
          <w:divsChild>
            <w:div w:id="1560097378">
              <w:marLeft w:val="0"/>
              <w:marRight w:val="0"/>
              <w:marTop w:val="0"/>
              <w:marBottom w:val="0"/>
              <w:divBdr>
                <w:top w:val="none" w:sz="0" w:space="0" w:color="auto"/>
                <w:left w:val="none" w:sz="0" w:space="0" w:color="auto"/>
                <w:bottom w:val="none" w:sz="0" w:space="0" w:color="auto"/>
                <w:right w:val="none" w:sz="0" w:space="0" w:color="auto"/>
              </w:divBdr>
              <w:divsChild>
                <w:div w:id="2000107590">
                  <w:marLeft w:val="0"/>
                  <w:marRight w:val="0"/>
                  <w:marTop w:val="0"/>
                  <w:marBottom w:val="0"/>
                  <w:divBdr>
                    <w:top w:val="none" w:sz="0" w:space="0" w:color="auto"/>
                    <w:left w:val="none" w:sz="0" w:space="0" w:color="auto"/>
                    <w:bottom w:val="none" w:sz="0" w:space="0" w:color="auto"/>
                    <w:right w:val="none" w:sz="0" w:space="0" w:color="auto"/>
                  </w:divBdr>
                  <w:divsChild>
                    <w:div w:id="1544321883">
                      <w:marLeft w:val="0"/>
                      <w:marRight w:val="0"/>
                      <w:marTop w:val="0"/>
                      <w:marBottom w:val="0"/>
                      <w:divBdr>
                        <w:top w:val="none" w:sz="0" w:space="0" w:color="auto"/>
                        <w:left w:val="none" w:sz="0" w:space="0" w:color="auto"/>
                        <w:bottom w:val="none" w:sz="0" w:space="0" w:color="auto"/>
                        <w:right w:val="none" w:sz="0" w:space="0" w:color="auto"/>
                      </w:divBdr>
                      <w:divsChild>
                        <w:div w:id="683022510">
                          <w:marLeft w:val="0"/>
                          <w:marRight w:val="0"/>
                          <w:marTop w:val="0"/>
                          <w:marBottom w:val="0"/>
                          <w:divBdr>
                            <w:top w:val="none" w:sz="0" w:space="0" w:color="auto"/>
                            <w:left w:val="none" w:sz="0" w:space="0" w:color="auto"/>
                            <w:bottom w:val="none" w:sz="0" w:space="0" w:color="auto"/>
                            <w:right w:val="none" w:sz="0" w:space="0" w:color="auto"/>
                          </w:divBdr>
                          <w:divsChild>
                            <w:div w:id="14692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623">
                      <w:marLeft w:val="0"/>
                      <w:marRight w:val="0"/>
                      <w:marTop w:val="0"/>
                      <w:marBottom w:val="0"/>
                      <w:divBdr>
                        <w:top w:val="none" w:sz="0" w:space="0" w:color="auto"/>
                        <w:left w:val="none" w:sz="0" w:space="0" w:color="auto"/>
                        <w:bottom w:val="none" w:sz="0" w:space="0" w:color="auto"/>
                        <w:right w:val="none" w:sz="0" w:space="0" w:color="auto"/>
                      </w:divBdr>
                    </w:div>
                    <w:div w:id="72288700">
                      <w:marLeft w:val="0"/>
                      <w:marRight w:val="0"/>
                      <w:marTop w:val="0"/>
                      <w:marBottom w:val="0"/>
                      <w:divBdr>
                        <w:top w:val="none" w:sz="0" w:space="0" w:color="auto"/>
                        <w:left w:val="none" w:sz="0" w:space="0" w:color="auto"/>
                        <w:bottom w:val="none" w:sz="0" w:space="0" w:color="auto"/>
                        <w:right w:val="none" w:sz="0" w:space="0" w:color="auto"/>
                      </w:divBdr>
                      <w:divsChild>
                        <w:div w:id="563831855">
                          <w:marLeft w:val="0"/>
                          <w:marRight w:val="0"/>
                          <w:marTop w:val="0"/>
                          <w:marBottom w:val="0"/>
                          <w:divBdr>
                            <w:top w:val="none" w:sz="0" w:space="0" w:color="auto"/>
                            <w:left w:val="none" w:sz="0" w:space="0" w:color="auto"/>
                            <w:bottom w:val="none" w:sz="0" w:space="0" w:color="auto"/>
                            <w:right w:val="none" w:sz="0" w:space="0" w:color="auto"/>
                          </w:divBdr>
                          <w:divsChild>
                            <w:div w:id="722364490">
                              <w:marLeft w:val="0"/>
                              <w:marRight w:val="0"/>
                              <w:marTop w:val="0"/>
                              <w:marBottom w:val="0"/>
                              <w:divBdr>
                                <w:top w:val="none" w:sz="0" w:space="0" w:color="auto"/>
                                <w:left w:val="none" w:sz="0" w:space="0" w:color="auto"/>
                                <w:bottom w:val="none" w:sz="0" w:space="0" w:color="auto"/>
                                <w:right w:val="none" w:sz="0" w:space="0" w:color="auto"/>
                              </w:divBdr>
                            </w:div>
                            <w:div w:id="380981974">
                              <w:marLeft w:val="0"/>
                              <w:marRight w:val="0"/>
                              <w:marTop w:val="0"/>
                              <w:marBottom w:val="0"/>
                              <w:divBdr>
                                <w:top w:val="none" w:sz="0" w:space="0" w:color="auto"/>
                                <w:left w:val="none" w:sz="0" w:space="0" w:color="auto"/>
                                <w:bottom w:val="none" w:sz="0" w:space="0" w:color="auto"/>
                                <w:right w:val="none" w:sz="0" w:space="0" w:color="auto"/>
                              </w:divBdr>
                            </w:div>
                            <w:div w:id="2003073400">
                              <w:marLeft w:val="0"/>
                              <w:marRight w:val="0"/>
                              <w:marTop w:val="0"/>
                              <w:marBottom w:val="0"/>
                              <w:divBdr>
                                <w:top w:val="none" w:sz="0" w:space="0" w:color="auto"/>
                                <w:left w:val="none" w:sz="0" w:space="0" w:color="auto"/>
                                <w:bottom w:val="none" w:sz="0" w:space="0" w:color="auto"/>
                                <w:right w:val="none" w:sz="0" w:space="0" w:color="auto"/>
                              </w:divBdr>
                              <w:divsChild>
                                <w:div w:id="1738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1698391462">
          <w:marLeft w:val="0"/>
          <w:marRight w:val="0"/>
          <w:marTop w:val="0"/>
          <w:marBottom w:val="87"/>
          <w:divBdr>
            <w:top w:val="none" w:sz="0" w:space="0" w:color="auto"/>
            <w:left w:val="none" w:sz="0" w:space="0" w:color="auto"/>
            <w:bottom w:val="none" w:sz="0" w:space="0" w:color="auto"/>
            <w:right w:val="none" w:sz="0" w:space="0" w:color="auto"/>
          </w:divBdr>
          <w:divsChild>
            <w:div w:id="1583832126">
              <w:marLeft w:val="0"/>
              <w:marRight w:val="0"/>
              <w:marTop w:val="0"/>
              <w:marBottom w:val="0"/>
              <w:divBdr>
                <w:top w:val="none" w:sz="0" w:space="0" w:color="auto"/>
                <w:left w:val="none" w:sz="0" w:space="0" w:color="auto"/>
                <w:bottom w:val="none" w:sz="0" w:space="0" w:color="auto"/>
                <w:right w:val="none" w:sz="0" w:space="0" w:color="auto"/>
              </w:divBdr>
              <w:divsChild>
                <w:div w:id="74203366">
                  <w:marLeft w:val="0"/>
                  <w:marRight w:val="0"/>
                  <w:marTop w:val="0"/>
                  <w:marBottom w:val="0"/>
                  <w:divBdr>
                    <w:top w:val="none" w:sz="0" w:space="0" w:color="auto"/>
                    <w:left w:val="none" w:sz="0" w:space="0" w:color="auto"/>
                    <w:bottom w:val="none" w:sz="0" w:space="0" w:color="auto"/>
                    <w:right w:val="none" w:sz="0" w:space="0" w:color="auto"/>
                  </w:divBdr>
                  <w:divsChild>
                    <w:div w:id="5878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92295">
          <w:marLeft w:val="0"/>
          <w:marRight w:val="0"/>
          <w:marTop w:val="0"/>
          <w:marBottom w:val="0"/>
          <w:divBdr>
            <w:top w:val="none" w:sz="0" w:space="0" w:color="auto"/>
            <w:left w:val="none" w:sz="0" w:space="0" w:color="auto"/>
            <w:bottom w:val="none" w:sz="0" w:space="0" w:color="auto"/>
            <w:right w:val="none" w:sz="0" w:space="0" w:color="auto"/>
          </w:divBdr>
        </w:div>
        <w:div w:id="607394844">
          <w:marLeft w:val="0"/>
          <w:marRight w:val="0"/>
          <w:marTop w:val="0"/>
          <w:marBottom w:val="22"/>
          <w:divBdr>
            <w:top w:val="none" w:sz="0" w:space="0" w:color="auto"/>
            <w:left w:val="none" w:sz="0" w:space="0" w:color="auto"/>
            <w:bottom w:val="none" w:sz="0" w:space="0" w:color="auto"/>
            <w:right w:val="none" w:sz="0" w:space="0" w:color="auto"/>
          </w:divBdr>
          <w:divsChild>
            <w:div w:id="1481456839">
              <w:marLeft w:val="0"/>
              <w:marRight w:val="0"/>
              <w:marTop w:val="0"/>
              <w:marBottom w:val="0"/>
              <w:divBdr>
                <w:top w:val="none" w:sz="0" w:space="0" w:color="auto"/>
                <w:left w:val="none" w:sz="0" w:space="0" w:color="auto"/>
                <w:bottom w:val="none" w:sz="0" w:space="0" w:color="auto"/>
                <w:right w:val="none" w:sz="0" w:space="0" w:color="auto"/>
              </w:divBdr>
            </w:div>
            <w:div w:id="1216427820">
              <w:marLeft w:val="0"/>
              <w:marRight w:val="0"/>
              <w:marTop w:val="0"/>
              <w:marBottom w:val="0"/>
              <w:divBdr>
                <w:top w:val="none" w:sz="0" w:space="0" w:color="auto"/>
                <w:left w:val="none" w:sz="0" w:space="0" w:color="auto"/>
                <w:bottom w:val="none" w:sz="0" w:space="0" w:color="auto"/>
                <w:right w:val="none" w:sz="0" w:space="0" w:color="auto"/>
              </w:divBdr>
            </w:div>
          </w:divsChild>
        </w:div>
        <w:div w:id="1451437628">
          <w:marLeft w:val="0"/>
          <w:marRight w:val="0"/>
          <w:marTop w:val="0"/>
          <w:marBottom w:val="0"/>
          <w:divBdr>
            <w:top w:val="none" w:sz="0" w:space="0" w:color="auto"/>
            <w:left w:val="none" w:sz="0" w:space="0" w:color="auto"/>
            <w:bottom w:val="none" w:sz="0" w:space="0" w:color="auto"/>
            <w:right w:val="none" w:sz="0" w:space="0" w:color="auto"/>
          </w:divBdr>
          <w:divsChild>
            <w:div w:id="1498500550">
              <w:marLeft w:val="0"/>
              <w:marRight w:val="0"/>
              <w:marTop w:val="0"/>
              <w:marBottom w:val="87"/>
              <w:divBdr>
                <w:top w:val="none" w:sz="0" w:space="0" w:color="auto"/>
                <w:left w:val="none" w:sz="0" w:space="0" w:color="auto"/>
                <w:bottom w:val="none" w:sz="0" w:space="0" w:color="auto"/>
                <w:right w:val="none" w:sz="0" w:space="0" w:color="auto"/>
              </w:divBdr>
              <w:divsChild>
                <w:div w:id="15709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8332">
          <w:marLeft w:val="0"/>
          <w:marRight w:val="0"/>
          <w:marTop w:val="0"/>
          <w:marBottom w:val="349"/>
          <w:divBdr>
            <w:top w:val="none" w:sz="0" w:space="0" w:color="auto"/>
            <w:left w:val="none" w:sz="0" w:space="0" w:color="auto"/>
            <w:bottom w:val="single" w:sz="8" w:space="17" w:color="EBEBEB"/>
            <w:right w:val="none" w:sz="0" w:space="0" w:color="auto"/>
          </w:divBdr>
          <w:divsChild>
            <w:div w:id="318778819">
              <w:marLeft w:val="0"/>
              <w:marRight w:val="0"/>
              <w:marTop w:val="0"/>
              <w:marBottom w:val="0"/>
              <w:divBdr>
                <w:top w:val="none" w:sz="0" w:space="0" w:color="auto"/>
                <w:left w:val="none" w:sz="0" w:space="0" w:color="auto"/>
                <w:bottom w:val="none" w:sz="0" w:space="0" w:color="auto"/>
                <w:right w:val="none" w:sz="0" w:space="0" w:color="auto"/>
              </w:divBdr>
              <w:divsChild>
                <w:div w:id="317612891">
                  <w:marLeft w:val="0"/>
                  <w:marRight w:val="0"/>
                  <w:marTop w:val="0"/>
                  <w:marBottom w:val="0"/>
                  <w:divBdr>
                    <w:top w:val="none" w:sz="0" w:space="0" w:color="auto"/>
                    <w:left w:val="none" w:sz="0" w:space="0" w:color="auto"/>
                    <w:bottom w:val="none" w:sz="0" w:space="0" w:color="auto"/>
                    <w:right w:val="none" w:sz="0" w:space="0" w:color="auto"/>
                  </w:divBdr>
                </w:div>
                <w:div w:id="1365640998">
                  <w:marLeft w:val="0"/>
                  <w:marRight w:val="0"/>
                  <w:marTop w:val="0"/>
                  <w:marBottom w:val="0"/>
                  <w:divBdr>
                    <w:top w:val="none" w:sz="0" w:space="0" w:color="auto"/>
                    <w:left w:val="none" w:sz="0" w:space="0" w:color="auto"/>
                    <w:bottom w:val="none" w:sz="0" w:space="0" w:color="auto"/>
                    <w:right w:val="none" w:sz="0" w:space="0" w:color="auto"/>
                  </w:divBdr>
                </w:div>
                <w:div w:id="1328090905">
                  <w:marLeft w:val="0"/>
                  <w:marRight w:val="0"/>
                  <w:marTop w:val="0"/>
                  <w:marBottom w:val="0"/>
                  <w:divBdr>
                    <w:top w:val="none" w:sz="0" w:space="0" w:color="auto"/>
                    <w:left w:val="none" w:sz="0" w:space="0" w:color="auto"/>
                    <w:bottom w:val="none" w:sz="0" w:space="0" w:color="auto"/>
                    <w:right w:val="none" w:sz="0" w:space="0" w:color="auto"/>
                  </w:divBdr>
                </w:div>
                <w:div w:id="915554465">
                  <w:marLeft w:val="0"/>
                  <w:marRight w:val="0"/>
                  <w:marTop w:val="0"/>
                  <w:marBottom w:val="0"/>
                  <w:divBdr>
                    <w:top w:val="none" w:sz="0" w:space="0" w:color="auto"/>
                    <w:left w:val="none" w:sz="0" w:space="0" w:color="auto"/>
                    <w:bottom w:val="none" w:sz="0" w:space="0" w:color="auto"/>
                    <w:right w:val="none" w:sz="0" w:space="0" w:color="auto"/>
                  </w:divBdr>
                </w:div>
                <w:div w:id="2058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8335">
          <w:marLeft w:val="0"/>
          <w:marRight w:val="0"/>
          <w:marTop w:val="0"/>
          <w:marBottom w:val="0"/>
          <w:divBdr>
            <w:top w:val="none" w:sz="0" w:space="0" w:color="auto"/>
            <w:left w:val="none" w:sz="0" w:space="0" w:color="auto"/>
            <w:bottom w:val="none" w:sz="0" w:space="0" w:color="auto"/>
            <w:right w:val="none" w:sz="0" w:space="0" w:color="auto"/>
          </w:divBdr>
          <w:divsChild>
            <w:div w:id="2133934324">
              <w:marLeft w:val="0"/>
              <w:marRight w:val="0"/>
              <w:marTop w:val="0"/>
              <w:marBottom w:val="0"/>
              <w:divBdr>
                <w:top w:val="none" w:sz="0" w:space="0" w:color="auto"/>
                <w:left w:val="none" w:sz="0" w:space="0" w:color="auto"/>
                <w:bottom w:val="none" w:sz="0" w:space="0" w:color="auto"/>
                <w:right w:val="none" w:sz="0" w:space="0" w:color="auto"/>
              </w:divBdr>
              <w:divsChild>
                <w:div w:id="635914259">
                  <w:marLeft w:val="0"/>
                  <w:marRight w:val="0"/>
                  <w:marTop w:val="0"/>
                  <w:marBottom w:val="0"/>
                  <w:divBdr>
                    <w:top w:val="none" w:sz="0" w:space="0" w:color="auto"/>
                    <w:left w:val="none" w:sz="0" w:space="0" w:color="auto"/>
                    <w:bottom w:val="none" w:sz="0" w:space="0" w:color="auto"/>
                    <w:right w:val="none" w:sz="0" w:space="0" w:color="auto"/>
                  </w:divBdr>
                  <w:divsChild>
                    <w:div w:id="1574002128">
                      <w:marLeft w:val="0"/>
                      <w:marRight w:val="0"/>
                      <w:marTop w:val="175"/>
                      <w:marBottom w:val="175"/>
                      <w:divBdr>
                        <w:top w:val="single" w:sz="8" w:space="0" w:color="EBEBEB"/>
                        <w:left w:val="none" w:sz="0" w:space="0" w:color="auto"/>
                        <w:bottom w:val="single" w:sz="8" w:space="0" w:color="EBEBEB"/>
                        <w:right w:val="none" w:sz="0" w:space="0" w:color="auto"/>
                      </w:divBdr>
                      <w:divsChild>
                        <w:div w:id="42028014">
                          <w:marLeft w:val="262"/>
                          <w:marRight w:val="262"/>
                          <w:marTop w:val="175"/>
                          <w:marBottom w:val="218"/>
                          <w:divBdr>
                            <w:top w:val="none" w:sz="0" w:space="0" w:color="auto"/>
                            <w:left w:val="none" w:sz="0" w:space="0" w:color="auto"/>
                            <w:bottom w:val="none" w:sz="0" w:space="0" w:color="auto"/>
                            <w:right w:val="none" w:sz="0" w:space="0" w:color="auto"/>
                          </w:divBdr>
                        </w:div>
                        <w:div w:id="87235628">
                          <w:marLeft w:val="0"/>
                          <w:marRight w:val="0"/>
                          <w:marTop w:val="175"/>
                          <w:marBottom w:val="175"/>
                          <w:divBdr>
                            <w:top w:val="none" w:sz="0" w:space="0" w:color="auto"/>
                            <w:left w:val="none" w:sz="0" w:space="0" w:color="auto"/>
                            <w:bottom w:val="none" w:sz="0" w:space="0" w:color="auto"/>
                            <w:right w:val="none" w:sz="0" w:space="0" w:color="auto"/>
                          </w:divBdr>
                        </w:div>
                      </w:divsChild>
                    </w:div>
                  </w:divsChild>
                </w:div>
                <w:div w:id="294678012">
                  <w:marLeft w:val="0"/>
                  <w:marRight w:val="0"/>
                  <w:marTop w:val="240"/>
                  <w:marBottom w:val="240"/>
                  <w:divBdr>
                    <w:top w:val="none" w:sz="0" w:space="0" w:color="auto"/>
                    <w:left w:val="none" w:sz="0" w:space="0" w:color="auto"/>
                    <w:bottom w:val="none" w:sz="0" w:space="0" w:color="auto"/>
                    <w:right w:val="none" w:sz="0" w:space="0" w:color="auto"/>
                  </w:divBdr>
                </w:div>
                <w:div w:id="320816489">
                  <w:marLeft w:val="0"/>
                  <w:marRight w:val="0"/>
                  <w:marTop w:val="240"/>
                  <w:marBottom w:val="240"/>
                  <w:divBdr>
                    <w:top w:val="none" w:sz="0" w:space="0" w:color="auto"/>
                    <w:left w:val="none" w:sz="0" w:space="0" w:color="auto"/>
                    <w:bottom w:val="none" w:sz="0" w:space="0" w:color="auto"/>
                    <w:right w:val="none" w:sz="0" w:space="0" w:color="auto"/>
                  </w:divBdr>
                </w:div>
                <w:div w:id="2002923831">
                  <w:marLeft w:val="0"/>
                  <w:marRight w:val="0"/>
                  <w:marTop w:val="240"/>
                  <w:marBottom w:val="240"/>
                  <w:divBdr>
                    <w:top w:val="none" w:sz="0" w:space="0" w:color="auto"/>
                    <w:left w:val="none" w:sz="0" w:space="0" w:color="auto"/>
                    <w:bottom w:val="none" w:sz="0" w:space="0" w:color="auto"/>
                    <w:right w:val="none" w:sz="0" w:space="0" w:color="auto"/>
                  </w:divBdr>
                </w:div>
                <w:div w:id="385880685">
                  <w:marLeft w:val="0"/>
                  <w:marRight w:val="0"/>
                  <w:marTop w:val="240"/>
                  <w:marBottom w:val="240"/>
                  <w:divBdr>
                    <w:top w:val="none" w:sz="0" w:space="0" w:color="auto"/>
                    <w:left w:val="none" w:sz="0" w:space="0" w:color="auto"/>
                    <w:bottom w:val="none" w:sz="0" w:space="0" w:color="auto"/>
                    <w:right w:val="none" w:sz="0" w:space="0" w:color="auto"/>
                  </w:divBdr>
                </w:div>
                <w:div w:id="212936409">
                  <w:marLeft w:val="0"/>
                  <w:marRight w:val="0"/>
                  <w:marTop w:val="0"/>
                  <w:marBottom w:val="0"/>
                  <w:divBdr>
                    <w:top w:val="none" w:sz="0" w:space="0" w:color="auto"/>
                    <w:left w:val="none" w:sz="0" w:space="0" w:color="auto"/>
                    <w:bottom w:val="none" w:sz="0" w:space="0" w:color="auto"/>
                    <w:right w:val="none" w:sz="0" w:space="0" w:color="auto"/>
                  </w:divBdr>
                  <w:divsChild>
                    <w:div w:id="219564227">
                      <w:marLeft w:val="0"/>
                      <w:marRight w:val="0"/>
                      <w:marTop w:val="175"/>
                      <w:marBottom w:val="175"/>
                      <w:divBdr>
                        <w:top w:val="single" w:sz="8" w:space="0" w:color="EBEBEB"/>
                        <w:left w:val="none" w:sz="0" w:space="0" w:color="auto"/>
                        <w:bottom w:val="single" w:sz="8" w:space="0" w:color="EBEBEB"/>
                        <w:right w:val="none" w:sz="0" w:space="0" w:color="auto"/>
                      </w:divBdr>
                      <w:divsChild>
                        <w:div w:id="1553271198">
                          <w:marLeft w:val="262"/>
                          <w:marRight w:val="262"/>
                          <w:marTop w:val="175"/>
                          <w:marBottom w:val="218"/>
                          <w:divBdr>
                            <w:top w:val="none" w:sz="0" w:space="0" w:color="auto"/>
                            <w:left w:val="none" w:sz="0" w:space="0" w:color="auto"/>
                            <w:bottom w:val="none" w:sz="0" w:space="0" w:color="auto"/>
                            <w:right w:val="none" w:sz="0" w:space="0" w:color="auto"/>
                          </w:divBdr>
                        </w:div>
                        <w:div w:id="2057464730">
                          <w:marLeft w:val="0"/>
                          <w:marRight w:val="0"/>
                          <w:marTop w:val="175"/>
                          <w:marBottom w:val="175"/>
                          <w:divBdr>
                            <w:top w:val="none" w:sz="0" w:space="0" w:color="auto"/>
                            <w:left w:val="none" w:sz="0" w:space="0" w:color="auto"/>
                            <w:bottom w:val="none" w:sz="0" w:space="0" w:color="auto"/>
                            <w:right w:val="none" w:sz="0" w:space="0" w:color="auto"/>
                          </w:divBdr>
                        </w:div>
                      </w:divsChild>
                    </w:div>
                  </w:divsChild>
                </w:div>
                <w:div w:id="1345671810">
                  <w:marLeft w:val="0"/>
                  <w:marRight w:val="0"/>
                  <w:marTop w:val="0"/>
                  <w:marBottom w:val="0"/>
                  <w:divBdr>
                    <w:top w:val="none" w:sz="0" w:space="0" w:color="auto"/>
                    <w:left w:val="none" w:sz="0" w:space="0" w:color="auto"/>
                    <w:bottom w:val="none" w:sz="0" w:space="0" w:color="auto"/>
                    <w:right w:val="none" w:sz="0" w:space="0" w:color="auto"/>
                  </w:divBdr>
                  <w:divsChild>
                    <w:div w:id="562105807">
                      <w:marLeft w:val="0"/>
                      <w:marRight w:val="0"/>
                      <w:marTop w:val="175"/>
                      <w:marBottom w:val="175"/>
                      <w:divBdr>
                        <w:top w:val="single" w:sz="8" w:space="0" w:color="EBEBEB"/>
                        <w:left w:val="none" w:sz="0" w:space="0" w:color="auto"/>
                        <w:bottom w:val="single" w:sz="8" w:space="0" w:color="EBEBEB"/>
                        <w:right w:val="none" w:sz="0" w:space="0" w:color="auto"/>
                      </w:divBdr>
                      <w:divsChild>
                        <w:div w:id="1756631075">
                          <w:marLeft w:val="262"/>
                          <w:marRight w:val="262"/>
                          <w:marTop w:val="175"/>
                          <w:marBottom w:val="218"/>
                          <w:divBdr>
                            <w:top w:val="none" w:sz="0" w:space="0" w:color="auto"/>
                            <w:left w:val="none" w:sz="0" w:space="0" w:color="auto"/>
                            <w:bottom w:val="none" w:sz="0" w:space="0" w:color="auto"/>
                            <w:right w:val="none" w:sz="0" w:space="0" w:color="auto"/>
                          </w:divBdr>
                        </w:div>
                        <w:div w:id="270744267">
                          <w:marLeft w:val="0"/>
                          <w:marRight w:val="0"/>
                          <w:marTop w:val="175"/>
                          <w:marBottom w:val="175"/>
                          <w:divBdr>
                            <w:top w:val="none" w:sz="0" w:space="0" w:color="auto"/>
                            <w:left w:val="none" w:sz="0" w:space="0" w:color="auto"/>
                            <w:bottom w:val="none" w:sz="0" w:space="0" w:color="auto"/>
                            <w:right w:val="none" w:sz="0" w:space="0" w:color="auto"/>
                          </w:divBdr>
                        </w:div>
                      </w:divsChild>
                    </w:div>
                  </w:divsChild>
                </w:div>
                <w:div w:id="663052074">
                  <w:marLeft w:val="0"/>
                  <w:marRight w:val="0"/>
                  <w:marTop w:val="0"/>
                  <w:marBottom w:val="0"/>
                  <w:divBdr>
                    <w:top w:val="none" w:sz="0" w:space="0" w:color="auto"/>
                    <w:left w:val="none" w:sz="0" w:space="0" w:color="auto"/>
                    <w:bottom w:val="none" w:sz="0" w:space="0" w:color="auto"/>
                    <w:right w:val="none" w:sz="0" w:space="0" w:color="auto"/>
                  </w:divBdr>
                  <w:divsChild>
                    <w:div w:id="1503423752">
                      <w:marLeft w:val="262"/>
                      <w:marRight w:val="262"/>
                      <w:marTop w:val="0"/>
                      <w:marBottom w:val="218"/>
                      <w:divBdr>
                        <w:top w:val="none" w:sz="0" w:space="0" w:color="auto"/>
                        <w:left w:val="none" w:sz="0" w:space="0" w:color="auto"/>
                        <w:bottom w:val="none" w:sz="0" w:space="0" w:color="auto"/>
                        <w:right w:val="none" w:sz="0" w:space="0" w:color="auto"/>
                      </w:divBdr>
                    </w:div>
                    <w:div w:id="1714498524">
                      <w:marLeft w:val="262"/>
                      <w:marRight w:val="262"/>
                      <w:marTop w:val="0"/>
                      <w:marBottom w:val="218"/>
                      <w:divBdr>
                        <w:top w:val="none" w:sz="0" w:space="0" w:color="auto"/>
                        <w:left w:val="none" w:sz="0" w:space="0" w:color="auto"/>
                        <w:bottom w:val="none" w:sz="0" w:space="0" w:color="auto"/>
                        <w:right w:val="none" w:sz="0" w:space="0" w:color="auto"/>
                      </w:divBdr>
                    </w:div>
                    <w:div w:id="436561756">
                      <w:marLeft w:val="262"/>
                      <w:marRight w:val="262"/>
                      <w:marTop w:val="0"/>
                      <w:marBottom w:val="218"/>
                      <w:divBdr>
                        <w:top w:val="none" w:sz="0" w:space="0" w:color="auto"/>
                        <w:left w:val="none" w:sz="0" w:space="0" w:color="auto"/>
                        <w:bottom w:val="none" w:sz="0" w:space="0" w:color="auto"/>
                        <w:right w:val="none" w:sz="0" w:space="0" w:color="auto"/>
                      </w:divBdr>
                    </w:div>
                    <w:div w:id="456679352">
                      <w:marLeft w:val="262"/>
                      <w:marRight w:val="262"/>
                      <w:marTop w:val="0"/>
                      <w:marBottom w:val="218"/>
                      <w:divBdr>
                        <w:top w:val="none" w:sz="0" w:space="0" w:color="auto"/>
                        <w:left w:val="none" w:sz="0" w:space="0" w:color="auto"/>
                        <w:bottom w:val="none" w:sz="0" w:space="0" w:color="auto"/>
                        <w:right w:val="none" w:sz="0" w:space="0" w:color="auto"/>
                      </w:divBdr>
                    </w:div>
                    <w:div w:id="747384096">
                      <w:marLeft w:val="262"/>
                      <w:marRight w:val="262"/>
                      <w:marTop w:val="0"/>
                      <w:marBottom w:val="218"/>
                      <w:divBdr>
                        <w:top w:val="none" w:sz="0" w:space="0" w:color="auto"/>
                        <w:left w:val="none" w:sz="0" w:space="0" w:color="auto"/>
                        <w:bottom w:val="none" w:sz="0" w:space="0" w:color="auto"/>
                        <w:right w:val="none" w:sz="0" w:space="0" w:color="auto"/>
                      </w:divBdr>
                    </w:div>
                    <w:div w:id="2065105087">
                      <w:marLeft w:val="262"/>
                      <w:marRight w:val="262"/>
                      <w:marTop w:val="0"/>
                      <w:marBottom w:val="218"/>
                      <w:divBdr>
                        <w:top w:val="none" w:sz="0" w:space="0" w:color="auto"/>
                        <w:left w:val="none" w:sz="0" w:space="0" w:color="auto"/>
                        <w:bottom w:val="none" w:sz="0" w:space="0" w:color="auto"/>
                        <w:right w:val="none" w:sz="0" w:space="0" w:color="auto"/>
                      </w:divBdr>
                    </w:div>
                    <w:div w:id="295844289">
                      <w:marLeft w:val="262"/>
                      <w:marRight w:val="262"/>
                      <w:marTop w:val="0"/>
                      <w:marBottom w:val="218"/>
                      <w:divBdr>
                        <w:top w:val="none" w:sz="0" w:space="0" w:color="auto"/>
                        <w:left w:val="none" w:sz="0" w:space="0" w:color="auto"/>
                        <w:bottom w:val="none" w:sz="0" w:space="0" w:color="auto"/>
                        <w:right w:val="none" w:sz="0" w:space="0" w:color="auto"/>
                      </w:divBdr>
                    </w:div>
                    <w:div w:id="1491559721">
                      <w:marLeft w:val="262"/>
                      <w:marRight w:val="262"/>
                      <w:marTop w:val="0"/>
                      <w:marBottom w:val="218"/>
                      <w:divBdr>
                        <w:top w:val="none" w:sz="0" w:space="0" w:color="auto"/>
                        <w:left w:val="none" w:sz="0" w:space="0" w:color="auto"/>
                        <w:bottom w:val="none" w:sz="0" w:space="0" w:color="auto"/>
                        <w:right w:val="none" w:sz="0" w:space="0" w:color="auto"/>
                      </w:divBdr>
                    </w:div>
                    <w:div w:id="335575990">
                      <w:marLeft w:val="262"/>
                      <w:marRight w:val="262"/>
                      <w:marTop w:val="0"/>
                      <w:marBottom w:val="218"/>
                      <w:divBdr>
                        <w:top w:val="none" w:sz="0" w:space="0" w:color="auto"/>
                        <w:left w:val="none" w:sz="0" w:space="0" w:color="auto"/>
                        <w:bottom w:val="none" w:sz="0" w:space="0" w:color="auto"/>
                        <w:right w:val="none" w:sz="0" w:space="0" w:color="auto"/>
                      </w:divBdr>
                    </w:div>
                    <w:div w:id="1807890555">
                      <w:marLeft w:val="262"/>
                      <w:marRight w:val="262"/>
                      <w:marTop w:val="0"/>
                      <w:marBottom w:val="218"/>
                      <w:divBdr>
                        <w:top w:val="none" w:sz="0" w:space="0" w:color="auto"/>
                        <w:left w:val="none" w:sz="0" w:space="0" w:color="auto"/>
                        <w:bottom w:val="none" w:sz="0" w:space="0" w:color="auto"/>
                        <w:right w:val="none" w:sz="0" w:space="0" w:color="auto"/>
                      </w:divBdr>
                    </w:div>
                    <w:div w:id="152067950">
                      <w:marLeft w:val="262"/>
                      <w:marRight w:val="262"/>
                      <w:marTop w:val="0"/>
                      <w:marBottom w:val="218"/>
                      <w:divBdr>
                        <w:top w:val="none" w:sz="0" w:space="0" w:color="auto"/>
                        <w:left w:val="none" w:sz="0" w:space="0" w:color="auto"/>
                        <w:bottom w:val="none" w:sz="0" w:space="0" w:color="auto"/>
                        <w:right w:val="none" w:sz="0" w:space="0" w:color="auto"/>
                      </w:divBdr>
                    </w:div>
                  </w:divsChild>
                </w:div>
              </w:divsChild>
            </w:div>
          </w:divsChild>
        </w:div>
        <w:div w:id="1278369462">
          <w:marLeft w:val="0"/>
          <w:marRight w:val="0"/>
          <w:marTop w:val="0"/>
          <w:marBottom w:val="0"/>
          <w:divBdr>
            <w:top w:val="none" w:sz="0" w:space="0" w:color="auto"/>
            <w:left w:val="none" w:sz="0" w:space="0" w:color="auto"/>
            <w:bottom w:val="none" w:sz="0" w:space="0" w:color="auto"/>
            <w:right w:val="none" w:sz="0" w:space="0" w:color="auto"/>
          </w:divBdr>
        </w:div>
        <w:div w:id="427699031">
          <w:marLeft w:val="0"/>
          <w:marRight w:val="0"/>
          <w:marTop w:val="0"/>
          <w:marBottom w:val="0"/>
          <w:divBdr>
            <w:top w:val="none" w:sz="0" w:space="0" w:color="auto"/>
            <w:left w:val="none" w:sz="0" w:space="0" w:color="auto"/>
            <w:bottom w:val="none" w:sz="0" w:space="0" w:color="auto"/>
            <w:right w:val="none" w:sz="0" w:space="0" w:color="auto"/>
          </w:divBdr>
        </w:div>
        <w:div w:id="1180660281">
          <w:marLeft w:val="0"/>
          <w:marRight w:val="0"/>
          <w:marTop w:val="0"/>
          <w:marBottom w:val="0"/>
          <w:divBdr>
            <w:top w:val="none" w:sz="0" w:space="0" w:color="auto"/>
            <w:left w:val="none" w:sz="0" w:space="0" w:color="auto"/>
            <w:bottom w:val="none" w:sz="0" w:space="0" w:color="auto"/>
            <w:right w:val="none" w:sz="0" w:space="0" w:color="auto"/>
          </w:divBdr>
        </w:div>
        <w:div w:id="288054027">
          <w:marLeft w:val="0"/>
          <w:marRight w:val="0"/>
          <w:marTop w:val="0"/>
          <w:marBottom w:val="0"/>
          <w:divBdr>
            <w:top w:val="none" w:sz="0" w:space="0" w:color="auto"/>
            <w:left w:val="none" w:sz="0" w:space="0" w:color="auto"/>
            <w:bottom w:val="none" w:sz="0" w:space="0" w:color="auto"/>
            <w:right w:val="none" w:sz="0" w:space="0" w:color="auto"/>
          </w:divBdr>
        </w:div>
        <w:div w:id="1199704649">
          <w:marLeft w:val="0"/>
          <w:marRight w:val="0"/>
          <w:marTop w:val="0"/>
          <w:marBottom w:val="0"/>
          <w:divBdr>
            <w:top w:val="none" w:sz="0" w:space="0" w:color="auto"/>
            <w:left w:val="none" w:sz="0" w:space="0" w:color="auto"/>
            <w:bottom w:val="none" w:sz="0" w:space="0" w:color="auto"/>
            <w:right w:val="none" w:sz="0" w:space="0" w:color="auto"/>
          </w:divBdr>
        </w:div>
        <w:div w:id="551308616">
          <w:marLeft w:val="0"/>
          <w:marRight w:val="0"/>
          <w:marTop w:val="0"/>
          <w:marBottom w:val="0"/>
          <w:divBdr>
            <w:top w:val="none" w:sz="0" w:space="0" w:color="auto"/>
            <w:left w:val="none" w:sz="0" w:space="0" w:color="auto"/>
            <w:bottom w:val="none" w:sz="0" w:space="0" w:color="auto"/>
            <w:right w:val="none" w:sz="0" w:space="0" w:color="auto"/>
          </w:divBdr>
        </w:div>
        <w:div w:id="1865552728">
          <w:marLeft w:val="0"/>
          <w:marRight w:val="0"/>
          <w:marTop w:val="0"/>
          <w:marBottom w:val="0"/>
          <w:divBdr>
            <w:top w:val="none" w:sz="0" w:space="0" w:color="auto"/>
            <w:left w:val="none" w:sz="0" w:space="0" w:color="auto"/>
            <w:bottom w:val="none" w:sz="0" w:space="0" w:color="auto"/>
            <w:right w:val="none" w:sz="0" w:space="0" w:color="auto"/>
          </w:divBdr>
        </w:div>
        <w:div w:id="757946915">
          <w:marLeft w:val="0"/>
          <w:marRight w:val="0"/>
          <w:marTop w:val="0"/>
          <w:marBottom w:val="0"/>
          <w:divBdr>
            <w:top w:val="none" w:sz="0" w:space="0" w:color="auto"/>
            <w:left w:val="none" w:sz="0" w:space="0" w:color="auto"/>
            <w:bottom w:val="none" w:sz="0" w:space="0" w:color="auto"/>
            <w:right w:val="none" w:sz="0" w:space="0" w:color="auto"/>
          </w:divBdr>
        </w:div>
        <w:div w:id="235479239">
          <w:marLeft w:val="0"/>
          <w:marRight w:val="0"/>
          <w:marTop w:val="0"/>
          <w:marBottom w:val="0"/>
          <w:divBdr>
            <w:top w:val="none" w:sz="0" w:space="0" w:color="auto"/>
            <w:left w:val="none" w:sz="0" w:space="0" w:color="auto"/>
            <w:bottom w:val="none" w:sz="0" w:space="0" w:color="auto"/>
            <w:right w:val="none" w:sz="0" w:space="0" w:color="auto"/>
          </w:divBdr>
        </w:div>
        <w:div w:id="2081243354">
          <w:marLeft w:val="0"/>
          <w:marRight w:val="0"/>
          <w:marTop w:val="0"/>
          <w:marBottom w:val="0"/>
          <w:divBdr>
            <w:top w:val="none" w:sz="0" w:space="0" w:color="auto"/>
            <w:left w:val="none" w:sz="0" w:space="0" w:color="auto"/>
            <w:bottom w:val="none" w:sz="0" w:space="0" w:color="auto"/>
            <w:right w:val="none" w:sz="0" w:space="0" w:color="auto"/>
          </w:divBdr>
        </w:div>
        <w:div w:id="321005048">
          <w:marLeft w:val="0"/>
          <w:marRight w:val="0"/>
          <w:marTop w:val="0"/>
          <w:marBottom w:val="0"/>
          <w:divBdr>
            <w:top w:val="none" w:sz="0" w:space="0" w:color="auto"/>
            <w:left w:val="none" w:sz="0" w:space="0" w:color="auto"/>
            <w:bottom w:val="none" w:sz="0" w:space="0" w:color="auto"/>
            <w:right w:val="none" w:sz="0" w:space="0" w:color="auto"/>
          </w:divBdr>
        </w:div>
        <w:div w:id="930234092">
          <w:marLeft w:val="0"/>
          <w:marRight w:val="0"/>
          <w:marTop w:val="0"/>
          <w:marBottom w:val="0"/>
          <w:divBdr>
            <w:top w:val="none" w:sz="0" w:space="0" w:color="auto"/>
            <w:left w:val="none" w:sz="0" w:space="0" w:color="auto"/>
            <w:bottom w:val="none" w:sz="0" w:space="0" w:color="auto"/>
            <w:right w:val="none" w:sz="0" w:space="0" w:color="auto"/>
          </w:divBdr>
        </w:div>
        <w:div w:id="1953973498">
          <w:marLeft w:val="0"/>
          <w:marRight w:val="0"/>
          <w:marTop w:val="0"/>
          <w:marBottom w:val="0"/>
          <w:divBdr>
            <w:top w:val="none" w:sz="0" w:space="0" w:color="auto"/>
            <w:left w:val="none" w:sz="0" w:space="0" w:color="auto"/>
            <w:bottom w:val="none" w:sz="0" w:space="0" w:color="auto"/>
            <w:right w:val="none" w:sz="0" w:space="0" w:color="auto"/>
          </w:divBdr>
        </w:div>
        <w:div w:id="1173229367">
          <w:marLeft w:val="0"/>
          <w:marRight w:val="0"/>
          <w:marTop w:val="0"/>
          <w:marBottom w:val="0"/>
          <w:divBdr>
            <w:top w:val="none" w:sz="0" w:space="0" w:color="auto"/>
            <w:left w:val="none" w:sz="0" w:space="0" w:color="auto"/>
            <w:bottom w:val="none" w:sz="0" w:space="0" w:color="auto"/>
            <w:right w:val="none" w:sz="0" w:space="0" w:color="auto"/>
          </w:divBdr>
        </w:div>
        <w:div w:id="742607954">
          <w:marLeft w:val="0"/>
          <w:marRight w:val="0"/>
          <w:marTop w:val="0"/>
          <w:marBottom w:val="0"/>
          <w:divBdr>
            <w:top w:val="none" w:sz="0" w:space="0" w:color="auto"/>
            <w:left w:val="none" w:sz="0" w:space="0" w:color="auto"/>
            <w:bottom w:val="none" w:sz="0" w:space="0" w:color="auto"/>
            <w:right w:val="none" w:sz="0" w:space="0" w:color="auto"/>
          </w:divBdr>
        </w:div>
        <w:div w:id="2130198582">
          <w:marLeft w:val="0"/>
          <w:marRight w:val="0"/>
          <w:marTop w:val="0"/>
          <w:marBottom w:val="0"/>
          <w:divBdr>
            <w:top w:val="none" w:sz="0" w:space="0" w:color="auto"/>
            <w:left w:val="none" w:sz="0" w:space="0" w:color="auto"/>
            <w:bottom w:val="none" w:sz="0" w:space="0" w:color="auto"/>
            <w:right w:val="none" w:sz="0" w:space="0" w:color="auto"/>
          </w:divBdr>
        </w:div>
        <w:div w:id="83379060">
          <w:marLeft w:val="0"/>
          <w:marRight w:val="0"/>
          <w:marTop w:val="0"/>
          <w:marBottom w:val="0"/>
          <w:divBdr>
            <w:top w:val="none" w:sz="0" w:space="0" w:color="auto"/>
            <w:left w:val="none" w:sz="0" w:space="0" w:color="auto"/>
            <w:bottom w:val="none" w:sz="0" w:space="0" w:color="auto"/>
            <w:right w:val="none" w:sz="0" w:space="0" w:color="auto"/>
          </w:divBdr>
        </w:div>
        <w:div w:id="1323007762">
          <w:marLeft w:val="0"/>
          <w:marRight w:val="0"/>
          <w:marTop w:val="0"/>
          <w:marBottom w:val="0"/>
          <w:divBdr>
            <w:top w:val="none" w:sz="0" w:space="0" w:color="auto"/>
            <w:left w:val="none" w:sz="0" w:space="0" w:color="auto"/>
            <w:bottom w:val="none" w:sz="0" w:space="0" w:color="auto"/>
            <w:right w:val="none" w:sz="0" w:space="0" w:color="auto"/>
          </w:divBdr>
        </w:div>
        <w:div w:id="2115589831">
          <w:marLeft w:val="0"/>
          <w:marRight w:val="0"/>
          <w:marTop w:val="0"/>
          <w:marBottom w:val="0"/>
          <w:divBdr>
            <w:top w:val="none" w:sz="0" w:space="0" w:color="auto"/>
            <w:left w:val="none" w:sz="0" w:space="0" w:color="auto"/>
            <w:bottom w:val="none" w:sz="0" w:space="0" w:color="auto"/>
            <w:right w:val="none" w:sz="0" w:space="0" w:color="auto"/>
          </w:divBdr>
        </w:div>
        <w:div w:id="831920032">
          <w:marLeft w:val="0"/>
          <w:marRight w:val="0"/>
          <w:marTop w:val="0"/>
          <w:marBottom w:val="0"/>
          <w:divBdr>
            <w:top w:val="none" w:sz="0" w:space="0" w:color="auto"/>
            <w:left w:val="none" w:sz="0" w:space="0" w:color="auto"/>
            <w:bottom w:val="none" w:sz="0" w:space="0" w:color="auto"/>
            <w:right w:val="none" w:sz="0" w:space="0" w:color="auto"/>
          </w:divBdr>
        </w:div>
        <w:div w:id="1614358651">
          <w:marLeft w:val="0"/>
          <w:marRight w:val="0"/>
          <w:marTop w:val="0"/>
          <w:marBottom w:val="0"/>
          <w:divBdr>
            <w:top w:val="none" w:sz="0" w:space="0" w:color="auto"/>
            <w:left w:val="none" w:sz="0" w:space="0" w:color="auto"/>
            <w:bottom w:val="none" w:sz="0" w:space="0" w:color="auto"/>
            <w:right w:val="none" w:sz="0" w:space="0" w:color="auto"/>
          </w:divBdr>
        </w:div>
        <w:div w:id="468400803">
          <w:marLeft w:val="0"/>
          <w:marRight w:val="0"/>
          <w:marTop w:val="0"/>
          <w:marBottom w:val="0"/>
          <w:divBdr>
            <w:top w:val="none" w:sz="0" w:space="0" w:color="auto"/>
            <w:left w:val="none" w:sz="0" w:space="0" w:color="auto"/>
            <w:bottom w:val="none" w:sz="0" w:space="0" w:color="auto"/>
            <w:right w:val="none" w:sz="0" w:space="0" w:color="auto"/>
          </w:divBdr>
        </w:div>
        <w:div w:id="317535089">
          <w:marLeft w:val="0"/>
          <w:marRight w:val="0"/>
          <w:marTop w:val="0"/>
          <w:marBottom w:val="0"/>
          <w:divBdr>
            <w:top w:val="none" w:sz="0" w:space="0" w:color="auto"/>
            <w:left w:val="none" w:sz="0" w:space="0" w:color="auto"/>
            <w:bottom w:val="none" w:sz="0" w:space="0" w:color="auto"/>
            <w:right w:val="none" w:sz="0" w:space="0" w:color="auto"/>
          </w:divBdr>
        </w:div>
        <w:div w:id="315844278">
          <w:marLeft w:val="0"/>
          <w:marRight w:val="0"/>
          <w:marTop w:val="0"/>
          <w:marBottom w:val="0"/>
          <w:divBdr>
            <w:top w:val="none" w:sz="0" w:space="0" w:color="auto"/>
            <w:left w:val="none" w:sz="0" w:space="0" w:color="auto"/>
            <w:bottom w:val="none" w:sz="0" w:space="0" w:color="auto"/>
            <w:right w:val="none" w:sz="0" w:space="0" w:color="auto"/>
          </w:divBdr>
        </w:div>
        <w:div w:id="2105613056">
          <w:marLeft w:val="0"/>
          <w:marRight w:val="0"/>
          <w:marTop w:val="0"/>
          <w:marBottom w:val="0"/>
          <w:divBdr>
            <w:top w:val="none" w:sz="0" w:space="0" w:color="auto"/>
            <w:left w:val="none" w:sz="0" w:space="0" w:color="auto"/>
            <w:bottom w:val="none" w:sz="0" w:space="0" w:color="auto"/>
            <w:right w:val="none" w:sz="0" w:space="0" w:color="auto"/>
          </w:divBdr>
        </w:div>
        <w:div w:id="1448963741">
          <w:marLeft w:val="0"/>
          <w:marRight w:val="0"/>
          <w:marTop w:val="0"/>
          <w:marBottom w:val="0"/>
          <w:divBdr>
            <w:top w:val="none" w:sz="0" w:space="0" w:color="auto"/>
            <w:left w:val="none" w:sz="0" w:space="0" w:color="auto"/>
            <w:bottom w:val="none" w:sz="0" w:space="0" w:color="auto"/>
            <w:right w:val="none" w:sz="0" w:space="0" w:color="auto"/>
          </w:divBdr>
        </w:div>
        <w:div w:id="358816752">
          <w:marLeft w:val="0"/>
          <w:marRight w:val="0"/>
          <w:marTop w:val="0"/>
          <w:marBottom w:val="0"/>
          <w:divBdr>
            <w:top w:val="none" w:sz="0" w:space="0" w:color="auto"/>
            <w:left w:val="none" w:sz="0" w:space="0" w:color="auto"/>
            <w:bottom w:val="none" w:sz="0" w:space="0" w:color="auto"/>
            <w:right w:val="none" w:sz="0" w:space="0" w:color="auto"/>
          </w:divBdr>
        </w:div>
        <w:div w:id="1360744376">
          <w:marLeft w:val="0"/>
          <w:marRight w:val="0"/>
          <w:marTop w:val="0"/>
          <w:marBottom w:val="0"/>
          <w:divBdr>
            <w:top w:val="none" w:sz="0" w:space="0" w:color="auto"/>
            <w:left w:val="none" w:sz="0" w:space="0" w:color="auto"/>
            <w:bottom w:val="none" w:sz="0" w:space="0" w:color="auto"/>
            <w:right w:val="none" w:sz="0" w:space="0" w:color="auto"/>
          </w:divBdr>
        </w:div>
        <w:div w:id="1725563391">
          <w:marLeft w:val="0"/>
          <w:marRight w:val="0"/>
          <w:marTop w:val="0"/>
          <w:marBottom w:val="0"/>
          <w:divBdr>
            <w:top w:val="none" w:sz="0" w:space="0" w:color="auto"/>
            <w:left w:val="none" w:sz="0" w:space="0" w:color="auto"/>
            <w:bottom w:val="none" w:sz="0" w:space="0" w:color="auto"/>
            <w:right w:val="none" w:sz="0" w:space="0" w:color="auto"/>
          </w:divBdr>
        </w:div>
        <w:div w:id="163395881">
          <w:marLeft w:val="0"/>
          <w:marRight w:val="0"/>
          <w:marTop w:val="0"/>
          <w:marBottom w:val="0"/>
          <w:divBdr>
            <w:top w:val="none" w:sz="0" w:space="0" w:color="auto"/>
            <w:left w:val="none" w:sz="0" w:space="0" w:color="auto"/>
            <w:bottom w:val="none" w:sz="0" w:space="0" w:color="auto"/>
            <w:right w:val="none" w:sz="0" w:space="0" w:color="auto"/>
          </w:divBdr>
        </w:div>
        <w:div w:id="1889493772">
          <w:marLeft w:val="0"/>
          <w:marRight w:val="0"/>
          <w:marTop w:val="0"/>
          <w:marBottom w:val="0"/>
          <w:divBdr>
            <w:top w:val="none" w:sz="0" w:space="0" w:color="auto"/>
            <w:left w:val="none" w:sz="0" w:space="0" w:color="auto"/>
            <w:bottom w:val="none" w:sz="0" w:space="0" w:color="auto"/>
            <w:right w:val="none" w:sz="0" w:space="0" w:color="auto"/>
          </w:divBdr>
        </w:div>
        <w:div w:id="1976568498">
          <w:marLeft w:val="0"/>
          <w:marRight w:val="0"/>
          <w:marTop w:val="0"/>
          <w:marBottom w:val="0"/>
          <w:divBdr>
            <w:top w:val="none" w:sz="0" w:space="0" w:color="auto"/>
            <w:left w:val="none" w:sz="0" w:space="0" w:color="auto"/>
            <w:bottom w:val="none" w:sz="0" w:space="0" w:color="auto"/>
            <w:right w:val="none" w:sz="0" w:space="0" w:color="auto"/>
          </w:divBdr>
        </w:div>
        <w:div w:id="1230965165">
          <w:marLeft w:val="0"/>
          <w:marRight w:val="0"/>
          <w:marTop w:val="0"/>
          <w:marBottom w:val="0"/>
          <w:divBdr>
            <w:top w:val="none" w:sz="0" w:space="0" w:color="auto"/>
            <w:left w:val="none" w:sz="0" w:space="0" w:color="auto"/>
            <w:bottom w:val="none" w:sz="0" w:space="0" w:color="auto"/>
            <w:right w:val="none" w:sz="0" w:space="0" w:color="auto"/>
          </w:divBdr>
        </w:div>
        <w:div w:id="855316307">
          <w:marLeft w:val="0"/>
          <w:marRight w:val="0"/>
          <w:marTop w:val="0"/>
          <w:marBottom w:val="0"/>
          <w:divBdr>
            <w:top w:val="none" w:sz="0" w:space="0" w:color="auto"/>
            <w:left w:val="none" w:sz="0" w:space="0" w:color="auto"/>
            <w:bottom w:val="none" w:sz="0" w:space="0" w:color="auto"/>
            <w:right w:val="none" w:sz="0" w:space="0" w:color="auto"/>
          </w:divBdr>
        </w:div>
        <w:div w:id="1362784241">
          <w:marLeft w:val="0"/>
          <w:marRight w:val="0"/>
          <w:marTop w:val="0"/>
          <w:marBottom w:val="0"/>
          <w:divBdr>
            <w:top w:val="none" w:sz="0" w:space="0" w:color="auto"/>
            <w:left w:val="none" w:sz="0" w:space="0" w:color="auto"/>
            <w:bottom w:val="none" w:sz="0" w:space="0" w:color="auto"/>
            <w:right w:val="none" w:sz="0" w:space="0" w:color="auto"/>
          </w:divBdr>
        </w:div>
        <w:div w:id="671680865">
          <w:marLeft w:val="0"/>
          <w:marRight w:val="0"/>
          <w:marTop w:val="0"/>
          <w:marBottom w:val="0"/>
          <w:divBdr>
            <w:top w:val="none" w:sz="0" w:space="0" w:color="auto"/>
            <w:left w:val="none" w:sz="0" w:space="0" w:color="auto"/>
            <w:bottom w:val="none" w:sz="0" w:space="0" w:color="auto"/>
            <w:right w:val="none" w:sz="0" w:space="0" w:color="auto"/>
          </w:divBdr>
        </w:div>
        <w:div w:id="1287468450">
          <w:marLeft w:val="0"/>
          <w:marRight w:val="0"/>
          <w:marTop w:val="0"/>
          <w:marBottom w:val="0"/>
          <w:divBdr>
            <w:top w:val="none" w:sz="0" w:space="0" w:color="auto"/>
            <w:left w:val="none" w:sz="0" w:space="0" w:color="auto"/>
            <w:bottom w:val="none" w:sz="0" w:space="0" w:color="auto"/>
            <w:right w:val="none" w:sz="0" w:space="0" w:color="auto"/>
          </w:divBdr>
        </w:div>
        <w:div w:id="464277764">
          <w:marLeft w:val="0"/>
          <w:marRight w:val="0"/>
          <w:marTop w:val="0"/>
          <w:marBottom w:val="0"/>
          <w:divBdr>
            <w:top w:val="none" w:sz="0" w:space="0" w:color="auto"/>
            <w:left w:val="none" w:sz="0" w:space="0" w:color="auto"/>
            <w:bottom w:val="none" w:sz="0" w:space="0" w:color="auto"/>
            <w:right w:val="none" w:sz="0" w:space="0" w:color="auto"/>
          </w:divBdr>
        </w:div>
        <w:div w:id="944265103">
          <w:marLeft w:val="0"/>
          <w:marRight w:val="0"/>
          <w:marTop w:val="0"/>
          <w:marBottom w:val="0"/>
          <w:divBdr>
            <w:top w:val="none" w:sz="0" w:space="0" w:color="auto"/>
            <w:left w:val="none" w:sz="0" w:space="0" w:color="auto"/>
            <w:bottom w:val="none" w:sz="0" w:space="0" w:color="auto"/>
            <w:right w:val="none" w:sz="0" w:space="0" w:color="auto"/>
          </w:divBdr>
        </w:div>
        <w:div w:id="940913003">
          <w:marLeft w:val="0"/>
          <w:marRight w:val="0"/>
          <w:marTop w:val="0"/>
          <w:marBottom w:val="0"/>
          <w:divBdr>
            <w:top w:val="none" w:sz="0" w:space="0" w:color="auto"/>
            <w:left w:val="none" w:sz="0" w:space="0" w:color="auto"/>
            <w:bottom w:val="none" w:sz="0" w:space="0" w:color="auto"/>
            <w:right w:val="none" w:sz="0" w:space="0" w:color="auto"/>
          </w:divBdr>
        </w:div>
        <w:div w:id="2076511942">
          <w:marLeft w:val="0"/>
          <w:marRight w:val="0"/>
          <w:marTop w:val="0"/>
          <w:marBottom w:val="0"/>
          <w:divBdr>
            <w:top w:val="none" w:sz="0" w:space="0" w:color="auto"/>
            <w:left w:val="none" w:sz="0" w:space="0" w:color="auto"/>
            <w:bottom w:val="none" w:sz="0" w:space="0" w:color="auto"/>
            <w:right w:val="none" w:sz="0" w:space="0" w:color="auto"/>
          </w:divBdr>
        </w:div>
        <w:div w:id="1275097089">
          <w:marLeft w:val="0"/>
          <w:marRight w:val="0"/>
          <w:marTop w:val="0"/>
          <w:marBottom w:val="0"/>
          <w:divBdr>
            <w:top w:val="none" w:sz="0" w:space="0" w:color="auto"/>
            <w:left w:val="none" w:sz="0" w:space="0" w:color="auto"/>
            <w:bottom w:val="none" w:sz="0" w:space="0" w:color="auto"/>
            <w:right w:val="none" w:sz="0" w:space="0" w:color="auto"/>
          </w:divBdr>
        </w:div>
        <w:div w:id="46228851">
          <w:marLeft w:val="0"/>
          <w:marRight w:val="0"/>
          <w:marTop w:val="0"/>
          <w:marBottom w:val="0"/>
          <w:divBdr>
            <w:top w:val="none" w:sz="0" w:space="0" w:color="auto"/>
            <w:left w:val="none" w:sz="0" w:space="0" w:color="auto"/>
            <w:bottom w:val="none" w:sz="0" w:space="0" w:color="auto"/>
            <w:right w:val="none" w:sz="0" w:space="0" w:color="auto"/>
          </w:divBdr>
        </w:div>
        <w:div w:id="477187996">
          <w:marLeft w:val="0"/>
          <w:marRight w:val="0"/>
          <w:marTop w:val="0"/>
          <w:marBottom w:val="0"/>
          <w:divBdr>
            <w:top w:val="none" w:sz="0" w:space="0" w:color="auto"/>
            <w:left w:val="none" w:sz="0" w:space="0" w:color="auto"/>
            <w:bottom w:val="none" w:sz="0" w:space="0" w:color="auto"/>
            <w:right w:val="none" w:sz="0" w:space="0" w:color="auto"/>
          </w:divBdr>
        </w:div>
        <w:div w:id="689113246">
          <w:marLeft w:val="0"/>
          <w:marRight w:val="0"/>
          <w:marTop w:val="0"/>
          <w:marBottom w:val="0"/>
          <w:divBdr>
            <w:top w:val="none" w:sz="0" w:space="0" w:color="auto"/>
            <w:left w:val="none" w:sz="0" w:space="0" w:color="auto"/>
            <w:bottom w:val="none" w:sz="0" w:space="0" w:color="auto"/>
            <w:right w:val="none" w:sz="0" w:space="0" w:color="auto"/>
          </w:divBdr>
        </w:div>
        <w:div w:id="495998170">
          <w:marLeft w:val="0"/>
          <w:marRight w:val="0"/>
          <w:marTop w:val="0"/>
          <w:marBottom w:val="0"/>
          <w:divBdr>
            <w:top w:val="none" w:sz="0" w:space="0" w:color="auto"/>
            <w:left w:val="none" w:sz="0" w:space="0" w:color="auto"/>
            <w:bottom w:val="none" w:sz="0" w:space="0" w:color="auto"/>
            <w:right w:val="none" w:sz="0" w:space="0" w:color="auto"/>
          </w:divBdr>
        </w:div>
        <w:div w:id="1579250353">
          <w:marLeft w:val="0"/>
          <w:marRight w:val="0"/>
          <w:marTop w:val="0"/>
          <w:marBottom w:val="0"/>
          <w:divBdr>
            <w:top w:val="none" w:sz="0" w:space="0" w:color="auto"/>
            <w:left w:val="none" w:sz="0" w:space="0" w:color="auto"/>
            <w:bottom w:val="none" w:sz="0" w:space="0" w:color="auto"/>
            <w:right w:val="none" w:sz="0" w:space="0" w:color="auto"/>
          </w:divBdr>
        </w:div>
        <w:div w:id="308171108">
          <w:marLeft w:val="0"/>
          <w:marRight w:val="0"/>
          <w:marTop w:val="0"/>
          <w:marBottom w:val="0"/>
          <w:divBdr>
            <w:top w:val="none" w:sz="0" w:space="0" w:color="auto"/>
            <w:left w:val="none" w:sz="0" w:space="0" w:color="auto"/>
            <w:bottom w:val="none" w:sz="0" w:space="0" w:color="auto"/>
            <w:right w:val="none" w:sz="0" w:space="0" w:color="auto"/>
          </w:divBdr>
        </w:div>
        <w:div w:id="219637424">
          <w:marLeft w:val="0"/>
          <w:marRight w:val="0"/>
          <w:marTop w:val="0"/>
          <w:marBottom w:val="0"/>
          <w:divBdr>
            <w:top w:val="none" w:sz="0" w:space="0" w:color="auto"/>
            <w:left w:val="none" w:sz="0" w:space="0" w:color="auto"/>
            <w:bottom w:val="none" w:sz="0" w:space="0" w:color="auto"/>
            <w:right w:val="none" w:sz="0" w:space="0" w:color="auto"/>
          </w:divBdr>
        </w:div>
        <w:div w:id="32384161">
          <w:marLeft w:val="0"/>
          <w:marRight w:val="0"/>
          <w:marTop w:val="0"/>
          <w:marBottom w:val="0"/>
          <w:divBdr>
            <w:top w:val="none" w:sz="0" w:space="0" w:color="auto"/>
            <w:left w:val="none" w:sz="0" w:space="0" w:color="auto"/>
            <w:bottom w:val="none" w:sz="0" w:space="0" w:color="auto"/>
            <w:right w:val="none" w:sz="0" w:space="0" w:color="auto"/>
          </w:divBdr>
        </w:div>
        <w:div w:id="1183935263">
          <w:marLeft w:val="0"/>
          <w:marRight w:val="0"/>
          <w:marTop w:val="0"/>
          <w:marBottom w:val="0"/>
          <w:divBdr>
            <w:top w:val="none" w:sz="0" w:space="0" w:color="auto"/>
            <w:left w:val="none" w:sz="0" w:space="0" w:color="auto"/>
            <w:bottom w:val="none" w:sz="0" w:space="0" w:color="auto"/>
            <w:right w:val="none" w:sz="0" w:space="0" w:color="auto"/>
          </w:divBdr>
        </w:div>
        <w:div w:id="954287277">
          <w:marLeft w:val="0"/>
          <w:marRight w:val="0"/>
          <w:marTop w:val="0"/>
          <w:marBottom w:val="0"/>
          <w:divBdr>
            <w:top w:val="none" w:sz="0" w:space="0" w:color="auto"/>
            <w:left w:val="none" w:sz="0" w:space="0" w:color="auto"/>
            <w:bottom w:val="none" w:sz="0" w:space="0" w:color="auto"/>
            <w:right w:val="none" w:sz="0" w:space="0" w:color="auto"/>
          </w:divBdr>
        </w:div>
        <w:div w:id="882063161">
          <w:marLeft w:val="0"/>
          <w:marRight w:val="0"/>
          <w:marTop w:val="0"/>
          <w:marBottom w:val="0"/>
          <w:divBdr>
            <w:top w:val="none" w:sz="0" w:space="0" w:color="auto"/>
            <w:left w:val="none" w:sz="0" w:space="0" w:color="auto"/>
            <w:bottom w:val="none" w:sz="0" w:space="0" w:color="auto"/>
            <w:right w:val="none" w:sz="0" w:space="0" w:color="auto"/>
          </w:divBdr>
        </w:div>
        <w:div w:id="411129159">
          <w:marLeft w:val="0"/>
          <w:marRight w:val="0"/>
          <w:marTop w:val="0"/>
          <w:marBottom w:val="0"/>
          <w:divBdr>
            <w:top w:val="none" w:sz="0" w:space="0" w:color="auto"/>
            <w:left w:val="none" w:sz="0" w:space="0" w:color="auto"/>
            <w:bottom w:val="none" w:sz="0" w:space="0" w:color="auto"/>
            <w:right w:val="none" w:sz="0" w:space="0" w:color="auto"/>
          </w:divBdr>
        </w:div>
        <w:div w:id="839928299">
          <w:marLeft w:val="0"/>
          <w:marRight w:val="0"/>
          <w:marTop w:val="0"/>
          <w:marBottom w:val="0"/>
          <w:divBdr>
            <w:top w:val="none" w:sz="0" w:space="0" w:color="auto"/>
            <w:left w:val="none" w:sz="0" w:space="0" w:color="auto"/>
            <w:bottom w:val="none" w:sz="0" w:space="0" w:color="auto"/>
            <w:right w:val="none" w:sz="0" w:space="0" w:color="auto"/>
          </w:divBdr>
        </w:div>
        <w:div w:id="1337031819">
          <w:marLeft w:val="0"/>
          <w:marRight w:val="0"/>
          <w:marTop w:val="0"/>
          <w:marBottom w:val="0"/>
          <w:divBdr>
            <w:top w:val="none" w:sz="0" w:space="0" w:color="auto"/>
            <w:left w:val="none" w:sz="0" w:space="0" w:color="auto"/>
            <w:bottom w:val="none" w:sz="0" w:space="0" w:color="auto"/>
            <w:right w:val="none" w:sz="0" w:space="0" w:color="auto"/>
          </w:divBdr>
        </w:div>
        <w:div w:id="520125157">
          <w:marLeft w:val="0"/>
          <w:marRight w:val="0"/>
          <w:marTop w:val="0"/>
          <w:marBottom w:val="0"/>
          <w:divBdr>
            <w:top w:val="none" w:sz="0" w:space="0" w:color="auto"/>
            <w:left w:val="none" w:sz="0" w:space="0" w:color="auto"/>
            <w:bottom w:val="none" w:sz="0" w:space="0" w:color="auto"/>
            <w:right w:val="none" w:sz="0" w:space="0" w:color="auto"/>
          </w:divBdr>
        </w:div>
        <w:div w:id="1241912929">
          <w:marLeft w:val="0"/>
          <w:marRight w:val="0"/>
          <w:marTop w:val="0"/>
          <w:marBottom w:val="0"/>
          <w:divBdr>
            <w:top w:val="none" w:sz="0" w:space="0" w:color="auto"/>
            <w:left w:val="none" w:sz="0" w:space="0" w:color="auto"/>
            <w:bottom w:val="none" w:sz="0" w:space="0" w:color="auto"/>
            <w:right w:val="none" w:sz="0" w:space="0" w:color="auto"/>
          </w:divBdr>
        </w:div>
        <w:div w:id="147593247">
          <w:marLeft w:val="0"/>
          <w:marRight w:val="0"/>
          <w:marTop w:val="0"/>
          <w:marBottom w:val="0"/>
          <w:divBdr>
            <w:top w:val="none" w:sz="0" w:space="0" w:color="auto"/>
            <w:left w:val="none" w:sz="0" w:space="0" w:color="auto"/>
            <w:bottom w:val="none" w:sz="0" w:space="0" w:color="auto"/>
            <w:right w:val="none" w:sz="0" w:space="0" w:color="auto"/>
          </w:divBdr>
        </w:div>
        <w:div w:id="1664551388">
          <w:marLeft w:val="0"/>
          <w:marRight w:val="0"/>
          <w:marTop w:val="0"/>
          <w:marBottom w:val="0"/>
          <w:divBdr>
            <w:top w:val="none" w:sz="0" w:space="0" w:color="auto"/>
            <w:left w:val="none" w:sz="0" w:space="0" w:color="auto"/>
            <w:bottom w:val="none" w:sz="0" w:space="0" w:color="auto"/>
            <w:right w:val="none" w:sz="0" w:space="0" w:color="auto"/>
          </w:divBdr>
        </w:div>
        <w:div w:id="1467429294">
          <w:marLeft w:val="0"/>
          <w:marRight w:val="0"/>
          <w:marTop w:val="0"/>
          <w:marBottom w:val="0"/>
          <w:divBdr>
            <w:top w:val="none" w:sz="0" w:space="0" w:color="auto"/>
            <w:left w:val="none" w:sz="0" w:space="0" w:color="auto"/>
            <w:bottom w:val="none" w:sz="0" w:space="0" w:color="auto"/>
            <w:right w:val="none" w:sz="0" w:space="0" w:color="auto"/>
          </w:divBdr>
        </w:div>
        <w:div w:id="1996949939">
          <w:marLeft w:val="0"/>
          <w:marRight w:val="0"/>
          <w:marTop w:val="0"/>
          <w:marBottom w:val="0"/>
          <w:divBdr>
            <w:top w:val="none" w:sz="0" w:space="0" w:color="auto"/>
            <w:left w:val="none" w:sz="0" w:space="0" w:color="auto"/>
            <w:bottom w:val="none" w:sz="0" w:space="0" w:color="auto"/>
            <w:right w:val="none" w:sz="0" w:space="0" w:color="auto"/>
          </w:divBdr>
        </w:div>
        <w:div w:id="346906799">
          <w:marLeft w:val="0"/>
          <w:marRight w:val="0"/>
          <w:marTop w:val="0"/>
          <w:marBottom w:val="0"/>
          <w:divBdr>
            <w:top w:val="none" w:sz="0" w:space="0" w:color="auto"/>
            <w:left w:val="none" w:sz="0" w:space="0" w:color="auto"/>
            <w:bottom w:val="none" w:sz="0" w:space="0" w:color="auto"/>
            <w:right w:val="none" w:sz="0" w:space="0" w:color="auto"/>
          </w:divBdr>
        </w:div>
        <w:div w:id="946738975">
          <w:marLeft w:val="0"/>
          <w:marRight w:val="0"/>
          <w:marTop w:val="0"/>
          <w:marBottom w:val="0"/>
          <w:divBdr>
            <w:top w:val="none" w:sz="0" w:space="0" w:color="auto"/>
            <w:left w:val="none" w:sz="0" w:space="0" w:color="auto"/>
            <w:bottom w:val="none" w:sz="0" w:space="0" w:color="auto"/>
            <w:right w:val="none" w:sz="0" w:space="0" w:color="auto"/>
          </w:divBdr>
        </w:div>
        <w:div w:id="97141292">
          <w:marLeft w:val="0"/>
          <w:marRight w:val="0"/>
          <w:marTop w:val="0"/>
          <w:marBottom w:val="0"/>
          <w:divBdr>
            <w:top w:val="none" w:sz="0" w:space="0" w:color="auto"/>
            <w:left w:val="none" w:sz="0" w:space="0" w:color="auto"/>
            <w:bottom w:val="none" w:sz="0" w:space="0" w:color="auto"/>
            <w:right w:val="none" w:sz="0" w:space="0" w:color="auto"/>
          </w:divBdr>
        </w:div>
        <w:div w:id="494299126">
          <w:marLeft w:val="0"/>
          <w:marRight w:val="0"/>
          <w:marTop w:val="0"/>
          <w:marBottom w:val="0"/>
          <w:divBdr>
            <w:top w:val="none" w:sz="0" w:space="0" w:color="auto"/>
            <w:left w:val="none" w:sz="0" w:space="0" w:color="auto"/>
            <w:bottom w:val="none" w:sz="0" w:space="0" w:color="auto"/>
            <w:right w:val="none" w:sz="0" w:space="0" w:color="auto"/>
          </w:divBdr>
        </w:div>
        <w:div w:id="1963538629">
          <w:marLeft w:val="0"/>
          <w:marRight w:val="0"/>
          <w:marTop w:val="0"/>
          <w:marBottom w:val="0"/>
          <w:divBdr>
            <w:top w:val="none" w:sz="0" w:space="0" w:color="auto"/>
            <w:left w:val="none" w:sz="0" w:space="0" w:color="auto"/>
            <w:bottom w:val="none" w:sz="0" w:space="0" w:color="auto"/>
            <w:right w:val="none" w:sz="0" w:space="0" w:color="auto"/>
          </w:divBdr>
        </w:div>
        <w:div w:id="94524699">
          <w:marLeft w:val="0"/>
          <w:marRight w:val="0"/>
          <w:marTop w:val="0"/>
          <w:marBottom w:val="0"/>
          <w:divBdr>
            <w:top w:val="none" w:sz="0" w:space="0" w:color="auto"/>
            <w:left w:val="none" w:sz="0" w:space="0" w:color="auto"/>
            <w:bottom w:val="none" w:sz="0" w:space="0" w:color="auto"/>
            <w:right w:val="none" w:sz="0" w:space="0" w:color="auto"/>
          </w:divBdr>
        </w:div>
        <w:div w:id="490682825">
          <w:marLeft w:val="0"/>
          <w:marRight w:val="0"/>
          <w:marTop w:val="0"/>
          <w:marBottom w:val="0"/>
          <w:divBdr>
            <w:top w:val="none" w:sz="0" w:space="0" w:color="auto"/>
            <w:left w:val="none" w:sz="0" w:space="0" w:color="auto"/>
            <w:bottom w:val="none" w:sz="0" w:space="0" w:color="auto"/>
            <w:right w:val="none" w:sz="0" w:space="0" w:color="auto"/>
          </w:divBdr>
        </w:div>
        <w:div w:id="2108382815">
          <w:marLeft w:val="0"/>
          <w:marRight w:val="0"/>
          <w:marTop w:val="0"/>
          <w:marBottom w:val="0"/>
          <w:divBdr>
            <w:top w:val="none" w:sz="0" w:space="0" w:color="auto"/>
            <w:left w:val="none" w:sz="0" w:space="0" w:color="auto"/>
            <w:bottom w:val="none" w:sz="0" w:space="0" w:color="auto"/>
            <w:right w:val="none" w:sz="0" w:space="0" w:color="auto"/>
          </w:divBdr>
        </w:div>
        <w:div w:id="2074310982">
          <w:marLeft w:val="0"/>
          <w:marRight w:val="0"/>
          <w:marTop w:val="0"/>
          <w:marBottom w:val="0"/>
          <w:divBdr>
            <w:top w:val="none" w:sz="0" w:space="0" w:color="auto"/>
            <w:left w:val="none" w:sz="0" w:space="0" w:color="auto"/>
            <w:bottom w:val="none" w:sz="0" w:space="0" w:color="auto"/>
            <w:right w:val="none" w:sz="0" w:space="0" w:color="auto"/>
          </w:divBdr>
        </w:div>
        <w:div w:id="264001488">
          <w:marLeft w:val="0"/>
          <w:marRight w:val="0"/>
          <w:marTop w:val="0"/>
          <w:marBottom w:val="0"/>
          <w:divBdr>
            <w:top w:val="none" w:sz="0" w:space="0" w:color="auto"/>
            <w:left w:val="none" w:sz="0" w:space="0" w:color="auto"/>
            <w:bottom w:val="none" w:sz="0" w:space="0" w:color="auto"/>
            <w:right w:val="none" w:sz="0" w:space="0" w:color="auto"/>
          </w:divBdr>
        </w:div>
        <w:div w:id="1887447526">
          <w:marLeft w:val="0"/>
          <w:marRight w:val="0"/>
          <w:marTop w:val="0"/>
          <w:marBottom w:val="0"/>
          <w:divBdr>
            <w:top w:val="none" w:sz="0" w:space="0" w:color="auto"/>
            <w:left w:val="none" w:sz="0" w:space="0" w:color="auto"/>
            <w:bottom w:val="none" w:sz="0" w:space="0" w:color="auto"/>
            <w:right w:val="none" w:sz="0" w:space="0" w:color="auto"/>
          </w:divBdr>
        </w:div>
        <w:div w:id="1874345284">
          <w:marLeft w:val="0"/>
          <w:marRight w:val="0"/>
          <w:marTop w:val="0"/>
          <w:marBottom w:val="0"/>
          <w:divBdr>
            <w:top w:val="none" w:sz="0" w:space="0" w:color="auto"/>
            <w:left w:val="none" w:sz="0" w:space="0" w:color="auto"/>
            <w:bottom w:val="none" w:sz="0" w:space="0" w:color="auto"/>
            <w:right w:val="none" w:sz="0" w:space="0" w:color="auto"/>
          </w:divBdr>
        </w:div>
        <w:div w:id="88821535">
          <w:marLeft w:val="0"/>
          <w:marRight w:val="0"/>
          <w:marTop w:val="0"/>
          <w:marBottom w:val="0"/>
          <w:divBdr>
            <w:top w:val="none" w:sz="0" w:space="0" w:color="auto"/>
            <w:left w:val="none" w:sz="0" w:space="0" w:color="auto"/>
            <w:bottom w:val="none" w:sz="0" w:space="0" w:color="auto"/>
            <w:right w:val="none" w:sz="0" w:space="0" w:color="auto"/>
          </w:divBdr>
        </w:div>
        <w:div w:id="139083669">
          <w:marLeft w:val="0"/>
          <w:marRight w:val="0"/>
          <w:marTop w:val="0"/>
          <w:marBottom w:val="0"/>
          <w:divBdr>
            <w:top w:val="none" w:sz="0" w:space="0" w:color="auto"/>
            <w:left w:val="none" w:sz="0" w:space="0" w:color="auto"/>
            <w:bottom w:val="none" w:sz="0" w:space="0" w:color="auto"/>
            <w:right w:val="none" w:sz="0" w:space="0" w:color="auto"/>
          </w:divBdr>
        </w:div>
        <w:div w:id="1104691186">
          <w:marLeft w:val="0"/>
          <w:marRight w:val="0"/>
          <w:marTop w:val="0"/>
          <w:marBottom w:val="0"/>
          <w:divBdr>
            <w:top w:val="none" w:sz="0" w:space="0" w:color="auto"/>
            <w:left w:val="none" w:sz="0" w:space="0" w:color="auto"/>
            <w:bottom w:val="none" w:sz="0" w:space="0" w:color="auto"/>
            <w:right w:val="none" w:sz="0" w:space="0" w:color="auto"/>
          </w:divBdr>
        </w:div>
        <w:div w:id="1017542936">
          <w:marLeft w:val="0"/>
          <w:marRight w:val="0"/>
          <w:marTop w:val="0"/>
          <w:marBottom w:val="0"/>
          <w:divBdr>
            <w:top w:val="none" w:sz="0" w:space="0" w:color="auto"/>
            <w:left w:val="none" w:sz="0" w:space="0" w:color="auto"/>
            <w:bottom w:val="none" w:sz="0" w:space="0" w:color="auto"/>
            <w:right w:val="none" w:sz="0" w:space="0" w:color="auto"/>
          </w:divBdr>
        </w:div>
        <w:div w:id="815756130">
          <w:marLeft w:val="0"/>
          <w:marRight w:val="0"/>
          <w:marTop w:val="0"/>
          <w:marBottom w:val="0"/>
          <w:divBdr>
            <w:top w:val="none" w:sz="0" w:space="0" w:color="auto"/>
            <w:left w:val="none" w:sz="0" w:space="0" w:color="auto"/>
            <w:bottom w:val="none" w:sz="0" w:space="0" w:color="auto"/>
            <w:right w:val="none" w:sz="0" w:space="0" w:color="auto"/>
          </w:divBdr>
        </w:div>
        <w:div w:id="255674978">
          <w:marLeft w:val="0"/>
          <w:marRight w:val="0"/>
          <w:marTop w:val="0"/>
          <w:marBottom w:val="0"/>
          <w:divBdr>
            <w:top w:val="none" w:sz="0" w:space="0" w:color="auto"/>
            <w:left w:val="none" w:sz="0" w:space="0" w:color="auto"/>
            <w:bottom w:val="none" w:sz="0" w:space="0" w:color="auto"/>
            <w:right w:val="none" w:sz="0" w:space="0" w:color="auto"/>
          </w:divBdr>
        </w:div>
        <w:div w:id="630749319">
          <w:marLeft w:val="0"/>
          <w:marRight w:val="0"/>
          <w:marTop w:val="0"/>
          <w:marBottom w:val="0"/>
          <w:divBdr>
            <w:top w:val="none" w:sz="0" w:space="0" w:color="auto"/>
            <w:left w:val="none" w:sz="0" w:space="0" w:color="auto"/>
            <w:bottom w:val="none" w:sz="0" w:space="0" w:color="auto"/>
            <w:right w:val="none" w:sz="0" w:space="0" w:color="auto"/>
          </w:divBdr>
        </w:div>
        <w:div w:id="301351038">
          <w:marLeft w:val="0"/>
          <w:marRight w:val="0"/>
          <w:marTop w:val="0"/>
          <w:marBottom w:val="0"/>
          <w:divBdr>
            <w:top w:val="none" w:sz="0" w:space="0" w:color="auto"/>
            <w:left w:val="none" w:sz="0" w:space="0" w:color="auto"/>
            <w:bottom w:val="none" w:sz="0" w:space="0" w:color="auto"/>
            <w:right w:val="none" w:sz="0" w:space="0" w:color="auto"/>
          </w:divBdr>
        </w:div>
        <w:div w:id="1136727276">
          <w:marLeft w:val="0"/>
          <w:marRight w:val="0"/>
          <w:marTop w:val="0"/>
          <w:marBottom w:val="0"/>
          <w:divBdr>
            <w:top w:val="none" w:sz="0" w:space="0" w:color="auto"/>
            <w:left w:val="none" w:sz="0" w:space="0" w:color="auto"/>
            <w:bottom w:val="none" w:sz="0" w:space="0" w:color="auto"/>
            <w:right w:val="none" w:sz="0" w:space="0" w:color="auto"/>
          </w:divBdr>
        </w:div>
        <w:div w:id="928806570">
          <w:marLeft w:val="0"/>
          <w:marRight w:val="0"/>
          <w:marTop w:val="0"/>
          <w:marBottom w:val="0"/>
          <w:divBdr>
            <w:top w:val="none" w:sz="0" w:space="0" w:color="auto"/>
            <w:left w:val="none" w:sz="0" w:space="0" w:color="auto"/>
            <w:bottom w:val="none" w:sz="0" w:space="0" w:color="auto"/>
            <w:right w:val="none" w:sz="0" w:space="0" w:color="auto"/>
          </w:divBdr>
        </w:div>
        <w:div w:id="5209128">
          <w:marLeft w:val="0"/>
          <w:marRight w:val="0"/>
          <w:marTop w:val="0"/>
          <w:marBottom w:val="0"/>
          <w:divBdr>
            <w:top w:val="none" w:sz="0" w:space="0" w:color="auto"/>
            <w:left w:val="none" w:sz="0" w:space="0" w:color="auto"/>
            <w:bottom w:val="none" w:sz="0" w:space="0" w:color="auto"/>
            <w:right w:val="none" w:sz="0" w:space="0" w:color="auto"/>
          </w:divBdr>
        </w:div>
        <w:div w:id="778765969">
          <w:marLeft w:val="0"/>
          <w:marRight w:val="0"/>
          <w:marTop w:val="0"/>
          <w:marBottom w:val="0"/>
          <w:divBdr>
            <w:top w:val="none" w:sz="0" w:space="0" w:color="auto"/>
            <w:left w:val="none" w:sz="0" w:space="0" w:color="auto"/>
            <w:bottom w:val="none" w:sz="0" w:space="0" w:color="auto"/>
            <w:right w:val="none" w:sz="0" w:space="0" w:color="auto"/>
          </w:divBdr>
        </w:div>
        <w:div w:id="1620530969">
          <w:marLeft w:val="0"/>
          <w:marRight w:val="0"/>
          <w:marTop w:val="0"/>
          <w:marBottom w:val="0"/>
          <w:divBdr>
            <w:top w:val="none" w:sz="0" w:space="0" w:color="auto"/>
            <w:left w:val="none" w:sz="0" w:space="0" w:color="auto"/>
            <w:bottom w:val="none" w:sz="0" w:space="0" w:color="auto"/>
            <w:right w:val="none" w:sz="0" w:space="0" w:color="auto"/>
          </w:divBdr>
        </w:div>
        <w:div w:id="237642211">
          <w:marLeft w:val="0"/>
          <w:marRight w:val="0"/>
          <w:marTop w:val="0"/>
          <w:marBottom w:val="0"/>
          <w:divBdr>
            <w:top w:val="none" w:sz="0" w:space="0" w:color="auto"/>
            <w:left w:val="none" w:sz="0" w:space="0" w:color="auto"/>
            <w:bottom w:val="none" w:sz="0" w:space="0" w:color="auto"/>
            <w:right w:val="none" w:sz="0" w:space="0" w:color="auto"/>
          </w:divBdr>
        </w:div>
        <w:div w:id="394208531">
          <w:marLeft w:val="0"/>
          <w:marRight w:val="0"/>
          <w:marTop w:val="0"/>
          <w:marBottom w:val="0"/>
          <w:divBdr>
            <w:top w:val="none" w:sz="0" w:space="0" w:color="auto"/>
            <w:left w:val="none" w:sz="0" w:space="0" w:color="auto"/>
            <w:bottom w:val="none" w:sz="0" w:space="0" w:color="auto"/>
            <w:right w:val="none" w:sz="0" w:space="0" w:color="auto"/>
          </w:divBdr>
        </w:div>
        <w:div w:id="1463497166">
          <w:marLeft w:val="0"/>
          <w:marRight w:val="0"/>
          <w:marTop w:val="0"/>
          <w:marBottom w:val="0"/>
          <w:divBdr>
            <w:top w:val="none" w:sz="0" w:space="0" w:color="auto"/>
            <w:left w:val="none" w:sz="0" w:space="0" w:color="auto"/>
            <w:bottom w:val="none" w:sz="0" w:space="0" w:color="auto"/>
            <w:right w:val="none" w:sz="0" w:space="0" w:color="auto"/>
          </w:divBdr>
        </w:div>
        <w:div w:id="1205558921">
          <w:marLeft w:val="0"/>
          <w:marRight w:val="0"/>
          <w:marTop w:val="0"/>
          <w:marBottom w:val="0"/>
          <w:divBdr>
            <w:top w:val="none" w:sz="0" w:space="0" w:color="auto"/>
            <w:left w:val="none" w:sz="0" w:space="0" w:color="auto"/>
            <w:bottom w:val="none" w:sz="0" w:space="0" w:color="auto"/>
            <w:right w:val="none" w:sz="0" w:space="0" w:color="auto"/>
          </w:divBdr>
        </w:div>
        <w:div w:id="1343779691">
          <w:marLeft w:val="0"/>
          <w:marRight w:val="0"/>
          <w:marTop w:val="0"/>
          <w:marBottom w:val="0"/>
          <w:divBdr>
            <w:top w:val="none" w:sz="0" w:space="0" w:color="auto"/>
            <w:left w:val="none" w:sz="0" w:space="0" w:color="auto"/>
            <w:bottom w:val="none" w:sz="0" w:space="0" w:color="auto"/>
            <w:right w:val="none" w:sz="0" w:space="0" w:color="auto"/>
          </w:divBdr>
        </w:div>
        <w:div w:id="155270306">
          <w:marLeft w:val="0"/>
          <w:marRight w:val="0"/>
          <w:marTop w:val="0"/>
          <w:marBottom w:val="0"/>
          <w:divBdr>
            <w:top w:val="none" w:sz="0" w:space="0" w:color="auto"/>
            <w:left w:val="none" w:sz="0" w:space="0" w:color="auto"/>
            <w:bottom w:val="none" w:sz="0" w:space="0" w:color="auto"/>
            <w:right w:val="none" w:sz="0" w:space="0" w:color="auto"/>
          </w:divBdr>
        </w:div>
        <w:div w:id="603415536">
          <w:marLeft w:val="0"/>
          <w:marRight w:val="0"/>
          <w:marTop w:val="0"/>
          <w:marBottom w:val="0"/>
          <w:divBdr>
            <w:top w:val="none" w:sz="0" w:space="0" w:color="auto"/>
            <w:left w:val="none" w:sz="0" w:space="0" w:color="auto"/>
            <w:bottom w:val="none" w:sz="0" w:space="0" w:color="auto"/>
            <w:right w:val="none" w:sz="0" w:space="0" w:color="auto"/>
          </w:divBdr>
        </w:div>
        <w:div w:id="498036313">
          <w:marLeft w:val="0"/>
          <w:marRight w:val="0"/>
          <w:marTop w:val="0"/>
          <w:marBottom w:val="0"/>
          <w:divBdr>
            <w:top w:val="none" w:sz="0" w:space="0" w:color="auto"/>
            <w:left w:val="none" w:sz="0" w:space="0" w:color="auto"/>
            <w:bottom w:val="none" w:sz="0" w:space="0" w:color="auto"/>
            <w:right w:val="none" w:sz="0" w:space="0" w:color="auto"/>
          </w:divBdr>
        </w:div>
        <w:div w:id="1976372538">
          <w:marLeft w:val="0"/>
          <w:marRight w:val="0"/>
          <w:marTop w:val="0"/>
          <w:marBottom w:val="0"/>
          <w:divBdr>
            <w:top w:val="none" w:sz="0" w:space="0" w:color="auto"/>
            <w:left w:val="none" w:sz="0" w:space="0" w:color="auto"/>
            <w:bottom w:val="none" w:sz="0" w:space="0" w:color="auto"/>
            <w:right w:val="none" w:sz="0" w:space="0" w:color="auto"/>
          </w:divBdr>
        </w:div>
        <w:div w:id="1936405076">
          <w:marLeft w:val="0"/>
          <w:marRight w:val="0"/>
          <w:marTop w:val="0"/>
          <w:marBottom w:val="0"/>
          <w:divBdr>
            <w:top w:val="none" w:sz="0" w:space="0" w:color="auto"/>
            <w:left w:val="none" w:sz="0" w:space="0" w:color="auto"/>
            <w:bottom w:val="none" w:sz="0" w:space="0" w:color="auto"/>
            <w:right w:val="none" w:sz="0" w:space="0" w:color="auto"/>
          </w:divBdr>
        </w:div>
        <w:div w:id="1607617082">
          <w:marLeft w:val="0"/>
          <w:marRight w:val="0"/>
          <w:marTop w:val="0"/>
          <w:marBottom w:val="0"/>
          <w:divBdr>
            <w:top w:val="none" w:sz="0" w:space="0" w:color="auto"/>
            <w:left w:val="none" w:sz="0" w:space="0" w:color="auto"/>
            <w:bottom w:val="none" w:sz="0" w:space="0" w:color="auto"/>
            <w:right w:val="none" w:sz="0" w:space="0" w:color="auto"/>
          </w:divBdr>
        </w:div>
        <w:div w:id="561134921">
          <w:marLeft w:val="0"/>
          <w:marRight w:val="0"/>
          <w:marTop w:val="0"/>
          <w:marBottom w:val="0"/>
          <w:divBdr>
            <w:top w:val="none" w:sz="0" w:space="0" w:color="auto"/>
            <w:left w:val="none" w:sz="0" w:space="0" w:color="auto"/>
            <w:bottom w:val="none" w:sz="0" w:space="0" w:color="auto"/>
            <w:right w:val="none" w:sz="0" w:space="0" w:color="auto"/>
          </w:divBdr>
        </w:div>
        <w:div w:id="564026089">
          <w:marLeft w:val="0"/>
          <w:marRight w:val="0"/>
          <w:marTop w:val="0"/>
          <w:marBottom w:val="0"/>
          <w:divBdr>
            <w:top w:val="none" w:sz="0" w:space="0" w:color="auto"/>
            <w:left w:val="none" w:sz="0" w:space="0" w:color="auto"/>
            <w:bottom w:val="none" w:sz="0" w:space="0" w:color="auto"/>
            <w:right w:val="none" w:sz="0" w:space="0" w:color="auto"/>
          </w:divBdr>
        </w:div>
        <w:div w:id="1369794179">
          <w:marLeft w:val="0"/>
          <w:marRight w:val="0"/>
          <w:marTop w:val="0"/>
          <w:marBottom w:val="0"/>
          <w:divBdr>
            <w:top w:val="none" w:sz="0" w:space="0" w:color="auto"/>
            <w:left w:val="none" w:sz="0" w:space="0" w:color="auto"/>
            <w:bottom w:val="none" w:sz="0" w:space="0" w:color="auto"/>
            <w:right w:val="none" w:sz="0" w:space="0" w:color="auto"/>
          </w:divBdr>
        </w:div>
        <w:div w:id="1530800816">
          <w:marLeft w:val="0"/>
          <w:marRight w:val="0"/>
          <w:marTop w:val="0"/>
          <w:marBottom w:val="0"/>
          <w:divBdr>
            <w:top w:val="none" w:sz="0" w:space="0" w:color="auto"/>
            <w:left w:val="none" w:sz="0" w:space="0" w:color="auto"/>
            <w:bottom w:val="none" w:sz="0" w:space="0" w:color="auto"/>
            <w:right w:val="none" w:sz="0" w:space="0" w:color="auto"/>
          </w:divBdr>
        </w:div>
        <w:div w:id="828979488">
          <w:marLeft w:val="0"/>
          <w:marRight w:val="0"/>
          <w:marTop w:val="0"/>
          <w:marBottom w:val="0"/>
          <w:divBdr>
            <w:top w:val="none" w:sz="0" w:space="0" w:color="auto"/>
            <w:left w:val="none" w:sz="0" w:space="0" w:color="auto"/>
            <w:bottom w:val="none" w:sz="0" w:space="0" w:color="auto"/>
            <w:right w:val="none" w:sz="0" w:space="0" w:color="auto"/>
          </w:divBdr>
        </w:div>
        <w:div w:id="638920475">
          <w:marLeft w:val="0"/>
          <w:marRight w:val="0"/>
          <w:marTop w:val="0"/>
          <w:marBottom w:val="0"/>
          <w:divBdr>
            <w:top w:val="none" w:sz="0" w:space="0" w:color="auto"/>
            <w:left w:val="none" w:sz="0" w:space="0" w:color="auto"/>
            <w:bottom w:val="none" w:sz="0" w:space="0" w:color="auto"/>
            <w:right w:val="none" w:sz="0" w:space="0" w:color="auto"/>
          </w:divBdr>
        </w:div>
        <w:div w:id="1349138901">
          <w:marLeft w:val="0"/>
          <w:marRight w:val="0"/>
          <w:marTop w:val="0"/>
          <w:marBottom w:val="0"/>
          <w:divBdr>
            <w:top w:val="none" w:sz="0" w:space="0" w:color="auto"/>
            <w:left w:val="none" w:sz="0" w:space="0" w:color="auto"/>
            <w:bottom w:val="none" w:sz="0" w:space="0" w:color="auto"/>
            <w:right w:val="none" w:sz="0" w:space="0" w:color="auto"/>
          </w:divBdr>
        </w:div>
        <w:div w:id="668367818">
          <w:marLeft w:val="0"/>
          <w:marRight w:val="0"/>
          <w:marTop w:val="0"/>
          <w:marBottom w:val="0"/>
          <w:divBdr>
            <w:top w:val="none" w:sz="0" w:space="0" w:color="auto"/>
            <w:left w:val="none" w:sz="0" w:space="0" w:color="auto"/>
            <w:bottom w:val="none" w:sz="0" w:space="0" w:color="auto"/>
            <w:right w:val="none" w:sz="0" w:space="0" w:color="auto"/>
          </w:divBdr>
        </w:div>
        <w:div w:id="635918140">
          <w:marLeft w:val="0"/>
          <w:marRight w:val="0"/>
          <w:marTop w:val="0"/>
          <w:marBottom w:val="0"/>
          <w:divBdr>
            <w:top w:val="none" w:sz="0" w:space="0" w:color="auto"/>
            <w:left w:val="none" w:sz="0" w:space="0" w:color="auto"/>
            <w:bottom w:val="none" w:sz="0" w:space="0" w:color="auto"/>
            <w:right w:val="none" w:sz="0" w:space="0" w:color="auto"/>
          </w:divBdr>
        </w:div>
        <w:div w:id="1128207923">
          <w:marLeft w:val="0"/>
          <w:marRight w:val="0"/>
          <w:marTop w:val="0"/>
          <w:marBottom w:val="0"/>
          <w:divBdr>
            <w:top w:val="none" w:sz="0" w:space="0" w:color="auto"/>
            <w:left w:val="none" w:sz="0" w:space="0" w:color="auto"/>
            <w:bottom w:val="none" w:sz="0" w:space="0" w:color="auto"/>
            <w:right w:val="none" w:sz="0" w:space="0" w:color="auto"/>
          </w:divBdr>
        </w:div>
        <w:div w:id="587809076">
          <w:marLeft w:val="0"/>
          <w:marRight w:val="0"/>
          <w:marTop w:val="0"/>
          <w:marBottom w:val="0"/>
          <w:divBdr>
            <w:top w:val="none" w:sz="0" w:space="0" w:color="auto"/>
            <w:left w:val="none" w:sz="0" w:space="0" w:color="auto"/>
            <w:bottom w:val="none" w:sz="0" w:space="0" w:color="auto"/>
            <w:right w:val="none" w:sz="0" w:space="0" w:color="auto"/>
          </w:divBdr>
        </w:div>
        <w:div w:id="301275246">
          <w:marLeft w:val="0"/>
          <w:marRight w:val="0"/>
          <w:marTop w:val="0"/>
          <w:marBottom w:val="0"/>
          <w:divBdr>
            <w:top w:val="none" w:sz="0" w:space="0" w:color="auto"/>
            <w:left w:val="none" w:sz="0" w:space="0" w:color="auto"/>
            <w:bottom w:val="none" w:sz="0" w:space="0" w:color="auto"/>
            <w:right w:val="none" w:sz="0" w:space="0" w:color="auto"/>
          </w:divBdr>
        </w:div>
        <w:div w:id="1402942984">
          <w:marLeft w:val="0"/>
          <w:marRight w:val="0"/>
          <w:marTop w:val="0"/>
          <w:marBottom w:val="0"/>
          <w:divBdr>
            <w:top w:val="none" w:sz="0" w:space="0" w:color="auto"/>
            <w:left w:val="none" w:sz="0" w:space="0" w:color="auto"/>
            <w:bottom w:val="none" w:sz="0" w:space="0" w:color="auto"/>
            <w:right w:val="none" w:sz="0" w:space="0" w:color="auto"/>
          </w:divBdr>
        </w:div>
        <w:div w:id="1562641264">
          <w:marLeft w:val="0"/>
          <w:marRight w:val="0"/>
          <w:marTop w:val="0"/>
          <w:marBottom w:val="0"/>
          <w:divBdr>
            <w:top w:val="none" w:sz="0" w:space="0" w:color="auto"/>
            <w:left w:val="none" w:sz="0" w:space="0" w:color="auto"/>
            <w:bottom w:val="none" w:sz="0" w:space="0" w:color="auto"/>
            <w:right w:val="none" w:sz="0" w:space="0" w:color="auto"/>
          </w:divBdr>
        </w:div>
        <w:div w:id="1779061661">
          <w:marLeft w:val="0"/>
          <w:marRight w:val="0"/>
          <w:marTop w:val="0"/>
          <w:marBottom w:val="0"/>
          <w:divBdr>
            <w:top w:val="none" w:sz="0" w:space="0" w:color="auto"/>
            <w:left w:val="none" w:sz="0" w:space="0" w:color="auto"/>
            <w:bottom w:val="none" w:sz="0" w:space="0" w:color="auto"/>
            <w:right w:val="none" w:sz="0" w:space="0" w:color="auto"/>
          </w:divBdr>
        </w:div>
        <w:div w:id="1481337957">
          <w:marLeft w:val="0"/>
          <w:marRight w:val="0"/>
          <w:marTop w:val="0"/>
          <w:marBottom w:val="0"/>
          <w:divBdr>
            <w:top w:val="none" w:sz="0" w:space="0" w:color="auto"/>
            <w:left w:val="none" w:sz="0" w:space="0" w:color="auto"/>
            <w:bottom w:val="none" w:sz="0" w:space="0" w:color="auto"/>
            <w:right w:val="none" w:sz="0" w:space="0" w:color="auto"/>
          </w:divBdr>
        </w:div>
        <w:div w:id="167866062">
          <w:marLeft w:val="0"/>
          <w:marRight w:val="0"/>
          <w:marTop w:val="0"/>
          <w:marBottom w:val="0"/>
          <w:divBdr>
            <w:top w:val="none" w:sz="0" w:space="0" w:color="auto"/>
            <w:left w:val="none" w:sz="0" w:space="0" w:color="auto"/>
            <w:bottom w:val="none" w:sz="0" w:space="0" w:color="auto"/>
            <w:right w:val="none" w:sz="0" w:space="0" w:color="auto"/>
          </w:divBdr>
        </w:div>
        <w:div w:id="1817532375">
          <w:marLeft w:val="0"/>
          <w:marRight w:val="0"/>
          <w:marTop w:val="0"/>
          <w:marBottom w:val="0"/>
          <w:divBdr>
            <w:top w:val="none" w:sz="0" w:space="0" w:color="auto"/>
            <w:left w:val="none" w:sz="0" w:space="0" w:color="auto"/>
            <w:bottom w:val="none" w:sz="0" w:space="0" w:color="auto"/>
            <w:right w:val="none" w:sz="0" w:space="0" w:color="auto"/>
          </w:divBdr>
        </w:div>
        <w:div w:id="1744403312">
          <w:marLeft w:val="0"/>
          <w:marRight w:val="0"/>
          <w:marTop w:val="0"/>
          <w:marBottom w:val="0"/>
          <w:divBdr>
            <w:top w:val="none" w:sz="0" w:space="0" w:color="auto"/>
            <w:left w:val="none" w:sz="0" w:space="0" w:color="auto"/>
            <w:bottom w:val="none" w:sz="0" w:space="0" w:color="auto"/>
            <w:right w:val="none" w:sz="0" w:space="0" w:color="auto"/>
          </w:divBdr>
        </w:div>
        <w:div w:id="444346046">
          <w:marLeft w:val="0"/>
          <w:marRight w:val="0"/>
          <w:marTop w:val="0"/>
          <w:marBottom w:val="0"/>
          <w:divBdr>
            <w:top w:val="none" w:sz="0" w:space="0" w:color="auto"/>
            <w:left w:val="none" w:sz="0" w:space="0" w:color="auto"/>
            <w:bottom w:val="none" w:sz="0" w:space="0" w:color="auto"/>
            <w:right w:val="none" w:sz="0" w:space="0" w:color="auto"/>
          </w:divBdr>
        </w:div>
        <w:div w:id="1336348864">
          <w:marLeft w:val="0"/>
          <w:marRight w:val="0"/>
          <w:marTop w:val="0"/>
          <w:marBottom w:val="0"/>
          <w:divBdr>
            <w:top w:val="none" w:sz="0" w:space="0" w:color="auto"/>
            <w:left w:val="none" w:sz="0" w:space="0" w:color="auto"/>
            <w:bottom w:val="none" w:sz="0" w:space="0" w:color="auto"/>
            <w:right w:val="none" w:sz="0" w:space="0" w:color="auto"/>
          </w:divBdr>
        </w:div>
        <w:div w:id="861043537">
          <w:marLeft w:val="0"/>
          <w:marRight w:val="0"/>
          <w:marTop w:val="0"/>
          <w:marBottom w:val="0"/>
          <w:divBdr>
            <w:top w:val="none" w:sz="0" w:space="0" w:color="auto"/>
            <w:left w:val="none" w:sz="0" w:space="0" w:color="auto"/>
            <w:bottom w:val="none" w:sz="0" w:space="0" w:color="auto"/>
            <w:right w:val="none" w:sz="0" w:space="0" w:color="auto"/>
          </w:divBdr>
        </w:div>
        <w:div w:id="2013336266">
          <w:marLeft w:val="0"/>
          <w:marRight w:val="0"/>
          <w:marTop w:val="0"/>
          <w:marBottom w:val="0"/>
          <w:divBdr>
            <w:top w:val="none" w:sz="0" w:space="0" w:color="auto"/>
            <w:left w:val="none" w:sz="0" w:space="0" w:color="auto"/>
            <w:bottom w:val="none" w:sz="0" w:space="0" w:color="auto"/>
            <w:right w:val="none" w:sz="0" w:space="0" w:color="auto"/>
          </w:divBdr>
        </w:div>
        <w:div w:id="1688554906">
          <w:marLeft w:val="0"/>
          <w:marRight w:val="0"/>
          <w:marTop w:val="349"/>
          <w:marBottom w:val="349"/>
          <w:divBdr>
            <w:top w:val="none" w:sz="0" w:space="0" w:color="auto"/>
            <w:left w:val="none" w:sz="0" w:space="0" w:color="auto"/>
            <w:bottom w:val="none" w:sz="0" w:space="0" w:color="auto"/>
            <w:right w:val="none" w:sz="0" w:space="0" w:color="auto"/>
          </w:divBdr>
        </w:div>
        <w:div w:id="1170757506">
          <w:marLeft w:val="0"/>
          <w:marRight w:val="0"/>
          <w:marTop w:val="0"/>
          <w:marBottom w:val="0"/>
          <w:divBdr>
            <w:top w:val="none" w:sz="0" w:space="0" w:color="auto"/>
            <w:left w:val="none" w:sz="0" w:space="0" w:color="auto"/>
            <w:bottom w:val="none" w:sz="0" w:space="0" w:color="auto"/>
            <w:right w:val="none" w:sz="0" w:space="0" w:color="auto"/>
          </w:divBdr>
          <w:divsChild>
            <w:div w:id="363139842">
              <w:marLeft w:val="0"/>
              <w:marRight w:val="0"/>
              <w:marTop w:val="0"/>
              <w:marBottom w:val="0"/>
              <w:divBdr>
                <w:top w:val="none" w:sz="0" w:space="0" w:color="auto"/>
                <w:left w:val="none" w:sz="0" w:space="0" w:color="auto"/>
                <w:bottom w:val="none" w:sz="0" w:space="0" w:color="auto"/>
                <w:right w:val="none" w:sz="0" w:space="0" w:color="auto"/>
              </w:divBdr>
              <w:divsChild>
                <w:div w:id="1022707110">
                  <w:marLeft w:val="0"/>
                  <w:marRight w:val="0"/>
                  <w:marTop w:val="0"/>
                  <w:marBottom w:val="0"/>
                  <w:divBdr>
                    <w:top w:val="none" w:sz="0" w:space="0" w:color="auto"/>
                    <w:left w:val="none" w:sz="0" w:space="0" w:color="auto"/>
                    <w:bottom w:val="none" w:sz="0" w:space="0" w:color="auto"/>
                    <w:right w:val="none" w:sz="0" w:space="0" w:color="auto"/>
                  </w:divBdr>
                  <w:divsChild>
                    <w:div w:id="1000813999">
                      <w:marLeft w:val="0"/>
                      <w:marRight w:val="0"/>
                      <w:marTop w:val="0"/>
                      <w:marBottom w:val="0"/>
                      <w:divBdr>
                        <w:top w:val="none" w:sz="0" w:space="0" w:color="auto"/>
                        <w:left w:val="none" w:sz="0" w:space="0" w:color="auto"/>
                        <w:bottom w:val="none" w:sz="0" w:space="0" w:color="auto"/>
                        <w:right w:val="none" w:sz="0" w:space="0" w:color="auto"/>
                      </w:divBdr>
                      <w:divsChild>
                        <w:div w:id="466166528">
                          <w:marLeft w:val="0"/>
                          <w:marRight w:val="0"/>
                          <w:marTop w:val="0"/>
                          <w:marBottom w:val="0"/>
                          <w:divBdr>
                            <w:top w:val="none" w:sz="0" w:space="0" w:color="auto"/>
                            <w:left w:val="none" w:sz="0" w:space="0" w:color="auto"/>
                            <w:bottom w:val="none" w:sz="0" w:space="0" w:color="auto"/>
                            <w:right w:val="none" w:sz="0" w:space="0" w:color="auto"/>
                          </w:divBdr>
                          <w:divsChild>
                            <w:div w:id="19342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9640">
                      <w:marLeft w:val="0"/>
                      <w:marRight w:val="0"/>
                      <w:marTop w:val="0"/>
                      <w:marBottom w:val="0"/>
                      <w:divBdr>
                        <w:top w:val="none" w:sz="0" w:space="0" w:color="auto"/>
                        <w:left w:val="none" w:sz="0" w:space="0" w:color="auto"/>
                        <w:bottom w:val="none" w:sz="0" w:space="0" w:color="auto"/>
                        <w:right w:val="none" w:sz="0" w:space="0" w:color="auto"/>
                      </w:divBdr>
                    </w:div>
                    <w:div w:id="459808361">
                      <w:marLeft w:val="0"/>
                      <w:marRight w:val="0"/>
                      <w:marTop w:val="0"/>
                      <w:marBottom w:val="0"/>
                      <w:divBdr>
                        <w:top w:val="none" w:sz="0" w:space="0" w:color="auto"/>
                        <w:left w:val="none" w:sz="0" w:space="0" w:color="auto"/>
                        <w:bottom w:val="none" w:sz="0" w:space="0" w:color="auto"/>
                        <w:right w:val="none" w:sz="0" w:space="0" w:color="auto"/>
                      </w:divBdr>
                      <w:divsChild>
                        <w:div w:id="146092096">
                          <w:marLeft w:val="0"/>
                          <w:marRight w:val="0"/>
                          <w:marTop w:val="0"/>
                          <w:marBottom w:val="0"/>
                          <w:divBdr>
                            <w:top w:val="none" w:sz="0" w:space="0" w:color="auto"/>
                            <w:left w:val="none" w:sz="0" w:space="0" w:color="auto"/>
                            <w:bottom w:val="none" w:sz="0" w:space="0" w:color="auto"/>
                            <w:right w:val="none" w:sz="0" w:space="0" w:color="auto"/>
                          </w:divBdr>
                          <w:divsChild>
                            <w:div w:id="1729570933">
                              <w:marLeft w:val="0"/>
                              <w:marRight w:val="0"/>
                              <w:marTop w:val="0"/>
                              <w:marBottom w:val="0"/>
                              <w:divBdr>
                                <w:top w:val="none" w:sz="0" w:space="0" w:color="auto"/>
                                <w:left w:val="none" w:sz="0" w:space="0" w:color="auto"/>
                                <w:bottom w:val="none" w:sz="0" w:space="0" w:color="auto"/>
                                <w:right w:val="none" w:sz="0" w:space="0" w:color="auto"/>
                              </w:divBdr>
                            </w:div>
                            <w:div w:id="514418342">
                              <w:marLeft w:val="0"/>
                              <w:marRight w:val="0"/>
                              <w:marTop w:val="0"/>
                              <w:marBottom w:val="0"/>
                              <w:divBdr>
                                <w:top w:val="none" w:sz="0" w:space="0" w:color="auto"/>
                                <w:left w:val="none" w:sz="0" w:space="0" w:color="auto"/>
                                <w:bottom w:val="none" w:sz="0" w:space="0" w:color="auto"/>
                                <w:right w:val="none" w:sz="0" w:space="0" w:color="auto"/>
                              </w:divBdr>
                            </w:div>
                            <w:div w:id="135539452">
                              <w:marLeft w:val="0"/>
                              <w:marRight w:val="0"/>
                              <w:marTop w:val="0"/>
                              <w:marBottom w:val="0"/>
                              <w:divBdr>
                                <w:top w:val="none" w:sz="0" w:space="0" w:color="auto"/>
                                <w:left w:val="none" w:sz="0" w:space="0" w:color="auto"/>
                                <w:bottom w:val="none" w:sz="0" w:space="0" w:color="auto"/>
                                <w:right w:val="none" w:sz="0" w:space="0" w:color="auto"/>
                              </w:divBdr>
                              <w:divsChild>
                                <w:div w:id="5941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651271">
      <w:bodyDiv w:val="1"/>
      <w:marLeft w:val="0"/>
      <w:marRight w:val="0"/>
      <w:marTop w:val="0"/>
      <w:marBottom w:val="0"/>
      <w:divBdr>
        <w:top w:val="none" w:sz="0" w:space="0" w:color="auto"/>
        <w:left w:val="none" w:sz="0" w:space="0" w:color="auto"/>
        <w:bottom w:val="none" w:sz="0" w:space="0" w:color="auto"/>
        <w:right w:val="none" w:sz="0" w:space="0" w:color="auto"/>
      </w:divBdr>
      <w:divsChild>
        <w:div w:id="835340464">
          <w:marLeft w:val="0"/>
          <w:marRight w:val="0"/>
          <w:marTop w:val="0"/>
          <w:marBottom w:val="0"/>
          <w:divBdr>
            <w:top w:val="none" w:sz="0" w:space="0" w:color="auto"/>
            <w:left w:val="none" w:sz="0" w:space="0" w:color="auto"/>
            <w:bottom w:val="none" w:sz="0" w:space="0" w:color="auto"/>
            <w:right w:val="none" w:sz="0" w:space="0" w:color="auto"/>
          </w:divBdr>
        </w:div>
        <w:div w:id="337195476">
          <w:marLeft w:val="0"/>
          <w:marRight w:val="0"/>
          <w:marTop w:val="0"/>
          <w:marBottom w:val="0"/>
          <w:divBdr>
            <w:top w:val="none" w:sz="0" w:space="0" w:color="auto"/>
            <w:left w:val="none" w:sz="0" w:space="0" w:color="auto"/>
            <w:bottom w:val="none" w:sz="0" w:space="0" w:color="auto"/>
            <w:right w:val="none" w:sz="0" w:space="0" w:color="auto"/>
          </w:divBdr>
        </w:div>
      </w:divsChild>
    </w:div>
    <w:div w:id="1279020875">
      <w:bodyDiv w:val="1"/>
      <w:marLeft w:val="0"/>
      <w:marRight w:val="0"/>
      <w:marTop w:val="0"/>
      <w:marBottom w:val="0"/>
      <w:divBdr>
        <w:top w:val="none" w:sz="0" w:space="0" w:color="auto"/>
        <w:left w:val="none" w:sz="0" w:space="0" w:color="auto"/>
        <w:bottom w:val="none" w:sz="0" w:space="0" w:color="auto"/>
        <w:right w:val="none" w:sz="0" w:space="0" w:color="auto"/>
      </w:divBdr>
      <w:divsChild>
        <w:div w:id="1276332289">
          <w:marLeft w:val="0"/>
          <w:marRight w:val="0"/>
          <w:marTop w:val="0"/>
          <w:marBottom w:val="0"/>
          <w:divBdr>
            <w:top w:val="none" w:sz="0" w:space="0" w:color="auto"/>
            <w:left w:val="none" w:sz="0" w:space="0" w:color="auto"/>
            <w:bottom w:val="none" w:sz="0" w:space="0" w:color="auto"/>
            <w:right w:val="none" w:sz="0" w:space="0" w:color="auto"/>
          </w:divBdr>
        </w:div>
      </w:divsChild>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994749726">
      <w:bodyDiv w:val="1"/>
      <w:marLeft w:val="0"/>
      <w:marRight w:val="0"/>
      <w:marTop w:val="0"/>
      <w:marBottom w:val="0"/>
      <w:divBdr>
        <w:top w:val="none" w:sz="0" w:space="0" w:color="auto"/>
        <w:left w:val="none" w:sz="0" w:space="0" w:color="auto"/>
        <w:bottom w:val="none" w:sz="0" w:space="0" w:color="auto"/>
        <w:right w:val="none" w:sz="0" w:space="0" w:color="auto"/>
      </w:divBdr>
    </w:div>
    <w:div w:id="2066947634">
      <w:bodyDiv w:val="1"/>
      <w:marLeft w:val="0"/>
      <w:marRight w:val="0"/>
      <w:marTop w:val="0"/>
      <w:marBottom w:val="0"/>
      <w:divBdr>
        <w:top w:val="none" w:sz="0" w:space="0" w:color="auto"/>
        <w:left w:val="none" w:sz="0" w:space="0" w:color="auto"/>
        <w:bottom w:val="none" w:sz="0" w:space="0" w:color="auto"/>
        <w:right w:val="none" w:sz="0" w:space="0" w:color="auto"/>
      </w:divBdr>
      <w:divsChild>
        <w:div w:id="182951504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175AA-E6C0-4D69-BFA8-ECB36F0C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8910</Words>
  <Characters>48114</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PATRIMONIO2</cp:lastModifiedBy>
  <cp:revision>2</cp:revision>
  <cp:lastPrinted>2018-05-07T23:16:00Z</cp:lastPrinted>
  <dcterms:created xsi:type="dcterms:W3CDTF">2018-05-07T23:40:00Z</dcterms:created>
  <dcterms:modified xsi:type="dcterms:W3CDTF">2018-05-07T23:40:00Z</dcterms:modified>
</cp:coreProperties>
</file>