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D7652" w14:textId="77777777" w:rsidR="0036377D" w:rsidRDefault="0036377D" w:rsidP="0036377D">
      <w:pPr>
        <w:jc w:val="center"/>
        <w:rPr>
          <w:b/>
          <w:sz w:val="24"/>
        </w:rPr>
      </w:pPr>
    </w:p>
    <w:p w14:paraId="2BD0FB7C" w14:textId="4AAB1AEC" w:rsidR="0060430B" w:rsidRPr="00B00978" w:rsidRDefault="0060430B" w:rsidP="0060430B">
      <w:pPr>
        <w:jc w:val="center"/>
        <w:rPr>
          <w:b/>
          <w:sz w:val="24"/>
          <w:szCs w:val="24"/>
        </w:rPr>
      </w:pPr>
      <w:r>
        <w:rPr>
          <w:b/>
          <w:sz w:val="24"/>
          <w:szCs w:val="24"/>
        </w:rPr>
        <w:t xml:space="preserve">Evolução </w:t>
      </w:r>
      <w:r w:rsidR="00A51EE2">
        <w:rPr>
          <w:b/>
          <w:sz w:val="24"/>
          <w:szCs w:val="24"/>
        </w:rPr>
        <w:t>da Inscrição de Restos a Pagar d</w:t>
      </w:r>
      <w:r>
        <w:rPr>
          <w:b/>
          <w:sz w:val="24"/>
          <w:szCs w:val="24"/>
        </w:rPr>
        <w:t>o Estado de Santa Catarina no período de 2011 a 2017</w:t>
      </w:r>
      <w:r w:rsidR="003922FE">
        <w:rPr>
          <w:b/>
          <w:sz w:val="24"/>
          <w:szCs w:val="24"/>
        </w:rPr>
        <w:t xml:space="preserve"> </w:t>
      </w:r>
      <w:bookmarkStart w:id="0" w:name="_GoBack"/>
      <w:bookmarkEnd w:id="0"/>
    </w:p>
    <w:p w14:paraId="0B4C99C5" w14:textId="77777777" w:rsidR="0060430B" w:rsidRPr="00B00978" w:rsidRDefault="0060430B" w:rsidP="0060430B">
      <w:pPr>
        <w:jc w:val="center"/>
        <w:rPr>
          <w:sz w:val="24"/>
          <w:szCs w:val="24"/>
        </w:rPr>
      </w:pPr>
    </w:p>
    <w:p w14:paraId="14B3C641" w14:textId="77777777" w:rsidR="0060430B" w:rsidRPr="00A37DCC" w:rsidRDefault="0060430B" w:rsidP="0060430B">
      <w:pPr>
        <w:jc w:val="right"/>
        <w:rPr>
          <w:b/>
          <w:sz w:val="24"/>
          <w:szCs w:val="24"/>
        </w:rPr>
      </w:pPr>
      <w:r>
        <w:rPr>
          <w:b/>
          <w:sz w:val="24"/>
          <w:szCs w:val="24"/>
        </w:rPr>
        <w:t>LUCIANE DECKER</w:t>
      </w:r>
    </w:p>
    <w:p w14:paraId="4FC95B1E" w14:textId="77777777" w:rsidR="0060430B" w:rsidRPr="00A37DCC" w:rsidRDefault="0060430B" w:rsidP="0060430B">
      <w:pPr>
        <w:jc w:val="right"/>
        <w:rPr>
          <w:sz w:val="24"/>
          <w:szCs w:val="24"/>
        </w:rPr>
      </w:pPr>
      <w:r w:rsidRPr="00A37DCC">
        <w:rPr>
          <w:sz w:val="24"/>
          <w:szCs w:val="24"/>
        </w:rPr>
        <w:t>Universidade Federal de Santa Catarina</w:t>
      </w:r>
      <w:r>
        <w:rPr>
          <w:sz w:val="24"/>
          <w:szCs w:val="24"/>
        </w:rPr>
        <w:t xml:space="preserve"> (UFSC)</w:t>
      </w:r>
    </w:p>
    <w:p w14:paraId="7AB96DE1" w14:textId="605A1A33" w:rsidR="0060430B" w:rsidRPr="001F1783" w:rsidRDefault="001F1783" w:rsidP="0060430B">
      <w:pPr>
        <w:jc w:val="right"/>
        <w:rPr>
          <w:i/>
          <w:sz w:val="24"/>
          <w:szCs w:val="24"/>
        </w:rPr>
      </w:pPr>
      <w:r w:rsidRPr="001F1783">
        <w:rPr>
          <w:i/>
          <w:sz w:val="24"/>
          <w:szCs w:val="24"/>
        </w:rPr>
        <w:t>E</w:t>
      </w:r>
      <w:r w:rsidR="0060430B" w:rsidRPr="001F1783">
        <w:rPr>
          <w:i/>
          <w:sz w:val="24"/>
          <w:szCs w:val="24"/>
        </w:rPr>
        <w:t>-mail: luciane.decker@grad.ufsc.br</w:t>
      </w:r>
    </w:p>
    <w:p w14:paraId="36B944BA" w14:textId="77777777" w:rsidR="0060430B" w:rsidRPr="00A37DCC" w:rsidRDefault="0060430B" w:rsidP="0060430B">
      <w:pPr>
        <w:jc w:val="right"/>
        <w:rPr>
          <w:b/>
          <w:sz w:val="24"/>
          <w:szCs w:val="24"/>
        </w:rPr>
      </w:pPr>
      <w:r>
        <w:rPr>
          <w:b/>
          <w:sz w:val="24"/>
          <w:szCs w:val="24"/>
        </w:rPr>
        <w:t>FABRICIA SILVA DA ROSA</w:t>
      </w:r>
    </w:p>
    <w:p w14:paraId="7C8E744D" w14:textId="77777777" w:rsidR="0060430B" w:rsidRPr="00A37DCC" w:rsidRDefault="0060430B" w:rsidP="0060430B">
      <w:pPr>
        <w:jc w:val="right"/>
        <w:rPr>
          <w:sz w:val="24"/>
          <w:szCs w:val="24"/>
        </w:rPr>
      </w:pPr>
      <w:r w:rsidRPr="00A37DCC">
        <w:rPr>
          <w:sz w:val="24"/>
          <w:szCs w:val="24"/>
        </w:rPr>
        <w:t>Universidade Federal de Santa Catarina</w:t>
      </w:r>
      <w:r>
        <w:rPr>
          <w:sz w:val="24"/>
          <w:szCs w:val="24"/>
        </w:rPr>
        <w:t xml:space="preserve"> (UFSC)</w:t>
      </w:r>
    </w:p>
    <w:p w14:paraId="00109AEC" w14:textId="2EAB75CE" w:rsidR="0060430B" w:rsidRPr="001F1783" w:rsidRDefault="001F1783" w:rsidP="0060430B">
      <w:pPr>
        <w:jc w:val="right"/>
        <w:rPr>
          <w:i/>
          <w:sz w:val="24"/>
          <w:szCs w:val="24"/>
        </w:rPr>
      </w:pPr>
      <w:r w:rsidRPr="001F1783">
        <w:rPr>
          <w:i/>
          <w:sz w:val="24"/>
          <w:szCs w:val="24"/>
        </w:rPr>
        <w:t>E</w:t>
      </w:r>
      <w:r w:rsidR="0060430B" w:rsidRPr="001F1783">
        <w:rPr>
          <w:i/>
          <w:sz w:val="24"/>
          <w:szCs w:val="24"/>
        </w:rPr>
        <w:t xml:space="preserve">-mail: fabricia.rosa@ufsc.br </w:t>
      </w:r>
    </w:p>
    <w:p w14:paraId="18140769" w14:textId="77777777" w:rsidR="0060430B" w:rsidRPr="00A37DCC" w:rsidRDefault="0060430B" w:rsidP="0060430B">
      <w:pPr>
        <w:jc w:val="right"/>
        <w:rPr>
          <w:b/>
          <w:sz w:val="24"/>
          <w:szCs w:val="24"/>
        </w:rPr>
      </w:pPr>
      <w:r>
        <w:rPr>
          <w:b/>
          <w:sz w:val="24"/>
          <w:szCs w:val="24"/>
        </w:rPr>
        <w:t>GABRIEL DONADIO COSTA</w:t>
      </w:r>
    </w:p>
    <w:p w14:paraId="536CF90C" w14:textId="4F96BB7B" w:rsidR="0060430B" w:rsidRPr="00A37DCC" w:rsidRDefault="0060430B" w:rsidP="0060430B">
      <w:pPr>
        <w:jc w:val="right"/>
        <w:rPr>
          <w:sz w:val="24"/>
          <w:szCs w:val="24"/>
        </w:rPr>
      </w:pPr>
      <w:r w:rsidRPr="00A37DCC">
        <w:rPr>
          <w:sz w:val="24"/>
          <w:szCs w:val="24"/>
        </w:rPr>
        <w:t xml:space="preserve">Universidade </w:t>
      </w:r>
      <w:r w:rsidR="00A161C2">
        <w:rPr>
          <w:sz w:val="24"/>
          <w:szCs w:val="24"/>
        </w:rPr>
        <w:t>de Lisboa</w:t>
      </w:r>
      <w:r>
        <w:rPr>
          <w:sz w:val="24"/>
          <w:szCs w:val="24"/>
        </w:rPr>
        <w:t xml:space="preserve"> (U</w:t>
      </w:r>
      <w:r w:rsidR="00A161C2">
        <w:rPr>
          <w:sz w:val="24"/>
          <w:szCs w:val="24"/>
        </w:rPr>
        <w:t>Lisboa</w:t>
      </w:r>
      <w:r>
        <w:rPr>
          <w:sz w:val="24"/>
          <w:szCs w:val="24"/>
        </w:rPr>
        <w:t>)</w:t>
      </w:r>
    </w:p>
    <w:p w14:paraId="169B27CF" w14:textId="115033DF" w:rsidR="0060430B" w:rsidRPr="001F1783" w:rsidRDefault="001F1783" w:rsidP="0060430B">
      <w:pPr>
        <w:jc w:val="right"/>
        <w:rPr>
          <w:i/>
          <w:sz w:val="24"/>
          <w:szCs w:val="24"/>
          <w:shd w:val="clear" w:color="auto" w:fill="FFFFFF"/>
        </w:rPr>
      </w:pPr>
      <w:r w:rsidRPr="001F1783">
        <w:rPr>
          <w:i/>
          <w:sz w:val="24"/>
          <w:szCs w:val="24"/>
        </w:rPr>
        <w:t>E</w:t>
      </w:r>
      <w:r w:rsidR="0060430B" w:rsidRPr="001F1783">
        <w:rPr>
          <w:i/>
          <w:sz w:val="24"/>
          <w:szCs w:val="24"/>
        </w:rPr>
        <w:t xml:space="preserve">-mail: </w:t>
      </w:r>
      <w:hyperlink r:id="rId7" w:history="1">
        <w:r w:rsidR="0060430B" w:rsidRPr="001F1783">
          <w:rPr>
            <w:rStyle w:val="Hyperlink"/>
            <w:i/>
            <w:color w:val="auto"/>
            <w:sz w:val="24"/>
            <w:szCs w:val="24"/>
            <w:u w:val="none"/>
          </w:rPr>
          <w:t>donadiogabriel@gmail.com</w:t>
        </w:r>
      </w:hyperlink>
    </w:p>
    <w:p w14:paraId="5952E76C" w14:textId="77777777" w:rsidR="0060430B" w:rsidRPr="005E4065" w:rsidRDefault="0060430B" w:rsidP="0060430B">
      <w:pPr>
        <w:jc w:val="right"/>
        <w:rPr>
          <w:sz w:val="24"/>
          <w:szCs w:val="24"/>
        </w:rPr>
      </w:pPr>
    </w:p>
    <w:p w14:paraId="5C84EF0D" w14:textId="77777777" w:rsidR="0060430B" w:rsidRDefault="0060430B" w:rsidP="0060430B">
      <w:pPr>
        <w:jc w:val="both"/>
        <w:rPr>
          <w:b/>
          <w:sz w:val="24"/>
          <w:szCs w:val="24"/>
        </w:rPr>
      </w:pPr>
    </w:p>
    <w:p w14:paraId="72D3B73C" w14:textId="77777777" w:rsidR="0060430B" w:rsidRDefault="0060430B" w:rsidP="0060430B">
      <w:pPr>
        <w:jc w:val="both"/>
        <w:rPr>
          <w:b/>
          <w:sz w:val="24"/>
          <w:szCs w:val="24"/>
        </w:rPr>
      </w:pPr>
      <w:r w:rsidRPr="00B00978">
        <w:rPr>
          <w:b/>
          <w:sz w:val="24"/>
          <w:szCs w:val="24"/>
        </w:rPr>
        <w:t>RESUMO</w:t>
      </w:r>
    </w:p>
    <w:p w14:paraId="3F29801E" w14:textId="0676953B" w:rsidR="0060430B" w:rsidRDefault="0060430B" w:rsidP="0060430B">
      <w:pPr>
        <w:jc w:val="both"/>
        <w:rPr>
          <w:color w:val="000000"/>
          <w:sz w:val="24"/>
          <w:szCs w:val="24"/>
        </w:rPr>
      </w:pPr>
      <w:r w:rsidRPr="00A37DCC">
        <w:rPr>
          <w:sz w:val="24"/>
          <w:szCs w:val="24"/>
        </w:rPr>
        <w:t>A presente pesquisa tem como objetivo verificar a evolução da inscrição de restos a pagar ao final do governo do Estado de Santa Catarina no período de 2011 a 2017. A metodologia utilizada para a realização do trabalho é de pesquisa descritiva quanto aos seus objetivos e qualitativa e quantitativa, no que concerne a abordagem do problema. Os dados foram coletados no portal transparência do referido ente, utilizando-se dos Relatórios de Gestão Fiscal, Relatório resumido da Execução Orçamentária e o Balanço Geral do Estado. Conclui-se que apesar dos valores empenhados terem um crescimento positivo, a evolução da inscrição de restos a pagar não teve o mesmo comportamento, visto que a inscrição de restos a pagar tanto aumentou quanto diminuiu ao longo do período analisado, sendo que o menor valor inscrito foi no ano de 2012, com quantitativos de R$</w:t>
      </w:r>
      <w:r w:rsidRPr="00A37DCC">
        <w:rPr>
          <w:color w:val="000000"/>
          <w:sz w:val="24"/>
          <w:szCs w:val="24"/>
        </w:rPr>
        <w:t xml:space="preserve"> 393.215.453,13</w:t>
      </w:r>
      <w:r w:rsidRPr="00A37DCC">
        <w:rPr>
          <w:color w:val="000000"/>
        </w:rPr>
        <w:t xml:space="preserve"> </w:t>
      </w:r>
      <w:r w:rsidRPr="00A37DCC">
        <w:rPr>
          <w:color w:val="000000"/>
          <w:sz w:val="24"/>
          <w:szCs w:val="24"/>
        </w:rPr>
        <w:t>e que a partir de 2014 ela vem assumindo uma trajetória ascendente, com seu maior valor em quantitativos iguais a R$ 1.078.450.641,51 em 2017. Apesar disso, a inscrição em restos a pagar não tem comprometido em nenhum aspecto a execução financeira do exercício subsequente, sendo que em todos os anos o ente analisado possui disponibilidade suficiente de caixa para a realização da inscrição de restos a pagar, porém deve-se ter uma melhor supervisão do planejamento da administração, principalmente em relação aos restos a p</w:t>
      </w:r>
      <w:r w:rsidR="00333B0D">
        <w:rPr>
          <w:color w:val="000000"/>
          <w:sz w:val="24"/>
          <w:szCs w:val="24"/>
        </w:rPr>
        <w:t>agar não processados, que</w:t>
      </w:r>
      <w:r w:rsidRPr="00A37DCC">
        <w:rPr>
          <w:color w:val="000000"/>
          <w:sz w:val="24"/>
          <w:szCs w:val="24"/>
        </w:rPr>
        <w:t xml:space="preserve"> são a maior parcela do total da inscrição de restos a pagar, pois o planejamento não está sendo suficiente para a realização da execução orçamentária, ocasionando transferências financeiras que podem afetar o exercício seguinte.</w:t>
      </w:r>
    </w:p>
    <w:p w14:paraId="3624DA89" w14:textId="77777777" w:rsidR="0060430B" w:rsidRPr="0076482C" w:rsidRDefault="0060430B" w:rsidP="0060430B">
      <w:pPr>
        <w:jc w:val="both"/>
        <w:rPr>
          <w:sz w:val="24"/>
          <w:szCs w:val="24"/>
        </w:rPr>
      </w:pPr>
    </w:p>
    <w:p w14:paraId="3EE0993B" w14:textId="77777777" w:rsidR="0060430B" w:rsidRDefault="0060430B" w:rsidP="0060430B">
      <w:pPr>
        <w:jc w:val="both"/>
        <w:rPr>
          <w:sz w:val="24"/>
          <w:szCs w:val="24"/>
        </w:rPr>
      </w:pPr>
      <w:r w:rsidRPr="00B00978">
        <w:rPr>
          <w:b/>
          <w:sz w:val="24"/>
          <w:szCs w:val="24"/>
        </w:rPr>
        <w:t xml:space="preserve">PALAVRAS-CHAVE: </w:t>
      </w:r>
      <w:r w:rsidRPr="00B00978">
        <w:rPr>
          <w:sz w:val="24"/>
          <w:szCs w:val="24"/>
        </w:rPr>
        <w:t>Orçamento público</w:t>
      </w:r>
      <w:r>
        <w:rPr>
          <w:sz w:val="24"/>
          <w:szCs w:val="24"/>
        </w:rPr>
        <w:t>;</w:t>
      </w:r>
      <w:r w:rsidRPr="00B00978">
        <w:rPr>
          <w:sz w:val="24"/>
          <w:szCs w:val="24"/>
        </w:rPr>
        <w:t xml:space="preserve"> Restos a pagar</w:t>
      </w:r>
      <w:r>
        <w:rPr>
          <w:sz w:val="24"/>
          <w:szCs w:val="24"/>
        </w:rPr>
        <w:t>;</w:t>
      </w:r>
      <w:r w:rsidRPr="00B00978">
        <w:rPr>
          <w:sz w:val="24"/>
          <w:szCs w:val="24"/>
        </w:rPr>
        <w:t xml:space="preserve"> Santa Catarina.</w:t>
      </w:r>
    </w:p>
    <w:p w14:paraId="49632FA5" w14:textId="77777777" w:rsidR="0060430B" w:rsidRDefault="0060430B" w:rsidP="00067126">
      <w:pPr>
        <w:widowControl w:val="0"/>
        <w:rPr>
          <w:b/>
          <w:sz w:val="24"/>
          <w:szCs w:val="24"/>
        </w:rPr>
      </w:pPr>
    </w:p>
    <w:p w14:paraId="7D27A428" w14:textId="365F46E7" w:rsidR="0036377D" w:rsidRPr="00EF4D44" w:rsidRDefault="0036377D" w:rsidP="00067126">
      <w:pPr>
        <w:widowControl w:val="0"/>
        <w:rPr>
          <w:b/>
          <w:sz w:val="24"/>
          <w:szCs w:val="24"/>
        </w:rPr>
      </w:pPr>
      <w:r>
        <w:rPr>
          <w:b/>
          <w:sz w:val="24"/>
          <w:szCs w:val="24"/>
        </w:rPr>
        <w:t xml:space="preserve">Linha Temática: </w:t>
      </w:r>
      <w:r w:rsidR="00EF4D44" w:rsidRPr="00EF4D44">
        <w:rPr>
          <w:b/>
          <w:sz w:val="24"/>
          <w:szCs w:val="24"/>
        </w:rPr>
        <w:t>Outros temas relevantes em contabilidade</w:t>
      </w:r>
    </w:p>
    <w:p w14:paraId="74D17CDA" w14:textId="77777777" w:rsidR="002552F1" w:rsidRDefault="002552F1" w:rsidP="00067126">
      <w:pPr>
        <w:widowControl w:val="0"/>
      </w:pPr>
    </w:p>
    <w:p w14:paraId="23AFADCF" w14:textId="77777777" w:rsidR="0036377D" w:rsidRDefault="0036377D" w:rsidP="00067126">
      <w:pPr>
        <w:widowControl w:val="0"/>
      </w:pPr>
    </w:p>
    <w:p w14:paraId="25ABA65B" w14:textId="77777777" w:rsidR="00E6136F" w:rsidRDefault="00E6136F" w:rsidP="00067126">
      <w:pPr>
        <w:widowControl w:val="0"/>
      </w:pPr>
    </w:p>
    <w:p w14:paraId="4519C7D3" w14:textId="77777777" w:rsidR="00E6136F" w:rsidRDefault="00E6136F" w:rsidP="00067126">
      <w:pPr>
        <w:widowControl w:val="0"/>
      </w:pPr>
    </w:p>
    <w:p w14:paraId="0913D088" w14:textId="77777777" w:rsidR="00E6136F" w:rsidRDefault="00E6136F" w:rsidP="00067126">
      <w:pPr>
        <w:widowControl w:val="0"/>
      </w:pPr>
    </w:p>
    <w:p w14:paraId="5833B3F1" w14:textId="77777777" w:rsidR="00E6136F" w:rsidRDefault="00E6136F" w:rsidP="00067126">
      <w:pPr>
        <w:widowControl w:val="0"/>
      </w:pPr>
    </w:p>
    <w:p w14:paraId="528B09C7" w14:textId="77777777" w:rsidR="00E6136F" w:rsidRDefault="00E6136F" w:rsidP="00067126">
      <w:pPr>
        <w:widowControl w:val="0"/>
      </w:pPr>
    </w:p>
    <w:p w14:paraId="3B030058" w14:textId="77777777" w:rsidR="00E6136F" w:rsidRDefault="00E6136F"/>
    <w:p w14:paraId="7D30FCC4" w14:textId="6516481B" w:rsidR="0060430B" w:rsidRPr="00A841A9" w:rsidRDefault="00A841A9" w:rsidP="00A841A9">
      <w:pPr>
        <w:jc w:val="both"/>
        <w:rPr>
          <w:b/>
          <w:sz w:val="24"/>
          <w:szCs w:val="24"/>
        </w:rPr>
      </w:pPr>
      <w:r>
        <w:rPr>
          <w:b/>
          <w:sz w:val="24"/>
          <w:szCs w:val="24"/>
        </w:rPr>
        <w:lastRenderedPageBreak/>
        <w:t xml:space="preserve">1 </w:t>
      </w:r>
      <w:r w:rsidR="0060430B" w:rsidRPr="00A841A9">
        <w:rPr>
          <w:b/>
          <w:sz w:val="24"/>
          <w:szCs w:val="24"/>
        </w:rPr>
        <w:t>INTRODUÇÃO</w:t>
      </w:r>
    </w:p>
    <w:p w14:paraId="5B5DF25F" w14:textId="1512305F" w:rsidR="00D83336" w:rsidRPr="00D83336" w:rsidRDefault="00D83336" w:rsidP="00D83336">
      <w:pPr>
        <w:jc w:val="both"/>
        <w:rPr>
          <w:b/>
          <w:sz w:val="24"/>
          <w:szCs w:val="24"/>
        </w:rPr>
      </w:pPr>
    </w:p>
    <w:p w14:paraId="3E281A6D" w14:textId="77777777" w:rsidR="0060430B" w:rsidRPr="00B00978" w:rsidRDefault="0060430B" w:rsidP="0060430B">
      <w:pPr>
        <w:jc w:val="both"/>
        <w:rPr>
          <w:sz w:val="24"/>
          <w:szCs w:val="24"/>
        </w:rPr>
      </w:pPr>
      <w:r>
        <w:rPr>
          <w:b/>
          <w:sz w:val="24"/>
          <w:szCs w:val="24"/>
        </w:rPr>
        <w:tab/>
      </w:r>
      <w:r w:rsidRPr="00B00978">
        <w:rPr>
          <w:sz w:val="24"/>
          <w:szCs w:val="24"/>
        </w:rPr>
        <w:t>O setor público é responsável por proporcionar à população a satisfação de suas necessidades sociais por meio de gestão de recursos públicos (G</w:t>
      </w:r>
      <w:r>
        <w:rPr>
          <w:sz w:val="24"/>
          <w:szCs w:val="24"/>
        </w:rPr>
        <w:t>rateron</w:t>
      </w:r>
      <w:r w:rsidRPr="00B00978">
        <w:rPr>
          <w:sz w:val="24"/>
          <w:szCs w:val="24"/>
        </w:rPr>
        <w:t>,</w:t>
      </w:r>
      <w:r>
        <w:rPr>
          <w:sz w:val="24"/>
          <w:szCs w:val="24"/>
        </w:rPr>
        <w:t xml:space="preserve"> </w:t>
      </w:r>
      <w:r w:rsidRPr="00B00978">
        <w:rPr>
          <w:sz w:val="24"/>
          <w:szCs w:val="24"/>
        </w:rPr>
        <w:t>1999). Entretanto, tal gestão deve ser rigorosa, uma vez que os recursos são limitados e pertencem a todos os cidadãos. Diante disso, surge a necessidade de uma ferramenta que auxilie no planejamento e no controle das atividades relacionadas à captação de recursos e seus dispêndios, o chamado orçamento público.</w:t>
      </w:r>
    </w:p>
    <w:p w14:paraId="238AA15D" w14:textId="2151087E" w:rsidR="0060430B" w:rsidRPr="00B00978" w:rsidRDefault="0060430B" w:rsidP="0060430B">
      <w:pPr>
        <w:jc w:val="both"/>
        <w:rPr>
          <w:sz w:val="24"/>
          <w:szCs w:val="24"/>
        </w:rPr>
      </w:pPr>
      <w:r w:rsidRPr="00B00978">
        <w:rPr>
          <w:sz w:val="24"/>
          <w:szCs w:val="24"/>
        </w:rPr>
        <w:tab/>
        <w:t xml:space="preserve">O orçamento público possui um papel importante na economia do Estado através da tomada de decisão, que segundo Kohama (2016) tem como objetivo prever as receitas e fixar as despesas, proporcionando ao Estado uma economia equilibrada, onde o resultado desse equilíbrio dar-se-á em não gastar mais do que se arrecada em determinado ano. </w:t>
      </w:r>
      <w:r>
        <w:rPr>
          <w:sz w:val="24"/>
          <w:szCs w:val="24"/>
        </w:rPr>
        <w:t xml:space="preserve">Nesse contexto </w:t>
      </w:r>
      <w:r w:rsidR="00EF0942">
        <w:rPr>
          <w:sz w:val="24"/>
          <w:szCs w:val="24"/>
        </w:rPr>
        <w:t>encontram-se</w:t>
      </w:r>
      <w:r>
        <w:rPr>
          <w:sz w:val="24"/>
          <w:szCs w:val="24"/>
        </w:rPr>
        <w:t xml:space="preserve"> as despesas públicas e dentro dessas, a dívida pública, que engloba diversos tipos de endividamento, entre eles os restos a pagar (RP). </w:t>
      </w:r>
    </w:p>
    <w:p w14:paraId="185D377E" w14:textId="77777777" w:rsidR="0060430B" w:rsidRPr="00B00978" w:rsidRDefault="0060430B" w:rsidP="0060430B">
      <w:pPr>
        <w:jc w:val="both"/>
        <w:rPr>
          <w:szCs w:val="24"/>
        </w:rPr>
      </w:pPr>
      <w:r w:rsidRPr="00B00978">
        <w:rPr>
          <w:sz w:val="24"/>
          <w:szCs w:val="24"/>
        </w:rPr>
        <w:tab/>
        <w:t>Segundo Camargo e Sehnem (2010, p. 253), a Lei de Responsabilidade Fiscal (LRF) “[...] definiu metas, limites e procedimentos”, visando a promover a transparência das contas públicas e a equilibrá-las. Dentro desses limites encontra-se a restrição quanto a inscrição de restos a pagar, conta esta</w:t>
      </w:r>
      <w:r>
        <w:rPr>
          <w:sz w:val="24"/>
          <w:szCs w:val="24"/>
        </w:rPr>
        <w:t>,</w:t>
      </w:r>
      <w:r w:rsidRPr="00B00978">
        <w:rPr>
          <w:sz w:val="24"/>
          <w:szCs w:val="24"/>
        </w:rPr>
        <w:t xml:space="preserve"> que compõe a dívida de curto prazo ou dívida flutuante, logo, integrando o passivo</w:t>
      </w:r>
      <w:r>
        <w:rPr>
          <w:sz w:val="24"/>
          <w:szCs w:val="24"/>
        </w:rPr>
        <w:t xml:space="preserve"> financeiro</w:t>
      </w:r>
      <w:r w:rsidRPr="00B00978">
        <w:rPr>
          <w:sz w:val="24"/>
          <w:szCs w:val="24"/>
        </w:rPr>
        <w:t xml:space="preserve">. </w:t>
      </w:r>
    </w:p>
    <w:p w14:paraId="4B2693EC" w14:textId="77777777" w:rsidR="0060430B" w:rsidRPr="00B00978" w:rsidRDefault="0060430B" w:rsidP="0060430B">
      <w:pPr>
        <w:jc w:val="both"/>
        <w:rPr>
          <w:sz w:val="24"/>
          <w:szCs w:val="24"/>
        </w:rPr>
      </w:pPr>
      <w:r w:rsidRPr="00B00978">
        <w:rPr>
          <w:sz w:val="24"/>
          <w:szCs w:val="24"/>
        </w:rPr>
        <w:tab/>
        <w:t>Conforme o art. 35 da Lei nº. 4.320 de 17 de março de 1964, “pertencem ao exercício financeiro: [...] II - as despesas nele legalmente empenhas até 31 de dezembro de cada ano”. Sendo assim, os restos a pagar são chamados desta forma, por serem despesas empenhadas e não pagas até o final do exercício, porém, essa classificação é apenas de caráter financeiro, cabe desta forma, especificá-los em processados ou não processados.</w:t>
      </w:r>
    </w:p>
    <w:p w14:paraId="22059296" w14:textId="77777777" w:rsidR="0060430B" w:rsidRDefault="0060430B" w:rsidP="0060430B">
      <w:pPr>
        <w:tabs>
          <w:tab w:val="left" w:pos="708"/>
          <w:tab w:val="left" w:pos="5445"/>
        </w:tabs>
        <w:jc w:val="both"/>
        <w:rPr>
          <w:sz w:val="24"/>
          <w:szCs w:val="24"/>
        </w:rPr>
      </w:pPr>
      <w:r w:rsidRPr="00B00978">
        <w:rPr>
          <w:sz w:val="24"/>
          <w:szCs w:val="24"/>
        </w:rPr>
        <w:tab/>
        <w:t xml:space="preserve">Considerando tal contexto, o presente artigo procura responder a seguinte indagação: qual a evolução da inscrição de restos a </w:t>
      </w:r>
      <w:r>
        <w:rPr>
          <w:sz w:val="24"/>
          <w:szCs w:val="24"/>
        </w:rPr>
        <w:t>pagar no Estado de Santa Catarina nos exercícios de 2011 a 2017</w:t>
      </w:r>
      <w:r w:rsidRPr="00B00978">
        <w:rPr>
          <w:sz w:val="24"/>
          <w:szCs w:val="24"/>
        </w:rPr>
        <w:t xml:space="preserve">? </w:t>
      </w:r>
    </w:p>
    <w:p w14:paraId="4AD553C4" w14:textId="77777777" w:rsidR="0060430B" w:rsidRDefault="0060430B" w:rsidP="0060430B">
      <w:pPr>
        <w:tabs>
          <w:tab w:val="left" w:pos="708"/>
          <w:tab w:val="left" w:pos="5445"/>
        </w:tabs>
        <w:jc w:val="both"/>
        <w:rPr>
          <w:sz w:val="24"/>
          <w:szCs w:val="24"/>
        </w:rPr>
      </w:pPr>
      <w:r>
        <w:rPr>
          <w:sz w:val="24"/>
          <w:szCs w:val="24"/>
        </w:rPr>
        <w:tab/>
      </w:r>
      <w:r w:rsidRPr="00B00978">
        <w:rPr>
          <w:sz w:val="24"/>
          <w:szCs w:val="24"/>
        </w:rPr>
        <w:t xml:space="preserve">Diante disso, o objetivo geral da pesquisa é verificar a evolução da inscrição de restos a pagar ao final </w:t>
      </w:r>
      <w:r>
        <w:rPr>
          <w:sz w:val="24"/>
          <w:szCs w:val="24"/>
        </w:rPr>
        <w:t>do governo do Estado de Santa Catarina no período de 2011 a 2017.</w:t>
      </w:r>
    </w:p>
    <w:p w14:paraId="74FB66C8" w14:textId="77777777" w:rsidR="0060430B" w:rsidRPr="00B00978" w:rsidRDefault="0060430B" w:rsidP="0060430B">
      <w:pPr>
        <w:tabs>
          <w:tab w:val="left" w:pos="708"/>
          <w:tab w:val="left" w:pos="5445"/>
        </w:tabs>
        <w:jc w:val="both"/>
        <w:rPr>
          <w:sz w:val="24"/>
          <w:szCs w:val="24"/>
        </w:rPr>
      </w:pPr>
      <w:r>
        <w:rPr>
          <w:sz w:val="24"/>
          <w:szCs w:val="24"/>
        </w:rPr>
        <w:tab/>
      </w:r>
      <w:r w:rsidRPr="00B00978">
        <w:rPr>
          <w:sz w:val="24"/>
          <w:szCs w:val="24"/>
        </w:rPr>
        <w:t>Justifica-se a importância do exposto trabalho por estar relacionado ao ambiente social quanto a utilização de recursos públicos o qual pertencem a população e que devem ser utilizados da melhor forma possível para atender as necessidades públicas, como também evidenciados de forma transparente e ao contexto governamental quanto ao comprometimento da execução do exercício financeiro seguinte.</w:t>
      </w:r>
    </w:p>
    <w:p w14:paraId="6BA30C07" w14:textId="77777777" w:rsidR="0060430B" w:rsidRDefault="0060430B" w:rsidP="0060430B">
      <w:pPr>
        <w:jc w:val="both"/>
        <w:rPr>
          <w:b/>
          <w:sz w:val="24"/>
          <w:szCs w:val="24"/>
        </w:rPr>
      </w:pPr>
    </w:p>
    <w:p w14:paraId="69114EAB" w14:textId="17AFDC9A" w:rsidR="0060430B" w:rsidRPr="00B00978" w:rsidRDefault="00A841A9" w:rsidP="0060430B">
      <w:pPr>
        <w:jc w:val="both"/>
        <w:rPr>
          <w:b/>
          <w:sz w:val="24"/>
          <w:szCs w:val="24"/>
        </w:rPr>
      </w:pPr>
      <w:r>
        <w:rPr>
          <w:b/>
          <w:sz w:val="24"/>
          <w:szCs w:val="24"/>
        </w:rPr>
        <w:t>2</w:t>
      </w:r>
      <w:r w:rsidR="0060430B" w:rsidRPr="00B00978">
        <w:rPr>
          <w:b/>
          <w:sz w:val="24"/>
          <w:szCs w:val="24"/>
        </w:rPr>
        <w:t xml:space="preserve"> REFERENCIAL TEÓRICO</w:t>
      </w:r>
    </w:p>
    <w:p w14:paraId="5803E623" w14:textId="77777777" w:rsidR="0060430B" w:rsidRPr="00B00978" w:rsidRDefault="0060430B" w:rsidP="0060430B">
      <w:pPr>
        <w:jc w:val="both"/>
        <w:rPr>
          <w:b/>
          <w:sz w:val="24"/>
          <w:szCs w:val="24"/>
        </w:rPr>
      </w:pPr>
    </w:p>
    <w:p w14:paraId="28A0BBC3" w14:textId="77777777" w:rsidR="0060430B" w:rsidRPr="00B00978" w:rsidRDefault="0060430B" w:rsidP="0060430B">
      <w:pPr>
        <w:jc w:val="both"/>
        <w:rPr>
          <w:b/>
          <w:sz w:val="24"/>
          <w:szCs w:val="24"/>
        </w:rPr>
      </w:pPr>
      <w:r w:rsidRPr="00B00978">
        <w:rPr>
          <w:b/>
          <w:sz w:val="24"/>
          <w:szCs w:val="24"/>
        </w:rPr>
        <w:t>2.1 Dívida Pública</w:t>
      </w:r>
    </w:p>
    <w:p w14:paraId="394FE2A9" w14:textId="77777777" w:rsidR="0060430B" w:rsidRPr="00B00978" w:rsidRDefault="0060430B" w:rsidP="0060430B">
      <w:pPr>
        <w:jc w:val="both"/>
        <w:rPr>
          <w:sz w:val="24"/>
          <w:szCs w:val="24"/>
        </w:rPr>
      </w:pPr>
      <w:r w:rsidRPr="00B00978">
        <w:rPr>
          <w:b/>
          <w:sz w:val="24"/>
          <w:szCs w:val="24"/>
        </w:rPr>
        <w:tab/>
      </w:r>
      <w:r w:rsidRPr="00B00978">
        <w:rPr>
          <w:sz w:val="24"/>
          <w:szCs w:val="24"/>
        </w:rPr>
        <w:t>Ao abordar o assunto dívida, inicialmente é pertinente destacar sua definição.</w:t>
      </w:r>
      <w:r>
        <w:rPr>
          <w:sz w:val="24"/>
          <w:szCs w:val="24"/>
        </w:rPr>
        <w:t xml:space="preserve"> Para Kohama (2010, p. 146) dívida pública “são todos os compromissos assumidos pelo governo e os respectivos juros”.  </w:t>
      </w:r>
      <w:r w:rsidRPr="00B00978">
        <w:rPr>
          <w:sz w:val="24"/>
          <w:szCs w:val="24"/>
        </w:rPr>
        <w:t>Sá e Sá (1995, p. 174)</w:t>
      </w:r>
      <w:r>
        <w:rPr>
          <w:sz w:val="24"/>
          <w:szCs w:val="24"/>
        </w:rPr>
        <w:t>, define dívida como</w:t>
      </w:r>
      <w:r w:rsidRPr="00B00978">
        <w:rPr>
          <w:sz w:val="24"/>
          <w:szCs w:val="24"/>
        </w:rPr>
        <w:t xml:space="preserve"> “fato patrimonial que representa o débito de financiamento ou de funcionamento; valor que a empresa tem a pagar a terceiros; valor que representa um crédito obtido por compra ou empréstimo”. </w:t>
      </w:r>
      <w:r>
        <w:rPr>
          <w:sz w:val="24"/>
          <w:szCs w:val="24"/>
        </w:rPr>
        <w:t xml:space="preserve">Já Sanches (2013) ao descrever o mesmo assunto especifica quem pode contrair e qual a classificação quanto a dívida que um país pode apresentar. Referido autor (2013, p. 130) relata que dívida é </w:t>
      </w:r>
      <w:r>
        <w:rPr>
          <w:sz w:val="24"/>
          <w:szCs w:val="24"/>
        </w:rPr>
        <w:lastRenderedPageBreak/>
        <w:t>o “</w:t>
      </w:r>
      <w:r w:rsidRPr="00CD01E8">
        <w:rPr>
          <w:sz w:val="24"/>
          <w:szCs w:val="24"/>
        </w:rPr>
        <w:t>compromisso financeiro assumido por uma pessoa física ou jurídica – de direito</w:t>
      </w:r>
      <w:r>
        <w:rPr>
          <w:sz w:val="24"/>
          <w:szCs w:val="24"/>
        </w:rPr>
        <w:t xml:space="preserve"> </w:t>
      </w:r>
      <w:r w:rsidRPr="00CD01E8">
        <w:rPr>
          <w:sz w:val="24"/>
          <w:szCs w:val="24"/>
        </w:rPr>
        <w:t>público ou privado – perante outra pessoa física ou jurídica”.</w:t>
      </w:r>
      <w:r>
        <w:rPr>
          <w:sz w:val="24"/>
          <w:szCs w:val="24"/>
        </w:rPr>
        <w:t xml:space="preserve"> </w:t>
      </w:r>
    </w:p>
    <w:p w14:paraId="48B7376C" w14:textId="49A0000C" w:rsidR="0060430B" w:rsidRPr="00B00978" w:rsidRDefault="0060430B" w:rsidP="0060430B">
      <w:pPr>
        <w:ind w:firstLine="708"/>
        <w:jc w:val="both"/>
        <w:rPr>
          <w:sz w:val="24"/>
          <w:szCs w:val="24"/>
        </w:rPr>
      </w:pPr>
      <w:r>
        <w:rPr>
          <w:sz w:val="24"/>
          <w:szCs w:val="24"/>
        </w:rPr>
        <w:t>Quanto a classificação da dívida em pública ou privada,</w:t>
      </w:r>
      <w:r w:rsidRPr="00B00978">
        <w:rPr>
          <w:sz w:val="24"/>
          <w:szCs w:val="24"/>
        </w:rPr>
        <w:t xml:space="preserve"> Platt Neto (2017) </w:t>
      </w:r>
      <w:r>
        <w:rPr>
          <w:sz w:val="24"/>
          <w:szCs w:val="24"/>
        </w:rPr>
        <w:t>conceitua a primeira como sendo aquela contraída pela administração pública por meio de diversas obrigações assumidas</w:t>
      </w:r>
      <w:r w:rsidRPr="00B00978">
        <w:rPr>
          <w:sz w:val="24"/>
          <w:szCs w:val="24"/>
        </w:rPr>
        <w:t xml:space="preserve"> para suprir a necessidade dos serviços públicos em atender a insuficiência financeira resultante de déficit financeiro (excesso de despesa em relação a receita</w:t>
      </w:r>
      <w:r w:rsidR="00EF0942">
        <w:rPr>
          <w:sz w:val="24"/>
          <w:szCs w:val="24"/>
        </w:rPr>
        <w:t>)</w:t>
      </w:r>
      <w:r w:rsidRPr="00B00978">
        <w:rPr>
          <w:sz w:val="24"/>
          <w:szCs w:val="24"/>
        </w:rPr>
        <w:t xml:space="preserve">. </w:t>
      </w:r>
      <w:r>
        <w:rPr>
          <w:sz w:val="24"/>
          <w:szCs w:val="24"/>
        </w:rPr>
        <w:t>Para</w:t>
      </w:r>
      <w:r w:rsidRPr="00B00978">
        <w:rPr>
          <w:sz w:val="24"/>
          <w:szCs w:val="24"/>
        </w:rPr>
        <w:t xml:space="preserve"> dívida privada</w:t>
      </w:r>
      <w:r>
        <w:rPr>
          <w:sz w:val="24"/>
          <w:szCs w:val="24"/>
        </w:rPr>
        <w:t>,</w:t>
      </w:r>
      <w:r w:rsidRPr="00B00978">
        <w:rPr>
          <w:sz w:val="24"/>
          <w:szCs w:val="24"/>
        </w:rPr>
        <w:t xml:space="preserve"> </w:t>
      </w:r>
      <w:r>
        <w:rPr>
          <w:sz w:val="24"/>
          <w:szCs w:val="24"/>
        </w:rPr>
        <w:t>o mesmo autor</w:t>
      </w:r>
      <w:r w:rsidRPr="00B00978">
        <w:rPr>
          <w:sz w:val="24"/>
          <w:szCs w:val="24"/>
        </w:rPr>
        <w:t xml:space="preserve"> define</w:t>
      </w:r>
      <w:r>
        <w:rPr>
          <w:sz w:val="24"/>
          <w:szCs w:val="24"/>
        </w:rPr>
        <w:t>-a</w:t>
      </w:r>
      <w:r w:rsidRPr="00B00978">
        <w:rPr>
          <w:sz w:val="24"/>
          <w:szCs w:val="24"/>
        </w:rPr>
        <w:t xml:space="preserve"> como sendo aquela que as organizações privadas e famílias assumem, desta forma, não abrangendo a algumas estatais, empresas não governam</w:t>
      </w:r>
      <w:r>
        <w:rPr>
          <w:sz w:val="24"/>
          <w:szCs w:val="24"/>
        </w:rPr>
        <w:t>entais e sem fins lucrativos (Platt Neto, 2017).</w:t>
      </w:r>
    </w:p>
    <w:p w14:paraId="37D615C2" w14:textId="77777777" w:rsidR="0060430B" w:rsidRPr="00B00978" w:rsidRDefault="0060430B" w:rsidP="0060430B">
      <w:pPr>
        <w:ind w:firstLine="708"/>
        <w:jc w:val="both"/>
        <w:rPr>
          <w:sz w:val="24"/>
          <w:szCs w:val="24"/>
        </w:rPr>
      </w:pPr>
      <w:r>
        <w:rPr>
          <w:sz w:val="24"/>
          <w:szCs w:val="24"/>
        </w:rPr>
        <w:t>O</w:t>
      </w:r>
      <w:r w:rsidRPr="00B00978">
        <w:rPr>
          <w:sz w:val="24"/>
          <w:szCs w:val="24"/>
        </w:rPr>
        <w:t>utra classific</w:t>
      </w:r>
      <w:r>
        <w:rPr>
          <w:sz w:val="24"/>
          <w:szCs w:val="24"/>
        </w:rPr>
        <w:t>ação referente a dívida</w:t>
      </w:r>
      <w:r w:rsidRPr="00B00978">
        <w:rPr>
          <w:sz w:val="24"/>
          <w:szCs w:val="24"/>
        </w:rPr>
        <w:t xml:space="preserve"> é que ela pode ser interna ou externa. </w:t>
      </w:r>
      <w:r>
        <w:rPr>
          <w:sz w:val="24"/>
          <w:szCs w:val="24"/>
        </w:rPr>
        <w:t xml:space="preserve">Platt Neto a conceitua em relação a moeda da obrigação, a </w:t>
      </w:r>
      <w:r w:rsidRPr="00B00978">
        <w:rPr>
          <w:sz w:val="24"/>
          <w:szCs w:val="24"/>
        </w:rPr>
        <w:t xml:space="preserve">dívida é interna </w:t>
      </w:r>
      <w:r>
        <w:rPr>
          <w:sz w:val="24"/>
          <w:szCs w:val="24"/>
        </w:rPr>
        <w:t>quando contraída em moeda nacional</w:t>
      </w:r>
      <w:r w:rsidRPr="00B00978">
        <w:rPr>
          <w:sz w:val="24"/>
          <w:szCs w:val="24"/>
        </w:rPr>
        <w:t xml:space="preserve"> </w:t>
      </w:r>
      <w:r>
        <w:rPr>
          <w:sz w:val="24"/>
          <w:szCs w:val="24"/>
        </w:rPr>
        <w:t>e externa aquela contraída em moeda estrangeira (Platt Neto, 2017). Já para o Sistema do Tesouro Nacional (STN) no Manual dos Demonstrativos Fiscais (MDF) a definição está voltada a origem do credor, operações de crédito interna</w:t>
      </w:r>
      <w:r w:rsidRPr="00B00978">
        <w:rPr>
          <w:sz w:val="24"/>
          <w:szCs w:val="24"/>
        </w:rPr>
        <w:t xml:space="preserve"> </w:t>
      </w:r>
      <w:r>
        <w:rPr>
          <w:sz w:val="24"/>
          <w:szCs w:val="24"/>
        </w:rPr>
        <w:t>são as</w:t>
      </w:r>
      <w:r w:rsidRPr="00B00978">
        <w:rPr>
          <w:sz w:val="24"/>
          <w:szCs w:val="24"/>
        </w:rPr>
        <w:t xml:space="preserve"> obrigações assumidas no País com credores do País</w:t>
      </w:r>
      <w:r>
        <w:rPr>
          <w:sz w:val="24"/>
          <w:szCs w:val="24"/>
        </w:rPr>
        <w:t xml:space="preserve"> e</w:t>
      </w:r>
      <w:r w:rsidRPr="00B00978">
        <w:rPr>
          <w:sz w:val="24"/>
          <w:szCs w:val="24"/>
        </w:rPr>
        <w:t xml:space="preserve"> as operações de crédito externa são aquelas realizadas com agências estrangeiras ou com credores que residem no </w:t>
      </w:r>
      <w:r>
        <w:rPr>
          <w:sz w:val="24"/>
          <w:szCs w:val="24"/>
        </w:rPr>
        <w:t>exterior (STN, 2017).</w:t>
      </w:r>
    </w:p>
    <w:p w14:paraId="2B0D800E" w14:textId="77777777" w:rsidR="0060430B" w:rsidRPr="00B00978" w:rsidRDefault="0060430B" w:rsidP="0060430B">
      <w:pPr>
        <w:ind w:firstLine="708"/>
        <w:jc w:val="both"/>
        <w:rPr>
          <w:sz w:val="24"/>
          <w:szCs w:val="24"/>
        </w:rPr>
      </w:pPr>
      <w:r w:rsidRPr="00B00978">
        <w:rPr>
          <w:sz w:val="24"/>
          <w:szCs w:val="24"/>
        </w:rPr>
        <w:t>A abordagem da dívida pública é prevista expressamente na Constituição Federal de 1988, que estabelece para a União, os Estados, o Distrito Federal e os Municípios como também para suas autarquias e outas entidades que são controladas pelo Poder Público Federal normas sobre as condições e fixação em relação aos limites globais do total da dívida consolidada, das operações de crédito externa e interna, de suas garantias e também sobre a dívida mobiliária.</w:t>
      </w:r>
    </w:p>
    <w:p w14:paraId="3FF664FD" w14:textId="60858642" w:rsidR="0060430B" w:rsidRPr="00B00978" w:rsidRDefault="0060430B" w:rsidP="0060430B">
      <w:pPr>
        <w:ind w:firstLine="708"/>
        <w:jc w:val="both"/>
        <w:rPr>
          <w:sz w:val="24"/>
          <w:szCs w:val="24"/>
        </w:rPr>
      </w:pPr>
      <w:r w:rsidRPr="00B00978">
        <w:rPr>
          <w:sz w:val="24"/>
          <w:szCs w:val="24"/>
        </w:rPr>
        <w:t>Além da Constituição Federal de 1988, há outras fontes legais que regulam sobre a dívida pública e em relação as operações de crédito no Brasil. A Lei nº 4.320/1964 aborda aspectos sobre a Lei de Orçamento e suas atribuições, como também sobre a dívida flutuante e dívida fundada. O Decreto nº 93.872/1986</w:t>
      </w:r>
      <w:r w:rsidR="00FA55A1" w:rsidRPr="00B00978">
        <w:rPr>
          <w:sz w:val="24"/>
          <w:szCs w:val="24"/>
        </w:rPr>
        <w:t xml:space="preserve"> conceitua</w:t>
      </w:r>
      <w:r w:rsidRPr="00B00978">
        <w:rPr>
          <w:sz w:val="24"/>
          <w:szCs w:val="24"/>
        </w:rPr>
        <w:t xml:space="preserve"> os retos a pagar, distinguindo-os entre restos a pagar processados</w:t>
      </w:r>
      <w:r>
        <w:rPr>
          <w:sz w:val="24"/>
          <w:szCs w:val="24"/>
        </w:rPr>
        <w:t xml:space="preserve"> (RPP)</w:t>
      </w:r>
      <w:r w:rsidRPr="00B00978">
        <w:rPr>
          <w:sz w:val="24"/>
          <w:szCs w:val="24"/>
        </w:rPr>
        <w:t xml:space="preserve"> e restos a pagar não processados</w:t>
      </w:r>
      <w:r>
        <w:rPr>
          <w:sz w:val="24"/>
          <w:szCs w:val="24"/>
        </w:rPr>
        <w:t xml:space="preserve"> (RPNP)</w:t>
      </w:r>
      <w:r w:rsidRPr="00B00978">
        <w:rPr>
          <w:sz w:val="24"/>
          <w:szCs w:val="24"/>
        </w:rPr>
        <w:t xml:space="preserve">, além de tratar também da dívida flutuante e fundada. Outra norma que também apresenta definições sobre dívida pública é a Lei Complementar nº 101/2000 (LRF), abordando sobre dívida mobiliaria e seus refinanciamentos, operações de crédito e concessão de garantia; apresenta os limites da dívida pública e das operações de crédito, bem como proíbe a contração de dívida nos dois últimos quadrimestres de mandato titular de poder ou órgão. </w:t>
      </w:r>
    </w:p>
    <w:p w14:paraId="6A8D17D2" w14:textId="77777777" w:rsidR="0060430B" w:rsidRDefault="0060430B" w:rsidP="0060430B">
      <w:pPr>
        <w:ind w:firstLine="708"/>
        <w:jc w:val="both"/>
        <w:rPr>
          <w:sz w:val="24"/>
          <w:szCs w:val="24"/>
        </w:rPr>
      </w:pPr>
      <w:r w:rsidRPr="00B00978">
        <w:rPr>
          <w:sz w:val="24"/>
          <w:szCs w:val="24"/>
        </w:rPr>
        <w:t>De acordo com</w:t>
      </w:r>
      <w:r>
        <w:rPr>
          <w:sz w:val="24"/>
          <w:szCs w:val="24"/>
        </w:rPr>
        <w:t xml:space="preserve"> Decreto n.º 93.</w:t>
      </w:r>
      <w:r w:rsidRPr="00B00978">
        <w:rPr>
          <w:sz w:val="24"/>
          <w:szCs w:val="24"/>
        </w:rPr>
        <w:t xml:space="preserve">872/1986 e a Lei n.º 4.320/1964, a dívida pública compreende a dívida flutuante e a dívida fundada. A dívida flutuante é aquela contraída por um breve e determinado período, ou seja, compromissos de curto prazo, que independem de autorização orçamentária, como os restos a pagar, excluídos os serviços da dívida, os serviços da dívida a pagar, os depósitos e os débitos de tesouraria. </w:t>
      </w:r>
      <w:r>
        <w:rPr>
          <w:sz w:val="24"/>
          <w:szCs w:val="24"/>
        </w:rPr>
        <w:t>A</w:t>
      </w:r>
      <w:r w:rsidRPr="00B00978">
        <w:rPr>
          <w:sz w:val="24"/>
          <w:szCs w:val="24"/>
        </w:rPr>
        <w:t xml:space="preserve"> dívida fundada </w:t>
      </w:r>
      <w:r>
        <w:rPr>
          <w:sz w:val="24"/>
          <w:szCs w:val="24"/>
        </w:rPr>
        <w:t>são</w:t>
      </w:r>
      <w:r w:rsidRPr="00B00978">
        <w:rPr>
          <w:sz w:val="24"/>
          <w:szCs w:val="24"/>
        </w:rPr>
        <w:t xml:space="preserve"> os compromissos de exigibilidade superior a doze meses, que</w:t>
      </w:r>
      <w:r>
        <w:rPr>
          <w:sz w:val="24"/>
          <w:szCs w:val="24"/>
        </w:rPr>
        <w:t xml:space="preserve"> está ligada e Lei de Orçamento, ou seja, têm necessidade d</w:t>
      </w:r>
      <w:r w:rsidRPr="00B00978">
        <w:rPr>
          <w:sz w:val="24"/>
          <w:szCs w:val="24"/>
        </w:rPr>
        <w:t>e autorização orçamentária</w:t>
      </w:r>
      <w:r>
        <w:rPr>
          <w:sz w:val="24"/>
          <w:szCs w:val="24"/>
        </w:rPr>
        <w:t xml:space="preserve"> para a sua realização</w:t>
      </w:r>
      <w:r w:rsidRPr="00B00978">
        <w:rPr>
          <w:sz w:val="24"/>
          <w:szCs w:val="24"/>
        </w:rPr>
        <w:t>, e são contraídos para atender a desequilíbrio orçamentário ou a financiamento de obras e serviços públicos.</w:t>
      </w:r>
    </w:p>
    <w:p w14:paraId="41D7D24B" w14:textId="77777777" w:rsidR="0060430B" w:rsidRDefault="0060430B" w:rsidP="0060430B">
      <w:pPr>
        <w:ind w:firstLine="708"/>
        <w:jc w:val="both"/>
        <w:rPr>
          <w:sz w:val="24"/>
          <w:szCs w:val="24"/>
        </w:rPr>
      </w:pPr>
      <w:r w:rsidRPr="009726CB">
        <w:rPr>
          <w:sz w:val="24"/>
          <w:szCs w:val="24"/>
        </w:rPr>
        <w:t>A dívida pública tem três finalidades distintas: (a) suprir déficits orçamentários; (b) suprir déficits financeiros; (c) registrar depósitos e resíduos passivos. A primeira assegura o equilíbrio orçamentário; a segunda ocorre quando há insuficiência de caixa durante a execução do orçamento; a terceira acontece quando o Estado age como depositário de valores de terceiros.</w:t>
      </w:r>
    </w:p>
    <w:p w14:paraId="0FAB5C85" w14:textId="77777777" w:rsidR="0060430B" w:rsidRDefault="0060430B" w:rsidP="0060430B">
      <w:pPr>
        <w:ind w:firstLine="708"/>
        <w:jc w:val="both"/>
        <w:rPr>
          <w:color w:val="000000" w:themeColor="text1"/>
          <w:sz w:val="24"/>
          <w:szCs w:val="24"/>
        </w:rPr>
      </w:pPr>
      <w:r w:rsidRPr="005373C7">
        <w:rPr>
          <w:sz w:val="24"/>
          <w:szCs w:val="24"/>
        </w:rPr>
        <w:lastRenderedPageBreak/>
        <w:t xml:space="preserve">Para </w:t>
      </w:r>
      <w:r>
        <w:rPr>
          <w:sz w:val="24"/>
          <w:szCs w:val="24"/>
        </w:rPr>
        <w:t>que haja responsabilidade na contração de dívidas pelos entes públicos, a Constituição Federal definiu competência privativa ao Senado Federal (Brasil, 1988, art. 52, VI) “</w:t>
      </w:r>
      <w:r w:rsidRPr="0071137F">
        <w:rPr>
          <w:sz w:val="24"/>
          <w:szCs w:val="24"/>
        </w:rPr>
        <w:t>VI - fixar, por proposta do Presidente da República, limites globais para o montante da dívida consolidada da União, dos Estados, do Distrito Federal e dos Municípios</w:t>
      </w:r>
      <w:r>
        <w:rPr>
          <w:sz w:val="24"/>
          <w:szCs w:val="24"/>
        </w:rPr>
        <w:t>”. A</w:t>
      </w:r>
      <w:r>
        <w:rPr>
          <w:color w:val="000000" w:themeColor="text1"/>
          <w:sz w:val="24"/>
          <w:szCs w:val="24"/>
        </w:rPr>
        <w:t xml:space="preserve"> LRF enviou proposta de limite fiscal para a Dívida Consolidada (DC) da União, Estados, Distrito Federal e Municípios ao Senado Federal. Desta forma, as Resoluções do Senado Federal nº. 40/2001 e 43/2001 como suas alterações posteriores foram aprovadas, fixando limites para a dívida pública. </w:t>
      </w:r>
    </w:p>
    <w:p w14:paraId="3C09028E" w14:textId="16FFAB22" w:rsidR="0060430B" w:rsidRDefault="0060430B" w:rsidP="0060430B">
      <w:pPr>
        <w:ind w:firstLine="708"/>
        <w:jc w:val="both"/>
        <w:rPr>
          <w:sz w:val="24"/>
          <w:szCs w:val="24"/>
        </w:rPr>
      </w:pPr>
      <w:r>
        <w:rPr>
          <w:sz w:val="24"/>
          <w:szCs w:val="24"/>
        </w:rPr>
        <w:t xml:space="preserve">De acordo com Carvalho (2010), entende-se como sendo de 16% da receita corrente líquida o limite a ser </w:t>
      </w:r>
      <w:r w:rsidR="00EF0942">
        <w:rPr>
          <w:sz w:val="24"/>
          <w:szCs w:val="24"/>
        </w:rPr>
        <w:t>realizada</w:t>
      </w:r>
      <w:r>
        <w:rPr>
          <w:sz w:val="24"/>
          <w:szCs w:val="24"/>
        </w:rPr>
        <w:t xml:space="preserve"> pelos estados de novas captações, a receita corrente líquida poderá ser comprometida de até duas vezes o seu valor com a dívida consolidada líquida e em relação ao pagamento da amortização do principal da dívida juntamente com seus respectivos encargos o limite máximo fixado é de até 11,5%.</w:t>
      </w:r>
    </w:p>
    <w:p w14:paraId="40B3C9D1" w14:textId="77777777" w:rsidR="0060430B" w:rsidRDefault="0060430B" w:rsidP="0060430B">
      <w:pPr>
        <w:ind w:firstLine="708"/>
        <w:jc w:val="both"/>
        <w:rPr>
          <w:sz w:val="24"/>
          <w:szCs w:val="24"/>
        </w:rPr>
      </w:pPr>
      <w:r>
        <w:rPr>
          <w:sz w:val="24"/>
          <w:szCs w:val="24"/>
        </w:rPr>
        <w:t>Entende-se que o controle do endividamento é de extrema importância para a sociedade em todos os níveis de governo. Na ausência do limite, pode-se criar o incentivo a um excesso de endividamento por parte da Administração Pública, motivada pela falta de fiscalização. Níveis excessivos de endividamento causam a implicação de grande parte da receita futura com pagamento de dívidas, gerando consequências aos serviços públicos prestados à sociedade.</w:t>
      </w:r>
    </w:p>
    <w:p w14:paraId="4C5234A9" w14:textId="77777777" w:rsidR="0060430B" w:rsidRDefault="0060430B" w:rsidP="0060430B">
      <w:pPr>
        <w:ind w:firstLine="708"/>
        <w:jc w:val="both"/>
        <w:rPr>
          <w:sz w:val="24"/>
          <w:szCs w:val="24"/>
        </w:rPr>
      </w:pPr>
    </w:p>
    <w:p w14:paraId="08BB1A27" w14:textId="77777777" w:rsidR="0060430B" w:rsidRPr="00B00978" w:rsidRDefault="0060430B" w:rsidP="0060430B">
      <w:pPr>
        <w:jc w:val="both"/>
        <w:rPr>
          <w:b/>
          <w:sz w:val="24"/>
          <w:szCs w:val="24"/>
        </w:rPr>
      </w:pPr>
      <w:r w:rsidRPr="00B00978">
        <w:rPr>
          <w:b/>
          <w:sz w:val="24"/>
          <w:szCs w:val="24"/>
        </w:rPr>
        <w:t>2.2 Restos a pagar</w:t>
      </w:r>
    </w:p>
    <w:p w14:paraId="0CE70D15" w14:textId="6954E761" w:rsidR="0060430B" w:rsidRPr="00B00978" w:rsidRDefault="0060430B" w:rsidP="0060430B">
      <w:pPr>
        <w:jc w:val="both"/>
        <w:rPr>
          <w:sz w:val="24"/>
          <w:szCs w:val="24"/>
        </w:rPr>
      </w:pPr>
      <w:r w:rsidRPr="00B00978">
        <w:rPr>
          <w:sz w:val="24"/>
          <w:szCs w:val="24"/>
        </w:rPr>
        <w:tab/>
        <w:t xml:space="preserve">O processo das despesas públicas no decorrer de um exercício financeiro constitui de três estágios, sendo eles: empenho, liquidação e pagamento. Toda despesa empenhada constitui de autorização da autoridade competente através de um ato chamado empenho. Segundo o art. 58 da Lei n.º 4.320/1964, “o empenho da despesa é o ato emanado de autoridade competente que cria para o Estado obrigação de pagamento pendente ou não de implementação de condição”. Para Kohama (2016, p. 142), toda despesa que for empenhada “pertence ao exercício financeiro, onerando as dotações orçamentárias daquele exercício”. Na concepção de </w:t>
      </w:r>
      <w:r w:rsidRPr="00B00978">
        <w:rPr>
          <w:color w:val="222222"/>
          <w:sz w:val="24"/>
          <w:szCs w:val="24"/>
          <w:shd w:val="clear" w:color="auto" w:fill="FFFFFF"/>
        </w:rPr>
        <w:t>Piscitelli e Timbó (2014),</w:t>
      </w:r>
      <w:r w:rsidRPr="00B00978">
        <w:rPr>
          <w:sz w:val="24"/>
          <w:szCs w:val="24"/>
        </w:rPr>
        <w:t xml:space="preserve"> para efeito do exercício financeiro, toda despesa que passa apenas pelo primeiro estágio, ou seja, aquelas que são empenhadas e não pagas até 31 de dezembro serão consideradas como restos a pagar. Sendo assim, é o empenho que gera a obrigação de pagar.</w:t>
      </w:r>
    </w:p>
    <w:p w14:paraId="16ED99FA" w14:textId="7BB4E079" w:rsidR="0060430B" w:rsidRPr="00B00978" w:rsidRDefault="0060430B" w:rsidP="0060430B">
      <w:pPr>
        <w:jc w:val="both"/>
        <w:rPr>
          <w:sz w:val="24"/>
          <w:szCs w:val="24"/>
        </w:rPr>
      </w:pPr>
      <w:r w:rsidRPr="00B00978">
        <w:rPr>
          <w:sz w:val="24"/>
          <w:szCs w:val="24"/>
        </w:rPr>
        <w:tab/>
        <w:t xml:space="preserve">No art. 35 da Lei n.º 4.320/64, o legislador declara que “pertencem ao exercício financeiro: as receitas nele arrecadadas e as despesas nele legalmente empenhadas”. No Brasil, o exercício financeiro coincide com o ano civil, logo o limite máximo para que o Estado cumpra com suas obrigações contraídas com terceiros é até 31 de dezembro de cada ano. Quando </w:t>
      </w:r>
      <w:r w:rsidR="00EF0942" w:rsidRPr="00B00978">
        <w:rPr>
          <w:sz w:val="24"/>
          <w:szCs w:val="24"/>
        </w:rPr>
        <w:t>se encerra</w:t>
      </w:r>
      <w:r w:rsidRPr="00B00978">
        <w:rPr>
          <w:sz w:val="24"/>
          <w:szCs w:val="24"/>
        </w:rPr>
        <w:t xml:space="preserve"> o exercício e isso não ocorre,</w:t>
      </w:r>
      <w:r>
        <w:rPr>
          <w:sz w:val="24"/>
          <w:szCs w:val="24"/>
        </w:rPr>
        <w:t xml:space="preserve"> podendo estar relacionado ao produto ou serviço não ter sido entregue, ou ainda por indisponibilidade de caixa são realizados</w:t>
      </w:r>
      <w:r w:rsidRPr="00B00978">
        <w:rPr>
          <w:sz w:val="24"/>
          <w:szCs w:val="24"/>
        </w:rPr>
        <w:t xml:space="preserve"> lançamentos</w:t>
      </w:r>
      <w:r>
        <w:rPr>
          <w:sz w:val="24"/>
          <w:szCs w:val="24"/>
        </w:rPr>
        <w:t xml:space="preserve"> contábeis aonde</w:t>
      </w:r>
      <w:r w:rsidRPr="00B00978">
        <w:rPr>
          <w:sz w:val="24"/>
          <w:szCs w:val="24"/>
        </w:rPr>
        <w:t xml:space="preserve"> o responsável deverá registrar essas despesas como restos a pagar. Ainda conforme a referida lei, em seu art. 36, há a distinção dos restos a pagar em processados e não processados.</w:t>
      </w:r>
    </w:p>
    <w:p w14:paraId="3438B9E7" w14:textId="77777777" w:rsidR="0060430B" w:rsidRPr="00B00978" w:rsidRDefault="0060430B" w:rsidP="0060430B">
      <w:pPr>
        <w:jc w:val="both"/>
        <w:rPr>
          <w:sz w:val="24"/>
          <w:szCs w:val="24"/>
        </w:rPr>
      </w:pPr>
      <w:r w:rsidRPr="00B00978">
        <w:rPr>
          <w:sz w:val="24"/>
          <w:szCs w:val="24"/>
        </w:rPr>
        <w:tab/>
        <w:t>De acordo com o Decreto n.º 93.872/1986, “entendem-se por processadas e não processadas, respectivamente, as despesas liquidadas e as não liquidadas, na forma prevista neste decreto” (B</w:t>
      </w:r>
      <w:r>
        <w:rPr>
          <w:sz w:val="24"/>
          <w:szCs w:val="24"/>
        </w:rPr>
        <w:t>rasil</w:t>
      </w:r>
      <w:r w:rsidRPr="00B00978">
        <w:rPr>
          <w:sz w:val="24"/>
          <w:szCs w:val="24"/>
        </w:rPr>
        <w:t>, 1986, art. 67, § 1º). Sendo assim, são considerados como restos pagar processados as despesas que foram empenhadas e liquidadas, ou seja,</w:t>
      </w:r>
      <w:r>
        <w:rPr>
          <w:sz w:val="24"/>
          <w:szCs w:val="24"/>
        </w:rPr>
        <w:t xml:space="preserve"> o empenho foi entregue </w:t>
      </w:r>
      <w:r>
        <w:rPr>
          <w:sz w:val="24"/>
          <w:szCs w:val="24"/>
        </w:rPr>
        <w:lastRenderedPageBreak/>
        <w:t>ao credor, havendo</w:t>
      </w:r>
      <w:r w:rsidRPr="00B00978">
        <w:rPr>
          <w:sz w:val="24"/>
          <w:szCs w:val="24"/>
        </w:rPr>
        <w:t xml:space="preserve"> a verificação do direito adquirido</w:t>
      </w:r>
      <w:r>
        <w:rPr>
          <w:sz w:val="24"/>
          <w:szCs w:val="24"/>
        </w:rPr>
        <w:t xml:space="preserve"> através de material, prestação de serviço ou execução de obra</w:t>
      </w:r>
      <w:r w:rsidRPr="00B00978">
        <w:rPr>
          <w:sz w:val="24"/>
          <w:szCs w:val="24"/>
        </w:rPr>
        <w:t xml:space="preserve">, faltando desta forma, apenas o estágio do pagamento. </w:t>
      </w:r>
      <w:r>
        <w:rPr>
          <w:sz w:val="24"/>
          <w:szCs w:val="24"/>
        </w:rPr>
        <w:t xml:space="preserve">Os </w:t>
      </w:r>
      <w:r w:rsidRPr="00B00978">
        <w:rPr>
          <w:sz w:val="24"/>
          <w:szCs w:val="24"/>
        </w:rPr>
        <w:t>restos a pagar não processados, são aqueles que apenas foram empenhados</w:t>
      </w:r>
      <w:r>
        <w:rPr>
          <w:sz w:val="24"/>
          <w:szCs w:val="24"/>
        </w:rPr>
        <w:t xml:space="preserve"> legalmente</w:t>
      </w:r>
      <w:r w:rsidRPr="00B00978">
        <w:rPr>
          <w:sz w:val="24"/>
          <w:szCs w:val="24"/>
        </w:rPr>
        <w:t>, não passando pelo estágio da liquidação</w:t>
      </w:r>
      <w:r>
        <w:rPr>
          <w:sz w:val="24"/>
          <w:szCs w:val="24"/>
        </w:rPr>
        <w:t>,</w:t>
      </w:r>
      <w:r w:rsidRPr="00B00978">
        <w:rPr>
          <w:sz w:val="24"/>
          <w:szCs w:val="24"/>
        </w:rPr>
        <w:t xml:space="preserve"> pois, não ocorreu a confirmação do direito adquirido com o credor, logo também não foram pagos até o encerramento do exercício.</w:t>
      </w:r>
    </w:p>
    <w:p w14:paraId="7F40A197" w14:textId="77777777" w:rsidR="0060430B" w:rsidRPr="00B00978" w:rsidRDefault="0060430B" w:rsidP="0060430B">
      <w:pPr>
        <w:ind w:firstLine="851"/>
        <w:jc w:val="both"/>
        <w:rPr>
          <w:sz w:val="24"/>
        </w:rPr>
      </w:pPr>
      <w:r w:rsidRPr="00B00978">
        <w:rPr>
          <w:sz w:val="24"/>
          <w:szCs w:val="24"/>
        </w:rPr>
        <w:t>Em 4 de maio de 2000 foi promulgada a Lei Complementar n.º 101, conhecida como Lei de Responsabilidade Fiscal (LRF) que trouxe uma mudança significativa na administração pública brasileira. A referida Lei “estabelece normas de finanças públicas voltadas para a responsabilidade na gestão fiscal” (B</w:t>
      </w:r>
      <w:r>
        <w:rPr>
          <w:sz w:val="24"/>
          <w:szCs w:val="24"/>
        </w:rPr>
        <w:t>rasil</w:t>
      </w:r>
      <w:r w:rsidRPr="00B00978">
        <w:rPr>
          <w:sz w:val="24"/>
          <w:szCs w:val="24"/>
        </w:rPr>
        <w:t>, 2000, art. 1°).</w:t>
      </w:r>
      <w:r w:rsidRPr="00B00978">
        <w:t xml:space="preserve"> </w:t>
      </w:r>
      <w:r w:rsidRPr="00B00978">
        <w:rPr>
          <w:sz w:val="24"/>
          <w:szCs w:val="24"/>
        </w:rPr>
        <w:t xml:space="preserve"> Para Camargo e Sehnem a LRF </w:t>
      </w:r>
      <w:r w:rsidRPr="00B00978">
        <w:rPr>
          <w:sz w:val="24"/>
        </w:rPr>
        <w:t>proporciona a consolidação “de uma nova cultura gerencial na gestão dos recursos públicos e incentiva o exercício pleno da cidadania, especialmente no que se refere à participação do contribuinte no processo de acompanhamento da aplicação dos recursos públicos e de avaliação dos seus resultados” (C</w:t>
      </w:r>
      <w:r>
        <w:rPr>
          <w:sz w:val="24"/>
        </w:rPr>
        <w:t>amargo &amp; Sehnem</w:t>
      </w:r>
      <w:r w:rsidRPr="00B00978">
        <w:rPr>
          <w:sz w:val="24"/>
        </w:rPr>
        <w:t>, 2010, p. 253).</w:t>
      </w:r>
    </w:p>
    <w:p w14:paraId="6D84136A" w14:textId="77777777" w:rsidR="0060430B" w:rsidRDefault="0060430B" w:rsidP="0060430B">
      <w:pPr>
        <w:autoSpaceDE w:val="0"/>
        <w:autoSpaceDN w:val="0"/>
        <w:adjustRightInd w:val="0"/>
        <w:ind w:firstLine="708"/>
        <w:jc w:val="both"/>
        <w:rPr>
          <w:sz w:val="24"/>
          <w:szCs w:val="24"/>
        </w:rPr>
      </w:pPr>
      <w:r w:rsidRPr="00B00978">
        <w:rPr>
          <w:sz w:val="24"/>
          <w:szCs w:val="24"/>
        </w:rPr>
        <w:t>A limitação quanto a inscrição de restos a pagar é uma das normas, metas e limites que foi imposta pela LRF</w:t>
      </w:r>
      <w:r>
        <w:rPr>
          <w:sz w:val="24"/>
          <w:szCs w:val="24"/>
        </w:rPr>
        <w:t xml:space="preserve"> com o</w:t>
      </w:r>
      <w:r w:rsidRPr="00B00978">
        <w:rPr>
          <w:sz w:val="24"/>
          <w:szCs w:val="24"/>
        </w:rPr>
        <w:t xml:space="preserve"> intuito de os gestores públicos obedecerem.</w:t>
      </w:r>
      <w:r>
        <w:rPr>
          <w:sz w:val="24"/>
          <w:szCs w:val="24"/>
        </w:rPr>
        <w:t xml:space="preserve"> </w:t>
      </w:r>
      <w:r w:rsidRPr="00B00978">
        <w:rPr>
          <w:sz w:val="24"/>
          <w:szCs w:val="24"/>
        </w:rPr>
        <w:t>A Lei não informa aquilo que pode ou não ser inscrito em restos em pagar</w:t>
      </w:r>
      <w:r>
        <w:rPr>
          <w:sz w:val="24"/>
          <w:szCs w:val="24"/>
        </w:rPr>
        <w:t>. Porém, por falta de planejamento no decorrer do exercício, principalmente em finais de mandatos, pode ocorrer de a entidade pública acumular dívidas, logo gerando dificuldades financeiras para a gestão seguinte. Desta forma</w:t>
      </w:r>
      <w:r w:rsidRPr="00B00978">
        <w:rPr>
          <w:sz w:val="24"/>
          <w:szCs w:val="24"/>
        </w:rPr>
        <w:t xml:space="preserve"> em seu art. 42 ela impõe uma exigência onde o titular de Poder fica proibido de contrair dívidas nos seus últimos 8 meses de mandato que não possa cumpri-las integralmente dentro dele, ou que fiquem parcelas a serem pagas no exercício subsequente sem que possua suficiente disponibilidade de caixa para que possa quitar tais obrigações. Com isso entende-se que os administradores públicos “ao final de seus mandatos, não podem deixar dívidas para seus sucessores, a não ser que deixem dinheiro suficiente para pagamento das contas de restos a pagar” (P</w:t>
      </w:r>
      <w:r>
        <w:rPr>
          <w:sz w:val="24"/>
          <w:szCs w:val="24"/>
        </w:rPr>
        <w:t>latt Neto</w:t>
      </w:r>
      <w:r w:rsidRPr="00B00978">
        <w:rPr>
          <w:sz w:val="24"/>
          <w:szCs w:val="24"/>
        </w:rPr>
        <w:t>, 2017, p. 162).</w:t>
      </w:r>
      <w:r>
        <w:rPr>
          <w:sz w:val="24"/>
          <w:szCs w:val="24"/>
        </w:rPr>
        <w:t xml:space="preserve"> Desse modo, será considerado crime de responsabilidade fiscal se o administrador com não cumprir com essa determinação. </w:t>
      </w:r>
    </w:p>
    <w:p w14:paraId="7EE9C98F" w14:textId="77777777" w:rsidR="0060430B" w:rsidRDefault="0060430B" w:rsidP="0060430B">
      <w:pPr>
        <w:autoSpaceDE w:val="0"/>
        <w:autoSpaceDN w:val="0"/>
        <w:adjustRightInd w:val="0"/>
        <w:ind w:firstLine="708"/>
        <w:jc w:val="both"/>
        <w:rPr>
          <w:sz w:val="24"/>
          <w:szCs w:val="24"/>
          <w:shd w:val="clear" w:color="auto" w:fill="FFFFFF"/>
        </w:rPr>
      </w:pPr>
      <w:r w:rsidRPr="001C4ECF">
        <w:rPr>
          <w:sz w:val="24"/>
          <w:szCs w:val="24"/>
        </w:rPr>
        <w:t xml:space="preserve">Conforme </w:t>
      </w:r>
      <w:r w:rsidRPr="001C4ECF">
        <w:rPr>
          <w:sz w:val="24"/>
          <w:szCs w:val="24"/>
          <w:shd w:val="clear" w:color="auto" w:fill="FFFFFF"/>
        </w:rPr>
        <w:t>Piscitelli e Timbó “a prescrição relativa ao direito do credor ocorre em cinco anos, contados a partir da data da inscrição, excetuando-se os casos em que haja interrupções decorrentes de atos judiciais” (P</w:t>
      </w:r>
      <w:r>
        <w:rPr>
          <w:sz w:val="24"/>
          <w:szCs w:val="24"/>
          <w:shd w:val="clear" w:color="auto" w:fill="FFFFFF"/>
        </w:rPr>
        <w:t>iscitelli &amp; Timbó</w:t>
      </w:r>
      <w:r w:rsidRPr="001C4ECF">
        <w:rPr>
          <w:sz w:val="24"/>
          <w:szCs w:val="24"/>
          <w:shd w:val="clear" w:color="auto" w:fill="FFFFFF"/>
        </w:rPr>
        <w:t>, 2014, p. 168). Esse entendimento converge com o art. 70 do Decreto nº. 93.872/86 que dispõe que “prescreve em cinco anos a dívida passiva relativa aos Restos a Pagar” (B</w:t>
      </w:r>
      <w:r>
        <w:rPr>
          <w:sz w:val="24"/>
          <w:szCs w:val="24"/>
          <w:shd w:val="clear" w:color="auto" w:fill="FFFFFF"/>
        </w:rPr>
        <w:t>rasil</w:t>
      </w:r>
      <w:r w:rsidRPr="001C4ECF">
        <w:rPr>
          <w:sz w:val="24"/>
          <w:szCs w:val="24"/>
          <w:shd w:val="clear" w:color="auto" w:fill="FFFFFF"/>
        </w:rPr>
        <w:t>, 1986, art. 70).</w:t>
      </w:r>
      <w:r>
        <w:rPr>
          <w:sz w:val="24"/>
          <w:szCs w:val="24"/>
          <w:shd w:val="clear" w:color="auto" w:fill="FFFFFF"/>
        </w:rPr>
        <w:t xml:space="preserve">  De acordo com </w:t>
      </w:r>
      <w:r w:rsidRPr="00A37DCC">
        <w:rPr>
          <w:sz w:val="24"/>
          <w:szCs w:val="24"/>
          <w:shd w:val="clear" w:color="auto" w:fill="FFFFFF"/>
        </w:rPr>
        <w:t xml:space="preserve">Garcia Filho, </w:t>
      </w:r>
      <w:r w:rsidRPr="00A37DCC">
        <w:rPr>
          <w:color w:val="222222"/>
          <w:sz w:val="24"/>
          <w:szCs w:val="24"/>
          <w:shd w:val="clear" w:color="auto" w:fill="FFFFFF"/>
        </w:rPr>
        <w:t xml:space="preserve">Melo, Resende, De Araujo Neto e Marciniuk </w:t>
      </w:r>
      <w:r w:rsidRPr="00A37DCC">
        <w:rPr>
          <w:sz w:val="24"/>
          <w:szCs w:val="24"/>
          <w:shd w:val="clear" w:color="auto" w:fill="FFFFFF"/>
        </w:rPr>
        <w:t>(2015)</w:t>
      </w:r>
      <w:r w:rsidRPr="00A87F1E">
        <w:rPr>
          <w:sz w:val="24"/>
          <w:szCs w:val="24"/>
          <w:shd w:val="clear" w:color="auto" w:fill="FFFFFF"/>
        </w:rPr>
        <w:t xml:space="preserve"> somente poderão ser cancelados os restos a pagar não processados, pois os processados constituem dívidas reais e só podem ser</w:t>
      </w:r>
      <w:r>
        <w:rPr>
          <w:sz w:val="24"/>
          <w:szCs w:val="24"/>
          <w:shd w:val="clear" w:color="auto" w:fill="FFFFFF"/>
        </w:rPr>
        <w:t xml:space="preserve"> canceladas após sua prescrição.</w:t>
      </w:r>
      <w:r w:rsidRPr="00A87F1E">
        <w:rPr>
          <w:sz w:val="24"/>
          <w:szCs w:val="24"/>
          <w:shd w:val="clear" w:color="auto" w:fill="FFFFFF"/>
        </w:rPr>
        <w:t xml:space="preserve"> </w:t>
      </w:r>
      <w:r>
        <w:rPr>
          <w:sz w:val="24"/>
          <w:szCs w:val="24"/>
          <w:shd w:val="clear" w:color="auto" w:fill="FFFFFF"/>
        </w:rPr>
        <w:t>A</w:t>
      </w:r>
      <w:r w:rsidRPr="00A87F1E">
        <w:rPr>
          <w:sz w:val="24"/>
          <w:szCs w:val="24"/>
          <w:shd w:val="clear" w:color="auto" w:fill="FFFFFF"/>
        </w:rPr>
        <w:t xml:space="preserve"> </w:t>
      </w:r>
      <w:r>
        <w:rPr>
          <w:sz w:val="24"/>
          <w:szCs w:val="24"/>
          <w:shd w:val="clear" w:color="auto" w:fill="FFFFFF"/>
        </w:rPr>
        <w:t>chamada prescrição interrompida ocorre quando as inscrições em restos a pagar são canceladas, porém o credor ainda possui o direito, pois ela foi liquidada (Brasil, 1986). Desta forma, surge outra modalidade de dívida pública, as chamadas despesas de exercícios anteriores, que acontece quando é dada a baixa contábil de restos a pagar, como também da sua prescrição, onde todas as despesas que foram reconhecidas serão pagas.</w:t>
      </w:r>
    </w:p>
    <w:p w14:paraId="69E65D1F" w14:textId="77777777" w:rsidR="0060430B" w:rsidRPr="001C4ECF" w:rsidRDefault="0060430B" w:rsidP="0060430B">
      <w:pPr>
        <w:autoSpaceDE w:val="0"/>
        <w:autoSpaceDN w:val="0"/>
        <w:adjustRightInd w:val="0"/>
        <w:ind w:firstLine="708"/>
        <w:jc w:val="both"/>
        <w:rPr>
          <w:sz w:val="24"/>
          <w:szCs w:val="24"/>
        </w:rPr>
      </w:pPr>
      <w:r>
        <w:rPr>
          <w:sz w:val="24"/>
          <w:szCs w:val="24"/>
        </w:rPr>
        <w:t>Assim, pode-se dizer que os restos a pagar são obrigações que o Estado assumiu, resultante do seu orçamento e que foram empenhadas, podendo ser liquidadas, ou não, porém são obrigações não pagas. Os valores que integram a referida conta podem ser referentes a fornecedores, pessoal a pagar, encargos sociais, entre outros. Logo, somente podem ser considerados como restos a pagar as despesas que foram propriamente empenhadas.</w:t>
      </w:r>
    </w:p>
    <w:p w14:paraId="458F56F0" w14:textId="77777777" w:rsidR="0060430B" w:rsidRDefault="0060430B" w:rsidP="0060430B">
      <w:pPr>
        <w:ind w:firstLine="708"/>
        <w:jc w:val="both"/>
        <w:rPr>
          <w:sz w:val="24"/>
          <w:szCs w:val="24"/>
        </w:rPr>
      </w:pPr>
    </w:p>
    <w:p w14:paraId="27070583" w14:textId="77777777" w:rsidR="0060430B" w:rsidRPr="00B00978" w:rsidRDefault="00D83336" w:rsidP="0060430B">
      <w:pPr>
        <w:jc w:val="both"/>
        <w:rPr>
          <w:b/>
          <w:sz w:val="24"/>
          <w:szCs w:val="24"/>
        </w:rPr>
      </w:pPr>
      <w:r>
        <w:rPr>
          <w:b/>
          <w:sz w:val="24"/>
          <w:szCs w:val="24"/>
        </w:rPr>
        <w:lastRenderedPageBreak/>
        <w:t>2.3</w:t>
      </w:r>
      <w:r w:rsidR="0060430B" w:rsidRPr="00B00978">
        <w:rPr>
          <w:b/>
          <w:sz w:val="24"/>
          <w:szCs w:val="24"/>
        </w:rPr>
        <w:t xml:space="preserve"> Estudos Anteriores</w:t>
      </w:r>
    </w:p>
    <w:p w14:paraId="54C1FC41" w14:textId="2FEECC02" w:rsidR="0060430B" w:rsidRPr="00D56434" w:rsidRDefault="0060430B" w:rsidP="00D56434">
      <w:pPr>
        <w:jc w:val="both"/>
        <w:rPr>
          <w:sz w:val="24"/>
          <w:szCs w:val="24"/>
        </w:rPr>
      </w:pPr>
      <w:r w:rsidRPr="00B00978">
        <w:rPr>
          <w:sz w:val="24"/>
          <w:szCs w:val="24"/>
        </w:rPr>
        <w:tab/>
        <w:t>Nesta seção são apresentadas pesquisas anteriores, relacionadas a diversos aspectos que envolvem a referida prática de restos a pagar retiradas de publicações acadêmicas</w:t>
      </w:r>
      <w:r>
        <w:rPr>
          <w:sz w:val="24"/>
          <w:szCs w:val="24"/>
        </w:rPr>
        <w:t xml:space="preserve"> e científicas</w:t>
      </w:r>
      <w:r w:rsidRPr="00B00978">
        <w:rPr>
          <w:sz w:val="24"/>
          <w:szCs w:val="24"/>
        </w:rPr>
        <w:t>.</w:t>
      </w:r>
      <w:r>
        <w:rPr>
          <w:sz w:val="24"/>
          <w:szCs w:val="24"/>
        </w:rPr>
        <w:t xml:space="preserve"> </w:t>
      </w:r>
      <w:r w:rsidR="002552F1">
        <w:rPr>
          <w:sz w:val="24"/>
          <w:szCs w:val="24"/>
        </w:rPr>
        <w:t xml:space="preserve">A Tabela </w:t>
      </w:r>
      <w:r>
        <w:rPr>
          <w:sz w:val="24"/>
          <w:szCs w:val="24"/>
        </w:rPr>
        <w:t>a seguir apresenta as publicações com suas fontes e os objetivos encontrados sem a pretensão de esgotar todos os aspectos.</w:t>
      </w:r>
    </w:p>
    <w:p w14:paraId="30F734FD" w14:textId="45F83FE6" w:rsidR="0060430B" w:rsidRDefault="002552F1" w:rsidP="0060430B">
      <w:pPr>
        <w:jc w:val="center"/>
        <w:rPr>
          <w:b/>
          <w:color w:val="000000"/>
        </w:rPr>
      </w:pPr>
      <w:r>
        <w:rPr>
          <w:b/>
          <w:color w:val="000000"/>
        </w:rPr>
        <w:t xml:space="preserve">Tabela </w:t>
      </w:r>
      <w:r w:rsidR="00FE469D">
        <w:rPr>
          <w:b/>
          <w:color w:val="000000"/>
        </w:rPr>
        <w:t xml:space="preserve">1. </w:t>
      </w:r>
      <w:r w:rsidR="0060430B" w:rsidRPr="00B00978">
        <w:rPr>
          <w:b/>
          <w:color w:val="000000"/>
        </w:rPr>
        <w:t xml:space="preserve"> Síntese das pesquisas anteriores similares em abordagem</w:t>
      </w:r>
    </w:p>
    <w:p w14:paraId="16B88C8E" w14:textId="77777777" w:rsidR="0060430B" w:rsidRDefault="0060430B" w:rsidP="0060430B">
      <w:pPr>
        <w:jc w:val="center"/>
        <w:rPr>
          <w:b/>
          <w:color w:val="000000"/>
        </w:rPr>
      </w:pPr>
      <w:r w:rsidRPr="00276973">
        <w:rPr>
          <w:b/>
          <w:color w:val="000000"/>
        </w:rPr>
        <w:t xml:space="preserve"> </w:t>
      </w:r>
      <w:r w:rsidRPr="00276973">
        <w:rPr>
          <w:noProof/>
        </w:rPr>
        <w:drawing>
          <wp:inline distT="0" distB="0" distL="0" distR="0" wp14:anchorId="23D381D3" wp14:editId="61D732B5">
            <wp:extent cx="4655970" cy="29337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173" cy="2950841"/>
                    </a:xfrm>
                    <a:prstGeom prst="rect">
                      <a:avLst/>
                    </a:prstGeom>
                    <a:noFill/>
                    <a:ln>
                      <a:noFill/>
                    </a:ln>
                  </pic:spPr>
                </pic:pic>
              </a:graphicData>
            </a:graphic>
          </wp:inline>
        </w:drawing>
      </w:r>
    </w:p>
    <w:p w14:paraId="40F4D15E" w14:textId="69E40D37" w:rsidR="0060430B" w:rsidRPr="00B00978" w:rsidRDefault="00832D16" w:rsidP="00D83336">
      <w:pPr>
        <w:jc w:val="center"/>
        <w:rPr>
          <w:szCs w:val="24"/>
        </w:rPr>
      </w:pPr>
      <w:r>
        <w:rPr>
          <w:szCs w:val="24"/>
        </w:rPr>
        <w:t>Fonte: Elaboração</w:t>
      </w:r>
      <w:r w:rsidR="0060430B" w:rsidRPr="00B00978">
        <w:rPr>
          <w:szCs w:val="24"/>
        </w:rPr>
        <w:t xml:space="preserve"> </w:t>
      </w:r>
      <w:r w:rsidR="0060430B">
        <w:rPr>
          <w:szCs w:val="24"/>
        </w:rPr>
        <w:t>própria</w:t>
      </w:r>
    </w:p>
    <w:p w14:paraId="0B10DC51" w14:textId="6780D70D" w:rsidR="0060430B" w:rsidRDefault="0060430B" w:rsidP="0060430B">
      <w:pPr>
        <w:ind w:firstLine="708"/>
        <w:jc w:val="both"/>
        <w:rPr>
          <w:sz w:val="24"/>
          <w:szCs w:val="24"/>
        </w:rPr>
      </w:pPr>
      <w:r>
        <w:rPr>
          <w:sz w:val="24"/>
          <w:szCs w:val="24"/>
        </w:rPr>
        <w:t xml:space="preserve">Das pesquisas apresentadas </w:t>
      </w:r>
      <w:r w:rsidR="004A450C">
        <w:rPr>
          <w:sz w:val="24"/>
          <w:szCs w:val="24"/>
        </w:rPr>
        <w:t>na Tabela</w:t>
      </w:r>
      <w:r w:rsidR="002552F1">
        <w:rPr>
          <w:sz w:val="24"/>
          <w:szCs w:val="24"/>
        </w:rPr>
        <w:t xml:space="preserve"> 1</w:t>
      </w:r>
      <w:r>
        <w:rPr>
          <w:sz w:val="24"/>
          <w:szCs w:val="24"/>
        </w:rPr>
        <w:t xml:space="preserve">, nota-se que a pesquisa de Garcia Filho </w:t>
      </w:r>
      <w:r w:rsidRPr="00A37DCC">
        <w:rPr>
          <w:i/>
          <w:sz w:val="24"/>
          <w:szCs w:val="24"/>
        </w:rPr>
        <w:t>et al</w:t>
      </w:r>
      <w:r>
        <w:rPr>
          <w:i/>
          <w:sz w:val="24"/>
          <w:szCs w:val="24"/>
        </w:rPr>
        <w:t>.</w:t>
      </w:r>
      <w:r>
        <w:rPr>
          <w:sz w:val="24"/>
          <w:szCs w:val="24"/>
        </w:rPr>
        <w:t xml:space="preserve"> (2015) é a única que possui uma abordagem similar à presente, porém tal pesquisa teve como objetivo a evolução dos restos a pagar não processados trazendo a correlação com as transferências voluntárias. Os resultados apresentados pelo referido autor mostraram que </w:t>
      </w:r>
      <w:r w:rsidRPr="009504FE">
        <w:rPr>
          <w:sz w:val="24"/>
          <w:szCs w:val="24"/>
        </w:rPr>
        <w:t xml:space="preserve">no período de 2003 a 2013 houve um aumento </w:t>
      </w:r>
      <w:r>
        <w:rPr>
          <w:sz w:val="24"/>
          <w:szCs w:val="24"/>
        </w:rPr>
        <w:t>de 213% de</w:t>
      </w:r>
      <w:r w:rsidRPr="009504FE">
        <w:rPr>
          <w:sz w:val="24"/>
          <w:szCs w:val="24"/>
        </w:rPr>
        <w:t xml:space="preserve"> inscrição de restos a pagar não processados, </w:t>
      </w:r>
      <w:r>
        <w:rPr>
          <w:sz w:val="24"/>
          <w:szCs w:val="24"/>
        </w:rPr>
        <w:t>como também</w:t>
      </w:r>
      <w:r w:rsidRPr="009504FE">
        <w:rPr>
          <w:sz w:val="24"/>
          <w:szCs w:val="24"/>
        </w:rPr>
        <w:t xml:space="preserve"> um crescimento de despesas com transferências voluntárias no percentual de 210,58%, cujo percentual médio em relação ao crescimento da inscrição de restos a pagar não processados foi de aproximadamente 36%. </w:t>
      </w:r>
      <w:r>
        <w:rPr>
          <w:sz w:val="24"/>
          <w:szCs w:val="24"/>
        </w:rPr>
        <w:t>Os autores concluíram que há uma forte correlação positiva, que em alguns casos pode ultrapassar 0,90.</w:t>
      </w:r>
    </w:p>
    <w:p w14:paraId="20E0C8C0" w14:textId="77777777" w:rsidR="0060430B" w:rsidRDefault="0060430B" w:rsidP="0060430B">
      <w:pPr>
        <w:ind w:firstLine="708"/>
        <w:jc w:val="both"/>
        <w:rPr>
          <w:sz w:val="24"/>
          <w:szCs w:val="24"/>
        </w:rPr>
      </w:pPr>
      <w:r>
        <w:rPr>
          <w:sz w:val="24"/>
          <w:szCs w:val="24"/>
        </w:rPr>
        <w:t xml:space="preserve">Costa </w:t>
      </w:r>
      <w:r w:rsidRPr="003752D9">
        <w:rPr>
          <w:i/>
          <w:sz w:val="24"/>
          <w:szCs w:val="24"/>
        </w:rPr>
        <w:t>et al</w:t>
      </w:r>
      <w:r>
        <w:rPr>
          <w:i/>
          <w:sz w:val="24"/>
          <w:szCs w:val="24"/>
        </w:rPr>
        <w:t>.</w:t>
      </w:r>
      <w:r>
        <w:rPr>
          <w:sz w:val="24"/>
          <w:szCs w:val="24"/>
        </w:rPr>
        <w:t xml:space="preserve"> (2013) a partir de sua análise </w:t>
      </w:r>
      <w:r w:rsidRPr="009504FE">
        <w:rPr>
          <w:sz w:val="24"/>
          <w:szCs w:val="24"/>
        </w:rPr>
        <w:t>concluíram que</w:t>
      </w:r>
      <w:r>
        <w:rPr>
          <w:sz w:val="24"/>
          <w:szCs w:val="24"/>
        </w:rPr>
        <w:t xml:space="preserve"> </w:t>
      </w:r>
      <w:r w:rsidRPr="009504FE">
        <w:rPr>
          <w:sz w:val="24"/>
          <w:szCs w:val="24"/>
        </w:rPr>
        <w:t>os municípios menores são menos regulares no envio dos seus dados contábeis à Secretaria do Tesouro Nacional (STN), além disso foi verificado a existência de inversões na situação financeira superavitária de 1.310 municípios/ano analisados, bem como inversões na situação financeira deficitária para 1.143 municípios/ano analisados devido à aplicação p</w:t>
      </w:r>
      <w:r>
        <w:rPr>
          <w:sz w:val="24"/>
          <w:szCs w:val="24"/>
        </w:rPr>
        <w:t>arcial do regime de competência</w:t>
      </w:r>
      <w:r w:rsidRPr="009504FE">
        <w:rPr>
          <w:sz w:val="24"/>
          <w:szCs w:val="24"/>
        </w:rPr>
        <w:t>.</w:t>
      </w:r>
    </w:p>
    <w:p w14:paraId="6A821F80" w14:textId="77777777" w:rsidR="0060430B" w:rsidRDefault="0060430B" w:rsidP="0060430B">
      <w:pPr>
        <w:ind w:firstLine="708"/>
        <w:jc w:val="both"/>
        <w:rPr>
          <w:sz w:val="24"/>
          <w:szCs w:val="24"/>
        </w:rPr>
      </w:pPr>
      <w:r>
        <w:rPr>
          <w:sz w:val="24"/>
          <w:szCs w:val="24"/>
        </w:rPr>
        <w:t xml:space="preserve">Galdino </w:t>
      </w:r>
      <w:r>
        <w:rPr>
          <w:i/>
          <w:sz w:val="24"/>
          <w:szCs w:val="24"/>
        </w:rPr>
        <w:t>et al.</w:t>
      </w:r>
      <w:r>
        <w:rPr>
          <w:sz w:val="24"/>
          <w:szCs w:val="24"/>
        </w:rPr>
        <w:t xml:space="preserve"> (2014), a partir de sua pesquisa </w:t>
      </w:r>
      <w:r w:rsidRPr="00D32E3B">
        <w:rPr>
          <w:sz w:val="24"/>
          <w:szCs w:val="24"/>
        </w:rPr>
        <w:t>verificaram uma subavaliação de 51,56% da Dívid</w:t>
      </w:r>
      <w:r>
        <w:rPr>
          <w:sz w:val="24"/>
          <w:szCs w:val="24"/>
        </w:rPr>
        <w:t xml:space="preserve">a Flutuante da entidade pública </w:t>
      </w:r>
      <w:r w:rsidRPr="00D32E3B">
        <w:rPr>
          <w:sz w:val="24"/>
          <w:szCs w:val="24"/>
        </w:rPr>
        <w:t>analisada e con</w:t>
      </w:r>
      <w:r>
        <w:rPr>
          <w:sz w:val="24"/>
          <w:szCs w:val="24"/>
        </w:rPr>
        <w:t>cluí</w:t>
      </w:r>
      <w:r w:rsidRPr="00D32E3B">
        <w:rPr>
          <w:sz w:val="24"/>
          <w:szCs w:val="24"/>
        </w:rPr>
        <w:t>ram que como efeitos da adoção do enfoque patrimonial na Dívida Flutuante das entidades públicas, houve uma melhoria na evidenciação qualitativa e quantitativa do Passivo.</w:t>
      </w:r>
    </w:p>
    <w:p w14:paraId="1CFF62B8" w14:textId="10D03AC2" w:rsidR="0060430B" w:rsidRDefault="0060430B" w:rsidP="0060430B">
      <w:pPr>
        <w:ind w:firstLine="708"/>
        <w:jc w:val="both"/>
        <w:rPr>
          <w:sz w:val="24"/>
          <w:szCs w:val="24"/>
        </w:rPr>
      </w:pPr>
      <w:r>
        <w:rPr>
          <w:sz w:val="24"/>
          <w:szCs w:val="24"/>
        </w:rPr>
        <w:t xml:space="preserve">Aquino e Azevedo (2017) concluíram que </w:t>
      </w:r>
      <w:r w:rsidRPr="00D32E3B">
        <w:rPr>
          <w:sz w:val="24"/>
          <w:szCs w:val="24"/>
        </w:rPr>
        <w:t>os resultados indicam que, além do crescente endividamento, a fraca regulação</w:t>
      </w:r>
      <w:r w:rsidR="004A450C" w:rsidRPr="00D32E3B">
        <w:rPr>
          <w:sz w:val="24"/>
          <w:szCs w:val="24"/>
        </w:rPr>
        <w:t>, sobretudo</w:t>
      </w:r>
      <w:r w:rsidRPr="00D32E3B">
        <w:rPr>
          <w:sz w:val="24"/>
          <w:szCs w:val="24"/>
        </w:rPr>
        <w:t xml:space="preserve"> dos restos a pagar não processados está reduzindo seriamente a credibilidade e a transparência do orçamento em todos os níveis de governo</w:t>
      </w:r>
      <w:r>
        <w:rPr>
          <w:sz w:val="24"/>
          <w:szCs w:val="24"/>
        </w:rPr>
        <w:t>.</w:t>
      </w:r>
    </w:p>
    <w:p w14:paraId="0C7AF1EE" w14:textId="77777777" w:rsidR="0060430B" w:rsidRDefault="0060430B" w:rsidP="0060430B">
      <w:pPr>
        <w:ind w:firstLine="708"/>
        <w:jc w:val="both"/>
        <w:rPr>
          <w:sz w:val="24"/>
          <w:szCs w:val="24"/>
        </w:rPr>
      </w:pPr>
      <w:r>
        <w:rPr>
          <w:sz w:val="24"/>
          <w:szCs w:val="24"/>
        </w:rPr>
        <w:lastRenderedPageBreak/>
        <w:t xml:space="preserve">Carvalho </w:t>
      </w:r>
      <w:r>
        <w:rPr>
          <w:i/>
          <w:sz w:val="24"/>
          <w:szCs w:val="24"/>
        </w:rPr>
        <w:t>et al.</w:t>
      </w:r>
      <w:r>
        <w:rPr>
          <w:sz w:val="24"/>
          <w:szCs w:val="24"/>
        </w:rPr>
        <w:t xml:space="preserve"> (2010) demonstraram em seus resultados que </w:t>
      </w:r>
      <w:r w:rsidRPr="00D32E3B">
        <w:rPr>
          <w:sz w:val="24"/>
          <w:szCs w:val="24"/>
        </w:rPr>
        <w:t>os estados nordestinos estão buscando comprometer o mínimo possível suas receitas correntes om dívidas de curto prazo. Em relação a dívida de longo prazo, com exceção da Bahia e do Pernambuco, percebe-se que a maioria dos Estados estão reduzindo seus endividamentos, comprometendo a receitas correntes com dívidas de longo prazo</w:t>
      </w:r>
      <w:r>
        <w:rPr>
          <w:sz w:val="24"/>
          <w:szCs w:val="24"/>
        </w:rPr>
        <w:t>.</w:t>
      </w:r>
    </w:p>
    <w:p w14:paraId="639FFD11" w14:textId="77777777" w:rsidR="0060430B" w:rsidRPr="00D32E3B" w:rsidRDefault="0060430B" w:rsidP="0060430B">
      <w:pPr>
        <w:ind w:firstLine="708"/>
        <w:jc w:val="both"/>
        <w:rPr>
          <w:sz w:val="24"/>
          <w:szCs w:val="24"/>
        </w:rPr>
      </w:pPr>
      <w:r>
        <w:rPr>
          <w:sz w:val="24"/>
          <w:szCs w:val="24"/>
        </w:rPr>
        <w:t xml:space="preserve">Silva (2007) a partir de sua pesquisa pode verificar </w:t>
      </w:r>
      <w:r w:rsidRPr="00B51A12">
        <w:rPr>
          <w:sz w:val="24"/>
          <w:szCs w:val="24"/>
        </w:rPr>
        <w:t>que o cancelamento das despesas públicas dos restos a pagar refletiu contabilmente no valor das despesas que foram consideradas liquidadas, apresentando nas demonstrações analisadas, informações que não correspondem a valores de despesas reais.</w:t>
      </w:r>
    </w:p>
    <w:p w14:paraId="0BBC6B91" w14:textId="56768039" w:rsidR="0060430B" w:rsidRPr="003752D9" w:rsidRDefault="0060430B" w:rsidP="0060430B">
      <w:pPr>
        <w:ind w:firstLine="708"/>
        <w:jc w:val="both"/>
        <w:rPr>
          <w:sz w:val="24"/>
          <w:szCs w:val="24"/>
        </w:rPr>
      </w:pPr>
      <w:r w:rsidRPr="00B00978">
        <w:rPr>
          <w:sz w:val="24"/>
          <w:szCs w:val="24"/>
        </w:rPr>
        <w:t xml:space="preserve">De acordo com a busca, pode-se notar que existem vários trabalhos com o foco voltado na observância da inscrição de restos a pagar, assim como estudos voltados para a dívida pública na sua totalidade. Todavia, é percebível a escassez de estudos que retratam a evolução da inscrição de restos a pagar na esfera estadual. Desta forma, ressalta-se a relevância </w:t>
      </w:r>
      <w:r w:rsidR="004A450C" w:rsidRPr="00B00978">
        <w:rPr>
          <w:sz w:val="24"/>
          <w:szCs w:val="24"/>
        </w:rPr>
        <w:t>da presente</w:t>
      </w:r>
      <w:r w:rsidRPr="00B00978">
        <w:rPr>
          <w:sz w:val="24"/>
          <w:szCs w:val="24"/>
        </w:rPr>
        <w:t xml:space="preserve"> pesquisa.</w:t>
      </w:r>
    </w:p>
    <w:p w14:paraId="56774CDA" w14:textId="77777777" w:rsidR="0060430B" w:rsidRDefault="0060430B" w:rsidP="0060430B">
      <w:pPr>
        <w:jc w:val="both"/>
        <w:rPr>
          <w:b/>
          <w:color w:val="000000"/>
        </w:rPr>
      </w:pPr>
    </w:p>
    <w:p w14:paraId="39CC235C" w14:textId="0BE96E09" w:rsidR="0060430B" w:rsidRPr="00B00978" w:rsidRDefault="00A841A9" w:rsidP="0060430B">
      <w:pPr>
        <w:jc w:val="both"/>
        <w:rPr>
          <w:b/>
          <w:sz w:val="24"/>
          <w:szCs w:val="24"/>
        </w:rPr>
      </w:pPr>
      <w:r>
        <w:rPr>
          <w:b/>
          <w:sz w:val="24"/>
          <w:szCs w:val="24"/>
        </w:rPr>
        <w:t>3</w:t>
      </w:r>
      <w:r w:rsidR="0060430B" w:rsidRPr="00B00978">
        <w:rPr>
          <w:b/>
          <w:sz w:val="24"/>
          <w:szCs w:val="24"/>
        </w:rPr>
        <w:t xml:space="preserve"> METODOLOGIA</w:t>
      </w:r>
    </w:p>
    <w:p w14:paraId="677543EE" w14:textId="77777777" w:rsidR="0060430B" w:rsidRPr="00B00978" w:rsidRDefault="0060430B" w:rsidP="0060430B">
      <w:pPr>
        <w:jc w:val="both"/>
        <w:rPr>
          <w:b/>
          <w:sz w:val="24"/>
          <w:szCs w:val="24"/>
        </w:rPr>
      </w:pPr>
    </w:p>
    <w:p w14:paraId="18BBF48E" w14:textId="77777777" w:rsidR="0060430B" w:rsidRPr="00B00978" w:rsidRDefault="0060430B" w:rsidP="0060430B">
      <w:pPr>
        <w:jc w:val="both"/>
        <w:rPr>
          <w:b/>
          <w:sz w:val="24"/>
          <w:szCs w:val="24"/>
        </w:rPr>
      </w:pPr>
      <w:r w:rsidRPr="00B00978">
        <w:rPr>
          <w:b/>
          <w:sz w:val="24"/>
          <w:szCs w:val="24"/>
        </w:rPr>
        <w:t>3.1 Classificação da pesquisa</w:t>
      </w:r>
    </w:p>
    <w:p w14:paraId="7DA19F0F" w14:textId="77777777" w:rsidR="0060430B" w:rsidRPr="00B00978" w:rsidRDefault="0060430B" w:rsidP="0060430B">
      <w:pPr>
        <w:jc w:val="both"/>
        <w:rPr>
          <w:sz w:val="24"/>
          <w:szCs w:val="24"/>
        </w:rPr>
      </w:pPr>
      <w:r w:rsidRPr="00B00978">
        <w:rPr>
          <w:b/>
          <w:sz w:val="24"/>
          <w:szCs w:val="24"/>
        </w:rPr>
        <w:tab/>
      </w:r>
      <w:r w:rsidRPr="00B00978">
        <w:rPr>
          <w:sz w:val="24"/>
          <w:szCs w:val="24"/>
        </w:rPr>
        <w:t>Com o objetiv</w:t>
      </w:r>
      <w:r>
        <w:rPr>
          <w:sz w:val="24"/>
          <w:szCs w:val="24"/>
        </w:rPr>
        <w:t xml:space="preserve">o de atingir o que foi proposto e em conformidade com a abordagem de Raupp e Beuren (2014) as </w:t>
      </w:r>
      <w:r w:rsidRPr="00B00978">
        <w:rPr>
          <w:sz w:val="24"/>
          <w:szCs w:val="24"/>
        </w:rPr>
        <w:t>pesquisa</w:t>
      </w:r>
      <w:r>
        <w:rPr>
          <w:sz w:val="24"/>
          <w:szCs w:val="24"/>
        </w:rPr>
        <w:t>s na área da Ciência Contábil</w:t>
      </w:r>
      <w:r w:rsidRPr="00B00978">
        <w:rPr>
          <w:sz w:val="24"/>
          <w:szCs w:val="24"/>
        </w:rPr>
        <w:t xml:space="preserve"> se classifica</w:t>
      </w:r>
      <w:r>
        <w:rPr>
          <w:sz w:val="24"/>
          <w:szCs w:val="24"/>
        </w:rPr>
        <w:t>m</w:t>
      </w:r>
      <w:r w:rsidRPr="00B00978">
        <w:rPr>
          <w:sz w:val="24"/>
          <w:szCs w:val="24"/>
        </w:rPr>
        <w:t xml:space="preserve"> em três categorias: quanto ao seu objetivo, quanto aos seus procedimentos e quanto à abordagem do problema.</w:t>
      </w:r>
      <w:r>
        <w:rPr>
          <w:sz w:val="24"/>
          <w:szCs w:val="24"/>
        </w:rPr>
        <w:t xml:space="preserve"> Apresenta-se então a classificação do artigo para cada categoria relatada.</w:t>
      </w:r>
    </w:p>
    <w:p w14:paraId="3C5FFA7C" w14:textId="77777777" w:rsidR="0060430B" w:rsidRPr="00B00978" w:rsidRDefault="0060430B" w:rsidP="0060430B">
      <w:pPr>
        <w:ind w:firstLine="708"/>
        <w:jc w:val="both"/>
        <w:rPr>
          <w:sz w:val="24"/>
          <w:szCs w:val="24"/>
        </w:rPr>
      </w:pPr>
      <w:r w:rsidRPr="00B00978">
        <w:rPr>
          <w:sz w:val="24"/>
          <w:szCs w:val="24"/>
        </w:rPr>
        <w:t>A natureza da pesquisa é classificada como descritiva quanto aos objetivos, uma vez que busca analisar a evolução da inscrição de restos</w:t>
      </w:r>
      <w:r>
        <w:rPr>
          <w:sz w:val="24"/>
          <w:szCs w:val="24"/>
        </w:rPr>
        <w:t xml:space="preserve"> a pagar</w:t>
      </w:r>
      <w:r w:rsidRPr="00B00978">
        <w:rPr>
          <w:sz w:val="24"/>
          <w:szCs w:val="24"/>
        </w:rPr>
        <w:t xml:space="preserve"> ao final de cada exercício financeiro</w:t>
      </w:r>
      <w:r>
        <w:rPr>
          <w:sz w:val="24"/>
          <w:szCs w:val="24"/>
        </w:rPr>
        <w:t>, utilizando-se de procedimentos técnicos para a análise de documentos públicos.</w:t>
      </w:r>
      <w:r w:rsidRPr="00B00978">
        <w:rPr>
          <w:sz w:val="24"/>
          <w:szCs w:val="24"/>
        </w:rPr>
        <w:t xml:space="preserve"> Gil (2008), explica como sendo pesquisas descritivas aquelas que “[...] têm como objetivo primordial a descrição das características de determinada população ou fenômeno ou o estabelecimento de relações entre variáveis”.</w:t>
      </w:r>
    </w:p>
    <w:p w14:paraId="49194096" w14:textId="77777777" w:rsidR="0060430B" w:rsidRDefault="0060430B" w:rsidP="0060430B">
      <w:pPr>
        <w:ind w:firstLine="708"/>
        <w:jc w:val="both"/>
        <w:rPr>
          <w:sz w:val="24"/>
          <w:szCs w:val="24"/>
        </w:rPr>
      </w:pPr>
      <w:r w:rsidRPr="00B00978">
        <w:rPr>
          <w:sz w:val="24"/>
          <w:szCs w:val="24"/>
        </w:rPr>
        <w:t xml:space="preserve">Quanto aos procedimentos classifica-se como uma pesquisa documental. Empregou-se de recursos documental ao </w:t>
      </w:r>
      <w:r>
        <w:rPr>
          <w:sz w:val="24"/>
          <w:szCs w:val="24"/>
        </w:rPr>
        <w:t>utilizar</w:t>
      </w:r>
      <w:r w:rsidRPr="00B00978">
        <w:rPr>
          <w:sz w:val="24"/>
          <w:szCs w:val="24"/>
        </w:rPr>
        <w:t xml:space="preserve"> os demonstrativos</w:t>
      </w:r>
      <w:r>
        <w:rPr>
          <w:sz w:val="24"/>
          <w:szCs w:val="24"/>
        </w:rPr>
        <w:t xml:space="preserve"> contábeis dos exercícios de 2011 a 2017</w:t>
      </w:r>
      <w:r w:rsidRPr="00B00978">
        <w:rPr>
          <w:sz w:val="24"/>
          <w:szCs w:val="24"/>
        </w:rPr>
        <w:t>, referente aos restos a pagar.</w:t>
      </w:r>
    </w:p>
    <w:p w14:paraId="68CF96A7" w14:textId="77777777" w:rsidR="0060430B" w:rsidRPr="00B00978" w:rsidRDefault="0060430B" w:rsidP="0060430B">
      <w:pPr>
        <w:ind w:firstLine="708"/>
        <w:jc w:val="both"/>
        <w:rPr>
          <w:sz w:val="24"/>
          <w:szCs w:val="24"/>
        </w:rPr>
      </w:pPr>
      <w:r w:rsidRPr="00B00978">
        <w:rPr>
          <w:sz w:val="24"/>
          <w:szCs w:val="24"/>
        </w:rPr>
        <w:t>Referente a abordagem do problema a pesquisa é classificada como qualitativa, pois visa constatar a evolução</w:t>
      </w:r>
      <w:r>
        <w:rPr>
          <w:sz w:val="24"/>
          <w:szCs w:val="24"/>
        </w:rPr>
        <w:t xml:space="preserve"> e a composição</w:t>
      </w:r>
      <w:r w:rsidRPr="00B00978">
        <w:rPr>
          <w:sz w:val="24"/>
          <w:szCs w:val="24"/>
        </w:rPr>
        <w:t xml:space="preserve"> das inscrições de restos a pagar na execução f</w:t>
      </w:r>
      <w:r>
        <w:rPr>
          <w:sz w:val="24"/>
          <w:szCs w:val="24"/>
        </w:rPr>
        <w:t>inanceira do orçamento público entre os anos de 2011 a 2017</w:t>
      </w:r>
      <w:r w:rsidRPr="00B00978">
        <w:rPr>
          <w:sz w:val="24"/>
          <w:szCs w:val="24"/>
        </w:rPr>
        <w:t xml:space="preserve"> e quantitativa, pois </w:t>
      </w:r>
      <w:r>
        <w:rPr>
          <w:sz w:val="24"/>
          <w:szCs w:val="24"/>
        </w:rPr>
        <w:t>a partir dos</w:t>
      </w:r>
      <w:r w:rsidRPr="00B00978">
        <w:rPr>
          <w:sz w:val="24"/>
          <w:szCs w:val="24"/>
        </w:rPr>
        <w:t xml:space="preserve"> demonstrativos contábeis </w:t>
      </w:r>
      <w:r>
        <w:rPr>
          <w:sz w:val="24"/>
          <w:szCs w:val="24"/>
        </w:rPr>
        <w:t>do ente analisado</w:t>
      </w:r>
      <w:r w:rsidRPr="00B00978">
        <w:rPr>
          <w:sz w:val="24"/>
          <w:szCs w:val="24"/>
        </w:rPr>
        <w:t xml:space="preserve"> </w:t>
      </w:r>
      <w:r>
        <w:rPr>
          <w:sz w:val="24"/>
          <w:szCs w:val="24"/>
        </w:rPr>
        <w:t>é que serão</w:t>
      </w:r>
      <w:r w:rsidRPr="00B00978">
        <w:rPr>
          <w:sz w:val="24"/>
          <w:szCs w:val="24"/>
        </w:rPr>
        <w:t xml:space="preserve"> realizadas as análises verticais e horizontais pa</w:t>
      </w:r>
      <w:r>
        <w:rPr>
          <w:sz w:val="24"/>
          <w:szCs w:val="24"/>
        </w:rPr>
        <w:t>ra aferir os resultados obtidos, além disso, utilizou-se do método de estatística descritiva e da tabela de correlação com nível de significância por meio do software STATA/SE, versão 13.0.</w:t>
      </w:r>
    </w:p>
    <w:p w14:paraId="7ED36E8A" w14:textId="77777777" w:rsidR="0060430B" w:rsidRPr="00B00978" w:rsidRDefault="0060430B" w:rsidP="0060430B">
      <w:pPr>
        <w:jc w:val="both"/>
        <w:rPr>
          <w:sz w:val="24"/>
          <w:szCs w:val="24"/>
        </w:rPr>
      </w:pPr>
    </w:p>
    <w:p w14:paraId="1044973A" w14:textId="77777777" w:rsidR="0060430B" w:rsidRPr="00B00978" w:rsidRDefault="0060430B" w:rsidP="0060430B">
      <w:pPr>
        <w:jc w:val="both"/>
        <w:rPr>
          <w:b/>
          <w:sz w:val="24"/>
          <w:szCs w:val="24"/>
        </w:rPr>
      </w:pPr>
      <w:r w:rsidRPr="00B00978">
        <w:rPr>
          <w:b/>
          <w:sz w:val="24"/>
          <w:szCs w:val="24"/>
        </w:rPr>
        <w:t>3.2 Técnica de levantamento de dados</w:t>
      </w:r>
    </w:p>
    <w:p w14:paraId="326A3F8C" w14:textId="7F5D941D" w:rsidR="0060430B" w:rsidRDefault="0060430B" w:rsidP="0060430B">
      <w:pPr>
        <w:ind w:firstLine="708"/>
        <w:jc w:val="both"/>
        <w:rPr>
          <w:sz w:val="24"/>
          <w:szCs w:val="24"/>
        </w:rPr>
      </w:pPr>
      <w:r>
        <w:rPr>
          <w:sz w:val="24"/>
          <w:szCs w:val="24"/>
        </w:rPr>
        <w:t>Utilizou-se de documentação indireta como mecanismo na etapa de coleta de dados. Referente ao capítulo dos resultados</w:t>
      </w:r>
      <w:r w:rsidR="004A450C">
        <w:rPr>
          <w:sz w:val="24"/>
          <w:szCs w:val="24"/>
        </w:rPr>
        <w:t xml:space="preserve"> aplicou-se</w:t>
      </w:r>
      <w:r>
        <w:rPr>
          <w:sz w:val="24"/>
          <w:szCs w:val="24"/>
        </w:rPr>
        <w:t xml:space="preserve"> a análise de dados. Em seguida, encontra-se um detalhamento sobre o mecanismo utilizado.</w:t>
      </w:r>
    </w:p>
    <w:p w14:paraId="3114AF88" w14:textId="0F39EAAA" w:rsidR="0060430B" w:rsidRDefault="0060430B" w:rsidP="0060430B">
      <w:pPr>
        <w:jc w:val="both"/>
        <w:rPr>
          <w:sz w:val="24"/>
          <w:szCs w:val="24"/>
        </w:rPr>
      </w:pPr>
      <w:r>
        <w:rPr>
          <w:sz w:val="24"/>
          <w:szCs w:val="24"/>
        </w:rPr>
        <w:tab/>
      </w:r>
    </w:p>
    <w:p w14:paraId="4449D956" w14:textId="0270C5BD" w:rsidR="0060430B" w:rsidRPr="00651C13" w:rsidRDefault="0060430B" w:rsidP="0060430B">
      <w:pPr>
        <w:jc w:val="both"/>
        <w:rPr>
          <w:sz w:val="24"/>
          <w:szCs w:val="24"/>
        </w:rPr>
      </w:pPr>
      <w:r>
        <w:rPr>
          <w:sz w:val="24"/>
          <w:szCs w:val="24"/>
        </w:rPr>
        <w:lastRenderedPageBreak/>
        <w:tab/>
      </w:r>
      <w:r w:rsidR="00974EA9">
        <w:rPr>
          <w:sz w:val="24"/>
          <w:szCs w:val="24"/>
        </w:rPr>
        <w:t>Utilizou-se de fontes secundárias ao obter</w:t>
      </w:r>
      <w:r w:rsidR="004A450C">
        <w:rPr>
          <w:sz w:val="24"/>
          <w:szCs w:val="24"/>
        </w:rPr>
        <w:t xml:space="preserve"> </w:t>
      </w:r>
      <w:r>
        <w:rPr>
          <w:sz w:val="24"/>
          <w:szCs w:val="24"/>
        </w:rPr>
        <w:t>dados originários de demonstrativos contábeis, com o objetivo de analisar a evolução e a composição da conta de restos a pagar, o qual será abordado no capítulo de resultados de pesquisas.</w:t>
      </w:r>
    </w:p>
    <w:p w14:paraId="602383FF" w14:textId="77777777" w:rsidR="0060430B" w:rsidRPr="00B00978" w:rsidRDefault="0060430B" w:rsidP="0060430B">
      <w:pPr>
        <w:ind w:firstLine="708"/>
        <w:jc w:val="both"/>
        <w:rPr>
          <w:sz w:val="24"/>
          <w:szCs w:val="24"/>
        </w:rPr>
      </w:pPr>
      <w:r>
        <w:rPr>
          <w:sz w:val="24"/>
          <w:szCs w:val="24"/>
        </w:rPr>
        <w:t xml:space="preserve">Empregou-se </w:t>
      </w:r>
      <w:r w:rsidRPr="00B00978">
        <w:rPr>
          <w:sz w:val="24"/>
          <w:szCs w:val="24"/>
        </w:rPr>
        <w:t>de análise documental</w:t>
      </w:r>
      <w:r>
        <w:rPr>
          <w:sz w:val="24"/>
          <w:szCs w:val="24"/>
        </w:rPr>
        <w:t xml:space="preserve">, na etapa referente </w:t>
      </w:r>
      <w:r w:rsidRPr="00B00978">
        <w:rPr>
          <w:sz w:val="24"/>
          <w:szCs w:val="24"/>
        </w:rPr>
        <w:t xml:space="preserve">a coleta de dados, o qual consta no portal </w:t>
      </w:r>
      <w:r>
        <w:rPr>
          <w:sz w:val="24"/>
          <w:szCs w:val="24"/>
        </w:rPr>
        <w:t xml:space="preserve">de </w:t>
      </w:r>
      <w:r w:rsidRPr="00B00978">
        <w:rPr>
          <w:sz w:val="24"/>
          <w:szCs w:val="24"/>
        </w:rPr>
        <w:t>transparência do ente analisado. A fonte de dados a ser utilizada na pesquisa compõe dos seguintes demonstrativos: Relatório de Gestão Fiscal, Relatório resumido da Execução Orçamentária e o Balanço Geral do Estado, que é a prestação de contas anual do governo (composta de relatórios, demonstrativos contábeis e informações sobre o contexto administrativo, social e econômico do Estado).</w:t>
      </w:r>
    </w:p>
    <w:p w14:paraId="4D8BA514" w14:textId="77777777" w:rsidR="0060430B" w:rsidRPr="00B00978" w:rsidRDefault="0060430B" w:rsidP="0060430B">
      <w:pPr>
        <w:jc w:val="both"/>
        <w:rPr>
          <w:sz w:val="24"/>
          <w:szCs w:val="24"/>
        </w:rPr>
      </w:pPr>
    </w:p>
    <w:p w14:paraId="0148C922" w14:textId="77777777" w:rsidR="0060430B" w:rsidRPr="00B00978" w:rsidRDefault="0060430B" w:rsidP="0060430B">
      <w:pPr>
        <w:jc w:val="both"/>
        <w:rPr>
          <w:b/>
          <w:sz w:val="24"/>
          <w:szCs w:val="24"/>
        </w:rPr>
      </w:pPr>
      <w:r w:rsidRPr="00B00978">
        <w:rPr>
          <w:b/>
          <w:sz w:val="24"/>
          <w:szCs w:val="24"/>
        </w:rPr>
        <w:t>3.3 Limitação da pesquisa</w:t>
      </w:r>
    </w:p>
    <w:p w14:paraId="6058E129" w14:textId="77777777" w:rsidR="0060430B" w:rsidRPr="00B00978" w:rsidRDefault="0060430B" w:rsidP="0060430B">
      <w:pPr>
        <w:ind w:firstLine="708"/>
        <w:jc w:val="both"/>
        <w:rPr>
          <w:sz w:val="24"/>
          <w:szCs w:val="24"/>
        </w:rPr>
      </w:pPr>
      <w:r w:rsidRPr="00B00978">
        <w:rPr>
          <w:sz w:val="24"/>
          <w:szCs w:val="24"/>
        </w:rPr>
        <w:t>Por fim, a pesquisa constitui limitação quanto a restrição temporal, que analisou a evolução e composição da inscrição de restos a pagar do Estado de Santa Catarina, de acordo com os demonstrativos disponibilizados pelo referido ente. Além do mais, a análise se restringiu apenas ao Estado de Santa Catarina, não fazendo comparação com dados de outros estados da Região ou do País.</w:t>
      </w:r>
    </w:p>
    <w:p w14:paraId="4CC2CA7F" w14:textId="77777777" w:rsidR="0060430B" w:rsidRDefault="0060430B" w:rsidP="0060430B">
      <w:pPr>
        <w:jc w:val="both"/>
        <w:rPr>
          <w:sz w:val="24"/>
          <w:szCs w:val="24"/>
        </w:rPr>
      </w:pPr>
    </w:p>
    <w:p w14:paraId="67DF3EF4" w14:textId="5FF62DD8" w:rsidR="0060430B" w:rsidRDefault="00A841A9" w:rsidP="0060430B">
      <w:pPr>
        <w:jc w:val="both"/>
        <w:rPr>
          <w:b/>
          <w:sz w:val="24"/>
          <w:szCs w:val="24"/>
        </w:rPr>
      </w:pPr>
      <w:r>
        <w:rPr>
          <w:b/>
          <w:sz w:val="24"/>
          <w:szCs w:val="24"/>
        </w:rPr>
        <w:t>4</w:t>
      </w:r>
      <w:r w:rsidR="0060430B">
        <w:rPr>
          <w:b/>
          <w:sz w:val="24"/>
          <w:szCs w:val="24"/>
        </w:rPr>
        <w:t xml:space="preserve"> </w:t>
      </w:r>
      <w:r w:rsidR="00DE0933">
        <w:rPr>
          <w:b/>
          <w:sz w:val="24"/>
          <w:szCs w:val="24"/>
        </w:rPr>
        <w:t>APRESENTAÇÃO E ANÁLISE DOS RESULTADOS</w:t>
      </w:r>
    </w:p>
    <w:p w14:paraId="7A7F0827" w14:textId="77777777" w:rsidR="0060430B" w:rsidRDefault="0060430B" w:rsidP="0060430B">
      <w:pPr>
        <w:jc w:val="both"/>
        <w:rPr>
          <w:b/>
          <w:sz w:val="24"/>
          <w:szCs w:val="24"/>
        </w:rPr>
      </w:pPr>
    </w:p>
    <w:p w14:paraId="7668C77C" w14:textId="77777777" w:rsidR="0060430B" w:rsidRDefault="0060430B" w:rsidP="0060430B">
      <w:pPr>
        <w:jc w:val="both"/>
        <w:rPr>
          <w:b/>
          <w:sz w:val="24"/>
          <w:szCs w:val="24"/>
        </w:rPr>
      </w:pPr>
      <w:r>
        <w:rPr>
          <w:b/>
          <w:sz w:val="24"/>
          <w:szCs w:val="24"/>
        </w:rPr>
        <w:t>4.1 Apresentação do Estado de Santa Catarina e obtenção dos dados</w:t>
      </w:r>
    </w:p>
    <w:p w14:paraId="2CB9E20D" w14:textId="2237CE64" w:rsidR="0060430B" w:rsidRDefault="0060430B" w:rsidP="0060430B">
      <w:pPr>
        <w:jc w:val="both"/>
        <w:rPr>
          <w:sz w:val="24"/>
          <w:szCs w:val="24"/>
        </w:rPr>
      </w:pPr>
      <w:r>
        <w:rPr>
          <w:b/>
          <w:sz w:val="24"/>
          <w:szCs w:val="24"/>
        </w:rPr>
        <w:tab/>
      </w:r>
      <w:r>
        <w:rPr>
          <w:sz w:val="24"/>
          <w:szCs w:val="24"/>
        </w:rPr>
        <w:t>Santa Catarina, cuja capital é Florianópolis, localiza-se no centro da região Sul do Brasil, juntamente com os Estados do Paraná (ao norte) e Rio Grande do Sul (ao sul) e ao oeste faz fronteira com Argentina, país Sul-Americano. De acordo com o censo populacional realizado pelo Instituto Brasileiro de Geografia e Estatística (IBGE), o Estado de Santa Catarina possui uma área de 9</w:t>
      </w:r>
      <w:r w:rsidR="00852399">
        <w:rPr>
          <w:sz w:val="24"/>
          <w:szCs w:val="24"/>
        </w:rPr>
        <w:t>5.</w:t>
      </w:r>
      <w:r>
        <w:rPr>
          <w:sz w:val="24"/>
          <w:szCs w:val="24"/>
        </w:rPr>
        <w:t>737,954km² e uma população estimada de 7.001.161 habitantes espalhados por 295 municípios.</w:t>
      </w:r>
    </w:p>
    <w:p w14:paraId="7221C5E4" w14:textId="77777777" w:rsidR="0060430B" w:rsidRDefault="0060430B" w:rsidP="0060430B">
      <w:pPr>
        <w:jc w:val="both"/>
        <w:rPr>
          <w:sz w:val="24"/>
          <w:szCs w:val="24"/>
        </w:rPr>
      </w:pPr>
      <w:r>
        <w:rPr>
          <w:sz w:val="24"/>
          <w:szCs w:val="24"/>
        </w:rPr>
        <w:tab/>
        <w:t>Os dados necessários para a pesquisa resultam no demonstrativo da disponibilidade de caixa e restos a pagar, conforme previsto no Anexo V do Relatório de Gestão Fiscal (RGF), do balanço orçamentário, conforme Anexo I do Relatório Resumido da Execução Orçamentária (RREO). Os demonstrativos foram obtidos por meio do sitio eletrônico do próprio ente, utilizando-se dos anos de 2011 a 2017.</w:t>
      </w:r>
    </w:p>
    <w:p w14:paraId="14B1AC60" w14:textId="77777777" w:rsidR="0060430B" w:rsidRDefault="0060430B" w:rsidP="0060430B">
      <w:pPr>
        <w:jc w:val="both"/>
        <w:rPr>
          <w:sz w:val="24"/>
          <w:szCs w:val="24"/>
        </w:rPr>
      </w:pPr>
    </w:p>
    <w:p w14:paraId="7F2E8BC1" w14:textId="77777777" w:rsidR="0060430B" w:rsidRDefault="0060430B" w:rsidP="0060430B">
      <w:pPr>
        <w:jc w:val="both"/>
        <w:rPr>
          <w:sz w:val="24"/>
          <w:szCs w:val="24"/>
        </w:rPr>
      </w:pPr>
      <w:r w:rsidRPr="00F52D23">
        <w:rPr>
          <w:b/>
          <w:sz w:val="24"/>
          <w:szCs w:val="24"/>
        </w:rPr>
        <w:t>4.2 Estatística Descritiva</w:t>
      </w:r>
    </w:p>
    <w:p w14:paraId="37B463C0" w14:textId="6BD56804" w:rsidR="0060430B" w:rsidRDefault="0060430B" w:rsidP="0060430B">
      <w:pPr>
        <w:jc w:val="both"/>
        <w:rPr>
          <w:sz w:val="24"/>
          <w:szCs w:val="24"/>
        </w:rPr>
      </w:pPr>
      <w:r>
        <w:rPr>
          <w:sz w:val="24"/>
          <w:szCs w:val="24"/>
        </w:rPr>
        <w:tab/>
        <w:t xml:space="preserve">A </w:t>
      </w:r>
      <w:r w:rsidR="002552F1">
        <w:rPr>
          <w:sz w:val="24"/>
          <w:szCs w:val="24"/>
        </w:rPr>
        <w:t>Tabela 2</w:t>
      </w:r>
      <w:r>
        <w:rPr>
          <w:sz w:val="24"/>
          <w:szCs w:val="24"/>
        </w:rPr>
        <w:t xml:space="preserve"> apresenta os valores das médias, desvios padrões, mediana, valores mínimo e máximo para cada variável. Observa-se que a média de inscrição total em restos a pagar e da disponibilidade de caixa do período analisado é de R$ 630.989.303,17 e R$ 3.107.123.066,40 respectivamente, demonstrando que há disponibilidade de caixa para a inscrição em restos a pagar. Referente ao valor mínimo e máximo do total de restos a pagar inscrito, o quantitativo é de R$ 393.215.453,13 e R$ 1.078.450.641,51. Nota-se também que a diferença entre os restos a pagar processados e não processados é expressivamente grande, tanto em relação ao mínimo, quanto ao máximo que foi inscrito.</w:t>
      </w:r>
    </w:p>
    <w:p w14:paraId="1E638150" w14:textId="77CFC391" w:rsidR="0060430B" w:rsidRDefault="0060430B" w:rsidP="0060430B">
      <w:pPr>
        <w:pStyle w:val="Legenda"/>
        <w:spacing w:line="240" w:lineRule="auto"/>
        <w:ind w:firstLine="0"/>
        <w:jc w:val="center"/>
        <w:rPr>
          <w:rFonts w:eastAsiaTheme="minorHAnsi"/>
          <w:b w:val="0"/>
          <w:bCs w:val="0"/>
          <w:sz w:val="24"/>
          <w:szCs w:val="24"/>
        </w:rPr>
      </w:pPr>
      <w:r w:rsidRPr="00A37DCC">
        <w:rPr>
          <w:rFonts w:eastAsiaTheme="minorHAnsi"/>
          <w:b w:val="0"/>
          <w:bCs w:val="0"/>
          <w:szCs w:val="24"/>
        </w:rPr>
        <w:lastRenderedPageBreak/>
        <w:t xml:space="preserve">Tabela </w:t>
      </w:r>
      <w:r w:rsidR="002552F1">
        <w:rPr>
          <w:rFonts w:eastAsiaTheme="minorHAnsi"/>
          <w:b w:val="0"/>
          <w:bCs w:val="0"/>
          <w:szCs w:val="24"/>
        </w:rPr>
        <w:t>2</w:t>
      </w:r>
      <w:r w:rsidR="00FE469D">
        <w:rPr>
          <w:rFonts w:eastAsiaTheme="minorHAnsi"/>
          <w:b w:val="0"/>
          <w:bCs w:val="0"/>
          <w:szCs w:val="24"/>
        </w:rPr>
        <w:t xml:space="preserve">. </w:t>
      </w:r>
      <w:r w:rsidRPr="00A37DCC">
        <w:rPr>
          <w:rFonts w:eastAsiaTheme="minorHAnsi"/>
          <w:b w:val="0"/>
          <w:bCs w:val="0"/>
          <w:szCs w:val="24"/>
        </w:rPr>
        <w:t xml:space="preserve"> Estatística Descritiva</w:t>
      </w:r>
      <w:r w:rsidRPr="00FC7112">
        <w:rPr>
          <w:noProof/>
          <w:lang w:eastAsia="pt-BR"/>
        </w:rPr>
        <w:drawing>
          <wp:inline distT="0" distB="0" distL="0" distR="0" wp14:anchorId="165F82BF" wp14:editId="69279DF2">
            <wp:extent cx="5400040" cy="124209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242097"/>
                    </a:xfrm>
                    <a:prstGeom prst="rect">
                      <a:avLst/>
                    </a:prstGeom>
                    <a:noFill/>
                    <a:ln>
                      <a:noFill/>
                    </a:ln>
                  </pic:spPr>
                </pic:pic>
              </a:graphicData>
            </a:graphic>
          </wp:inline>
        </w:drawing>
      </w:r>
    </w:p>
    <w:p w14:paraId="6A649541" w14:textId="77777777" w:rsidR="0060430B" w:rsidRPr="00445931" w:rsidRDefault="0060430B" w:rsidP="0060430B">
      <w:pPr>
        <w:pStyle w:val="Legenda"/>
        <w:spacing w:line="240" w:lineRule="auto"/>
        <w:ind w:firstLine="0"/>
        <w:jc w:val="center"/>
        <w:rPr>
          <w:rFonts w:eastAsiaTheme="minorHAnsi"/>
          <w:b w:val="0"/>
          <w:bCs w:val="0"/>
        </w:rPr>
      </w:pPr>
      <w:r w:rsidRPr="00445931">
        <w:rPr>
          <w:rFonts w:eastAsiaTheme="minorHAnsi"/>
          <w:b w:val="0"/>
          <w:bCs w:val="0"/>
        </w:rPr>
        <w:t xml:space="preserve">Legenda: em que RPNP significa restos a pagar não processados, RPP </w:t>
      </w:r>
      <w:r>
        <w:rPr>
          <w:rFonts w:eastAsiaTheme="minorHAnsi"/>
          <w:b w:val="0"/>
          <w:bCs w:val="0"/>
        </w:rPr>
        <w:t>significa restos a pagar processados, TOTAL RP significa total de restos a pagar, DISPCX significa disponibilidade de caixa, DOTAUT significa dotação autorizada e DESP EMP significa despesa empenhada.</w:t>
      </w:r>
    </w:p>
    <w:p w14:paraId="2FBECB7C" w14:textId="77777777" w:rsidR="0060430B" w:rsidRPr="00D83336" w:rsidRDefault="0060430B" w:rsidP="00D83336">
      <w:pPr>
        <w:pStyle w:val="Legenda"/>
        <w:spacing w:line="240" w:lineRule="auto"/>
        <w:jc w:val="center"/>
        <w:rPr>
          <w:b w:val="0"/>
        </w:rPr>
      </w:pPr>
      <w:r w:rsidRPr="00A37DCC">
        <w:rPr>
          <w:b w:val="0"/>
        </w:rPr>
        <w:t>Fonte: Elaboração própria</w:t>
      </w:r>
    </w:p>
    <w:p w14:paraId="45912AF7" w14:textId="56159C37" w:rsidR="0060430B" w:rsidRDefault="0060430B" w:rsidP="0060430B">
      <w:pPr>
        <w:jc w:val="both"/>
        <w:rPr>
          <w:color w:val="000000"/>
          <w:sz w:val="24"/>
          <w:szCs w:val="24"/>
        </w:rPr>
      </w:pPr>
      <w:r>
        <w:rPr>
          <w:sz w:val="24"/>
          <w:szCs w:val="24"/>
        </w:rPr>
        <w:tab/>
      </w:r>
      <w:r w:rsidRPr="00B200B9">
        <w:rPr>
          <w:color w:val="000000"/>
          <w:sz w:val="24"/>
          <w:szCs w:val="24"/>
        </w:rPr>
        <w:t xml:space="preserve">A </w:t>
      </w:r>
      <w:r w:rsidR="002552F1">
        <w:rPr>
          <w:color w:val="000000"/>
          <w:sz w:val="24"/>
          <w:szCs w:val="24"/>
        </w:rPr>
        <w:t>Tabela 3</w:t>
      </w:r>
      <w:r w:rsidRPr="00B200B9">
        <w:rPr>
          <w:color w:val="000000"/>
          <w:sz w:val="24"/>
          <w:szCs w:val="24"/>
        </w:rPr>
        <w:t xml:space="preserve"> apresenta a matriz de correlação, que é elaborada para as variáveis contínuas. Observa-se que todas as variáveis possuem correlação positiva, o que já era esperado, visto que algumas variáveis derivam de outras. Como exemplo, temos os restos a pagar processados e não processados, que compõem o total de restos, logo, possuem um nível forte de correlação. Portanto, quanto maior o valor de restos a pagar processados e não processados inscritos, maior será o montante do total de restos a pagar. </w:t>
      </w:r>
    </w:p>
    <w:p w14:paraId="6D2A142E" w14:textId="1031F4A9" w:rsidR="0060430B" w:rsidRPr="00A37DCC" w:rsidRDefault="002552F1" w:rsidP="0060430B">
      <w:pPr>
        <w:jc w:val="center"/>
        <w:rPr>
          <w:szCs w:val="24"/>
        </w:rPr>
      </w:pPr>
      <w:r>
        <w:rPr>
          <w:szCs w:val="24"/>
        </w:rPr>
        <w:t>Tabela 3</w:t>
      </w:r>
      <w:r w:rsidR="00FE469D">
        <w:rPr>
          <w:szCs w:val="24"/>
        </w:rPr>
        <w:t>.</w:t>
      </w:r>
      <w:r w:rsidR="0060430B" w:rsidRPr="00A37DCC">
        <w:rPr>
          <w:szCs w:val="24"/>
        </w:rPr>
        <w:t xml:space="preserve"> Tabela de Correlações</w:t>
      </w:r>
    </w:p>
    <w:tbl>
      <w:tblPr>
        <w:tblW w:w="6490" w:type="dxa"/>
        <w:jc w:val="center"/>
        <w:tblCellMar>
          <w:left w:w="70" w:type="dxa"/>
          <w:right w:w="70" w:type="dxa"/>
        </w:tblCellMar>
        <w:tblLook w:val="04A0" w:firstRow="1" w:lastRow="0" w:firstColumn="1" w:lastColumn="0" w:noHBand="0" w:noVBand="1"/>
      </w:tblPr>
      <w:tblGrid>
        <w:gridCol w:w="996"/>
        <w:gridCol w:w="990"/>
        <w:gridCol w:w="990"/>
        <w:gridCol w:w="893"/>
        <w:gridCol w:w="990"/>
        <w:gridCol w:w="996"/>
        <w:gridCol w:w="635"/>
      </w:tblGrid>
      <w:tr w:rsidR="0060430B" w:rsidRPr="008D26B2" w14:paraId="39D6E44F" w14:textId="77777777" w:rsidTr="002552F1">
        <w:trPr>
          <w:trHeight w:val="259"/>
          <w:jc w:val="center"/>
        </w:trPr>
        <w:tc>
          <w:tcPr>
            <w:tcW w:w="996" w:type="dxa"/>
            <w:tcBorders>
              <w:top w:val="single" w:sz="4" w:space="0" w:color="auto"/>
              <w:left w:val="nil"/>
              <w:bottom w:val="single" w:sz="4" w:space="0" w:color="auto"/>
              <w:right w:val="single" w:sz="4" w:space="0" w:color="auto"/>
            </w:tcBorders>
            <w:shd w:val="clear" w:color="auto" w:fill="auto"/>
            <w:vAlign w:val="center"/>
            <w:hideMark/>
          </w:tcPr>
          <w:p w14:paraId="0255095F" w14:textId="77777777" w:rsidR="0060430B" w:rsidRPr="008D26B2" w:rsidRDefault="0060430B" w:rsidP="002552F1">
            <w:pPr>
              <w:jc w:val="both"/>
              <w:rPr>
                <w:color w:val="000000"/>
              </w:rPr>
            </w:pPr>
            <w:r w:rsidRPr="008D26B2">
              <w:rPr>
                <w:color w:val="000000"/>
                <w:szCs w:val="24"/>
              </w:rPr>
              <w:t> </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13554147" w14:textId="77777777" w:rsidR="0060430B" w:rsidRPr="008D26B2" w:rsidRDefault="0060430B" w:rsidP="002552F1">
            <w:pPr>
              <w:jc w:val="both"/>
              <w:rPr>
                <w:b/>
                <w:bCs/>
                <w:color w:val="000000"/>
              </w:rPr>
            </w:pPr>
            <w:r w:rsidRPr="008D26B2">
              <w:rPr>
                <w:b/>
                <w:bCs/>
                <w:color w:val="000000"/>
                <w:szCs w:val="24"/>
              </w:rPr>
              <w:t>RPNP</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48B60A60" w14:textId="77777777" w:rsidR="0060430B" w:rsidRPr="008D26B2" w:rsidRDefault="0060430B" w:rsidP="002552F1">
            <w:pPr>
              <w:jc w:val="both"/>
              <w:rPr>
                <w:b/>
                <w:bCs/>
                <w:color w:val="000000"/>
              </w:rPr>
            </w:pPr>
            <w:r w:rsidRPr="008D26B2">
              <w:rPr>
                <w:b/>
                <w:bCs/>
                <w:color w:val="000000"/>
                <w:szCs w:val="24"/>
              </w:rPr>
              <w:t>RPP</w:t>
            </w:r>
          </w:p>
        </w:tc>
        <w:tc>
          <w:tcPr>
            <w:tcW w:w="893" w:type="dxa"/>
            <w:tcBorders>
              <w:top w:val="single" w:sz="4" w:space="0" w:color="auto"/>
              <w:left w:val="nil"/>
              <w:bottom w:val="single" w:sz="4" w:space="0" w:color="auto"/>
              <w:right w:val="single" w:sz="4" w:space="0" w:color="auto"/>
            </w:tcBorders>
            <w:shd w:val="clear" w:color="auto" w:fill="auto"/>
            <w:vAlign w:val="center"/>
            <w:hideMark/>
          </w:tcPr>
          <w:p w14:paraId="0AB8DD98" w14:textId="77777777" w:rsidR="0060430B" w:rsidRPr="008D26B2" w:rsidRDefault="0060430B" w:rsidP="002552F1">
            <w:pPr>
              <w:jc w:val="both"/>
              <w:rPr>
                <w:b/>
                <w:bCs/>
                <w:color w:val="000000"/>
              </w:rPr>
            </w:pPr>
            <w:r>
              <w:rPr>
                <w:b/>
                <w:bCs/>
                <w:color w:val="000000"/>
                <w:szCs w:val="24"/>
              </w:rPr>
              <w:t>TOT RP</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7119C617" w14:textId="77777777" w:rsidR="0060430B" w:rsidRPr="008D26B2" w:rsidRDefault="0060430B" w:rsidP="002552F1">
            <w:pPr>
              <w:jc w:val="both"/>
              <w:rPr>
                <w:b/>
                <w:bCs/>
                <w:color w:val="000000"/>
              </w:rPr>
            </w:pPr>
            <w:r w:rsidRPr="008D26B2">
              <w:rPr>
                <w:b/>
                <w:bCs/>
                <w:color w:val="000000"/>
                <w:szCs w:val="24"/>
              </w:rPr>
              <w:t>DISPCX</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4D15134" w14:textId="77777777" w:rsidR="0060430B" w:rsidRPr="008D26B2" w:rsidRDefault="0060430B" w:rsidP="002552F1">
            <w:pPr>
              <w:jc w:val="both"/>
              <w:rPr>
                <w:b/>
                <w:bCs/>
                <w:color w:val="000000"/>
              </w:rPr>
            </w:pPr>
            <w:r w:rsidRPr="008D26B2">
              <w:rPr>
                <w:b/>
                <w:bCs/>
                <w:color w:val="000000"/>
              </w:rPr>
              <w:t>DOTAUT</w:t>
            </w:r>
          </w:p>
        </w:tc>
        <w:tc>
          <w:tcPr>
            <w:tcW w:w="635" w:type="dxa"/>
            <w:tcBorders>
              <w:top w:val="single" w:sz="4" w:space="0" w:color="auto"/>
              <w:left w:val="nil"/>
              <w:bottom w:val="single" w:sz="4" w:space="0" w:color="auto"/>
              <w:right w:val="nil"/>
            </w:tcBorders>
            <w:shd w:val="clear" w:color="auto" w:fill="auto"/>
            <w:vAlign w:val="center"/>
            <w:hideMark/>
          </w:tcPr>
          <w:p w14:paraId="6D24DA48" w14:textId="77777777" w:rsidR="0060430B" w:rsidRPr="008D26B2" w:rsidRDefault="0060430B" w:rsidP="002552F1">
            <w:pPr>
              <w:jc w:val="both"/>
              <w:rPr>
                <w:b/>
                <w:bCs/>
                <w:color w:val="000000"/>
              </w:rPr>
            </w:pPr>
            <w:r w:rsidRPr="008D26B2">
              <w:rPr>
                <w:b/>
                <w:bCs/>
                <w:color w:val="000000"/>
              </w:rPr>
              <w:t>EMP</w:t>
            </w:r>
          </w:p>
        </w:tc>
      </w:tr>
      <w:tr w:rsidR="0060430B" w:rsidRPr="008D26B2" w14:paraId="1CD20EC5" w14:textId="77777777" w:rsidTr="002552F1">
        <w:trPr>
          <w:trHeight w:val="259"/>
          <w:jc w:val="center"/>
        </w:trPr>
        <w:tc>
          <w:tcPr>
            <w:tcW w:w="996" w:type="dxa"/>
            <w:tcBorders>
              <w:top w:val="nil"/>
              <w:left w:val="nil"/>
              <w:bottom w:val="single" w:sz="4" w:space="0" w:color="auto"/>
              <w:right w:val="single" w:sz="4" w:space="0" w:color="auto"/>
            </w:tcBorders>
            <w:shd w:val="clear" w:color="auto" w:fill="auto"/>
            <w:vAlign w:val="center"/>
            <w:hideMark/>
          </w:tcPr>
          <w:p w14:paraId="040170C3" w14:textId="77777777" w:rsidR="0060430B" w:rsidRPr="008D26B2" w:rsidRDefault="0060430B" w:rsidP="002552F1">
            <w:pPr>
              <w:jc w:val="both"/>
              <w:rPr>
                <w:b/>
                <w:bCs/>
                <w:color w:val="000000"/>
              </w:rPr>
            </w:pPr>
            <w:r w:rsidRPr="008D26B2">
              <w:rPr>
                <w:b/>
                <w:bCs/>
                <w:color w:val="000000"/>
                <w:szCs w:val="24"/>
              </w:rPr>
              <w:t>RPNP</w:t>
            </w:r>
          </w:p>
        </w:tc>
        <w:tc>
          <w:tcPr>
            <w:tcW w:w="990" w:type="dxa"/>
            <w:tcBorders>
              <w:top w:val="nil"/>
              <w:left w:val="nil"/>
              <w:bottom w:val="single" w:sz="4" w:space="0" w:color="auto"/>
              <w:right w:val="single" w:sz="4" w:space="0" w:color="auto"/>
            </w:tcBorders>
            <w:shd w:val="clear" w:color="auto" w:fill="auto"/>
            <w:vAlign w:val="center"/>
            <w:hideMark/>
          </w:tcPr>
          <w:p w14:paraId="464F95F2" w14:textId="77777777" w:rsidR="0060430B" w:rsidRPr="008D26B2" w:rsidRDefault="0060430B" w:rsidP="002552F1">
            <w:pPr>
              <w:jc w:val="center"/>
              <w:rPr>
                <w:color w:val="000000"/>
              </w:rPr>
            </w:pPr>
            <w:r w:rsidRPr="008D26B2">
              <w:rPr>
                <w:color w:val="000000"/>
                <w:szCs w:val="24"/>
              </w:rPr>
              <w:t>1</w:t>
            </w:r>
          </w:p>
        </w:tc>
        <w:tc>
          <w:tcPr>
            <w:tcW w:w="990" w:type="dxa"/>
            <w:tcBorders>
              <w:top w:val="nil"/>
              <w:left w:val="nil"/>
              <w:bottom w:val="single" w:sz="4" w:space="0" w:color="auto"/>
              <w:right w:val="single" w:sz="4" w:space="0" w:color="auto"/>
            </w:tcBorders>
            <w:shd w:val="clear" w:color="auto" w:fill="auto"/>
            <w:vAlign w:val="center"/>
            <w:hideMark/>
          </w:tcPr>
          <w:p w14:paraId="76384C16" w14:textId="77777777" w:rsidR="0060430B" w:rsidRPr="008D26B2" w:rsidRDefault="0060430B" w:rsidP="002552F1">
            <w:pPr>
              <w:jc w:val="center"/>
              <w:rPr>
                <w:color w:val="000000"/>
              </w:rPr>
            </w:pPr>
            <w:r w:rsidRPr="008D26B2">
              <w:rPr>
                <w:color w:val="000000"/>
                <w:szCs w:val="24"/>
              </w:rPr>
              <w:t> </w:t>
            </w:r>
          </w:p>
        </w:tc>
        <w:tc>
          <w:tcPr>
            <w:tcW w:w="893" w:type="dxa"/>
            <w:tcBorders>
              <w:top w:val="nil"/>
              <w:left w:val="nil"/>
              <w:bottom w:val="single" w:sz="4" w:space="0" w:color="auto"/>
              <w:right w:val="single" w:sz="4" w:space="0" w:color="auto"/>
            </w:tcBorders>
            <w:shd w:val="clear" w:color="auto" w:fill="auto"/>
            <w:vAlign w:val="center"/>
            <w:hideMark/>
          </w:tcPr>
          <w:p w14:paraId="68CBECC3" w14:textId="77777777" w:rsidR="0060430B" w:rsidRPr="008D26B2" w:rsidRDefault="0060430B" w:rsidP="002552F1">
            <w:pPr>
              <w:jc w:val="center"/>
              <w:rPr>
                <w:color w:val="000000"/>
              </w:rPr>
            </w:pPr>
            <w:r w:rsidRPr="008D26B2">
              <w:rPr>
                <w:color w:val="000000"/>
                <w:szCs w:val="24"/>
              </w:rPr>
              <w:t> </w:t>
            </w:r>
          </w:p>
        </w:tc>
        <w:tc>
          <w:tcPr>
            <w:tcW w:w="990" w:type="dxa"/>
            <w:tcBorders>
              <w:top w:val="nil"/>
              <w:left w:val="nil"/>
              <w:bottom w:val="single" w:sz="4" w:space="0" w:color="auto"/>
              <w:right w:val="single" w:sz="4" w:space="0" w:color="auto"/>
            </w:tcBorders>
            <w:shd w:val="clear" w:color="auto" w:fill="auto"/>
            <w:vAlign w:val="center"/>
            <w:hideMark/>
          </w:tcPr>
          <w:p w14:paraId="7246EFF2" w14:textId="77777777" w:rsidR="0060430B" w:rsidRPr="008D26B2" w:rsidRDefault="0060430B" w:rsidP="002552F1">
            <w:pPr>
              <w:jc w:val="center"/>
              <w:rPr>
                <w:color w:val="000000"/>
              </w:rPr>
            </w:pPr>
            <w:r w:rsidRPr="008D26B2">
              <w:rPr>
                <w:color w:val="000000"/>
                <w:szCs w:val="24"/>
              </w:rPr>
              <w:t> </w:t>
            </w:r>
          </w:p>
        </w:tc>
        <w:tc>
          <w:tcPr>
            <w:tcW w:w="996" w:type="dxa"/>
            <w:tcBorders>
              <w:top w:val="nil"/>
              <w:left w:val="nil"/>
              <w:bottom w:val="single" w:sz="4" w:space="0" w:color="auto"/>
              <w:right w:val="single" w:sz="4" w:space="0" w:color="auto"/>
            </w:tcBorders>
            <w:shd w:val="clear" w:color="auto" w:fill="auto"/>
            <w:vAlign w:val="center"/>
            <w:hideMark/>
          </w:tcPr>
          <w:p w14:paraId="26700177" w14:textId="77777777" w:rsidR="0060430B" w:rsidRPr="008D26B2" w:rsidRDefault="0060430B" w:rsidP="002552F1">
            <w:pPr>
              <w:jc w:val="center"/>
              <w:rPr>
                <w:color w:val="000000"/>
              </w:rPr>
            </w:pPr>
            <w:r w:rsidRPr="008D26B2">
              <w:rPr>
                <w:color w:val="000000"/>
              </w:rPr>
              <w:t> </w:t>
            </w:r>
          </w:p>
        </w:tc>
        <w:tc>
          <w:tcPr>
            <w:tcW w:w="635" w:type="dxa"/>
            <w:tcBorders>
              <w:top w:val="nil"/>
              <w:left w:val="nil"/>
              <w:bottom w:val="single" w:sz="4" w:space="0" w:color="auto"/>
              <w:right w:val="nil"/>
            </w:tcBorders>
            <w:shd w:val="clear" w:color="auto" w:fill="auto"/>
            <w:vAlign w:val="center"/>
            <w:hideMark/>
          </w:tcPr>
          <w:p w14:paraId="31F4F119" w14:textId="77777777" w:rsidR="0060430B" w:rsidRPr="008D26B2" w:rsidRDefault="0060430B" w:rsidP="002552F1">
            <w:pPr>
              <w:jc w:val="center"/>
              <w:rPr>
                <w:color w:val="000000"/>
              </w:rPr>
            </w:pPr>
            <w:r w:rsidRPr="008D26B2">
              <w:rPr>
                <w:color w:val="000000"/>
              </w:rPr>
              <w:t> </w:t>
            </w:r>
          </w:p>
        </w:tc>
      </w:tr>
      <w:tr w:rsidR="0060430B" w:rsidRPr="008D26B2" w14:paraId="391E5E65" w14:textId="77777777" w:rsidTr="002552F1">
        <w:trPr>
          <w:trHeight w:val="259"/>
          <w:jc w:val="center"/>
        </w:trPr>
        <w:tc>
          <w:tcPr>
            <w:tcW w:w="996" w:type="dxa"/>
            <w:tcBorders>
              <w:top w:val="nil"/>
              <w:left w:val="nil"/>
              <w:bottom w:val="single" w:sz="4" w:space="0" w:color="auto"/>
              <w:right w:val="single" w:sz="4" w:space="0" w:color="auto"/>
            </w:tcBorders>
            <w:shd w:val="clear" w:color="auto" w:fill="auto"/>
            <w:vAlign w:val="center"/>
            <w:hideMark/>
          </w:tcPr>
          <w:p w14:paraId="418D685E" w14:textId="77777777" w:rsidR="0060430B" w:rsidRPr="008D26B2" w:rsidRDefault="0060430B" w:rsidP="002552F1">
            <w:pPr>
              <w:jc w:val="both"/>
              <w:rPr>
                <w:b/>
                <w:bCs/>
                <w:color w:val="000000"/>
              </w:rPr>
            </w:pPr>
            <w:r w:rsidRPr="008D26B2">
              <w:rPr>
                <w:b/>
                <w:bCs/>
                <w:color w:val="000000"/>
                <w:szCs w:val="24"/>
              </w:rPr>
              <w:t>RPP</w:t>
            </w:r>
          </w:p>
        </w:tc>
        <w:tc>
          <w:tcPr>
            <w:tcW w:w="990" w:type="dxa"/>
            <w:tcBorders>
              <w:top w:val="nil"/>
              <w:left w:val="nil"/>
              <w:bottom w:val="single" w:sz="4" w:space="0" w:color="auto"/>
              <w:right w:val="single" w:sz="4" w:space="0" w:color="auto"/>
            </w:tcBorders>
            <w:shd w:val="clear" w:color="auto" w:fill="auto"/>
            <w:vAlign w:val="center"/>
            <w:hideMark/>
          </w:tcPr>
          <w:p w14:paraId="68E9BEF4" w14:textId="77777777" w:rsidR="0060430B" w:rsidRPr="008D26B2" w:rsidRDefault="0060430B" w:rsidP="002552F1">
            <w:pPr>
              <w:jc w:val="center"/>
              <w:rPr>
                <w:color w:val="000000"/>
              </w:rPr>
            </w:pPr>
            <w:r w:rsidRPr="008D26B2">
              <w:rPr>
                <w:color w:val="000000"/>
                <w:szCs w:val="24"/>
              </w:rPr>
              <w:t>0.8109**</w:t>
            </w:r>
          </w:p>
        </w:tc>
        <w:tc>
          <w:tcPr>
            <w:tcW w:w="990" w:type="dxa"/>
            <w:tcBorders>
              <w:top w:val="nil"/>
              <w:left w:val="nil"/>
              <w:bottom w:val="single" w:sz="4" w:space="0" w:color="auto"/>
              <w:right w:val="single" w:sz="4" w:space="0" w:color="auto"/>
            </w:tcBorders>
            <w:shd w:val="clear" w:color="auto" w:fill="auto"/>
            <w:vAlign w:val="center"/>
            <w:hideMark/>
          </w:tcPr>
          <w:p w14:paraId="6A4F8A8D" w14:textId="77777777" w:rsidR="0060430B" w:rsidRPr="008D26B2" w:rsidRDefault="0060430B" w:rsidP="002552F1">
            <w:pPr>
              <w:jc w:val="center"/>
              <w:rPr>
                <w:color w:val="000000"/>
              </w:rPr>
            </w:pPr>
            <w:r w:rsidRPr="008D26B2">
              <w:rPr>
                <w:color w:val="000000"/>
                <w:szCs w:val="24"/>
              </w:rPr>
              <w:t>1</w:t>
            </w:r>
          </w:p>
        </w:tc>
        <w:tc>
          <w:tcPr>
            <w:tcW w:w="893" w:type="dxa"/>
            <w:tcBorders>
              <w:top w:val="nil"/>
              <w:left w:val="nil"/>
              <w:bottom w:val="single" w:sz="4" w:space="0" w:color="auto"/>
              <w:right w:val="single" w:sz="4" w:space="0" w:color="auto"/>
            </w:tcBorders>
            <w:shd w:val="clear" w:color="auto" w:fill="auto"/>
            <w:vAlign w:val="center"/>
            <w:hideMark/>
          </w:tcPr>
          <w:p w14:paraId="0883435B" w14:textId="77777777" w:rsidR="0060430B" w:rsidRPr="008D26B2" w:rsidRDefault="0060430B" w:rsidP="002552F1">
            <w:pPr>
              <w:jc w:val="center"/>
              <w:rPr>
                <w:color w:val="000000"/>
              </w:rPr>
            </w:pPr>
            <w:r w:rsidRPr="008D26B2">
              <w:rPr>
                <w:color w:val="000000"/>
                <w:szCs w:val="24"/>
              </w:rPr>
              <w:t> </w:t>
            </w:r>
          </w:p>
        </w:tc>
        <w:tc>
          <w:tcPr>
            <w:tcW w:w="990" w:type="dxa"/>
            <w:tcBorders>
              <w:top w:val="nil"/>
              <w:left w:val="nil"/>
              <w:bottom w:val="single" w:sz="4" w:space="0" w:color="auto"/>
              <w:right w:val="single" w:sz="4" w:space="0" w:color="auto"/>
            </w:tcBorders>
            <w:shd w:val="clear" w:color="auto" w:fill="auto"/>
            <w:vAlign w:val="center"/>
            <w:hideMark/>
          </w:tcPr>
          <w:p w14:paraId="2EBB9E66" w14:textId="77777777" w:rsidR="0060430B" w:rsidRPr="008D26B2" w:rsidRDefault="0060430B" w:rsidP="002552F1">
            <w:pPr>
              <w:jc w:val="center"/>
              <w:rPr>
                <w:color w:val="000000"/>
              </w:rPr>
            </w:pPr>
            <w:r w:rsidRPr="008D26B2">
              <w:rPr>
                <w:color w:val="000000"/>
                <w:szCs w:val="24"/>
              </w:rPr>
              <w:t> </w:t>
            </w:r>
          </w:p>
        </w:tc>
        <w:tc>
          <w:tcPr>
            <w:tcW w:w="996" w:type="dxa"/>
            <w:tcBorders>
              <w:top w:val="nil"/>
              <w:left w:val="nil"/>
              <w:bottom w:val="single" w:sz="4" w:space="0" w:color="auto"/>
              <w:right w:val="single" w:sz="4" w:space="0" w:color="auto"/>
            </w:tcBorders>
            <w:shd w:val="clear" w:color="auto" w:fill="auto"/>
            <w:vAlign w:val="center"/>
            <w:hideMark/>
          </w:tcPr>
          <w:p w14:paraId="6EB88C90" w14:textId="77777777" w:rsidR="0060430B" w:rsidRPr="008D26B2" w:rsidRDefault="0060430B" w:rsidP="002552F1">
            <w:pPr>
              <w:jc w:val="center"/>
              <w:rPr>
                <w:color w:val="000000"/>
              </w:rPr>
            </w:pPr>
            <w:r w:rsidRPr="008D26B2">
              <w:rPr>
                <w:color w:val="000000"/>
              </w:rPr>
              <w:t> </w:t>
            </w:r>
          </w:p>
        </w:tc>
        <w:tc>
          <w:tcPr>
            <w:tcW w:w="635" w:type="dxa"/>
            <w:tcBorders>
              <w:top w:val="nil"/>
              <w:left w:val="nil"/>
              <w:bottom w:val="single" w:sz="4" w:space="0" w:color="auto"/>
              <w:right w:val="nil"/>
            </w:tcBorders>
            <w:shd w:val="clear" w:color="auto" w:fill="auto"/>
            <w:vAlign w:val="center"/>
            <w:hideMark/>
          </w:tcPr>
          <w:p w14:paraId="38F56487" w14:textId="77777777" w:rsidR="0060430B" w:rsidRPr="008D26B2" w:rsidRDefault="0060430B" w:rsidP="002552F1">
            <w:pPr>
              <w:jc w:val="center"/>
              <w:rPr>
                <w:color w:val="000000"/>
              </w:rPr>
            </w:pPr>
            <w:r w:rsidRPr="008D26B2">
              <w:rPr>
                <w:color w:val="000000"/>
              </w:rPr>
              <w:t> </w:t>
            </w:r>
          </w:p>
        </w:tc>
      </w:tr>
      <w:tr w:rsidR="0060430B" w:rsidRPr="008D26B2" w14:paraId="07BA0F11" w14:textId="77777777" w:rsidTr="002552F1">
        <w:trPr>
          <w:trHeight w:val="259"/>
          <w:jc w:val="center"/>
        </w:trPr>
        <w:tc>
          <w:tcPr>
            <w:tcW w:w="996" w:type="dxa"/>
            <w:tcBorders>
              <w:top w:val="nil"/>
              <w:left w:val="nil"/>
              <w:bottom w:val="single" w:sz="4" w:space="0" w:color="auto"/>
              <w:right w:val="single" w:sz="4" w:space="0" w:color="auto"/>
            </w:tcBorders>
            <w:shd w:val="clear" w:color="auto" w:fill="auto"/>
            <w:vAlign w:val="center"/>
            <w:hideMark/>
          </w:tcPr>
          <w:p w14:paraId="5D1809E1" w14:textId="77777777" w:rsidR="0060430B" w:rsidRPr="008D26B2" w:rsidRDefault="0060430B" w:rsidP="002552F1">
            <w:pPr>
              <w:jc w:val="both"/>
              <w:rPr>
                <w:b/>
                <w:bCs/>
                <w:color w:val="000000"/>
              </w:rPr>
            </w:pPr>
            <w:r>
              <w:rPr>
                <w:b/>
                <w:bCs/>
                <w:color w:val="000000"/>
                <w:szCs w:val="24"/>
              </w:rPr>
              <w:t>TOT RP</w:t>
            </w:r>
          </w:p>
        </w:tc>
        <w:tc>
          <w:tcPr>
            <w:tcW w:w="990" w:type="dxa"/>
            <w:tcBorders>
              <w:top w:val="nil"/>
              <w:left w:val="nil"/>
              <w:bottom w:val="single" w:sz="4" w:space="0" w:color="auto"/>
              <w:right w:val="single" w:sz="4" w:space="0" w:color="auto"/>
            </w:tcBorders>
            <w:shd w:val="clear" w:color="auto" w:fill="auto"/>
            <w:vAlign w:val="center"/>
            <w:hideMark/>
          </w:tcPr>
          <w:p w14:paraId="7E3FD79F" w14:textId="77777777" w:rsidR="0060430B" w:rsidRPr="008D26B2" w:rsidRDefault="0060430B" w:rsidP="002552F1">
            <w:pPr>
              <w:jc w:val="center"/>
              <w:rPr>
                <w:color w:val="000000"/>
              </w:rPr>
            </w:pPr>
            <w:r w:rsidRPr="008D26B2">
              <w:rPr>
                <w:color w:val="000000"/>
                <w:szCs w:val="24"/>
              </w:rPr>
              <w:t>0.9462***</w:t>
            </w:r>
          </w:p>
        </w:tc>
        <w:tc>
          <w:tcPr>
            <w:tcW w:w="990" w:type="dxa"/>
            <w:tcBorders>
              <w:top w:val="nil"/>
              <w:left w:val="nil"/>
              <w:bottom w:val="single" w:sz="4" w:space="0" w:color="auto"/>
              <w:right w:val="single" w:sz="4" w:space="0" w:color="auto"/>
            </w:tcBorders>
            <w:shd w:val="clear" w:color="auto" w:fill="auto"/>
            <w:vAlign w:val="center"/>
            <w:hideMark/>
          </w:tcPr>
          <w:p w14:paraId="723FFBA0" w14:textId="77777777" w:rsidR="0060430B" w:rsidRPr="008D26B2" w:rsidRDefault="0060430B" w:rsidP="002552F1">
            <w:pPr>
              <w:jc w:val="center"/>
              <w:rPr>
                <w:color w:val="000000"/>
              </w:rPr>
            </w:pPr>
            <w:r w:rsidRPr="008D26B2">
              <w:rPr>
                <w:color w:val="000000"/>
                <w:szCs w:val="24"/>
              </w:rPr>
              <w:t>0.9566***</w:t>
            </w:r>
          </w:p>
        </w:tc>
        <w:tc>
          <w:tcPr>
            <w:tcW w:w="893" w:type="dxa"/>
            <w:tcBorders>
              <w:top w:val="nil"/>
              <w:left w:val="nil"/>
              <w:bottom w:val="single" w:sz="4" w:space="0" w:color="auto"/>
              <w:right w:val="single" w:sz="4" w:space="0" w:color="auto"/>
            </w:tcBorders>
            <w:shd w:val="clear" w:color="auto" w:fill="auto"/>
            <w:vAlign w:val="center"/>
            <w:hideMark/>
          </w:tcPr>
          <w:p w14:paraId="1BA5158C" w14:textId="77777777" w:rsidR="0060430B" w:rsidRPr="008D26B2" w:rsidRDefault="0060430B" w:rsidP="002552F1">
            <w:pPr>
              <w:jc w:val="center"/>
              <w:rPr>
                <w:color w:val="000000"/>
              </w:rPr>
            </w:pPr>
            <w:r w:rsidRPr="008D26B2">
              <w:rPr>
                <w:color w:val="000000"/>
                <w:szCs w:val="24"/>
              </w:rPr>
              <w:t>1</w:t>
            </w:r>
          </w:p>
        </w:tc>
        <w:tc>
          <w:tcPr>
            <w:tcW w:w="990" w:type="dxa"/>
            <w:tcBorders>
              <w:top w:val="nil"/>
              <w:left w:val="nil"/>
              <w:bottom w:val="single" w:sz="4" w:space="0" w:color="auto"/>
              <w:right w:val="single" w:sz="4" w:space="0" w:color="auto"/>
            </w:tcBorders>
            <w:shd w:val="clear" w:color="auto" w:fill="auto"/>
            <w:vAlign w:val="center"/>
            <w:hideMark/>
          </w:tcPr>
          <w:p w14:paraId="27386F68" w14:textId="77777777" w:rsidR="0060430B" w:rsidRPr="008D26B2" w:rsidRDefault="0060430B" w:rsidP="002552F1">
            <w:pPr>
              <w:jc w:val="center"/>
              <w:rPr>
                <w:color w:val="000000"/>
              </w:rPr>
            </w:pPr>
            <w:r w:rsidRPr="008D26B2">
              <w:rPr>
                <w:color w:val="000000"/>
                <w:szCs w:val="24"/>
              </w:rPr>
              <w:t> </w:t>
            </w:r>
          </w:p>
        </w:tc>
        <w:tc>
          <w:tcPr>
            <w:tcW w:w="996" w:type="dxa"/>
            <w:tcBorders>
              <w:top w:val="nil"/>
              <w:left w:val="nil"/>
              <w:bottom w:val="single" w:sz="4" w:space="0" w:color="auto"/>
              <w:right w:val="single" w:sz="4" w:space="0" w:color="auto"/>
            </w:tcBorders>
            <w:shd w:val="clear" w:color="auto" w:fill="auto"/>
            <w:vAlign w:val="center"/>
            <w:hideMark/>
          </w:tcPr>
          <w:p w14:paraId="3B16B090" w14:textId="77777777" w:rsidR="0060430B" w:rsidRPr="008D26B2" w:rsidRDefault="0060430B" w:rsidP="002552F1">
            <w:pPr>
              <w:jc w:val="center"/>
              <w:rPr>
                <w:color w:val="000000"/>
              </w:rPr>
            </w:pPr>
            <w:r w:rsidRPr="008D26B2">
              <w:rPr>
                <w:color w:val="000000"/>
              </w:rPr>
              <w:t> </w:t>
            </w:r>
          </w:p>
        </w:tc>
        <w:tc>
          <w:tcPr>
            <w:tcW w:w="635" w:type="dxa"/>
            <w:tcBorders>
              <w:top w:val="nil"/>
              <w:left w:val="nil"/>
              <w:bottom w:val="single" w:sz="4" w:space="0" w:color="auto"/>
              <w:right w:val="nil"/>
            </w:tcBorders>
            <w:shd w:val="clear" w:color="auto" w:fill="auto"/>
            <w:vAlign w:val="center"/>
            <w:hideMark/>
          </w:tcPr>
          <w:p w14:paraId="70805E99" w14:textId="77777777" w:rsidR="0060430B" w:rsidRPr="008D26B2" w:rsidRDefault="0060430B" w:rsidP="002552F1">
            <w:pPr>
              <w:jc w:val="center"/>
              <w:rPr>
                <w:color w:val="000000"/>
              </w:rPr>
            </w:pPr>
            <w:r w:rsidRPr="008D26B2">
              <w:rPr>
                <w:color w:val="000000"/>
              </w:rPr>
              <w:t> </w:t>
            </w:r>
          </w:p>
        </w:tc>
      </w:tr>
      <w:tr w:rsidR="0060430B" w:rsidRPr="008D26B2" w14:paraId="03C74093" w14:textId="77777777" w:rsidTr="002552F1">
        <w:trPr>
          <w:trHeight w:val="259"/>
          <w:jc w:val="center"/>
        </w:trPr>
        <w:tc>
          <w:tcPr>
            <w:tcW w:w="996" w:type="dxa"/>
            <w:tcBorders>
              <w:top w:val="nil"/>
              <w:left w:val="nil"/>
              <w:bottom w:val="single" w:sz="4" w:space="0" w:color="auto"/>
              <w:right w:val="single" w:sz="4" w:space="0" w:color="auto"/>
            </w:tcBorders>
            <w:shd w:val="clear" w:color="auto" w:fill="auto"/>
            <w:vAlign w:val="center"/>
            <w:hideMark/>
          </w:tcPr>
          <w:p w14:paraId="07E0BFD8" w14:textId="77777777" w:rsidR="0060430B" w:rsidRPr="008D26B2" w:rsidRDefault="0060430B" w:rsidP="002552F1">
            <w:pPr>
              <w:jc w:val="both"/>
              <w:rPr>
                <w:b/>
                <w:bCs/>
                <w:color w:val="000000"/>
              </w:rPr>
            </w:pPr>
            <w:r w:rsidRPr="008D26B2">
              <w:rPr>
                <w:b/>
                <w:bCs/>
                <w:color w:val="000000"/>
                <w:szCs w:val="24"/>
              </w:rPr>
              <w:t>DISPCX</w:t>
            </w:r>
          </w:p>
        </w:tc>
        <w:tc>
          <w:tcPr>
            <w:tcW w:w="990" w:type="dxa"/>
            <w:tcBorders>
              <w:top w:val="nil"/>
              <w:left w:val="nil"/>
              <w:bottom w:val="single" w:sz="4" w:space="0" w:color="auto"/>
              <w:right w:val="single" w:sz="4" w:space="0" w:color="auto"/>
            </w:tcBorders>
            <w:shd w:val="clear" w:color="auto" w:fill="auto"/>
            <w:vAlign w:val="center"/>
            <w:hideMark/>
          </w:tcPr>
          <w:p w14:paraId="542C6B94" w14:textId="77777777" w:rsidR="0060430B" w:rsidRPr="008D26B2" w:rsidRDefault="0060430B" w:rsidP="002552F1">
            <w:pPr>
              <w:jc w:val="center"/>
              <w:rPr>
                <w:color w:val="000000"/>
              </w:rPr>
            </w:pPr>
            <w:r w:rsidRPr="008D26B2">
              <w:rPr>
                <w:color w:val="000000"/>
                <w:szCs w:val="24"/>
              </w:rPr>
              <w:t>0.7745**</w:t>
            </w:r>
          </w:p>
        </w:tc>
        <w:tc>
          <w:tcPr>
            <w:tcW w:w="990" w:type="dxa"/>
            <w:tcBorders>
              <w:top w:val="nil"/>
              <w:left w:val="nil"/>
              <w:bottom w:val="single" w:sz="4" w:space="0" w:color="auto"/>
              <w:right w:val="single" w:sz="4" w:space="0" w:color="auto"/>
            </w:tcBorders>
            <w:shd w:val="clear" w:color="auto" w:fill="auto"/>
            <w:vAlign w:val="center"/>
            <w:hideMark/>
          </w:tcPr>
          <w:p w14:paraId="4727E9C0" w14:textId="77777777" w:rsidR="0060430B" w:rsidRPr="008D26B2" w:rsidRDefault="0060430B" w:rsidP="002552F1">
            <w:pPr>
              <w:jc w:val="center"/>
              <w:rPr>
                <w:color w:val="000000"/>
              </w:rPr>
            </w:pPr>
            <w:r w:rsidRPr="008D26B2">
              <w:rPr>
                <w:color w:val="000000"/>
                <w:szCs w:val="24"/>
              </w:rPr>
              <w:t>0.7497*</w:t>
            </w:r>
          </w:p>
        </w:tc>
        <w:tc>
          <w:tcPr>
            <w:tcW w:w="893" w:type="dxa"/>
            <w:tcBorders>
              <w:top w:val="nil"/>
              <w:left w:val="nil"/>
              <w:bottom w:val="single" w:sz="4" w:space="0" w:color="auto"/>
              <w:right w:val="single" w:sz="4" w:space="0" w:color="auto"/>
            </w:tcBorders>
            <w:shd w:val="clear" w:color="auto" w:fill="auto"/>
            <w:vAlign w:val="center"/>
            <w:hideMark/>
          </w:tcPr>
          <w:p w14:paraId="613F548C" w14:textId="77777777" w:rsidR="0060430B" w:rsidRPr="008D26B2" w:rsidRDefault="0060430B" w:rsidP="002552F1">
            <w:pPr>
              <w:jc w:val="center"/>
              <w:rPr>
                <w:color w:val="000000"/>
              </w:rPr>
            </w:pPr>
            <w:r w:rsidRPr="008D26B2">
              <w:rPr>
                <w:color w:val="000000"/>
                <w:szCs w:val="24"/>
              </w:rPr>
              <w:t>0.8001**</w:t>
            </w:r>
          </w:p>
        </w:tc>
        <w:tc>
          <w:tcPr>
            <w:tcW w:w="990" w:type="dxa"/>
            <w:tcBorders>
              <w:top w:val="nil"/>
              <w:left w:val="nil"/>
              <w:bottom w:val="single" w:sz="4" w:space="0" w:color="auto"/>
              <w:right w:val="single" w:sz="4" w:space="0" w:color="auto"/>
            </w:tcBorders>
            <w:shd w:val="clear" w:color="auto" w:fill="auto"/>
            <w:vAlign w:val="center"/>
            <w:hideMark/>
          </w:tcPr>
          <w:p w14:paraId="559B6AFB" w14:textId="77777777" w:rsidR="0060430B" w:rsidRPr="008D26B2" w:rsidRDefault="0060430B" w:rsidP="002552F1">
            <w:pPr>
              <w:jc w:val="center"/>
              <w:rPr>
                <w:color w:val="000000"/>
              </w:rPr>
            </w:pPr>
            <w:r w:rsidRPr="008D26B2">
              <w:rPr>
                <w:color w:val="000000"/>
                <w:szCs w:val="24"/>
              </w:rPr>
              <w:t>1</w:t>
            </w:r>
          </w:p>
        </w:tc>
        <w:tc>
          <w:tcPr>
            <w:tcW w:w="996" w:type="dxa"/>
            <w:tcBorders>
              <w:top w:val="nil"/>
              <w:left w:val="nil"/>
              <w:bottom w:val="single" w:sz="4" w:space="0" w:color="auto"/>
              <w:right w:val="single" w:sz="4" w:space="0" w:color="auto"/>
            </w:tcBorders>
            <w:shd w:val="clear" w:color="auto" w:fill="auto"/>
            <w:vAlign w:val="center"/>
            <w:hideMark/>
          </w:tcPr>
          <w:p w14:paraId="4663FD25" w14:textId="77777777" w:rsidR="0060430B" w:rsidRPr="008D26B2" w:rsidRDefault="0060430B" w:rsidP="002552F1">
            <w:pPr>
              <w:jc w:val="center"/>
              <w:rPr>
                <w:color w:val="000000"/>
              </w:rPr>
            </w:pPr>
            <w:r w:rsidRPr="008D26B2">
              <w:rPr>
                <w:color w:val="000000"/>
              </w:rPr>
              <w:t> </w:t>
            </w:r>
          </w:p>
        </w:tc>
        <w:tc>
          <w:tcPr>
            <w:tcW w:w="635" w:type="dxa"/>
            <w:tcBorders>
              <w:top w:val="nil"/>
              <w:left w:val="nil"/>
              <w:bottom w:val="single" w:sz="4" w:space="0" w:color="auto"/>
              <w:right w:val="nil"/>
            </w:tcBorders>
            <w:shd w:val="clear" w:color="auto" w:fill="auto"/>
            <w:vAlign w:val="center"/>
            <w:hideMark/>
          </w:tcPr>
          <w:p w14:paraId="04F345BE" w14:textId="77777777" w:rsidR="0060430B" w:rsidRPr="008D26B2" w:rsidRDefault="0060430B" w:rsidP="002552F1">
            <w:pPr>
              <w:jc w:val="center"/>
              <w:rPr>
                <w:color w:val="000000"/>
              </w:rPr>
            </w:pPr>
            <w:r w:rsidRPr="008D26B2">
              <w:rPr>
                <w:color w:val="000000"/>
              </w:rPr>
              <w:t> </w:t>
            </w:r>
          </w:p>
        </w:tc>
      </w:tr>
      <w:tr w:rsidR="0060430B" w:rsidRPr="008D26B2" w14:paraId="393E1701" w14:textId="77777777" w:rsidTr="002552F1">
        <w:trPr>
          <w:trHeight w:val="259"/>
          <w:jc w:val="center"/>
        </w:trPr>
        <w:tc>
          <w:tcPr>
            <w:tcW w:w="996" w:type="dxa"/>
            <w:tcBorders>
              <w:top w:val="nil"/>
              <w:left w:val="nil"/>
              <w:bottom w:val="single" w:sz="4" w:space="0" w:color="auto"/>
              <w:right w:val="single" w:sz="4" w:space="0" w:color="auto"/>
            </w:tcBorders>
            <w:shd w:val="clear" w:color="auto" w:fill="auto"/>
            <w:vAlign w:val="center"/>
            <w:hideMark/>
          </w:tcPr>
          <w:p w14:paraId="0E0503DF" w14:textId="77777777" w:rsidR="0060430B" w:rsidRPr="008D26B2" w:rsidRDefault="0060430B" w:rsidP="002552F1">
            <w:pPr>
              <w:jc w:val="both"/>
              <w:rPr>
                <w:b/>
                <w:bCs/>
                <w:color w:val="000000"/>
              </w:rPr>
            </w:pPr>
            <w:r w:rsidRPr="008D26B2">
              <w:rPr>
                <w:b/>
                <w:bCs/>
                <w:color w:val="000000"/>
              </w:rPr>
              <w:t>DOTAUT</w:t>
            </w:r>
          </w:p>
        </w:tc>
        <w:tc>
          <w:tcPr>
            <w:tcW w:w="990" w:type="dxa"/>
            <w:tcBorders>
              <w:top w:val="nil"/>
              <w:left w:val="nil"/>
              <w:bottom w:val="single" w:sz="4" w:space="0" w:color="auto"/>
              <w:right w:val="single" w:sz="4" w:space="0" w:color="auto"/>
            </w:tcBorders>
            <w:shd w:val="clear" w:color="auto" w:fill="auto"/>
            <w:vAlign w:val="center"/>
            <w:hideMark/>
          </w:tcPr>
          <w:p w14:paraId="71724BE3" w14:textId="77777777" w:rsidR="0060430B" w:rsidRPr="008D26B2" w:rsidRDefault="0060430B" w:rsidP="002552F1">
            <w:pPr>
              <w:jc w:val="center"/>
              <w:rPr>
                <w:color w:val="000000"/>
              </w:rPr>
            </w:pPr>
            <w:r w:rsidRPr="008D26B2">
              <w:rPr>
                <w:color w:val="000000"/>
              </w:rPr>
              <w:t>0.6927*</w:t>
            </w:r>
          </w:p>
        </w:tc>
        <w:tc>
          <w:tcPr>
            <w:tcW w:w="990" w:type="dxa"/>
            <w:tcBorders>
              <w:top w:val="nil"/>
              <w:left w:val="nil"/>
              <w:bottom w:val="single" w:sz="4" w:space="0" w:color="auto"/>
              <w:right w:val="single" w:sz="4" w:space="0" w:color="auto"/>
            </w:tcBorders>
            <w:shd w:val="clear" w:color="auto" w:fill="auto"/>
            <w:vAlign w:val="center"/>
            <w:hideMark/>
          </w:tcPr>
          <w:p w14:paraId="48D6476A" w14:textId="77777777" w:rsidR="0060430B" w:rsidRPr="008D26B2" w:rsidRDefault="0060430B" w:rsidP="002552F1">
            <w:pPr>
              <w:jc w:val="center"/>
              <w:rPr>
                <w:color w:val="000000"/>
              </w:rPr>
            </w:pPr>
            <w:r w:rsidRPr="008D26B2">
              <w:rPr>
                <w:color w:val="000000"/>
              </w:rPr>
              <w:t>0.7662**</w:t>
            </w:r>
          </w:p>
        </w:tc>
        <w:tc>
          <w:tcPr>
            <w:tcW w:w="893" w:type="dxa"/>
            <w:tcBorders>
              <w:top w:val="nil"/>
              <w:left w:val="nil"/>
              <w:bottom w:val="single" w:sz="4" w:space="0" w:color="auto"/>
              <w:right w:val="single" w:sz="4" w:space="0" w:color="auto"/>
            </w:tcBorders>
            <w:shd w:val="clear" w:color="auto" w:fill="auto"/>
            <w:vAlign w:val="center"/>
            <w:hideMark/>
          </w:tcPr>
          <w:p w14:paraId="5F7E8266" w14:textId="77777777" w:rsidR="0060430B" w:rsidRPr="008D26B2" w:rsidRDefault="0060430B" w:rsidP="002552F1">
            <w:pPr>
              <w:jc w:val="center"/>
              <w:rPr>
                <w:color w:val="000000"/>
              </w:rPr>
            </w:pPr>
            <w:r w:rsidRPr="008D26B2">
              <w:rPr>
                <w:color w:val="000000"/>
              </w:rPr>
              <w:t>0.7686**</w:t>
            </w:r>
          </w:p>
        </w:tc>
        <w:tc>
          <w:tcPr>
            <w:tcW w:w="990" w:type="dxa"/>
            <w:tcBorders>
              <w:top w:val="nil"/>
              <w:left w:val="nil"/>
              <w:bottom w:val="single" w:sz="4" w:space="0" w:color="auto"/>
              <w:right w:val="single" w:sz="4" w:space="0" w:color="auto"/>
            </w:tcBorders>
            <w:shd w:val="clear" w:color="auto" w:fill="auto"/>
            <w:vAlign w:val="center"/>
            <w:hideMark/>
          </w:tcPr>
          <w:p w14:paraId="135D7B8B" w14:textId="77777777" w:rsidR="0060430B" w:rsidRPr="008D26B2" w:rsidRDefault="0060430B" w:rsidP="002552F1">
            <w:pPr>
              <w:jc w:val="center"/>
              <w:rPr>
                <w:color w:val="000000"/>
              </w:rPr>
            </w:pPr>
            <w:r w:rsidRPr="008D26B2">
              <w:rPr>
                <w:color w:val="000000"/>
              </w:rPr>
              <w:t>0.9611***</w:t>
            </w:r>
          </w:p>
        </w:tc>
        <w:tc>
          <w:tcPr>
            <w:tcW w:w="996" w:type="dxa"/>
            <w:tcBorders>
              <w:top w:val="nil"/>
              <w:left w:val="nil"/>
              <w:bottom w:val="single" w:sz="4" w:space="0" w:color="auto"/>
              <w:right w:val="single" w:sz="4" w:space="0" w:color="auto"/>
            </w:tcBorders>
            <w:shd w:val="clear" w:color="auto" w:fill="auto"/>
            <w:vAlign w:val="center"/>
            <w:hideMark/>
          </w:tcPr>
          <w:p w14:paraId="045939F9" w14:textId="77777777" w:rsidR="0060430B" w:rsidRPr="008D26B2" w:rsidRDefault="0060430B" w:rsidP="002552F1">
            <w:pPr>
              <w:jc w:val="center"/>
              <w:rPr>
                <w:color w:val="000000"/>
              </w:rPr>
            </w:pPr>
            <w:r w:rsidRPr="008D26B2">
              <w:rPr>
                <w:color w:val="000000"/>
              </w:rPr>
              <w:t>1</w:t>
            </w:r>
          </w:p>
        </w:tc>
        <w:tc>
          <w:tcPr>
            <w:tcW w:w="635" w:type="dxa"/>
            <w:tcBorders>
              <w:top w:val="nil"/>
              <w:left w:val="nil"/>
              <w:bottom w:val="single" w:sz="4" w:space="0" w:color="auto"/>
              <w:right w:val="nil"/>
            </w:tcBorders>
            <w:shd w:val="clear" w:color="auto" w:fill="auto"/>
            <w:vAlign w:val="center"/>
            <w:hideMark/>
          </w:tcPr>
          <w:p w14:paraId="6E11BAF4" w14:textId="77777777" w:rsidR="0060430B" w:rsidRPr="008D26B2" w:rsidRDefault="0060430B" w:rsidP="002552F1">
            <w:pPr>
              <w:jc w:val="center"/>
              <w:rPr>
                <w:color w:val="000000"/>
              </w:rPr>
            </w:pPr>
            <w:r w:rsidRPr="008D26B2">
              <w:rPr>
                <w:color w:val="000000"/>
              </w:rPr>
              <w:t> </w:t>
            </w:r>
          </w:p>
        </w:tc>
      </w:tr>
      <w:tr w:rsidR="0060430B" w:rsidRPr="008D26B2" w14:paraId="6256C722" w14:textId="77777777" w:rsidTr="002552F1">
        <w:trPr>
          <w:trHeight w:val="259"/>
          <w:jc w:val="center"/>
        </w:trPr>
        <w:tc>
          <w:tcPr>
            <w:tcW w:w="996" w:type="dxa"/>
            <w:tcBorders>
              <w:top w:val="nil"/>
              <w:left w:val="nil"/>
              <w:bottom w:val="single" w:sz="4" w:space="0" w:color="auto"/>
              <w:right w:val="single" w:sz="4" w:space="0" w:color="auto"/>
            </w:tcBorders>
            <w:shd w:val="clear" w:color="auto" w:fill="auto"/>
            <w:vAlign w:val="center"/>
            <w:hideMark/>
          </w:tcPr>
          <w:p w14:paraId="1E055EA7" w14:textId="77777777" w:rsidR="0060430B" w:rsidRPr="008D26B2" w:rsidRDefault="0060430B" w:rsidP="002552F1">
            <w:pPr>
              <w:jc w:val="both"/>
              <w:rPr>
                <w:b/>
                <w:bCs/>
                <w:color w:val="000000"/>
              </w:rPr>
            </w:pPr>
            <w:r w:rsidRPr="008D26B2">
              <w:rPr>
                <w:b/>
                <w:bCs/>
                <w:color w:val="000000"/>
              </w:rPr>
              <w:t>EMP</w:t>
            </w:r>
          </w:p>
        </w:tc>
        <w:tc>
          <w:tcPr>
            <w:tcW w:w="990" w:type="dxa"/>
            <w:tcBorders>
              <w:top w:val="nil"/>
              <w:left w:val="nil"/>
              <w:bottom w:val="single" w:sz="4" w:space="0" w:color="auto"/>
              <w:right w:val="single" w:sz="4" w:space="0" w:color="auto"/>
            </w:tcBorders>
            <w:shd w:val="clear" w:color="auto" w:fill="auto"/>
            <w:vAlign w:val="center"/>
            <w:hideMark/>
          </w:tcPr>
          <w:p w14:paraId="4F0CE59D" w14:textId="77777777" w:rsidR="0060430B" w:rsidRPr="008D26B2" w:rsidRDefault="0060430B" w:rsidP="002552F1">
            <w:pPr>
              <w:jc w:val="center"/>
              <w:rPr>
                <w:color w:val="000000"/>
              </w:rPr>
            </w:pPr>
            <w:r w:rsidRPr="008D26B2">
              <w:rPr>
                <w:color w:val="000000"/>
              </w:rPr>
              <w:t>0.7162*</w:t>
            </w:r>
          </w:p>
        </w:tc>
        <w:tc>
          <w:tcPr>
            <w:tcW w:w="990" w:type="dxa"/>
            <w:tcBorders>
              <w:top w:val="nil"/>
              <w:left w:val="nil"/>
              <w:bottom w:val="single" w:sz="4" w:space="0" w:color="auto"/>
              <w:right w:val="single" w:sz="4" w:space="0" w:color="auto"/>
            </w:tcBorders>
            <w:shd w:val="clear" w:color="auto" w:fill="auto"/>
            <w:vAlign w:val="center"/>
            <w:hideMark/>
          </w:tcPr>
          <w:p w14:paraId="3CD193AC" w14:textId="77777777" w:rsidR="0060430B" w:rsidRPr="008D26B2" w:rsidRDefault="0060430B" w:rsidP="002552F1">
            <w:pPr>
              <w:jc w:val="center"/>
              <w:rPr>
                <w:color w:val="000000"/>
              </w:rPr>
            </w:pPr>
            <w:r w:rsidRPr="008D26B2">
              <w:rPr>
                <w:color w:val="000000"/>
              </w:rPr>
              <w:t>0.7894**</w:t>
            </w:r>
          </w:p>
        </w:tc>
        <w:tc>
          <w:tcPr>
            <w:tcW w:w="893" w:type="dxa"/>
            <w:tcBorders>
              <w:top w:val="nil"/>
              <w:left w:val="nil"/>
              <w:bottom w:val="single" w:sz="4" w:space="0" w:color="auto"/>
              <w:right w:val="single" w:sz="4" w:space="0" w:color="auto"/>
            </w:tcBorders>
            <w:shd w:val="clear" w:color="auto" w:fill="auto"/>
            <w:vAlign w:val="center"/>
            <w:hideMark/>
          </w:tcPr>
          <w:p w14:paraId="4F1B0CF1" w14:textId="77777777" w:rsidR="0060430B" w:rsidRPr="008D26B2" w:rsidRDefault="0060430B" w:rsidP="002552F1">
            <w:pPr>
              <w:jc w:val="center"/>
              <w:rPr>
                <w:color w:val="000000"/>
              </w:rPr>
            </w:pPr>
            <w:r w:rsidRPr="008D26B2">
              <w:rPr>
                <w:color w:val="000000"/>
              </w:rPr>
              <w:t>0.7930**</w:t>
            </w:r>
          </w:p>
        </w:tc>
        <w:tc>
          <w:tcPr>
            <w:tcW w:w="990" w:type="dxa"/>
            <w:tcBorders>
              <w:top w:val="nil"/>
              <w:left w:val="nil"/>
              <w:bottom w:val="single" w:sz="4" w:space="0" w:color="auto"/>
              <w:right w:val="single" w:sz="4" w:space="0" w:color="auto"/>
            </w:tcBorders>
            <w:shd w:val="clear" w:color="auto" w:fill="auto"/>
            <w:vAlign w:val="center"/>
            <w:hideMark/>
          </w:tcPr>
          <w:p w14:paraId="5BCC6320" w14:textId="77777777" w:rsidR="0060430B" w:rsidRPr="008D26B2" w:rsidRDefault="0060430B" w:rsidP="002552F1">
            <w:pPr>
              <w:jc w:val="center"/>
              <w:rPr>
                <w:color w:val="000000"/>
              </w:rPr>
            </w:pPr>
            <w:r w:rsidRPr="008D26B2">
              <w:rPr>
                <w:color w:val="000000"/>
              </w:rPr>
              <w:t>0.9645***</w:t>
            </w:r>
          </w:p>
        </w:tc>
        <w:tc>
          <w:tcPr>
            <w:tcW w:w="996" w:type="dxa"/>
            <w:tcBorders>
              <w:top w:val="nil"/>
              <w:left w:val="nil"/>
              <w:bottom w:val="single" w:sz="4" w:space="0" w:color="auto"/>
              <w:right w:val="single" w:sz="4" w:space="0" w:color="auto"/>
            </w:tcBorders>
            <w:shd w:val="clear" w:color="auto" w:fill="auto"/>
            <w:vAlign w:val="center"/>
            <w:hideMark/>
          </w:tcPr>
          <w:p w14:paraId="4B0399D7" w14:textId="77777777" w:rsidR="0060430B" w:rsidRPr="008D26B2" w:rsidRDefault="0060430B" w:rsidP="002552F1">
            <w:pPr>
              <w:jc w:val="center"/>
              <w:rPr>
                <w:color w:val="000000"/>
              </w:rPr>
            </w:pPr>
            <w:r w:rsidRPr="008D26B2">
              <w:rPr>
                <w:color w:val="000000"/>
              </w:rPr>
              <w:t>0.9949***</w:t>
            </w:r>
          </w:p>
        </w:tc>
        <w:tc>
          <w:tcPr>
            <w:tcW w:w="635" w:type="dxa"/>
            <w:tcBorders>
              <w:top w:val="nil"/>
              <w:left w:val="nil"/>
              <w:bottom w:val="single" w:sz="4" w:space="0" w:color="auto"/>
              <w:right w:val="nil"/>
            </w:tcBorders>
            <w:shd w:val="clear" w:color="auto" w:fill="auto"/>
            <w:vAlign w:val="center"/>
            <w:hideMark/>
          </w:tcPr>
          <w:p w14:paraId="6431B76D" w14:textId="77777777" w:rsidR="0060430B" w:rsidRPr="008D26B2" w:rsidRDefault="0060430B" w:rsidP="002552F1">
            <w:pPr>
              <w:jc w:val="center"/>
              <w:rPr>
                <w:color w:val="000000"/>
              </w:rPr>
            </w:pPr>
            <w:r w:rsidRPr="008D26B2">
              <w:rPr>
                <w:color w:val="000000"/>
              </w:rPr>
              <w:t>1</w:t>
            </w:r>
          </w:p>
        </w:tc>
      </w:tr>
    </w:tbl>
    <w:p w14:paraId="36224AD4" w14:textId="77777777" w:rsidR="0060430B" w:rsidRPr="00303211" w:rsidRDefault="0060430B" w:rsidP="0060430B">
      <w:pPr>
        <w:pStyle w:val="Legenda"/>
        <w:spacing w:line="240" w:lineRule="auto"/>
        <w:ind w:firstLine="0"/>
        <w:jc w:val="center"/>
        <w:rPr>
          <w:rFonts w:eastAsiaTheme="minorHAnsi"/>
          <w:b w:val="0"/>
          <w:bCs w:val="0"/>
          <w:szCs w:val="24"/>
        </w:rPr>
      </w:pPr>
      <w:r w:rsidRPr="003F4F4D">
        <w:rPr>
          <w:rFonts w:eastAsiaTheme="minorHAnsi"/>
          <w:b w:val="0"/>
          <w:bCs w:val="0"/>
          <w:szCs w:val="24"/>
        </w:rPr>
        <w:t>Legenda: *, **, *** significativo a 10, 5 e 1%, respectivamente.</w:t>
      </w:r>
    </w:p>
    <w:p w14:paraId="5C9D7AEF" w14:textId="77777777" w:rsidR="0060430B" w:rsidRPr="00D83336" w:rsidRDefault="0060430B" w:rsidP="00D83336">
      <w:pPr>
        <w:jc w:val="center"/>
        <w:rPr>
          <w:szCs w:val="24"/>
        </w:rPr>
      </w:pPr>
      <w:r w:rsidRPr="00A37DCC">
        <w:rPr>
          <w:szCs w:val="24"/>
        </w:rPr>
        <w:t>Fonte:</w:t>
      </w:r>
      <w:r w:rsidRPr="00082229">
        <w:rPr>
          <w:szCs w:val="24"/>
        </w:rPr>
        <w:t xml:space="preserve"> Elaboração</w:t>
      </w:r>
      <w:r>
        <w:rPr>
          <w:szCs w:val="24"/>
        </w:rPr>
        <w:t xml:space="preserve"> própria</w:t>
      </w:r>
    </w:p>
    <w:p w14:paraId="20820D73" w14:textId="77777777" w:rsidR="0060430B" w:rsidRDefault="0060430B" w:rsidP="0060430B">
      <w:pPr>
        <w:ind w:firstLine="708"/>
        <w:jc w:val="both"/>
        <w:rPr>
          <w:szCs w:val="24"/>
        </w:rPr>
      </w:pPr>
      <w:r>
        <w:rPr>
          <w:color w:val="000000"/>
          <w:sz w:val="24"/>
          <w:szCs w:val="24"/>
        </w:rPr>
        <w:t>Nota-se</w:t>
      </w:r>
      <w:r w:rsidRPr="00B200B9">
        <w:rPr>
          <w:color w:val="000000"/>
          <w:sz w:val="24"/>
          <w:szCs w:val="24"/>
        </w:rPr>
        <w:t xml:space="preserve"> também uma forte correlação entre o total de restos a pagar em relação com a disponibilidade de caixa, uma vez que só poderá ter inscrição de restos a pagar se obtiver disponibilidade de caixa, explicando desta forma a correlação existente, logo, quanto maior for a disponibilidade de caixa, maior poderá ser o total de restos a pagar inscritos.</w:t>
      </w:r>
    </w:p>
    <w:p w14:paraId="384ABA76" w14:textId="77777777" w:rsidR="0060430B" w:rsidRPr="00A37DCC" w:rsidRDefault="0060430B" w:rsidP="0060430B">
      <w:pPr>
        <w:jc w:val="both"/>
        <w:rPr>
          <w:sz w:val="24"/>
          <w:szCs w:val="24"/>
        </w:rPr>
      </w:pPr>
    </w:p>
    <w:p w14:paraId="25E017DC" w14:textId="77777777" w:rsidR="0060430B" w:rsidRDefault="0060430B" w:rsidP="0060430B">
      <w:pPr>
        <w:jc w:val="both"/>
        <w:rPr>
          <w:b/>
          <w:sz w:val="24"/>
          <w:szCs w:val="24"/>
        </w:rPr>
      </w:pPr>
      <w:r>
        <w:rPr>
          <w:b/>
          <w:sz w:val="24"/>
          <w:szCs w:val="24"/>
        </w:rPr>
        <w:t>4.3 Evolução da execução orçamentária</w:t>
      </w:r>
    </w:p>
    <w:p w14:paraId="5E49AC20" w14:textId="60331B3C" w:rsidR="00D83336" w:rsidRPr="008526B0" w:rsidRDefault="0060430B" w:rsidP="0060430B">
      <w:pPr>
        <w:jc w:val="both"/>
        <w:rPr>
          <w:sz w:val="24"/>
          <w:szCs w:val="24"/>
        </w:rPr>
      </w:pPr>
      <w:r>
        <w:rPr>
          <w:b/>
          <w:sz w:val="24"/>
          <w:szCs w:val="24"/>
        </w:rPr>
        <w:t xml:space="preserve"> </w:t>
      </w:r>
      <w:r>
        <w:rPr>
          <w:b/>
          <w:sz w:val="24"/>
          <w:szCs w:val="24"/>
        </w:rPr>
        <w:tab/>
      </w:r>
      <w:r>
        <w:rPr>
          <w:sz w:val="24"/>
          <w:szCs w:val="24"/>
        </w:rPr>
        <w:t xml:space="preserve">Ao fazer a análise do orçamento global do Estado de Santa Catarina, no período de 2011 a 2017, verifica-se que o ente analisado apresenta evolução positiva e progressiva da dotação orçamentária autorizada, conforme a </w:t>
      </w:r>
      <w:r w:rsidR="002552F1">
        <w:rPr>
          <w:sz w:val="24"/>
          <w:szCs w:val="24"/>
        </w:rPr>
        <w:t>Tabela 4</w:t>
      </w:r>
      <w:r>
        <w:rPr>
          <w:sz w:val="24"/>
          <w:szCs w:val="24"/>
        </w:rPr>
        <w:t>.</w:t>
      </w:r>
    </w:p>
    <w:p w14:paraId="4B5D2E0D" w14:textId="17EC92F0" w:rsidR="0060430B" w:rsidRPr="00B00978" w:rsidRDefault="002552F1" w:rsidP="0060430B">
      <w:pPr>
        <w:jc w:val="center"/>
        <w:rPr>
          <w:b/>
          <w:sz w:val="24"/>
          <w:szCs w:val="24"/>
        </w:rPr>
      </w:pPr>
      <w:r>
        <w:rPr>
          <w:szCs w:val="24"/>
        </w:rPr>
        <w:t>Tabela 4</w:t>
      </w:r>
      <w:r w:rsidR="00FE469D">
        <w:rPr>
          <w:szCs w:val="24"/>
        </w:rPr>
        <w:t xml:space="preserve">. </w:t>
      </w:r>
      <w:r w:rsidR="0060430B" w:rsidRPr="00010416">
        <w:rPr>
          <w:szCs w:val="24"/>
        </w:rPr>
        <w:t>Evolução da Execução Orçamentária</w:t>
      </w:r>
    </w:p>
    <w:tbl>
      <w:tblPr>
        <w:tblpPr w:leftFromText="141" w:rightFromText="141" w:vertAnchor="text" w:horzAnchor="margin" w:tblpXSpec="center" w:tblpY="87"/>
        <w:tblW w:w="6030" w:type="dxa"/>
        <w:tblCellMar>
          <w:left w:w="70" w:type="dxa"/>
          <w:right w:w="70" w:type="dxa"/>
        </w:tblCellMar>
        <w:tblLook w:val="04A0" w:firstRow="1" w:lastRow="0" w:firstColumn="1" w:lastColumn="0" w:noHBand="0" w:noVBand="1"/>
      </w:tblPr>
      <w:tblGrid>
        <w:gridCol w:w="1056"/>
        <w:gridCol w:w="1959"/>
        <w:gridCol w:w="1959"/>
        <w:gridCol w:w="1056"/>
      </w:tblGrid>
      <w:tr w:rsidR="00D83336" w:rsidRPr="003555BA" w14:paraId="00253C75" w14:textId="77777777" w:rsidTr="002552F1">
        <w:trPr>
          <w:trHeight w:val="261"/>
        </w:trPr>
        <w:tc>
          <w:tcPr>
            <w:tcW w:w="1056" w:type="dxa"/>
            <w:tcBorders>
              <w:top w:val="single" w:sz="4" w:space="0" w:color="auto"/>
              <w:left w:val="nil"/>
              <w:bottom w:val="single" w:sz="4" w:space="0" w:color="auto"/>
              <w:right w:val="single" w:sz="4" w:space="0" w:color="auto"/>
            </w:tcBorders>
            <w:shd w:val="clear" w:color="000000" w:fill="D0CECE"/>
            <w:noWrap/>
            <w:vAlign w:val="center"/>
            <w:hideMark/>
          </w:tcPr>
          <w:p w14:paraId="50BC8E2D" w14:textId="77777777" w:rsidR="00D83336" w:rsidRPr="003555BA" w:rsidRDefault="00D83336" w:rsidP="002552F1">
            <w:pPr>
              <w:jc w:val="center"/>
              <w:rPr>
                <w:color w:val="000000"/>
              </w:rPr>
            </w:pPr>
            <w:r w:rsidRPr="003555BA">
              <w:rPr>
                <w:color w:val="000000"/>
              </w:rPr>
              <w:t>Ano</w:t>
            </w:r>
          </w:p>
        </w:tc>
        <w:tc>
          <w:tcPr>
            <w:tcW w:w="1959" w:type="dxa"/>
            <w:tcBorders>
              <w:top w:val="single" w:sz="4" w:space="0" w:color="auto"/>
              <w:left w:val="nil"/>
              <w:bottom w:val="single" w:sz="4" w:space="0" w:color="auto"/>
              <w:right w:val="single" w:sz="4" w:space="0" w:color="auto"/>
            </w:tcBorders>
            <w:shd w:val="clear" w:color="000000" w:fill="D0CECE"/>
            <w:noWrap/>
            <w:vAlign w:val="center"/>
            <w:hideMark/>
          </w:tcPr>
          <w:p w14:paraId="6CA72BF0" w14:textId="77777777" w:rsidR="00D83336" w:rsidRPr="003555BA" w:rsidRDefault="00D83336" w:rsidP="002552F1">
            <w:pPr>
              <w:jc w:val="center"/>
              <w:rPr>
                <w:color w:val="000000"/>
              </w:rPr>
            </w:pPr>
            <w:r w:rsidRPr="003555BA">
              <w:rPr>
                <w:color w:val="000000"/>
              </w:rPr>
              <w:t>Dotação Autorizada</w:t>
            </w:r>
          </w:p>
        </w:tc>
        <w:tc>
          <w:tcPr>
            <w:tcW w:w="1959" w:type="dxa"/>
            <w:tcBorders>
              <w:top w:val="single" w:sz="4" w:space="0" w:color="auto"/>
              <w:left w:val="nil"/>
              <w:bottom w:val="single" w:sz="4" w:space="0" w:color="auto"/>
              <w:right w:val="single" w:sz="4" w:space="0" w:color="auto"/>
            </w:tcBorders>
            <w:shd w:val="clear" w:color="000000" w:fill="D0CECE"/>
            <w:noWrap/>
            <w:vAlign w:val="center"/>
            <w:hideMark/>
          </w:tcPr>
          <w:p w14:paraId="644D7CFD" w14:textId="77777777" w:rsidR="00D83336" w:rsidRPr="003555BA" w:rsidRDefault="00D83336" w:rsidP="002552F1">
            <w:pPr>
              <w:jc w:val="center"/>
              <w:rPr>
                <w:color w:val="000000"/>
              </w:rPr>
            </w:pPr>
            <w:r w:rsidRPr="003555BA">
              <w:rPr>
                <w:color w:val="000000"/>
              </w:rPr>
              <w:t>Empenhada</w:t>
            </w:r>
          </w:p>
        </w:tc>
        <w:tc>
          <w:tcPr>
            <w:tcW w:w="1056" w:type="dxa"/>
            <w:tcBorders>
              <w:top w:val="single" w:sz="4" w:space="0" w:color="auto"/>
              <w:left w:val="nil"/>
              <w:bottom w:val="single" w:sz="4" w:space="0" w:color="auto"/>
              <w:right w:val="nil"/>
            </w:tcBorders>
            <w:shd w:val="clear" w:color="000000" w:fill="D0CECE"/>
            <w:noWrap/>
            <w:vAlign w:val="center"/>
            <w:hideMark/>
          </w:tcPr>
          <w:p w14:paraId="0BC0D7D8" w14:textId="77777777" w:rsidR="00D83336" w:rsidRPr="003555BA" w:rsidRDefault="00D83336" w:rsidP="002552F1">
            <w:pPr>
              <w:jc w:val="center"/>
              <w:rPr>
                <w:color w:val="000000"/>
              </w:rPr>
            </w:pPr>
            <w:r w:rsidRPr="003555BA">
              <w:rPr>
                <w:color w:val="000000"/>
              </w:rPr>
              <w:t>A.H</w:t>
            </w:r>
          </w:p>
        </w:tc>
      </w:tr>
      <w:tr w:rsidR="00D83336" w:rsidRPr="003555BA" w14:paraId="0AC3CDD6" w14:textId="77777777" w:rsidTr="002552F1">
        <w:trPr>
          <w:trHeight w:val="261"/>
        </w:trPr>
        <w:tc>
          <w:tcPr>
            <w:tcW w:w="1056" w:type="dxa"/>
            <w:tcBorders>
              <w:top w:val="nil"/>
              <w:left w:val="nil"/>
              <w:bottom w:val="single" w:sz="4" w:space="0" w:color="auto"/>
              <w:right w:val="single" w:sz="4" w:space="0" w:color="auto"/>
            </w:tcBorders>
            <w:shd w:val="clear" w:color="auto" w:fill="auto"/>
            <w:noWrap/>
            <w:vAlign w:val="center"/>
            <w:hideMark/>
          </w:tcPr>
          <w:p w14:paraId="2F8D16D1" w14:textId="77777777" w:rsidR="00D83336" w:rsidRPr="003555BA" w:rsidRDefault="00D83336" w:rsidP="002552F1">
            <w:pPr>
              <w:jc w:val="center"/>
              <w:rPr>
                <w:color w:val="000000"/>
              </w:rPr>
            </w:pPr>
            <w:r w:rsidRPr="003555BA">
              <w:rPr>
                <w:color w:val="000000"/>
              </w:rPr>
              <w:t>2011</w:t>
            </w:r>
          </w:p>
        </w:tc>
        <w:tc>
          <w:tcPr>
            <w:tcW w:w="1959" w:type="dxa"/>
            <w:tcBorders>
              <w:top w:val="nil"/>
              <w:left w:val="nil"/>
              <w:bottom w:val="single" w:sz="4" w:space="0" w:color="auto"/>
              <w:right w:val="single" w:sz="4" w:space="0" w:color="auto"/>
            </w:tcBorders>
            <w:shd w:val="clear" w:color="auto" w:fill="auto"/>
            <w:noWrap/>
            <w:vAlign w:val="center"/>
            <w:hideMark/>
          </w:tcPr>
          <w:p w14:paraId="52B12040" w14:textId="77777777" w:rsidR="00D83336" w:rsidRPr="003555BA" w:rsidRDefault="00D83336" w:rsidP="002552F1">
            <w:pPr>
              <w:jc w:val="center"/>
              <w:rPr>
                <w:color w:val="000000"/>
              </w:rPr>
            </w:pPr>
            <w:r w:rsidRPr="003555BA">
              <w:rPr>
                <w:color w:val="000000"/>
              </w:rPr>
              <w:t>17.283.161.679,57</w:t>
            </w:r>
          </w:p>
        </w:tc>
        <w:tc>
          <w:tcPr>
            <w:tcW w:w="1959" w:type="dxa"/>
            <w:tcBorders>
              <w:top w:val="nil"/>
              <w:left w:val="nil"/>
              <w:bottom w:val="single" w:sz="4" w:space="0" w:color="auto"/>
              <w:right w:val="single" w:sz="4" w:space="0" w:color="auto"/>
            </w:tcBorders>
            <w:shd w:val="clear" w:color="auto" w:fill="auto"/>
            <w:noWrap/>
            <w:vAlign w:val="center"/>
            <w:hideMark/>
          </w:tcPr>
          <w:p w14:paraId="702F14AF" w14:textId="77777777" w:rsidR="00D83336" w:rsidRPr="003555BA" w:rsidRDefault="00D83336" w:rsidP="002552F1">
            <w:pPr>
              <w:jc w:val="center"/>
              <w:rPr>
                <w:color w:val="000000"/>
              </w:rPr>
            </w:pPr>
            <w:r w:rsidRPr="003555BA">
              <w:rPr>
                <w:color w:val="000000"/>
              </w:rPr>
              <w:t>14.951.779.854,97</w:t>
            </w:r>
          </w:p>
        </w:tc>
        <w:tc>
          <w:tcPr>
            <w:tcW w:w="1056" w:type="dxa"/>
            <w:tcBorders>
              <w:top w:val="nil"/>
              <w:left w:val="nil"/>
              <w:bottom w:val="single" w:sz="4" w:space="0" w:color="auto"/>
              <w:right w:val="nil"/>
            </w:tcBorders>
            <w:shd w:val="clear" w:color="auto" w:fill="auto"/>
            <w:noWrap/>
            <w:vAlign w:val="center"/>
            <w:hideMark/>
          </w:tcPr>
          <w:p w14:paraId="59396AD2" w14:textId="77777777" w:rsidR="00D83336" w:rsidRPr="003555BA" w:rsidRDefault="00D83336" w:rsidP="002552F1">
            <w:pPr>
              <w:jc w:val="center"/>
              <w:rPr>
                <w:color w:val="000000"/>
              </w:rPr>
            </w:pPr>
            <w:r w:rsidRPr="003555BA">
              <w:rPr>
                <w:color w:val="000000"/>
              </w:rPr>
              <w:t>86,51%</w:t>
            </w:r>
          </w:p>
        </w:tc>
      </w:tr>
      <w:tr w:rsidR="00D83336" w:rsidRPr="003555BA" w14:paraId="724F9F69" w14:textId="77777777" w:rsidTr="002552F1">
        <w:trPr>
          <w:trHeight w:val="261"/>
        </w:trPr>
        <w:tc>
          <w:tcPr>
            <w:tcW w:w="1056" w:type="dxa"/>
            <w:tcBorders>
              <w:top w:val="nil"/>
              <w:left w:val="nil"/>
              <w:bottom w:val="single" w:sz="4" w:space="0" w:color="auto"/>
              <w:right w:val="single" w:sz="4" w:space="0" w:color="auto"/>
            </w:tcBorders>
            <w:shd w:val="clear" w:color="auto" w:fill="auto"/>
            <w:noWrap/>
            <w:vAlign w:val="center"/>
            <w:hideMark/>
          </w:tcPr>
          <w:p w14:paraId="14BC5287" w14:textId="77777777" w:rsidR="00D83336" w:rsidRPr="003555BA" w:rsidRDefault="00D83336" w:rsidP="002552F1">
            <w:pPr>
              <w:jc w:val="center"/>
              <w:rPr>
                <w:color w:val="000000"/>
              </w:rPr>
            </w:pPr>
            <w:r w:rsidRPr="003555BA">
              <w:rPr>
                <w:color w:val="000000"/>
              </w:rPr>
              <w:t>2012</w:t>
            </w:r>
          </w:p>
        </w:tc>
        <w:tc>
          <w:tcPr>
            <w:tcW w:w="1959" w:type="dxa"/>
            <w:tcBorders>
              <w:top w:val="nil"/>
              <w:left w:val="nil"/>
              <w:bottom w:val="single" w:sz="4" w:space="0" w:color="auto"/>
              <w:right w:val="single" w:sz="4" w:space="0" w:color="auto"/>
            </w:tcBorders>
            <w:shd w:val="clear" w:color="auto" w:fill="auto"/>
            <w:noWrap/>
            <w:vAlign w:val="center"/>
            <w:hideMark/>
          </w:tcPr>
          <w:p w14:paraId="17B6B8F9" w14:textId="77777777" w:rsidR="00D83336" w:rsidRPr="003555BA" w:rsidRDefault="00D83336" w:rsidP="002552F1">
            <w:pPr>
              <w:jc w:val="center"/>
              <w:rPr>
                <w:color w:val="000000"/>
              </w:rPr>
            </w:pPr>
            <w:r w:rsidRPr="003555BA">
              <w:rPr>
                <w:color w:val="000000"/>
              </w:rPr>
              <w:t>21.102.019.373,86</w:t>
            </w:r>
          </w:p>
        </w:tc>
        <w:tc>
          <w:tcPr>
            <w:tcW w:w="1959" w:type="dxa"/>
            <w:tcBorders>
              <w:top w:val="nil"/>
              <w:left w:val="nil"/>
              <w:bottom w:val="single" w:sz="4" w:space="0" w:color="auto"/>
              <w:right w:val="single" w:sz="4" w:space="0" w:color="auto"/>
            </w:tcBorders>
            <w:shd w:val="clear" w:color="auto" w:fill="auto"/>
            <w:noWrap/>
            <w:vAlign w:val="center"/>
            <w:hideMark/>
          </w:tcPr>
          <w:p w14:paraId="57E2D736" w14:textId="77777777" w:rsidR="00D83336" w:rsidRPr="003555BA" w:rsidRDefault="00D83336" w:rsidP="002552F1">
            <w:pPr>
              <w:jc w:val="center"/>
              <w:rPr>
                <w:color w:val="000000"/>
              </w:rPr>
            </w:pPr>
            <w:r w:rsidRPr="003555BA">
              <w:rPr>
                <w:color w:val="000000"/>
              </w:rPr>
              <w:t>18.088.824.526,47</w:t>
            </w:r>
          </w:p>
        </w:tc>
        <w:tc>
          <w:tcPr>
            <w:tcW w:w="1056" w:type="dxa"/>
            <w:tcBorders>
              <w:top w:val="nil"/>
              <w:left w:val="nil"/>
              <w:bottom w:val="single" w:sz="4" w:space="0" w:color="auto"/>
              <w:right w:val="nil"/>
            </w:tcBorders>
            <w:shd w:val="clear" w:color="auto" w:fill="auto"/>
            <w:noWrap/>
            <w:vAlign w:val="center"/>
            <w:hideMark/>
          </w:tcPr>
          <w:p w14:paraId="346719A5" w14:textId="77777777" w:rsidR="00D83336" w:rsidRPr="003555BA" w:rsidRDefault="00D83336" w:rsidP="002552F1">
            <w:pPr>
              <w:jc w:val="center"/>
              <w:rPr>
                <w:color w:val="000000"/>
              </w:rPr>
            </w:pPr>
            <w:r w:rsidRPr="003555BA">
              <w:rPr>
                <w:color w:val="000000"/>
              </w:rPr>
              <w:t>85,72%</w:t>
            </w:r>
          </w:p>
        </w:tc>
      </w:tr>
      <w:tr w:rsidR="00D83336" w:rsidRPr="003555BA" w14:paraId="48A224F3" w14:textId="77777777" w:rsidTr="002552F1">
        <w:trPr>
          <w:trHeight w:val="261"/>
        </w:trPr>
        <w:tc>
          <w:tcPr>
            <w:tcW w:w="1056" w:type="dxa"/>
            <w:tcBorders>
              <w:top w:val="nil"/>
              <w:left w:val="nil"/>
              <w:bottom w:val="single" w:sz="4" w:space="0" w:color="auto"/>
              <w:right w:val="single" w:sz="4" w:space="0" w:color="auto"/>
            </w:tcBorders>
            <w:shd w:val="clear" w:color="auto" w:fill="auto"/>
            <w:noWrap/>
            <w:vAlign w:val="center"/>
            <w:hideMark/>
          </w:tcPr>
          <w:p w14:paraId="73A3827E" w14:textId="77777777" w:rsidR="00D83336" w:rsidRPr="003555BA" w:rsidRDefault="00D83336" w:rsidP="002552F1">
            <w:pPr>
              <w:jc w:val="center"/>
              <w:rPr>
                <w:color w:val="000000"/>
              </w:rPr>
            </w:pPr>
            <w:r w:rsidRPr="003555BA">
              <w:rPr>
                <w:color w:val="000000"/>
              </w:rPr>
              <w:t>2013</w:t>
            </w:r>
          </w:p>
        </w:tc>
        <w:tc>
          <w:tcPr>
            <w:tcW w:w="1959" w:type="dxa"/>
            <w:tcBorders>
              <w:top w:val="nil"/>
              <w:left w:val="nil"/>
              <w:bottom w:val="single" w:sz="4" w:space="0" w:color="auto"/>
              <w:right w:val="single" w:sz="4" w:space="0" w:color="auto"/>
            </w:tcBorders>
            <w:shd w:val="clear" w:color="auto" w:fill="auto"/>
            <w:noWrap/>
            <w:vAlign w:val="center"/>
            <w:hideMark/>
          </w:tcPr>
          <w:p w14:paraId="62D205A5" w14:textId="77777777" w:rsidR="00D83336" w:rsidRPr="003555BA" w:rsidRDefault="00D83336" w:rsidP="002552F1">
            <w:pPr>
              <w:jc w:val="center"/>
              <w:rPr>
                <w:color w:val="000000"/>
              </w:rPr>
            </w:pPr>
            <w:r w:rsidRPr="003555BA">
              <w:rPr>
                <w:color w:val="000000"/>
              </w:rPr>
              <w:t>22.970.695.546,92</w:t>
            </w:r>
          </w:p>
        </w:tc>
        <w:tc>
          <w:tcPr>
            <w:tcW w:w="1959" w:type="dxa"/>
            <w:tcBorders>
              <w:top w:val="nil"/>
              <w:left w:val="nil"/>
              <w:bottom w:val="single" w:sz="4" w:space="0" w:color="auto"/>
              <w:right w:val="single" w:sz="4" w:space="0" w:color="auto"/>
            </w:tcBorders>
            <w:shd w:val="clear" w:color="auto" w:fill="auto"/>
            <w:noWrap/>
            <w:vAlign w:val="center"/>
            <w:hideMark/>
          </w:tcPr>
          <w:p w14:paraId="2E2F7E1C" w14:textId="77777777" w:rsidR="00D83336" w:rsidRPr="003555BA" w:rsidRDefault="00D83336" w:rsidP="002552F1">
            <w:pPr>
              <w:jc w:val="center"/>
              <w:rPr>
                <w:color w:val="000000"/>
              </w:rPr>
            </w:pPr>
            <w:r w:rsidRPr="003555BA">
              <w:rPr>
                <w:color w:val="000000"/>
              </w:rPr>
              <w:t>19.254.339.864,11</w:t>
            </w:r>
          </w:p>
        </w:tc>
        <w:tc>
          <w:tcPr>
            <w:tcW w:w="1056" w:type="dxa"/>
            <w:tcBorders>
              <w:top w:val="nil"/>
              <w:left w:val="nil"/>
              <w:bottom w:val="single" w:sz="4" w:space="0" w:color="auto"/>
              <w:right w:val="nil"/>
            </w:tcBorders>
            <w:shd w:val="clear" w:color="auto" w:fill="auto"/>
            <w:noWrap/>
            <w:vAlign w:val="center"/>
            <w:hideMark/>
          </w:tcPr>
          <w:p w14:paraId="6F05B29D" w14:textId="77777777" w:rsidR="00D83336" w:rsidRPr="003555BA" w:rsidRDefault="00D83336" w:rsidP="002552F1">
            <w:pPr>
              <w:jc w:val="center"/>
              <w:rPr>
                <w:color w:val="000000"/>
              </w:rPr>
            </w:pPr>
            <w:r w:rsidRPr="003555BA">
              <w:rPr>
                <w:color w:val="000000"/>
              </w:rPr>
              <w:t>83,82%</w:t>
            </w:r>
          </w:p>
        </w:tc>
      </w:tr>
      <w:tr w:rsidR="00D83336" w:rsidRPr="003555BA" w14:paraId="51405130" w14:textId="77777777" w:rsidTr="002552F1">
        <w:trPr>
          <w:trHeight w:val="261"/>
        </w:trPr>
        <w:tc>
          <w:tcPr>
            <w:tcW w:w="1056" w:type="dxa"/>
            <w:tcBorders>
              <w:top w:val="nil"/>
              <w:left w:val="nil"/>
              <w:bottom w:val="single" w:sz="4" w:space="0" w:color="auto"/>
              <w:right w:val="single" w:sz="4" w:space="0" w:color="auto"/>
            </w:tcBorders>
            <w:shd w:val="clear" w:color="auto" w:fill="auto"/>
            <w:noWrap/>
            <w:vAlign w:val="center"/>
            <w:hideMark/>
          </w:tcPr>
          <w:p w14:paraId="0F70581F" w14:textId="77777777" w:rsidR="00D83336" w:rsidRPr="003555BA" w:rsidRDefault="00D83336" w:rsidP="002552F1">
            <w:pPr>
              <w:jc w:val="center"/>
              <w:rPr>
                <w:color w:val="000000"/>
              </w:rPr>
            </w:pPr>
            <w:r w:rsidRPr="003555BA">
              <w:rPr>
                <w:color w:val="000000"/>
              </w:rPr>
              <w:t>2014</w:t>
            </w:r>
          </w:p>
        </w:tc>
        <w:tc>
          <w:tcPr>
            <w:tcW w:w="1959" w:type="dxa"/>
            <w:tcBorders>
              <w:top w:val="nil"/>
              <w:left w:val="nil"/>
              <w:bottom w:val="single" w:sz="4" w:space="0" w:color="auto"/>
              <w:right w:val="single" w:sz="4" w:space="0" w:color="auto"/>
            </w:tcBorders>
            <w:shd w:val="clear" w:color="auto" w:fill="auto"/>
            <w:noWrap/>
            <w:vAlign w:val="center"/>
            <w:hideMark/>
          </w:tcPr>
          <w:p w14:paraId="63F14892" w14:textId="77777777" w:rsidR="00D83336" w:rsidRPr="003555BA" w:rsidRDefault="00D83336" w:rsidP="002552F1">
            <w:pPr>
              <w:jc w:val="center"/>
              <w:rPr>
                <w:color w:val="000000"/>
              </w:rPr>
            </w:pPr>
            <w:r w:rsidRPr="003555BA">
              <w:rPr>
                <w:color w:val="000000"/>
              </w:rPr>
              <w:t>25.010.907.051,23</w:t>
            </w:r>
          </w:p>
        </w:tc>
        <w:tc>
          <w:tcPr>
            <w:tcW w:w="1959" w:type="dxa"/>
            <w:tcBorders>
              <w:top w:val="nil"/>
              <w:left w:val="nil"/>
              <w:bottom w:val="single" w:sz="4" w:space="0" w:color="auto"/>
              <w:right w:val="single" w:sz="4" w:space="0" w:color="auto"/>
            </w:tcBorders>
            <w:shd w:val="clear" w:color="auto" w:fill="auto"/>
            <w:noWrap/>
            <w:vAlign w:val="center"/>
            <w:hideMark/>
          </w:tcPr>
          <w:p w14:paraId="3A79E26E" w14:textId="77777777" w:rsidR="00D83336" w:rsidRPr="003555BA" w:rsidRDefault="00D83336" w:rsidP="002552F1">
            <w:pPr>
              <w:jc w:val="center"/>
              <w:rPr>
                <w:color w:val="000000"/>
              </w:rPr>
            </w:pPr>
            <w:r w:rsidRPr="003555BA">
              <w:rPr>
                <w:color w:val="000000"/>
              </w:rPr>
              <w:t>21.230.113.745,18</w:t>
            </w:r>
          </w:p>
        </w:tc>
        <w:tc>
          <w:tcPr>
            <w:tcW w:w="1056" w:type="dxa"/>
            <w:tcBorders>
              <w:top w:val="nil"/>
              <w:left w:val="nil"/>
              <w:bottom w:val="single" w:sz="4" w:space="0" w:color="auto"/>
              <w:right w:val="nil"/>
            </w:tcBorders>
            <w:shd w:val="clear" w:color="auto" w:fill="auto"/>
            <w:noWrap/>
            <w:vAlign w:val="center"/>
            <w:hideMark/>
          </w:tcPr>
          <w:p w14:paraId="70F0642F" w14:textId="77777777" w:rsidR="00D83336" w:rsidRPr="003555BA" w:rsidRDefault="00D83336" w:rsidP="002552F1">
            <w:pPr>
              <w:jc w:val="center"/>
              <w:rPr>
                <w:color w:val="000000"/>
              </w:rPr>
            </w:pPr>
            <w:r w:rsidRPr="003555BA">
              <w:rPr>
                <w:color w:val="000000"/>
              </w:rPr>
              <w:t>84,88%</w:t>
            </w:r>
          </w:p>
        </w:tc>
      </w:tr>
      <w:tr w:rsidR="00D83336" w:rsidRPr="003555BA" w14:paraId="00B602B3" w14:textId="77777777" w:rsidTr="002552F1">
        <w:trPr>
          <w:trHeight w:val="261"/>
        </w:trPr>
        <w:tc>
          <w:tcPr>
            <w:tcW w:w="1056" w:type="dxa"/>
            <w:tcBorders>
              <w:top w:val="nil"/>
              <w:left w:val="nil"/>
              <w:bottom w:val="single" w:sz="4" w:space="0" w:color="auto"/>
              <w:right w:val="single" w:sz="4" w:space="0" w:color="auto"/>
            </w:tcBorders>
            <w:shd w:val="clear" w:color="auto" w:fill="auto"/>
            <w:noWrap/>
            <w:vAlign w:val="center"/>
            <w:hideMark/>
          </w:tcPr>
          <w:p w14:paraId="2B7790DB" w14:textId="77777777" w:rsidR="00D83336" w:rsidRPr="003555BA" w:rsidRDefault="00D83336" w:rsidP="002552F1">
            <w:pPr>
              <w:jc w:val="center"/>
              <w:rPr>
                <w:color w:val="000000"/>
              </w:rPr>
            </w:pPr>
            <w:r w:rsidRPr="003555BA">
              <w:rPr>
                <w:color w:val="000000"/>
              </w:rPr>
              <w:t>2015</w:t>
            </w:r>
          </w:p>
        </w:tc>
        <w:tc>
          <w:tcPr>
            <w:tcW w:w="1959" w:type="dxa"/>
            <w:tcBorders>
              <w:top w:val="nil"/>
              <w:left w:val="nil"/>
              <w:bottom w:val="single" w:sz="4" w:space="0" w:color="auto"/>
              <w:right w:val="single" w:sz="4" w:space="0" w:color="auto"/>
            </w:tcBorders>
            <w:shd w:val="clear" w:color="auto" w:fill="auto"/>
            <w:noWrap/>
            <w:vAlign w:val="center"/>
            <w:hideMark/>
          </w:tcPr>
          <w:p w14:paraId="24FCE30C" w14:textId="77777777" w:rsidR="00D83336" w:rsidRPr="003555BA" w:rsidRDefault="00D83336" w:rsidP="002552F1">
            <w:pPr>
              <w:jc w:val="center"/>
              <w:rPr>
                <w:color w:val="000000"/>
              </w:rPr>
            </w:pPr>
            <w:r w:rsidRPr="003555BA">
              <w:rPr>
                <w:color w:val="000000"/>
              </w:rPr>
              <w:t>28.514.890.747,72</w:t>
            </w:r>
          </w:p>
        </w:tc>
        <w:tc>
          <w:tcPr>
            <w:tcW w:w="1959" w:type="dxa"/>
            <w:tcBorders>
              <w:top w:val="nil"/>
              <w:left w:val="nil"/>
              <w:bottom w:val="single" w:sz="4" w:space="0" w:color="auto"/>
              <w:right w:val="single" w:sz="4" w:space="0" w:color="auto"/>
            </w:tcBorders>
            <w:shd w:val="clear" w:color="auto" w:fill="auto"/>
            <w:noWrap/>
            <w:vAlign w:val="center"/>
            <w:hideMark/>
          </w:tcPr>
          <w:p w14:paraId="149F13C3" w14:textId="77777777" w:rsidR="00D83336" w:rsidRPr="003555BA" w:rsidRDefault="00D83336" w:rsidP="002552F1">
            <w:pPr>
              <w:jc w:val="center"/>
              <w:rPr>
                <w:color w:val="000000"/>
              </w:rPr>
            </w:pPr>
            <w:r w:rsidRPr="003555BA">
              <w:rPr>
                <w:color w:val="000000"/>
              </w:rPr>
              <w:t>22.979.636.740,42</w:t>
            </w:r>
          </w:p>
        </w:tc>
        <w:tc>
          <w:tcPr>
            <w:tcW w:w="1056" w:type="dxa"/>
            <w:tcBorders>
              <w:top w:val="nil"/>
              <w:left w:val="nil"/>
              <w:bottom w:val="single" w:sz="4" w:space="0" w:color="auto"/>
              <w:right w:val="nil"/>
            </w:tcBorders>
            <w:shd w:val="clear" w:color="auto" w:fill="auto"/>
            <w:noWrap/>
            <w:vAlign w:val="center"/>
            <w:hideMark/>
          </w:tcPr>
          <w:p w14:paraId="35C5CF7F" w14:textId="77777777" w:rsidR="00D83336" w:rsidRPr="003555BA" w:rsidRDefault="00D83336" w:rsidP="002552F1">
            <w:pPr>
              <w:jc w:val="center"/>
              <w:rPr>
                <w:color w:val="000000"/>
              </w:rPr>
            </w:pPr>
            <w:r w:rsidRPr="003555BA">
              <w:rPr>
                <w:color w:val="000000"/>
              </w:rPr>
              <w:t>80,59%</w:t>
            </w:r>
          </w:p>
        </w:tc>
      </w:tr>
      <w:tr w:rsidR="00D83336" w:rsidRPr="003555BA" w14:paraId="5FDE7C8C" w14:textId="77777777" w:rsidTr="002552F1">
        <w:trPr>
          <w:trHeight w:val="261"/>
        </w:trPr>
        <w:tc>
          <w:tcPr>
            <w:tcW w:w="1056" w:type="dxa"/>
            <w:tcBorders>
              <w:top w:val="nil"/>
              <w:left w:val="nil"/>
              <w:bottom w:val="single" w:sz="4" w:space="0" w:color="auto"/>
              <w:right w:val="single" w:sz="4" w:space="0" w:color="auto"/>
            </w:tcBorders>
            <w:shd w:val="clear" w:color="auto" w:fill="auto"/>
            <w:noWrap/>
            <w:vAlign w:val="center"/>
            <w:hideMark/>
          </w:tcPr>
          <w:p w14:paraId="61922C0C" w14:textId="77777777" w:rsidR="00D83336" w:rsidRPr="003555BA" w:rsidRDefault="00D83336" w:rsidP="002552F1">
            <w:pPr>
              <w:jc w:val="center"/>
              <w:rPr>
                <w:color w:val="000000"/>
              </w:rPr>
            </w:pPr>
            <w:r w:rsidRPr="003555BA">
              <w:rPr>
                <w:color w:val="000000"/>
              </w:rPr>
              <w:t>2016</w:t>
            </w:r>
          </w:p>
        </w:tc>
        <w:tc>
          <w:tcPr>
            <w:tcW w:w="1959" w:type="dxa"/>
            <w:tcBorders>
              <w:top w:val="nil"/>
              <w:left w:val="nil"/>
              <w:bottom w:val="single" w:sz="4" w:space="0" w:color="auto"/>
              <w:right w:val="single" w:sz="4" w:space="0" w:color="auto"/>
            </w:tcBorders>
            <w:shd w:val="clear" w:color="auto" w:fill="auto"/>
            <w:noWrap/>
            <w:vAlign w:val="center"/>
            <w:hideMark/>
          </w:tcPr>
          <w:p w14:paraId="3FB0A9D8" w14:textId="77777777" w:rsidR="00D83336" w:rsidRPr="003555BA" w:rsidRDefault="00D83336" w:rsidP="002552F1">
            <w:pPr>
              <w:jc w:val="center"/>
              <w:rPr>
                <w:color w:val="000000"/>
              </w:rPr>
            </w:pPr>
            <w:r w:rsidRPr="003555BA">
              <w:rPr>
                <w:color w:val="000000"/>
              </w:rPr>
              <w:t>29.539.420.670,47</w:t>
            </w:r>
          </w:p>
        </w:tc>
        <w:tc>
          <w:tcPr>
            <w:tcW w:w="1959" w:type="dxa"/>
            <w:tcBorders>
              <w:top w:val="nil"/>
              <w:left w:val="nil"/>
              <w:bottom w:val="single" w:sz="4" w:space="0" w:color="auto"/>
              <w:right w:val="single" w:sz="4" w:space="0" w:color="auto"/>
            </w:tcBorders>
            <w:shd w:val="clear" w:color="auto" w:fill="auto"/>
            <w:noWrap/>
            <w:vAlign w:val="center"/>
            <w:hideMark/>
          </w:tcPr>
          <w:p w14:paraId="77708E78" w14:textId="77777777" w:rsidR="00D83336" w:rsidRPr="003555BA" w:rsidRDefault="00D83336" w:rsidP="002552F1">
            <w:pPr>
              <w:jc w:val="center"/>
              <w:rPr>
                <w:color w:val="000000"/>
              </w:rPr>
            </w:pPr>
            <w:r w:rsidRPr="003555BA">
              <w:rPr>
                <w:color w:val="000000"/>
              </w:rPr>
              <w:t>24.179.579.471,50</w:t>
            </w:r>
          </w:p>
        </w:tc>
        <w:tc>
          <w:tcPr>
            <w:tcW w:w="1056" w:type="dxa"/>
            <w:tcBorders>
              <w:top w:val="nil"/>
              <w:left w:val="nil"/>
              <w:bottom w:val="single" w:sz="4" w:space="0" w:color="auto"/>
              <w:right w:val="nil"/>
            </w:tcBorders>
            <w:shd w:val="clear" w:color="auto" w:fill="auto"/>
            <w:noWrap/>
            <w:vAlign w:val="center"/>
            <w:hideMark/>
          </w:tcPr>
          <w:p w14:paraId="34168AFB" w14:textId="77777777" w:rsidR="00D83336" w:rsidRPr="003555BA" w:rsidRDefault="00D83336" w:rsidP="002552F1">
            <w:pPr>
              <w:jc w:val="center"/>
              <w:rPr>
                <w:color w:val="000000"/>
              </w:rPr>
            </w:pPr>
            <w:r w:rsidRPr="003555BA">
              <w:rPr>
                <w:color w:val="000000"/>
              </w:rPr>
              <w:t>81,86%</w:t>
            </w:r>
          </w:p>
        </w:tc>
      </w:tr>
      <w:tr w:rsidR="00D83336" w:rsidRPr="003555BA" w14:paraId="155F2101" w14:textId="77777777" w:rsidTr="002552F1">
        <w:trPr>
          <w:trHeight w:val="261"/>
        </w:trPr>
        <w:tc>
          <w:tcPr>
            <w:tcW w:w="1056" w:type="dxa"/>
            <w:tcBorders>
              <w:top w:val="nil"/>
              <w:left w:val="nil"/>
              <w:bottom w:val="single" w:sz="4" w:space="0" w:color="auto"/>
              <w:right w:val="single" w:sz="4" w:space="0" w:color="auto"/>
            </w:tcBorders>
            <w:shd w:val="clear" w:color="auto" w:fill="auto"/>
            <w:noWrap/>
            <w:vAlign w:val="center"/>
            <w:hideMark/>
          </w:tcPr>
          <w:p w14:paraId="755CFDFE" w14:textId="77777777" w:rsidR="00D83336" w:rsidRPr="003555BA" w:rsidRDefault="00D83336" w:rsidP="002552F1">
            <w:pPr>
              <w:jc w:val="center"/>
              <w:rPr>
                <w:color w:val="000000"/>
              </w:rPr>
            </w:pPr>
            <w:r w:rsidRPr="003555BA">
              <w:rPr>
                <w:color w:val="000000"/>
              </w:rPr>
              <w:t>2017</w:t>
            </w:r>
          </w:p>
        </w:tc>
        <w:tc>
          <w:tcPr>
            <w:tcW w:w="1959" w:type="dxa"/>
            <w:tcBorders>
              <w:top w:val="nil"/>
              <w:left w:val="nil"/>
              <w:bottom w:val="single" w:sz="4" w:space="0" w:color="auto"/>
              <w:right w:val="single" w:sz="4" w:space="0" w:color="auto"/>
            </w:tcBorders>
            <w:shd w:val="clear" w:color="auto" w:fill="auto"/>
            <w:noWrap/>
            <w:vAlign w:val="center"/>
            <w:hideMark/>
          </w:tcPr>
          <w:p w14:paraId="0B88F223" w14:textId="77777777" w:rsidR="00D83336" w:rsidRPr="003555BA" w:rsidRDefault="00D83336" w:rsidP="002552F1">
            <w:pPr>
              <w:jc w:val="center"/>
              <w:rPr>
                <w:color w:val="000000"/>
              </w:rPr>
            </w:pPr>
            <w:r w:rsidRPr="003555BA">
              <w:rPr>
                <w:color w:val="000000"/>
              </w:rPr>
              <w:t>30.429.838.711,97</w:t>
            </w:r>
          </w:p>
        </w:tc>
        <w:tc>
          <w:tcPr>
            <w:tcW w:w="1959" w:type="dxa"/>
            <w:tcBorders>
              <w:top w:val="nil"/>
              <w:left w:val="nil"/>
              <w:bottom w:val="single" w:sz="4" w:space="0" w:color="auto"/>
              <w:right w:val="single" w:sz="4" w:space="0" w:color="auto"/>
            </w:tcBorders>
            <w:shd w:val="clear" w:color="auto" w:fill="auto"/>
            <w:noWrap/>
            <w:vAlign w:val="center"/>
            <w:hideMark/>
          </w:tcPr>
          <w:p w14:paraId="1FBDDBBE" w14:textId="77777777" w:rsidR="00D83336" w:rsidRPr="003555BA" w:rsidRDefault="00D83336" w:rsidP="002552F1">
            <w:pPr>
              <w:jc w:val="center"/>
              <w:rPr>
                <w:color w:val="000000"/>
              </w:rPr>
            </w:pPr>
            <w:r w:rsidRPr="003555BA">
              <w:rPr>
                <w:color w:val="000000"/>
              </w:rPr>
              <w:t>25.595.103.379,18</w:t>
            </w:r>
          </w:p>
        </w:tc>
        <w:tc>
          <w:tcPr>
            <w:tcW w:w="1056" w:type="dxa"/>
            <w:tcBorders>
              <w:top w:val="nil"/>
              <w:left w:val="nil"/>
              <w:bottom w:val="single" w:sz="4" w:space="0" w:color="auto"/>
              <w:right w:val="nil"/>
            </w:tcBorders>
            <w:shd w:val="clear" w:color="auto" w:fill="auto"/>
            <w:noWrap/>
            <w:vAlign w:val="center"/>
            <w:hideMark/>
          </w:tcPr>
          <w:p w14:paraId="51A3D63F" w14:textId="77777777" w:rsidR="00D83336" w:rsidRPr="003555BA" w:rsidRDefault="00D83336" w:rsidP="002552F1">
            <w:pPr>
              <w:jc w:val="center"/>
              <w:rPr>
                <w:color w:val="000000"/>
              </w:rPr>
            </w:pPr>
            <w:r w:rsidRPr="003555BA">
              <w:rPr>
                <w:color w:val="000000"/>
              </w:rPr>
              <w:t>84,11%</w:t>
            </w:r>
          </w:p>
        </w:tc>
      </w:tr>
    </w:tbl>
    <w:p w14:paraId="7D81EF56" w14:textId="77777777" w:rsidR="00D83336" w:rsidRDefault="00D83336" w:rsidP="0060430B">
      <w:pPr>
        <w:jc w:val="center"/>
        <w:rPr>
          <w:szCs w:val="24"/>
        </w:rPr>
      </w:pPr>
    </w:p>
    <w:p w14:paraId="7CC7BD7C" w14:textId="77777777" w:rsidR="00D83336" w:rsidRDefault="00D83336" w:rsidP="0060430B">
      <w:pPr>
        <w:jc w:val="center"/>
        <w:rPr>
          <w:szCs w:val="24"/>
        </w:rPr>
      </w:pPr>
    </w:p>
    <w:p w14:paraId="15BD3902" w14:textId="77777777" w:rsidR="00D83336" w:rsidRDefault="00D83336" w:rsidP="0060430B">
      <w:pPr>
        <w:jc w:val="center"/>
        <w:rPr>
          <w:szCs w:val="24"/>
        </w:rPr>
      </w:pPr>
    </w:p>
    <w:p w14:paraId="1740B80D" w14:textId="77777777" w:rsidR="00D83336" w:rsidRDefault="00D83336" w:rsidP="0060430B">
      <w:pPr>
        <w:jc w:val="center"/>
        <w:rPr>
          <w:szCs w:val="24"/>
        </w:rPr>
      </w:pPr>
    </w:p>
    <w:p w14:paraId="28E198A6" w14:textId="77777777" w:rsidR="00D83336" w:rsidRDefault="00D83336" w:rsidP="0060430B">
      <w:pPr>
        <w:jc w:val="center"/>
        <w:rPr>
          <w:szCs w:val="24"/>
        </w:rPr>
      </w:pPr>
    </w:p>
    <w:p w14:paraId="71A9EE8B" w14:textId="77777777" w:rsidR="00D83336" w:rsidRDefault="00D83336" w:rsidP="0060430B">
      <w:pPr>
        <w:jc w:val="center"/>
        <w:rPr>
          <w:szCs w:val="24"/>
        </w:rPr>
      </w:pPr>
    </w:p>
    <w:p w14:paraId="1F314D53" w14:textId="77777777" w:rsidR="00D83336" w:rsidRDefault="00D83336" w:rsidP="0060430B">
      <w:pPr>
        <w:jc w:val="center"/>
        <w:rPr>
          <w:szCs w:val="24"/>
        </w:rPr>
      </w:pPr>
    </w:p>
    <w:p w14:paraId="41702253" w14:textId="77777777" w:rsidR="00D83336" w:rsidRDefault="00D83336" w:rsidP="0060430B">
      <w:pPr>
        <w:jc w:val="center"/>
        <w:rPr>
          <w:szCs w:val="24"/>
        </w:rPr>
      </w:pPr>
    </w:p>
    <w:p w14:paraId="05E19456" w14:textId="77777777" w:rsidR="00D83336" w:rsidRDefault="00D83336" w:rsidP="0060430B">
      <w:pPr>
        <w:jc w:val="center"/>
        <w:rPr>
          <w:szCs w:val="24"/>
        </w:rPr>
      </w:pPr>
    </w:p>
    <w:p w14:paraId="3A0453FA" w14:textId="77777777" w:rsidR="00D83336" w:rsidRDefault="00D83336" w:rsidP="0060430B">
      <w:pPr>
        <w:jc w:val="center"/>
        <w:rPr>
          <w:szCs w:val="24"/>
        </w:rPr>
      </w:pPr>
    </w:p>
    <w:p w14:paraId="53166227" w14:textId="77777777" w:rsidR="0060430B" w:rsidRDefault="0060430B" w:rsidP="0060430B">
      <w:pPr>
        <w:jc w:val="center"/>
        <w:rPr>
          <w:b/>
          <w:sz w:val="24"/>
          <w:szCs w:val="24"/>
        </w:rPr>
      </w:pPr>
      <w:r w:rsidRPr="00010416">
        <w:rPr>
          <w:szCs w:val="24"/>
        </w:rPr>
        <w:t>Fonte:</w:t>
      </w:r>
      <w:r w:rsidRPr="00010416">
        <w:rPr>
          <w:b/>
          <w:szCs w:val="24"/>
        </w:rPr>
        <w:t xml:space="preserve"> </w:t>
      </w:r>
      <w:r w:rsidRPr="0060430B">
        <w:rPr>
          <w:szCs w:val="24"/>
        </w:rPr>
        <w:t xml:space="preserve">Elaboração própria </w:t>
      </w:r>
    </w:p>
    <w:p w14:paraId="1CC0652F" w14:textId="72811F53" w:rsidR="0060430B" w:rsidRDefault="0060430B" w:rsidP="0060430B">
      <w:pPr>
        <w:jc w:val="both"/>
        <w:rPr>
          <w:sz w:val="24"/>
          <w:szCs w:val="24"/>
        </w:rPr>
      </w:pPr>
      <w:r>
        <w:rPr>
          <w:b/>
          <w:sz w:val="24"/>
          <w:szCs w:val="24"/>
        </w:rPr>
        <w:lastRenderedPageBreak/>
        <w:tab/>
      </w:r>
      <w:r>
        <w:rPr>
          <w:sz w:val="24"/>
          <w:szCs w:val="24"/>
        </w:rPr>
        <w:t xml:space="preserve">De acordo com a </w:t>
      </w:r>
      <w:r w:rsidR="002552F1">
        <w:rPr>
          <w:sz w:val="24"/>
          <w:szCs w:val="24"/>
        </w:rPr>
        <w:t>Tabela 4</w:t>
      </w:r>
      <w:r>
        <w:rPr>
          <w:sz w:val="24"/>
          <w:szCs w:val="24"/>
        </w:rPr>
        <w:t>, no ano de 2010, a dotação orçamentária foi de R$ 17.283.161.679,57, a qual vem crescendo ao longo do período. No último exercício analisado, o orçamento autorizado foi de R$ 30.283.161.679,57, representando um crescimento de 76,07% em relação ao primeiro exercício analisado.</w:t>
      </w:r>
    </w:p>
    <w:p w14:paraId="1BF68EF3" w14:textId="77777777" w:rsidR="0060430B" w:rsidRDefault="0060430B" w:rsidP="0060430B">
      <w:pPr>
        <w:jc w:val="both"/>
        <w:rPr>
          <w:sz w:val="24"/>
          <w:szCs w:val="24"/>
        </w:rPr>
      </w:pPr>
      <w:r>
        <w:rPr>
          <w:sz w:val="24"/>
          <w:szCs w:val="24"/>
        </w:rPr>
        <w:tab/>
        <w:t>Referente aos valores empenhados, o Estado de Santa Catarina, na etapa da execução das despesas, tem executado quantitativos próximos de 85%, exceto para os anos de 2015 e 2016 cujo emprenho foi da ordem de respectivamente 80,59% e 81,86% do orçamento autorizado.</w:t>
      </w:r>
    </w:p>
    <w:p w14:paraId="5CD6AFB5" w14:textId="77777777" w:rsidR="0060430B" w:rsidRDefault="0060430B" w:rsidP="0060430B">
      <w:pPr>
        <w:jc w:val="both"/>
        <w:rPr>
          <w:sz w:val="24"/>
          <w:szCs w:val="24"/>
        </w:rPr>
      </w:pPr>
    </w:p>
    <w:p w14:paraId="331F8BC5" w14:textId="77777777" w:rsidR="0060430B" w:rsidRPr="00204FA1" w:rsidRDefault="0060430B" w:rsidP="0060430B">
      <w:pPr>
        <w:jc w:val="both"/>
        <w:rPr>
          <w:b/>
          <w:sz w:val="24"/>
          <w:szCs w:val="24"/>
        </w:rPr>
      </w:pPr>
      <w:r w:rsidRPr="00204FA1">
        <w:rPr>
          <w:b/>
          <w:sz w:val="24"/>
          <w:szCs w:val="24"/>
        </w:rPr>
        <w:t>4.4 Evolução da Inscrição de Restos a Pagar</w:t>
      </w:r>
    </w:p>
    <w:p w14:paraId="5C41D650" w14:textId="1E592219" w:rsidR="0060430B" w:rsidRDefault="0060430B" w:rsidP="0060430B">
      <w:pPr>
        <w:jc w:val="both"/>
        <w:rPr>
          <w:sz w:val="24"/>
          <w:szCs w:val="24"/>
        </w:rPr>
      </w:pPr>
      <w:r>
        <w:rPr>
          <w:sz w:val="24"/>
          <w:szCs w:val="24"/>
        </w:rPr>
        <w:tab/>
        <w:t xml:space="preserve">Como abordado anteriormente, a conta de inscrição em restos a pagar decorre quando uma despesa é executada no orçamento e não é paga até o final do exercício. A </w:t>
      </w:r>
      <w:r w:rsidR="002552F1">
        <w:rPr>
          <w:sz w:val="24"/>
          <w:szCs w:val="24"/>
        </w:rPr>
        <w:t>Tabela 5</w:t>
      </w:r>
      <w:r>
        <w:rPr>
          <w:sz w:val="24"/>
          <w:szCs w:val="24"/>
        </w:rPr>
        <w:t xml:space="preserve">, desta forma, apresenta os dados referente a evolução da inscrição total em restos a pagar no decorrer período analisado, também é feita uma análise vertical para que assim possa-se ver o percentual que teve de </w:t>
      </w:r>
      <w:r w:rsidR="00D83336">
        <w:rPr>
          <w:sz w:val="24"/>
          <w:szCs w:val="24"/>
        </w:rPr>
        <w:t>aumento ou redução em cada ano.</w:t>
      </w:r>
    </w:p>
    <w:p w14:paraId="64C79B6B" w14:textId="09BC8460" w:rsidR="0060430B" w:rsidRPr="00A37DCC" w:rsidRDefault="002552F1" w:rsidP="0060430B">
      <w:pPr>
        <w:jc w:val="center"/>
        <w:rPr>
          <w:szCs w:val="24"/>
        </w:rPr>
      </w:pPr>
      <w:r>
        <w:rPr>
          <w:szCs w:val="24"/>
        </w:rPr>
        <w:t>Tabela 5</w:t>
      </w:r>
      <w:r w:rsidR="00FE469D">
        <w:rPr>
          <w:szCs w:val="24"/>
        </w:rPr>
        <w:t xml:space="preserve">. </w:t>
      </w:r>
      <w:r w:rsidR="0060430B" w:rsidRPr="00A37DCC">
        <w:rPr>
          <w:szCs w:val="24"/>
        </w:rPr>
        <w:t xml:space="preserve"> Restos a Pagar Inscritos</w:t>
      </w:r>
    </w:p>
    <w:tbl>
      <w:tblPr>
        <w:tblW w:w="0" w:type="auto"/>
        <w:jc w:val="center"/>
        <w:tblLayout w:type="fixed"/>
        <w:tblCellMar>
          <w:left w:w="70" w:type="dxa"/>
          <w:right w:w="70" w:type="dxa"/>
        </w:tblCellMar>
        <w:tblLook w:val="0000" w:firstRow="0" w:lastRow="0" w:firstColumn="0" w:lastColumn="0" w:noHBand="0" w:noVBand="0"/>
      </w:tblPr>
      <w:tblGrid>
        <w:gridCol w:w="1215"/>
        <w:gridCol w:w="2901"/>
        <w:gridCol w:w="1216"/>
      </w:tblGrid>
      <w:tr w:rsidR="0060430B" w:rsidRPr="000F37FD" w14:paraId="2D370164" w14:textId="77777777" w:rsidTr="002552F1">
        <w:trPr>
          <w:trHeight w:val="255"/>
          <w:jc w:val="center"/>
        </w:trPr>
        <w:tc>
          <w:tcPr>
            <w:tcW w:w="1215" w:type="dxa"/>
            <w:tcBorders>
              <w:top w:val="single" w:sz="6" w:space="0" w:color="auto"/>
              <w:left w:val="nil"/>
              <w:bottom w:val="single" w:sz="6" w:space="0" w:color="auto"/>
              <w:right w:val="single" w:sz="6" w:space="0" w:color="auto"/>
            </w:tcBorders>
            <w:shd w:val="clear" w:color="auto" w:fill="AEAAAA" w:themeFill="background2" w:themeFillShade="BF"/>
            <w:vAlign w:val="center"/>
          </w:tcPr>
          <w:p w14:paraId="58A24856" w14:textId="77777777" w:rsidR="0060430B" w:rsidRPr="00A37DCC" w:rsidRDefault="0060430B" w:rsidP="002552F1">
            <w:pPr>
              <w:autoSpaceDE w:val="0"/>
              <w:autoSpaceDN w:val="0"/>
              <w:adjustRightInd w:val="0"/>
              <w:jc w:val="center"/>
              <w:rPr>
                <w:b/>
                <w:bCs/>
                <w:color w:val="000000"/>
              </w:rPr>
            </w:pPr>
            <w:r w:rsidRPr="00A37DCC">
              <w:rPr>
                <w:b/>
                <w:bCs/>
                <w:color w:val="000000"/>
              </w:rPr>
              <w:t>Ano</w:t>
            </w:r>
          </w:p>
        </w:tc>
        <w:tc>
          <w:tcPr>
            <w:tcW w:w="2901" w:type="dxa"/>
            <w:tcBorders>
              <w:top w:val="single" w:sz="6" w:space="0" w:color="auto"/>
              <w:left w:val="single" w:sz="6" w:space="0" w:color="auto"/>
              <w:bottom w:val="single" w:sz="6" w:space="0" w:color="auto"/>
              <w:right w:val="single" w:sz="6" w:space="0" w:color="auto"/>
            </w:tcBorders>
            <w:shd w:val="clear" w:color="auto" w:fill="AEAAAA" w:themeFill="background2" w:themeFillShade="BF"/>
            <w:vAlign w:val="center"/>
          </w:tcPr>
          <w:p w14:paraId="64BDFDBB" w14:textId="77777777" w:rsidR="0060430B" w:rsidRPr="00A37DCC" w:rsidRDefault="0060430B" w:rsidP="002552F1">
            <w:pPr>
              <w:autoSpaceDE w:val="0"/>
              <w:autoSpaceDN w:val="0"/>
              <w:adjustRightInd w:val="0"/>
              <w:jc w:val="center"/>
              <w:rPr>
                <w:b/>
                <w:bCs/>
                <w:color w:val="000000"/>
              </w:rPr>
            </w:pPr>
            <w:r w:rsidRPr="00A37DCC">
              <w:rPr>
                <w:b/>
                <w:bCs/>
                <w:color w:val="000000"/>
              </w:rPr>
              <w:t>Total de Restos a Pagar</w:t>
            </w:r>
          </w:p>
        </w:tc>
        <w:tc>
          <w:tcPr>
            <w:tcW w:w="1216" w:type="dxa"/>
            <w:tcBorders>
              <w:top w:val="single" w:sz="6" w:space="0" w:color="auto"/>
              <w:left w:val="single" w:sz="6" w:space="0" w:color="auto"/>
              <w:bottom w:val="single" w:sz="6" w:space="0" w:color="auto"/>
              <w:right w:val="nil"/>
            </w:tcBorders>
            <w:shd w:val="clear" w:color="auto" w:fill="AEAAAA" w:themeFill="background2" w:themeFillShade="BF"/>
            <w:vAlign w:val="center"/>
          </w:tcPr>
          <w:p w14:paraId="67BBDDC0" w14:textId="77777777" w:rsidR="0060430B" w:rsidRPr="00A37DCC" w:rsidRDefault="0060430B" w:rsidP="002552F1">
            <w:pPr>
              <w:autoSpaceDE w:val="0"/>
              <w:autoSpaceDN w:val="0"/>
              <w:adjustRightInd w:val="0"/>
              <w:jc w:val="center"/>
              <w:rPr>
                <w:b/>
                <w:bCs/>
                <w:color w:val="000000"/>
              </w:rPr>
            </w:pPr>
            <w:r w:rsidRPr="00A37DCC">
              <w:rPr>
                <w:b/>
                <w:bCs/>
                <w:color w:val="000000"/>
              </w:rPr>
              <w:t>A.V.</w:t>
            </w:r>
          </w:p>
        </w:tc>
      </w:tr>
      <w:tr w:rsidR="0060430B" w:rsidRPr="000F37FD" w14:paraId="3A136A30" w14:textId="77777777" w:rsidTr="002552F1">
        <w:trPr>
          <w:trHeight w:val="255"/>
          <w:jc w:val="center"/>
        </w:trPr>
        <w:tc>
          <w:tcPr>
            <w:tcW w:w="1215" w:type="dxa"/>
            <w:tcBorders>
              <w:top w:val="single" w:sz="6" w:space="0" w:color="auto"/>
              <w:left w:val="nil"/>
              <w:bottom w:val="single" w:sz="6" w:space="0" w:color="auto"/>
              <w:right w:val="single" w:sz="6" w:space="0" w:color="auto"/>
            </w:tcBorders>
          </w:tcPr>
          <w:p w14:paraId="323D2FB9" w14:textId="77777777" w:rsidR="0060430B" w:rsidRPr="00A37DCC" w:rsidRDefault="0060430B" w:rsidP="002552F1">
            <w:pPr>
              <w:autoSpaceDE w:val="0"/>
              <w:autoSpaceDN w:val="0"/>
              <w:adjustRightInd w:val="0"/>
              <w:jc w:val="center"/>
              <w:rPr>
                <w:color w:val="000000"/>
              </w:rPr>
            </w:pPr>
            <w:r w:rsidRPr="00A37DCC">
              <w:rPr>
                <w:color w:val="000000"/>
              </w:rPr>
              <w:t>2011</w:t>
            </w:r>
          </w:p>
        </w:tc>
        <w:tc>
          <w:tcPr>
            <w:tcW w:w="2901" w:type="dxa"/>
            <w:tcBorders>
              <w:top w:val="single" w:sz="6" w:space="0" w:color="auto"/>
              <w:left w:val="single" w:sz="6" w:space="0" w:color="auto"/>
              <w:bottom w:val="single" w:sz="6" w:space="0" w:color="auto"/>
              <w:right w:val="single" w:sz="6" w:space="0" w:color="auto"/>
            </w:tcBorders>
          </w:tcPr>
          <w:p w14:paraId="705C903D" w14:textId="77777777" w:rsidR="0060430B" w:rsidRPr="00A37DCC" w:rsidRDefault="0060430B" w:rsidP="002552F1">
            <w:pPr>
              <w:autoSpaceDE w:val="0"/>
              <w:autoSpaceDN w:val="0"/>
              <w:adjustRightInd w:val="0"/>
              <w:jc w:val="center"/>
              <w:rPr>
                <w:color w:val="000000"/>
              </w:rPr>
            </w:pPr>
            <w:r w:rsidRPr="00A37DCC">
              <w:rPr>
                <w:color w:val="000000"/>
              </w:rPr>
              <w:t>428.782.872,50</w:t>
            </w:r>
          </w:p>
        </w:tc>
        <w:tc>
          <w:tcPr>
            <w:tcW w:w="1216" w:type="dxa"/>
            <w:tcBorders>
              <w:top w:val="single" w:sz="6" w:space="0" w:color="auto"/>
              <w:left w:val="nil"/>
              <w:bottom w:val="single" w:sz="6" w:space="0" w:color="auto"/>
              <w:right w:val="nil"/>
            </w:tcBorders>
          </w:tcPr>
          <w:p w14:paraId="2A1671AB" w14:textId="77777777" w:rsidR="0060430B" w:rsidRPr="00A37DCC" w:rsidRDefault="0060430B" w:rsidP="002552F1">
            <w:pPr>
              <w:autoSpaceDE w:val="0"/>
              <w:autoSpaceDN w:val="0"/>
              <w:adjustRightInd w:val="0"/>
              <w:jc w:val="center"/>
              <w:rPr>
                <w:color w:val="000000"/>
              </w:rPr>
            </w:pPr>
            <w:r w:rsidRPr="00A37DCC">
              <w:rPr>
                <w:color w:val="000000"/>
              </w:rPr>
              <w:t>-</w:t>
            </w:r>
          </w:p>
        </w:tc>
      </w:tr>
      <w:tr w:rsidR="0060430B" w:rsidRPr="000F37FD" w14:paraId="5E0F69D7" w14:textId="77777777" w:rsidTr="002552F1">
        <w:trPr>
          <w:trHeight w:val="255"/>
          <w:jc w:val="center"/>
        </w:trPr>
        <w:tc>
          <w:tcPr>
            <w:tcW w:w="1215" w:type="dxa"/>
            <w:tcBorders>
              <w:top w:val="single" w:sz="6" w:space="0" w:color="auto"/>
              <w:left w:val="nil"/>
              <w:bottom w:val="single" w:sz="6" w:space="0" w:color="auto"/>
              <w:right w:val="single" w:sz="6" w:space="0" w:color="auto"/>
            </w:tcBorders>
          </w:tcPr>
          <w:p w14:paraId="15DD8EB4" w14:textId="77777777" w:rsidR="0060430B" w:rsidRPr="00A37DCC" w:rsidRDefault="0060430B" w:rsidP="002552F1">
            <w:pPr>
              <w:autoSpaceDE w:val="0"/>
              <w:autoSpaceDN w:val="0"/>
              <w:adjustRightInd w:val="0"/>
              <w:jc w:val="center"/>
              <w:rPr>
                <w:color w:val="000000"/>
              </w:rPr>
            </w:pPr>
            <w:r w:rsidRPr="00A37DCC">
              <w:rPr>
                <w:color w:val="000000"/>
              </w:rPr>
              <w:t>2012</w:t>
            </w:r>
          </w:p>
        </w:tc>
        <w:tc>
          <w:tcPr>
            <w:tcW w:w="2901" w:type="dxa"/>
            <w:tcBorders>
              <w:top w:val="single" w:sz="6" w:space="0" w:color="auto"/>
              <w:left w:val="single" w:sz="6" w:space="0" w:color="auto"/>
              <w:bottom w:val="single" w:sz="6" w:space="0" w:color="auto"/>
              <w:right w:val="single" w:sz="6" w:space="0" w:color="auto"/>
            </w:tcBorders>
          </w:tcPr>
          <w:p w14:paraId="6FB84C01" w14:textId="77777777" w:rsidR="0060430B" w:rsidRPr="00A37DCC" w:rsidRDefault="0060430B" w:rsidP="002552F1">
            <w:pPr>
              <w:autoSpaceDE w:val="0"/>
              <w:autoSpaceDN w:val="0"/>
              <w:adjustRightInd w:val="0"/>
              <w:jc w:val="center"/>
              <w:rPr>
                <w:color w:val="000000"/>
              </w:rPr>
            </w:pPr>
            <w:r w:rsidRPr="00A37DCC">
              <w:rPr>
                <w:color w:val="000000"/>
              </w:rPr>
              <w:t>393.215.453,13</w:t>
            </w:r>
          </w:p>
        </w:tc>
        <w:tc>
          <w:tcPr>
            <w:tcW w:w="1216" w:type="dxa"/>
            <w:tcBorders>
              <w:top w:val="single" w:sz="6" w:space="0" w:color="auto"/>
              <w:left w:val="nil"/>
              <w:bottom w:val="single" w:sz="6" w:space="0" w:color="auto"/>
              <w:right w:val="nil"/>
            </w:tcBorders>
          </w:tcPr>
          <w:p w14:paraId="0C48C08C" w14:textId="77777777" w:rsidR="0060430B" w:rsidRPr="00A37DCC" w:rsidRDefault="0060430B" w:rsidP="002552F1">
            <w:pPr>
              <w:autoSpaceDE w:val="0"/>
              <w:autoSpaceDN w:val="0"/>
              <w:adjustRightInd w:val="0"/>
              <w:jc w:val="center"/>
              <w:rPr>
                <w:color w:val="000000"/>
              </w:rPr>
            </w:pPr>
            <w:r w:rsidRPr="00A37DCC">
              <w:rPr>
                <w:color w:val="000000"/>
              </w:rPr>
              <w:t>-8%</w:t>
            </w:r>
          </w:p>
        </w:tc>
      </w:tr>
      <w:tr w:rsidR="0060430B" w:rsidRPr="000F37FD" w14:paraId="185F82C6" w14:textId="77777777" w:rsidTr="002552F1">
        <w:trPr>
          <w:trHeight w:val="255"/>
          <w:jc w:val="center"/>
        </w:trPr>
        <w:tc>
          <w:tcPr>
            <w:tcW w:w="1215" w:type="dxa"/>
            <w:tcBorders>
              <w:top w:val="single" w:sz="6" w:space="0" w:color="auto"/>
              <w:left w:val="nil"/>
              <w:bottom w:val="single" w:sz="6" w:space="0" w:color="auto"/>
              <w:right w:val="single" w:sz="6" w:space="0" w:color="auto"/>
            </w:tcBorders>
          </w:tcPr>
          <w:p w14:paraId="105C32AD" w14:textId="77777777" w:rsidR="0060430B" w:rsidRPr="00A37DCC" w:rsidRDefault="0060430B" w:rsidP="002552F1">
            <w:pPr>
              <w:autoSpaceDE w:val="0"/>
              <w:autoSpaceDN w:val="0"/>
              <w:adjustRightInd w:val="0"/>
              <w:jc w:val="center"/>
              <w:rPr>
                <w:color w:val="000000"/>
              </w:rPr>
            </w:pPr>
            <w:r w:rsidRPr="00A37DCC">
              <w:rPr>
                <w:color w:val="000000"/>
              </w:rPr>
              <w:t>2013</w:t>
            </w:r>
          </w:p>
        </w:tc>
        <w:tc>
          <w:tcPr>
            <w:tcW w:w="2901" w:type="dxa"/>
            <w:tcBorders>
              <w:top w:val="single" w:sz="6" w:space="0" w:color="auto"/>
              <w:left w:val="single" w:sz="6" w:space="0" w:color="auto"/>
              <w:bottom w:val="single" w:sz="6" w:space="0" w:color="auto"/>
              <w:right w:val="single" w:sz="6" w:space="0" w:color="auto"/>
            </w:tcBorders>
          </w:tcPr>
          <w:p w14:paraId="3C10DAF5" w14:textId="77777777" w:rsidR="0060430B" w:rsidRPr="00A37DCC" w:rsidRDefault="0060430B" w:rsidP="002552F1">
            <w:pPr>
              <w:autoSpaceDE w:val="0"/>
              <w:autoSpaceDN w:val="0"/>
              <w:adjustRightInd w:val="0"/>
              <w:jc w:val="center"/>
              <w:rPr>
                <w:color w:val="000000"/>
              </w:rPr>
            </w:pPr>
            <w:r w:rsidRPr="00A37DCC">
              <w:rPr>
                <w:color w:val="000000"/>
              </w:rPr>
              <w:t>675.138.975,79</w:t>
            </w:r>
          </w:p>
        </w:tc>
        <w:tc>
          <w:tcPr>
            <w:tcW w:w="1216" w:type="dxa"/>
            <w:tcBorders>
              <w:top w:val="single" w:sz="6" w:space="0" w:color="auto"/>
              <w:left w:val="nil"/>
              <w:bottom w:val="single" w:sz="6" w:space="0" w:color="auto"/>
              <w:right w:val="nil"/>
            </w:tcBorders>
          </w:tcPr>
          <w:p w14:paraId="6DACC71D" w14:textId="77777777" w:rsidR="0060430B" w:rsidRPr="00A37DCC" w:rsidRDefault="0060430B" w:rsidP="002552F1">
            <w:pPr>
              <w:autoSpaceDE w:val="0"/>
              <w:autoSpaceDN w:val="0"/>
              <w:adjustRightInd w:val="0"/>
              <w:jc w:val="center"/>
              <w:rPr>
                <w:color w:val="000000"/>
              </w:rPr>
            </w:pPr>
            <w:r w:rsidRPr="00A37DCC">
              <w:rPr>
                <w:color w:val="000000"/>
              </w:rPr>
              <w:t>72%</w:t>
            </w:r>
          </w:p>
        </w:tc>
      </w:tr>
      <w:tr w:rsidR="0060430B" w:rsidRPr="000F37FD" w14:paraId="2E442CD8" w14:textId="77777777" w:rsidTr="002552F1">
        <w:trPr>
          <w:trHeight w:val="255"/>
          <w:jc w:val="center"/>
        </w:trPr>
        <w:tc>
          <w:tcPr>
            <w:tcW w:w="1215" w:type="dxa"/>
            <w:tcBorders>
              <w:top w:val="single" w:sz="6" w:space="0" w:color="auto"/>
              <w:left w:val="nil"/>
              <w:bottom w:val="single" w:sz="6" w:space="0" w:color="auto"/>
              <w:right w:val="single" w:sz="6" w:space="0" w:color="auto"/>
            </w:tcBorders>
          </w:tcPr>
          <w:p w14:paraId="23289450" w14:textId="77777777" w:rsidR="0060430B" w:rsidRPr="00A37DCC" w:rsidRDefault="0060430B" w:rsidP="002552F1">
            <w:pPr>
              <w:autoSpaceDE w:val="0"/>
              <w:autoSpaceDN w:val="0"/>
              <w:adjustRightInd w:val="0"/>
              <w:jc w:val="center"/>
              <w:rPr>
                <w:color w:val="000000"/>
              </w:rPr>
            </w:pPr>
            <w:r w:rsidRPr="00A37DCC">
              <w:rPr>
                <w:color w:val="000000"/>
              </w:rPr>
              <w:t>2014</w:t>
            </w:r>
          </w:p>
        </w:tc>
        <w:tc>
          <w:tcPr>
            <w:tcW w:w="2901" w:type="dxa"/>
            <w:tcBorders>
              <w:top w:val="single" w:sz="6" w:space="0" w:color="auto"/>
              <w:left w:val="single" w:sz="6" w:space="0" w:color="auto"/>
              <w:bottom w:val="single" w:sz="6" w:space="0" w:color="auto"/>
              <w:right w:val="single" w:sz="6" w:space="0" w:color="auto"/>
            </w:tcBorders>
          </w:tcPr>
          <w:p w14:paraId="66CE853F" w14:textId="77777777" w:rsidR="0060430B" w:rsidRPr="00A37DCC" w:rsidRDefault="0060430B" w:rsidP="002552F1">
            <w:pPr>
              <w:autoSpaceDE w:val="0"/>
              <w:autoSpaceDN w:val="0"/>
              <w:adjustRightInd w:val="0"/>
              <w:jc w:val="center"/>
              <w:rPr>
                <w:color w:val="000000"/>
              </w:rPr>
            </w:pPr>
            <w:r w:rsidRPr="00A37DCC">
              <w:rPr>
                <w:color w:val="000000"/>
              </w:rPr>
              <w:t>494.981.392,65</w:t>
            </w:r>
          </w:p>
        </w:tc>
        <w:tc>
          <w:tcPr>
            <w:tcW w:w="1216" w:type="dxa"/>
            <w:tcBorders>
              <w:top w:val="single" w:sz="6" w:space="0" w:color="auto"/>
              <w:left w:val="nil"/>
              <w:bottom w:val="single" w:sz="6" w:space="0" w:color="auto"/>
              <w:right w:val="nil"/>
            </w:tcBorders>
          </w:tcPr>
          <w:p w14:paraId="1BDAA6F8" w14:textId="77777777" w:rsidR="0060430B" w:rsidRPr="00A37DCC" w:rsidRDefault="0060430B" w:rsidP="002552F1">
            <w:pPr>
              <w:autoSpaceDE w:val="0"/>
              <w:autoSpaceDN w:val="0"/>
              <w:adjustRightInd w:val="0"/>
              <w:jc w:val="center"/>
              <w:rPr>
                <w:color w:val="000000"/>
              </w:rPr>
            </w:pPr>
            <w:r w:rsidRPr="00A37DCC">
              <w:rPr>
                <w:color w:val="000000"/>
              </w:rPr>
              <w:t>-27%</w:t>
            </w:r>
          </w:p>
        </w:tc>
      </w:tr>
      <w:tr w:rsidR="0060430B" w:rsidRPr="000F37FD" w14:paraId="2F71EC2B" w14:textId="77777777" w:rsidTr="002552F1">
        <w:trPr>
          <w:trHeight w:val="255"/>
          <w:jc w:val="center"/>
        </w:trPr>
        <w:tc>
          <w:tcPr>
            <w:tcW w:w="1215" w:type="dxa"/>
            <w:tcBorders>
              <w:top w:val="single" w:sz="6" w:space="0" w:color="auto"/>
              <w:left w:val="nil"/>
              <w:bottom w:val="single" w:sz="6" w:space="0" w:color="auto"/>
              <w:right w:val="single" w:sz="6" w:space="0" w:color="auto"/>
            </w:tcBorders>
          </w:tcPr>
          <w:p w14:paraId="08792F84" w14:textId="77777777" w:rsidR="0060430B" w:rsidRPr="00A37DCC" w:rsidRDefault="0060430B" w:rsidP="002552F1">
            <w:pPr>
              <w:autoSpaceDE w:val="0"/>
              <w:autoSpaceDN w:val="0"/>
              <w:adjustRightInd w:val="0"/>
              <w:jc w:val="center"/>
              <w:rPr>
                <w:color w:val="000000"/>
              </w:rPr>
            </w:pPr>
            <w:r w:rsidRPr="00A37DCC">
              <w:rPr>
                <w:color w:val="000000"/>
              </w:rPr>
              <w:t>2015</w:t>
            </w:r>
          </w:p>
        </w:tc>
        <w:tc>
          <w:tcPr>
            <w:tcW w:w="2901" w:type="dxa"/>
            <w:tcBorders>
              <w:top w:val="single" w:sz="6" w:space="0" w:color="auto"/>
              <w:left w:val="single" w:sz="6" w:space="0" w:color="auto"/>
              <w:bottom w:val="single" w:sz="6" w:space="0" w:color="auto"/>
              <w:right w:val="single" w:sz="6" w:space="0" w:color="auto"/>
            </w:tcBorders>
          </w:tcPr>
          <w:p w14:paraId="2C2094A6" w14:textId="77777777" w:rsidR="0060430B" w:rsidRPr="00A37DCC" w:rsidRDefault="0060430B" w:rsidP="002552F1">
            <w:pPr>
              <w:autoSpaceDE w:val="0"/>
              <w:autoSpaceDN w:val="0"/>
              <w:adjustRightInd w:val="0"/>
              <w:jc w:val="center"/>
              <w:rPr>
                <w:color w:val="000000"/>
              </w:rPr>
            </w:pPr>
            <w:r w:rsidRPr="00A37DCC">
              <w:rPr>
                <w:color w:val="000000"/>
              </w:rPr>
              <w:t>647.193.697,58</w:t>
            </w:r>
          </w:p>
        </w:tc>
        <w:tc>
          <w:tcPr>
            <w:tcW w:w="1216" w:type="dxa"/>
            <w:tcBorders>
              <w:top w:val="single" w:sz="6" w:space="0" w:color="auto"/>
              <w:left w:val="nil"/>
              <w:bottom w:val="single" w:sz="6" w:space="0" w:color="auto"/>
              <w:right w:val="nil"/>
            </w:tcBorders>
          </w:tcPr>
          <w:p w14:paraId="78F378E5" w14:textId="77777777" w:rsidR="0060430B" w:rsidRPr="00A37DCC" w:rsidRDefault="0060430B" w:rsidP="002552F1">
            <w:pPr>
              <w:autoSpaceDE w:val="0"/>
              <w:autoSpaceDN w:val="0"/>
              <w:adjustRightInd w:val="0"/>
              <w:jc w:val="center"/>
              <w:rPr>
                <w:color w:val="000000"/>
              </w:rPr>
            </w:pPr>
            <w:r w:rsidRPr="00A37DCC">
              <w:rPr>
                <w:color w:val="000000"/>
              </w:rPr>
              <w:t>31%</w:t>
            </w:r>
          </w:p>
        </w:tc>
      </w:tr>
      <w:tr w:rsidR="0060430B" w:rsidRPr="000F37FD" w14:paraId="7D9A9DCE" w14:textId="77777777" w:rsidTr="002552F1">
        <w:trPr>
          <w:trHeight w:val="255"/>
          <w:jc w:val="center"/>
        </w:trPr>
        <w:tc>
          <w:tcPr>
            <w:tcW w:w="1215" w:type="dxa"/>
            <w:tcBorders>
              <w:top w:val="single" w:sz="6" w:space="0" w:color="auto"/>
              <w:left w:val="nil"/>
              <w:bottom w:val="single" w:sz="6" w:space="0" w:color="auto"/>
              <w:right w:val="single" w:sz="6" w:space="0" w:color="auto"/>
            </w:tcBorders>
          </w:tcPr>
          <w:p w14:paraId="407DF494" w14:textId="77777777" w:rsidR="0060430B" w:rsidRPr="00A37DCC" w:rsidRDefault="0060430B" w:rsidP="002552F1">
            <w:pPr>
              <w:autoSpaceDE w:val="0"/>
              <w:autoSpaceDN w:val="0"/>
              <w:adjustRightInd w:val="0"/>
              <w:jc w:val="center"/>
              <w:rPr>
                <w:color w:val="000000"/>
              </w:rPr>
            </w:pPr>
            <w:r w:rsidRPr="00A37DCC">
              <w:rPr>
                <w:color w:val="000000"/>
              </w:rPr>
              <w:t>2016</w:t>
            </w:r>
          </w:p>
        </w:tc>
        <w:tc>
          <w:tcPr>
            <w:tcW w:w="2901" w:type="dxa"/>
            <w:tcBorders>
              <w:top w:val="nil"/>
              <w:left w:val="single" w:sz="6" w:space="0" w:color="auto"/>
              <w:bottom w:val="single" w:sz="6" w:space="0" w:color="auto"/>
              <w:right w:val="single" w:sz="6" w:space="0" w:color="auto"/>
            </w:tcBorders>
          </w:tcPr>
          <w:p w14:paraId="3B1CAC21" w14:textId="77777777" w:rsidR="0060430B" w:rsidRPr="00A37DCC" w:rsidRDefault="0060430B" w:rsidP="002552F1">
            <w:pPr>
              <w:autoSpaceDE w:val="0"/>
              <w:autoSpaceDN w:val="0"/>
              <w:adjustRightInd w:val="0"/>
              <w:jc w:val="center"/>
              <w:rPr>
                <w:color w:val="000000"/>
              </w:rPr>
            </w:pPr>
            <w:r w:rsidRPr="00A37DCC">
              <w:rPr>
                <w:color w:val="000000"/>
              </w:rPr>
              <w:t>699.162.107,06</w:t>
            </w:r>
          </w:p>
        </w:tc>
        <w:tc>
          <w:tcPr>
            <w:tcW w:w="1216" w:type="dxa"/>
            <w:tcBorders>
              <w:top w:val="single" w:sz="6" w:space="0" w:color="auto"/>
              <w:left w:val="nil"/>
              <w:bottom w:val="single" w:sz="6" w:space="0" w:color="auto"/>
              <w:right w:val="nil"/>
            </w:tcBorders>
          </w:tcPr>
          <w:p w14:paraId="56044A13" w14:textId="77777777" w:rsidR="0060430B" w:rsidRPr="00A37DCC" w:rsidRDefault="0060430B" w:rsidP="002552F1">
            <w:pPr>
              <w:autoSpaceDE w:val="0"/>
              <w:autoSpaceDN w:val="0"/>
              <w:adjustRightInd w:val="0"/>
              <w:jc w:val="center"/>
              <w:rPr>
                <w:color w:val="000000"/>
              </w:rPr>
            </w:pPr>
            <w:r w:rsidRPr="00A37DCC">
              <w:rPr>
                <w:color w:val="000000"/>
              </w:rPr>
              <w:t>8%</w:t>
            </w:r>
          </w:p>
        </w:tc>
      </w:tr>
      <w:tr w:rsidR="0060430B" w:rsidRPr="000F37FD" w14:paraId="346C655B" w14:textId="77777777" w:rsidTr="002552F1">
        <w:trPr>
          <w:trHeight w:val="255"/>
          <w:jc w:val="center"/>
        </w:trPr>
        <w:tc>
          <w:tcPr>
            <w:tcW w:w="1215" w:type="dxa"/>
            <w:tcBorders>
              <w:top w:val="single" w:sz="6" w:space="0" w:color="auto"/>
              <w:left w:val="nil"/>
              <w:bottom w:val="single" w:sz="6" w:space="0" w:color="auto"/>
              <w:right w:val="single" w:sz="6" w:space="0" w:color="auto"/>
            </w:tcBorders>
          </w:tcPr>
          <w:p w14:paraId="2FA4DF0C" w14:textId="77777777" w:rsidR="0060430B" w:rsidRPr="00A37DCC" w:rsidRDefault="0060430B" w:rsidP="002552F1">
            <w:pPr>
              <w:autoSpaceDE w:val="0"/>
              <w:autoSpaceDN w:val="0"/>
              <w:adjustRightInd w:val="0"/>
              <w:jc w:val="center"/>
              <w:rPr>
                <w:color w:val="000000"/>
              </w:rPr>
            </w:pPr>
            <w:r w:rsidRPr="00A37DCC">
              <w:rPr>
                <w:color w:val="000000"/>
              </w:rPr>
              <w:t>2017</w:t>
            </w:r>
          </w:p>
        </w:tc>
        <w:tc>
          <w:tcPr>
            <w:tcW w:w="2901" w:type="dxa"/>
            <w:tcBorders>
              <w:top w:val="single" w:sz="6" w:space="0" w:color="auto"/>
              <w:left w:val="single" w:sz="6" w:space="0" w:color="auto"/>
              <w:bottom w:val="single" w:sz="6" w:space="0" w:color="auto"/>
              <w:right w:val="single" w:sz="6" w:space="0" w:color="auto"/>
            </w:tcBorders>
          </w:tcPr>
          <w:p w14:paraId="630DA8E6" w14:textId="77777777" w:rsidR="0060430B" w:rsidRPr="00A37DCC" w:rsidRDefault="0060430B" w:rsidP="002552F1">
            <w:pPr>
              <w:autoSpaceDE w:val="0"/>
              <w:autoSpaceDN w:val="0"/>
              <w:adjustRightInd w:val="0"/>
              <w:jc w:val="center"/>
              <w:rPr>
                <w:color w:val="000000"/>
              </w:rPr>
            </w:pPr>
            <w:r w:rsidRPr="00A37DCC">
              <w:rPr>
                <w:color w:val="000000"/>
              </w:rPr>
              <w:t>1.078.450.641,51</w:t>
            </w:r>
          </w:p>
        </w:tc>
        <w:tc>
          <w:tcPr>
            <w:tcW w:w="1216" w:type="dxa"/>
            <w:tcBorders>
              <w:top w:val="single" w:sz="6" w:space="0" w:color="auto"/>
              <w:left w:val="single" w:sz="6" w:space="0" w:color="auto"/>
              <w:bottom w:val="single" w:sz="6" w:space="0" w:color="auto"/>
              <w:right w:val="nil"/>
            </w:tcBorders>
          </w:tcPr>
          <w:p w14:paraId="1E155BB8" w14:textId="77777777" w:rsidR="0060430B" w:rsidRPr="00A37DCC" w:rsidRDefault="0060430B" w:rsidP="002552F1">
            <w:pPr>
              <w:autoSpaceDE w:val="0"/>
              <w:autoSpaceDN w:val="0"/>
              <w:adjustRightInd w:val="0"/>
              <w:jc w:val="center"/>
              <w:rPr>
                <w:color w:val="000000"/>
              </w:rPr>
            </w:pPr>
            <w:r w:rsidRPr="00A37DCC">
              <w:rPr>
                <w:color w:val="000000"/>
              </w:rPr>
              <w:t>54%</w:t>
            </w:r>
          </w:p>
        </w:tc>
      </w:tr>
    </w:tbl>
    <w:p w14:paraId="3D7920C9" w14:textId="77777777" w:rsidR="0060430B" w:rsidRPr="00D83336" w:rsidRDefault="0060430B" w:rsidP="00D83336">
      <w:pPr>
        <w:jc w:val="center"/>
      </w:pPr>
      <w:r w:rsidRPr="00C01D85">
        <w:t xml:space="preserve">Fonte: </w:t>
      </w:r>
      <w:r>
        <w:t>Elaboração própria</w:t>
      </w:r>
    </w:p>
    <w:p w14:paraId="6AEB98DB" w14:textId="5FBD19BA" w:rsidR="0060430B" w:rsidRDefault="0060430B" w:rsidP="0060430B">
      <w:pPr>
        <w:ind w:firstLine="708"/>
        <w:jc w:val="both"/>
        <w:rPr>
          <w:sz w:val="24"/>
        </w:rPr>
      </w:pPr>
      <w:r>
        <w:rPr>
          <w:sz w:val="24"/>
        </w:rPr>
        <w:t xml:space="preserve">Para uma melhor análise, apresenta-se a seguir </w:t>
      </w:r>
      <w:r w:rsidR="00EB6D9C">
        <w:rPr>
          <w:sz w:val="24"/>
        </w:rPr>
        <w:t>a Figura</w:t>
      </w:r>
      <w:r>
        <w:rPr>
          <w:sz w:val="24"/>
        </w:rPr>
        <w:t xml:space="preserve"> 1. Nota-se que a evolução da inscrição total em restos a pagar não é constante, uma vez que teve uma diminuição no exercício de 2012, crescendo consideravelmente em 2013 e novamente decrescendo no exercício de 2014.</w:t>
      </w:r>
    </w:p>
    <w:p w14:paraId="6B540197" w14:textId="77777777" w:rsidR="0060430B" w:rsidRPr="006E1487" w:rsidRDefault="0060430B" w:rsidP="0060430B">
      <w:pPr>
        <w:jc w:val="center"/>
      </w:pPr>
      <w:r>
        <w:rPr>
          <w:noProof/>
        </w:rPr>
        <w:drawing>
          <wp:inline distT="0" distB="0" distL="0" distR="0" wp14:anchorId="2FE32E79" wp14:editId="289C4623">
            <wp:extent cx="4305300" cy="183832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CDFDC3" w14:textId="77777777" w:rsidR="0060430B" w:rsidRDefault="0060430B" w:rsidP="00A44657">
      <w:pPr>
        <w:ind w:firstLine="708"/>
        <w:jc w:val="center"/>
      </w:pPr>
      <w:r>
        <w:t xml:space="preserve">Figura 1. </w:t>
      </w:r>
      <w:r w:rsidRPr="006E1487">
        <w:t>Restos a Pagar Inscritos</w:t>
      </w:r>
    </w:p>
    <w:p w14:paraId="498CD7B7" w14:textId="77777777" w:rsidR="0060430B" w:rsidRPr="00D83336" w:rsidRDefault="0060430B" w:rsidP="00A44657">
      <w:pPr>
        <w:jc w:val="center"/>
        <w:rPr>
          <w:szCs w:val="24"/>
        </w:rPr>
      </w:pPr>
      <w:r>
        <w:rPr>
          <w:szCs w:val="24"/>
        </w:rPr>
        <w:t>Fonte: Elaboração própria</w:t>
      </w:r>
    </w:p>
    <w:p w14:paraId="3B3C51F6" w14:textId="77506102" w:rsidR="0060430B" w:rsidRDefault="0060430B" w:rsidP="0060430B">
      <w:pPr>
        <w:jc w:val="both"/>
        <w:rPr>
          <w:sz w:val="24"/>
          <w:szCs w:val="24"/>
        </w:rPr>
      </w:pPr>
      <w:r>
        <w:rPr>
          <w:sz w:val="24"/>
          <w:szCs w:val="24"/>
        </w:rPr>
        <w:tab/>
        <w:t xml:space="preserve">Analisando </w:t>
      </w:r>
      <w:r w:rsidR="00EB6D9C">
        <w:rPr>
          <w:sz w:val="24"/>
          <w:szCs w:val="24"/>
        </w:rPr>
        <w:t>a Figura</w:t>
      </w:r>
      <w:r>
        <w:rPr>
          <w:sz w:val="24"/>
          <w:szCs w:val="24"/>
        </w:rPr>
        <w:t xml:space="preserve"> 1, fica evidente o comportamento da inscrição em restos a pagar ao longo do período analisado. Percebe-se que no ano de 2013 o montante das despesas que foram inscritas em restos a pagar possui um valor expressivamente maior se comparado com o biênio de 2011 e 2012, sendo estes os menores de todo o período analisado. Em 2014 </w:t>
      </w:r>
      <w:r>
        <w:rPr>
          <w:sz w:val="24"/>
          <w:szCs w:val="24"/>
        </w:rPr>
        <w:lastRenderedPageBreak/>
        <w:t xml:space="preserve">ocorreu uma redução na inscrição de restos a pagar e desde então ela tem assumido uma trajetória ascendente, sendo que o ano de 2017 tem apresentado o maior valor de todo o período analisado. </w:t>
      </w:r>
    </w:p>
    <w:p w14:paraId="142112FA" w14:textId="77777777" w:rsidR="0060430B" w:rsidRDefault="0060430B" w:rsidP="0060430B">
      <w:pPr>
        <w:ind w:firstLine="708"/>
        <w:jc w:val="both"/>
        <w:rPr>
          <w:sz w:val="24"/>
          <w:szCs w:val="24"/>
        </w:rPr>
      </w:pPr>
      <w:r>
        <w:rPr>
          <w:sz w:val="24"/>
          <w:szCs w:val="24"/>
        </w:rPr>
        <w:t xml:space="preserve">De acordo com relatórios contábeis do ente analisado, os anos que tiveram um montante maior em inscrição de restos a pagar, sendo esses 2013, 2015, 2016, 2017 estão relacionados a inscrição de despesas com pessoal e encargos sociais, com investimentos e outras despesas correntes. </w:t>
      </w:r>
    </w:p>
    <w:p w14:paraId="53E1B4AB" w14:textId="2D93554E" w:rsidR="0060430B" w:rsidRDefault="0060430B" w:rsidP="0060430B">
      <w:pPr>
        <w:jc w:val="both"/>
        <w:rPr>
          <w:sz w:val="24"/>
          <w:szCs w:val="24"/>
        </w:rPr>
      </w:pPr>
      <w:r>
        <w:rPr>
          <w:sz w:val="24"/>
          <w:szCs w:val="24"/>
        </w:rPr>
        <w:tab/>
        <w:t xml:space="preserve">Na </w:t>
      </w:r>
      <w:r w:rsidR="002552F1">
        <w:rPr>
          <w:sz w:val="24"/>
          <w:szCs w:val="24"/>
        </w:rPr>
        <w:t>Tabela 6</w:t>
      </w:r>
      <w:r>
        <w:rPr>
          <w:sz w:val="24"/>
          <w:szCs w:val="24"/>
        </w:rPr>
        <w:t xml:space="preserve"> é apresentada uma comparação entre os restos a pagar que passaram pelo estágio da liquidação, os processados, com os que ainda não foram liquidados, os não processados, juntamente com o total que foi inscrito no decorrer dos anos analisados. Também é feita uma análise horizontal, para verificar qual a porcentagem inscrita em restos a pagar processados e não processados de acordo</w:t>
      </w:r>
      <w:r w:rsidR="00D83336">
        <w:rPr>
          <w:sz w:val="24"/>
          <w:szCs w:val="24"/>
        </w:rPr>
        <w:t xml:space="preserve"> com o montante total inscrito.</w:t>
      </w:r>
    </w:p>
    <w:p w14:paraId="14DCF8A3" w14:textId="0F8C9EAC" w:rsidR="0060430B" w:rsidRPr="00A37DCC" w:rsidRDefault="002552F1" w:rsidP="0060430B">
      <w:pPr>
        <w:jc w:val="center"/>
        <w:rPr>
          <w:szCs w:val="24"/>
        </w:rPr>
      </w:pPr>
      <w:r>
        <w:rPr>
          <w:szCs w:val="24"/>
        </w:rPr>
        <w:t>Tabela 6</w:t>
      </w:r>
      <w:r w:rsidR="0060430B">
        <w:rPr>
          <w:szCs w:val="24"/>
        </w:rPr>
        <w:t xml:space="preserve">. </w:t>
      </w:r>
      <w:r w:rsidR="0060430B" w:rsidRPr="00A37DCC">
        <w:rPr>
          <w:szCs w:val="24"/>
        </w:rPr>
        <w:t xml:space="preserve"> Restos a Pagar Não Processados e Processados em relação ao Total Inscrito</w:t>
      </w:r>
    </w:p>
    <w:tbl>
      <w:tblPr>
        <w:tblW w:w="8222" w:type="dxa"/>
        <w:jc w:val="center"/>
        <w:tblCellMar>
          <w:left w:w="70" w:type="dxa"/>
          <w:right w:w="70" w:type="dxa"/>
        </w:tblCellMar>
        <w:tblLook w:val="04A0" w:firstRow="1" w:lastRow="0" w:firstColumn="1" w:lastColumn="0" w:noHBand="0" w:noVBand="1"/>
      </w:tblPr>
      <w:tblGrid>
        <w:gridCol w:w="623"/>
        <w:gridCol w:w="2128"/>
        <w:gridCol w:w="1800"/>
        <w:gridCol w:w="1897"/>
        <w:gridCol w:w="931"/>
        <w:gridCol w:w="843"/>
      </w:tblGrid>
      <w:tr w:rsidR="0060430B" w:rsidRPr="001D7AF5" w14:paraId="01FA9C95" w14:textId="77777777" w:rsidTr="002552F1">
        <w:trPr>
          <w:trHeight w:val="245"/>
          <w:jc w:val="center"/>
        </w:trPr>
        <w:tc>
          <w:tcPr>
            <w:tcW w:w="6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7C3B49FF" w14:textId="77777777" w:rsidR="0060430B" w:rsidRPr="00A37DCC" w:rsidRDefault="0060430B" w:rsidP="002552F1">
            <w:pPr>
              <w:jc w:val="center"/>
              <w:rPr>
                <w:b/>
                <w:color w:val="000000"/>
              </w:rPr>
            </w:pPr>
            <w:r w:rsidRPr="00A37DCC">
              <w:rPr>
                <w:b/>
                <w:color w:val="000000"/>
              </w:rPr>
              <w:t>Ano</w:t>
            </w:r>
          </w:p>
        </w:tc>
        <w:tc>
          <w:tcPr>
            <w:tcW w:w="2128"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992B21A" w14:textId="77777777" w:rsidR="0060430B" w:rsidRPr="00A37DCC" w:rsidRDefault="0060430B" w:rsidP="002552F1">
            <w:pPr>
              <w:jc w:val="center"/>
              <w:rPr>
                <w:b/>
                <w:color w:val="000000"/>
              </w:rPr>
            </w:pPr>
            <w:r w:rsidRPr="00A37DCC">
              <w:rPr>
                <w:b/>
                <w:color w:val="000000"/>
              </w:rPr>
              <w:t>Não Processados Inscritos</w:t>
            </w:r>
          </w:p>
        </w:tc>
        <w:tc>
          <w:tcPr>
            <w:tcW w:w="180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5BC749AA" w14:textId="77777777" w:rsidR="0060430B" w:rsidRPr="00A37DCC" w:rsidRDefault="0060430B" w:rsidP="002552F1">
            <w:pPr>
              <w:jc w:val="center"/>
              <w:rPr>
                <w:b/>
                <w:color w:val="000000"/>
              </w:rPr>
            </w:pPr>
            <w:r w:rsidRPr="00A37DCC">
              <w:rPr>
                <w:b/>
                <w:color w:val="000000"/>
              </w:rPr>
              <w:t>Processados Inscritos</w:t>
            </w:r>
          </w:p>
        </w:tc>
        <w:tc>
          <w:tcPr>
            <w:tcW w:w="1897"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761DDC5" w14:textId="77777777" w:rsidR="0060430B" w:rsidRPr="00A37DCC" w:rsidRDefault="0060430B" w:rsidP="002552F1">
            <w:pPr>
              <w:jc w:val="center"/>
              <w:rPr>
                <w:b/>
                <w:color w:val="000000"/>
              </w:rPr>
            </w:pPr>
            <w:r w:rsidRPr="00A37DCC">
              <w:rPr>
                <w:b/>
                <w:color w:val="000000"/>
              </w:rPr>
              <w:t>Total de Restos a Pagar</w:t>
            </w:r>
          </w:p>
        </w:tc>
        <w:tc>
          <w:tcPr>
            <w:tcW w:w="931"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50858E54" w14:textId="77777777" w:rsidR="0060430B" w:rsidRPr="00A37DCC" w:rsidRDefault="0060430B" w:rsidP="002552F1">
            <w:pPr>
              <w:jc w:val="center"/>
              <w:rPr>
                <w:b/>
                <w:color w:val="000000"/>
              </w:rPr>
            </w:pPr>
            <w:r w:rsidRPr="00A37DCC">
              <w:rPr>
                <w:b/>
                <w:color w:val="000000"/>
              </w:rPr>
              <w:t>A.H. RPNP</w:t>
            </w:r>
          </w:p>
        </w:tc>
        <w:tc>
          <w:tcPr>
            <w:tcW w:w="843" w:type="dxa"/>
            <w:tcBorders>
              <w:top w:val="single" w:sz="4" w:space="0" w:color="auto"/>
              <w:left w:val="nil"/>
              <w:bottom w:val="single" w:sz="4" w:space="0" w:color="auto"/>
              <w:right w:val="nil"/>
            </w:tcBorders>
            <w:shd w:val="clear" w:color="auto" w:fill="AEAAAA" w:themeFill="background2" w:themeFillShade="BF"/>
            <w:noWrap/>
            <w:vAlign w:val="center"/>
            <w:hideMark/>
          </w:tcPr>
          <w:p w14:paraId="2EB21C76" w14:textId="77777777" w:rsidR="0060430B" w:rsidRPr="00A37DCC" w:rsidRDefault="0060430B" w:rsidP="002552F1">
            <w:pPr>
              <w:jc w:val="center"/>
              <w:rPr>
                <w:b/>
                <w:color w:val="000000"/>
              </w:rPr>
            </w:pPr>
            <w:r w:rsidRPr="00A37DCC">
              <w:rPr>
                <w:b/>
                <w:color w:val="000000"/>
              </w:rPr>
              <w:t>A.H. RPP</w:t>
            </w:r>
          </w:p>
        </w:tc>
      </w:tr>
      <w:tr w:rsidR="0060430B" w:rsidRPr="00334F81" w14:paraId="31850F70" w14:textId="77777777" w:rsidTr="002552F1">
        <w:trPr>
          <w:trHeight w:val="245"/>
          <w:jc w:val="center"/>
        </w:trPr>
        <w:tc>
          <w:tcPr>
            <w:tcW w:w="623" w:type="dxa"/>
            <w:tcBorders>
              <w:top w:val="nil"/>
              <w:left w:val="nil"/>
              <w:bottom w:val="single" w:sz="4" w:space="0" w:color="auto"/>
              <w:right w:val="single" w:sz="4" w:space="0" w:color="auto"/>
            </w:tcBorders>
            <w:shd w:val="clear" w:color="auto" w:fill="auto"/>
            <w:noWrap/>
            <w:vAlign w:val="bottom"/>
            <w:hideMark/>
          </w:tcPr>
          <w:p w14:paraId="0655BF13" w14:textId="77777777" w:rsidR="0060430B" w:rsidRPr="00A37DCC" w:rsidRDefault="0060430B" w:rsidP="002552F1">
            <w:pPr>
              <w:jc w:val="center"/>
              <w:rPr>
                <w:color w:val="000000"/>
              </w:rPr>
            </w:pPr>
            <w:r w:rsidRPr="00A37DCC">
              <w:rPr>
                <w:color w:val="000000"/>
              </w:rPr>
              <w:t>2011</w:t>
            </w:r>
          </w:p>
        </w:tc>
        <w:tc>
          <w:tcPr>
            <w:tcW w:w="2128" w:type="dxa"/>
            <w:tcBorders>
              <w:top w:val="nil"/>
              <w:left w:val="nil"/>
              <w:bottom w:val="single" w:sz="4" w:space="0" w:color="auto"/>
              <w:right w:val="single" w:sz="4" w:space="0" w:color="auto"/>
            </w:tcBorders>
            <w:shd w:val="clear" w:color="auto" w:fill="auto"/>
            <w:noWrap/>
            <w:vAlign w:val="center"/>
            <w:hideMark/>
          </w:tcPr>
          <w:p w14:paraId="228FDF33" w14:textId="77777777" w:rsidR="0060430B" w:rsidRPr="00A37DCC" w:rsidRDefault="0060430B" w:rsidP="002552F1">
            <w:pPr>
              <w:jc w:val="center"/>
              <w:rPr>
                <w:color w:val="000000"/>
              </w:rPr>
            </w:pPr>
            <w:r w:rsidRPr="00A37DCC">
              <w:rPr>
                <w:color w:val="000000"/>
              </w:rPr>
              <w:t xml:space="preserve"> 382.413.888,68</w:t>
            </w:r>
          </w:p>
        </w:tc>
        <w:tc>
          <w:tcPr>
            <w:tcW w:w="1800" w:type="dxa"/>
            <w:tcBorders>
              <w:top w:val="nil"/>
              <w:left w:val="nil"/>
              <w:bottom w:val="single" w:sz="4" w:space="0" w:color="auto"/>
              <w:right w:val="single" w:sz="4" w:space="0" w:color="auto"/>
            </w:tcBorders>
            <w:shd w:val="clear" w:color="auto" w:fill="auto"/>
            <w:noWrap/>
            <w:vAlign w:val="bottom"/>
            <w:hideMark/>
          </w:tcPr>
          <w:p w14:paraId="047260D8" w14:textId="77777777" w:rsidR="0060430B" w:rsidRPr="00A37DCC" w:rsidRDefault="0060430B" w:rsidP="002552F1">
            <w:pPr>
              <w:jc w:val="center"/>
              <w:rPr>
                <w:color w:val="000000"/>
              </w:rPr>
            </w:pPr>
            <w:r w:rsidRPr="00A37DCC">
              <w:rPr>
                <w:color w:val="000000"/>
              </w:rPr>
              <w:t xml:space="preserve"> 46.368.983,82</w:t>
            </w:r>
          </w:p>
        </w:tc>
        <w:tc>
          <w:tcPr>
            <w:tcW w:w="1897" w:type="dxa"/>
            <w:tcBorders>
              <w:top w:val="nil"/>
              <w:left w:val="nil"/>
              <w:bottom w:val="single" w:sz="4" w:space="0" w:color="auto"/>
              <w:right w:val="single" w:sz="4" w:space="0" w:color="auto"/>
            </w:tcBorders>
            <w:shd w:val="clear" w:color="auto" w:fill="auto"/>
            <w:noWrap/>
            <w:vAlign w:val="bottom"/>
            <w:hideMark/>
          </w:tcPr>
          <w:p w14:paraId="32F9E0F9" w14:textId="77777777" w:rsidR="0060430B" w:rsidRPr="00A37DCC" w:rsidRDefault="0060430B" w:rsidP="002552F1">
            <w:pPr>
              <w:jc w:val="center"/>
              <w:rPr>
                <w:color w:val="000000"/>
              </w:rPr>
            </w:pPr>
            <w:r w:rsidRPr="00A37DCC">
              <w:rPr>
                <w:color w:val="000000"/>
              </w:rPr>
              <w:t xml:space="preserve"> 428.782.872,50</w:t>
            </w:r>
          </w:p>
        </w:tc>
        <w:tc>
          <w:tcPr>
            <w:tcW w:w="931" w:type="dxa"/>
            <w:tcBorders>
              <w:top w:val="nil"/>
              <w:left w:val="nil"/>
              <w:bottom w:val="single" w:sz="4" w:space="0" w:color="auto"/>
              <w:right w:val="single" w:sz="4" w:space="0" w:color="auto"/>
            </w:tcBorders>
            <w:shd w:val="clear" w:color="auto" w:fill="auto"/>
            <w:noWrap/>
            <w:vAlign w:val="bottom"/>
            <w:hideMark/>
          </w:tcPr>
          <w:p w14:paraId="37388FE1" w14:textId="77777777" w:rsidR="0060430B" w:rsidRPr="00A37DCC" w:rsidRDefault="0060430B" w:rsidP="002552F1">
            <w:pPr>
              <w:jc w:val="center"/>
              <w:rPr>
                <w:color w:val="000000"/>
              </w:rPr>
            </w:pPr>
            <w:r w:rsidRPr="00A37DCC">
              <w:rPr>
                <w:color w:val="000000"/>
              </w:rPr>
              <w:t>89%</w:t>
            </w:r>
          </w:p>
        </w:tc>
        <w:tc>
          <w:tcPr>
            <w:tcW w:w="843" w:type="dxa"/>
            <w:tcBorders>
              <w:top w:val="nil"/>
              <w:left w:val="nil"/>
              <w:bottom w:val="single" w:sz="4" w:space="0" w:color="auto"/>
              <w:right w:val="nil"/>
            </w:tcBorders>
            <w:shd w:val="clear" w:color="auto" w:fill="auto"/>
            <w:noWrap/>
            <w:vAlign w:val="bottom"/>
            <w:hideMark/>
          </w:tcPr>
          <w:p w14:paraId="0FF47DA6" w14:textId="77777777" w:rsidR="0060430B" w:rsidRPr="00A37DCC" w:rsidRDefault="0060430B" w:rsidP="002552F1">
            <w:pPr>
              <w:jc w:val="center"/>
              <w:rPr>
                <w:color w:val="000000"/>
              </w:rPr>
            </w:pPr>
            <w:r w:rsidRPr="00A37DCC">
              <w:rPr>
                <w:color w:val="000000"/>
              </w:rPr>
              <w:t>11%</w:t>
            </w:r>
          </w:p>
        </w:tc>
      </w:tr>
      <w:tr w:rsidR="0060430B" w:rsidRPr="00334F81" w14:paraId="6219D3AA" w14:textId="77777777" w:rsidTr="002552F1">
        <w:trPr>
          <w:trHeight w:val="245"/>
          <w:jc w:val="center"/>
        </w:trPr>
        <w:tc>
          <w:tcPr>
            <w:tcW w:w="623" w:type="dxa"/>
            <w:tcBorders>
              <w:top w:val="nil"/>
              <w:left w:val="nil"/>
              <w:bottom w:val="single" w:sz="4" w:space="0" w:color="auto"/>
              <w:right w:val="single" w:sz="4" w:space="0" w:color="auto"/>
            </w:tcBorders>
            <w:shd w:val="clear" w:color="auto" w:fill="auto"/>
            <w:noWrap/>
            <w:vAlign w:val="bottom"/>
            <w:hideMark/>
          </w:tcPr>
          <w:p w14:paraId="58AE1620" w14:textId="77777777" w:rsidR="0060430B" w:rsidRPr="00A37DCC" w:rsidRDefault="0060430B" w:rsidP="002552F1">
            <w:pPr>
              <w:jc w:val="center"/>
              <w:rPr>
                <w:color w:val="000000"/>
              </w:rPr>
            </w:pPr>
            <w:r w:rsidRPr="00A37DCC">
              <w:rPr>
                <w:color w:val="000000"/>
              </w:rPr>
              <w:t>2012</w:t>
            </w:r>
          </w:p>
        </w:tc>
        <w:tc>
          <w:tcPr>
            <w:tcW w:w="2128" w:type="dxa"/>
            <w:tcBorders>
              <w:top w:val="nil"/>
              <w:left w:val="nil"/>
              <w:bottom w:val="single" w:sz="4" w:space="0" w:color="auto"/>
              <w:right w:val="single" w:sz="4" w:space="0" w:color="auto"/>
            </w:tcBorders>
            <w:shd w:val="clear" w:color="auto" w:fill="auto"/>
            <w:noWrap/>
            <w:vAlign w:val="center"/>
            <w:hideMark/>
          </w:tcPr>
          <w:p w14:paraId="2993ACAF" w14:textId="77777777" w:rsidR="0060430B" w:rsidRPr="00A37DCC" w:rsidRDefault="0060430B" w:rsidP="002552F1">
            <w:pPr>
              <w:jc w:val="center"/>
              <w:rPr>
                <w:color w:val="000000"/>
              </w:rPr>
            </w:pPr>
            <w:r w:rsidRPr="00A37DCC">
              <w:rPr>
                <w:color w:val="000000"/>
              </w:rPr>
              <w:t xml:space="preserve"> 346.177.758,93</w:t>
            </w:r>
          </w:p>
        </w:tc>
        <w:tc>
          <w:tcPr>
            <w:tcW w:w="1800" w:type="dxa"/>
            <w:tcBorders>
              <w:top w:val="nil"/>
              <w:left w:val="nil"/>
              <w:bottom w:val="single" w:sz="4" w:space="0" w:color="auto"/>
              <w:right w:val="single" w:sz="4" w:space="0" w:color="auto"/>
            </w:tcBorders>
            <w:shd w:val="clear" w:color="auto" w:fill="auto"/>
            <w:noWrap/>
            <w:vAlign w:val="bottom"/>
            <w:hideMark/>
          </w:tcPr>
          <w:p w14:paraId="21546DFF" w14:textId="77777777" w:rsidR="0060430B" w:rsidRPr="00A37DCC" w:rsidRDefault="0060430B" w:rsidP="002552F1">
            <w:pPr>
              <w:jc w:val="center"/>
              <w:rPr>
                <w:color w:val="000000"/>
              </w:rPr>
            </w:pPr>
            <w:r w:rsidRPr="00A37DCC">
              <w:rPr>
                <w:color w:val="000000"/>
              </w:rPr>
              <w:t xml:space="preserve"> 47.037.694,20</w:t>
            </w:r>
          </w:p>
        </w:tc>
        <w:tc>
          <w:tcPr>
            <w:tcW w:w="1897" w:type="dxa"/>
            <w:tcBorders>
              <w:top w:val="nil"/>
              <w:left w:val="nil"/>
              <w:bottom w:val="single" w:sz="4" w:space="0" w:color="auto"/>
              <w:right w:val="single" w:sz="4" w:space="0" w:color="auto"/>
            </w:tcBorders>
            <w:shd w:val="clear" w:color="auto" w:fill="auto"/>
            <w:noWrap/>
            <w:vAlign w:val="bottom"/>
            <w:hideMark/>
          </w:tcPr>
          <w:p w14:paraId="3F0CA0DC" w14:textId="77777777" w:rsidR="0060430B" w:rsidRPr="00A37DCC" w:rsidRDefault="0060430B" w:rsidP="002552F1">
            <w:pPr>
              <w:jc w:val="center"/>
              <w:rPr>
                <w:color w:val="000000"/>
              </w:rPr>
            </w:pPr>
            <w:r w:rsidRPr="00A37DCC">
              <w:rPr>
                <w:color w:val="000000"/>
              </w:rPr>
              <w:t xml:space="preserve"> 393.215.453,13</w:t>
            </w:r>
          </w:p>
        </w:tc>
        <w:tc>
          <w:tcPr>
            <w:tcW w:w="931" w:type="dxa"/>
            <w:tcBorders>
              <w:top w:val="nil"/>
              <w:left w:val="nil"/>
              <w:bottom w:val="single" w:sz="4" w:space="0" w:color="auto"/>
              <w:right w:val="single" w:sz="4" w:space="0" w:color="auto"/>
            </w:tcBorders>
            <w:shd w:val="clear" w:color="auto" w:fill="auto"/>
            <w:noWrap/>
            <w:vAlign w:val="bottom"/>
            <w:hideMark/>
          </w:tcPr>
          <w:p w14:paraId="6283EDDD" w14:textId="77777777" w:rsidR="0060430B" w:rsidRPr="00A37DCC" w:rsidRDefault="0060430B" w:rsidP="002552F1">
            <w:pPr>
              <w:jc w:val="center"/>
              <w:rPr>
                <w:color w:val="000000"/>
              </w:rPr>
            </w:pPr>
            <w:r w:rsidRPr="00A37DCC">
              <w:rPr>
                <w:color w:val="000000"/>
              </w:rPr>
              <w:t>88%</w:t>
            </w:r>
          </w:p>
        </w:tc>
        <w:tc>
          <w:tcPr>
            <w:tcW w:w="843" w:type="dxa"/>
            <w:tcBorders>
              <w:top w:val="nil"/>
              <w:left w:val="nil"/>
              <w:bottom w:val="single" w:sz="4" w:space="0" w:color="auto"/>
              <w:right w:val="nil"/>
            </w:tcBorders>
            <w:shd w:val="clear" w:color="auto" w:fill="auto"/>
            <w:noWrap/>
            <w:vAlign w:val="bottom"/>
            <w:hideMark/>
          </w:tcPr>
          <w:p w14:paraId="7A491E3C" w14:textId="77777777" w:rsidR="0060430B" w:rsidRPr="00A37DCC" w:rsidRDefault="0060430B" w:rsidP="002552F1">
            <w:pPr>
              <w:jc w:val="center"/>
              <w:rPr>
                <w:color w:val="000000"/>
              </w:rPr>
            </w:pPr>
            <w:r w:rsidRPr="00A37DCC">
              <w:rPr>
                <w:color w:val="000000"/>
              </w:rPr>
              <w:t>12%</w:t>
            </w:r>
          </w:p>
        </w:tc>
      </w:tr>
      <w:tr w:rsidR="0060430B" w:rsidRPr="00334F81" w14:paraId="73276BD3" w14:textId="77777777" w:rsidTr="002552F1">
        <w:trPr>
          <w:trHeight w:val="245"/>
          <w:jc w:val="center"/>
        </w:trPr>
        <w:tc>
          <w:tcPr>
            <w:tcW w:w="623" w:type="dxa"/>
            <w:tcBorders>
              <w:top w:val="nil"/>
              <w:left w:val="nil"/>
              <w:bottom w:val="single" w:sz="4" w:space="0" w:color="auto"/>
              <w:right w:val="single" w:sz="4" w:space="0" w:color="auto"/>
            </w:tcBorders>
            <w:shd w:val="clear" w:color="auto" w:fill="auto"/>
            <w:noWrap/>
            <w:vAlign w:val="bottom"/>
            <w:hideMark/>
          </w:tcPr>
          <w:p w14:paraId="13DA01F1" w14:textId="77777777" w:rsidR="0060430B" w:rsidRPr="00A37DCC" w:rsidRDefault="0060430B" w:rsidP="002552F1">
            <w:pPr>
              <w:jc w:val="center"/>
              <w:rPr>
                <w:color w:val="000000"/>
              </w:rPr>
            </w:pPr>
            <w:r w:rsidRPr="00A37DCC">
              <w:rPr>
                <w:color w:val="000000"/>
              </w:rPr>
              <w:t>2013</w:t>
            </w:r>
          </w:p>
        </w:tc>
        <w:tc>
          <w:tcPr>
            <w:tcW w:w="2128" w:type="dxa"/>
            <w:tcBorders>
              <w:top w:val="nil"/>
              <w:left w:val="nil"/>
              <w:bottom w:val="single" w:sz="4" w:space="0" w:color="auto"/>
              <w:right w:val="single" w:sz="4" w:space="0" w:color="auto"/>
            </w:tcBorders>
            <w:shd w:val="clear" w:color="auto" w:fill="auto"/>
            <w:noWrap/>
            <w:vAlign w:val="center"/>
            <w:hideMark/>
          </w:tcPr>
          <w:p w14:paraId="2D894495" w14:textId="77777777" w:rsidR="0060430B" w:rsidRPr="00A37DCC" w:rsidRDefault="0060430B" w:rsidP="002552F1">
            <w:pPr>
              <w:jc w:val="center"/>
              <w:rPr>
                <w:color w:val="000000"/>
              </w:rPr>
            </w:pPr>
            <w:r w:rsidRPr="00A37DCC">
              <w:rPr>
                <w:color w:val="000000"/>
              </w:rPr>
              <w:t xml:space="preserve"> 575.717.907,84</w:t>
            </w:r>
          </w:p>
        </w:tc>
        <w:tc>
          <w:tcPr>
            <w:tcW w:w="1800" w:type="dxa"/>
            <w:tcBorders>
              <w:top w:val="nil"/>
              <w:left w:val="nil"/>
              <w:bottom w:val="single" w:sz="4" w:space="0" w:color="auto"/>
              <w:right w:val="single" w:sz="4" w:space="0" w:color="auto"/>
            </w:tcBorders>
            <w:shd w:val="clear" w:color="auto" w:fill="auto"/>
            <w:noWrap/>
            <w:vAlign w:val="bottom"/>
            <w:hideMark/>
          </w:tcPr>
          <w:p w14:paraId="0618CD4B" w14:textId="77777777" w:rsidR="0060430B" w:rsidRPr="00A37DCC" w:rsidRDefault="0060430B" w:rsidP="002552F1">
            <w:pPr>
              <w:jc w:val="center"/>
              <w:rPr>
                <w:color w:val="000000"/>
              </w:rPr>
            </w:pPr>
            <w:r w:rsidRPr="00A37DCC">
              <w:rPr>
                <w:color w:val="000000"/>
              </w:rPr>
              <w:t xml:space="preserve"> 99.421.067,95</w:t>
            </w:r>
          </w:p>
        </w:tc>
        <w:tc>
          <w:tcPr>
            <w:tcW w:w="1897" w:type="dxa"/>
            <w:tcBorders>
              <w:top w:val="nil"/>
              <w:left w:val="nil"/>
              <w:bottom w:val="single" w:sz="4" w:space="0" w:color="auto"/>
              <w:right w:val="single" w:sz="4" w:space="0" w:color="auto"/>
            </w:tcBorders>
            <w:shd w:val="clear" w:color="auto" w:fill="auto"/>
            <w:noWrap/>
            <w:vAlign w:val="bottom"/>
            <w:hideMark/>
          </w:tcPr>
          <w:p w14:paraId="00885C77" w14:textId="77777777" w:rsidR="0060430B" w:rsidRPr="00A37DCC" w:rsidRDefault="0060430B" w:rsidP="002552F1">
            <w:pPr>
              <w:jc w:val="center"/>
              <w:rPr>
                <w:color w:val="000000"/>
              </w:rPr>
            </w:pPr>
            <w:r w:rsidRPr="00A37DCC">
              <w:rPr>
                <w:color w:val="000000"/>
              </w:rPr>
              <w:t xml:space="preserve"> 675.138.975,79</w:t>
            </w:r>
          </w:p>
        </w:tc>
        <w:tc>
          <w:tcPr>
            <w:tcW w:w="931" w:type="dxa"/>
            <w:tcBorders>
              <w:top w:val="nil"/>
              <w:left w:val="nil"/>
              <w:bottom w:val="single" w:sz="4" w:space="0" w:color="auto"/>
              <w:right w:val="single" w:sz="4" w:space="0" w:color="auto"/>
            </w:tcBorders>
            <w:shd w:val="clear" w:color="auto" w:fill="auto"/>
            <w:noWrap/>
            <w:vAlign w:val="bottom"/>
            <w:hideMark/>
          </w:tcPr>
          <w:p w14:paraId="0A4FE6C6" w14:textId="77777777" w:rsidR="0060430B" w:rsidRPr="00A37DCC" w:rsidRDefault="0060430B" w:rsidP="002552F1">
            <w:pPr>
              <w:jc w:val="center"/>
              <w:rPr>
                <w:color w:val="000000"/>
              </w:rPr>
            </w:pPr>
            <w:r w:rsidRPr="00A37DCC">
              <w:rPr>
                <w:color w:val="000000"/>
              </w:rPr>
              <w:t>85%</w:t>
            </w:r>
          </w:p>
        </w:tc>
        <w:tc>
          <w:tcPr>
            <w:tcW w:w="843" w:type="dxa"/>
            <w:tcBorders>
              <w:top w:val="nil"/>
              <w:left w:val="nil"/>
              <w:bottom w:val="single" w:sz="4" w:space="0" w:color="auto"/>
              <w:right w:val="nil"/>
            </w:tcBorders>
            <w:shd w:val="clear" w:color="auto" w:fill="auto"/>
            <w:noWrap/>
            <w:vAlign w:val="bottom"/>
            <w:hideMark/>
          </w:tcPr>
          <w:p w14:paraId="3654ED7C" w14:textId="77777777" w:rsidR="0060430B" w:rsidRPr="00A37DCC" w:rsidRDefault="0060430B" w:rsidP="002552F1">
            <w:pPr>
              <w:jc w:val="center"/>
              <w:rPr>
                <w:color w:val="000000"/>
              </w:rPr>
            </w:pPr>
            <w:r w:rsidRPr="00A37DCC">
              <w:rPr>
                <w:color w:val="000000"/>
              </w:rPr>
              <w:t>15%</w:t>
            </w:r>
          </w:p>
        </w:tc>
      </w:tr>
      <w:tr w:rsidR="0060430B" w:rsidRPr="00334F81" w14:paraId="121E6EA0" w14:textId="77777777" w:rsidTr="002552F1">
        <w:trPr>
          <w:trHeight w:val="245"/>
          <w:jc w:val="center"/>
        </w:trPr>
        <w:tc>
          <w:tcPr>
            <w:tcW w:w="623" w:type="dxa"/>
            <w:tcBorders>
              <w:top w:val="nil"/>
              <w:left w:val="nil"/>
              <w:bottom w:val="single" w:sz="4" w:space="0" w:color="auto"/>
              <w:right w:val="single" w:sz="4" w:space="0" w:color="auto"/>
            </w:tcBorders>
            <w:shd w:val="clear" w:color="auto" w:fill="auto"/>
            <w:noWrap/>
            <w:vAlign w:val="bottom"/>
            <w:hideMark/>
          </w:tcPr>
          <w:p w14:paraId="4A60619B" w14:textId="77777777" w:rsidR="0060430B" w:rsidRPr="00A37DCC" w:rsidRDefault="0060430B" w:rsidP="002552F1">
            <w:pPr>
              <w:jc w:val="center"/>
              <w:rPr>
                <w:color w:val="000000"/>
              </w:rPr>
            </w:pPr>
            <w:r w:rsidRPr="00A37DCC">
              <w:rPr>
                <w:color w:val="000000"/>
              </w:rPr>
              <w:t>2014</w:t>
            </w:r>
          </w:p>
        </w:tc>
        <w:tc>
          <w:tcPr>
            <w:tcW w:w="2128" w:type="dxa"/>
            <w:tcBorders>
              <w:top w:val="nil"/>
              <w:left w:val="nil"/>
              <w:bottom w:val="single" w:sz="4" w:space="0" w:color="auto"/>
              <w:right w:val="single" w:sz="4" w:space="0" w:color="auto"/>
            </w:tcBorders>
            <w:shd w:val="clear" w:color="auto" w:fill="auto"/>
            <w:noWrap/>
            <w:vAlign w:val="center"/>
            <w:hideMark/>
          </w:tcPr>
          <w:p w14:paraId="6E8D5D22" w14:textId="77777777" w:rsidR="0060430B" w:rsidRPr="00A37DCC" w:rsidRDefault="0060430B" w:rsidP="002552F1">
            <w:pPr>
              <w:jc w:val="center"/>
              <w:rPr>
                <w:color w:val="000000"/>
              </w:rPr>
            </w:pPr>
            <w:r w:rsidRPr="00A37DCC">
              <w:rPr>
                <w:color w:val="000000"/>
              </w:rPr>
              <w:t xml:space="preserve"> 437.748.493,65</w:t>
            </w:r>
          </w:p>
        </w:tc>
        <w:tc>
          <w:tcPr>
            <w:tcW w:w="1800" w:type="dxa"/>
            <w:tcBorders>
              <w:top w:val="nil"/>
              <w:left w:val="nil"/>
              <w:bottom w:val="single" w:sz="4" w:space="0" w:color="auto"/>
              <w:right w:val="single" w:sz="4" w:space="0" w:color="auto"/>
            </w:tcBorders>
            <w:shd w:val="clear" w:color="auto" w:fill="auto"/>
            <w:noWrap/>
            <w:vAlign w:val="bottom"/>
            <w:hideMark/>
          </w:tcPr>
          <w:p w14:paraId="403ADBC9" w14:textId="77777777" w:rsidR="0060430B" w:rsidRPr="00A37DCC" w:rsidRDefault="0060430B" w:rsidP="002552F1">
            <w:pPr>
              <w:jc w:val="center"/>
              <w:rPr>
                <w:color w:val="000000"/>
              </w:rPr>
            </w:pPr>
            <w:r w:rsidRPr="00A37DCC">
              <w:rPr>
                <w:color w:val="000000"/>
              </w:rPr>
              <w:t xml:space="preserve"> 57.232.899,00</w:t>
            </w:r>
          </w:p>
        </w:tc>
        <w:tc>
          <w:tcPr>
            <w:tcW w:w="1897" w:type="dxa"/>
            <w:tcBorders>
              <w:top w:val="nil"/>
              <w:left w:val="nil"/>
              <w:bottom w:val="single" w:sz="4" w:space="0" w:color="auto"/>
              <w:right w:val="single" w:sz="4" w:space="0" w:color="auto"/>
            </w:tcBorders>
            <w:shd w:val="clear" w:color="auto" w:fill="auto"/>
            <w:noWrap/>
            <w:vAlign w:val="bottom"/>
            <w:hideMark/>
          </w:tcPr>
          <w:p w14:paraId="2D0E805E" w14:textId="77777777" w:rsidR="0060430B" w:rsidRPr="00A37DCC" w:rsidRDefault="0060430B" w:rsidP="002552F1">
            <w:pPr>
              <w:jc w:val="center"/>
              <w:rPr>
                <w:color w:val="000000"/>
              </w:rPr>
            </w:pPr>
            <w:r w:rsidRPr="00A37DCC">
              <w:rPr>
                <w:color w:val="000000"/>
              </w:rPr>
              <w:t xml:space="preserve"> 494.981.392,65</w:t>
            </w:r>
          </w:p>
        </w:tc>
        <w:tc>
          <w:tcPr>
            <w:tcW w:w="931" w:type="dxa"/>
            <w:tcBorders>
              <w:top w:val="nil"/>
              <w:left w:val="nil"/>
              <w:bottom w:val="single" w:sz="4" w:space="0" w:color="auto"/>
              <w:right w:val="single" w:sz="4" w:space="0" w:color="auto"/>
            </w:tcBorders>
            <w:shd w:val="clear" w:color="auto" w:fill="auto"/>
            <w:noWrap/>
            <w:vAlign w:val="bottom"/>
            <w:hideMark/>
          </w:tcPr>
          <w:p w14:paraId="205F6187" w14:textId="77777777" w:rsidR="0060430B" w:rsidRPr="00A37DCC" w:rsidRDefault="0060430B" w:rsidP="002552F1">
            <w:pPr>
              <w:jc w:val="center"/>
              <w:rPr>
                <w:color w:val="000000"/>
              </w:rPr>
            </w:pPr>
            <w:r w:rsidRPr="00A37DCC">
              <w:rPr>
                <w:color w:val="000000"/>
              </w:rPr>
              <w:t>88%</w:t>
            </w:r>
          </w:p>
        </w:tc>
        <w:tc>
          <w:tcPr>
            <w:tcW w:w="843" w:type="dxa"/>
            <w:tcBorders>
              <w:top w:val="nil"/>
              <w:left w:val="nil"/>
              <w:bottom w:val="single" w:sz="4" w:space="0" w:color="auto"/>
              <w:right w:val="nil"/>
            </w:tcBorders>
            <w:shd w:val="clear" w:color="auto" w:fill="auto"/>
            <w:noWrap/>
            <w:vAlign w:val="bottom"/>
            <w:hideMark/>
          </w:tcPr>
          <w:p w14:paraId="062D478C" w14:textId="77777777" w:rsidR="0060430B" w:rsidRPr="00A37DCC" w:rsidRDefault="0060430B" w:rsidP="002552F1">
            <w:pPr>
              <w:jc w:val="center"/>
              <w:rPr>
                <w:color w:val="000000"/>
              </w:rPr>
            </w:pPr>
            <w:r w:rsidRPr="00A37DCC">
              <w:rPr>
                <w:color w:val="000000"/>
              </w:rPr>
              <w:t>12%</w:t>
            </w:r>
          </w:p>
        </w:tc>
      </w:tr>
      <w:tr w:rsidR="0060430B" w:rsidRPr="00334F81" w14:paraId="41201375" w14:textId="77777777" w:rsidTr="002552F1">
        <w:trPr>
          <w:trHeight w:val="245"/>
          <w:jc w:val="center"/>
        </w:trPr>
        <w:tc>
          <w:tcPr>
            <w:tcW w:w="623" w:type="dxa"/>
            <w:tcBorders>
              <w:top w:val="nil"/>
              <w:left w:val="nil"/>
              <w:bottom w:val="single" w:sz="4" w:space="0" w:color="auto"/>
              <w:right w:val="single" w:sz="4" w:space="0" w:color="auto"/>
            </w:tcBorders>
            <w:shd w:val="clear" w:color="auto" w:fill="auto"/>
            <w:noWrap/>
            <w:vAlign w:val="bottom"/>
            <w:hideMark/>
          </w:tcPr>
          <w:p w14:paraId="34869C69" w14:textId="77777777" w:rsidR="0060430B" w:rsidRPr="00A37DCC" w:rsidRDefault="0060430B" w:rsidP="002552F1">
            <w:pPr>
              <w:jc w:val="center"/>
              <w:rPr>
                <w:color w:val="000000"/>
              </w:rPr>
            </w:pPr>
            <w:r w:rsidRPr="00A37DCC">
              <w:rPr>
                <w:color w:val="000000"/>
              </w:rPr>
              <w:t>2015</w:t>
            </w:r>
          </w:p>
        </w:tc>
        <w:tc>
          <w:tcPr>
            <w:tcW w:w="2128" w:type="dxa"/>
            <w:tcBorders>
              <w:top w:val="nil"/>
              <w:left w:val="nil"/>
              <w:bottom w:val="single" w:sz="4" w:space="0" w:color="auto"/>
              <w:right w:val="single" w:sz="4" w:space="0" w:color="auto"/>
            </w:tcBorders>
            <w:shd w:val="clear" w:color="auto" w:fill="auto"/>
            <w:noWrap/>
            <w:vAlign w:val="center"/>
            <w:hideMark/>
          </w:tcPr>
          <w:p w14:paraId="2B2B2909" w14:textId="77777777" w:rsidR="0060430B" w:rsidRPr="00A37DCC" w:rsidRDefault="0060430B" w:rsidP="002552F1">
            <w:pPr>
              <w:jc w:val="center"/>
              <w:rPr>
                <w:color w:val="000000"/>
              </w:rPr>
            </w:pPr>
            <w:r w:rsidRPr="00A37DCC">
              <w:rPr>
                <w:color w:val="000000"/>
              </w:rPr>
              <w:t xml:space="preserve"> 455.426.041,67</w:t>
            </w:r>
          </w:p>
        </w:tc>
        <w:tc>
          <w:tcPr>
            <w:tcW w:w="1800" w:type="dxa"/>
            <w:tcBorders>
              <w:top w:val="nil"/>
              <w:left w:val="nil"/>
              <w:bottom w:val="single" w:sz="4" w:space="0" w:color="auto"/>
              <w:right w:val="single" w:sz="4" w:space="0" w:color="auto"/>
            </w:tcBorders>
            <w:shd w:val="clear" w:color="auto" w:fill="auto"/>
            <w:noWrap/>
            <w:vAlign w:val="bottom"/>
            <w:hideMark/>
          </w:tcPr>
          <w:p w14:paraId="31D1FD49" w14:textId="77777777" w:rsidR="0060430B" w:rsidRPr="00A37DCC" w:rsidRDefault="0060430B" w:rsidP="002552F1">
            <w:pPr>
              <w:jc w:val="center"/>
              <w:rPr>
                <w:color w:val="000000"/>
              </w:rPr>
            </w:pPr>
            <w:r w:rsidRPr="00A37DCC">
              <w:rPr>
                <w:color w:val="000000"/>
              </w:rPr>
              <w:t xml:space="preserve"> 191.767.637,91</w:t>
            </w:r>
          </w:p>
        </w:tc>
        <w:tc>
          <w:tcPr>
            <w:tcW w:w="1897" w:type="dxa"/>
            <w:tcBorders>
              <w:top w:val="nil"/>
              <w:left w:val="nil"/>
              <w:bottom w:val="single" w:sz="4" w:space="0" w:color="auto"/>
              <w:right w:val="single" w:sz="4" w:space="0" w:color="auto"/>
            </w:tcBorders>
            <w:shd w:val="clear" w:color="auto" w:fill="auto"/>
            <w:noWrap/>
            <w:vAlign w:val="bottom"/>
            <w:hideMark/>
          </w:tcPr>
          <w:p w14:paraId="5FEEAA24" w14:textId="77777777" w:rsidR="0060430B" w:rsidRPr="00A37DCC" w:rsidRDefault="0060430B" w:rsidP="002552F1">
            <w:pPr>
              <w:jc w:val="center"/>
              <w:rPr>
                <w:color w:val="000000"/>
              </w:rPr>
            </w:pPr>
            <w:r w:rsidRPr="00A37DCC">
              <w:rPr>
                <w:color w:val="000000"/>
              </w:rPr>
              <w:t xml:space="preserve"> 647.193.679,58</w:t>
            </w:r>
          </w:p>
        </w:tc>
        <w:tc>
          <w:tcPr>
            <w:tcW w:w="931" w:type="dxa"/>
            <w:tcBorders>
              <w:top w:val="nil"/>
              <w:left w:val="nil"/>
              <w:bottom w:val="single" w:sz="4" w:space="0" w:color="auto"/>
              <w:right w:val="single" w:sz="4" w:space="0" w:color="auto"/>
            </w:tcBorders>
            <w:shd w:val="clear" w:color="auto" w:fill="auto"/>
            <w:noWrap/>
            <w:vAlign w:val="bottom"/>
            <w:hideMark/>
          </w:tcPr>
          <w:p w14:paraId="62021200" w14:textId="77777777" w:rsidR="0060430B" w:rsidRPr="00A37DCC" w:rsidRDefault="0060430B" w:rsidP="002552F1">
            <w:pPr>
              <w:jc w:val="center"/>
              <w:rPr>
                <w:color w:val="000000"/>
              </w:rPr>
            </w:pPr>
            <w:r w:rsidRPr="00A37DCC">
              <w:rPr>
                <w:color w:val="000000"/>
              </w:rPr>
              <w:t>70%</w:t>
            </w:r>
          </w:p>
        </w:tc>
        <w:tc>
          <w:tcPr>
            <w:tcW w:w="843" w:type="dxa"/>
            <w:tcBorders>
              <w:top w:val="nil"/>
              <w:left w:val="nil"/>
              <w:bottom w:val="single" w:sz="4" w:space="0" w:color="auto"/>
              <w:right w:val="nil"/>
            </w:tcBorders>
            <w:shd w:val="clear" w:color="auto" w:fill="auto"/>
            <w:noWrap/>
            <w:vAlign w:val="bottom"/>
            <w:hideMark/>
          </w:tcPr>
          <w:p w14:paraId="04796B90" w14:textId="77777777" w:rsidR="0060430B" w:rsidRPr="00A37DCC" w:rsidRDefault="0060430B" w:rsidP="002552F1">
            <w:pPr>
              <w:jc w:val="center"/>
              <w:rPr>
                <w:color w:val="000000"/>
              </w:rPr>
            </w:pPr>
            <w:r w:rsidRPr="00A37DCC">
              <w:rPr>
                <w:color w:val="000000"/>
              </w:rPr>
              <w:t>30%</w:t>
            </w:r>
          </w:p>
        </w:tc>
      </w:tr>
      <w:tr w:rsidR="0060430B" w:rsidRPr="00334F81" w14:paraId="3D580C4C" w14:textId="77777777" w:rsidTr="002552F1">
        <w:trPr>
          <w:trHeight w:val="245"/>
          <w:jc w:val="center"/>
        </w:trPr>
        <w:tc>
          <w:tcPr>
            <w:tcW w:w="623" w:type="dxa"/>
            <w:tcBorders>
              <w:top w:val="nil"/>
              <w:left w:val="nil"/>
              <w:bottom w:val="single" w:sz="4" w:space="0" w:color="auto"/>
              <w:right w:val="single" w:sz="4" w:space="0" w:color="auto"/>
            </w:tcBorders>
            <w:shd w:val="clear" w:color="auto" w:fill="auto"/>
            <w:noWrap/>
            <w:vAlign w:val="bottom"/>
            <w:hideMark/>
          </w:tcPr>
          <w:p w14:paraId="0697466D" w14:textId="77777777" w:rsidR="0060430B" w:rsidRPr="00A37DCC" w:rsidRDefault="0060430B" w:rsidP="002552F1">
            <w:pPr>
              <w:jc w:val="center"/>
              <w:rPr>
                <w:color w:val="000000"/>
              </w:rPr>
            </w:pPr>
            <w:r w:rsidRPr="00A37DCC">
              <w:rPr>
                <w:color w:val="000000"/>
              </w:rPr>
              <w:t>2016</w:t>
            </w:r>
          </w:p>
        </w:tc>
        <w:tc>
          <w:tcPr>
            <w:tcW w:w="2128" w:type="dxa"/>
            <w:tcBorders>
              <w:top w:val="nil"/>
              <w:left w:val="nil"/>
              <w:bottom w:val="single" w:sz="4" w:space="0" w:color="auto"/>
              <w:right w:val="single" w:sz="4" w:space="0" w:color="auto"/>
            </w:tcBorders>
            <w:shd w:val="clear" w:color="auto" w:fill="auto"/>
            <w:noWrap/>
            <w:vAlign w:val="center"/>
            <w:hideMark/>
          </w:tcPr>
          <w:p w14:paraId="74756BAE" w14:textId="77777777" w:rsidR="0060430B" w:rsidRPr="00A37DCC" w:rsidRDefault="0060430B" w:rsidP="002552F1">
            <w:pPr>
              <w:jc w:val="center"/>
              <w:rPr>
                <w:color w:val="000000"/>
              </w:rPr>
            </w:pPr>
            <w:r w:rsidRPr="00A37DCC">
              <w:rPr>
                <w:color w:val="000000"/>
              </w:rPr>
              <w:t xml:space="preserve"> 542.078.139,03</w:t>
            </w:r>
          </w:p>
        </w:tc>
        <w:tc>
          <w:tcPr>
            <w:tcW w:w="1800" w:type="dxa"/>
            <w:tcBorders>
              <w:top w:val="nil"/>
              <w:left w:val="nil"/>
              <w:bottom w:val="single" w:sz="4" w:space="0" w:color="auto"/>
              <w:right w:val="single" w:sz="4" w:space="0" w:color="auto"/>
            </w:tcBorders>
            <w:shd w:val="clear" w:color="auto" w:fill="auto"/>
            <w:noWrap/>
            <w:vAlign w:val="bottom"/>
            <w:hideMark/>
          </w:tcPr>
          <w:p w14:paraId="57B0F93B" w14:textId="77777777" w:rsidR="0060430B" w:rsidRPr="00A37DCC" w:rsidRDefault="0060430B" w:rsidP="002552F1">
            <w:pPr>
              <w:jc w:val="center"/>
              <w:rPr>
                <w:color w:val="000000"/>
              </w:rPr>
            </w:pPr>
            <w:r w:rsidRPr="00A37DCC">
              <w:rPr>
                <w:color w:val="000000"/>
              </w:rPr>
              <w:t xml:space="preserve"> 157.083.968,03</w:t>
            </w:r>
          </w:p>
        </w:tc>
        <w:tc>
          <w:tcPr>
            <w:tcW w:w="1897" w:type="dxa"/>
            <w:tcBorders>
              <w:top w:val="nil"/>
              <w:left w:val="nil"/>
              <w:bottom w:val="single" w:sz="4" w:space="0" w:color="auto"/>
              <w:right w:val="single" w:sz="4" w:space="0" w:color="auto"/>
            </w:tcBorders>
            <w:shd w:val="clear" w:color="auto" w:fill="auto"/>
            <w:noWrap/>
            <w:vAlign w:val="bottom"/>
            <w:hideMark/>
          </w:tcPr>
          <w:p w14:paraId="3B563290" w14:textId="77777777" w:rsidR="0060430B" w:rsidRPr="00A37DCC" w:rsidRDefault="0060430B" w:rsidP="002552F1">
            <w:pPr>
              <w:jc w:val="center"/>
              <w:rPr>
                <w:color w:val="000000"/>
              </w:rPr>
            </w:pPr>
            <w:r w:rsidRPr="00A37DCC">
              <w:rPr>
                <w:color w:val="000000"/>
              </w:rPr>
              <w:t xml:space="preserve"> 699.162.107,06</w:t>
            </w:r>
          </w:p>
        </w:tc>
        <w:tc>
          <w:tcPr>
            <w:tcW w:w="931" w:type="dxa"/>
            <w:tcBorders>
              <w:top w:val="nil"/>
              <w:left w:val="nil"/>
              <w:bottom w:val="single" w:sz="4" w:space="0" w:color="auto"/>
              <w:right w:val="single" w:sz="4" w:space="0" w:color="auto"/>
            </w:tcBorders>
            <w:shd w:val="clear" w:color="auto" w:fill="auto"/>
            <w:noWrap/>
            <w:vAlign w:val="bottom"/>
            <w:hideMark/>
          </w:tcPr>
          <w:p w14:paraId="74DE87E4" w14:textId="77777777" w:rsidR="0060430B" w:rsidRPr="00A37DCC" w:rsidRDefault="0060430B" w:rsidP="002552F1">
            <w:pPr>
              <w:jc w:val="center"/>
              <w:rPr>
                <w:color w:val="000000"/>
              </w:rPr>
            </w:pPr>
            <w:r w:rsidRPr="00A37DCC">
              <w:rPr>
                <w:color w:val="000000"/>
              </w:rPr>
              <w:t>78%</w:t>
            </w:r>
          </w:p>
        </w:tc>
        <w:tc>
          <w:tcPr>
            <w:tcW w:w="843" w:type="dxa"/>
            <w:tcBorders>
              <w:top w:val="nil"/>
              <w:left w:val="nil"/>
              <w:bottom w:val="single" w:sz="4" w:space="0" w:color="auto"/>
              <w:right w:val="nil"/>
            </w:tcBorders>
            <w:shd w:val="clear" w:color="auto" w:fill="auto"/>
            <w:noWrap/>
            <w:vAlign w:val="bottom"/>
            <w:hideMark/>
          </w:tcPr>
          <w:p w14:paraId="18101DE8" w14:textId="77777777" w:rsidR="0060430B" w:rsidRPr="00A37DCC" w:rsidRDefault="0060430B" w:rsidP="002552F1">
            <w:pPr>
              <w:jc w:val="center"/>
              <w:rPr>
                <w:color w:val="000000"/>
              </w:rPr>
            </w:pPr>
            <w:r w:rsidRPr="00A37DCC">
              <w:rPr>
                <w:color w:val="000000"/>
              </w:rPr>
              <w:t>22%</w:t>
            </w:r>
          </w:p>
        </w:tc>
      </w:tr>
      <w:tr w:rsidR="0060430B" w:rsidRPr="00334F81" w14:paraId="07FFCCA2" w14:textId="77777777" w:rsidTr="002552F1">
        <w:trPr>
          <w:trHeight w:val="245"/>
          <w:jc w:val="center"/>
        </w:trPr>
        <w:tc>
          <w:tcPr>
            <w:tcW w:w="623" w:type="dxa"/>
            <w:tcBorders>
              <w:top w:val="nil"/>
              <w:left w:val="nil"/>
              <w:bottom w:val="single" w:sz="4" w:space="0" w:color="auto"/>
              <w:right w:val="single" w:sz="4" w:space="0" w:color="auto"/>
            </w:tcBorders>
            <w:shd w:val="clear" w:color="auto" w:fill="auto"/>
            <w:noWrap/>
            <w:vAlign w:val="bottom"/>
            <w:hideMark/>
          </w:tcPr>
          <w:p w14:paraId="75DC903B" w14:textId="77777777" w:rsidR="0060430B" w:rsidRPr="00A37DCC" w:rsidRDefault="0060430B" w:rsidP="002552F1">
            <w:pPr>
              <w:jc w:val="center"/>
              <w:rPr>
                <w:color w:val="000000"/>
              </w:rPr>
            </w:pPr>
            <w:r w:rsidRPr="00A37DCC">
              <w:rPr>
                <w:color w:val="000000"/>
              </w:rPr>
              <w:t>2017</w:t>
            </w:r>
          </w:p>
        </w:tc>
        <w:tc>
          <w:tcPr>
            <w:tcW w:w="2128" w:type="dxa"/>
            <w:tcBorders>
              <w:top w:val="nil"/>
              <w:left w:val="nil"/>
              <w:bottom w:val="single" w:sz="4" w:space="0" w:color="auto"/>
              <w:right w:val="single" w:sz="4" w:space="0" w:color="auto"/>
            </w:tcBorders>
            <w:shd w:val="clear" w:color="auto" w:fill="auto"/>
            <w:noWrap/>
            <w:vAlign w:val="center"/>
            <w:hideMark/>
          </w:tcPr>
          <w:p w14:paraId="2996125C" w14:textId="77777777" w:rsidR="0060430B" w:rsidRPr="00A37DCC" w:rsidRDefault="0060430B" w:rsidP="002552F1">
            <w:pPr>
              <w:jc w:val="center"/>
              <w:rPr>
                <w:color w:val="000000"/>
              </w:rPr>
            </w:pPr>
            <w:r w:rsidRPr="00A37DCC">
              <w:rPr>
                <w:color w:val="000000"/>
              </w:rPr>
              <w:t xml:space="preserve"> 673.893.358,49</w:t>
            </w:r>
          </w:p>
        </w:tc>
        <w:tc>
          <w:tcPr>
            <w:tcW w:w="1800" w:type="dxa"/>
            <w:tcBorders>
              <w:top w:val="nil"/>
              <w:left w:val="nil"/>
              <w:bottom w:val="single" w:sz="4" w:space="0" w:color="auto"/>
              <w:right w:val="single" w:sz="4" w:space="0" w:color="auto"/>
            </w:tcBorders>
            <w:shd w:val="clear" w:color="auto" w:fill="auto"/>
            <w:noWrap/>
            <w:vAlign w:val="bottom"/>
            <w:hideMark/>
          </w:tcPr>
          <w:p w14:paraId="7D4B0EB0" w14:textId="77777777" w:rsidR="0060430B" w:rsidRPr="00A37DCC" w:rsidRDefault="0060430B" w:rsidP="002552F1">
            <w:pPr>
              <w:jc w:val="center"/>
              <w:rPr>
                <w:color w:val="000000"/>
              </w:rPr>
            </w:pPr>
            <w:r w:rsidRPr="00A37DCC">
              <w:rPr>
                <w:color w:val="000000"/>
              </w:rPr>
              <w:t>404.557.283,02</w:t>
            </w:r>
          </w:p>
        </w:tc>
        <w:tc>
          <w:tcPr>
            <w:tcW w:w="1897" w:type="dxa"/>
            <w:tcBorders>
              <w:top w:val="nil"/>
              <w:left w:val="nil"/>
              <w:bottom w:val="single" w:sz="4" w:space="0" w:color="auto"/>
              <w:right w:val="single" w:sz="4" w:space="0" w:color="auto"/>
            </w:tcBorders>
            <w:shd w:val="clear" w:color="auto" w:fill="auto"/>
            <w:noWrap/>
            <w:vAlign w:val="bottom"/>
            <w:hideMark/>
          </w:tcPr>
          <w:p w14:paraId="437F69C7" w14:textId="77777777" w:rsidR="0060430B" w:rsidRPr="00A37DCC" w:rsidRDefault="0060430B" w:rsidP="002552F1">
            <w:pPr>
              <w:jc w:val="center"/>
              <w:rPr>
                <w:color w:val="000000"/>
              </w:rPr>
            </w:pPr>
            <w:r w:rsidRPr="00A37DCC">
              <w:rPr>
                <w:color w:val="000000"/>
              </w:rPr>
              <w:t xml:space="preserve"> 1.078.450.641,51</w:t>
            </w:r>
          </w:p>
        </w:tc>
        <w:tc>
          <w:tcPr>
            <w:tcW w:w="931" w:type="dxa"/>
            <w:tcBorders>
              <w:top w:val="nil"/>
              <w:left w:val="nil"/>
              <w:bottom w:val="single" w:sz="4" w:space="0" w:color="auto"/>
              <w:right w:val="single" w:sz="4" w:space="0" w:color="auto"/>
            </w:tcBorders>
            <w:shd w:val="clear" w:color="auto" w:fill="auto"/>
            <w:noWrap/>
            <w:vAlign w:val="bottom"/>
            <w:hideMark/>
          </w:tcPr>
          <w:p w14:paraId="0A09CA3E" w14:textId="77777777" w:rsidR="0060430B" w:rsidRPr="00A37DCC" w:rsidRDefault="0060430B" w:rsidP="002552F1">
            <w:pPr>
              <w:jc w:val="center"/>
              <w:rPr>
                <w:color w:val="000000"/>
              </w:rPr>
            </w:pPr>
            <w:r w:rsidRPr="00A37DCC">
              <w:rPr>
                <w:color w:val="000000"/>
              </w:rPr>
              <w:t>62%</w:t>
            </w:r>
          </w:p>
        </w:tc>
        <w:tc>
          <w:tcPr>
            <w:tcW w:w="843" w:type="dxa"/>
            <w:tcBorders>
              <w:top w:val="nil"/>
              <w:left w:val="nil"/>
              <w:bottom w:val="single" w:sz="4" w:space="0" w:color="auto"/>
              <w:right w:val="nil"/>
            </w:tcBorders>
            <w:shd w:val="clear" w:color="auto" w:fill="auto"/>
            <w:noWrap/>
            <w:vAlign w:val="bottom"/>
            <w:hideMark/>
          </w:tcPr>
          <w:p w14:paraId="34A062EC" w14:textId="77777777" w:rsidR="0060430B" w:rsidRPr="00A37DCC" w:rsidRDefault="0060430B" w:rsidP="002552F1">
            <w:pPr>
              <w:jc w:val="center"/>
              <w:rPr>
                <w:color w:val="000000"/>
              </w:rPr>
            </w:pPr>
            <w:r w:rsidRPr="00A37DCC">
              <w:rPr>
                <w:color w:val="000000"/>
              </w:rPr>
              <w:t>38%</w:t>
            </w:r>
          </w:p>
        </w:tc>
      </w:tr>
    </w:tbl>
    <w:p w14:paraId="7B5A0E9B" w14:textId="77777777" w:rsidR="0060430B" w:rsidRDefault="0060430B" w:rsidP="00226102">
      <w:pPr>
        <w:jc w:val="center"/>
        <w:rPr>
          <w:sz w:val="24"/>
          <w:szCs w:val="24"/>
        </w:rPr>
      </w:pPr>
      <w:r>
        <w:rPr>
          <w:szCs w:val="24"/>
        </w:rPr>
        <w:t>Fonte: Elaboração própria</w:t>
      </w:r>
    </w:p>
    <w:p w14:paraId="48EF5382" w14:textId="743722BE" w:rsidR="0060430B" w:rsidRDefault="0060430B" w:rsidP="0060430B">
      <w:pPr>
        <w:ind w:firstLine="708"/>
        <w:jc w:val="both"/>
        <w:rPr>
          <w:sz w:val="24"/>
          <w:szCs w:val="24"/>
        </w:rPr>
      </w:pPr>
      <w:r>
        <w:rPr>
          <w:sz w:val="24"/>
          <w:szCs w:val="24"/>
        </w:rPr>
        <w:t xml:space="preserve">Conforme a </w:t>
      </w:r>
      <w:r w:rsidR="002552F1">
        <w:rPr>
          <w:sz w:val="24"/>
          <w:szCs w:val="24"/>
        </w:rPr>
        <w:t>Tabela 6</w:t>
      </w:r>
      <w:r>
        <w:rPr>
          <w:sz w:val="24"/>
          <w:szCs w:val="24"/>
        </w:rPr>
        <w:t xml:space="preserve">, há uma discrepância significativa no montante inscrito em restos a pagar não processados em relação aos restos a pagar processados, sendo que a maior diferença se encontra no ano de 2011, onde a quantia inscrita de RPNP era 72% maior que os RPP e a menor no ano de 2017, sendo esse montante de 24% respectivamente. Para complementar a </w:t>
      </w:r>
      <w:r w:rsidR="002552F1">
        <w:rPr>
          <w:sz w:val="24"/>
          <w:szCs w:val="24"/>
        </w:rPr>
        <w:t>Tabela 6</w:t>
      </w:r>
      <w:r>
        <w:rPr>
          <w:sz w:val="24"/>
          <w:szCs w:val="24"/>
        </w:rPr>
        <w:t xml:space="preserve"> e ter-se uma melhor visualização do comportamento da inscrição de restos a pagar processados e não processados apresenta-se abaixo o Figura 2.</w:t>
      </w:r>
    </w:p>
    <w:p w14:paraId="20637E2A" w14:textId="77777777" w:rsidR="0060430B" w:rsidRDefault="0060430B" w:rsidP="0060430B">
      <w:pPr>
        <w:jc w:val="both"/>
        <w:rPr>
          <w:sz w:val="24"/>
          <w:szCs w:val="24"/>
        </w:rPr>
      </w:pPr>
      <w:r w:rsidRPr="00A37DCC">
        <w:rPr>
          <w:noProof/>
          <w:sz w:val="16"/>
        </w:rPr>
        <w:drawing>
          <wp:anchor distT="0" distB="0" distL="114300" distR="114300" simplePos="0" relativeHeight="251659264" behindDoc="0" locked="0" layoutInCell="1" allowOverlap="1" wp14:anchorId="301E1226" wp14:editId="2C333377">
            <wp:simplePos x="0" y="0"/>
            <wp:positionH relativeFrom="column">
              <wp:posOffset>453390</wp:posOffset>
            </wp:positionH>
            <wp:positionV relativeFrom="paragraph">
              <wp:posOffset>10160</wp:posOffset>
            </wp:positionV>
            <wp:extent cx="4495800" cy="1876425"/>
            <wp:effectExtent l="0" t="0" r="0" b="17145"/>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3EBE63B" w14:textId="77777777" w:rsidR="0060430B" w:rsidRDefault="0060430B" w:rsidP="0060430B">
      <w:pPr>
        <w:jc w:val="center"/>
        <w:rPr>
          <w:szCs w:val="24"/>
        </w:rPr>
      </w:pPr>
    </w:p>
    <w:p w14:paraId="2BEC1829" w14:textId="77777777" w:rsidR="0060430B" w:rsidRDefault="0060430B" w:rsidP="0060430B">
      <w:pPr>
        <w:jc w:val="center"/>
        <w:rPr>
          <w:szCs w:val="24"/>
        </w:rPr>
      </w:pPr>
    </w:p>
    <w:p w14:paraId="1B67B59D" w14:textId="77777777" w:rsidR="0060430B" w:rsidRDefault="0060430B" w:rsidP="0060430B">
      <w:pPr>
        <w:jc w:val="center"/>
        <w:rPr>
          <w:szCs w:val="24"/>
        </w:rPr>
      </w:pPr>
    </w:p>
    <w:p w14:paraId="74AEFDE8" w14:textId="77777777" w:rsidR="0060430B" w:rsidRDefault="0060430B" w:rsidP="0060430B">
      <w:pPr>
        <w:jc w:val="center"/>
        <w:rPr>
          <w:szCs w:val="24"/>
        </w:rPr>
      </w:pPr>
    </w:p>
    <w:p w14:paraId="784F9E1F" w14:textId="77777777" w:rsidR="0060430B" w:rsidRDefault="0060430B" w:rsidP="0060430B">
      <w:pPr>
        <w:jc w:val="center"/>
        <w:rPr>
          <w:szCs w:val="24"/>
        </w:rPr>
      </w:pPr>
    </w:p>
    <w:p w14:paraId="2171FA62" w14:textId="77777777" w:rsidR="0060430B" w:rsidRDefault="0060430B" w:rsidP="0060430B">
      <w:pPr>
        <w:jc w:val="center"/>
        <w:rPr>
          <w:szCs w:val="24"/>
        </w:rPr>
      </w:pPr>
    </w:p>
    <w:p w14:paraId="2C9F4377" w14:textId="77777777" w:rsidR="0060430B" w:rsidRDefault="0060430B" w:rsidP="0060430B">
      <w:pPr>
        <w:jc w:val="center"/>
        <w:rPr>
          <w:szCs w:val="24"/>
        </w:rPr>
      </w:pPr>
    </w:p>
    <w:p w14:paraId="74EBF91B" w14:textId="77777777" w:rsidR="0060430B" w:rsidRDefault="0060430B" w:rsidP="0060430B">
      <w:pPr>
        <w:jc w:val="center"/>
        <w:rPr>
          <w:szCs w:val="24"/>
        </w:rPr>
      </w:pPr>
    </w:p>
    <w:p w14:paraId="1BC06896" w14:textId="77777777" w:rsidR="0060430B" w:rsidRDefault="0060430B" w:rsidP="0060430B">
      <w:pPr>
        <w:jc w:val="center"/>
        <w:rPr>
          <w:szCs w:val="24"/>
        </w:rPr>
      </w:pPr>
    </w:p>
    <w:p w14:paraId="3F790BFF" w14:textId="77777777" w:rsidR="0060430B" w:rsidRDefault="0060430B" w:rsidP="0060430B">
      <w:pPr>
        <w:jc w:val="center"/>
        <w:rPr>
          <w:szCs w:val="24"/>
        </w:rPr>
      </w:pPr>
    </w:p>
    <w:p w14:paraId="21CE16BF" w14:textId="77777777" w:rsidR="0060430B" w:rsidRDefault="0060430B" w:rsidP="0060430B">
      <w:pPr>
        <w:jc w:val="center"/>
        <w:rPr>
          <w:szCs w:val="24"/>
        </w:rPr>
      </w:pPr>
    </w:p>
    <w:p w14:paraId="7A4B6072" w14:textId="77777777" w:rsidR="0060430B" w:rsidRDefault="0060430B" w:rsidP="0060430B">
      <w:pPr>
        <w:jc w:val="center"/>
        <w:rPr>
          <w:szCs w:val="24"/>
        </w:rPr>
      </w:pPr>
    </w:p>
    <w:p w14:paraId="38BFE50F" w14:textId="77777777" w:rsidR="0060430B" w:rsidRDefault="0060430B" w:rsidP="0060430B">
      <w:pPr>
        <w:jc w:val="center"/>
        <w:rPr>
          <w:szCs w:val="24"/>
        </w:rPr>
      </w:pPr>
      <w:r w:rsidRPr="00F74151">
        <w:rPr>
          <w:szCs w:val="24"/>
        </w:rPr>
        <w:t>Figura</w:t>
      </w:r>
      <w:r>
        <w:rPr>
          <w:szCs w:val="24"/>
        </w:rPr>
        <w:t xml:space="preserve"> 2. </w:t>
      </w:r>
      <w:r w:rsidRPr="00F74151">
        <w:rPr>
          <w:szCs w:val="24"/>
        </w:rPr>
        <w:t xml:space="preserve"> Restos a Pagar Não Processado em Relação aos Restos a Pagar Processados</w:t>
      </w:r>
    </w:p>
    <w:p w14:paraId="34C33CCD" w14:textId="77777777" w:rsidR="0060430B" w:rsidRDefault="0060430B" w:rsidP="00D83336">
      <w:pPr>
        <w:jc w:val="center"/>
        <w:rPr>
          <w:sz w:val="24"/>
          <w:szCs w:val="24"/>
        </w:rPr>
      </w:pPr>
      <w:r>
        <w:rPr>
          <w:szCs w:val="24"/>
        </w:rPr>
        <w:t>Fonte: Elaboração própria</w:t>
      </w:r>
    </w:p>
    <w:p w14:paraId="410061D5" w14:textId="75840913" w:rsidR="0060430B" w:rsidRDefault="0060430B" w:rsidP="0060430B">
      <w:pPr>
        <w:jc w:val="both"/>
        <w:rPr>
          <w:sz w:val="24"/>
          <w:szCs w:val="24"/>
        </w:rPr>
      </w:pPr>
      <w:r>
        <w:rPr>
          <w:sz w:val="24"/>
          <w:szCs w:val="24"/>
        </w:rPr>
        <w:tab/>
        <w:t>Nota</w:t>
      </w:r>
      <w:r w:rsidRPr="003E226C">
        <w:rPr>
          <w:sz w:val="24"/>
          <w:szCs w:val="24"/>
        </w:rPr>
        <w:t>-se que o ano que contempla a maior quantia de inscrição em restos a pagar no Estado de Santa Catarina, encontra-se no ano de 2017. Nesse exercício o ente englobava uma importância no valor total de R$</w:t>
      </w:r>
      <w:r>
        <w:rPr>
          <w:sz w:val="24"/>
          <w:szCs w:val="24"/>
        </w:rPr>
        <w:t xml:space="preserve"> 649.667.769,01 a mais em relação 2011, ou seja, do primeiro até o último ano analisado a inscrição em restos a pagar foi de aproximadamente 2,5 vezes maior. Também é evidente que em todo o período analisado o montante inscrito em restos a </w:t>
      </w:r>
      <w:r>
        <w:rPr>
          <w:sz w:val="24"/>
          <w:szCs w:val="24"/>
        </w:rPr>
        <w:lastRenderedPageBreak/>
        <w:t xml:space="preserve">pagar não processados é consideravelmente maior em comparação aos restos a pagar processados, especialmente em 2011, 2012 e 2014, sendo que esses foram os anos com quantitativos menores de inscrição em restos a pagar, porém a partir do ano de 2015 </w:t>
      </w:r>
      <w:r w:rsidR="00EB6D9C">
        <w:rPr>
          <w:sz w:val="24"/>
          <w:szCs w:val="24"/>
        </w:rPr>
        <w:t>os restos a pagar processados têm crescido</w:t>
      </w:r>
      <w:r>
        <w:rPr>
          <w:sz w:val="24"/>
          <w:szCs w:val="24"/>
        </w:rPr>
        <w:t xml:space="preserve"> especialmente em 2017, apresentado uma diferença de 24%. Já </w:t>
      </w:r>
      <w:r w:rsidR="00EB6D9C">
        <w:rPr>
          <w:sz w:val="24"/>
          <w:szCs w:val="24"/>
        </w:rPr>
        <w:t>os restos a pagar não processados vêm</w:t>
      </w:r>
      <w:r>
        <w:rPr>
          <w:sz w:val="24"/>
          <w:szCs w:val="24"/>
        </w:rPr>
        <w:t xml:space="preserve"> crescendo praticamente na mesma proporção, um percentual de 19% e 24% em 2016 e 2017 respectivamente. A </w:t>
      </w:r>
      <w:r w:rsidR="002552F1">
        <w:rPr>
          <w:sz w:val="24"/>
          <w:szCs w:val="24"/>
        </w:rPr>
        <w:t>Tabela 7</w:t>
      </w:r>
      <w:r>
        <w:rPr>
          <w:sz w:val="24"/>
          <w:szCs w:val="24"/>
        </w:rPr>
        <w:t xml:space="preserve"> apresenta o total das despesas empenhadas e do montante de despesas inscritas em restos a pagar no decorrer do período analisado.</w:t>
      </w:r>
    </w:p>
    <w:p w14:paraId="46B60EA8" w14:textId="7C55C2FA" w:rsidR="0060430B" w:rsidRPr="00A37DCC" w:rsidRDefault="002552F1" w:rsidP="0060430B">
      <w:pPr>
        <w:jc w:val="center"/>
      </w:pPr>
      <w:r>
        <w:t>Tabela 7</w:t>
      </w:r>
      <w:r w:rsidR="0060430B">
        <w:t xml:space="preserve">. </w:t>
      </w:r>
      <w:r w:rsidR="0060430B" w:rsidRPr="00A37DCC">
        <w:t>Inscrição de Restos a Pagar em Relação às Despesas</w:t>
      </w:r>
    </w:p>
    <w:tbl>
      <w:tblPr>
        <w:tblW w:w="6772" w:type="dxa"/>
        <w:jc w:val="center"/>
        <w:tblCellMar>
          <w:left w:w="70" w:type="dxa"/>
          <w:right w:w="70" w:type="dxa"/>
        </w:tblCellMar>
        <w:tblLook w:val="04A0" w:firstRow="1" w:lastRow="0" w:firstColumn="1" w:lastColumn="0" w:noHBand="0" w:noVBand="1"/>
      </w:tblPr>
      <w:tblGrid>
        <w:gridCol w:w="898"/>
        <w:gridCol w:w="2226"/>
        <w:gridCol w:w="2713"/>
        <w:gridCol w:w="935"/>
      </w:tblGrid>
      <w:tr w:rsidR="0060430B" w:rsidRPr="00B05FAA" w14:paraId="29E24510" w14:textId="77777777" w:rsidTr="002552F1">
        <w:trPr>
          <w:trHeight w:val="261"/>
          <w:jc w:val="center"/>
        </w:trPr>
        <w:tc>
          <w:tcPr>
            <w:tcW w:w="898"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515D1A8C" w14:textId="77777777" w:rsidR="0060430B" w:rsidRPr="00A37DCC" w:rsidRDefault="0060430B" w:rsidP="002552F1">
            <w:pPr>
              <w:jc w:val="center"/>
              <w:rPr>
                <w:b/>
                <w:bCs/>
                <w:color w:val="000000"/>
              </w:rPr>
            </w:pPr>
            <w:r w:rsidRPr="00A37DCC">
              <w:rPr>
                <w:b/>
                <w:bCs/>
                <w:color w:val="000000"/>
              </w:rPr>
              <w:t>Ano</w:t>
            </w:r>
          </w:p>
        </w:tc>
        <w:tc>
          <w:tcPr>
            <w:tcW w:w="2226"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7BD04CB0" w14:textId="77777777" w:rsidR="0060430B" w:rsidRPr="00A37DCC" w:rsidRDefault="0060430B" w:rsidP="002552F1">
            <w:pPr>
              <w:rPr>
                <w:b/>
                <w:bCs/>
                <w:color w:val="000000"/>
              </w:rPr>
            </w:pPr>
            <w:r w:rsidRPr="00A37DCC">
              <w:rPr>
                <w:b/>
                <w:bCs/>
                <w:color w:val="000000"/>
              </w:rPr>
              <w:t>Despesas Empenhadas</w:t>
            </w:r>
          </w:p>
        </w:tc>
        <w:tc>
          <w:tcPr>
            <w:tcW w:w="2713"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011B085B" w14:textId="77777777" w:rsidR="0060430B" w:rsidRPr="00A37DCC" w:rsidRDefault="0060430B" w:rsidP="002552F1">
            <w:pPr>
              <w:rPr>
                <w:b/>
                <w:bCs/>
                <w:color w:val="000000"/>
              </w:rPr>
            </w:pPr>
            <w:r w:rsidRPr="00A37DCC">
              <w:rPr>
                <w:b/>
                <w:bCs/>
                <w:color w:val="000000"/>
              </w:rPr>
              <w:t>Inscrição em Restos a Pagar</w:t>
            </w:r>
          </w:p>
        </w:tc>
        <w:tc>
          <w:tcPr>
            <w:tcW w:w="935" w:type="dxa"/>
            <w:tcBorders>
              <w:top w:val="single" w:sz="4" w:space="0" w:color="auto"/>
              <w:left w:val="nil"/>
              <w:bottom w:val="single" w:sz="4" w:space="0" w:color="auto"/>
              <w:right w:val="nil"/>
            </w:tcBorders>
            <w:shd w:val="clear" w:color="auto" w:fill="AEAAAA" w:themeFill="background2" w:themeFillShade="BF"/>
            <w:noWrap/>
            <w:vAlign w:val="bottom"/>
            <w:hideMark/>
          </w:tcPr>
          <w:p w14:paraId="051C4DD3" w14:textId="77777777" w:rsidR="0060430B" w:rsidRPr="00A37DCC" w:rsidRDefault="0060430B" w:rsidP="002552F1">
            <w:pPr>
              <w:jc w:val="center"/>
              <w:rPr>
                <w:b/>
                <w:bCs/>
                <w:color w:val="000000"/>
              </w:rPr>
            </w:pPr>
            <w:r w:rsidRPr="00A37DCC">
              <w:rPr>
                <w:b/>
                <w:bCs/>
                <w:color w:val="000000"/>
              </w:rPr>
              <w:t>A.H</w:t>
            </w:r>
          </w:p>
        </w:tc>
      </w:tr>
      <w:tr w:rsidR="0060430B" w:rsidRPr="00B05FAA" w14:paraId="356024E8" w14:textId="77777777" w:rsidTr="002552F1">
        <w:trPr>
          <w:trHeight w:val="261"/>
          <w:jc w:val="center"/>
        </w:trPr>
        <w:tc>
          <w:tcPr>
            <w:tcW w:w="898" w:type="dxa"/>
            <w:tcBorders>
              <w:top w:val="nil"/>
              <w:left w:val="nil"/>
              <w:bottom w:val="single" w:sz="4" w:space="0" w:color="auto"/>
              <w:right w:val="single" w:sz="4" w:space="0" w:color="auto"/>
            </w:tcBorders>
            <w:shd w:val="clear" w:color="auto" w:fill="auto"/>
            <w:noWrap/>
            <w:vAlign w:val="bottom"/>
            <w:hideMark/>
          </w:tcPr>
          <w:p w14:paraId="688038A1" w14:textId="77777777" w:rsidR="0060430B" w:rsidRPr="00A37DCC" w:rsidRDefault="0060430B" w:rsidP="002552F1">
            <w:pPr>
              <w:jc w:val="center"/>
              <w:rPr>
                <w:color w:val="000000"/>
              </w:rPr>
            </w:pPr>
            <w:r w:rsidRPr="00A37DCC">
              <w:rPr>
                <w:color w:val="000000"/>
              </w:rPr>
              <w:t>2011</w:t>
            </w:r>
          </w:p>
        </w:tc>
        <w:tc>
          <w:tcPr>
            <w:tcW w:w="2226" w:type="dxa"/>
            <w:tcBorders>
              <w:top w:val="nil"/>
              <w:left w:val="nil"/>
              <w:bottom w:val="single" w:sz="4" w:space="0" w:color="auto"/>
              <w:right w:val="single" w:sz="4" w:space="0" w:color="auto"/>
            </w:tcBorders>
            <w:shd w:val="clear" w:color="auto" w:fill="auto"/>
            <w:noWrap/>
            <w:vAlign w:val="bottom"/>
            <w:hideMark/>
          </w:tcPr>
          <w:p w14:paraId="1A0973C9" w14:textId="77777777" w:rsidR="0060430B" w:rsidRPr="00A37DCC" w:rsidRDefault="0060430B" w:rsidP="002552F1">
            <w:pPr>
              <w:jc w:val="center"/>
              <w:rPr>
                <w:color w:val="000000"/>
              </w:rPr>
            </w:pPr>
            <w:r w:rsidRPr="00A37DCC">
              <w:rPr>
                <w:color w:val="000000"/>
              </w:rPr>
              <w:t xml:space="preserve">14.951.779.854,97 </w:t>
            </w:r>
          </w:p>
        </w:tc>
        <w:tc>
          <w:tcPr>
            <w:tcW w:w="2713" w:type="dxa"/>
            <w:tcBorders>
              <w:top w:val="nil"/>
              <w:left w:val="nil"/>
              <w:bottom w:val="single" w:sz="4" w:space="0" w:color="auto"/>
              <w:right w:val="single" w:sz="4" w:space="0" w:color="auto"/>
            </w:tcBorders>
            <w:shd w:val="clear" w:color="auto" w:fill="auto"/>
            <w:noWrap/>
            <w:vAlign w:val="bottom"/>
            <w:hideMark/>
          </w:tcPr>
          <w:p w14:paraId="77ABA867" w14:textId="77777777" w:rsidR="0060430B" w:rsidRPr="00A37DCC" w:rsidRDefault="0060430B" w:rsidP="002552F1">
            <w:pPr>
              <w:jc w:val="center"/>
              <w:rPr>
                <w:color w:val="000000"/>
              </w:rPr>
            </w:pPr>
            <w:r w:rsidRPr="00A37DCC">
              <w:rPr>
                <w:color w:val="000000"/>
              </w:rPr>
              <w:t>428.782.872,50</w:t>
            </w:r>
          </w:p>
        </w:tc>
        <w:tc>
          <w:tcPr>
            <w:tcW w:w="935" w:type="dxa"/>
            <w:tcBorders>
              <w:top w:val="nil"/>
              <w:left w:val="nil"/>
              <w:bottom w:val="single" w:sz="4" w:space="0" w:color="auto"/>
              <w:right w:val="nil"/>
            </w:tcBorders>
            <w:shd w:val="clear" w:color="000000" w:fill="FFFFFF"/>
            <w:noWrap/>
            <w:vAlign w:val="bottom"/>
            <w:hideMark/>
          </w:tcPr>
          <w:p w14:paraId="0F687513" w14:textId="77777777" w:rsidR="0060430B" w:rsidRPr="00A37DCC" w:rsidRDefault="0060430B" w:rsidP="002552F1">
            <w:pPr>
              <w:jc w:val="center"/>
              <w:rPr>
                <w:color w:val="000000"/>
              </w:rPr>
            </w:pPr>
            <w:r w:rsidRPr="00A37DCC">
              <w:rPr>
                <w:color w:val="000000"/>
              </w:rPr>
              <w:t>2,9%</w:t>
            </w:r>
          </w:p>
        </w:tc>
      </w:tr>
      <w:tr w:rsidR="0060430B" w:rsidRPr="00B05FAA" w14:paraId="5777A46D" w14:textId="77777777" w:rsidTr="002552F1">
        <w:trPr>
          <w:trHeight w:val="261"/>
          <w:jc w:val="center"/>
        </w:trPr>
        <w:tc>
          <w:tcPr>
            <w:tcW w:w="898" w:type="dxa"/>
            <w:tcBorders>
              <w:top w:val="nil"/>
              <w:left w:val="nil"/>
              <w:bottom w:val="single" w:sz="4" w:space="0" w:color="auto"/>
              <w:right w:val="single" w:sz="4" w:space="0" w:color="auto"/>
            </w:tcBorders>
            <w:shd w:val="clear" w:color="auto" w:fill="auto"/>
            <w:noWrap/>
            <w:vAlign w:val="bottom"/>
            <w:hideMark/>
          </w:tcPr>
          <w:p w14:paraId="4474AB4D" w14:textId="77777777" w:rsidR="0060430B" w:rsidRPr="00A37DCC" w:rsidRDefault="0060430B" w:rsidP="002552F1">
            <w:pPr>
              <w:jc w:val="center"/>
              <w:rPr>
                <w:color w:val="000000"/>
              </w:rPr>
            </w:pPr>
            <w:r w:rsidRPr="00A37DCC">
              <w:rPr>
                <w:color w:val="000000"/>
              </w:rPr>
              <w:t>2012</w:t>
            </w:r>
          </w:p>
        </w:tc>
        <w:tc>
          <w:tcPr>
            <w:tcW w:w="2226" w:type="dxa"/>
            <w:tcBorders>
              <w:top w:val="nil"/>
              <w:left w:val="nil"/>
              <w:bottom w:val="single" w:sz="4" w:space="0" w:color="auto"/>
              <w:right w:val="single" w:sz="4" w:space="0" w:color="auto"/>
            </w:tcBorders>
            <w:shd w:val="clear" w:color="auto" w:fill="auto"/>
            <w:noWrap/>
            <w:vAlign w:val="bottom"/>
            <w:hideMark/>
          </w:tcPr>
          <w:p w14:paraId="4ADC8CB4" w14:textId="77777777" w:rsidR="0060430B" w:rsidRPr="00A37DCC" w:rsidRDefault="0060430B" w:rsidP="002552F1">
            <w:pPr>
              <w:jc w:val="center"/>
              <w:rPr>
                <w:color w:val="000000"/>
              </w:rPr>
            </w:pPr>
            <w:r w:rsidRPr="00A37DCC">
              <w:rPr>
                <w:color w:val="000000"/>
              </w:rPr>
              <w:t xml:space="preserve">18.088.824.526,47 </w:t>
            </w:r>
          </w:p>
        </w:tc>
        <w:tc>
          <w:tcPr>
            <w:tcW w:w="2713" w:type="dxa"/>
            <w:tcBorders>
              <w:top w:val="nil"/>
              <w:left w:val="nil"/>
              <w:bottom w:val="single" w:sz="4" w:space="0" w:color="auto"/>
              <w:right w:val="single" w:sz="4" w:space="0" w:color="auto"/>
            </w:tcBorders>
            <w:shd w:val="clear" w:color="auto" w:fill="auto"/>
            <w:noWrap/>
            <w:vAlign w:val="bottom"/>
            <w:hideMark/>
          </w:tcPr>
          <w:p w14:paraId="0A0EA62B" w14:textId="77777777" w:rsidR="0060430B" w:rsidRPr="00A37DCC" w:rsidRDefault="0060430B" w:rsidP="002552F1">
            <w:pPr>
              <w:jc w:val="center"/>
              <w:rPr>
                <w:color w:val="000000"/>
              </w:rPr>
            </w:pPr>
            <w:r w:rsidRPr="00A37DCC">
              <w:rPr>
                <w:color w:val="000000"/>
              </w:rPr>
              <w:t>393.215.453,13</w:t>
            </w:r>
          </w:p>
        </w:tc>
        <w:tc>
          <w:tcPr>
            <w:tcW w:w="935" w:type="dxa"/>
            <w:tcBorders>
              <w:top w:val="nil"/>
              <w:left w:val="nil"/>
              <w:bottom w:val="single" w:sz="4" w:space="0" w:color="auto"/>
              <w:right w:val="nil"/>
            </w:tcBorders>
            <w:shd w:val="clear" w:color="000000" w:fill="FFFFFF"/>
            <w:noWrap/>
            <w:vAlign w:val="bottom"/>
            <w:hideMark/>
          </w:tcPr>
          <w:p w14:paraId="6F096BC0" w14:textId="77777777" w:rsidR="0060430B" w:rsidRPr="00A37DCC" w:rsidRDefault="0060430B" w:rsidP="002552F1">
            <w:pPr>
              <w:jc w:val="center"/>
              <w:rPr>
                <w:color w:val="000000"/>
              </w:rPr>
            </w:pPr>
            <w:r w:rsidRPr="00A37DCC">
              <w:rPr>
                <w:color w:val="000000"/>
              </w:rPr>
              <w:t>2,2%</w:t>
            </w:r>
          </w:p>
        </w:tc>
      </w:tr>
      <w:tr w:rsidR="0060430B" w:rsidRPr="00B05FAA" w14:paraId="4B4F068D" w14:textId="77777777" w:rsidTr="002552F1">
        <w:trPr>
          <w:trHeight w:val="261"/>
          <w:jc w:val="center"/>
        </w:trPr>
        <w:tc>
          <w:tcPr>
            <w:tcW w:w="898" w:type="dxa"/>
            <w:tcBorders>
              <w:top w:val="nil"/>
              <w:left w:val="nil"/>
              <w:bottom w:val="single" w:sz="4" w:space="0" w:color="auto"/>
              <w:right w:val="single" w:sz="4" w:space="0" w:color="auto"/>
            </w:tcBorders>
            <w:shd w:val="clear" w:color="auto" w:fill="auto"/>
            <w:noWrap/>
            <w:vAlign w:val="bottom"/>
            <w:hideMark/>
          </w:tcPr>
          <w:p w14:paraId="23EBD738" w14:textId="77777777" w:rsidR="0060430B" w:rsidRPr="00A37DCC" w:rsidRDefault="0060430B" w:rsidP="002552F1">
            <w:pPr>
              <w:jc w:val="center"/>
              <w:rPr>
                <w:color w:val="000000"/>
              </w:rPr>
            </w:pPr>
            <w:r w:rsidRPr="00A37DCC">
              <w:rPr>
                <w:color w:val="000000"/>
              </w:rPr>
              <w:t>2013</w:t>
            </w:r>
          </w:p>
        </w:tc>
        <w:tc>
          <w:tcPr>
            <w:tcW w:w="2226" w:type="dxa"/>
            <w:tcBorders>
              <w:top w:val="nil"/>
              <w:left w:val="nil"/>
              <w:bottom w:val="single" w:sz="4" w:space="0" w:color="auto"/>
              <w:right w:val="single" w:sz="4" w:space="0" w:color="auto"/>
            </w:tcBorders>
            <w:shd w:val="clear" w:color="auto" w:fill="auto"/>
            <w:noWrap/>
            <w:vAlign w:val="bottom"/>
            <w:hideMark/>
          </w:tcPr>
          <w:p w14:paraId="29AC4F38" w14:textId="77777777" w:rsidR="0060430B" w:rsidRPr="00A37DCC" w:rsidRDefault="0060430B" w:rsidP="002552F1">
            <w:pPr>
              <w:jc w:val="center"/>
              <w:rPr>
                <w:color w:val="000000"/>
              </w:rPr>
            </w:pPr>
            <w:r w:rsidRPr="00A37DCC">
              <w:rPr>
                <w:color w:val="000000"/>
              </w:rPr>
              <w:t xml:space="preserve">19.254.339.864,11 </w:t>
            </w:r>
          </w:p>
        </w:tc>
        <w:tc>
          <w:tcPr>
            <w:tcW w:w="2713" w:type="dxa"/>
            <w:tcBorders>
              <w:top w:val="nil"/>
              <w:left w:val="nil"/>
              <w:bottom w:val="single" w:sz="4" w:space="0" w:color="auto"/>
              <w:right w:val="single" w:sz="4" w:space="0" w:color="auto"/>
            </w:tcBorders>
            <w:shd w:val="clear" w:color="auto" w:fill="auto"/>
            <w:noWrap/>
            <w:vAlign w:val="bottom"/>
            <w:hideMark/>
          </w:tcPr>
          <w:p w14:paraId="5267E2F2" w14:textId="77777777" w:rsidR="0060430B" w:rsidRPr="00A37DCC" w:rsidRDefault="0060430B" w:rsidP="002552F1">
            <w:pPr>
              <w:jc w:val="center"/>
              <w:rPr>
                <w:color w:val="000000"/>
              </w:rPr>
            </w:pPr>
            <w:r w:rsidRPr="00A37DCC">
              <w:rPr>
                <w:color w:val="000000"/>
              </w:rPr>
              <w:t>675.138.975,79</w:t>
            </w:r>
          </w:p>
        </w:tc>
        <w:tc>
          <w:tcPr>
            <w:tcW w:w="935" w:type="dxa"/>
            <w:tcBorders>
              <w:top w:val="nil"/>
              <w:left w:val="nil"/>
              <w:bottom w:val="single" w:sz="4" w:space="0" w:color="auto"/>
              <w:right w:val="nil"/>
            </w:tcBorders>
            <w:shd w:val="clear" w:color="000000" w:fill="FFFFFF"/>
            <w:noWrap/>
            <w:vAlign w:val="bottom"/>
            <w:hideMark/>
          </w:tcPr>
          <w:p w14:paraId="767A4251" w14:textId="77777777" w:rsidR="0060430B" w:rsidRPr="00A37DCC" w:rsidRDefault="0060430B" w:rsidP="002552F1">
            <w:pPr>
              <w:jc w:val="center"/>
              <w:rPr>
                <w:color w:val="000000"/>
              </w:rPr>
            </w:pPr>
            <w:r w:rsidRPr="00A37DCC">
              <w:rPr>
                <w:color w:val="000000"/>
              </w:rPr>
              <w:t>3,5%</w:t>
            </w:r>
          </w:p>
        </w:tc>
      </w:tr>
      <w:tr w:rsidR="0060430B" w:rsidRPr="00B05FAA" w14:paraId="1F65D71D" w14:textId="77777777" w:rsidTr="002552F1">
        <w:trPr>
          <w:trHeight w:val="261"/>
          <w:jc w:val="center"/>
        </w:trPr>
        <w:tc>
          <w:tcPr>
            <w:tcW w:w="898" w:type="dxa"/>
            <w:tcBorders>
              <w:top w:val="nil"/>
              <w:left w:val="nil"/>
              <w:bottom w:val="single" w:sz="4" w:space="0" w:color="auto"/>
              <w:right w:val="single" w:sz="4" w:space="0" w:color="auto"/>
            </w:tcBorders>
            <w:shd w:val="clear" w:color="auto" w:fill="auto"/>
            <w:noWrap/>
            <w:vAlign w:val="bottom"/>
            <w:hideMark/>
          </w:tcPr>
          <w:p w14:paraId="31BB2312" w14:textId="77777777" w:rsidR="0060430B" w:rsidRPr="00A37DCC" w:rsidRDefault="0060430B" w:rsidP="002552F1">
            <w:pPr>
              <w:jc w:val="center"/>
              <w:rPr>
                <w:color w:val="000000"/>
              </w:rPr>
            </w:pPr>
            <w:r w:rsidRPr="00A37DCC">
              <w:rPr>
                <w:color w:val="000000"/>
              </w:rPr>
              <w:t>2014</w:t>
            </w:r>
          </w:p>
        </w:tc>
        <w:tc>
          <w:tcPr>
            <w:tcW w:w="2226" w:type="dxa"/>
            <w:tcBorders>
              <w:top w:val="nil"/>
              <w:left w:val="nil"/>
              <w:bottom w:val="single" w:sz="4" w:space="0" w:color="auto"/>
              <w:right w:val="single" w:sz="4" w:space="0" w:color="auto"/>
            </w:tcBorders>
            <w:shd w:val="clear" w:color="auto" w:fill="auto"/>
            <w:noWrap/>
            <w:vAlign w:val="bottom"/>
            <w:hideMark/>
          </w:tcPr>
          <w:p w14:paraId="733D26D4" w14:textId="77777777" w:rsidR="0060430B" w:rsidRPr="00A37DCC" w:rsidRDefault="0060430B" w:rsidP="002552F1">
            <w:pPr>
              <w:jc w:val="center"/>
              <w:rPr>
                <w:color w:val="000000"/>
              </w:rPr>
            </w:pPr>
            <w:r w:rsidRPr="00A37DCC">
              <w:rPr>
                <w:color w:val="000000"/>
              </w:rPr>
              <w:t xml:space="preserve">21.230.113.745,18 </w:t>
            </w:r>
          </w:p>
        </w:tc>
        <w:tc>
          <w:tcPr>
            <w:tcW w:w="2713" w:type="dxa"/>
            <w:tcBorders>
              <w:top w:val="nil"/>
              <w:left w:val="nil"/>
              <w:bottom w:val="single" w:sz="4" w:space="0" w:color="auto"/>
              <w:right w:val="single" w:sz="4" w:space="0" w:color="auto"/>
            </w:tcBorders>
            <w:shd w:val="clear" w:color="auto" w:fill="auto"/>
            <w:noWrap/>
            <w:vAlign w:val="bottom"/>
            <w:hideMark/>
          </w:tcPr>
          <w:p w14:paraId="0C078330" w14:textId="77777777" w:rsidR="0060430B" w:rsidRPr="00A37DCC" w:rsidRDefault="0060430B" w:rsidP="002552F1">
            <w:pPr>
              <w:jc w:val="center"/>
              <w:rPr>
                <w:color w:val="000000"/>
              </w:rPr>
            </w:pPr>
            <w:r w:rsidRPr="00A37DCC">
              <w:rPr>
                <w:color w:val="000000"/>
              </w:rPr>
              <w:t>494.981.392,65</w:t>
            </w:r>
          </w:p>
        </w:tc>
        <w:tc>
          <w:tcPr>
            <w:tcW w:w="935" w:type="dxa"/>
            <w:tcBorders>
              <w:top w:val="nil"/>
              <w:left w:val="nil"/>
              <w:bottom w:val="single" w:sz="4" w:space="0" w:color="auto"/>
              <w:right w:val="nil"/>
            </w:tcBorders>
            <w:shd w:val="clear" w:color="000000" w:fill="FFFFFF"/>
            <w:noWrap/>
            <w:vAlign w:val="bottom"/>
            <w:hideMark/>
          </w:tcPr>
          <w:p w14:paraId="174078C5" w14:textId="77777777" w:rsidR="0060430B" w:rsidRPr="00A37DCC" w:rsidRDefault="0060430B" w:rsidP="002552F1">
            <w:pPr>
              <w:jc w:val="center"/>
              <w:rPr>
                <w:color w:val="000000"/>
              </w:rPr>
            </w:pPr>
            <w:r w:rsidRPr="00A37DCC">
              <w:rPr>
                <w:color w:val="000000"/>
              </w:rPr>
              <w:t>2,3%</w:t>
            </w:r>
          </w:p>
        </w:tc>
      </w:tr>
      <w:tr w:rsidR="0060430B" w:rsidRPr="00B05FAA" w14:paraId="7CF7BB9B" w14:textId="77777777" w:rsidTr="002552F1">
        <w:trPr>
          <w:trHeight w:val="261"/>
          <w:jc w:val="center"/>
        </w:trPr>
        <w:tc>
          <w:tcPr>
            <w:tcW w:w="898" w:type="dxa"/>
            <w:tcBorders>
              <w:top w:val="nil"/>
              <w:left w:val="nil"/>
              <w:bottom w:val="single" w:sz="4" w:space="0" w:color="auto"/>
              <w:right w:val="single" w:sz="4" w:space="0" w:color="auto"/>
            </w:tcBorders>
            <w:shd w:val="clear" w:color="auto" w:fill="auto"/>
            <w:noWrap/>
            <w:vAlign w:val="bottom"/>
            <w:hideMark/>
          </w:tcPr>
          <w:p w14:paraId="20FA3A32" w14:textId="77777777" w:rsidR="0060430B" w:rsidRPr="00A37DCC" w:rsidRDefault="0060430B" w:rsidP="002552F1">
            <w:pPr>
              <w:jc w:val="center"/>
              <w:rPr>
                <w:color w:val="000000"/>
              </w:rPr>
            </w:pPr>
            <w:r w:rsidRPr="00A37DCC">
              <w:rPr>
                <w:color w:val="000000"/>
              </w:rPr>
              <w:t>2015</w:t>
            </w:r>
          </w:p>
        </w:tc>
        <w:tc>
          <w:tcPr>
            <w:tcW w:w="2226" w:type="dxa"/>
            <w:tcBorders>
              <w:top w:val="nil"/>
              <w:left w:val="nil"/>
              <w:bottom w:val="single" w:sz="4" w:space="0" w:color="auto"/>
              <w:right w:val="single" w:sz="4" w:space="0" w:color="auto"/>
            </w:tcBorders>
            <w:shd w:val="clear" w:color="auto" w:fill="auto"/>
            <w:noWrap/>
            <w:vAlign w:val="bottom"/>
            <w:hideMark/>
          </w:tcPr>
          <w:p w14:paraId="3A974EA8" w14:textId="77777777" w:rsidR="0060430B" w:rsidRPr="00A37DCC" w:rsidRDefault="0060430B" w:rsidP="002552F1">
            <w:pPr>
              <w:jc w:val="center"/>
              <w:rPr>
                <w:color w:val="000000"/>
              </w:rPr>
            </w:pPr>
            <w:r w:rsidRPr="00A37DCC">
              <w:rPr>
                <w:color w:val="000000"/>
              </w:rPr>
              <w:t xml:space="preserve">22.979.636.740,42 </w:t>
            </w:r>
          </w:p>
        </w:tc>
        <w:tc>
          <w:tcPr>
            <w:tcW w:w="2713" w:type="dxa"/>
            <w:tcBorders>
              <w:top w:val="nil"/>
              <w:left w:val="nil"/>
              <w:bottom w:val="single" w:sz="4" w:space="0" w:color="auto"/>
              <w:right w:val="single" w:sz="4" w:space="0" w:color="auto"/>
            </w:tcBorders>
            <w:shd w:val="clear" w:color="auto" w:fill="auto"/>
            <w:noWrap/>
            <w:vAlign w:val="bottom"/>
            <w:hideMark/>
          </w:tcPr>
          <w:p w14:paraId="59B1493D" w14:textId="77777777" w:rsidR="0060430B" w:rsidRPr="00A37DCC" w:rsidRDefault="0060430B" w:rsidP="002552F1">
            <w:pPr>
              <w:jc w:val="center"/>
              <w:rPr>
                <w:color w:val="000000"/>
              </w:rPr>
            </w:pPr>
            <w:r w:rsidRPr="00A37DCC">
              <w:rPr>
                <w:color w:val="000000"/>
              </w:rPr>
              <w:t>647.193.679,58</w:t>
            </w:r>
          </w:p>
        </w:tc>
        <w:tc>
          <w:tcPr>
            <w:tcW w:w="935" w:type="dxa"/>
            <w:tcBorders>
              <w:top w:val="nil"/>
              <w:left w:val="nil"/>
              <w:bottom w:val="single" w:sz="4" w:space="0" w:color="auto"/>
              <w:right w:val="nil"/>
            </w:tcBorders>
            <w:shd w:val="clear" w:color="000000" w:fill="FFFFFF"/>
            <w:noWrap/>
            <w:vAlign w:val="bottom"/>
            <w:hideMark/>
          </w:tcPr>
          <w:p w14:paraId="01538A92" w14:textId="77777777" w:rsidR="0060430B" w:rsidRPr="00A37DCC" w:rsidRDefault="0060430B" w:rsidP="002552F1">
            <w:pPr>
              <w:jc w:val="center"/>
              <w:rPr>
                <w:color w:val="000000"/>
              </w:rPr>
            </w:pPr>
            <w:r w:rsidRPr="00A37DCC">
              <w:rPr>
                <w:color w:val="000000"/>
              </w:rPr>
              <w:t>2,8%</w:t>
            </w:r>
          </w:p>
        </w:tc>
      </w:tr>
      <w:tr w:rsidR="0060430B" w:rsidRPr="00B05FAA" w14:paraId="4182E212" w14:textId="77777777" w:rsidTr="002552F1">
        <w:trPr>
          <w:trHeight w:val="261"/>
          <w:jc w:val="center"/>
        </w:trPr>
        <w:tc>
          <w:tcPr>
            <w:tcW w:w="898" w:type="dxa"/>
            <w:tcBorders>
              <w:top w:val="nil"/>
              <w:left w:val="nil"/>
              <w:bottom w:val="single" w:sz="4" w:space="0" w:color="auto"/>
              <w:right w:val="single" w:sz="4" w:space="0" w:color="auto"/>
            </w:tcBorders>
            <w:shd w:val="clear" w:color="auto" w:fill="auto"/>
            <w:noWrap/>
            <w:vAlign w:val="bottom"/>
            <w:hideMark/>
          </w:tcPr>
          <w:p w14:paraId="46E52ED5" w14:textId="77777777" w:rsidR="0060430B" w:rsidRPr="00A37DCC" w:rsidRDefault="0060430B" w:rsidP="002552F1">
            <w:pPr>
              <w:jc w:val="center"/>
              <w:rPr>
                <w:color w:val="000000"/>
              </w:rPr>
            </w:pPr>
            <w:r w:rsidRPr="00A37DCC">
              <w:rPr>
                <w:color w:val="000000"/>
              </w:rPr>
              <w:t>2016</w:t>
            </w:r>
          </w:p>
        </w:tc>
        <w:tc>
          <w:tcPr>
            <w:tcW w:w="2226" w:type="dxa"/>
            <w:tcBorders>
              <w:top w:val="nil"/>
              <w:left w:val="nil"/>
              <w:bottom w:val="single" w:sz="4" w:space="0" w:color="auto"/>
              <w:right w:val="single" w:sz="4" w:space="0" w:color="auto"/>
            </w:tcBorders>
            <w:shd w:val="clear" w:color="auto" w:fill="auto"/>
            <w:noWrap/>
            <w:vAlign w:val="bottom"/>
            <w:hideMark/>
          </w:tcPr>
          <w:p w14:paraId="61427A9E" w14:textId="77777777" w:rsidR="0060430B" w:rsidRPr="00A37DCC" w:rsidRDefault="0060430B" w:rsidP="002552F1">
            <w:pPr>
              <w:jc w:val="center"/>
              <w:rPr>
                <w:color w:val="000000"/>
              </w:rPr>
            </w:pPr>
            <w:r w:rsidRPr="00A37DCC">
              <w:rPr>
                <w:color w:val="000000"/>
              </w:rPr>
              <w:t xml:space="preserve">24.179.579.471,50 </w:t>
            </w:r>
          </w:p>
        </w:tc>
        <w:tc>
          <w:tcPr>
            <w:tcW w:w="2713" w:type="dxa"/>
            <w:tcBorders>
              <w:top w:val="nil"/>
              <w:left w:val="nil"/>
              <w:bottom w:val="single" w:sz="4" w:space="0" w:color="auto"/>
              <w:right w:val="single" w:sz="4" w:space="0" w:color="auto"/>
            </w:tcBorders>
            <w:shd w:val="clear" w:color="auto" w:fill="auto"/>
            <w:noWrap/>
            <w:vAlign w:val="bottom"/>
            <w:hideMark/>
          </w:tcPr>
          <w:p w14:paraId="4E66E60D" w14:textId="77777777" w:rsidR="0060430B" w:rsidRPr="00A37DCC" w:rsidRDefault="0060430B" w:rsidP="002552F1">
            <w:pPr>
              <w:jc w:val="center"/>
              <w:rPr>
                <w:color w:val="000000"/>
              </w:rPr>
            </w:pPr>
            <w:r w:rsidRPr="00A37DCC">
              <w:rPr>
                <w:color w:val="000000"/>
              </w:rPr>
              <w:t>699.162.107,06</w:t>
            </w:r>
          </w:p>
        </w:tc>
        <w:tc>
          <w:tcPr>
            <w:tcW w:w="935" w:type="dxa"/>
            <w:tcBorders>
              <w:top w:val="nil"/>
              <w:left w:val="nil"/>
              <w:bottom w:val="single" w:sz="4" w:space="0" w:color="auto"/>
              <w:right w:val="nil"/>
            </w:tcBorders>
            <w:shd w:val="clear" w:color="000000" w:fill="FFFFFF"/>
            <w:noWrap/>
            <w:vAlign w:val="bottom"/>
            <w:hideMark/>
          </w:tcPr>
          <w:p w14:paraId="5C9454B7" w14:textId="77777777" w:rsidR="0060430B" w:rsidRPr="00A37DCC" w:rsidRDefault="0060430B" w:rsidP="002552F1">
            <w:pPr>
              <w:jc w:val="center"/>
              <w:rPr>
                <w:color w:val="000000"/>
              </w:rPr>
            </w:pPr>
            <w:r w:rsidRPr="00A37DCC">
              <w:rPr>
                <w:color w:val="000000"/>
              </w:rPr>
              <w:t>2,9%</w:t>
            </w:r>
          </w:p>
        </w:tc>
      </w:tr>
      <w:tr w:rsidR="0060430B" w:rsidRPr="00B05FAA" w14:paraId="0C653436" w14:textId="77777777" w:rsidTr="002552F1">
        <w:trPr>
          <w:trHeight w:val="261"/>
          <w:jc w:val="center"/>
        </w:trPr>
        <w:tc>
          <w:tcPr>
            <w:tcW w:w="898" w:type="dxa"/>
            <w:tcBorders>
              <w:top w:val="nil"/>
              <w:left w:val="nil"/>
              <w:bottom w:val="single" w:sz="4" w:space="0" w:color="auto"/>
              <w:right w:val="single" w:sz="4" w:space="0" w:color="auto"/>
            </w:tcBorders>
            <w:shd w:val="clear" w:color="auto" w:fill="auto"/>
            <w:noWrap/>
            <w:vAlign w:val="bottom"/>
            <w:hideMark/>
          </w:tcPr>
          <w:p w14:paraId="5527B477" w14:textId="77777777" w:rsidR="0060430B" w:rsidRPr="00A37DCC" w:rsidRDefault="0060430B" w:rsidP="002552F1">
            <w:pPr>
              <w:jc w:val="center"/>
              <w:rPr>
                <w:color w:val="000000"/>
              </w:rPr>
            </w:pPr>
            <w:r w:rsidRPr="00A37DCC">
              <w:rPr>
                <w:color w:val="000000"/>
              </w:rPr>
              <w:t>2017</w:t>
            </w:r>
          </w:p>
        </w:tc>
        <w:tc>
          <w:tcPr>
            <w:tcW w:w="2226" w:type="dxa"/>
            <w:tcBorders>
              <w:top w:val="nil"/>
              <w:left w:val="nil"/>
              <w:bottom w:val="single" w:sz="4" w:space="0" w:color="auto"/>
              <w:right w:val="single" w:sz="4" w:space="0" w:color="auto"/>
            </w:tcBorders>
            <w:shd w:val="clear" w:color="auto" w:fill="auto"/>
            <w:noWrap/>
            <w:vAlign w:val="bottom"/>
            <w:hideMark/>
          </w:tcPr>
          <w:p w14:paraId="6F431098" w14:textId="77777777" w:rsidR="0060430B" w:rsidRPr="00A37DCC" w:rsidRDefault="0060430B" w:rsidP="002552F1">
            <w:pPr>
              <w:jc w:val="center"/>
              <w:rPr>
                <w:color w:val="000000"/>
              </w:rPr>
            </w:pPr>
            <w:r w:rsidRPr="00A37DCC">
              <w:rPr>
                <w:color w:val="000000"/>
              </w:rPr>
              <w:t xml:space="preserve">25.595.103.379,18 </w:t>
            </w:r>
          </w:p>
        </w:tc>
        <w:tc>
          <w:tcPr>
            <w:tcW w:w="2713" w:type="dxa"/>
            <w:tcBorders>
              <w:top w:val="nil"/>
              <w:left w:val="nil"/>
              <w:bottom w:val="single" w:sz="4" w:space="0" w:color="auto"/>
              <w:right w:val="single" w:sz="4" w:space="0" w:color="auto"/>
            </w:tcBorders>
            <w:shd w:val="clear" w:color="auto" w:fill="auto"/>
            <w:noWrap/>
            <w:vAlign w:val="bottom"/>
            <w:hideMark/>
          </w:tcPr>
          <w:p w14:paraId="7AE08F7A" w14:textId="77777777" w:rsidR="0060430B" w:rsidRPr="00A37DCC" w:rsidRDefault="0060430B" w:rsidP="002552F1">
            <w:pPr>
              <w:jc w:val="center"/>
              <w:rPr>
                <w:color w:val="000000"/>
              </w:rPr>
            </w:pPr>
            <w:r w:rsidRPr="00A37DCC">
              <w:rPr>
                <w:color w:val="000000"/>
              </w:rPr>
              <w:t>1.078.450.641,51</w:t>
            </w:r>
          </w:p>
        </w:tc>
        <w:tc>
          <w:tcPr>
            <w:tcW w:w="935" w:type="dxa"/>
            <w:tcBorders>
              <w:top w:val="nil"/>
              <w:left w:val="nil"/>
              <w:bottom w:val="single" w:sz="4" w:space="0" w:color="auto"/>
              <w:right w:val="nil"/>
            </w:tcBorders>
            <w:shd w:val="clear" w:color="000000" w:fill="FFFFFF"/>
            <w:noWrap/>
            <w:vAlign w:val="bottom"/>
            <w:hideMark/>
          </w:tcPr>
          <w:p w14:paraId="13ED29B1" w14:textId="77777777" w:rsidR="0060430B" w:rsidRPr="00A37DCC" w:rsidRDefault="0060430B" w:rsidP="002552F1">
            <w:pPr>
              <w:jc w:val="center"/>
              <w:rPr>
                <w:color w:val="000000"/>
              </w:rPr>
            </w:pPr>
            <w:r w:rsidRPr="00A37DCC">
              <w:rPr>
                <w:color w:val="000000"/>
              </w:rPr>
              <w:t>4,2%</w:t>
            </w:r>
          </w:p>
        </w:tc>
      </w:tr>
    </w:tbl>
    <w:p w14:paraId="2190A4FB" w14:textId="77777777" w:rsidR="00D83336" w:rsidRPr="00D83336" w:rsidRDefault="0060430B" w:rsidP="00D83336">
      <w:pPr>
        <w:jc w:val="center"/>
        <w:rPr>
          <w:szCs w:val="24"/>
        </w:rPr>
      </w:pPr>
      <w:r>
        <w:rPr>
          <w:szCs w:val="24"/>
        </w:rPr>
        <w:t>Fonte: Elaboração própria</w:t>
      </w:r>
    </w:p>
    <w:p w14:paraId="4515EED9" w14:textId="77777777" w:rsidR="0060430B" w:rsidRDefault="0060430B" w:rsidP="0060430B">
      <w:pPr>
        <w:ind w:firstLine="708"/>
        <w:jc w:val="both"/>
        <w:rPr>
          <w:sz w:val="24"/>
          <w:szCs w:val="24"/>
        </w:rPr>
      </w:pPr>
      <w:r>
        <w:rPr>
          <w:sz w:val="24"/>
          <w:szCs w:val="24"/>
        </w:rPr>
        <w:t xml:space="preserve">Percebe-se que, em todo o período que foi analisado, um montante bem pequeno das despesas que foram executadas em cada ano é inscrito como restos a pagar, e que o percentual não teve uma variação relevante. Em 2009 o percentual inscrito foi de 2,9%, já o ano de 2012 teve a menor margem inscrita, sendo esta de 2,2%. Logo, no ano seguinte teve um aumento para 3,5%, depois diminuiu para 2,3% em 2014, crescendo novamente nos anos posteriores, 2015 e 2016 para 2,8% e 2,9% respectivamente. O maior percentual de restos a pagar inscritos em relação a despesa empenhada ocorreu no último ano analisado, 2017, alcançando uma margem de 4,2%. </w:t>
      </w:r>
    </w:p>
    <w:p w14:paraId="7578E77A" w14:textId="4013C6A9" w:rsidR="0060430B" w:rsidRPr="00D3735C" w:rsidRDefault="0060430B" w:rsidP="0060430B">
      <w:pPr>
        <w:jc w:val="both"/>
        <w:rPr>
          <w:sz w:val="24"/>
          <w:szCs w:val="24"/>
        </w:rPr>
      </w:pPr>
      <w:r>
        <w:rPr>
          <w:sz w:val="24"/>
          <w:szCs w:val="24"/>
        </w:rPr>
        <w:tab/>
        <w:t xml:space="preserve">Conforme a disposição contida no §1º do at. 133 da Lei Complementar n.º 381 de 7 de maio de 2007, as despesas que forem inscritas em restos a pagar não processados só serão liquidadas quando o fato gerador da despesa se confirmar até 31 de janeiro do ano subsequente, caso não aconteça essa ocorrência, os restos a pagar devem ser cancelados. Quando a execução dos restos a pagar processados e não processados liquidados ocorrer até 31 de janeiro, a referida lei determina que sejam pagos até 31 de dezembro do exercício financeiro subsequente, se não ocorrer os mesmos deverão ser cancelados e a dívida com </w:t>
      </w:r>
      <w:r w:rsidR="00EB6D9C">
        <w:rPr>
          <w:sz w:val="24"/>
          <w:szCs w:val="24"/>
        </w:rPr>
        <w:t>o credor reconhecido e registrado no passivo do Estado</w:t>
      </w:r>
      <w:r>
        <w:rPr>
          <w:sz w:val="24"/>
          <w:szCs w:val="24"/>
        </w:rPr>
        <w:t>.</w:t>
      </w:r>
    </w:p>
    <w:p w14:paraId="3A551BB2" w14:textId="21990000" w:rsidR="0060430B" w:rsidRDefault="0060430B" w:rsidP="0060430B">
      <w:pPr>
        <w:jc w:val="both"/>
        <w:rPr>
          <w:sz w:val="24"/>
          <w:szCs w:val="24"/>
        </w:rPr>
      </w:pPr>
      <w:r>
        <w:rPr>
          <w:sz w:val="24"/>
          <w:szCs w:val="24"/>
        </w:rPr>
        <w:tab/>
        <w:t xml:space="preserve">A </w:t>
      </w:r>
      <w:r w:rsidR="002552F1">
        <w:rPr>
          <w:sz w:val="24"/>
          <w:szCs w:val="24"/>
        </w:rPr>
        <w:t>Tabela 8</w:t>
      </w:r>
      <w:r w:rsidR="00EB6D9C">
        <w:rPr>
          <w:sz w:val="24"/>
          <w:szCs w:val="24"/>
        </w:rPr>
        <w:t xml:space="preserve"> traz</w:t>
      </w:r>
      <w:r>
        <w:rPr>
          <w:sz w:val="24"/>
          <w:szCs w:val="24"/>
        </w:rPr>
        <w:t xml:space="preserve"> dados referentes ao cancelamento da inscrição de restos a pagar, sendo estas despesas empenhadas e que não tem previsão de ser liquidada até 31 de janeiro do exercício subsequente, para que assim possa-se evitar a inscrição de restos a pagar não processados que venham a ser cancelados.</w:t>
      </w:r>
    </w:p>
    <w:p w14:paraId="55631442" w14:textId="30A8C727" w:rsidR="0060430B" w:rsidRDefault="0060430B" w:rsidP="0060430B">
      <w:pPr>
        <w:ind w:firstLine="708"/>
        <w:jc w:val="both"/>
        <w:rPr>
          <w:sz w:val="24"/>
          <w:szCs w:val="24"/>
        </w:rPr>
      </w:pPr>
      <w:r>
        <w:rPr>
          <w:sz w:val="24"/>
          <w:szCs w:val="24"/>
        </w:rPr>
        <w:t xml:space="preserve">Todavia, de acordo com a </w:t>
      </w:r>
      <w:r w:rsidR="002552F1">
        <w:rPr>
          <w:sz w:val="24"/>
          <w:szCs w:val="24"/>
        </w:rPr>
        <w:t>Tabela 8</w:t>
      </w:r>
      <w:r>
        <w:rPr>
          <w:sz w:val="24"/>
          <w:szCs w:val="24"/>
        </w:rPr>
        <w:t xml:space="preserve">, é notório que em todos os anos houve o cancelamento de inscrição em restos a pagar. A parcela de restos a pagar não </w:t>
      </w:r>
      <w:r w:rsidR="00EB6D9C">
        <w:rPr>
          <w:sz w:val="24"/>
          <w:szCs w:val="24"/>
        </w:rPr>
        <w:t>processados cancelados</w:t>
      </w:r>
      <w:r>
        <w:rPr>
          <w:sz w:val="24"/>
          <w:szCs w:val="24"/>
        </w:rPr>
        <w:t xml:space="preserve"> possui um valor expressamente maior em relação aos restos a pagar processados. De todo o período analisado, a parcela de cancelamento de inscrição em restos a pagar processados e não processados é referente ao ano de 2012, chegando a 5,69% e 51,87% respectivamente. Referente ao menor quantitativo cancelado</w:t>
      </w:r>
      <w:r w:rsidR="00EB6D9C">
        <w:rPr>
          <w:sz w:val="24"/>
          <w:szCs w:val="24"/>
        </w:rPr>
        <w:t xml:space="preserve"> encontra-se</w:t>
      </w:r>
      <w:r>
        <w:rPr>
          <w:sz w:val="24"/>
          <w:szCs w:val="24"/>
        </w:rPr>
        <w:t xml:space="preserve"> no ano de 2017 para os restos a pagar processados, sendo o percentual nem chegou a 0,01% e em 2011 para os restos a pagar não processados, alcançando o percentual de 40,73%. </w:t>
      </w:r>
    </w:p>
    <w:p w14:paraId="377804A8" w14:textId="02CB5F1B" w:rsidR="00EB6D9C" w:rsidRPr="00A37DCC" w:rsidRDefault="0060430B" w:rsidP="00EB6D9C">
      <w:pPr>
        <w:jc w:val="center"/>
      </w:pPr>
      <w:r>
        <w:rPr>
          <w:sz w:val="24"/>
          <w:szCs w:val="24"/>
        </w:rPr>
        <w:lastRenderedPageBreak/>
        <w:tab/>
      </w:r>
      <w:r w:rsidR="00EB6D9C">
        <w:t>Tabela 8</w:t>
      </w:r>
      <w:r w:rsidR="00FE469D">
        <w:t xml:space="preserve">. </w:t>
      </w:r>
      <w:r w:rsidR="00EB6D9C" w:rsidRPr="00A37DCC">
        <w:t xml:space="preserve"> Inscrição e Cancelamento de Restos a Pagar</w:t>
      </w:r>
    </w:p>
    <w:tbl>
      <w:tblPr>
        <w:tblW w:w="7082" w:type="dxa"/>
        <w:tblInd w:w="922" w:type="dxa"/>
        <w:tblCellMar>
          <w:left w:w="70" w:type="dxa"/>
          <w:right w:w="70" w:type="dxa"/>
        </w:tblCellMar>
        <w:tblLook w:val="04A0" w:firstRow="1" w:lastRow="0" w:firstColumn="1" w:lastColumn="0" w:noHBand="0" w:noVBand="1"/>
      </w:tblPr>
      <w:tblGrid>
        <w:gridCol w:w="1951"/>
        <w:gridCol w:w="1802"/>
        <w:gridCol w:w="1802"/>
        <w:gridCol w:w="1527"/>
      </w:tblGrid>
      <w:tr w:rsidR="00EB6D9C" w:rsidRPr="00B05FAA" w14:paraId="0B7EA44B" w14:textId="77777777" w:rsidTr="00A44657">
        <w:trPr>
          <w:trHeight w:val="260"/>
          <w:tblHeader/>
        </w:trPr>
        <w:tc>
          <w:tcPr>
            <w:tcW w:w="1951"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12576DFC" w14:textId="77777777" w:rsidR="00EB6D9C" w:rsidRPr="00A37DCC" w:rsidRDefault="00EB6D9C" w:rsidP="00A44657">
            <w:pPr>
              <w:jc w:val="center"/>
              <w:rPr>
                <w:b/>
                <w:color w:val="000000"/>
              </w:rPr>
            </w:pPr>
            <w:r w:rsidRPr="00A37DCC">
              <w:rPr>
                <w:b/>
                <w:color w:val="000000"/>
              </w:rPr>
              <w:t xml:space="preserve">Restos do Ano </w:t>
            </w:r>
          </w:p>
        </w:tc>
        <w:tc>
          <w:tcPr>
            <w:tcW w:w="1802"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3F2324EE" w14:textId="77777777" w:rsidR="00EB6D9C" w:rsidRPr="00A37DCC" w:rsidRDefault="00EB6D9C" w:rsidP="00A44657">
            <w:pPr>
              <w:jc w:val="center"/>
              <w:rPr>
                <w:b/>
                <w:color w:val="000000"/>
              </w:rPr>
            </w:pPr>
            <w:r w:rsidRPr="00A37DCC">
              <w:rPr>
                <w:b/>
                <w:color w:val="000000"/>
              </w:rPr>
              <w:t xml:space="preserve">Inscrição </w:t>
            </w:r>
          </w:p>
        </w:tc>
        <w:tc>
          <w:tcPr>
            <w:tcW w:w="1802"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424C83C5" w14:textId="77777777" w:rsidR="00EB6D9C" w:rsidRPr="00A37DCC" w:rsidRDefault="00EB6D9C" w:rsidP="00A44657">
            <w:pPr>
              <w:jc w:val="center"/>
              <w:rPr>
                <w:b/>
                <w:color w:val="000000"/>
              </w:rPr>
            </w:pPr>
            <w:r w:rsidRPr="00A37DCC">
              <w:rPr>
                <w:b/>
                <w:color w:val="000000"/>
              </w:rPr>
              <w:t xml:space="preserve">Cancelamento </w:t>
            </w:r>
          </w:p>
        </w:tc>
        <w:tc>
          <w:tcPr>
            <w:tcW w:w="1527" w:type="dxa"/>
            <w:tcBorders>
              <w:top w:val="single" w:sz="4" w:space="0" w:color="auto"/>
              <w:left w:val="nil"/>
              <w:bottom w:val="single" w:sz="4" w:space="0" w:color="auto"/>
              <w:right w:val="nil"/>
            </w:tcBorders>
            <w:shd w:val="clear" w:color="auto" w:fill="AEAAAA" w:themeFill="background2" w:themeFillShade="BF"/>
            <w:noWrap/>
            <w:vAlign w:val="bottom"/>
            <w:hideMark/>
          </w:tcPr>
          <w:p w14:paraId="0C67F715" w14:textId="77777777" w:rsidR="00EB6D9C" w:rsidRPr="00A37DCC" w:rsidRDefault="00EB6D9C" w:rsidP="00A44657">
            <w:pPr>
              <w:jc w:val="center"/>
              <w:rPr>
                <w:b/>
                <w:color w:val="000000"/>
              </w:rPr>
            </w:pPr>
            <w:r w:rsidRPr="00A37DCC">
              <w:rPr>
                <w:b/>
                <w:color w:val="000000"/>
              </w:rPr>
              <w:t>%Cancelado</w:t>
            </w:r>
          </w:p>
        </w:tc>
      </w:tr>
      <w:tr w:rsidR="00EB6D9C" w:rsidRPr="00B05FAA" w14:paraId="11F159CC" w14:textId="77777777" w:rsidTr="00A44657">
        <w:trPr>
          <w:trHeight w:val="260"/>
        </w:trPr>
        <w:tc>
          <w:tcPr>
            <w:tcW w:w="1951" w:type="dxa"/>
            <w:tcBorders>
              <w:top w:val="nil"/>
              <w:left w:val="nil"/>
              <w:bottom w:val="single" w:sz="4" w:space="0" w:color="auto"/>
              <w:right w:val="single" w:sz="4" w:space="0" w:color="auto"/>
            </w:tcBorders>
            <w:shd w:val="clear" w:color="auto" w:fill="D0CECE" w:themeFill="background2" w:themeFillShade="E6"/>
            <w:noWrap/>
            <w:vAlign w:val="bottom"/>
            <w:hideMark/>
          </w:tcPr>
          <w:p w14:paraId="1471858D" w14:textId="77777777" w:rsidR="00EB6D9C" w:rsidRPr="00A37DCC" w:rsidRDefault="00EB6D9C" w:rsidP="00A44657">
            <w:pPr>
              <w:jc w:val="center"/>
              <w:rPr>
                <w:b/>
                <w:color w:val="000000"/>
              </w:rPr>
            </w:pPr>
            <w:r w:rsidRPr="00A37DCC">
              <w:rPr>
                <w:b/>
                <w:color w:val="000000"/>
              </w:rPr>
              <w:t xml:space="preserve">Processados </w:t>
            </w:r>
          </w:p>
        </w:tc>
        <w:tc>
          <w:tcPr>
            <w:tcW w:w="1802" w:type="dxa"/>
            <w:tcBorders>
              <w:top w:val="nil"/>
              <w:left w:val="nil"/>
              <w:bottom w:val="single" w:sz="4" w:space="0" w:color="auto"/>
              <w:right w:val="single" w:sz="4" w:space="0" w:color="auto"/>
            </w:tcBorders>
            <w:shd w:val="clear" w:color="auto" w:fill="D0CECE" w:themeFill="background2" w:themeFillShade="E6"/>
            <w:noWrap/>
            <w:vAlign w:val="bottom"/>
            <w:hideMark/>
          </w:tcPr>
          <w:p w14:paraId="621D1D74" w14:textId="77777777" w:rsidR="00EB6D9C" w:rsidRPr="00A37DCC" w:rsidRDefault="00EB6D9C" w:rsidP="00A44657">
            <w:pPr>
              <w:jc w:val="center"/>
              <w:rPr>
                <w:b/>
                <w:color w:val="000000"/>
              </w:rPr>
            </w:pPr>
            <w:r w:rsidRPr="00A37DCC">
              <w:rPr>
                <w:b/>
                <w:color w:val="000000"/>
              </w:rPr>
              <w:t>1.003.469.533,93</w:t>
            </w:r>
          </w:p>
        </w:tc>
        <w:tc>
          <w:tcPr>
            <w:tcW w:w="1802" w:type="dxa"/>
            <w:tcBorders>
              <w:top w:val="nil"/>
              <w:left w:val="nil"/>
              <w:bottom w:val="single" w:sz="4" w:space="0" w:color="auto"/>
              <w:right w:val="single" w:sz="4" w:space="0" w:color="auto"/>
            </w:tcBorders>
            <w:shd w:val="clear" w:color="auto" w:fill="D0CECE" w:themeFill="background2" w:themeFillShade="E6"/>
            <w:noWrap/>
            <w:vAlign w:val="bottom"/>
            <w:hideMark/>
          </w:tcPr>
          <w:p w14:paraId="11FFE3EE" w14:textId="77777777" w:rsidR="00EB6D9C" w:rsidRPr="00A37DCC" w:rsidRDefault="00EB6D9C" w:rsidP="00A44657">
            <w:pPr>
              <w:jc w:val="center"/>
              <w:rPr>
                <w:b/>
                <w:color w:val="000000"/>
              </w:rPr>
            </w:pPr>
            <w:r w:rsidRPr="00A37DCC">
              <w:rPr>
                <w:b/>
                <w:color w:val="000000"/>
              </w:rPr>
              <w:t>10.783.150,13</w:t>
            </w:r>
          </w:p>
        </w:tc>
        <w:tc>
          <w:tcPr>
            <w:tcW w:w="1527" w:type="dxa"/>
            <w:tcBorders>
              <w:top w:val="nil"/>
              <w:left w:val="nil"/>
              <w:bottom w:val="single" w:sz="4" w:space="0" w:color="auto"/>
              <w:right w:val="nil"/>
            </w:tcBorders>
            <w:shd w:val="clear" w:color="auto" w:fill="D0CECE" w:themeFill="background2" w:themeFillShade="E6"/>
            <w:noWrap/>
            <w:vAlign w:val="bottom"/>
            <w:hideMark/>
          </w:tcPr>
          <w:p w14:paraId="20D7CD72" w14:textId="77777777" w:rsidR="00EB6D9C" w:rsidRPr="00A37DCC" w:rsidRDefault="00EB6D9C" w:rsidP="00A44657">
            <w:pPr>
              <w:jc w:val="center"/>
              <w:rPr>
                <w:b/>
                <w:color w:val="000000"/>
              </w:rPr>
            </w:pPr>
            <w:r w:rsidRPr="00A37DCC">
              <w:rPr>
                <w:b/>
                <w:color w:val="000000"/>
              </w:rPr>
              <w:t>1,07%</w:t>
            </w:r>
          </w:p>
        </w:tc>
      </w:tr>
      <w:tr w:rsidR="00EB6D9C" w:rsidRPr="00B05FAA" w14:paraId="0A7EC43E"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730E903E" w14:textId="77777777" w:rsidR="00EB6D9C" w:rsidRPr="00A37DCC" w:rsidRDefault="00EB6D9C" w:rsidP="00A44657">
            <w:pPr>
              <w:jc w:val="center"/>
              <w:rPr>
                <w:color w:val="000000"/>
              </w:rPr>
            </w:pPr>
            <w:r w:rsidRPr="00A37DCC">
              <w:rPr>
                <w:color w:val="000000"/>
              </w:rPr>
              <w:t>2011</w:t>
            </w:r>
          </w:p>
        </w:tc>
        <w:tc>
          <w:tcPr>
            <w:tcW w:w="1802" w:type="dxa"/>
            <w:tcBorders>
              <w:top w:val="nil"/>
              <w:left w:val="nil"/>
              <w:bottom w:val="single" w:sz="4" w:space="0" w:color="auto"/>
              <w:right w:val="single" w:sz="4" w:space="0" w:color="auto"/>
            </w:tcBorders>
            <w:shd w:val="clear" w:color="auto" w:fill="auto"/>
            <w:noWrap/>
            <w:vAlign w:val="bottom"/>
            <w:hideMark/>
          </w:tcPr>
          <w:p w14:paraId="10C09004" w14:textId="77777777" w:rsidR="00EB6D9C" w:rsidRPr="00A37DCC" w:rsidRDefault="00EB6D9C" w:rsidP="00A44657">
            <w:pPr>
              <w:jc w:val="center"/>
              <w:rPr>
                <w:color w:val="000000"/>
              </w:rPr>
            </w:pPr>
            <w:r w:rsidRPr="00A37DCC">
              <w:rPr>
                <w:color w:val="000000"/>
              </w:rPr>
              <w:t>46.368.983,82</w:t>
            </w:r>
          </w:p>
        </w:tc>
        <w:tc>
          <w:tcPr>
            <w:tcW w:w="1802" w:type="dxa"/>
            <w:tcBorders>
              <w:top w:val="nil"/>
              <w:left w:val="nil"/>
              <w:bottom w:val="single" w:sz="4" w:space="0" w:color="auto"/>
              <w:right w:val="single" w:sz="4" w:space="0" w:color="auto"/>
            </w:tcBorders>
            <w:shd w:val="clear" w:color="auto" w:fill="auto"/>
            <w:noWrap/>
            <w:vAlign w:val="bottom"/>
            <w:hideMark/>
          </w:tcPr>
          <w:p w14:paraId="466195BC" w14:textId="77777777" w:rsidR="00EB6D9C" w:rsidRPr="00A37DCC" w:rsidRDefault="00EB6D9C" w:rsidP="00A44657">
            <w:pPr>
              <w:jc w:val="center"/>
              <w:rPr>
                <w:color w:val="000000"/>
              </w:rPr>
            </w:pPr>
            <w:r w:rsidRPr="00A37DCC">
              <w:rPr>
                <w:color w:val="000000"/>
              </w:rPr>
              <w:t>1.393.923,35</w:t>
            </w:r>
          </w:p>
        </w:tc>
        <w:tc>
          <w:tcPr>
            <w:tcW w:w="1527" w:type="dxa"/>
            <w:tcBorders>
              <w:top w:val="nil"/>
              <w:left w:val="nil"/>
              <w:bottom w:val="single" w:sz="4" w:space="0" w:color="auto"/>
              <w:right w:val="nil"/>
            </w:tcBorders>
            <w:shd w:val="clear" w:color="auto" w:fill="auto"/>
            <w:noWrap/>
            <w:vAlign w:val="bottom"/>
            <w:hideMark/>
          </w:tcPr>
          <w:p w14:paraId="28BA348D" w14:textId="77777777" w:rsidR="00EB6D9C" w:rsidRPr="00A37DCC" w:rsidRDefault="00EB6D9C" w:rsidP="00A44657">
            <w:pPr>
              <w:jc w:val="center"/>
              <w:rPr>
                <w:color w:val="000000"/>
              </w:rPr>
            </w:pPr>
            <w:r w:rsidRPr="00A37DCC">
              <w:rPr>
                <w:color w:val="000000"/>
              </w:rPr>
              <w:t>3,01%</w:t>
            </w:r>
          </w:p>
        </w:tc>
      </w:tr>
      <w:tr w:rsidR="00EB6D9C" w:rsidRPr="00B05FAA" w14:paraId="2E7EA650"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3C3B28C9" w14:textId="77777777" w:rsidR="00EB6D9C" w:rsidRPr="00A37DCC" w:rsidRDefault="00EB6D9C" w:rsidP="00A44657">
            <w:pPr>
              <w:jc w:val="center"/>
              <w:rPr>
                <w:color w:val="000000"/>
              </w:rPr>
            </w:pPr>
            <w:r w:rsidRPr="00A37DCC">
              <w:rPr>
                <w:color w:val="000000"/>
              </w:rPr>
              <w:t>2012</w:t>
            </w:r>
          </w:p>
        </w:tc>
        <w:tc>
          <w:tcPr>
            <w:tcW w:w="1802" w:type="dxa"/>
            <w:tcBorders>
              <w:top w:val="nil"/>
              <w:left w:val="nil"/>
              <w:bottom w:val="single" w:sz="4" w:space="0" w:color="auto"/>
              <w:right w:val="single" w:sz="4" w:space="0" w:color="auto"/>
            </w:tcBorders>
            <w:shd w:val="clear" w:color="auto" w:fill="auto"/>
            <w:noWrap/>
            <w:vAlign w:val="bottom"/>
            <w:hideMark/>
          </w:tcPr>
          <w:p w14:paraId="44986B94" w14:textId="77777777" w:rsidR="00EB6D9C" w:rsidRPr="00A37DCC" w:rsidRDefault="00EB6D9C" w:rsidP="00A44657">
            <w:pPr>
              <w:jc w:val="center"/>
              <w:rPr>
                <w:color w:val="000000"/>
              </w:rPr>
            </w:pPr>
            <w:r w:rsidRPr="00A37DCC">
              <w:rPr>
                <w:color w:val="000000"/>
              </w:rPr>
              <w:t>47.037.694,20</w:t>
            </w:r>
          </w:p>
        </w:tc>
        <w:tc>
          <w:tcPr>
            <w:tcW w:w="1802" w:type="dxa"/>
            <w:tcBorders>
              <w:top w:val="nil"/>
              <w:left w:val="nil"/>
              <w:bottom w:val="single" w:sz="4" w:space="0" w:color="auto"/>
              <w:right w:val="single" w:sz="4" w:space="0" w:color="auto"/>
            </w:tcBorders>
            <w:shd w:val="clear" w:color="auto" w:fill="auto"/>
            <w:noWrap/>
            <w:vAlign w:val="bottom"/>
            <w:hideMark/>
          </w:tcPr>
          <w:p w14:paraId="2663EE53" w14:textId="77777777" w:rsidR="00EB6D9C" w:rsidRPr="00A37DCC" w:rsidRDefault="00EB6D9C" w:rsidP="00A44657">
            <w:pPr>
              <w:jc w:val="center"/>
              <w:rPr>
                <w:color w:val="000000"/>
              </w:rPr>
            </w:pPr>
            <w:r w:rsidRPr="00A37DCC">
              <w:rPr>
                <w:color w:val="000000"/>
              </w:rPr>
              <w:t>2.674.252,98</w:t>
            </w:r>
          </w:p>
        </w:tc>
        <w:tc>
          <w:tcPr>
            <w:tcW w:w="1527" w:type="dxa"/>
            <w:tcBorders>
              <w:top w:val="nil"/>
              <w:left w:val="nil"/>
              <w:bottom w:val="single" w:sz="4" w:space="0" w:color="auto"/>
              <w:right w:val="nil"/>
            </w:tcBorders>
            <w:shd w:val="clear" w:color="auto" w:fill="auto"/>
            <w:noWrap/>
            <w:vAlign w:val="bottom"/>
            <w:hideMark/>
          </w:tcPr>
          <w:p w14:paraId="62BAACA8" w14:textId="77777777" w:rsidR="00EB6D9C" w:rsidRPr="00A37DCC" w:rsidRDefault="00EB6D9C" w:rsidP="00A44657">
            <w:pPr>
              <w:jc w:val="center"/>
              <w:rPr>
                <w:color w:val="000000"/>
              </w:rPr>
            </w:pPr>
            <w:r w:rsidRPr="00A37DCC">
              <w:rPr>
                <w:color w:val="000000"/>
              </w:rPr>
              <w:t>5,69%</w:t>
            </w:r>
          </w:p>
        </w:tc>
      </w:tr>
      <w:tr w:rsidR="00EB6D9C" w:rsidRPr="00B05FAA" w14:paraId="281D6026"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4BBF1983" w14:textId="77777777" w:rsidR="00EB6D9C" w:rsidRPr="00A37DCC" w:rsidRDefault="00EB6D9C" w:rsidP="00A44657">
            <w:pPr>
              <w:jc w:val="center"/>
              <w:rPr>
                <w:color w:val="000000"/>
              </w:rPr>
            </w:pPr>
            <w:r w:rsidRPr="00A37DCC">
              <w:rPr>
                <w:color w:val="000000"/>
              </w:rPr>
              <w:t>2013</w:t>
            </w:r>
          </w:p>
        </w:tc>
        <w:tc>
          <w:tcPr>
            <w:tcW w:w="1802" w:type="dxa"/>
            <w:tcBorders>
              <w:top w:val="nil"/>
              <w:left w:val="nil"/>
              <w:bottom w:val="single" w:sz="4" w:space="0" w:color="auto"/>
              <w:right w:val="single" w:sz="4" w:space="0" w:color="auto"/>
            </w:tcBorders>
            <w:shd w:val="clear" w:color="auto" w:fill="auto"/>
            <w:noWrap/>
            <w:vAlign w:val="bottom"/>
            <w:hideMark/>
          </w:tcPr>
          <w:p w14:paraId="7D42973E" w14:textId="77777777" w:rsidR="00EB6D9C" w:rsidRPr="00A37DCC" w:rsidRDefault="00EB6D9C" w:rsidP="00A44657">
            <w:pPr>
              <w:jc w:val="center"/>
              <w:rPr>
                <w:color w:val="000000"/>
              </w:rPr>
            </w:pPr>
            <w:r w:rsidRPr="00A37DCC">
              <w:rPr>
                <w:color w:val="000000"/>
              </w:rPr>
              <w:t>99.421.067,95</w:t>
            </w:r>
          </w:p>
        </w:tc>
        <w:tc>
          <w:tcPr>
            <w:tcW w:w="1802" w:type="dxa"/>
            <w:tcBorders>
              <w:top w:val="nil"/>
              <w:left w:val="nil"/>
              <w:bottom w:val="single" w:sz="4" w:space="0" w:color="auto"/>
              <w:right w:val="single" w:sz="4" w:space="0" w:color="auto"/>
            </w:tcBorders>
            <w:shd w:val="clear" w:color="auto" w:fill="auto"/>
            <w:noWrap/>
            <w:vAlign w:val="bottom"/>
            <w:hideMark/>
          </w:tcPr>
          <w:p w14:paraId="7EB131DC" w14:textId="77777777" w:rsidR="00EB6D9C" w:rsidRPr="00A37DCC" w:rsidRDefault="00EB6D9C" w:rsidP="00A44657">
            <w:pPr>
              <w:jc w:val="center"/>
              <w:rPr>
                <w:color w:val="000000"/>
              </w:rPr>
            </w:pPr>
            <w:r w:rsidRPr="00A37DCC">
              <w:rPr>
                <w:color w:val="000000"/>
              </w:rPr>
              <w:t>4.532.657,68</w:t>
            </w:r>
          </w:p>
        </w:tc>
        <w:tc>
          <w:tcPr>
            <w:tcW w:w="1527" w:type="dxa"/>
            <w:tcBorders>
              <w:top w:val="nil"/>
              <w:left w:val="nil"/>
              <w:bottom w:val="single" w:sz="4" w:space="0" w:color="auto"/>
              <w:right w:val="nil"/>
            </w:tcBorders>
            <w:shd w:val="clear" w:color="auto" w:fill="auto"/>
            <w:noWrap/>
            <w:vAlign w:val="bottom"/>
            <w:hideMark/>
          </w:tcPr>
          <w:p w14:paraId="6ED2CD5D" w14:textId="77777777" w:rsidR="00EB6D9C" w:rsidRPr="00A37DCC" w:rsidRDefault="00EB6D9C" w:rsidP="00A44657">
            <w:pPr>
              <w:jc w:val="center"/>
              <w:rPr>
                <w:color w:val="000000"/>
              </w:rPr>
            </w:pPr>
            <w:r w:rsidRPr="00A37DCC">
              <w:rPr>
                <w:color w:val="000000"/>
              </w:rPr>
              <w:t>4,56%</w:t>
            </w:r>
          </w:p>
        </w:tc>
      </w:tr>
      <w:tr w:rsidR="00EB6D9C" w:rsidRPr="00B05FAA" w14:paraId="5A26D381"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09FE52EC" w14:textId="77777777" w:rsidR="00EB6D9C" w:rsidRPr="00A37DCC" w:rsidRDefault="00EB6D9C" w:rsidP="00A44657">
            <w:pPr>
              <w:jc w:val="center"/>
              <w:rPr>
                <w:color w:val="000000"/>
              </w:rPr>
            </w:pPr>
            <w:r w:rsidRPr="00A37DCC">
              <w:rPr>
                <w:color w:val="000000"/>
              </w:rPr>
              <w:t>2014</w:t>
            </w:r>
          </w:p>
        </w:tc>
        <w:tc>
          <w:tcPr>
            <w:tcW w:w="1802" w:type="dxa"/>
            <w:tcBorders>
              <w:top w:val="nil"/>
              <w:left w:val="nil"/>
              <w:bottom w:val="single" w:sz="4" w:space="0" w:color="auto"/>
              <w:right w:val="single" w:sz="4" w:space="0" w:color="auto"/>
            </w:tcBorders>
            <w:shd w:val="clear" w:color="auto" w:fill="auto"/>
            <w:noWrap/>
            <w:vAlign w:val="bottom"/>
            <w:hideMark/>
          </w:tcPr>
          <w:p w14:paraId="7CBFD54A" w14:textId="77777777" w:rsidR="00EB6D9C" w:rsidRPr="00A37DCC" w:rsidRDefault="00EB6D9C" w:rsidP="00A44657">
            <w:pPr>
              <w:jc w:val="center"/>
              <w:rPr>
                <w:color w:val="000000"/>
              </w:rPr>
            </w:pPr>
            <w:r w:rsidRPr="00A37DCC">
              <w:rPr>
                <w:color w:val="000000"/>
              </w:rPr>
              <w:t>57.232.899,00</w:t>
            </w:r>
          </w:p>
        </w:tc>
        <w:tc>
          <w:tcPr>
            <w:tcW w:w="1802" w:type="dxa"/>
            <w:tcBorders>
              <w:top w:val="nil"/>
              <w:left w:val="nil"/>
              <w:bottom w:val="single" w:sz="4" w:space="0" w:color="auto"/>
              <w:right w:val="single" w:sz="4" w:space="0" w:color="auto"/>
            </w:tcBorders>
            <w:shd w:val="clear" w:color="auto" w:fill="auto"/>
            <w:noWrap/>
            <w:vAlign w:val="bottom"/>
            <w:hideMark/>
          </w:tcPr>
          <w:p w14:paraId="66666281" w14:textId="77777777" w:rsidR="00EB6D9C" w:rsidRPr="00A37DCC" w:rsidRDefault="00EB6D9C" w:rsidP="00A44657">
            <w:pPr>
              <w:jc w:val="center"/>
              <w:rPr>
                <w:color w:val="000000"/>
              </w:rPr>
            </w:pPr>
            <w:r w:rsidRPr="00A37DCC">
              <w:rPr>
                <w:color w:val="000000"/>
              </w:rPr>
              <w:t>1.057.164,76</w:t>
            </w:r>
          </w:p>
        </w:tc>
        <w:tc>
          <w:tcPr>
            <w:tcW w:w="1527" w:type="dxa"/>
            <w:tcBorders>
              <w:top w:val="nil"/>
              <w:left w:val="nil"/>
              <w:bottom w:val="single" w:sz="4" w:space="0" w:color="auto"/>
              <w:right w:val="nil"/>
            </w:tcBorders>
            <w:shd w:val="clear" w:color="auto" w:fill="auto"/>
            <w:noWrap/>
            <w:vAlign w:val="bottom"/>
            <w:hideMark/>
          </w:tcPr>
          <w:p w14:paraId="00DDDAFD" w14:textId="77777777" w:rsidR="00EB6D9C" w:rsidRPr="00A37DCC" w:rsidRDefault="00EB6D9C" w:rsidP="00A44657">
            <w:pPr>
              <w:jc w:val="center"/>
              <w:rPr>
                <w:color w:val="000000"/>
              </w:rPr>
            </w:pPr>
            <w:r w:rsidRPr="00A37DCC">
              <w:rPr>
                <w:color w:val="000000"/>
              </w:rPr>
              <w:t>1,85%</w:t>
            </w:r>
          </w:p>
        </w:tc>
      </w:tr>
      <w:tr w:rsidR="00EB6D9C" w:rsidRPr="00B05FAA" w14:paraId="7274F688"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1E8CF387" w14:textId="77777777" w:rsidR="00EB6D9C" w:rsidRPr="00A37DCC" w:rsidRDefault="00EB6D9C" w:rsidP="00A44657">
            <w:pPr>
              <w:jc w:val="center"/>
              <w:rPr>
                <w:color w:val="000000"/>
              </w:rPr>
            </w:pPr>
            <w:r w:rsidRPr="00A37DCC">
              <w:rPr>
                <w:color w:val="000000"/>
              </w:rPr>
              <w:t>2015</w:t>
            </w:r>
          </w:p>
        </w:tc>
        <w:tc>
          <w:tcPr>
            <w:tcW w:w="1802" w:type="dxa"/>
            <w:tcBorders>
              <w:top w:val="nil"/>
              <w:left w:val="nil"/>
              <w:bottom w:val="single" w:sz="4" w:space="0" w:color="auto"/>
              <w:right w:val="single" w:sz="4" w:space="0" w:color="auto"/>
            </w:tcBorders>
            <w:shd w:val="clear" w:color="auto" w:fill="auto"/>
            <w:noWrap/>
            <w:vAlign w:val="bottom"/>
            <w:hideMark/>
          </w:tcPr>
          <w:p w14:paraId="2067440F" w14:textId="77777777" w:rsidR="00EB6D9C" w:rsidRPr="00A37DCC" w:rsidRDefault="00EB6D9C" w:rsidP="00A44657">
            <w:pPr>
              <w:jc w:val="center"/>
              <w:rPr>
                <w:color w:val="000000"/>
              </w:rPr>
            </w:pPr>
            <w:r w:rsidRPr="00A37DCC">
              <w:rPr>
                <w:color w:val="000000"/>
              </w:rPr>
              <w:t>191.767.637,91</w:t>
            </w:r>
          </w:p>
        </w:tc>
        <w:tc>
          <w:tcPr>
            <w:tcW w:w="1802" w:type="dxa"/>
            <w:tcBorders>
              <w:top w:val="nil"/>
              <w:left w:val="nil"/>
              <w:bottom w:val="single" w:sz="4" w:space="0" w:color="auto"/>
              <w:right w:val="single" w:sz="4" w:space="0" w:color="auto"/>
            </w:tcBorders>
            <w:shd w:val="clear" w:color="auto" w:fill="auto"/>
            <w:noWrap/>
            <w:vAlign w:val="bottom"/>
            <w:hideMark/>
          </w:tcPr>
          <w:p w14:paraId="34AAA7E6" w14:textId="77777777" w:rsidR="00EB6D9C" w:rsidRPr="00A37DCC" w:rsidRDefault="00EB6D9C" w:rsidP="00A44657">
            <w:pPr>
              <w:jc w:val="center"/>
              <w:rPr>
                <w:color w:val="000000"/>
              </w:rPr>
            </w:pPr>
            <w:r w:rsidRPr="00A37DCC">
              <w:rPr>
                <w:color w:val="000000"/>
              </w:rPr>
              <w:t>654.037,75</w:t>
            </w:r>
          </w:p>
        </w:tc>
        <w:tc>
          <w:tcPr>
            <w:tcW w:w="1527" w:type="dxa"/>
            <w:tcBorders>
              <w:top w:val="nil"/>
              <w:left w:val="nil"/>
              <w:bottom w:val="single" w:sz="4" w:space="0" w:color="auto"/>
              <w:right w:val="nil"/>
            </w:tcBorders>
            <w:shd w:val="clear" w:color="auto" w:fill="auto"/>
            <w:noWrap/>
            <w:vAlign w:val="bottom"/>
            <w:hideMark/>
          </w:tcPr>
          <w:p w14:paraId="11F80217" w14:textId="77777777" w:rsidR="00EB6D9C" w:rsidRPr="00A37DCC" w:rsidRDefault="00EB6D9C" w:rsidP="00A44657">
            <w:pPr>
              <w:jc w:val="center"/>
              <w:rPr>
                <w:color w:val="000000"/>
              </w:rPr>
            </w:pPr>
            <w:r w:rsidRPr="00A37DCC">
              <w:rPr>
                <w:color w:val="000000"/>
              </w:rPr>
              <w:t>0,34%</w:t>
            </w:r>
          </w:p>
        </w:tc>
      </w:tr>
      <w:tr w:rsidR="00EB6D9C" w:rsidRPr="00B05FAA" w14:paraId="140B1A0E"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0C22B8DE" w14:textId="77777777" w:rsidR="00EB6D9C" w:rsidRPr="00A37DCC" w:rsidRDefault="00EB6D9C" w:rsidP="00A44657">
            <w:pPr>
              <w:jc w:val="center"/>
              <w:rPr>
                <w:color w:val="000000"/>
              </w:rPr>
            </w:pPr>
            <w:r w:rsidRPr="00A37DCC">
              <w:rPr>
                <w:color w:val="000000"/>
              </w:rPr>
              <w:t>2016</w:t>
            </w:r>
          </w:p>
        </w:tc>
        <w:tc>
          <w:tcPr>
            <w:tcW w:w="1802" w:type="dxa"/>
            <w:tcBorders>
              <w:top w:val="nil"/>
              <w:left w:val="nil"/>
              <w:bottom w:val="single" w:sz="4" w:space="0" w:color="auto"/>
              <w:right w:val="single" w:sz="4" w:space="0" w:color="auto"/>
            </w:tcBorders>
            <w:shd w:val="clear" w:color="auto" w:fill="auto"/>
            <w:noWrap/>
            <w:vAlign w:val="bottom"/>
            <w:hideMark/>
          </w:tcPr>
          <w:p w14:paraId="2B1AE10F" w14:textId="77777777" w:rsidR="00EB6D9C" w:rsidRPr="00A37DCC" w:rsidRDefault="00EB6D9C" w:rsidP="00A44657">
            <w:pPr>
              <w:jc w:val="center"/>
              <w:rPr>
                <w:color w:val="000000"/>
              </w:rPr>
            </w:pPr>
            <w:r w:rsidRPr="00A37DCC">
              <w:rPr>
                <w:color w:val="000000"/>
              </w:rPr>
              <w:t>157.083.968,03</w:t>
            </w:r>
          </w:p>
        </w:tc>
        <w:tc>
          <w:tcPr>
            <w:tcW w:w="1802" w:type="dxa"/>
            <w:tcBorders>
              <w:top w:val="nil"/>
              <w:left w:val="nil"/>
              <w:bottom w:val="single" w:sz="4" w:space="0" w:color="auto"/>
              <w:right w:val="single" w:sz="4" w:space="0" w:color="auto"/>
            </w:tcBorders>
            <w:shd w:val="clear" w:color="auto" w:fill="auto"/>
            <w:noWrap/>
            <w:vAlign w:val="bottom"/>
            <w:hideMark/>
          </w:tcPr>
          <w:p w14:paraId="4138D012" w14:textId="77777777" w:rsidR="00EB6D9C" w:rsidRPr="00A37DCC" w:rsidRDefault="00EB6D9C" w:rsidP="00A44657">
            <w:pPr>
              <w:jc w:val="center"/>
              <w:rPr>
                <w:color w:val="000000"/>
              </w:rPr>
            </w:pPr>
            <w:r w:rsidRPr="00A37DCC">
              <w:rPr>
                <w:color w:val="000000"/>
              </w:rPr>
              <w:t>470.284,72</w:t>
            </w:r>
          </w:p>
        </w:tc>
        <w:tc>
          <w:tcPr>
            <w:tcW w:w="1527" w:type="dxa"/>
            <w:tcBorders>
              <w:top w:val="nil"/>
              <w:left w:val="nil"/>
              <w:bottom w:val="single" w:sz="4" w:space="0" w:color="auto"/>
              <w:right w:val="nil"/>
            </w:tcBorders>
            <w:shd w:val="clear" w:color="auto" w:fill="auto"/>
            <w:noWrap/>
            <w:vAlign w:val="bottom"/>
            <w:hideMark/>
          </w:tcPr>
          <w:p w14:paraId="3B93114A" w14:textId="77777777" w:rsidR="00EB6D9C" w:rsidRPr="00A37DCC" w:rsidRDefault="00EB6D9C" w:rsidP="00A44657">
            <w:pPr>
              <w:jc w:val="center"/>
              <w:rPr>
                <w:color w:val="000000"/>
              </w:rPr>
            </w:pPr>
            <w:r w:rsidRPr="00A37DCC">
              <w:rPr>
                <w:color w:val="000000"/>
              </w:rPr>
              <w:t>0,30%</w:t>
            </w:r>
          </w:p>
        </w:tc>
      </w:tr>
      <w:tr w:rsidR="00EB6D9C" w:rsidRPr="00B05FAA" w14:paraId="66A866CD"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08F33A38" w14:textId="77777777" w:rsidR="00EB6D9C" w:rsidRPr="00A37DCC" w:rsidRDefault="00EB6D9C" w:rsidP="00A44657">
            <w:pPr>
              <w:jc w:val="center"/>
              <w:rPr>
                <w:color w:val="000000"/>
              </w:rPr>
            </w:pPr>
            <w:r w:rsidRPr="00A37DCC">
              <w:rPr>
                <w:color w:val="000000"/>
              </w:rPr>
              <w:t>2017</w:t>
            </w:r>
          </w:p>
        </w:tc>
        <w:tc>
          <w:tcPr>
            <w:tcW w:w="1802" w:type="dxa"/>
            <w:tcBorders>
              <w:top w:val="nil"/>
              <w:left w:val="nil"/>
              <w:bottom w:val="single" w:sz="4" w:space="0" w:color="auto"/>
              <w:right w:val="single" w:sz="4" w:space="0" w:color="auto"/>
            </w:tcBorders>
            <w:shd w:val="clear" w:color="auto" w:fill="auto"/>
            <w:noWrap/>
            <w:vAlign w:val="bottom"/>
            <w:hideMark/>
          </w:tcPr>
          <w:p w14:paraId="760D337B" w14:textId="77777777" w:rsidR="00EB6D9C" w:rsidRPr="00A37DCC" w:rsidRDefault="00EB6D9C" w:rsidP="00A44657">
            <w:pPr>
              <w:jc w:val="center"/>
              <w:rPr>
                <w:color w:val="000000"/>
              </w:rPr>
            </w:pPr>
            <w:r w:rsidRPr="00A37DCC">
              <w:rPr>
                <w:color w:val="000000"/>
              </w:rPr>
              <w:t>404.557.283,02</w:t>
            </w:r>
          </w:p>
        </w:tc>
        <w:tc>
          <w:tcPr>
            <w:tcW w:w="1802" w:type="dxa"/>
            <w:tcBorders>
              <w:top w:val="nil"/>
              <w:left w:val="nil"/>
              <w:bottom w:val="single" w:sz="4" w:space="0" w:color="auto"/>
              <w:right w:val="single" w:sz="4" w:space="0" w:color="auto"/>
            </w:tcBorders>
            <w:shd w:val="clear" w:color="auto" w:fill="auto"/>
            <w:noWrap/>
            <w:vAlign w:val="bottom"/>
            <w:hideMark/>
          </w:tcPr>
          <w:p w14:paraId="737CFE46" w14:textId="77777777" w:rsidR="00EB6D9C" w:rsidRPr="00A37DCC" w:rsidRDefault="00EB6D9C" w:rsidP="00A44657">
            <w:pPr>
              <w:jc w:val="center"/>
              <w:rPr>
                <w:color w:val="000000"/>
              </w:rPr>
            </w:pPr>
            <w:r w:rsidRPr="00A37DCC">
              <w:rPr>
                <w:color w:val="000000"/>
              </w:rPr>
              <w:t>828,89</w:t>
            </w:r>
          </w:p>
        </w:tc>
        <w:tc>
          <w:tcPr>
            <w:tcW w:w="1527" w:type="dxa"/>
            <w:tcBorders>
              <w:top w:val="nil"/>
              <w:left w:val="nil"/>
              <w:bottom w:val="single" w:sz="4" w:space="0" w:color="auto"/>
              <w:right w:val="nil"/>
            </w:tcBorders>
            <w:shd w:val="clear" w:color="auto" w:fill="auto"/>
            <w:noWrap/>
            <w:vAlign w:val="bottom"/>
            <w:hideMark/>
          </w:tcPr>
          <w:p w14:paraId="1D33C8BB" w14:textId="77777777" w:rsidR="00EB6D9C" w:rsidRPr="00A37DCC" w:rsidRDefault="00EB6D9C" w:rsidP="00A44657">
            <w:pPr>
              <w:jc w:val="center"/>
              <w:rPr>
                <w:color w:val="000000"/>
              </w:rPr>
            </w:pPr>
            <w:r w:rsidRPr="00A37DCC">
              <w:rPr>
                <w:color w:val="000000"/>
              </w:rPr>
              <w:t>0,00%</w:t>
            </w:r>
          </w:p>
        </w:tc>
      </w:tr>
      <w:tr w:rsidR="00EB6D9C" w:rsidRPr="00B05FAA" w14:paraId="49E8107A" w14:textId="77777777" w:rsidTr="00A44657">
        <w:trPr>
          <w:trHeight w:val="260"/>
        </w:trPr>
        <w:tc>
          <w:tcPr>
            <w:tcW w:w="1951" w:type="dxa"/>
            <w:tcBorders>
              <w:top w:val="nil"/>
              <w:left w:val="nil"/>
              <w:bottom w:val="single" w:sz="4" w:space="0" w:color="auto"/>
              <w:right w:val="single" w:sz="4" w:space="0" w:color="auto"/>
            </w:tcBorders>
            <w:shd w:val="clear" w:color="auto" w:fill="D0CECE" w:themeFill="background2" w:themeFillShade="E6"/>
            <w:noWrap/>
            <w:vAlign w:val="bottom"/>
            <w:hideMark/>
          </w:tcPr>
          <w:p w14:paraId="657CC181" w14:textId="77777777" w:rsidR="00EB6D9C" w:rsidRPr="00A37DCC" w:rsidRDefault="00EB6D9C" w:rsidP="00A44657">
            <w:pPr>
              <w:jc w:val="center"/>
              <w:rPr>
                <w:b/>
                <w:color w:val="000000"/>
              </w:rPr>
            </w:pPr>
            <w:r w:rsidRPr="00A37DCC">
              <w:rPr>
                <w:b/>
                <w:color w:val="000000"/>
              </w:rPr>
              <w:t xml:space="preserve">Não Processados </w:t>
            </w:r>
          </w:p>
        </w:tc>
        <w:tc>
          <w:tcPr>
            <w:tcW w:w="1802" w:type="dxa"/>
            <w:tcBorders>
              <w:top w:val="nil"/>
              <w:left w:val="nil"/>
              <w:bottom w:val="single" w:sz="4" w:space="0" w:color="auto"/>
              <w:right w:val="single" w:sz="4" w:space="0" w:color="auto"/>
            </w:tcBorders>
            <w:shd w:val="clear" w:color="auto" w:fill="D0CECE" w:themeFill="background2" w:themeFillShade="E6"/>
            <w:noWrap/>
            <w:vAlign w:val="bottom"/>
            <w:hideMark/>
          </w:tcPr>
          <w:p w14:paraId="7E185571" w14:textId="77777777" w:rsidR="00EB6D9C" w:rsidRPr="00A37DCC" w:rsidRDefault="00EB6D9C" w:rsidP="00A44657">
            <w:pPr>
              <w:jc w:val="center"/>
              <w:rPr>
                <w:b/>
                <w:color w:val="000000"/>
              </w:rPr>
            </w:pPr>
            <w:r w:rsidRPr="00A37DCC">
              <w:rPr>
                <w:b/>
                <w:color w:val="000000"/>
              </w:rPr>
              <w:t>3.413.455.588,29</w:t>
            </w:r>
          </w:p>
        </w:tc>
        <w:tc>
          <w:tcPr>
            <w:tcW w:w="180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92B941" w14:textId="77777777" w:rsidR="00EB6D9C" w:rsidRPr="00A37DCC" w:rsidRDefault="00EB6D9C" w:rsidP="00A44657">
            <w:pPr>
              <w:jc w:val="center"/>
              <w:rPr>
                <w:b/>
                <w:color w:val="000000"/>
              </w:rPr>
            </w:pPr>
            <w:r w:rsidRPr="00A37DCC">
              <w:rPr>
                <w:b/>
                <w:color w:val="000000"/>
              </w:rPr>
              <w:t>1.598.359.402,28</w:t>
            </w:r>
          </w:p>
        </w:tc>
        <w:tc>
          <w:tcPr>
            <w:tcW w:w="1527" w:type="dxa"/>
            <w:tcBorders>
              <w:top w:val="nil"/>
              <w:left w:val="nil"/>
              <w:bottom w:val="single" w:sz="4" w:space="0" w:color="auto"/>
              <w:right w:val="nil"/>
            </w:tcBorders>
            <w:shd w:val="clear" w:color="auto" w:fill="D0CECE" w:themeFill="background2" w:themeFillShade="E6"/>
            <w:noWrap/>
            <w:vAlign w:val="bottom"/>
            <w:hideMark/>
          </w:tcPr>
          <w:p w14:paraId="45D9A6FD" w14:textId="77777777" w:rsidR="00EB6D9C" w:rsidRPr="00A37DCC" w:rsidRDefault="00EB6D9C" w:rsidP="00A44657">
            <w:pPr>
              <w:jc w:val="center"/>
              <w:rPr>
                <w:b/>
                <w:color w:val="000000"/>
              </w:rPr>
            </w:pPr>
            <w:r w:rsidRPr="00A37DCC">
              <w:rPr>
                <w:b/>
                <w:color w:val="000000"/>
              </w:rPr>
              <w:t>46,83%</w:t>
            </w:r>
          </w:p>
        </w:tc>
      </w:tr>
      <w:tr w:rsidR="00EB6D9C" w:rsidRPr="00B05FAA" w14:paraId="37F2F27F"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66CCE69E" w14:textId="77777777" w:rsidR="00EB6D9C" w:rsidRPr="00A37DCC" w:rsidRDefault="00EB6D9C" w:rsidP="00A44657">
            <w:pPr>
              <w:jc w:val="center"/>
              <w:rPr>
                <w:color w:val="000000"/>
              </w:rPr>
            </w:pPr>
            <w:r w:rsidRPr="00A37DCC">
              <w:rPr>
                <w:color w:val="000000"/>
              </w:rPr>
              <w:t>2011</w:t>
            </w:r>
          </w:p>
        </w:tc>
        <w:tc>
          <w:tcPr>
            <w:tcW w:w="1802" w:type="dxa"/>
            <w:tcBorders>
              <w:top w:val="nil"/>
              <w:left w:val="nil"/>
              <w:bottom w:val="single" w:sz="4" w:space="0" w:color="auto"/>
              <w:right w:val="single" w:sz="4" w:space="0" w:color="auto"/>
            </w:tcBorders>
            <w:shd w:val="clear" w:color="auto" w:fill="auto"/>
            <w:noWrap/>
            <w:vAlign w:val="bottom"/>
            <w:hideMark/>
          </w:tcPr>
          <w:p w14:paraId="5DB8347B" w14:textId="77777777" w:rsidR="00EB6D9C" w:rsidRPr="00A37DCC" w:rsidRDefault="00EB6D9C" w:rsidP="00A44657">
            <w:pPr>
              <w:jc w:val="center"/>
              <w:rPr>
                <w:color w:val="000000"/>
              </w:rPr>
            </w:pPr>
            <w:r w:rsidRPr="00A37DCC">
              <w:rPr>
                <w:color w:val="000000"/>
              </w:rPr>
              <w:t>382.413.888,68</w:t>
            </w:r>
          </w:p>
        </w:tc>
        <w:tc>
          <w:tcPr>
            <w:tcW w:w="1802" w:type="dxa"/>
            <w:tcBorders>
              <w:top w:val="nil"/>
              <w:left w:val="nil"/>
              <w:bottom w:val="single" w:sz="4" w:space="0" w:color="auto"/>
              <w:right w:val="single" w:sz="4" w:space="0" w:color="auto"/>
            </w:tcBorders>
            <w:shd w:val="clear" w:color="auto" w:fill="auto"/>
            <w:noWrap/>
            <w:vAlign w:val="bottom"/>
            <w:hideMark/>
          </w:tcPr>
          <w:p w14:paraId="7EC240E6" w14:textId="77777777" w:rsidR="00EB6D9C" w:rsidRPr="00A37DCC" w:rsidRDefault="00EB6D9C" w:rsidP="00A44657">
            <w:pPr>
              <w:jc w:val="center"/>
              <w:rPr>
                <w:color w:val="000000"/>
              </w:rPr>
            </w:pPr>
            <w:r w:rsidRPr="00A37DCC">
              <w:rPr>
                <w:color w:val="000000"/>
              </w:rPr>
              <w:t>155.755.223,90</w:t>
            </w:r>
          </w:p>
        </w:tc>
        <w:tc>
          <w:tcPr>
            <w:tcW w:w="1527" w:type="dxa"/>
            <w:tcBorders>
              <w:top w:val="nil"/>
              <w:left w:val="nil"/>
              <w:bottom w:val="single" w:sz="4" w:space="0" w:color="auto"/>
              <w:right w:val="nil"/>
            </w:tcBorders>
            <w:shd w:val="clear" w:color="auto" w:fill="auto"/>
            <w:noWrap/>
            <w:vAlign w:val="bottom"/>
            <w:hideMark/>
          </w:tcPr>
          <w:p w14:paraId="7D40BF2C" w14:textId="77777777" w:rsidR="00EB6D9C" w:rsidRPr="00A37DCC" w:rsidRDefault="00EB6D9C" w:rsidP="00A44657">
            <w:pPr>
              <w:jc w:val="center"/>
              <w:rPr>
                <w:color w:val="000000"/>
              </w:rPr>
            </w:pPr>
            <w:r w:rsidRPr="00A37DCC">
              <w:rPr>
                <w:color w:val="000000"/>
              </w:rPr>
              <w:t>40,73%</w:t>
            </w:r>
          </w:p>
        </w:tc>
      </w:tr>
      <w:tr w:rsidR="00EB6D9C" w:rsidRPr="00B05FAA" w14:paraId="193D1A99"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7E4DC12F" w14:textId="77777777" w:rsidR="00EB6D9C" w:rsidRPr="00A37DCC" w:rsidRDefault="00EB6D9C" w:rsidP="00A44657">
            <w:pPr>
              <w:jc w:val="center"/>
              <w:rPr>
                <w:color w:val="000000"/>
              </w:rPr>
            </w:pPr>
            <w:r w:rsidRPr="00A37DCC">
              <w:rPr>
                <w:color w:val="000000"/>
              </w:rPr>
              <w:t>2012</w:t>
            </w:r>
          </w:p>
        </w:tc>
        <w:tc>
          <w:tcPr>
            <w:tcW w:w="1802" w:type="dxa"/>
            <w:tcBorders>
              <w:top w:val="nil"/>
              <w:left w:val="nil"/>
              <w:bottom w:val="single" w:sz="4" w:space="0" w:color="auto"/>
              <w:right w:val="single" w:sz="4" w:space="0" w:color="auto"/>
            </w:tcBorders>
            <w:shd w:val="clear" w:color="auto" w:fill="auto"/>
            <w:noWrap/>
            <w:vAlign w:val="bottom"/>
            <w:hideMark/>
          </w:tcPr>
          <w:p w14:paraId="07F91A1E" w14:textId="77777777" w:rsidR="00EB6D9C" w:rsidRPr="00A37DCC" w:rsidRDefault="00EB6D9C" w:rsidP="00A44657">
            <w:pPr>
              <w:jc w:val="center"/>
              <w:rPr>
                <w:color w:val="000000"/>
              </w:rPr>
            </w:pPr>
            <w:r w:rsidRPr="00A37DCC">
              <w:rPr>
                <w:color w:val="000000"/>
              </w:rPr>
              <w:t>346.177.758,93</w:t>
            </w:r>
          </w:p>
        </w:tc>
        <w:tc>
          <w:tcPr>
            <w:tcW w:w="1802" w:type="dxa"/>
            <w:tcBorders>
              <w:top w:val="nil"/>
              <w:left w:val="nil"/>
              <w:bottom w:val="single" w:sz="4" w:space="0" w:color="auto"/>
              <w:right w:val="single" w:sz="4" w:space="0" w:color="auto"/>
            </w:tcBorders>
            <w:shd w:val="clear" w:color="auto" w:fill="auto"/>
            <w:noWrap/>
            <w:vAlign w:val="bottom"/>
            <w:hideMark/>
          </w:tcPr>
          <w:p w14:paraId="7A6BB60E" w14:textId="77777777" w:rsidR="00EB6D9C" w:rsidRPr="00A37DCC" w:rsidRDefault="00EB6D9C" w:rsidP="00A44657">
            <w:pPr>
              <w:jc w:val="center"/>
              <w:rPr>
                <w:color w:val="000000"/>
              </w:rPr>
            </w:pPr>
            <w:r w:rsidRPr="00A37DCC">
              <w:rPr>
                <w:color w:val="000000"/>
              </w:rPr>
              <w:t>179.578.189,62</w:t>
            </w:r>
          </w:p>
        </w:tc>
        <w:tc>
          <w:tcPr>
            <w:tcW w:w="1527" w:type="dxa"/>
            <w:tcBorders>
              <w:top w:val="nil"/>
              <w:left w:val="nil"/>
              <w:bottom w:val="single" w:sz="4" w:space="0" w:color="auto"/>
              <w:right w:val="nil"/>
            </w:tcBorders>
            <w:shd w:val="clear" w:color="auto" w:fill="auto"/>
            <w:noWrap/>
            <w:vAlign w:val="bottom"/>
            <w:hideMark/>
          </w:tcPr>
          <w:p w14:paraId="11342A07" w14:textId="77777777" w:rsidR="00EB6D9C" w:rsidRPr="00A37DCC" w:rsidRDefault="00EB6D9C" w:rsidP="00A44657">
            <w:pPr>
              <w:jc w:val="center"/>
              <w:rPr>
                <w:color w:val="000000"/>
              </w:rPr>
            </w:pPr>
            <w:r w:rsidRPr="00A37DCC">
              <w:rPr>
                <w:color w:val="000000"/>
              </w:rPr>
              <w:t>51,87%</w:t>
            </w:r>
          </w:p>
        </w:tc>
      </w:tr>
      <w:tr w:rsidR="00EB6D9C" w:rsidRPr="00B05FAA" w14:paraId="6FBE38F2"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58322111" w14:textId="77777777" w:rsidR="00EB6D9C" w:rsidRPr="00A37DCC" w:rsidRDefault="00EB6D9C" w:rsidP="00A44657">
            <w:pPr>
              <w:jc w:val="center"/>
              <w:rPr>
                <w:color w:val="000000"/>
              </w:rPr>
            </w:pPr>
            <w:r w:rsidRPr="00A37DCC">
              <w:rPr>
                <w:color w:val="000000"/>
              </w:rPr>
              <w:t>2013</w:t>
            </w:r>
          </w:p>
        </w:tc>
        <w:tc>
          <w:tcPr>
            <w:tcW w:w="1802" w:type="dxa"/>
            <w:tcBorders>
              <w:top w:val="nil"/>
              <w:left w:val="nil"/>
              <w:bottom w:val="single" w:sz="4" w:space="0" w:color="auto"/>
              <w:right w:val="single" w:sz="4" w:space="0" w:color="auto"/>
            </w:tcBorders>
            <w:shd w:val="clear" w:color="auto" w:fill="auto"/>
            <w:noWrap/>
            <w:vAlign w:val="bottom"/>
            <w:hideMark/>
          </w:tcPr>
          <w:p w14:paraId="162B7FF1" w14:textId="77777777" w:rsidR="00EB6D9C" w:rsidRPr="00A37DCC" w:rsidRDefault="00EB6D9C" w:rsidP="00A44657">
            <w:pPr>
              <w:jc w:val="center"/>
              <w:rPr>
                <w:color w:val="000000"/>
              </w:rPr>
            </w:pPr>
            <w:r w:rsidRPr="00A37DCC">
              <w:rPr>
                <w:color w:val="000000"/>
              </w:rPr>
              <w:t>575.717.907,84</w:t>
            </w:r>
          </w:p>
        </w:tc>
        <w:tc>
          <w:tcPr>
            <w:tcW w:w="1802" w:type="dxa"/>
            <w:tcBorders>
              <w:top w:val="nil"/>
              <w:left w:val="nil"/>
              <w:bottom w:val="single" w:sz="4" w:space="0" w:color="auto"/>
              <w:right w:val="single" w:sz="4" w:space="0" w:color="auto"/>
            </w:tcBorders>
            <w:shd w:val="clear" w:color="auto" w:fill="auto"/>
            <w:noWrap/>
            <w:vAlign w:val="bottom"/>
            <w:hideMark/>
          </w:tcPr>
          <w:p w14:paraId="1DD7F035" w14:textId="77777777" w:rsidR="00EB6D9C" w:rsidRPr="00A37DCC" w:rsidRDefault="00EB6D9C" w:rsidP="00A44657">
            <w:pPr>
              <w:jc w:val="center"/>
              <w:rPr>
                <w:color w:val="000000"/>
              </w:rPr>
            </w:pPr>
            <w:r w:rsidRPr="00A37DCC">
              <w:rPr>
                <w:color w:val="000000"/>
              </w:rPr>
              <w:t>266.835.049,50</w:t>
            </w:r>
          </w:p>
        </w:tc>
        <w:tc>
          <w:tcPr>
            <w:tcW w:w="1527" w:type="dxa"/>
            <w:tcBorders>
              <w:top w:val="nil"/>
              <w:left w:val="nil"/>
              <w:bottom w:val="single" w:sz="4" w:space="0" w:color="auto"/>
              <w:right w:val="nil"/>
            </w:tcBorders>
            <w:shd w:val="clear" w:color="auto" w:fill="auto"/>
            <w:noWrap/>
            <w:vAlign w:val="bottom"/>
            <w:hideMark/>
          </w:tcPr>
          <w:p w14:paraId="0026E8D1" w14:textId="77777777" w:rsidR="00EB6D9C" w:rsidRPr="00A37DCC" w:rsidRDefault="00EB6D9C" w:rsidP="00A44657">
            <w:pPr>
              <w:jc w:val="center"/>
              <w:rPr>
                <w:color w:val="000000"/>
              </w:rPr>
            </w:pPr>
            <w:r w:rsidRPr="00A37DCC">
              <w:rPr>
                <w:color w:val="000000"/>
              </w:rPr>
              <w:t>46,35%</w:t>
            </w:r>
          </w:p>
        </w:tc>
      </w:tr>
      <w:tr w:rsidR="00EB6D9C" w:rsidRPr="00B05FAA" w14:paraId="0A24C8EE"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6F9B7D65" w14:textId="77777777" w:rsidR="00EB6D9C" w:rsidRPr="00A37DCC" w:rsidRDefault="00EB6D9C" w:rsidP="00A44657">
            <w:pPr>
              <w:jc w:val="center"/>
              <w:rPr>
                <w:color w:val="000000"/>
              </w:rPr>
            </w:pPr>
            <w:r w:rsidRPr="00A37DCC">
              <w:rPr>
                <w:color w:val="000000"/>
              </w:rPr>
              <w:t>2014</w:t>
            </w:r>
          </w:p>
        </w:tc>
        <w:tc>
          <w:tcPr>
            <w:tcW w:w="1802" w:type="dxa"/>
            <w:tcBorders>
              <w:top w:val="nil"/>
              <w:left w:val="nil"/>
              <w:bottom w:val="single" w:sz="4" w:space="0" w:color="auto"/>
              <w:right w:val="single" w:sz="4" w:space="0" w:color="auto"/>
            </w:tcBorders>
            <w:shd w:val="clear" w:color="auto" w:fill="auto"/>
            <w:noWrap/>
            <w:vAlign w:val="bottom"/>
            <w:hideMark/>
          </w:tcPr>
          <w:p w14:paraId="3B26800E" w14:textId="77777777" w:rsidR="00EB6D9C" w:rsidRPr="00A37DCC" w:rsidRDefault="00EB6D9C" w:rsidP="00A44657">
            <w:pPr>
              <w:jc w:val="center"/>
              <w:rPr>
                <w:color w:val="000000"/>
              </w:rPr>
            </w:pPr>
            <w:r w:rsidRPr="00A37DCC">
              <w:rPr>
                <w:color w:val="000000"/>
              </w:rPr>
              <w:t>437.748.493,65</w:t>
            </w:r>
          </w:p>
        </w:tc>
        <w:tc>
          <w:tcPr>
            <w:tcW w:w="1802" w:type="dxa"/>
            <w:tcBorders>
              <w:top w:val="nil"/>
              <w:left w:val="nil"/>
              <w:bottom w:val="single" w:sz="4" w:space="0" w:color="auto"/>
              <w:right w:val="single" w:sz="4" w:space="0" w:color="auto"/>
            </w:tcBorders>
            <w:shd w:val="clear" w:color="auto" w:fill="auto"/>
            <w:noWrap/>
            <w:vAlign w:val="bottom"/>
            <w:hideMark/>
          </w:tcPr>
          <w:p w14:paraId="4F0B765F" w14:textId="77777777" w:rsidR="00EB6D9C" w:rsidRPr="00A37DCC" w:rsidRDefault="00EB6D9C" w:rsidP="00A44657">
            <w:pPr>
              <w:jc w:val="center"/>
              <w:rPr>
                <w:color w:val="000000"/>
              </w:rPr>
            </w:pPr>
            <w:r w:rsidRPr="00A37DCC">
              <w:rPr>
                <w:color w:val="000000"/>
              </w:rPr>
              <w:t>222.694.758,25</w:t>
            </w:r>
          </w:p>
        </w:tc>
        <w:tc>
          <w:tcPr>
            <w:tcW w:w="1527" w:type="dxa"/>
            <w:tcBorders>
              <w:top w:val="nil"/>
              <w:left w:val="nil"/>
              <w:bottom w:val="single" w:sz="4" w:space="0" w:color="auto"/>
              <w:right w:val="nil"/>
            </w:tcBorders>
            <w:shd w:val="clear" w:color="auto" w:fill="auto"/>
            <w:noWrap/>
            <w:vAlign w:val="bottom"/>
            <w:hideMark/>
          </w:tcPr>
          <w:p w14:paraId="05C8F9D3" w14:textId="77777777" w:rsidR="00EB6D9C" w:rsidRPr="00A37DCC" w:rsidRDefault="00EB6D9C" w:rsidP="00A44657">
            <w:pPr>
              <w:jc w:val="center"/>
              <w:rPr>
                <w:color w:val="000000"/>
              </w:rPr>
            </w:pPr>
            <w:r w:rsidRPr="00A37DCC">
              <w:rPr>
                <w:color w:val="000000"/>
              </w:rPr>
              <w:t>50,87%</w:t>
            </w:r>
          </w:p>
        </w:tc>
      </w:tr>
      <w:tr w:rsidR="00EB6D9C" w:rsidRPr="00B05FAA" w14:paraId="46A8DBC6"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403D0B8E" w14:textId="77777777" w:rsidR="00EB6D9C" w:rsidRPr="00A37DCC" w:rsidRDefault="00EB6D9C" w:rsidP="00A44657">
            <w:pPr>
              <w:jc w:val="center"/>
              <w:rPr>
                <w:color w:val="000000"/>
              </w:rPr>
            </w:pPr>
            <w:r w:rsidRPr="00A37DCC">
              <w:rPr>
                <w:color w:val="000000"/>
              </w:rPr>
              <w:t>2015</w:t>
            </w:r>
          </w:p>
        </w:tc>
        <w:tc>
          <w:tcPr>
            <w:tcW w:w="1802" w:type="dxa"/>
            <w:tcBorders>
              <w:top w:val="nil"/>
              <w:left w:val="nil"/>
              <w:bottom w:val="single" w:sz="4" w:space="0" w:color="auto"/>
              <w:right w:val="single" w:sz="4" w:space="0" w:color="auto"/>
            </w:tcBorders>
            <w:shd w:val="clear" w:color="auto" w:fill="auto"/>
            <w:noWrap/>
            <w:vAlign w:val="bottom"/>
            <w:hideMark/>
          </w:tcPr>
          <w:p w14:paraId="00F1302A" w14:textId="77777777" w:rsidR="00EB6D9C" w:rsidRPr="00A37DCC" w:rsidRDefault="00EB6D9C" w:rsidP="00A44657">
            <w:pPr>
              <w:jc w:val="center"/>
              <w:rPr>
                <w:color w:val="000000"/>
              </w:rPr>
            </w:pPr>
            <w:r w:rsidRPr="00A37DCC">
              <w:rPr>
                <w:color w:val="000000"/>
              </w:rPr>
              <w:t>455.426.041,67</w:t>
            </w:r>
          </w:p>
        </w:tc>
        <w:tc>
          <w:tcPr>
            <w:tcW w:w="1802" w:type="dxa"/>
            <w:tcBorders>
              <w:top w:val="nil"/>
              <w:left w:val="nil"/>
              <w:bottom w:val="nil"/>
              <w:right w:val="nil"/>
            </w:tcBorders>
            <w:shd w:val="clear" w:color="auto" w:fill="auto"/>
            <w:noWrap/>
            <w:vAlign w:val="bottom"/>
            <w:hideMark/>
          </w:tcPr>
          <w:p w14:paraId="3FD16C1D" w14:textId="77777777" w:rsidR="00EB6D9C" w:rsidRPr="00A37DCC" w:rsidRDefault="00EB6D9C" w:rsidP="00A44657">
            <w:pPr>
              <w:jc w:val="center"/>
              <w:rPr>
                <w:color w:val="000000"/>
              </w:rPr>
            </w:pPr>
            <w:r w:rsidRPr="00A37DCC">
              <w:rPr>
                <w:color w:val="000000"/>
              </w:rPr>
              <w:t>217.790.159,92</w:t>
            </w:r>
          </w:p>
        </w:tc>
        <w:tc>
          <w:tcPr>
            <w:tcW w:w="1527" w:type="dxa"/>
            <w:tcBorders>
              <w:top w:val="nil"/>
              <w:left w:val="single" w:sz="4" w:space="0" w:color="auto"/>
              <w:bottom w:val="single" w:sz="4" w:space="0" w:color="auto"/>
              <w:right w:val="nil"/>
            </w:tcBorders>
            <w:shd w:val="clear" w:color="auto" w:fill="auto"/>
            <w:noWrap/>
            <w:vAlign w:val="bottom"/>
            <w:hideMark/>
          </w:tcPr>
          <w:p w14:paraId="602D587F" w14:textId="77777777" w:rsidR="00EB6D9C" w:rsidRPr="00A37DCC" w:rsidRDefault="00EB6D9C" w:rsidP="00A44657">
            <w:pPr>
              <w:jc w:val="center"/>
              <w:rPr>
                <w:color w:val="000000"/>
              </w:rPr>
            </w:pPr>
            <w:r w:rsidRPr="00A37DCC">
              <w:rPr>
                <w:color w:val="000000"/>
              </w:rPr>
              <w:t>47,82%</w:t>
            </w:r>
          </w:p>
        </w:tc>
      </w:tr>
      <w:tr w:rsidR="00EB6D9C" w:rsidRPr="00B05FAA" w14:paraId="33439F35"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57041A63" w14:textId="77777777" w:rsidR="00EB6D9C" w:rsidRPr="00A37DCC" w:rsidRDefault="00EB6D9C" w:rsidP="00A44657">
            <w:pPr>
              <w:jc w:val="center"/>
              <w:rPr>
                <w:color w:val="000000"/>
              </w:rPr>
            </w:pPr>
            <w:r w:rsidRPr="00A37DCC">
              <w:rPr>
                <w:color w:val="000000"/>
              </w:rPr>
              <w:t>2016</w:t>
            </w:r>
          </w:p>
        </w:tc>
        <w:tc>
          <w:tcPr>
            <w:tcW w:w="1802" w:type="dxa"/>
            <w:tcBorders>
              <w:top w:val="nil"/>
              <w:left w:val="nil"/>
              <w:bottom w:val="single" w:sz="4" w:space="0" w:color="auto"/>
              <w:right w:val="single" w:sz="4" w:space="0" w:color="auto"/>
            </w:tcBorders>
            <w:shd w:val="clear" w:color="auto" w:fill="auto"/>
            <w:noWrap/>
            <w:vAlign w:val="bottom"/>
            <w:hideMark/>
          </w:tcPr>
          <w:p w14:paraId="5375318A" w14:textId="77777777" w:rsidR="00EB6D9C" w:rsidRPr="00A37DCC" w:rsidRDefault="00EB6D9C" w:rsidP="00A44657">
            <w:pPr>
              <w:jc w:val="center"/>
              <w:rPr>
                <w:color w:val="000000"/>
              </w:rPr>
            </w:pPr>
            <w:r w:rsidRPr="00A37DCC">
              <w:rPr>
                <w:color w:val="000000"/>
              </w:rPr>
              <w:t>542.078.139,03</w:t>
            </w:r>
          </w:p>
        </w:tc>
        <w:tc>
          <w:tcPr>
            <w:tcW w:w="1802" w:type="dxa"/>
            <w:tcBorders>
              <w:top w:val="single" w:sz="4" w:space="0" w:color="auto"/>
              <w:left w:val="nil"/>
              <w:bottom w:val="single" w:sz="4" w:space="0" w:color="auto"/>
              <w:right w:val="single" w:sz="4" w:space="0" w:color="auto"/>
            </w:tcBorders>
            <w:shd w:val="clear" w:color="auto" w:fill="auto"/>
            <w:noWrap/>
            <w:vAlign w:val="bottom"/>
            <w:hideMark/>
          </w:tcPr>
          <w:p w14:paraId="51FA5259" w14:textId="77777777" w:rsidR="00EB6D9C" w:rsidRPr="00A37DCC" w:rsidRDefault="00EB6D9C" w:rsidP="00A44657">
            <w:pPr>
              <w:jc w:val="center"/>
              <w:rPr>
                <w:color w:val="000000"/>
              </w:rPr>
            </w:pPr>
            <w:r w:rsidRPr="00A37DCC">
              <w:rPr>
                <w:color w:val="000000"/>
              </w:rPr>
              <w:t>252.162.206,52</w:t>
            </w:r>
          </w:p>
        </w:tc>
        <w:tc>
          <w:tcPr>
            <w:tcW w:w="1527" w:type="dxa"/>
            <w:tcBorders>
              <w:top w:val="nil"/>
              <w:left w:val="nil"/>
              <w:bottom w:val="single" w:sz="4" w:space="0" w:color="auto"/>
              <w:right w:val="nil"/>
            </w:tcBorders>
            <w:shd w:val="clear" w:color="auto" w:fill="auto"/>
            <w:noWrap/>
            <w:vAlign w:val="bottom"/>
            <w:hideMark/>
          </w:tcPr>
          <w:p w14:paraId="0B360AA9" w14:textId="77777777" w:rsidR="00EB6D9C" w:rsidRPr="00A37DCC" w:rsidRDefault="00EB6D9C" w:rsidP="00A44657">
            <w:pPr>
              <w:jc w:val="center"/>
              <w:rPr>
                <w:color w:val="000000"/>
              </w:rPr>
            </w:pPr>
            <w:r w:rsidRPr="00A37DCC">
              <w:rPr>
                <w:color w:val="000000"/>
              </w:rPr>
              <w:t>46,52%</w:t>
            </w:r>
          </w:p>
        </w:tc>
      </w:tr>
      <w:tr w:rsidR="00EB6D9C" w:rsidRPr="00B05FAA" w14:paraId="6E0D5885" w14:textId="77777777" w:rsidTr="00A44657">
        <w:trPr>
          <w:trHeight w:val="260"/>
        </w:trPr>
        <w:tc>
          <w:tcPr>
            <w:tcW w:w="1951" w:type="dxa"/>
            <w:tcBorders>
              <w:top w:val="nil"/>
              <w:left w:val="nil"/>
              <w:bottom w:val="single" w:sz="4" w:space="0" w:color="auto"/>
              <w:right w:val="single" w:sz="4" w:space="0" w:color="auto"/>
            </w:tcBorders>
            <w:shd w:val="clear" w:color="auto" w:fill="auto"/>
            <w:noWrap/>
            <w:vAlign w:val="bottom"/>
            <w:hideMark/>
          </w:tcPr>
          <w:p w14:paraId="443F755E" w14:textId="77777777" w:rsidR="00EB6D9C" w:rsidRPr="00A37DCC" w:rsidRDefault="00EB6D9C" w:rsidP="00A44657">
            <w:pPr>
              <w:jc w:val="center"/>
              <w:rPr>
                <w:color w:val="000000"/>
              </w:rPr>
            </w:pPr>
            <w:r w:rsidRPr="00A37DCC">
              <w:rPr>
                <w:color w:val="000000"/>
              </w:rPr>
              <w:t>2017</w:t>
            </w:r>
          </w:p>
        </w:tc>
        <w:tc>
          <w:tcPr>
            <w:tcW w:w="1802" w:type="dxa"/>
            <w:tcBorders>
              <w:top w:val="nil"/>
              <w:left w:val="nil"/>
              <w:bottom w:val="single" w:sz="4" w:space="0" w:color="auto"/>
              <w:right w:val="single" w:sz="4" w:space="0" w:color="auto"/>
            </w:tcBorders>
            <w:shd w:val="clear" w:color="auto" w:fill="auto"/>
            <w:noWrap/>
            <w:vAlign w:val="bottom"/>
            <w:hideMark/>
          </w:tcPr>
          <w:p w14:paraId="51866B11" w14:textId="77777777" w:rsidR="00EB6D9C" w:rsidRPr="00A37DCC" w:rsidRDefault="00EB6D9C" w:rsidP="00A44657">
            <w:pPr>
              <w:jc w:val="center"/>
              <w:rPr>
                <w:color w:val="000000"/>
              </w:rPr>
            </w:pPr>
            <w:r w:rsidRPr="00A37DCC">
              <w:rPr>
                <w:color w:val="000000"/>
              </w:rPr>
              <w:t>673.893.358,49</w:t>
            </w:r>
          </w:p>
        </w:tc>
        <w:tc>
          <w:tcPr>
            <w:tcW w:w="1802" w:type="dxa"/>
            <w:tcBorders>
              <w:top w:val="nil"/>
              <w:left w:val="nil"/>
              <w:bottom w:val="single" w:sz="4" w:space="0" w:color="auto"/>
              <w:right w:val="single" w:sz="4" w:space="0" w:color="auto"/>
            </w:tcBorders>
            <w:shd w:val="clear" w:color="auto" w:fill="auto"/>
            <w:noWrap/>
            <w:vAlign w:val="bottom"/>
            <w:hideMark/>
          </w:tcPr>
          <w:p w14:paraId="2CC655CD" w14:textId="77777777" w:rsidR="00EB6D9C" w:rsidRPr="00A37DCC" w:rsidRDefault="00EB6D9C" w:rsidP="00A44657">
            <w:pPr>
              <w:jc w:val="center"/>
              <w:rPr>
                <w:color w:val="000000"/>
              </w:rPr>
            </w:pPr>
            <w:r w:rsidRPr="00A37DCC">
              <w:rPr>
                <w:color w:val="000000"/>
              </w:rPr>
              <w:t>303.543.814,57</w:t>
            </w:r>
          </w:p>
        </w:tc>
        <w:tc>
          <w:tcPr>
            <w:tcW w:w="1527" w:type="dxa"/>
            <w:tcBorders>
              <w:top w:val="nil"/>
              <w:left w:val="nil"/>
              <w:bottom w:val="single" w:sz="4" w:space="0" w:color="auto"/>
              <w:right w:val="nil"/>
            </w:tcBorders>
            <w:shd w:val="clear" w:color="auto" w:fill="auto"/>
            <w:noWrap/>
            <w:vAlign w:val="bottom"/>
            <w:hideMark/>
          </w:tcPr>
          <w:p w14:paraId="4FD65F28" w14:textId="77777777" w:rsidR="00EB6D9C" w:rsidRPr="00A37DCC" w:rsidRDefault="00EB6D9C" w:rsidP="00A44657">
            <w:pPr>
              <w:jc w:val="center"/>
              <w:rPr>
                <w:color w:val="000000"/>
              </w:rPr>
            </w:pPr>
            <w:r w:rsidRPr="00A37DCC">
              <w:rPr>
                <w:color w:val="000000"/>
              </w:rPr>
              <w:t>45,04%</w:t>
            </w:r>
          </w:p>
        </w:tc>
      </w:tr>
      <w:tr w:rsidR="00EB6D9C" w:rsidRPr="00477D1E" w14:paraId="09376183" w14:textId="77777777" w:rsidTr="00A44657">
        <w:trPr>
          <w:trHeight w:val="260"/>
        </w:trPr>
        <w:tc>
          <w:tcPr>
            <w:tcW w:w="1951" w:type="dxa"/>
            <w:tcBorders>
              <w:top w:val="nil"/>
              <w:left w:val="nil"/>
              <w:bottom w:val="single" w:sz="4" w:space="0" w:color="auto"/>
              <w:right w:val="single" w:sz="4" w:space="0" w:color="auto"/>
            </w:tcBorders>
            <w:shd w:val="clear" w:color="auto" w:fill="D0CECE" w:themeFill="background2" w:themeFillShade="E6"/>
            <w:noWrap/>
            <w:vAlign w:val="bottom"/>
            <w:hideMark/>
          </w:tcPr>
          <w:p w14:paraId="1109E21A" w14:textId="77777777" w:rsidR="00EB6D9C" w:rsidRPr="00A37DCC" w:rsidRDefault="00EB6D9C" w:rsidP="00A44657">
            <w:pPr>
              <w:jc w:val="center"/>
              <w:rPr>
                <w:b/>
                <w:color w:val="000000"/>
              </w:rPr>
            </w:pPr>
            <w:r w:rsidRPr="00A37DCC">
              <w:rPr>
                <w:b/>
                <w:color w:val="000000"/>
              </w:rPr>
              <w:t xml:space="preserve">Total </w:t>
            </w:r>
          </w:p>
        </w:tc>
        <w:tc>
          <w:tcPr>
            <w:tcW w:w="1802" w:type="dxa"/>
            <w:tcBorders>
              <w:top w:val="nil"/>
              <w:left w:val="nil"/>
              <w:bottom w:val="single" w:sz="4" w:space="0" w:color="auto"/>
              <w:right w:val="single" w:sz="4" w:space="0" w:color="auto"/>
            </w:tcBorders>
            <w:shd w:val="clear" w:color="auto" w:fill="D0CECE" w:themeFill="background2" w:themeFillShade="E6"/>
            <w:noWrap/>
            <w:vAlign w:val="bottom"/>
            <w:hideMark/>
          </w:tcPr>
          <w:p w14:paraId="4333B59E" w14:textId="77777777" w:rsidR="00EB6D9C" w:rsidRPr="00A37DCC" w:rsidRDefault="00EB6D9C" w:rsidP="00A44657">
            <w:pPr>
              <w:jc w:val="center"/>
              <w:rPr>
                <w:b/>
                <w:color w:val="000000"/>
              </w:rPr>
            </w:pPr>
            <w:r w:rsidRPr="00A37DCC">
              <w:rPr>
                <w:b/>
                <w:color w:val="000000"/>
              </w:rPr>
              <w:t>4.416.925.122,22</w:t>
            </w:r>
          </w:p>
        </w:tc>
        <w:tc>
          <w:tcPr>
            <w:tcW w:w="180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CB54C0" w14:textId="77777777" w:rsidR="00EB6D9C" w:rsidRPr="00A37DCC" w:rsidRDefault="00EB6D9C" w:rsidP="00A44657">
            <w:pPr>
              <w:jc w:val="center"/>
              <w:rPr>
                <w:b/>
                <w:color w:val="000000"/>
              </w:rPr>
            </w:pPr>
            <w:r w:rsidRPr="00A37DCC">
              <w:rPr>
                <w:b/>
                <w:color w:val="000000"/>
              </w:rPr>
              <w:t>1.609.142.552,41</w:t>
            </w:r>
          </w:p>
        </w:tc>
        <w:tc>
          <w:tcPr>
            <w:tcW w:w="1527" w:type="dxa"/>
            <w:tcBorders>
              <w:top w:val="nil"/>
              <w:left w:val="nil"/>
              <w:bottom w:val="single" w:sz="4" w:space="0" w:color="auto"/>
              <w:right w:val="nil"/>
            </w:tcBorders>
            <w:shd w:val="clear" w:color="auto" w:fill="D0CECE" w:themeFill="background2" w:themeFillShade="E6"/>
            <w:noWrap/>
            <w:vAlign w:val="bottom"/>
            <w:hideMark/>
          </w:tcPr>
          <w:p w14:paraId="607F283C" w14:textId="77777777" w:rsidR="00EB6D9C" w:rsidRPr="00A37DCC" w:rsidRDefault="00EB6D9C" w:rsidP="00A44657">
            <w:pPr>
              <w:jc w:val="center"/>
              <w:rPr>
                <w:b/>
                <w:color w:val="000000"/>
              </w:rPr>
            </w:pPr>
            <w:r w:rsidRPr="00A37DCC">
              <w:rPr>
                <w:b/>
                <w:color w:val="000000"/>
              </w:rPr>
              <w:t>36,43%</w:t>
            </w:r>
          </w:p>
        </w:tc>
      </w:tr>
    </w:tbl>
    <w:p w14:paraId="2CA49EA8" w14:textId="77777777" w:rsidR="00EB6D9C" w:rsidRPr="00D83336" w:rsidRDefault="00EB6D9C" w:rsidP="00EB6D9C">
      <w:pPr>
        <w:jc w:val="center"/>
        <w:rPr>
          <w:szCs w:val="24"/>
        </w:rPr>
      </w:pPr>
      <w:r>
        <w:rPr>
          <w:szCs w:val="24"/>
        </w:rPr>
        <w:t>Fonte: Balanço Geral do Estado de Santa Catarina, 2017</w:t>
      </w:r>
    </w:p>
    <w:p w14:paraId="4267521F" w14:textId="77777777" w:rsidR="00EB6D9C" w:rsidRDefault="00EB6D9C" w:rsidP="0060430B">
      <w:pPr>
        <w:jc w:val="both"/>
        <w:rPr>
          <w:sz w:val="24"/>
          <w:szCs w:val="24"/>
        </w:rPr>
      </w:pPr>
    </w:p>
    <w:p w14:paraId="550D0363" w14:textId="77777777" w:rsidR="0060430B" w:rsidRDefault="0060430B" w:rsidP="00EB6D9C">
      <w:pPr>
        <w:ind w:firstLine="851"/>
        <w:jc w:val="both"/>
        <w:rPr>
          <w:sz w:val="24"/>
          <w:szCs w:val="24"/>
        </w:rPr>
      </w:pPr>
      <w:r>
        <w:rPr>
          <w:sz w:val="24"/>
          <w:szCs w:val="24"/>
        </w:rPr>
        <w:t>Para poder inscrever despesas em restos a pagar o ente público deve comprovar que possui recursos disponíveis para poder honrar com seus compromissos. Sendo assim, como abordado anteriormente, a Lei de Responsabilidade Fiscal, promulgada em maio de 2000 foi marco na administração pública brasileira, pois foi ela quem trouxe metas e limites para certificar responsabilidade na gestão fiscal, o que inclui a inscrição sobre os restos a pagar. O dispositivo legal utilizado pela LRF para limitar a prática de inscrição em restos a pagar é a disponibilidade de caixa. Anteriormente a LRF, não havia algo que limitasse a inscrição em restos a pagar.</w:t>
      </w:r>
    </w:p>
    <w:p w14:paraId="6F47DDE1" w14:textId="5709DE04" w:rsidR="0060430B" w:rsidRDefault="0060430B" w:rsidP="0060430B">
      <w:pPr>
        <w:jc w:val="both"/>
        <w:rPr>
          <w:sz w:val="24"/>
          <w:szCs w:val="24"/>
        </w:rPr>
      </w:pPr>
      <w:r>
        <w:rPr>
          <w:sz w:val="24"/>
          <w:szCs w:val="24"/>
        </w:rPr>
        <w:tab/>
        <w:t xml:space="preserve">Na </w:t>
      </w:r>
      <w:r w:rsidR="002552F1">
        <w:rPr>
          <w:sz w:val="24"/>
          <w:szCs w:val="24"/>
        </w:rPr>
        <w:t>Tabela 9</w:t>
      </w:r>
      <w:r>
        <w:rPr>
          <w:sz w:val="24"/>
          <w:szCs w:val="24"/>
        </w:rPr>
        <w:t>, apresenta-se a inscrição de restos a pagar em relação a disponibilidade de caixa menos as obrigações financeiras antes da inscrição. Com isso, pode-se visualizar a parcela de disponibilidade de caixa que o ente utilizou para inscrever os restos a pagar.</w:t>
      </w:r>
    </w:p>
    <w:p w14:paraId="3317F6AD" w14:textId="3227A799" w:rsidR="0060430B" w:rsidRPr="00A37DCC" w:rsidRDefault="002552F1" w:rsidP="0060430B">
      <w:pPr>
        <w:jc w:val="center"/>
      </w:pPr>
      <w:r>
        <w:t>Tabela 9</w:t>
      </w:r>
      <w:r w:rsidR="0060430B">
        <w:t xml:space="preserve">. </w:t>
      </w:r>
      <w:r w:rsidR="0060430B" w:rsidRPr="00A37DCC">
        <w:t xml:space="preserve"> Restos a Pagar em Relação a Disponibilidade de Caixa</w:t>
      </w:r>
    </w:p>
    <w:tbl>
      <w:tblPr>
        <w:tblW w:w="6975" w:type="dxa"/>
        <w:tblInd w:w="712" w:type="dxa"/>
        <w:tblCellMar>
          <w:left w:w="70" w:type="dxa"/>
          <w:right w:w="70" w:type="dxa"/>
        </w:tblCellMar>
        <w:tblLook w:val="04A0" w:firstRow="1" w:lastRow="0" w:firstColumn="1" w:lastColumn="0" w:noHBand="0" w:noVBand="1"/>
      </w:tblPr>
      <w:tblGrid>
        <w:gridCol w:w="942"/>
        <w:gridCol w:w="2814"/>
        <w:gridCol w:w="2508"/>
        <w:gridCol w:w="711"/>
      </w:tblGrid>
      <w:tr w:rsidR="0060430B" w:rsidRPr="00B05FAA" w14:paraId="6E9BB0AC" w14:textId="77777777" w:rsidTr="002552F1">
        <w:trPr>
          <w:trHeight w:val="260"/>
        </w:trPr>
        <w:tc>
          <w:tcPr>
            <w:tcW w:w="942"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395F2117" w14:textId="77777777" w:rsidR="0060430B" w:rsidRPr="00A37DCC" w:rsidRDefault="0060430B" w:rsidP="002552F1">
            <w:pPr>
              <w:jc w:val="center"/>
              <w:rPr>
                <w:b/>
                <w:color w:val="000000"/>
              </w:rPr>
            </w:pPr>
            <w:r w:rsidRPr="00A37DCC">
              <w:rPr>
                <w:b/>
                <w:color w:val="000000"/>
              </w:rPr>
              <w:t>Ano</w:t>
            </w:r>
          </w:p>
        </w:tc>
        <w:tc>
          <w:tcPr>
            <w:tcW w:w="2814"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11854BD2" w14:textId="77777777" w:rsidR="0060430B" w:rsidRPr="00A37DCC" w:rsidRDefault="0060430B" w:rsidP="002552F1">
            <w:pPr>
              <w:jc w:val="center"/>
              <w:rPr>
                <w:b/>
                <w:color w:val="000000"/>
              </w:rPr>
            </w:pPr>
            <w:r w:rsidRPr="00A37DCC">
              <w:rPr>
                <w:b/>
                <w:color w:val="000000"/>
              </w:rPr>
              <w:t>Inscrição de Restos a Pagar</w:t>
            </w:r>
          </w:p>
        </w:tc>
        <w:tc>
          <w:tcPr>
            <w:tcW w:w="2508"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14:paraId="41BA704F" w14:textId="77777777" w:rsidR="0060430B" w:rsidRPr="00A37DCC" w:rsidRDefault="0060430B" w:rsidP="002552F1">
            <w:pPr>
              <w:jc w:val="center"/>
              <w:rPr>
                <w:b/>
                <w:color w:val="000000"/>
              </w:rPr>
            </w:pPr>
            <w:r w:rsidRPr="00A37DCC">
              <w:rPr>
                <w:b/>
                <w:color w:val="000000"/>
              </w:rPr>
              <w:t>Disponibilidade de Caixa</w:t>
            </w:r>
          </w:p>
        </w:tc>
        <w:tc>
          <w:tcPr>
            <w:tcW w:w="711" w:type="dxa"/>
            <w:tcBorders>
              <w:top w:val="single" w:sz="4" w:space="0" w:color="auto"/>
              <w:left w:val="nil"/>
              <w:bottom w:val="single" w:sz="4" w:space="0" w:color="auto"/>
              <w:right w:val="nil"/>
            </w:tcBorders>
            <w:shd w:val="clear" w:color="auto" w:fill="AEAAAA" w:themeFill="background2" w:themeFillShade="BF"/>
            <w:noWrap/>
            <w:vAlign w:val="bottom"/>
            <w:hideMark/>
          </w:tcPr>
          <w:p w14:paraId="2873694E" w14:textId="77777777" w:rsidR="0060430B" w:rsidRPr="00A37DCC" w:rsidRDefault="0060430B" w:rsidP="002552F1">
            <w:pPr>
              <w:jc w:val="center"/>
              <w:rPr>
                <w:b/>
                <w:color w:val="000000"/>
              </w:rPr>
            </w:pPr>
            <w:r w:rsidRPr="00A37DCC">
              <w:rPr>
                <w:b/>
                <w:color w:val="000000"/>
              </w:rPr>
              <w:t>A.H.</w:t>
            </w:r>
          </w:p>
        </w:tc>
      </w:tr>
      <w:tr w:rsidR="0060430B" w:rsidRPr="00B05FAA" w14:paraId="444E0833" w14:textId="77777777" w:rsidTr="002552F1">
        <w:trPr>
          <w:trHeight w:val="260"/>
        </w:trPr>
        <w:tc>
          <w:tcPr>
            <w:tcW w:w="942" w:type="dxa"/>
            <w:tcBorders>
              <w:top w:val="nil"/>
              <w:left w:val="nil"/>
              <w:bottom w:val="single" w:sz="4" w:space="0" w:color="auto"/>
              <w:right w:val="single" w:sz="4" w:space="0" w:color="auto"/>
            </w:tcBorders>
            <w:shd w:val="clear" w:color="auto" w:fill="auto"/>
            <w:noWrap/>
            <w:vAlign w:val="bottom"/>
            <w:hideMark/>
          </w:tcPr>
          <w:p w14:paraId="65D5A06E" w14:textId="77777777" w:rsidR="0060430B" w:rsidRPr="00A37DCC" w:rsidRDefault="0060430B" w:rsidP="002552F1">
            <w:pPr>
              <w:jc w:val="center"/>
              <w:rPr>
                <w:color w:val="000000"/>
              </w:rPr>
            </w:pPr>
            <w:r w:rsidRPr="00A37DCC">
              <w:rPr>
                <w:color w:val="000000"/>
              </w:rPr>
              <w:t>2011</w:t>
            </w:r>
          </w:p>
        </w:tc>
        <w:tc>
          <w:tcPr>
            <w:tcW w:w="2814" w:type="dxa"/>
            <w:tcBorders>
              <w:top w:val="nil"/>
              <w:left w:val="nil"/>
              <w:bottom w:val="single" w:sz="4" w:space="0" w:color="auto"/>
              <w:right w:val="single" w:sz="4" w:space="0" w:color="auto"/>
            </w:tcBorders>
            <w:shd w:val="clear" w:color="auto" w:fill="auto"/>
            <w:noWrap/>
            <w:vAlign w:val="bottom"/>
            <w:hideMark/>
          </w:tcPr>
          <w:p w14:paraId="4F78962B" w14:textId="77777777" w:rsidR="0060430B" w:rsidRPr="00A37DCC" w:rsidRDefault="0060430B" w:rsidP="002552F1">
            <w:pPr>
              <w:jc w:val="center"/>
              <w:rPr>
                <w:color w:val="000000"/>
              </w:rPr>
            </w:pPr>
            <w:r w:rsidRPr="00A37DCC">
              <w:rPr>
                <w:color w:val="000000"/>
              </w:rPr>
              <w:t>428.782.872,50</w:t>
            </w:r>
          </w:p>
        </w:tc>
        <w:tc>
          <w:tcPr>
            <w:tcW w:w="2508" w:type="dxa"/>
            <w:tcBorders>
              <w:top w:val="nil"/>
              <w:left w:val="nil"/>
              <w:bottom w:val="single" w:sz="4" w:space="0" w:color="auto"/>
              <w:right w:val="single" w:sz="4" w:space="0" w:color="auto"/>
            </w:tcBorders>
            <w:shd w:val="clear" w:color="auto" w:fill="auto"/>
            <w:noWrap/>
            <w:vAlign w:val="bottom"/>
            <w:hideMark/>
          </w:tcPr>
          <w:p w14:paraId="6025D346" w14:textId="77777777" w:rsidR="0060430B" w:rsidRPr="00A37DCC" w:rsidRDefault="0060430B" w:rsidP="002552F1">
            <w:pPr>
              <w:jc w:val="center"/>
              <w:rPr>
                <w:color w:val="000000"/>
              </w:rPr>
            </w:pPr>
            <w:r w:rsidRPr="00A37DCC">
              <w:rPr>
                <w:color w:val="000000"/>
              </w:rPr>
              <w:t>1.969.141.319,03</w:t>
            </w:r>
          </w:p>
        </w:tc>
        <w:tc>
          <w:tcPr>
            <w:tcW w:w="711" w:type="dxa"/>
            <w:tcBorders>
              <w:top w:val="nil"/>
              <w:left w:val="nil"/>
              <w:bottom w:val="single" w:sz="4" w:space="0" w:color="auto"/>
              <w:right w:val="nil"/>
            </w:tcBorders>
            <w:shd w:val="clear" w:color="auto" w:fill="auto"/>
            <w:noWrap/>
            <w:vAlign w:val="bottom"/>
            <w:hideMark/>
          </w:tcPr>
          <w:p w14:paraId="26271499" w14:textId="77777777" w:rsidR="0060430B" w:rsidRPr="00A37DCC" w:rsidRDefault="0060430B" w:rsidP="002552F1">
            <w:pPr>
              <w:jc w:val="center"/>
              <w:rPr>
                <w:color w:val="000000"/>
              </w:rPr>
            </w:pPr>
            <w:r w:rsidRPr="00A37DCC">
              <w:rPr>
                <w:color w:val="000000"/>
              </w:rPr>
              <w:t>21,8%</w:t>
            </w:r>
          </w:p>
        </w:tc>
      </w:tr>
      <w:tr w:rsidR="0060430B" w:rsidRPr="00B05FAA" w14:paraId="71F3D728" w14:textId="77777777" w:rsidTr="002552F1">
        <w:trPr>
          <w:trHeight w:val="260"/>
        </w:trPr>
        <w:tc>
          <w:tcPr>
            <w:tcW w:w="942" w:type="dxa"/>
            <w:tcBorders>
              <w:top w:val="nil"/>
              <w:left w:val="nil"/>
              <w:bottom w:val="single" w:sz="4" w:space="0" w:color="auto"/>
              <w:right w:val="single" w:sz="4" w:space="0" w:color="auto"/>
            </w:tcBorders>
            <w:shd w:val="clear" w:color="auto" w:fill="auto"/>
            <w:noWrap/>
            <w:vAlign w:val="bottom"/>
            <w:hideMark/>
          </w:tcPr>
          <w:p w14:paraId="009D6579" w14:textId="77777777" w:rsidR="0060430B" w:rsidRPr="00A37DCC" w:rsidRDefault="0060430B" w:rsidP="002552F1">
            <w:pPr>
              <w:jc w:val="center"/>
              <w:rPr>
                <w:color w:val="000000"/>
              </w:rPr>
            </w:pPr>
            <w:r w:rsidRPr="00A37DCC">
              <w:rPr>
                <w:color w:val="000000"/>
              </w:rPr>
              <w:t>2012</w:t>
            </w:r>
          </w:p>
        </w:tc>
        <w:tc>
          <w:tcPr>
            <w:tcW w:w="2814" w:type="dxa"/>
            <w:tcBorders>
              <w:top w:val="nil"/>
              <w:left w:val="nil"/>
              <w:bottom w:val="single" w:sz="4" w:space="0" w:color="auto"/>
              <w:right w:val="single" w:sz="4" w:space="0" w:color="auto"/>
            </w:tcBorders>
            <w:shd w:val="clear" w:color="auto" w:fill="auto"/>
            <w:noWrap/>
            <w:vAlign w:val="bottom"/>
            <w:hideMark/>
          </w:tcPr>
          <w:p w14:paraId="314A7760" w14:textId="77777777" w:rsidR="0060430B" w:rsidRPr="00A37DCC" w:rsidRDefault="0060430B" w:rsidP="002552F1">
            <w:pPr>
              <w:jc w:val="center"/>
              <w:rPr>
                <w:color w:val="000000"/>
              </w:rPr>
            </w:pPr>
            <w:r w:rsidRPr="00A37DCC">
              <w:rPr>
                <w:color w:val="000000"/>
              </w:rPr>
              <w:t>393.215.453,13</w:t>
            </w:r>
          </w:p>
        </w:tc>
        <w:tc>
          <w:tcPr>
            <w:tcW w:w="2508" w:type="dxa"/>
            <w:tcBorders>
              <w:top w:val="nil"/>
              <w:left w:val="nil"/>
              <w:bottom w:val="single" w:sz="4" w:space="0" w:color="auto"/>
              <w:right w:val="single" w:sz="4" w:space="0" w:color="auto"/>
            </w:tcBorders>
            <w:shd w:val="clear" w:color="auto" w:fill="auto"/>
            <w:noWrap/>
            <w:vAlign w:val="bottom"/>
            <w:hideMark/>
          </w:tcPr>
          <w:p w14:paraId="10D25BFF" w14:textId="77777777" w:rsidR="0060430B" w:rsidRPr="00A37DCC" w:rsidRDefault="0060430B" w:rsidP="002552F1">
            <w:pPr>
              <w:jc w:val="center"/>
              <w:rPr>
                <w:color w:val="000000"/>
              </w:rPr>
            </w:pPr>
            <w:r w:rsidRPr="00A37DCC">
              <w:rPr>
                <w:color w:val="000000"/>
              </w:rPr>
              <w:t>2.061.701.054,77</w:t>
            </w:r>
          </w:p>
        </w:tc>
        <w:tc>
          <w:tcPr>
            <w:tcW w:w="711" w:type="dxa"/>
            <w:tcBorders>
              <w:top w:val="nil"/>
              <w:left w:val="nil"/>
              <w:bottom w:val="single" w:sz="4" w:space="0" w:color="auto"/>
              <w:right w:val="nil"/>
            </w:tcBorders>
            <w:shd w:val="clear" w:color="auto" w:fill="auto"/>
            <w:noWrap/>
            <w:vAlign w:val="bottom"/>
            <w:hideMark/>
          </w:tcPr>
          <w:p w14:paraId="711FF480" w14:textId="77777777" w:rsidR="0060430B" w:rsidRPr="00A37DCC" w:rsidRDefault="0060430B" w:rsidP="002552F1">
            <w:pPr>
              <w:jc w:val="center"/>
              <w:rPr>
                <w:color w:val="000000"/>
              </w:rPr>
            </w:pPr>
            <w:r w:rsidRPr="00A37DCC">
              <w:rPr>
                <w:color w:val="000000"/>
              </w:rPr>
              <w:t>19,1%</w:t>
            </w:r>
          </w:p>
        </w:tc>
      </w:tr>
      <w:tr w:rsidR="0060430B" w:rsidRPr="00B05FAA" w14:paraId="362C55D6" w14:textId="77777777" w:rsidTr="002552F1">
        <w:trPr>
          <w:trHeight w:val="260"/>
        </w:trPr>
        <w:tc>
          <w:tcPr>
            <w:tcW w:w="942" w:type="dxa"/>
            <w:tcBorders>
              <w:top w:val="nil"/>
              <w:left w:val="nil"/>
              <w:bottom w:val="single" w:sz="4" w:space="0" w:color="auto"/>
              <w:right w:val="single" w:sz="4" w:space="0" w:color="auto"/>
            </w:tcBorders>
            <w:shd w:val="clear" w:color="auto" w:fill="auto"/>
            <w:noWrap/>
            <w:vAlign w:val="bottom"/>
            <w:hideMark/>
          </w:tcPr>
          <w:p w14:paraId="32921D7B" w14:textId="77777777" w:rsidR="0060430B" w:rsidRPr="00A37DCC" w:rsidRDefault="0060430B" w:rsidP="002552F1">
            <w:pPr>
              <w:jc w:val="center"/>
              <w:rPr>
                <w:color w:val="000000"/>
              </w:rPr>
            </w:pPr>
            <w:r w:rsidRPr="00A37DCC">
              <w:rPr>
                <w:color w:val="000000"/>
              </w:rPr>
              <w:t>2013</w:t>
            </w:r>
          </w:p>
        </w:tc>
        <w:tc>
          <w:tcPr>
            <w:tcW w:w="2814" w:type="dxa"/>
            <w:tcBorders>
              <w:top w:val="nil"/>
              <w:left w:val="nil"/>
              <w:bottom w:val="single" w:sz="4" w:space="0" w:color="auto"/>
              <w:right w:val="single" w:sz="4" w:space="0" w:color="auto"/>
            </w:tcBorders>
            <w:shd w:val="clear" w:color="auto" w:fill="auto"/>
            <w:noWrap/>
            <w:vAlign w:val="bottom"/>
            <w:hideMark/>
          </w:tcPr>
          <w:p w14:paraId="2A81CC94" w14:textId="77777777" w:rsidR="0060430B" w:rsidRPr="00A37DCC" w:rsidRDefault="0060430B" w:rsidP="002552F1">
            <w:pPr>
              <w:jc w:val="center"/>
              <w:rPr>
                <w:color w:val="000000"/>
              </w:rPr>
            </w:pPr>
            <w:r w:rsidRPr="00A37DCC">
              <w:rPr>
                <w:color w:val="000000"/>
              </w:rPr>
              <w:t>675.138.975,79</w:t>
            </w:r>
          </w:p>
        </w:tc>
        <w:tc>
          <w:tcPr>
            <w:tcW w:w="2508" w:type="dxa"/>
            <w:tcBorders>
              <w:top w:val="nil"/>
              <w:left w:val="nil"/>
              <w:bottom w:val="single" w:sz="4" w:space="0" w:color="auto"/>
              <w:right w:val="single" w:sz="4" w:space="0" w:color="auto"/>
            </w:tcBorders>
            <w:shd w:val="clear" w:color="auto" w:fill="auto"/>
            <w:noWrap/>
            <w:vAlign w:val="bottom"/>
            <w:hideMark/>
          </w:tcPr>
          <w:p w14:paraId="50921BE3" w14:textId="77777777" w:rsidR="0060430B" w:rsidRPr="00A37DCC" w:rsidRDefault="0060430B" w:rsidP="002552F1">
            <w:pPr>
              <w:jc w:val="center"/>
              <w:rPr>
                <w:color w:val="000000"/>
              </w:rPr>
            </w:pPr>
            <w:r w:rsidRPr="00A37DCC">
              <w:rPr>
                <w:color w:val="000000"/>
              </w:rPr>
              <w:t>2.920.037.839,43</w:t>
            </w:r>
          </w:p>
        </w:tc>
        <w:tc>
          <w:tcPr>
            <w:tcW w:w="711" w:type="dxa"/>
            <w:tcBorders>
              <w:top w:val="nil"/>
              <w:left w:val="nil"/>
              <w:bottom w:val="single" w:sz="4" w:space="0" w:color="auto"/>
              <w:right w:val="nil"/>
            </w:tcBorders>
            <w:shd w:val="clear" w:color="auto" w:fill="auto"/>
            <w:noWrap/>
            <w:vAlign w:val="bottom"/>
            <w:hideMark/>
          </w:tcPr>
          <w:p w14:paraId="1044B04E" w14:textId="77777777" w:rsidR="0060430B" w:rsidRPr="00A37DCC" w:rsidRDefault="0060430B" w:rsidP="002552F1">
            <w:pPr>
              <w:jc w:val="center"/>
              <w:rPr>
                <w:color w:val="000000"/>
              </w:rPr>
            </w:pPr>
            <w:r w:rsidRPr="00A37DCC">
              <w:rPr>
                <w:color w:val="000000"/>
              </w:rPr>
              <w:t>23,1%</w:t>
            </w:r>
          </w:p>
        </w:tc>
      </w:tr>
      <w:tr w:rsidR="0060430B" w:rsidRPr="00B05FAA" w14:paraId="7C1B5B0A" w14:textId="77777777" w:rsidTr="002552F1">
        <w:trPr>
          <w:trHeight w:val="260"/>
        </w:trPr>
        <w:tc>
          <w:tcPr>
            <w:tcW w:w="942" w:type="dxa"/>
            <w:tcBorders>
              <w:top w:val="nil"/>
              <w:left w:val="nil"/>
              <w:bottom w:val="single" w:sz="4" w:space="0" w:color="auto"/>
              <w:right w:val="single" w:sz="4" w:space="0" w:color="auto"/>
            </w:tcBorders>
            <w:shd w:val="clear" w:color="auto" w:fill="auto"/>
            <w:noWrap/>
            <w:vAlign w:val="bottom"/>
            <w:hideMark/>
          </w:tcPr>
          <w:p w14:paraId="5DE5C0BE" w14:textId="77777777" w:rsidR="0060430B" w:rsidRPr="00A37DCC" w:rsidRDefault="0060430B" w:rsidP="002552F1">
            <w:pPr>
              <w:jc w:val="center"/>
              <w:rPr>
                <w:color w:val="000000"/>
              </w:rPr>
            </w:pPr>
            <w:r w:rsidRPr="00A37DCC">
              <w:rPr>
                <w:color w:val="000000"/>
              </w:rPr>
              <w:t>2014</w:t>
            </w:r>
          </w:p>
        </w:tc>
        <w:tc>
          <w:tcPr>
            <w:tcW w:w="2814" w:type="dxa"/>
            <w:tcBorders>
              <w:top w:val="nil"/>
              <w:left w:val="nil"/>
              <w:bottom w:val="single" w:sz="4" w:space="0" w:color="auto"/>
              <w:right w:val="single" w:sz="4" w:space="0" w:color="auto"/>
            </w:tcBorders>
            <w:shd w:val="clear" w:color="auto" w:fill="auto"/>
            <w:noWrap/>
            <w:vAlign w:val="bottom"/>
            <w:hideMark/>
          </w:tcPr>
          <w:p w14:paraId="5220163C" w14:textId="77777777" w:rsidR="0060430B" w:rsidRPr="00A37DCC" w:rsidRDefault="0060430B" w:rsidP="002552F1">
            <w:pPr>
              <w:jc w:val="center"/>
              <w:rPr>
                <w:color w:val="000000"/>
              </w:rPr>
            </w:pPr>
            <w:r w:rsidRPr="00A37DCC">
              <w:rPr>
                <w:color w:val="000000"/>
              </w:rPr>
              <w:t>494.981.392,65</w:t>
            </w:r>
          </w:p>
        </w:tc>
        <w:tc>
          <w:tcPr>
            <w:tcW w:w="2508" w:type="dxa"/>
            <w:tcBorders>
              <w:top w:val="nil"/>
              <w:left w:val="nil"/>
              <w:bottom w:val="single" w:sz="4" w:space="0" w:color="auto"/>
              <w:right w:val="single" w:sz="4" w:space="0" w:color="auto"/>
            </w:tcBorders>
            <w:shd w:val="clear" w:color="auto" w:fill="auto"/>
            <w:noWrap/>
            <w:vAlign w:val="bottom"/>
            <w:hideMark/>
          </w:tcPr>
          <w:p w14:paraId="3401D423" w14:textId="77777777" w:rsidR="0060430B" w:rsidRPr="00A37DCC" w:rsidRDefault="0060430B" w:rsidP="002552F1">
            <w:pPr>
              <w:jc w:val="center"/>
              <w:rPr>
                <w:color w:val="000000"/>
              </w:rPr>
            </w:pPr>
            <w:r w:rsidRPr="00A37DCC">
              <w:rPr>
                <w:color w:val="000000"/>
              </w:rPr>
              <w:t>3.381.530.234,40</w:t>
            </w:r>
          </w:p>
        </w:tc>
        <w:tc>
          <w:tcPr>
            <w:tcW w:w="711" w:type="dxa"/>
            <w:tcBorders>
              <w:top w:val="nil"/>
              <w:left w:val="nil"/>
              <w:bottom w:val="single" w:sz="4" w:space="0" w:color="auto"/>
              <w:right w:val="nil"/>
            </w:tcBorders>
            <w:shd w:val="clear" w:color="auto" w:fill="auto"/>
            <w:noWrap/>
            <w:vAlign w:val="bottom"/>
            <w:hideMark/>
          </w:tcPr>
          <w:p w14:paraId="45342279" w14:textId="77777777" w:rsidR="0060430B" w:rsidRPr="00A37DCC" w:rsidRDefault="0060430B" w:rsidP="002552F1">
            <w:pPr>
              <w:jc w:val="center"/>
              <w:rPr>
                <w:color w:val="000000"/>
              </w:rPr>
            </w:pPr>
            <w:r w:rsidRPr="00A37DCC">
              <w:rPr>
                <w:color w:val="000000"/>
              </w:rPr>
              <w:t>14,6%</w:t>
            </w:r>
          </w:p>
        </w:tc>
      </w:tr>
      <w:tr w:rsidR="0060430B" w:rsidRPr="00B05FAA" w14:paraId="3E4A7E51" w14:textId="77777777" w:rsidTr="002552F1">
        <w:trPr>
          <w:trHeight w:val="260"/>
        </w:trPr>
        <w:tc>
          <w:tcPr>
            <w:tcW w:w="942" w:type="dxa"/>
            <w:tcBorders>
              <w:top w:val="nil"/>
              <w:left w:val="nil"/>
              <w:bottom w:val="single" w:sz="4" w:space="0" w:color="auto"/>
              <w:right w:val="single" w:sz="4" w:space="0" w:color="auto"/>
            </w:tcBorders>
            <w:shd w:val="clear" w:color="auto" w:fill="auto"/>
            <w:noWrap/>
            <w:vAlign w:val="bottom"/>
            <w:hideMark/>
          </w:tcPr>
          <w:p w14:paraId="40807BBB" w14:textId="77777777" w:rsidR="0060430B" w:rsidRPr="00A37DCC" w:rsidRDefault="0060430B" w:rsidP="002552F1">
            <w:pPr>
              <w:jc w:val="center"/>
              <w:rPr>
                <w:color w:val="000000"/>
              </w:rPr>
            </w:pPr>
            <w:r w:rsidRPr="00A37DCC">
              <w:rPr>
                <w:color w:val="000000"/>
              </w:rPr>
              <w:t>2015</w:t>
            </w:r>
          </w:p>
        </w:tc>
        <w:tc>
          <w:tcPr>
            <w:tcW w:w="2814" w:type="dxa"/>
            <w:tcBorders>
              <w:top w:val="nil"/>
              <w:left w:val="nil"/>
              <w:bottom w:val="single" w:sz="4" w:space="0" w:color="auto"/>
              <w:right w:val="single" w:sz="4" w:space="0" w:color="auto"/>
            </w:tcBorders>
            <w:shd w:val="clear" w:color="auto" w:fill="auto"/>
            <w:noWrap/>
            <w:vAlign w:val="bottom"/>
            <w:hideMark/>
          </w:tcPr>
          <w:p w14:paraId="1C177A65" w14:textId="77777777" w:rsidR="0060430B" w:rsidRPr="00A37DCC" w:rsidRDefault="0060430B" w:rsidP="002552F1">
            <w:pPr>
              <w:jc w:val="center"/>
              <w:rPr>
                <w:color w:val="000000"/>
              </w:rPr>
            </w:pPr>
            <w:r w:rsidRPr="00A37DCC">
              <w:rPr>
                <w:color w:val="000000"/>
              </w:rPr>
              <w:t>647.193.679,58</w:t>
            </w:r>
          </w:p>
        </w:tc>
        <w:tc>
          <w:tcPr>
            <w:tcW w:w="2508" w:type="dxa"/>
            <w:tcBorders>
              <w:top w:val="nil"/>
              <w:left w:val="nil"/>
              <w:bottom w:val="single" w:sz="4" w:space="0" w:color="auto"/>
              <w:right w:val="single" w:sz="4" w:space="0" w:color="auto"/>
            </w:tcBorders>
            <w:shd w:val="clear" w:color="auto" w:fill="auto"/>
            <w:noWrap/>
            <w:vAlign w:val="bottom"/>
            <w:hideMark/>
          </w:tcPr>
          <w:p w14:paraId="4BBF36C7" w14:textId="77777777" w:rsidR="0060430B" w:rsidRPr="00A37DCC" w:rsidRDefault="0060430B" w:rsidP="002552F1">
            <w:pPr>
              <w:jc w:val="center"/>
              <w:rPr>
                <w:color w:val="000000"/>
              </w:rPr>
            </w:pPr>
            <w:r w:rsidRPr="00A37DCC">
              <w:rPr>
                <w:color w:val="000000"/>
              </w:rPr>
              <w:t>3.505.682.287,46</w:t>
            </w:r>
          </w:p>
        </w:tc>
        <w:tc>
          <w:tcPr>
            <w:tcW w:w="711" w:type="dxa"/>
            <w:tcBorders>
              <w:top w:val="nil"/>
              <w:left w:val="nil"/>
              <w:bottom w:val="single" w:sz="4" w:space="0" w:color="auto"/>
              <w:right w:val="nil"/>
            </w:tcBorders>
            <w:shd w:val="clear" w:color="auto" w:fill="auto"/>
            <w:noWrap/>
            <w:vAlign w:val="bottom"/>
            <w:hideMark/>
          </w:tcPr>
          <w:p w14:paraId="01A55214" w14:textId="77777777" w:rsidR="0060430B" w:rsidRPr="00A37DCC" w:rsidRDefault="0060430B" w:rsidP="002552F1">
            <w:pPr>
              <w:jc w:val="center"/>
              <w:rPr>
                <w:color w:val="000000"/>
              </w:rPr>
            </w:pPr>
            <w:r w:rsidRPr="00A37DCC">
              <w:rPr>
                <w:color w:val="000000"/>
              </w:rPr>
              <w:t>18,5%</w:t>
            </w:r>
          </w:p>
        </w:tc>
      </w:tr>
      <w:tr w:rsidR="0060430B" w:rsidRPr="00B05FAA" w14:paraId="2C1064F7" w14:textId="77777777" w:rsidTr="002552F1">
        <w:trPr>
          <w:trHeight w:val="260"/>
        </w:trPr>
        <w:tc>
          <w:tcPr>
            <w:tcW w:w="942" w:type="dxa"/>
            <w:tcBorders>
              <w:top w:val="nil"/>
              <w:left w:val="nil"/>
              <w:bottom w:val="single" w:sz="4" w:space="0" w:color="auto"/>
              <w:right w:val="single" w:sz="4" w:space="0" w:color="auto"/>
            </w:tcBorders>
            <w:shd w:val="clear" w:color="auto" w:fill="auto"/>
            <w:noWrap/>
            <w:vAlign w:val="bottom"/>
            <w:hideMark/>
          </w:tcPr>
          <w:p w14:paraId="4ADCB3FB" w14:textId="77777777" w:rsidR="0060430B" w:rsidRPr="00A37DCC" w:rsidRDefault="0060430B" w:rsidP="002552F1">
            <w:pPr>
              <w:jc w:val="center"/>
              <w:rPr>
                <w:color w:val="000000"/>
              </w:rPr>
            </w:pPr>
            <w:r w:rsidRPr="00A37DCC">
              <w:rPr>
                <w:color w:val="000000"/>
              </w:rPr>
              <w:t>2016</w:t>
            </w:r>
          </w:p>
        </w:tc>
        <w:tc>
          <w:tcPr>
            <w:tcW w:w="2814" w:type="dxa"/>
            <w:tcBorders>
              <w:top w:val="nil"/>
              <w:left w:val="nil"/>
              <w:bottom w:val="single" w:sz="4" w:space="0" w:color="auto"/>
              <w:right w:val="single" w:sz="4" w:space="0" w:color="auto"/>
            </w:tcBorders>
            <w:shd w:val="clear" w:color="auto" w:fill="auto"/>
            <w:noWrap/>
            <w:vAlign w:val="bottom"/>
            <w:hideMark/>
          </w:tcPr>
          <w:p w14:paraId="0FF17F3A" w14:textId="77777777" w:rsidR="0060430B" w:rsidRPr="00A37DCC" w:rsidRDefault="0060430B" w:rsidP="002552F1">
            <w:pPr>
              <w:jc w:val="center"/>
              <w:rPr>
                <w:color w:val="000000"/>
              </w:rPr>
            </w:pPr>
            <w:r w:rsidRPr="00A37DCC">
              <w:rPr>
                <w:color w:val="000000"/>
              </w:rPr>
              <w:t>699.162.107,06</w:t>
            </w:r>
          </w:p>
        </w:tc>
        <w:tc>
          <w:tcPr>
            <w:tcW w:w="2508" w:type="dxa"/>
            <w:tcBorders>
              <w:top w:val="nil"/>
              <w:left w:val="nil"/>
              <w:bottom w:val="single" w:sz="4" w:space="0" w:color="auto"/>
              <w:right w:val="single" w:sz="4" w:space="0" w:color="auto"/>
            </w:tcBorders>
            <w:shd w:val="clear" w:color="auto" w:fill="auto"/>
            <w:noWrap/>
            <w:vAlign w:val="bottom"/>
            <w:hideMark/>
          </w:tcPr>
          <w:p w14:paraId="3EAA7BC8" w14:textId="77777777" w:rsidR="0060430B" w:rsidRPr="00A37DCC" w:rsidRDefault="0060430B" w:rsidP="002552F1">
            <w:pPr>
              <w:jc w:val="center"/>
              <w:rPr>
                <w:color w:val="000000"/>
              </w:rPr>
            </w:pPr>
            <w:r w:rsidRPr="00A37DCC">
              <w:rPr>
                <w:color w:val="000000"/>
              </w:rPr>
              <w:t>3.832.777.943,77</w:t>
            </w:r>
          </w:p>
        </w:tc>
        <w:tc>
          <w:tcPr>
            <w:tcW w:w="711" w:type="dxa"/>
            <w:tcBorders>
              <w:top w:val="nil"/>
              <w:left w:val="nil"/>
              <w:bottom w:val="single" w:sz="4" w:space="0" w:color="auto"/>
              <w:right w:val="nil"/>
            </w:tcBorders>
            <w:shd w:val="clear" w:color="auto" w:fill="auto"/>
            <w:noWrap/>
            <w:vAlign w:val="bottom"/>
            <w:hideMark/>
          </w:tcPr>
          <w:p w14:paraId="2D5B8BD6" w14:textId="77777777" w:rsidR="0060430B" w:rsidRPr="00A37DCC" w:rsidRDefault="0060430B" w:rsidP="002552F1">
            <w:pPr>
              <w:jc w:val="center"/>
              <w:rPr>
                <w:color w:val="000000"/>
              </w:rPr>
            </w:pPr>
            <w:r w:rsidRPr="00A37DCC">
              <w:rPr>
                <w:color w:val="000000"/>
              </w:rPr>
              <w:t>18,2%</w:t>
            </w:r>
          </w:p>
        </w:tc>
      </w:tr>
      <w:tr w:rsidR="0060430B" w:rsidRPr="00B05FAA" w14:paraId="472472F6" w14:textId="77777777" w:rsidTr="002552F1">
        <w:trPr>
          <w:trHeight w:val="260"/>
        </w:trPr>
        <w:tc>
          <w:tcPr>
            <w:tcW w:w="942" w:type="dxa"/>
            <w:tcBorders>
              <w:top w:val="nil"/>
              <w:left w:val="nil"/>
              <w:bottom w:val="single" w:sz="4" w:space="0" w:color="auto"/>
              <w:right w:val="single" w:sz="4" w:space="0" w:color="auto"/>
            </w:tcBorders>
            <w:shd w:val="clear" w:color="auto" w:fill="auto"/>
            <w:noWrap/>
            <w:vAlign w:val="bottom"/>
            <w:hideMark/>
          </w:tcPr>
          <w:p w14:paraId="0BFE1181" w14:textId="77777777" w:rsidR="0060430B" w:rsidRPr="00A37DCC" w:rsidRDefault="0060430B" w:rsidP="002552F1">
            <w:pPr>
              <w:jc w:val="center"/>
              <w:rPr>
                <w:color w:val="000000"/>
              </w:rPr>
            </w:pPr>
            <w:r w:rsidRPr="00A37DCC">
              <w:rPr>
                <w:color w:val="000000"/>
              </w:rPr>
              <w:t>2017</w:t>
            </w:r>
          </w:p>
        </w:tc>
        <w:tc>
          <w:tcPr>
            <w:tcW w:w="2814" w:type="dxa"/>
            <w:tcBorders>
              <w:top w:val="nil"/>
              <w:left w:val="nil"/>
              <w:bottom w:val="single" w:sz="4" w:space="0" w:color="auto"/>
              <w:right w:val="single" w:sz="4" w:space="0" w:color="auto"/>
            </w:tcBorders>
            <w:shd w:val="clear" w:color="auto" w:fill="auto"/>
            <w:noWrap/>
            <w:vAlign w:val="bottom"/>
            <w:hideMark/>
          </w:tcPr>
          <w:p w14:paraId="2CF23710" w14:textId="77777777" w:rsidR="0060430B" w:rsidRPr="00A37DCC" w:rsidRDefault="0060430B" w:rsidP="002552F1">
            <w:pPr>
              <w:jc w:val="center"/>
              <w:rPr>
                <w:color w:val="000000"/>
              </w:rPr>
            </w:pPr>
            <w:r w:rsidRPr="00A37DCC">
              <w:rPr>
                <w:color w:val="000000"/>
              </w:rPr>
              <w:t>1.078.450.641,51</w:t>
            </w:r>
          </w:p>
        </w:tc>
        <w:tc>
          <w:tcPr>
            <w:tcW w:w="2508" w:type="dxa"/>
            <w:tcBorders>
              <w:top w:val="nil"/>
              <w:left w:val="nil"/>
              <w:bottom w:val="single" w:sz="4" w:space="0" w:color="auto"/>
              <w:right w:val="single" w:sz="4" w:space="0" w:color="auto"/>
            </w:tcBorders>
            <w:shd w:val="clear" w:color="auto" w:fill="auto"/>
            <w:noWrap/>
            <w:vAlign w:val="bottom"/>
            <w:hideMark/>
          </w:tcPr>
          <w:p w14:paraId="6337394D" w14:textId="77777777" w:rsidR="0060430B" w:rsidRPr="00A37DCC" w:rsidRDefault="0060430B" w:rsidP="002552F1">
            <w:pPr>
              <w:jc w:val="center"/>
              <w:rPr>
                <w:color w:val="000000"/>
              </w:rPr>
            </w:pPr>
            <w:r w:rsidRPr="00A37DCC">
              <w:rPr>
                <w:color w:val="000000"/>
              </w:rPr>
              <w:t>4.078.990.785,96</w:t>
            </w:r>
          </w:p>
        </w:tc>
        <w:tc>
          <w:tcPr>
            <w:tcW w:w="711" w:type="dxa"/>
            <w:tcBorders>
              <w:top w:val="nil"/>
              <w:left w:val="nil"/>
              <w:bottom w:val="single" w:sz="4" w:space="0" w:color="auto"/>
              <w:right w:val="nil"/>
            </w:tcBorders>
            <w:shd w:val="clear" w:color="auto" w:fill="auto"/>
            <w:noWrap/>
            <w:vAlign w:val="bottom"/>
            <w:hideMark/>
          </w:tcPr>
          <w:p w14:paraId="589E2CAB" w14:textId="77777777" w:rsidR="0060430B" w:rsidRPr="00A37DCC" w:rsidRDefault="0060430B" w:rsidP="002552F1">
            <w:pPr>
              <w:jc w:val="center"/>
              <w:rPr>
                <w:color w:val="000000"/>
              </w:rPr>
            </w:pPr>
            <w:r w:rsidRPr="00A37DCC">
              <w:rPr>
                <w:color w:val="000000"/>
              </w:rPr>
              <w:t>26,4%</w:t>
            </w:r>
          </w:p>
        </w:tc>
      </w:tr>
    </w:tbl>
    <w:p w14:paraId="5C5B3536" w14:textId="77777777" w:rsidR="0060430B" w:rsidRDefault="0060430B" w:rsidP="00D83336">
      <w:pPr>
        <w:jc w:val="center"/>
        <w:rPr>
          <w:sz w:val="24"/>
          <w:szCs w:val="24"/>
        </w:rPr>
      </w:pPr>
      <w:r>
        <w:rPr>
          <w:szCs w:val="24"/>
        </w:rPr>
        <w:t>Fonte: Elaboração própria</w:t>
      </w:r>
    </w:p>
    <w:p w14:paraId="24ABEAE5" w14:textId="77777777" w:rsidR="00EB6D9C" w:rsidRDefault="0060430B" w:rsidP="0060430B">
      <w:pPr>
        <w:jc w:val="both"/>
        <w:rPr>
          <w:sz w:val="24"/>
          <w:szCs w:val="24"/>
        </w:rPr>
      </w:pPr>
      <w:r>
        <w:rPr>
          <w:sz w:val="24"/>
          <w:szCs w:val="24"/>
        </w:rPr>
        <w:tab/>
      </w:r>
    </w:p>
    <w:p w14:paraId="32153D66" w14:textId="725F18F2" w:rsidR="0060430B" w:rsidRDefault="0060430B" w:rsidP="00EB6D9C">
      <w:pPr>
        <w:ind w:firstLine="708"/>
        <w:jc w:val="both"/>
        <w:rPr>
          <w:sz w:val="24"/>
          <w:szCs w:val="24"/>
        </w:rPr>
      </w:pPr>
      <w:r>
        <w:rPr>
          <w:sz w:val="24"/>
          <w:szCs w:val="24"/>
        </w:rPr>
        <w:t xml:space="preserve">Pode-se analisar que o Estado de Santa Catarina em todo o período analisado sempre possuía disponibilidade de caixa para a realização das despesas referentes a inscrição de </w:t>
      </w:r>
      <w:r>
        <w:rPr>
          <w:sz w:val="24"/>
          <w:szCs w:val="24"/>
        </w:rPr>
        <w:lastRenderedPageBreak/>
        <w:t>restos a pagar. Abaixo apresenta-se o Figura 3, para uma análise mais detalhada em relação ao comprometimento de caixa com a inscrição de restos a pagar.</w:t>
      </w:r>
    </w:p>
    <w:p w14:paraId="73E1314B" w14:textId="77777777" w:rsidR="0060430B" w:rsidRPr="0060430B" w:rsidRDefault="0060430B" w:rsidP="0060430B">
      <w:pPr>
        <w:jc w:val="center"/>
        <w:rPr>
          <w:sz w:val="24"/>
          <w:szCs w:val="24"/>
        </w:rPr>
      </w:pPr>
      <w:r w:rsidRPr="00695B46">
        <w:rPr>
          <w:noProof/>
        </w:rPr>
        <w:drawing>
          <wp:inline distT="0" distB="0" distL="0" distR="0" wp14:anchorId="5A1270FA" wp14:editId="10851DE2">
            <wp:extent cx="3686175" cy="1954645"/>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1785" cy="1994738"/>
                    </a:xfrm>
                    <a:prstGeom prst="rect">
                      <a:avLst/>
                    </a:prstGeom>
                    <a:ln>
                      <a:noFill/>
                    </a:ln>
                  </pic:spPr>
                </pic:pic>
              </a:graphicData>
            </a:graphic>
          </wp:inline>
        </w:drawing>
      </w:r>
    </w:p>
    <w:p w14:paraId="212CEFC7" w14:textId="77777777" w:rsidR="0060430B" w:rsidRPr="00F74151" w:rsidRDefault="0060430B" w:rsidP="0060430B">
      <w:pPr>
        <w:jc w:val="center"/>
      </w:pPr>
      <w:r w:rsidRPr="00F74151">
        <w:t>Figura</w:t>
      </w:r>
      <w:r>
        <w:t xml:space="preserve"> 3. </w:t>
      </w:r>
      <w:r w:rsidRPr="00F74151">
        <w:t>Restos a Pagar em Relação a Disponibilidade de Caixa</w:t>
      </w:r>
    </w:p>
    <w:p w14:paraId="53F75D90" w14:textId="77777777" w:rsidR="0060430B" w:rsidRPr="00D83336" w:rsidRDefault="0060430B" w:rsidP="00D83336">
      <w:pPr>
        <w:jc w:val="center"/>
        <w:rPr>
          <w:szCs w:val="24"/>
        </w:rPr>
      </w:pPr>
      <w:r>
        <w:rPr>
          <w:szCs w:val="24"/>
        </w:rPr>
        <w:t>Fonte: Elaboração própria</w:t>
      </w:r>
    </w:p>
    <w:p w14:paraId="53CD46F6" w14:textId="77777777" w:rsidR="0060430B" w:rsidRPr="00695B46" w:rsidRDefault="0060430B" w:rsidP="0060430B">
      <w:pPr>
        <w:ind w:firstLine="708"/>
        <w:jc w:val="both"/>
        <w:rPr>
          <w:sz w:val="24"/>
          <w:szCs w:val="24"/>
        </w:rPr>
      </w:pPr>
      <w:r>
        <w:rPr>
          <w:sz w:val="24"/>
          <w:szCs w:val="24"/>
        </w:rPr>
        <w:t xml:space="preserve">Assim, de todos os anos do período analisado, percebe-se que o ano que ficou com o saldo de caixa com maior comprometimento em relação a inscrição de restos a pagar ocorreu no ano de 2017, visto que esse foi o ano com maior montante inscrito de restos a pagar, alcançando desta forma um percentual de 26,4% dos recursos disponíveis do caixa. Já 2014, por sua vez, apesar de não ter sido o ano com menor quantia inscrita em restos a pagar, foi o ano em que o Estado de Santa Catarina teve o menor comprometimento de caixa, alcançando apenas 14,6%. Logo, pode-se concluir que em todo o período analisado havia disponibilidade de caixa e que não houve comprometimento significativo, de modo a dificultar a execução financeira do orçamento do exercício seguinte. </w:t>
      </w:r>
    </w:p>
    <w:p w14:paraId="0528298E" w14:textId="77777777" w:rsidR="0060430B" w:rsidRPr="00167114" w:rsidRDefault="0060430B" w:rsidP="0060430B">
      <w:pPr>
        <w:jc w:val="both"/>
        <w:rPr>
          <w:sz w:val="24"/>
          <w:szCs w:val="24"/>
        </w:rPr>
      </w:pPr>
    </w:p>
    <w:p w14:paraId="70CEEC6C" w14:textId="14F917E1" w:rsidR="0060430B" w:rsidRDefault="00A841A9" w:rsidP="0060430B">
      <w:pPr>
        <w:jc w:val="both"/>
        <w:rPr>
          <w:b/>
          <w:sz w:val="24"/>
          <w:szCs w:val="24"/>
        </w:rPr>
      </w:pPr>
      <w:r>
        <w:rPr>
          <w:b/>
          <w:sz w:val="24"/>
          <w:szCs w:val="24"/>
        </w:rPr>
        <w:t>5</w:t>
      </w:r>
      <w:r w:rsidR="0060430B">
        <w:rPr>
          <w:b/>
          <w:sz w:val="24"/>
          <w:szCs w:val="24"/>
        </w:rPr>
        <w:t xml:space="preserve"> </w:t>
      </w:r>
      <w:r w:rsidR="00DE0933">
        <w:rPr>
          <w:b/>
          <w:sz w:val="24"/>
          <w:szCs w:val="24"/>
        </w:rPr>
        <w:t>CONSIDERAÇÕES FINAIS</w:t>
      </w:r>
    </w:p>
    <w:p w14:paraId="4D50E225" w14:textId="77777777" w:rsidR="0060430B" w:rsidRDefault="0060430B" w:rsidP="0060430B">
      <w:pPr>
        <w:ind w:firstLine="708"/>
        <w:jc w:val="both"/>
        <w:rPr>
          <w:sz w:val="24"/>
          <w:szCs w:val="24"/>
        </w:rPr>
      </w:pPr>
      <w:r>
        <w:rPr>
          <w:sz w:val="24"/>
          <w:szCs w:val="24"/>
        </w:rPr>
        <w:t xml:space="preserve">Esta pesquisa teve como objetivo geral </w:t>
      </w:r>
      <w:r w:rsidRPr="00B00978">
        <w:rPr>
          <w:sz w:val="24"/>
          <w:szCs w:val="24"/>
        </w:rPr>
        <w:t xml:space="preserve">verificar a evolução da inscrição de restos a pagar ao final </w:t>
      </w:r>
      <w:r>
        <w:rPr>
          <w:sz w:val="24"/>
          <w:szCs w:val="24"/>
        </w:rPr>
        <w:t>do governo de Estado de Santa Catarina no período de 2011 a 2017.</w:t>
      </w:r>
    </w:p>
    <w:p w14:paraId="33008979" w14:textId="77777777" w:rsidR="0060430B" w:rsidRDefault="0060430B" w:rsidP="0060430B">
      <w:pPr>
        <w:ind w:firstLine="708"/>
        <w:jc w:val="both"/>
        <w:rPr>
          <w:sz w:val="24"/>
          <w:szCs w:val="24"/>
        </w:rPr>
      </w:pPr>
      <w:r>
        <w:rPr>
          <w:sz w:val="24"/>
          <w:szCs w:val="24"/>
        </w:rPr>
        <w:t>Do período analisado, em todos os anos mais de 80% da dotação orçamentária autorizada era realizada. O ano com maior valor empenhado foi o de 2011, representando 86,51% do montante autorizado, e 2015 por sua vez, foi o de menor valor empenhado, uma porcentagem de 80,59%, apesar da dotação autorizada ter aumentado seu valor empenhado não teve o mesmo resultado.</w:t>
      </w:r>
    </w:p>
    <w:p w14:paraId="36A6AD3E" w14:textId="360EF59C" w:rsidR="0060430B" w:rsidRDefault="0060430B" w:rsidP="0060430B">
      <w:pPr>
        <w:jc w:val="both"/>
        <w:rPr>
          <w:sz w:val="24"/>
          <w:szCs w:val="24"/>
        </w:rPr>
      </w:pPr>
      <w:r>
        <w:rPr>
          <w:sz w:val="24"/>
          <w:szCs w:val="24"/>
        </w:rPr>
        <w:tab/>
        <w:t xml:space="preserve">Referente a evolução da inscrição de restos a pagar, observou-se que ao longo do período estudado ocorreu uma oscilação, pois no decorrer dos anos a inscrição em restos a pagar aumentou como diminuiu. No ano de 2013 houve um aumento de 72% em relação ao ano anterior, já em 2014 ocorreu uma diminuição de 27%, além do mais, em 2017 também teve um aumento em relação ao ano anterior sendo de 54% respectivamente, esse aumento está relacionado principalmente </w:t>
      </w:r>
      <w:r w:rsidR="00EB6D9C">
        <w:rPr>
          <w:sz w:val="24"/>
          <w:szCs w:val="24"/>
        </w:rPr>
        <w:t>à</w:t>
      </w:r>
      <w:r>
        <w:rPr>
          <w:sz w:val="24"/>
          <w:szCs w:val="24"/>
        </w:rPr>
        <w:t xml:space="preserve"> inscrição de despesas com pessoal e encargos sociais, com investimentos e outras despesas correntes.</w:t>
      </w:r>
    </w:p>
    <w:p w14:paraId="3350E589" w14:textId="1C51A71F" w:rsidR="0060430B" w:rsidRDefault="0060430B" w:rsidP="0060430B">
      <w:pPr>
        <w:jc w:val="both"/>
        <w:rPr>
          <w:sz w:val="24"/>
          <w:szCs w:val="24"/>
        </w:rPr>
      </w:pPr>
      <w:r>
        <w:rPr>
          <w:sz w:val="24"/>
          <w:szCs w:val="24"/>
        </w:rPr>
        <w:tab/>
        <w:t xml:space="preserve">Quando comparado </w:t>
      </w:r>
      <w:r w:rsidR="00EB6D9C">
        <w:rPr>
          <w:sz w:val="24"/>
          <w:szCs w:val="24"/>
        </w:rPr>
        <w:t>às</w:t>
      </w:r>
      <w:r>
        <w:rPr>
          <w:sz w:val="24"/>
          <w:szCs w:val="24"/>
        </w:rPr>
        <w:t xml:space="preserve"> inscrições de restos a pagar não processados com a inscrição de restos a pagar processados, nota-se que o montante do primeiro é consideravelmente maior que o segundo, e que essa diferença começa a diminuir a partir do ano de 2015, mas que teve sua menor diferença no ano de 2017, sendo esta de 24%.</w:t>
      </w:r>
    </w:p>
    <w:p w14:paraId="41829395" w14:textId="77777777" w:rsidR="0060430B" w:rsidRDefault="0060430B" w:rsidP="0060430B">
      <w:pPr>
        <w:jc w:val="both"/>
        <w:rPr>
          <w:sz w:val="24"/>
          <w:szCs w:val="24"/>
        </w:rPr>
      </w:pPr>
      <w:r>
        <w:rPr>
          <w:sz w:val="24"/>
          <w:szCs w:val="24"/>
        </w:rPr>
        <w:lastRenderedPageBreak/>
        <w:tab/>
        <w:t>Em relação a inscrição de restos a pagar com a disponibilidade de caixa, pode-se concluir que o Estado de Santa Catarina teve disponibilidade suficiente de caixa em todos os anos analisados para a realização das despesas inscritas em restos a pagar, sendo que seus percentuais no decorrer do período no tocante ao comprometimento de caixa variaram entre 14,6% e 26,4%.</w:t>
      </w:r>
    </w:p>
    <w:p w14:paraId="49649AAA" w14:textId="1EF62695" w:rsidR="0060430B" w:rsidRDefault="0060430B" w:rsidP="0060430B">
      <w:pPr>
        <w:jc w:val="both"/>
        <w:rPr>
          <w:sz w:val="24"/>
          <w:szCs w:val="24"/>
        </w:rPr>
      </w:pPr>
      <w:r>
        <w:rPr>
          <w:sz w:val="24"/>
          <w:szCs w:val="24"/>
        </w:rPr>
        <w:tab/>
        <w:t>No decorrer da pesquisa, pode-se verificar, através dos demonstrativos contábeis disponibilizados pelo ente objeto de estudo, que de maneira geral a inscrição em restos a pagar representa uma parcela pouco significativa em relação a dotação orçamentária autorizada, assim como sua disponibilidade de caixa. Logo, pode-se inferir que a evolução da inscrição de r</w:t>
      </w:r>
      <w:r w:rsidR="004752B9">
        <w:rPr>
          <w:sz w:val="24"/>
          <w:szCs w:val="24"/>
        </w:rPr>
        <w:t>estos a pagar não é constante, mesmo</w:t>
      </w:r>
      <w:r>
        <w:rPr>
          <w:sz w:val="24"/>
          <w:szCs w:val="24"/>
        </w:rPr>
        <w:t xml:space="preserve"> que tanto as despesas autorizadas quanto as despesas empenhadas têm aumentado a cada ano,</w:t>
      </w:r>
      <w:r w:rsidR="004752B9">
        <w:rPr>
          <w:sz w:val="24"/>
          <w:szCs w:val="24"/>
        </w:rPr>
        <w:t xml:space="preserve"> o mesmo não ocorreu com os restos a pagar,</w:t>
      </w:r>
      <w:r>
        <w:rPr>
          <w:sz w:val="24"/>
          <w:szCs w:val="24"/>
        </w:rPr>
        <w:t xml:space="preserve"> mas a partir de 2014</w:t>
      </w:r>
      <w:r w:rsidR="004752B9">
        <w:rPr>
          <w:sz w:val="24"/>
          <w:szCs w:val="24"/>
        </w:rPr>
        <w:t xml:space="preserve"> veio</w:t>
      </w:r>
      <w:r>
        <w:rPr>
          <w:sz w:val="24"/>
          <w:szCs w:val="24"/>
        </w:rPr>
        <w:t xml:space="preserve"> assumindo uma trajetória ascendente, tendo seu maior quantitativo em 2017 e que apesar disso não tem comprometido em nenhum aspecto a execução-financeira orçamentária do exercício seguinte.</w:t>
      </w:r>
    </w:p>
    <w:p w14:paraId="338E35F0" w14:textId="77777777" w:rsidR="0060430B" w:rsidRDefault="0060430B" w:rsidP="0060430B">
      <w:pPr>
        <w:ind w:firstLine="708"/>
        <w:jc w:val="both"/>
        <w:rPr>
          <w:sz w:val="24"/>
          <w:szCs w:val="24"/>
        </w:rPr>
      </w:pPr>
      <w:r>
        <w:rPr>
          <w:sz w:val="24"/>
          <w:szCs w:val="24"/>
        </w:rPr>
        <w:t>Apesar da inscrição de restos a pagar não ter um crescimento constante, visto que teve tanto aumento quanto redução no período analisado, pode-se concluir que em algum momento o Planejamento da Administração Pública do Estado de Santa Catarina – não sendo a finalidade desta pesquisa -  está tendo alguma falha, pois o exercício financeiro não está sendo suficiente para o ente realizar a execução orçamentária acarretando a transferência de obrigações financeiras para o exercício subsequente, podendo afetar a programação financeira seguinte, conforme previsto na LRF, principalmente em relação há inscrição dos restos a pagar não processados, que representa despesas que passaram somente pelo primeiro estágio da execução da despesa, o empenho, logo não recebendo o bem ou serviço do fornecedor, gerando desta forma despesas para o próximo exercício, porém, sem a ocorrência do fato gerador, estando desta forma em desconformidade com o princípio da competência.</w:t>
      </w:r>
    </w:p>
    <w:p w14:paraId="71B80B48" w14:textId="77777777" w:rsidR="0060430B" w:rsidRDefault="0060430B" w:rsidP="0060430B">
      <w:pPr>
        <w:ind w:firstLine="708"/>
        <w:jc w:val="both"/>
        <w:rPr>
          <w:sz w:val="24"/>
          <w:szCs w:val="24"/>
        </w:rPr>
      </w:pPr>
      <w:r>
        <w:rPr>
          <w:sz w:val="24"/>
          <w:szCs w:val="24"/>
        </w:rPr>
        <w:t>Diante disso, mesmo que o Estado de Santa Catarina possua disponibilidade de caixa em todos os exercícios analisados, deve haver uma melhor supervisão do controle interno e externo sobre a inscrição de restos a pagar, principalmente dos restos a pagar não processados, uma vez que esses representam a maior parcela do total da inscrição de restos a pagar, para que possa se permitir apenas os saldos de empenhos que exerçam cumprimento legal para que o exercício seguinte não venha a ser prejudicado.</w:t>
      </w:r>
    </w:p>
    <w:p w14:paraId="3C95B3DB" w14:textId="77777777" w:rsidR="0060430B" w:rsidRDefault="0060430B" w:rsidP="0060430B">
      <w:pPr>
        <w:ind w:firstLine="708"/>
        <w:jc w:val="both"/>
        <w:rPr>
          <w:sz w:val="24"/>
          <w:szCs w:val="24"/>
        </w:rPr>
      </w:pPr>
      <w:r>
        <w:rPr>
          <w:sz w:val="24"/>
          <w:szCs w:val="24"/>
        </w:rPr>
        <w:t>Por fim, para pesquisas futuras, sugere-se que sejam observadas e analisadas a composição e a evolução da inscrição de restos a pagar, realizando-se uma comparação com outros estados da Região Sul e do país. Recomenda-se também analisar qual o comportamento das inscrições dos restos a pagar dos entes públicos e seu cumprimento referente às legislações anteriores a LRF.</w:t>
      </w:r>
    </w:p>
    <w:p w14:paraId="5621A536" w14:textId="77777777" w:rsidR="0060430B" w:rsidRDefault="0060430B" w:rsidP="0060430B">
      <w:pPr>
        <w:rPr>
          <w:b/>
          <w:sz w:val="24"/>
          <w:szCs w:val="24"/>
        </w:rPr>
      </w:pPr>
    </w:p>
    <w:p w14:paraId="63CBDB7C" w14:textId="77777777" w:rsidR="0060430B" w:rsidRPr="00A37DCC" w:rsidRDefault="0060430B" w:rsidP="0060430B">
      <w:pPr>
        <w:jc w:val="both"/>
        <w:rPr>
          <w:b/>
          <w:sz w:val="24"/>
          <w:szCs w:val="24"/>
        </w:rPr>
      </w:pPr>
      <w:r w:rsidRPr="00A37DCC">
        <w:rPr>
          <w:b/>
          <w:sz w:val="24"/>
          <w:szCs w:val="24"/>
        </w:rPr>
        <w:t>REFERÊNCIAS</w:t>
      </w:r>
    </w:p>
    <w:p w14:paraId="1EB02035" w14:textId="77777777" w:rsidR="0060430B" w:rsidRPr="00A37DCC" w:rsidRDefault="0060430B" w:rsidP="0060430B">
      <w:pPr>
        <w:jc w:val="both"/>
        <w:rPr>
          <w:b/>
          <w:sz w:val="24"/>
          <w:szCs w:val="24"/>
        </w:rPr>
      </w:pPr>
    </w:p>
    <w:p w14:paraId="65D043E7" w14:textId="77777777" w:rsidR="0060430B" w:rsidRPr="002552F1" w:rsidRDefault="0060430B" w:rsidP="0060430B">
      <w:pPr>
        <w:pStyle w:val="NormalWeb"/>
        <w:spacing w:before="0" w:beforeAutospacing="0" w:after="0" w:afterAutospacing="0"/>
        <w:rPr>
          <w:sz w:val="24"/>
          <w:szCs w:val="24"/>
        </w:rPr>
      </w:pPr>
      <w:r w:rsidRPr="002552F1">
        <w:rPr>
          <w:sz w:val="24"/>
          <w:szCs w:val="24"/>
        </w:rPr>
        <w:t xml:space="preserve">Aquino, A. C. B. D., &amp; Azevedo, R. R. D. (2017). Restos a pagar e a perda da credibilidade orçamentária. </w:t>
      </w:r>
      <w:r w:rsidRPr="002552F1">
        <w:rPr>
          <w:i/>
          <w:sz w:val="24"/>
          <w:szCs w:val="24"/>
        </w:rPr>
        <w:t>Revista de Administração Pública</w:t>
      </w:r>
      <w:r w:rsidRPr="002552F1">
        <w:rPr>
          <w:sz w:val="24"/>
          <w:szCs w:val="24"/>
        </w:rPr>
        <w:t>,</w:t>
      </w:r>
      <w:r w:rsidRPr="002552F1">
        <w:rPr>
          <w:i/>
          <w:sz w:val="24"/>
          <w:szCs w:val="24"/>
        </w:rPr>
        <w:t xml:space="preserve"> 51</w:t>
      </w:r>
      <w:r w:rsidRPr="002552F1">
        <w:rPr>
          <w:sz w:val="24"/>
          <w:szCs w:val="24"/>
        </w:rPr>
        <w:t xml:space="preserve">(4), .580-595. </w:t>
      </w:r>
    </w:p>
    <w:p w14:paraId="01C9ED08" w14:textId="77777777" w:rsidR="00D83336" w:rsidRPr="002552F1" w:rsidRDefault="00D83336" w:rsidP="0060430B">
      <w:pPr>
        <w:pStyle w:val="NormalWeb"/>
        <w:spacing w:before="0" w:beforeAutospacing="0" w:after="0" w:afterAutospacing="0"/>
        <w:rPr>
          <w:sz w:val="24"/>
          <w:szCs w:val="24"/>
          <w:shd w:val="clear" w:color="auto" w:fill="FFFFFF"/>
        </w:rPr>
      </w:pPr>
    </w:p>
    <w:p w14:paraId="3A9705E7" w14:textId="144748C3" w:rsidR="0060430B" w:rsidRDefault="0060430B" w:rsidP="0060430B">
      <w:pPr>
        <w:pStyle w:val="NormalWeb"/>
        <w:spacing w:before="0" w:beforeAutospacing="0" w:after="0" w:afterAutospacing="0"/>
        <w:rPr>
          <w:sz w:val="24"/>
          <w:szCs w:val="24"/>
          <w:shd w:val="clear" w:color="auto" w:fill="FFFFFF"/>
        </w:rPr>
      </w:pPr>
      <w:r w:rsidRPr="002552F1">
        <w:rPr>
          <w:sz w:val="24"/>
          <w:szCs w:val="24"/>
          <w:shd w:val="clear" w:color="auto" w:fill="FFFFFF"/>
        </w:rPr>
        <w:t>Camargo, M. E., &amp; Sehnem, A. (2010). Efeitos da Lei de Responsabilidade Fiscal sobre a prestação de contas das prefeituras catarinenses. </w:t>
      </w:r>
      <w:r w:rsidRPr="002552F1">
        <w:rPr>
          <w:i/>
          <w:iCs/>
          <w:sz w:val="24"/>
          <w:szCs w:val="24"/>
          <w:shd w:val="clear" w:color="auto" w:fill="FFFFFF"/>
        </w:rPr>
        <w:t>Race: revista de administração, contabilidade e economia</w:t>
      </w:r>
      <w:r w:rsidRPr="002552F1">
        <w:rPr>
          <w:sz w:val="24"/>
          <w:szCs w:val="24"/>
          <w:shd w:val="clear" w:color="auto" w:fill="FFFFFF"/>
        </w:rPr>
        <w:t>, </w:t>
      </w:r>
      <w:r w:rsidRPr="002552F1">
        <w:rPr>
          <w:i/>
          <w:iCs/>
          <w:sz w:val="24"/>
          <w:szCs w:val="24"/>
          <w:shd w:val="clear" w:color="auto" w:fill="FFFFFF"/>
        </w:rPr>
        <w:t>9</w:t>
      </w:r>
      <w:r w:rsidRPr="002552F1">
        <w:rPr>
          <w:sz w:val="24"/>
          <w:szCs w:val="24"/>
          <w:shd w:val="clear" w:color="auto" w:fill="FFFFFF"/>
        </w:rPr>
        <w:t xml:space="preserve">(1), 251-272. </w:t>
      </w:r>
    </w:p>
    <w:p w14:paraId="0DBF1F09" w14:textId="2708D154" w:rsidR="00730B38" w:rsidRPr="00730B38" w:rsidRDefault="00730B38" w:rsidP="0060430B">
      <w:pPr>
        <w:pStyle w:val="NormalWeb"/>
        <w:spacing w:before="0" w:beforeAutospacing="0" w:after="0" w:afterAutospacing="0"/>
        <w:rPr>
          <w:sz w:val="24"/>
          <w:szCs w:val="24"/>
        </w:rPr>
      </w:pPr>
      <w:r w:rsidRPr="00730B38">
        <w:rPr>
          <w:color w:val="222222"/>
          <w:sz w:val="24"/>
          <w:szCs w:val="24"/>
          <w:shd w:val="clear" w:color="auto" w:fill="FFFFFF"/>
        </w:rPr>
        <w:lastRenderedPageBreak/>
        <w:t>Carvalho, D. (2010). </w:t>
      </w:r>
      <w:r w:rsidRPr="00730B38">
        <w:rPr>
          <w:i/>
          <w:iCs/>
          <w:color w:val="222222"/>
          <w:sz w:val="24"/>
          <w:szCs w:val="24"/>
          <w:shd w:val="clear" w:color="auto" w:fill="FFFFFF"/>
        </w:rPr>
        <w:t>Orçamento e contabilidade pública</w:t>
      </w:r>
      <w:r w:rsidRPr="00730B38">
        <w:rPr>
          <w:color w:val="222222"/>
          <w:sz w:val="24"/>
          <w:szCs w:val="24"/>
          <w:shd w:val="clear" w:color="auto" w:fill="FFFFFF"/>
        </w:rPr>
        <w:t xml:space="preserve">. </w:t>
      </w:r>
      <w:r>
        <w:rPr>
          <w:color w:val="222222"/>
          <w:sz w:val="24"/>
          <w:szCs w:val="24"/>
          <w:shd w:val="clear" w:color="auto" w:fill="FFFFFF"/>
        </w:rPr>
        <w:t xml:space="preserve">(5a ed.) São Paulo: </w:t>
      </w:r>
      <w:r w:rsidRPr="00730B38">
        <w:rPr>
          <w:color w:val="222222"/>
          <w:sz w:val="24"/>
          <w:szCs w:val="24"/>
          <w:shd w:val="clear" w:color="auto" w:fill="FFFFFF"/>
        </w:rPr>
        <w:t>Elsevier</w:t>
      </w:r>
      <w:r w:rsidR="00416DF2">
        <w:rPr>
          <w:color w:val="222222"/>
          <w:sz w:val="24"/>
          <w:szCs w:val="24"/>
          <w:shd w:val="clear" w:color="auto" w:fill="FFFFFF"/>
        </w:rPr>
        <w:t>.</w:t>
      </w:r>
    </w:p>
    <w:p w14:paraId="4ECA3906" w14:textId="77777777" w:rsidR="00D83336" w:rsidRPr="002552F1" w:rsidRDefault="00D83336" w:rsidP="0060430B">
      <w:pPr>
        <w:pStyle w:val="NormalWeb"/>
        <w:spacing w:before="0" w:beforeAutospacing="0" w:after="0" w:afterAutospacing="0"/>
        <w:rPr>
          <w:sz w:val="24"/>
          <w:szCs w:val="24"/>
          <w:shd w:val="clear" w:color="auto" w:fill="FFFFFF"/>
        </w:rPr>
      </w:pPr>
    </w:p>
    <w:p w14:paraId="3EFA7E4F" w14:textId="77777777" w:rsidR="0060430B" w:rsidRPr="002552F1" w:rsidRDefault="0060430B" w:rsidP="0060430B">
      <w:pPr>
        <w:pStyle w:val="NormalWeb"/>
        <w:spacing w:before="0" w:beforeAutospacing="0" w:after="0" w:afterAutospacing="0"/>
        <w:rPr>
          <w:sz w:val="24"/>
          <w:szCs w:val="24"/>
          <w:shd w:val="clear" w:color="auto" w:fill="FFFFFF"/>
        </w:rPr>
      </w:pPr>
      <w:r w:rsidRPr="002552F1">
        <w:rPr>
          <w:sz w:val="24"/>
          <w:szCs w:val="24"/>
          <w:shd w:val="clear" w:color="auto" w:fill="FFFFFF"/>
        </w:rPr>
        <w:t>Carvalho, J. R. M., de Oliveira, G. F., &amp; Santiago, J. S. (2010). Dívida Pública: Um Estudo de Indicadores dos Estados Nordestinos. </w:t>
      </w:r>
      <w:r w:rsidRPr="002552F1">
        <w:rPr>
          <w:i/>
          <w:iCs/>
          <w:sz w:val="24"/>
          <w:szCs w:val="24"/>
          <w:shd w:val="clear" w:color="auto" w:fill="FFFFFF"/>
        </w:rPr>
        <w:t>Revista Universo Contábil</w:t>
      </w:r>
      <w:r w:rsidRPr="002552F1">
        <w:rPr>
          <w:sz w:val="24"/>
          <w:szCs w:val="24"/>
          <w:shd w:val="clear" w:color="auto" w:fill="FFFFFF"/>
        </w:rPr>
        <w:t>, </w:t>
      </w:r>
      <w:r w:rsidRPr="002552F1">
        <w:rPr>
          <w:i/>
          <w:iCs/>
          <w:sz w:val="24"/>
          <w:szCs w:val="24"/>
          <w:shd w:val="clear" w:color="auto" w:fill="FFFFFF"/>
        </w:rPr>
        <w:t>6</w:t>
      </w:r>
      <w:r w:rsidRPr="002552F1">
        <w:rPr>
          <w:sz w:val="24"/>
          <w:szCs w:val="24"/>
          <w:shd w:val="clear" w:color="auto" w:fill="FFFFFF"/>
        </w:rPr>
        <w:t>(2), 82-100.</w:t>
      </w:r>
    </w:p>
    <w:p w14:paraId="2ACC8274" w14:textId="77777777" w:rsidR="00D83336" w:rsidRPr="002552F1" w:rsidRDefault="00D83336" w:rsidP="0060430B">
      <w:pPr>
        <w:pStyle w:val="NormalWeb"/>
        <w:spacing w:before="0" w:beforeAutospacing="0" w:after="0" w:afterAutospacing="0"/>
        <w:rPr>
          <w:i/>
          <w:sz w:val="24"/>
          <w:szCs w:val="24"/>
        </w:rPr>
      </w:pPr>
    </w:p>
    <w:p w14:paraId="02B5693F" w14:textId="77777777" w:rsidR="0060430B" w:rsidRPr="002552F1" w:rsidRDefault="0060430B" w:rsidP="0060430B">
      <w:pPr>
        <w:pStyle w:val="NormalWeb"/>
        <w:spacing w:before="0" w:beforeAutospacing="0" w:after="0" w:afterAutospacing="0"/>
        <w:rPr>
          <w:sz w:val="24"/>
          <w:szCs w:val="24"/>
        </w:rPr>
      </w:pPr>
      <w:r w:rsidRPr="002552F1">
        <w:rPr>
          <w:i/>
          <w:sz w:val="24"/>
          <w:szCs w:val="24"/>
        </w:rPr>
        <w:t>Constituição da República Federativa do Brasil de 1988</w:t>
      </w:r>
      <w:r w:rsidRPr="002552F1">
        <w:rPr>
          <w:sz w:val="24"/>
          <w:szCs w:val="24"/>
        </w:rPr>
        <w:t xml:space="preserve">. (1988). Brasília. Recuperado em 14 novembro 2017, de  </w:t>
      </w:r>
      <w:hyperlink r:id="rId13" w:history="1">
        <w:r w:rsidRPr="002552F1">
          <w:rPr>
            <w:rStyle w:val="Hyperlink"/>
            <w:color w:val="auto"/>
            <w:sz w:val="24"/>
            <w:szCs w:val="24"/>
            <w:u w:val="none"/>
          </w:rPr>
          <w:t>http://www.planalto.gov.br/ccivil_03/constituicao/constituicaocompilado.htm</w:t>
        </w:r>
      </w:hyperlink>
      <w:r w:rsidRPr="002552F1">
        <w:rPr>
          <w:rStyle w:val="Hyperlink"/>
          <w:color w:val="auto"/>
          <w:sz w:val="24"/>
          <w:szCs w:val="24"/>
          <w:u w:val="none"/>
        </w:rPr>
        <w:t>.</w:t>
      </w:r>
    </w:p>
    <w:p w14:paraId="049345D8" w14:textId="77777777" w:rsidR="00226102" w:rsidRPr="002552F1" w:rsidRDefault="00226102" w:rsidP="0060430B">
      <w:pPr>
        <w:pStyle w:val="NormalWeb"/>
        <w:spacing w:before="0" w:beforeAutospacing="0" w:after="0" w:afterAutospacing="0"/>
        <w:rPr>
          <w:sz w:val="24"/>
          <w:szCs w:val="24"/>
        </w:rPr>
      </w:pPr>
    </w:p>
    <w:p w14:paraId="20EB2C8A" w14:textId="77777777" w:rsidR="0060430B" w:rsidRPr="002552F1" w:rsidRDefault="0060430B" w:rsidP="0060430B">
      <w:pPr>
        <w:pStyle w:val="NormalWeb"/>
        <w:spacing w:before="0" w:beforeAutospacing="0" w:after="0" w:afterAutospacing="0"/>
        <w:rPr>
          <w:sz w:val="24"/>
          <w:szCs w:val="24"/>
        </w:rPr>
      </w:pPr>
      <w:r w:rsidRPr="002552F1">
        <w:rPr>
          <w:sz w:val="24"/>
          <w:szCs w:val="24"/>
        </w:rPr>
        <w:t>Costa, J. I. D. F., Travassos, S. K. D. M., Libonati, J. J., Ribeiro Filho, J.F., &amp; Soares, V. S. (2013). Regime de competência aplicado ao setor público: análise no reconhecimento dos restos a pagar não processados e despesas de exercícios anteriores dos municípios brasileiros.</w:t>
      </w:r>
      <w:r w:rsidRPr="002552F1">
        <w:rPr>
          <w:b/>
          <w:sz w:val="24"/>
          <w:szCs w:val="24"/>
        </w:rPr>
        <w:t xml:space="preserve"> </w:t>
      </w:r>
      <w:r w:rsidRPr="002552F1">
        <w:rPr>
          <w:i/>
          <w:sz w:val="24"/>
          <w:szCs w:val="24"/>
        </w:rPr>
        <w:t>Base – Revista de Administração e Contabilidade da Unisinos,</w:t>
      </w:r>
      <w:r w:rsidRPr="002552F1">
        <w:rPr>
          <w:sz w:val="24"/>
          <w:szCs w:val="24"/>
        </w:rPr>
        <w:t xml:space="preserve"> </w:t>
      </w:r>
      <w:r w:rsidRPr="002552F1">
        <w:rPr>
          <w:i/>
          <w:sz w:val="24"/>
          <w:szCs w:val="24"/>
        </w:rPr>
        <w:t>10</w:t>
      </w:r>
      <w:r w:rsidRPr="002552F1">
        <w:rPr>
          <w:sz w:val="24"/>
          <w:szCs w:val="24"/>
        </w:rPr>
        <w:t xml:space="preserve">(3), 240-253. </w:t>
      </w:r>
    </w:p>
    <w:p w14:paraId="79187606" w14:textId="77777777" w:rsidR="00226102" w:rsidRPr="002552F1" w:rsidRDefault="00226102" w:rsidP="0060430B">
      <w:pPr>
        <w:pStyle w:val="NormalWeb"/>
        <w:spacing w:before="0" w:beforeAutospacing="0" w:after="0" w:afterAutospacing="0"/>
        <w:rPr>
          <w:i/>
          <w:sz w:val="24"/>
          <w:szCs w:val="24"/>
        </w:rPr>
      </w:pPr>
    </w:p>
    <w:p w14:paraId="3A74B536" w14:textId="77777777" w:rsidR="0060430B" w:rsidRPr="002552F1" w:rsidRDefault="0060430B" w:rsidP="0060430B">
      <w:pPr>
        <w:pStyle w:val="NormalWeb"/>
        <w:spacing w:before="0" w:beforeAutospacing="0" w:after="0" w:afterAutospacing="0"/>
        <w:rPr>
          <w:sz w:val="24"/>
          <w:szCs w:val="24"/>
        </w:rPr>
      </w:pPr>
      <w:r w:rsidRPr="002552F1">
        <w:rPr>
          <w:i/>
          <w:sz w:val="24"/>
          <w:szCs w:val="24"/>
        </w:rPr>
        <w:t xml:space="preserve">Decreto n.º 93.872, de 23 de dezembro de 1986 </w:t>
      </w:r>
      <w:r w:rsidRPr="002552F1">
        <w:rPr>
          <w:sz w:val="24"/>
          <w:szCs w:val="24"/>
        </w:rPr>
        <w:t>(1986). Dispõe sobre a unificação dos recursos de caixa do Tesouro Nacional, atualiza e consolida a legislação pertinente e dá outras providências. Recuperado 15 novembro 2017</w:t>
      </w:r>
      <w:r w:rsidRPr="002552F1" w:rsidDel="00F74E5D">
        <w:rPr>
          <w:sz w:val="24"/>
          <w:szCs w:val="24"/>
        </w:rPr>
        <w:t xml:space="preserve"> </w:t>
      </w:r>
      <w:r w:rsidRPr="002552F1">
        <w:rPr>
          <w:sz w:val="24"/>
          <w:szCs w:val="24"/>
        </w:rPr>
        <w:t xml:space="preserve">de http://www.planalto.gov.br/ccivil_03/decreto/d93872.htm. </w:t>
      </w:r>
    </w:p>
    <w:p w14:paraId="2A589F93" w14:textId="77777777" w:rsidR="00226102" w:rsidRPr="002552F1" w:rsidRDefault="00226102" w:rsidP="0060430B">
      <w:pPr>
        <w:pStyle w:val="NormalWeb"/>
        <w:spacing w:before="0" w:beforeAutospacing="0" w:after="0" w:afterAutospacing="0"/>
        <w:rPr>
          <w:sz w:val="24"/>
          <w:szCs w:val="24"/>
          <w:shd w:val="clear" w:color="auto" w:fill="FFFFFF"/>
        </w:rPr>
      </w:pPr>
    </w:p>
    <w:p w14:paraId="24EEA4C5" w14:textId="77777777" w:rsidR="0060430B" w:rsidRPr="00A161C2" w:rsidRDefault="0060430B" w:rsidP="0060430B">
      <w:pPr>
        <w:pStyle w:val="NormalWeb"/>
        <w:spacing w:before="0" w:beforeAutospacing="0" w:after="0" w:afterAutospacing="0"/>
        <w:rPr>
          <w:sz w:val="24"/>
          <w:szCs w:val="24"/>
          <w:shd w:val="clear" w:color="auto" w:fill="FFFFFF"/>
          <w:lang w:val="en-US"/>
        </w:rPr>
      </w:pPr>
      <w:r w:rsidRPr="002552F1">
        <w:rPr>
          <w:sz w:val="24"/>
          <w:szCs w:val="24"/>
          <w:shd w:val="clear" w:color="auto" w:fill="FFFFFF"/>
        </w:rPr>
        <w:t>Garcia Filho, R. C., Melo, E. J. C., Resende, A. L., de Araujo Neto, L. M., &amp; Marciniuk, F. L. (2015). A evolução dos restos a pagar não processados no período 2003 a 2013 e a correlação com as transferências voluntárias. </w:t>
      </w:r>
      <w:r w:rsidRPr="00A161C2">
        <w:rPr>
          <w:i/>
          <w:iCs/>
          <w:sz w:val="24"/>
          <w:szCs w:val="24"/>
          <w:shd w:val="clear" w:color="auto" w:fill="FFFFFF"/>
          <w:lang w:val="en-US"/>
        </w:rPr>
        <w:t>CAP Accounting and Management-B4</w:t>
      </w:r>
      <w:r w:rsidRPr="00A161C2">
        <w:rPr>
          <w:sz w:val="24"/>
          <w:szCs w:val="24"/>
          <w:shd w:val="clear" w:color="auto" w:fill="FFFFFF"/>
          <w:lang w:val="en-US"/>
        </w:rPr>
        <w:t>, </w:t>
      </w:r>
      <w:r w:rsidRPr="00A161C2">
        <w:rPr>
          <w:i/>
          <w:iCs/>
          <w:sz w:val="24"/>
          <w:szCs w:val="24"/>
          <w:shd w:val="clear" w:color="auto" w:fill="FFFFFF"/>
          <w:lang w:val="en-US"/>
        </w:rPr>
        <w:t>2016</w:t>
      </w:r>
      <w:r w:rsidRPr="00A161C2">
        <w:rPr>
          <w:sz w:val="24"/>
          <w:szCs w:val="24"/>
          <w:shd w:val="clear" w:color="auto" w:fill="FFFFFF"/>
          <w:lang w:val="en-US"/>
        </w:rPr>
        <w:t xml:space="preserve">(9). </w:t>
      </w:r>
    </w:p>
    <w:p w14:paraId="7233CF4A" w14:textId="77777777" w:rsidR="00226102" w:rsidRPr="00A161C2" w:rsidRDefault="00226102" w:rsidP="0060430B">
      <w:pPr>
        <w:pStyle w:val="NormalWeb"/>
        <w:spacing w:before="0" w:beforeAutospacing="0" w:after="0" w:afterAutospacing="0"/>
        <w:rPr>
          <w:sz w:val="24"/>
          <w:szCs w:val="24"/>
          <w:shd w:val="clear" w:color="auto" w:fill="FFFFFF"/>
          <w:lang w:val="en-US"/>
        </w:rPr>
      </w:pPr>
    </w:p>
    <w:p w14:paraId="48A42CCA" w14:textId="77777777" w:rsidR="0060430B" w:rsidRPr="002552F1" w:rsidRDefault="0060430B" w:rsidP="0060430B">
      <w:pPr>
        <w:pStyle w:val="NormalWeb"/>
        <w:spacing w:before="0" w:beforeAutospacing="0" w:after="0" w:afterAutospacing="0"/>
        <w:rPr>
          <w:sz w:val="24"/>
          <w:szCs w:val="24"/>
        </w:rPr>
      </w:pPr>
      <w:r w:rsidRPr="00A161C2">
        <w:rPr>
          <w:sz w:val="24"/>
          <w:szCs w:val="24"/>
          <w:shd w:val="clear" w:color="auto" w:fill="FFFFFF"/>
          <w:lang w:val="en-US"/>
        </w:rPr>
        <w:t xml:space="preserve">Galdino, J. A., Moura, J. B., &amp; da Cunha, E. L. (2014). </w:t>
      </w:r>
      <w:r w:rsidRPr="002552F1">
        <w:rPr>
          <w:sz w:val="24"/>
          <w:szCs w:val="24"/>
          <w:shd w:val="clear" w:color="auto" w:fill="FFFFFF"/>
        </w:rPr>
        <w:t>Efeitos do enfoque patrimonial na dívida pública flutuante: um estudo de caso em uma fundação pública do norte do Brasil. </w:t>
      </w:r>
      <w:r w:rsidRPr="002552F1">
        <w:rPr>
          <w:i/>
          <w:iCs/>
          <w:sz w:val="24"/>
          <w:szCs w:val="24"/>
          <w:shd w:val="clear" w:color="auto" w:fill="FFFFFF"/>
        </w:rPr>
        <w:t>Revista Contemporânea de Contabilidade</w:t>
      </w:r>
      <w:r w:rsidRPr="002552F1">
        <w:rPr>
          <w:sz w:val="24"/>
          <w:szCs w:val="24"/>
          <w:shd w:val="clear" w:color="auto" w:fill="FFFFFF"/>
        </w:rPr>
        <w:t>, </w:t>
      </w:r>
      <w:r w:rsidRPr="002552F1">
        <w:rPr>
          <w:i/>
          <w:iCs/>
          <w:sz w:val="24"/>
          <w:szCs w:val="24"/>
          <w:shd w:val="clear" w:color="auto" w:fill="FFFFFF"/>
        </w:rPr>
        <w:t>11</w:t>
      </w:r>
      <w:r w:rsidRPr="002552F1">
        <w:rPr>
          <w:sz w:val="24"/>
          <w:szCs w:val="24"/>
          <w:shd w:val="clear" w:color="auto" w:fill="FFFFFF"/>
        </w:rPr>
        <w:t>(23), 31-52.</w:t>
      </w:r>
    </w:p>
    <w:p w14:paraId="5D57123B" w14:textId="77777777" w:rsidR="00226102" w:rsidRPr="002552F1" w:rsidRDefault="00226102" w:rsidP="0060430B">
      <w:pPr>
        <w:pStyle w:val="NormalWeb"/>
        <w:spacing w:before="0" w:beforeAutospacing="0" w:after="0" w:afterAutospacing="0"/>
        <w:rPr>
          <w:sz w:val="24"/>
          <w:szCs w:val="24"/>
        </w:rPr>
      </w:pPr>
    </w:p>
    <w:p w14:paraId="70633AE5" w14:textId="1CDDBE7D" w:rsidR="0060430B" w:rsidRPr="002552F1" w:rsidRDefault="0060430B" w:rsidP="0060430B">
      <w:pPr>
        <w:pStyle w:val="NormalWeb"/>
        <w:spacing w:before="0" w:beforeAutospacing="0" w:after="0" w:afterAutospacing="0"/>
        <w:rPr>
          <w:sz w:val="24"/>
          <w:szCs w:val="24"/>
        </w:rPr>
      </w:pPr>
      <w:r w:rsidRPr="002552F1">
        <w:rPr>
          <w:sz w:val="24"/>
          <w:szCs w:val="24"/>
        </w:rPr>
        <w:t xml:space="preserve">Gil, A. C. (2008). </w:t>
      </w:r>
      <w:r w:rsidRPr="002552F1">
        <w:rPr>
          <w:i/>
          <w:sz w:val="24"/>
          <w:szCs w:val="24"/>
        </w:rPr>
        <w:t>Como elaborar projetos de pesquisa.</w:t>
      </w:r>
      <w:r w:rsidR="00416DF2">
        <w:rPr>
          <w:sz w:val="24"/>
          <w:szCs w:val="24"/>
        </w:rPr>
        <w:t xml:space="preserve"> (4a ed.). São Paulo: Atlas.</w:t>
      </w:r>
    </w:p>
    <w:p w14:paraId="29D75EC0" w14:textId="77777777" w:rsidR="00226102" w:rsidRPr="002552F1" w:rsidRDefault="00226102" w:rsidP="0060430B">
      <w:pPr>
        <w:pStyle w:val="NormalWeb"/>
        <w:spacing w:before="0" w:beforeAutospacing="0" w:after="0" w:afterAutospacing="0"/>
        <w:rPr>
          <w:sz w:val="24"/>
          <w:szCs w:val="24"/>
          <w:shd w:val="clear" w:color="auto" w:fill="FFFFFF"/>
        </w:rPr>
      </w:pPr>
    </w:p>
    <w:p w14:paraId="465AB375" w14:textId="77777777" w:rsidR="0060430B" w:rsidRPr="002552F1" w:rsidRDefault="0060430B" w:rsidP="0060430B">
      <w:pPr>
        <w:pStyle w:val="NormalWeb"/>
        <w:spacing w:before="0" w:beforeAutospacing="0" w:after="0" w:afterAutospacing="0"/>
        <w:rPr>
          <w:sz w:val="24"/>
          <w:szCs w:val="24"/>
          <w:shd w:val="clear" w:color="auto" w:fill="FFFFFF"/>
        </w:rPr>
      </w:pPr>
      <w:r w:rsidRPr="002552F1">
        <w:rPr>
          <w:sz w:val="24"/>
          <w:szCs w:val="24"/>
          <w:shd w:val="clear" w:color="auto" w:fill="FFFFFF"/>
        </w:rPr>
        <w:t>Grateron, I. R. G. (1999). Auditoria de gestão: utilização de indicadores de gestão no setor público. </w:t>
      </w:r>
      <w:r w:rsidRPr="002552F1">
        <w:rPr>
          <w:i/>
          <w:iCs/>
          <w:sz w:val="24"/>
          <w:szCs w:val="24"/>
          <w:shd w:val="clear" w:color="auto" w:fill="FFFFFF"/>
        </w:rPr>
        <w:t>Caderno de estudos</w:t>
      </w:r>
      <w:r w:rsidRPr="002552F1">
        <w:rPr>
          <w:sz w:val="24"/>
          <w:szCs w:val="24"/>
          <w:shd w:val="clear" w:color="auto" w:fill="FFFFFF"/>
        </w:rPr>
        <w:t>, (21), 01-18.</w:t>
      </w:r>
    </w:p>
    <w:p w14:paraId="20A362D4" w14:textId="77777777" w:rsidR="0060430B" w:rsidRPr="002552F1" w:rsidRDefault="0060430B" w:rsidP="0060430B">
      <w:pPr>
        <w:pStyle w:val="NormalWeb"/>
        <w:spacing w:before="0" w:beforeAutospacing="0" w:after="0" w:afterAutospacing="0"/>
        <w:rPr>
          <w:sz w:val="24"/>
          <w:szCs w:val="24"/>
        </w:rPr>
      </w:pPr>
    </w:p>
    <w:p w14:paraId="371311E5" w14:textId="514E3F60" w:rsidR="0060430B" w:rsidRPr="002552F1" w:rsidRDefault="0060430B" w:rsidP="0060430B">
      <w:pPr>
        <w:rPr>
          <w:sz w:val="24"/>
          <w:szCs w:val="24"/>
        </w:rPr>
      </w:pPr>
      <w:r w:rsidRPr="00EB6D9C">
        <w:rPr>
          <w:sz w:val="24"/>
          <w:szCs w:val="24"/>
        </w:rPr>
        <w:t xml:space="preserve">IBGE </w:t>
      </w:r>
      <w:r w:rsidR="00EB6D9C" w:rsidRPr="00EB6D9C">
        <w:rPr>
          <w:sz w:val="24"/>
          <w:szCs w:val="24"/>
        </w:rPr>
        <w:t xml:space="preserve">(2018) </w:t>
      </w:r>
      <w:r w:rsidRPr="00EB6D9C">
        <w:rPr>
          <w:sz w:val="24"/>
          <w:szCs w:val="24"/>
        </w:rPr>
        <w:t xml:space="preserve">Instituto Brasileiro de Geografia e Estatística. </w:t>
      </w:r>
      <w:r w:rsidRPr="00EB6D9C">
        <w:rPr>
          <w:b/>
          <w:bCs/>
          <w:sz w:val="24"/>
          <w:szCs w:val="24"/>
        </w:rPr>
        <w:t>Cidades e Estados do Brasil</w:t>
      </w:r>
      <w:r w:rsidRPr="00EB6D9C">
        <w:rPr>
          <w:sz w:val="24"/>
          <w:szCs w:val="24"/>
        </w:rPr>
        <w:t xml:space="preserve">. Recuperado em 05 março 2018, de </w:t>
      </w:r>
      <w:r w:rsidR="000D3220" w:rsidRPr="00EB6D9C">
        <w:rPr>
          <w:sz w:val="24"/>
          <w:szCs w:val="24"/>
        </w:rPr>
        <w:t>https://www.ibge.gov.br/estatisticas-novoportal/por-cidade-estado-estatisticas.html?t=destaques&amp;c=42.</w:t>
      </w:r>
    </w:p>
    <w:p w14:paraId="71A23E7A" w14:textId="77777777" w:rsidR="00226102" w:rsidRPr="002552F1" w:rsidRDefault="00226102" w:rsidP="0060430B">
      <w:pPr>
        <w:rPr>
          <w:sz w:val="24"/>
          <w:szCs w:val="24"/>
        </w:rPr>
      </w:pPr>
    </w:p>
    <w:p w14:paraId="7843C8AD" w14:textId="77777777" w:rsidR="0060430B" w:rsidRPr="002552F1" w:rsidRDefault="0060430B" w:rsidP="0060430B">
      <w:pPr>
        <w:rPr>
          <w:sz w:val="24"/>
          <w:szCs w:val="24"/>
        </w:rPr>
      </w:pPr>
      <w:r w:rsidRPr="002552F1">
        <w:rPr>
          <w:sz w:val="24"/>
          <w:szCs w:val="24"/>
        </w:rPr>
        <w:t xml:space="preserve">Kohama, H. (2010) </w:t>
      </w:r>
      <w:r w:rsidRPr="002552F1">
        <w:rPr>
          <w:bCs/>
          <w:i/>
          <w:sz w:val="24"/>
          <w:szCs w:val="24"/>
        </w:rPr>
        <w:t xml:space="preserve">Contabilidade Pública: </w:t>
      </w:r>
      <w:r w:rsidRPr="002552F1">
        <w:rPr>
          <w:i/>
          <w:sz w:val="24"/>
          <w:szCs w:val="24"/>
        </w:rPr>
        <w:t>teoria e pratica.</w:t>
      </w:r>
      <w:r w:rsidRPr="002552F1">
        <w:rPr>
          <w:sz w:val="24"/>
          <w:szCs w:val="24"/>
        </w:rPr>
        <w:t xml:space="preserve"> </w:t>
      </w:r>
      <w:r w:rsidRPr="002552F1">
        <w:rPr>
          <w:sz w:val="24"/>
          <w:szCs w:val="24"/>
          <w:lang w:val="es-MX"/>
        </w:rPr>
        <w:t>(11a ed.). São Paulo: Atlas.</w:t>
      </w:r>
    </w:p>
    <w:p w14:paraId="5B768683" w14:textId="77777777" w:rsidR="00226102" w:rsidRPr="002552F1" w:rsidRDefault="00226102" w:rsidP="0060430B">
      <w:pPr>
        <w:pStyle w:val="NormalWeb"/>
        <w:spacing w:before="0" w:beforeAutospacing="0" w:after="0" w:afterAutospacing="0"/>
        <w:rPr>
          <w:sz w:val="24"/>
          <w:szCs w:val="24"/>
        </w:rPr>
      </w:pPr>
    </w:p>
    <w:p w14:paraId="6D133E8E" w14:textId="77777777" w:rsidR="0060430B" w:rsidRPr="002552F1" w:rsidRDefault="0060430B" w:rsidP="0060430B">
      <w:pPr>
        <w:pStyle w:val="NormalWeb"/>
        <w:spacing w:before="0" w:beforeAutospacing="0" w:after="0" w:afterAutospacing="0"/>
        <w:rPr>
          <w:sz w:val="24"/>
          <w:szCs w:val="24"/>
        </w:rPr>
      </w:pPr>
      <w:r w:rsidRPr="002552F1">
        <w:rPr>
          <w:sz w:val="24"/>
          <w:szCs w:val="24"/>
        </w:rPr>
        <w:t xml:space="preserve">Kohama, H. (2016). </w:t>
      </w:r>
      <w:r w:rsidRPr="002552F1">
        <w:rPr>
          <w:bCs/>
          <w:i/>
          <w:sz w:val="24"/>
          <w:szCs w:val="24"/>
        </w:rPr>
        <w:t>Contabilidade Pública: teoria e prática</w:t>
      </w:r>
      <w:r w:rsidRPr="002552F1">
        <w:rPr>
          <w:i/>
          <w:sz w:val="24"/>
          <w:szCs w:val="24"/>
        </w:rPr>
        <w:t>.</w:t>
      </w:r>
      <w:r w:rsidRPr="002552F1">
        <w:rPr>
          <w:sz w:val="24"/>
          <w:szCs w:val="24"/>
        </w:rPr>
        <w:t xml:space="preserve"> (15a ed.). São Paulo: Atlas.</w:t>
      </w:r>
    </w:p>
    <w:p w14:paraId="1653CE2A" w14:textId="77777777" w:rsidR="00226102" w:rsidRPr="002552F1" w:rsidRDefault="00226102" w:rsidP="0060430B">
      <w:pPr>
        <w:pStyle w:val="NormalWeb"/>
        <w:spacing w:before="0" w:beforeAutospacing="0" w:after="0" w:afterAutospacing="0"/>
        <w:rPr>
          <w:i/>
          <w:sz w:val="24"/>
          <w:szCs w:val="24"/>
        </w:rPr>
      </w:pPr>
    </w:p>
    <w:p w14:paraId="2818EF69" w14:textId="77777777" w:rsidR="0060430B" w:rsidRPr="002552F1" w:rsidRDefault="0060430B" w:rsidP="0060430B">
      <w:pPr>
        <w:pStyle w:val="NormalWeb"/>
        <w:spacing w:before="0" w:beforeAutospacing="0" w:after="0" w:afterAutospacing="0"/>
        <w:rPr>
          <w:sz w:val="24"/>
          <w:szCs w:val="24"/>
        </w:rPr>
      </w:pPr>
      <w:r w:rsidRPr="002552F1">
        <w:rPr>
          <w:i/>
          <w:sz w:val="24"/>
          <w:szCs w:val="24"/>
        </w:rPr>
        <w:t xml:space="preserve">Lei Complementar n.º 101, de 4 de maio de 2000 (Lei de Responsabilidade Fiscal) </w:t>
      </w:r>
      <w:r w:rsidRPr="002552F1">
        <w:rPr>
          <w:sz w:val="24"/>
          <w:szCs w:val="24"/>
        </w:rPr>
        <w:t>(2000)</w:t>
      </w:r>
      <w:r w:rsidRPr="002552F1">
        <w:rPr>
          <w:i/>
          <w:sz w:val="24"/>
          <w:szCs w:val="24"/>
        </w:rPr>
        <w:t>.</w:t>
      </w:r>
      <w:r w:rsidRPr="002552F1">
        <w:rPr>
          <w:sz w:val="24"/>
          <w:szCs w:val="24"/>
        </w:rPr>
        <w:t xml:space="preserve"> Estabelece normas de finanças públicas voltadas para a responsabilidade na gestão fiscal e dá outras providências. Recuperado em 14 novembro 2017 de http://www.planalto.gov.br/ccivil_03/leis/LCP/Lcp101.htm.</w:t>
      </w:r>
    </w:p>
    <w:p w14:paraId="5FA553ED" w14:textId="77777777" w:rsidR="00226102" w:rsidRPr="002552F1" w:rsidRDefault="00226102" w:rsidP="0060430B">
      <w:pPr>
        <w:pStyle w:val="NormalWeb"/>
        <w:spacing w:before="0" w:beforeAutospacing="0" w:after="0" w:afterAutospacing="0"/>
        <w:rPr>
          <w:i/>
          <w:sz w:val="24"/>
          <w:szCs w:val="24"/>
        </w:rPr>
      </w:pPr>
    </w:p>
    <w:p w14:paraId="6491A18F" w14:textId="77777777" w:rsidR="0060430B" w:rsidRPr="002552F1" w:rsidRDefault="0060430B" w:rsidP="0060430B">
      <w:pPr>
        <w:pStyle w:val="NormalWeb"/>
        <w:spacing w:before="0" w:beforeAutospacing="0" w:after="0" w:afterAutospacing="0"/>
        <w:rPr>
          <w:sz w:val="24"/>
          <w:szCs w:val="24"/>
        </w:rPr>
      </w:pPr>
      <w:r w:rsidRPr="002552F1">
        <w:rPr>
          <w:i/>
          <w:sz w:val="24"/>
          <w:szCs w:val="24"/>
        </w:rPr>
        <w:lastRenderedPageBreak/>
        <w:t xml:space="preserve">Lei Complementar n.º 381, de 7 de maio de 2007 </w:t>
      </w:r>
      <w:r w:rsidRPr="002552F1">
        <w:rPr>
          <w:sz w:val="24"/>
          <w:szCs w:val="24"/>
        </w:rPr>
        <w:t>(2007). Dispõe sobre o modelo de gestão e a estrutura organizacional da Administração Pública Estadual. Recuperado em</w:t>
      </w:r>
      <w:r w:rsidRPr="002552F1" w:rsidDel="00F74E5D">
        <w:rPr>
          <w:sz w:val="24"/>
          <w:szCs w:val="24"/>
        </w:rPr>
        <w:t xml:space="preserve"> </w:t>
      </w:r>
      <w:r w:rsidRPr="002552F1">
        <w:rPr>
          <w:sz w:val="24"/>
          <w:szCs w:val="24"/>
        </w:rPr>
        <w:t>15 abril 2018 de http://www.portaldoservidor.sc.gov.br/ckfinder/userfiles/arquivos/Legislacao%20</w:t>
      </w:r>
    </w:p>
    <w:p w14:paraId="41EFCB75" w14:textId="77777777" w:rsidR="0060430B" w:rsidRPr="002552F1" w:rsidRDefault="0060430B" w:rsidP="0060430B">
      <w:pPr>
        <w:pStyle w:val="NormalWeb"/>
        <w:spacing w:before="0" w:beforeAutospacing="0" w:after="0" w:afterAutospacing="0"/>
        <w:rPr>
          <w:sz w:val="24"/>
          <w:szCs w:val="24"/>
        </w:rPr>
      </w:pPr>
      <w:r w:rsidRPr="002552F1">
        <w:rPr>
          <w:sz w:val="24"/>
          <w:szCs w:val="24"/>
        </w:rPr>
        <w:t>Correlata/Reforma_Administrativa/2007__Lei_Complementar_N_381%2C_de_07_de_maio_de_2007.pdf.</w:t>
      </w:r>
    </w:p>
    <w:p w14:paraId="419FC598" w14:textId="77777777" w:rsidR="00226102" w:rsidRPr="002552F1" w:rsidRDefault="00226102" w:rsidP="0060430B">
      <w:pPr>
        <w:pStyle w:val="NormalWeb"/>
        <w:spacing w:before="0" w:beforeAutospacing="0" w:after="0" w:afterAutospacing="0"/>
        <w:rPr>
          <w:i/>
          <w:sz w:val="24"/>
          <w:szCs w:val="24"/>
        </w:rPr>
      </w:pPr>
    </w:p>
    <w:p w14:paraId="296C1D74" w14:textId="77777777" w:rsidR="0060430B" w:rsidRPr="002552F1" w:rsidRDefault="0060430B" w:rsidP="0060430B">
      <w:pPr>
        <w:pStyle w:val="NormalWeb"/>
        <w:spacing w:before="0" w:beforeAutospacing="0" w:after="0" w:afterAutospacing="0"/>
        <w:rPr>
          <w:sz w:val="24"/>
          <w:szCs w:val="24"/>
        </w:rPr>
      </w:pPr>
      <w:r w:rsidRPr="002552F1">
        <w:rPr>
          <w:i/>
          <w:sz w:val="24"/>
          <w:szCs w:val="24"/>
        </w:rPr>
        <w:t xml:space="preserve">Lei n.º 4.320, de 17 de março de 1964 </w:t>
      </w:r>
      <w:r w:rsidRPr="002552F1">
        <w:rPr>
          <w:sz w:val="24"/>
          <w:szCs w:val="24"/>
        </w:rPr>
        <w:t>(1964)</w:t>
      </w:r>
      <w:r w:rsidRPr="002552F1">
        <w:rPr>
          <w:i/>
          <w:sz w:val="24"/>
          <w:szCs w:val="24"/>
        </w:rPr>
        <w:t>.</w:t>
      </w:r>
      <w:r w:rsidRPr="002552F1">
        <w:rPr>
          <w:sz w:val="24"/>
          <w:szCs w:val="24"/>
        </w:rPr>
        <w:t xml:space="preserve"> Estatui normas gerais de direito financeiro para elaboração e controle dos orçamentos e balanços da União, dos estados, dos municípios e do Distrito Federal. Recuperado em</w:t>
      </w:r>
      <w:r w:rsidRPr="002552F1" w:rsidDel="00F74E5D">
        <w:rPr>
          <w:sz w:val="24"/>
          <w:szCs w:val="24"/>
        </w:rPr>
        <w:t xml:space="preserve"> </w:t>
      </w:r>
      <w:r w:rsidRPr="002552F1">
        <w:rPr>
          <w:sz w:val="24"/>
          <w:szCs w:val="24"/>
        </w:rPr>
        <w:t>15 novembro 2017 de http://www.planalto.gov.br/ccivil_03/leis/L4320.htm.</w:t>
      </w:r>
    </w:p>
    <w:p w14:paraId="33B2BEB0" w14:textId="77777777" w:rsidR="00226102" w:rsidRPr="002552F1" w:rsidRDefault="00226102" w:rsidP="0060430B">
      <w:pPr>
        <w:pStyle w:val="NormalWeb"/>
        <w:spacing w:before="0" w:beforeAutospacing="0" w:after="0" w:afterAutospacing="0"/>
        <w:rPr>
          <w:sz w:val="24"/>
          <w:szCs w:val="24"/>
          <w:shd w:val="clear" w:color="auto" w:fill="FFFFFF"/>
        </w:rPr>
      </w:pPr>
    </w:p>
    <w:p w14:paraId="6B4A2DB7" w14:textId="7177995C" w:rsidR="0060430B" w:rsidRPr="002552F1" w:rsidRDefault="003A0D41" w:rsidP="0060430B">
      <w:pPr>
        <w:pStyle w:val="NormalWeb"/>
        <w:spacing w:before="0" w:beforeAutospacing="0" w:after="0" w:afterAutospacing="0"/>
        <w:rPr>
          <w:sz w:val="24"/>
          <w:szCs w:val="24"/>
        </w:rPr>
      </w:pPr>
      <w:r w:rsidRPr="002552F1">
        <w:rPr>
          <w:sz w:val="24"/>
          <w:szCs w:val="24"/>
          <w:shd w:val="clear" w:color="auto" w:fill="FFFFFF"/>
        </w:rPr>
        <w:t>Piscitelli,</w:t>
      </w:r>
      <w:r w:rsidR="0060430B" w:rsidRPr="002552F1">
        <w:rPr>
          <w:sz w:val="24"/>
          <w:szCs w:val="24"/>
          <w:shd w:val="clear" w:color="auto" w:fill="FFFFFF"/>
        </w:rPr>
        <w:t xml:space="preserve"> R. B., &amp; Timbó, M. Z. F. (2014) </w:t>
      </w:r>
      <w:r w:rsidR="0060430B" w:rsidRPr="002552F1">
        <w:rPr>
          <w:rStyle w:val="Forte"/>
          <w:b w:val="0"/>
          <w:i/>
          <w:sz w:val="24"/>
          <w:szCs w:val="24"/>
          <w:shd w:val="clear" w:color="auto" w:fill="FFFFFF"/>
        </w:rPr>
        <w:t>Contabilidade Pública: </w:t>
      </w:r>
      <w:r w:rsidR="0060430B" w:rsidRPr="002552F1">
        <w:rPr>
          <w:i/>
          <w:sz w:val="24"/>
          <w:szCs w:val="24"/>
          <w:shd w:val="clear" w:color="auto" w:fill="FFFFFF"/>
        </w:rPr>
        <w:t xml:space="preserve">uma abordagem da </w:t>
      </w:r>
      <w:r w:rsidRPr="002552F1">
        <w:rPr>
          <w:i/>
          <w:sz w:val="24"/>
          <w:szCs w:val="24"/>
          <w:shd w:val="clear" w:color="auto" w:fill="FFFFFF"/>
        </w:rPr>
        <w:t>administração</w:t>
      </w:r>
      <w:r w:rsidR="0060430B" w:rsidRPr="002552F1">
        <w:rPr>
          <w:i/>
          <w:sz w:val="24"/>
          <w:szCs w:val="24"/>
          <w:shd w:val="clear" w:color="auto" w:fill="FFFFFF"/>
        </w:rPr>
        <w:t xml:space="preserve"> financeira pública.</w:t>
      </w:r>
      <w:r w:rsidR="0060430B" w:rsidRPr="002552F1">
        <w:rPr>
          <w:sz w:val="24"/>
          <w:szCs w:val="24"/>
          <w:shd w:val="clear" w:color="auto" w:fill="FFFFFF"/>
        </w:rPr>
        <w:t xml:space="preserve"> (13a ed.). São Paulo: Atlas.</w:t>
      </w:r>
    </w:p>
    <w:p w14:paraId="17C8C623" w14:textId="77777777" w:rsidR="00226102" w:rsidRPr="002552F1" w:rsidRDefault="00226102" w:rsidP="0060430B">
      <w:pPr>
        <w:pStyle w:val="SemEspaamento"/>
        <w:rPr>
          <w:rFonts w:ascii="Times New Roman" w:hAnsi="Times New Roman" w:cs="Times New Roman"/>
          <w:sz w:val="24"/>
          <w:szCs w:val="24"/>
        </w:rPr>
      </w:pPr>
    </w:p>
    <w:p w14:paraId="0C65DB8C" w14:textId="77777777" w:rsidR="0060430B" w:rsidRPr="002552F1" w:rsidRDefault="0060430B" w:rsidP="0060430B">
      <w:pPr>
        <w:pStyle w:val="SemEspaamento"/>
        <w:rPr>
          <w:rFonts w:ascii="Times New Roman" w:hAnsi="Times New Roman" w:cs="Times New Roman"/>
          <w:sz w:val="24"/>
          <w:szCs w:val="24"/>
        </w:rPr>
      </w:pPr>
      <w:r w:rsidRPr="002552F1">
        <w:rPr>
          <w:rFonts w:ascii="Times New Roman" w:hAnsi="Times New Roman" w:cs="Times New Roman"/>
          <w:sz w:val="24"/>
          <w:szCs w:val="24"/>
        </w:rPr>
        <w:t xml:space="preserve">Platt Neto, O. A. (2017). </w:t>
      </w:r>
      <w:r w:rsidRPr="002552F1">
        <w:rPr>
          <w:rFonts w:ascii="Times New Roman" w:hAnsi="Times New Roman" w:cs="Times New Roman"/>
          <w:bCs/>
          <w:i/>
          <w:sz w:val="24"/>
          <w:szCs w:val="24"/>
        </w:rPr>
        <w:t xml:space="preserve">Contabilidade Pública: </w:t>
      </w:r>
      <w:r w:rsidRPr="002552F1">
        <w:rPr>
          <w:rFonts w:ascii="Times New Roman" w:hAnsi="Times New Roman" w:cs="Times New Roman"/>
          <w:i/>
          <w:sz w:val="24"/>
          <w:szCs w:val="24"/>
        </w:rPr>
        <w:t>atualizada e focada.</w:t>
      </w:r>
      <w:r w:rsidRPr="002552F1">
        <w:rPr>
          <w:rFonts w:ascii="Times New Roman" w:hAnsi="Times New Roman" w:cs="Times New Roman"/>
          <w:sz w:val="24"/>
          <w:szCs w:val="24"/>
        </w:rPr>
        <w:t xml:space="preserve"> (Ed. rev.), Florianópolis: Edição do autor.</w:t>
      </w:r>
    </w:p>
    <w:p w14:paraId="3AA4517E" w14:textId="77777777" w:rsidR="00226102" w:rsidRPr="002552F1" w:rsidRDefault="00226102" w:rsidP="0060430B">
      <w:pPr>
        <w:pStyle w:val="SemEspaamento"/>
        <w:rPr>
          <w:rFonts w:ascii="Times New Roman" w:hAnsi="Times New Roman" w:cs="Times New Roman"/>
          <w:sz w:val="24"/>
          <w:szCs w:val="24"/>
          <w:shd w:val="clear" w:color="auto" w:fill="FFFFFF"/>
        </w:rPr>
      </w:pPr>
    </w:p>
    <w:p w14:paraId="4CD71B20" w14:textId="77777777" w:rsidR="0060430B" w:rsidRPr="002552F1" w:rsidRDefault="0060430B" w:rsidP="0060430B">
      <w:pPr>
        <w:pStyle w:val="SemEspaamento"/>
        <w:rPr>
          <w:rFonts w:ascii="Times New Roman" w:hAnsi="Times New Roman" w:cs="Times New Roman"/>
          <w:sz w:val="24"/>
          <w:szCs w:val="24"/>
        </w:rPr>
      </w:pPr>
      <w:r w:rsidRPr="002552F1">
        <w:rPr>
          <w:rFonts w:ascii="Times New Roman" w:hAnsi="Times New Roman" w:cs="Times New Roman"/>
          <w:sz w:val="24"/>
          <w:szCs w:val="24"/>
          <w:shd w:val="clear" w:color="auto" w:fill="FFFFFF"/>
        </w:rPr>
        <w:t>Raupp, F. M., &amp; Beuren, I. M. (2006). Metodologia da Pesquisa Aplicável às Ciências.</w:t>
      </w:r>
      <w:r w:rsidRPr="002552F1">
        <w:rPr>
          <w:rFonts w:ascii="Times New Roman" w:hAnsi="Times New Roman" w:cs="Times New Roman"/>
          <w:i/>
          <w:iCs/>
          <w:sz w:val="24"/>
          <w:szCs w:val="24"/>
          <w:shd w:val="clear" w:color="auto" w:fill="FFFFFF"/>
        </w:rPr>
        <w:t xml:space="preserve"> Como elaborar trabalhos monográficos em contabilidade: teoria e prática. </w:t>
      </w:r>
      <w:r w:rsidRPr="002552F1">
        <w:rPr>
          <w:rFonts w:ascii="Times New Roman" w:hAnsi="Times New Roman" w:cs="Times New Roman"/>
          <w:iCs/>
          <w:sz w:val="24"/>
          <w:szCs w:val="24"/>
          <w:shd w:val="clear" w:color="auto" w:fill="FFFFFF"/>
        </w:rPr>
        <w:t>São Paulo: Atlas</w:t>
      </w:r>
      <w:r w:rsidRPr="002552F1">
        <w:rPr>
          <w:rFonts w:ascii="Times New Roman" w:hAnsi="Times New Roman" w:cs="Times New Roman"/>
          <w:sz w:val="24"/>
          <w:szCs w:val="24"/>
          <w:shd w:val="clear" w:color="auto" w:fill="FFFFFF"/>
        </w:rPr>
        <w:t>.</w:t>
      </w:r>
      <w:r w:rsidRPr="002552F1">
        <w:rPr>
          <w:rFonts w:ascii="Times New Roman" w:hAnsi="Times New Roman" w:cs="Times New Roman"/>
          <w:sz w:val="24"/>
          <w:szCs w:val="24"/>
        </w:rPr>
        <w:t xml:space="preserve"> </w:t>
      </w:r>
    </w:p>
    <w:p w14:paraId="733877FC" w14:textId="77777777" w:rsidR="00226102" w:rsidRPr="002552F1" w:rsidRDefault="00226102" w:rsidP="0060430B">
      <w:pPr>
        <w:pStyle w:val="SemEspaamento"/>
        <w:rPr>
          <w:rFonts w:ascii="Times New Roman" w:hAnsi="Times New Roman" w:cs="Times New Roman"/>
          <w:sz w:val="24"/>
          <w:szCs w:val="24"/>
        </w:rPr>
      </w:pPr>
    </w:p>
    <w:p w14:paraId="585FE4D3" w14:textId="77777777" w:rsidR="0060430B" w:rsidRPr="002552F1" w:rsidRDefault="0060430B" w:rsidP="0060430B">
      <w:pPr>
        <w:pStyle w:val="SemEspaamento"/>
        <w:rPr>
          <w:rFonts w:ascii="Times New Roman" w:hAnsi="Times New Roman" w:cs="Times New Roman"/>
          <w:sz w:val="24"/>
          <w:szCs w:val="24"/>
        </w:rPr>
      </w:pPr>
      <w:r w:rsidRPr="002552F1">
        <w:rPr>
          <w:rFonts w:ascii="Times New Roman" w:hAnsi="Times New Roman" w:cs="Times New Roman"/>
          <w:sz w:val="24"/>
          <w:szCs w:val="24"/>
        </w:rPr>
        <w:t>Sá, A. L., &amp; Sá, A.M. L. (1995).</w:t>
      </w:r>
      <w:r w:rsidRPr="002552F1">
        <w:rPr>
          <w:rFonts w:ascii="Times New Roman" w:hAnsi="Times New Roman" w:cs="Times New Roman"/>
          <w:i/>
          <w:sz w:val="24"/>
          <w:szCs w:val="24"/>
        </w:rPr>
        <w:t xml:space="preserve"> Dicionário de Contabilidade</w:t>
      </w:r>
      <w:r w:rsidRPr="002552F1">
        <w:rPr>
          <w:rFonts w:ascii="Times New Roman" w:hAnsi="Times New Roman" w:cs="Times New Roman"/>
          <w:sz w:val="24"/>
          <w:szCs w:val="24"/>
        </w:rPr>
        <w:t>. (9a ed.). São Paulo: Atlas.</w:t>
      </w:r>
    </w:p>
    <w:p w14:paraId="71DA4A3E" w14:textId="77777777" w:rsidR="00226102" w:rsidRPr="002552F1" w:rsidRDefault="00226102" w:rsidP="0060430B">
      <w:pPr>
        <w:rPr>
          <w:i/>
          <w:sz w:val="24"/>
          <w:szCs w:val="24"/>
          <w:highlight w:val="yellow"/>
        </w:rPr>
      </w:pPr>
    </w:p>
    <w:p w14:paraId="4F8F010D" w14:textId="77777777" w:rsidR="008F7916" w:rsidRPr="002552F1" w:rsidRDefault="008F7916" w:rsidP="008F7916">
      <w:pPr>
        <w:autoSpaceDE w:val="0"/>
        <w:autoSpaceDN w:val="0"/>
        <w:adjustRightInd w:val="0"/>
        <w:rPr>
          <w:sz w:val="24"/>
          <w:szCs w:val="24"/>
        </w:rPr>
      </w:pPr>
      <w:r w:rsidRPr="002552F1">
        <w:rPr>
          <w:sz w:val="24"/>
          <w:szCs w:val="24"/>
        </w:rPr>
        <w:t xml:space="preserve">Sanches, O. M. (2013). </w:t>
      </w:r>
      <w:r w:rsidRPr="002552F1">
        <w:rPr>
          <w:bCs/>
          <w:i/>
          <w:sz w:val="24"/>
          <w:szCs w:val="24"/>
        </w:rPr>
        <w:t>Novo dicionário de orçamento e áreas afins.</w:t>
      </w:r>
      <w:r w:rsidRPr="002552F1">
        <w:rPr>
          <w:b/>
          <w:bCs/>
          <w:sz w:val="24"/>
          <w:szCs w:val="24"/>
        </w:rPr>
        <w:t xml:space="preserve"> </w:t>
      </w:r>
      <w:r w:rsidRPr="002552F1">
        <w:rPr>
          <w:sz w:val="24"/>
          <w:szCs w:val="24"/>
        </w:rPr>
        <w:t>Edição do autor.</w:t>
      </w:r>
    </w:p>
    <w:p w14:paraId="3C283CAB" w14:textId="77777777" w:rsidR="008F7916" w:rsidRDefault="008F7916" w:rsidP="0060430B">
      <w:pPr>
        <w:rPr>
          <w:i/>
          <w:sz w:val="24"/>
          <w:szCs w:val="24"/>
        </w:rPr>
      </w:pPr>
    </w:p>
    <w:p w14:paraId="5E5F1353" w14:textId="5A0B3786" w:rsidR="0060430B" w:rsidRPr="00EB6D9C" w:rsidRDefault="0060430B" w:rsidP="0060430B">
      <w:pPr>
        <w:rPr>
          <w:sz w:val="24"/>
          <w:szCs w:val="24"/>
        </w:rPr>
      </w:pPr>
      <w:r w:rsidRPr="00EB6D9C">
        <w:rPr>
          <w:i/>
          <w:sz w:val="24"/>
          <w:szCs w:val="24"/>
        </w:rPr>
        <w:t xml:space="preserve">SEF/SC </w:t>
      </w:r>
      <w:r w:rsidR="00EB6D9C" w:rsidRPr="00EB6D9C">
        <w:rPr>
          <w:i/>
          <w:sz w:val="24"/>
          <w:szCs w:val="24"/>
        </w:rPr>
        <w:t xml:space="preserve">(2018) </w:t>
      </w:r>
      <w:r w:rsidRPr="00EB6D9C">
        <w:rPr>
          <w:i/>
          <w:sz w:val="24"/>
          <w:szCs w:val="24"/>
        </w:rPr>
        <w:t>- Secretaria de Estado da Fazenda de Santa Catarina.</w:t>
      </w:r>
      <w:r w:rsidRPr="00EB6D9C">
        <w:rPr>
          <w:sz w:val="24"/>
          <w:szCs w:val="24"/>
        </w:rPr>
        <w:t xml:space="preserve"> </w:t>
      </w:r>
      <w:r w:rsidRPr="00EB6D9C">
        <w:rPr>
          <w:bCs/>
          <w:sz w:val="24"/>
          <w:szCs w:val="24"/>
        </w:rPr>
        <w:t>Balanço Geral do Estado (2011 a 2017)</w:t>
      </w:r>
      <w:r w:rsidRPr="00EB6D9C">
        <w:rPr>
          <w:sz w:val="24"/>
          <w:szCs w:val="24"/>
        </w:rPr>
        <w:t>. Recuperado em 05 janeiro 2018, de</w:t>
      </w:r>
      <w:r w:rsidRPr="00EB6D9C">
        <w:rPr>
          <w:sz w:val="24"/>
          <w:szCs w:val="24"/>
        </w:rPr>
        <w:br/>
        <w:t>http://www.transparencia.sc.gov.br/responsabilidadefiscal/subareainteresse/9.</w:t>
      </w:r>
    </w:p>
    <w:p w14:paraId="00753916" w14:textId="77777777" w:rsidR="00226102" w:rsidRPr="00EB6D9C" w:rsidRDefault="00226102" w:rsidP="0060430B">
      <w:pPr>
        <w:rPr>
          <w:i/>
          <w:sz w:val="24"/>
          <w:szCs w:val="24"/>
        </w:rPr>
      </w:pPr>
    </w:p>
    <w:p w14:paraId="2C1BC3FB" w14:textId="7B5DF069" w:rsidR="0060430B" w:rsidRPr="00EB6D9C" w:rsidRDefault="0060430B" w:rsidP="0060430B">
      <w:pPr>
        <w:rPr>
          <w:sz w:val="24"/>
          <w:szCs w:val="24"/>
        </w:rPr>
      </w:pPr>
      <w:r w:rsidRPr="00EB6D9C">
        <w:rPr>
          <w:i/>
          <w:sz w:val="24"/>
          <w:szCs w:val="24"/>
        </w:rPr>
        <w:t xml:space="preserve">SEF/SC </w:t>
      </w:r>
      <w:r w:rsidR="00EB6D9C" w:rsidRPr="00EB6D9C">
        <w:rPr>
          <w:i/>
          <w:sz w:val="24"/>
          <w:szCs w:val="24"/>
        </w:rPr>
        <w:t xml:space="preserve">(2018) </w:t>
      </w:r>
      <w:r w:rsidRPr="00EB6D9C">
        <w:rPr>
          <w:i/>
          <w:sz w:val="24"/>
          <w:szCs w:val="24"/>
        </w:rPr>
        <w:t>- Secretaria de Estado da Fazenda de Santa Catarina.</w:t>
      </w:r>
      <w:r w:rsidRPr="00EB6D9C">
        <w:rPr>
          <w:sz w:val="24"/>
          <w:szCs w:val="24"/>
        </w:rPr>
        <w:t xml:space="preserve"> </w:t>
      </w:r>
      <w:r w:rsidRPr="00EB6D9C">
        <w:rPr>
          <w:bCs/>
          <w:sz w:val="24"/>
          <w:szCs w:val="24"/>
        </w:rPr>
        <w:t>Relatório da Gestão Fiscal</w:t>
      </w:r>
      <w:r w:rsidRPr="00EB6D9C">
        <w:rPr>
          <w:sz w:val="24"/>
          <w:szCs w:val="24"/>
        </w:rPr>
        <w:t>.</w:t>
      </w:r>
      <w:r w:rsidR="00D83336" w:rsidRPr="00EB6D9C">
        <w:rPr>
          <w:sz w:val="24"/>
          <w:szCs w:val="24"/>
        </w:rPr>
        <w:t>(2011 a 2017).</w:t>
      </w:r>
      <w:r w:rsidRPr="00EB6D9C">
        <w:rPr>
          <w:sz w:val="24"/>
          <w:szCs w:val="24"/>
        </w:rPr>
        <w:t xml:space="preserve"> Recuperado em 05 janeiro 2018, de http://www.transparencia.sc.gov.br/responsabilidadefiscal/subareainteresse/1.</w:t>
      </w:r>
    </w:p>
    <w:p w14:paraId="403A367F" w14:textId="77777777" w:rsidR="00226102" w:rsidRPr="00EB6D9C" w:rsidRDefault="00226102" w:rsidP="0060430B">
      <w:pPr>
        <w:rPr>
          <w:i/>
          <w:sz w:val="24"/>
          <w:szCs w:val="24"/>
        </w:rPr>
      </w:pPr>
    </w:p>
    <w:p w14:paraId="144981F7" w14:textId="7E80CEB7" w:rsidR="0060430B" w:rsidRPr="00730B38" w:rsidRDefault="0060430B" w:rsidP="0060430B">
      <w:pPr>
        <w:rPr>
          <w:sz w:val="24"/>
          <w:szCs w:val="24"/>
        </w:rPr>
      </w:pPr>
      <w:r w:rsidRPr="00EB6D9C">
        <w:rPr>
          <w:i/>
          <w:sz w:val="24"/>
          <w:szCs w:val="24"/>
        </w:rPr>
        <w:t xml:space="preserve">SEF/SC </w:t>
      </w:r>
      <w:r w:rsidR="00EB6D9C" w:rsidRPr="00EB6D9C">
        <w:rPr>
          <w:i/>
          <w:sz w:val="24"/>
          <w:szCs w:val="24"/>
        </w:rPr>
        <w:t xml:space="preserve">(2018) </w:t>
      </w:r>
      <w:r w:rsidRPr="00EB6D9C">
        <w:rPr>
          <w:i/>
          <w:sz w:val="24"/>
          <w:szCs w:val="24"/>
        </w:rPr>
        <w:t>- Secretaria de Estado da Fazenda de Santa Catarina.</w:t>
      </w:r>
      <w:r w:rsidRPr="00EB6D9C">
        <w:rPr>
          <w:sz w:val="24"/>
          <w:szCs w:val="24"/>
        </w:rPr>
        <w:t xml:space="preserve"> </w:t>
      </w:r>
      <w:r w:rsidRPr="00EB6D9C">
        <w:rPr>
          <w:bCs/>
          <w:sz w:val="24"/>
          <w:szCs w:val="24"/>
        </w:rPr>
        <w:t>Relatório Resumido da Execução Orçamentária</w:t>
      </w:r>
      <w:r w:rsidRPr="00EB6D9C">
        <w:rPr>
          <w:sz w:val="24"/>
          <w:szCs w:val="24"/>
        </w:rPr>
        <w:t>.</w:t>
      </w:r>
      <w:r w:rsidR="00D83336" w:rsidRPr="00EB6D9C">
        <w:rPr>
          <w:sz w:val="24"/>
          <w:szCs w:val="24"/>
        </w:rPr>
        <w:t xml:space="preserve"> (2011 a 2017).</w:t>
      </w:r>
      <w:r w:rsidRPr="00EB6D9C">
        <w:rPr>
          <w:sz w:val="24"/>
          <w:szCs w:val="24"/>
        </w:rPr>
        <w:t xml:space="preserve"> Recuperado em 05 janeiro 2018, de </w:t>
      </w:r>
      <w:hyperlink r:id="rId14" w:history="1">
        <w:r w:rsidR="00730B38" w:rsidRPr="00730B38">
          <w:rPr>
            <w:rStyle w:val="Hyperlink"/>
            <w:color w:val="auto"/>
            <w:sz w:val="24"/>
            <w:szCs w:val="24"/>
            <w:u w:val="none"/>
          </w:rPr>
          <w:t>http://www.transparencia.sc.gov.br/responsabilidadefiscal/subareainteresse/2</w:t>
        </w:r>
      </w:hyperlink>
      <w:r w:rsidRPr="00730B38">
        <w:rPr>
          <w:sz w:val="24"/>
          <w:szCs w:val="24"/>
        </w:rPr>
        <w:t>.</w:t>
      </w:r>
    </w:p>
    <w:p w14:paraId="73315666" w14:textId="1FF99C6F" w:rsidR="00730B38" w:rsidRDefault="00730B38" w:rsidP="0060430B">
      <w:pPr>
        <w:rPr>
          <w:sz w:val="24"/>
          <w:szCs w:val="24"/>
        </w:rPr>
      </w:pPr>
    </w:p>
    <w:p w14:paraId="45F31116" w14:textId="615E42EB" w:rsidR="00730B38" w:rsidRPr="00730B38" w:rsidRDefault="00730B38" w:rsidP="0060430B">
      <w:pPr>
        <w:rPr>
          <w:sz w:val="24"/>
          <w:szCs w:val="24"/>
        </w:rPr>
      </w:pPr>
      <w:r w:rsidRPr="00730B38">
        <w:rPr>
          <w:color w:val="222222"/>
          <w:sz w:val="24"/>
          <w:szCs w:val="24"/>
          <w:shd w:val="clear" w:color="auto" w:fill="FFFFFF"/>
        </w:rPr>
        <w:t>Silva, M. C. D. (2007). Uma abordagem dos reflexos contabéis decorrentes do cancelamento das despesas públicas dos restos a pagar da união (1999-2003). </w:t>
      </w:r>
      <w:r w:rsidRPr="00730B38">
        <w:rPr>
          <w:i/>
          <w:iCs/>
          <w:color w:val="222222"/>
          <w:sz w:val="24"/>
          <w:szCs w:val="24"/>
          <w:shd w:val="clear" w:color="auto" w:fill="FFFFFF"/>
        </w:rPr>
        <w:t>Revista Contabilidade &amp; Finanças-USP</w:t>
      </w:r>
      <w:r w:rsidRPr="00730B38">
        <w:rPr>
          <w:color w:val="222222"/>
          <w:sz w:val="24"/>
          <w:szCs w:val="24"/>
          <w:shd w:val="clear" w:color="auto" w:fill="FFFFFF"/>
        </w:rPr>
        <w:t>, </w:t>
      </w:r>
      <w:r w:rsidRPr="00730B38">
        <w:rPr>
          <w:i/>
          <w:iCs/>
          <w:color w:val="222222"/>
          <w:sz w:val="24"/>
          <w:szCs w:val="24"/>
          <w:shd w:val="clear" w:color="auto" w:fill="FFFFFF"/>
        </w:rPr>
        <w:t>18</w:t>
      </w:r>
      <w:r w:rsidRPr="00730B38">
        <w:rPr>
          <w:color w:val="222222"/>
          <w:sz w:val="24"/>
          <w:szCs w:val="24"/>
          <w:shd w:val="clear" w:color="auto" w:fill="FFFFFF"/>
        </w:rPr>
        <w:t>(43).</w:t>
      </w:r>
    </w:p>
    <w:p w14:paraId="630B9807" w14:textId="77777777" w:rsidR="00226102" w:rsidRPr="00EB6D9C" w:rsidRDefault="00226102" w:rsidP="0060430B">
      <w:pPr>
        <w:rPr>
          <w:i/>
          <w:sz w:val="24"/>
          <w:szCs w:val="24"/>
        </w:rPr>
      </w:pPr>
    </w:p>
    <w:p w14:paraId="15F377AD" w14:textId="5F0998F6" w:rsidR="008F7916" w:rsidRPr="002552F1" w:rsidRDefault="0060430B" w:rsidP="00227A0C">
      <w:pPr>
        <w:rPr>
          <w:sz w:val="24"/>
          <w:szCs w:val="24"/>
        </w:rPr>
      </w:pPr>
      <w:r w:rsidRPr="00EB6D9C">
        <w:rPr>
          <w:i/>
          <w:sz w:val="24"/>
          <w:szCs w:val="24"/>
        </w:rPr>
        <w:t xml:space="preserve">STN </w:t>
      </w:r>
      <w:r w:rsidR="00EB6D9C" w:rsidRPr="00EB6D9C">
        <w:rPr>
          <w:i/>
          <w:sz w:val="24"/>
          <w:szCs w:val="24"/>
        </w:rPr>
        <w:t xml:space="preserve">(2018) </w:t>
      </w:r>
      <w:r w:rsidRPr="00EB6D9C">
        <w:rPr>
          <w:i/>
          <w:sz w:val="24"/>
          <w:szCs w:val="24"/>
        </w:rPr>
        <w:t>– Secretaria do Tesouro Nacional.</w:t>
      </w:r>
      <w:r w:rsidRPr="00EB6D9C">
        <w:rPr>
          <w:b/>
          <w:sz w:val="24"/>
          <w:szCs w:val="24"/>
        </w:rPr>
        <w:t xml:space="preserve"> </w:t>
      </w:r>
      <w:r w:rsidRPr="00EB6D9C">
        <w:rPr>
          <w:sz w:val="24"/>
          <w:szCs w:val="24"/>
        </w:rPr>
        <w:t xml:space="preserve">Manual dos demonstrativos fiscais. </w:t>
      </w:r>
      <w:r w:rsidR="00833855">
        <w:rPr>
          <w:sz w:val="24"/>
          <w:szCs w:val="24"/>
        </w:rPr>
        <w:t>(</w:t>
      </w:r>
      <w:r w:rsidRPr="00EB6D9C">
        <w:rPr>
          <w:sz w:val="24"/>
          <w:szCs w:val="24"/>
        </w:rPr>
        <w:t>2017</w:t>
      </w:r>
      <w:r w:rsidR="00833855">
        <w:rPr>
          <w:sz w:val="24"/>
          <w:szCs w:val="24"/>
        </w:rPr>
        <w:t>)</w:t>
      </w:r>
      <w:r w:rsidRPr="00EB6D9C">
        <w:rPr>
          <w:sz w:val="24"/>
          <w:szCs w:val="24"/>
        </w:rPr>
        <w:t xml:space="preserve">. Recuperado em 01 março 2018, de </w:t>
      </w:r>
      <w:hyperlink r:id="rId15" w:history="1">
        <w:r w:rsidRPr="00EB6D9C">
          <w:rPr>
            <w:rStyle w:val="Hyperlink"/>
            <w:color w:val="auto"/>
            <w:sz w:val="24"/>
            <w:szCs w:val="24"/>
            <w:u w:val="none"/>
          </w:rPr>
          <w:t>http://tesouro.gov.br/documents/10180/542015/MDF_7_edicao_05_04 _17_versao_02_12_16.pdf/7a4bf97c-0db9-48c4-bb0e-41d9f6bedf55</w:t>
        </w:r>
      </w:hyperlink>
      <w:r w:rsidRPr="00EB6D9C">
        <w:rPr>
          <w:rStyle w:val="Hyperlink"/>
          <w:color w:val="auto"/>
          <w:sz w:val="24"/>
          <w:szCs w:val="24"/>
          <w:u w:val="none"/>
        </w:rPr>
        <w:t>.</w:t>
      </w:r>
    </w:p>
    <w:sectPr w:rsidR="008F7916" w:rsidRPr="002552F1" w:rsidSect="00C04F45">
      <w:headerReference w:type="default" r:id="rId16"/>
      <w:footerReference w:type="default" r:id="rId17"/>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C387B" w14:textId="77777777" w:rsidR="006862D4" w:rsidRDefault="006862D4" w:rsidP="008A5824">
      <w:r>
        <w:separator/>
      </w:r>
    </w:p>
  </w:endnote>
  <w:endnote w:type="continuationSeparator" w:id="0">
    <w:p w14:paraId="20EB4170" w14:textId="77777777" w:rsidR="006862D4" w:rsidRDefault="006862D4"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1343767"/>
      <w:docPartObj>
        <w:docPartGallery w:val="Page Numbers (Bottom of Page)"/>
        <w:docPartUnique/>
      </w:docPartObj>
    </w:sdtPr>
    <w:sdtEndPr/>
    <w:sdtContent>
      <w:p w14:paraId="52574C0C" w14:textId="77777777" w:rsidR="00DE180C" w:rsidRDefault="00DE180C">
        <w:pPr>
          <w:pStyle w:val="Rodap"/>
          <w:jc w:val="right"/>
          <w:rPr>
            <w:rFonts w:ascii="Times New Roman" w:hAnsi="Times New Roman" w:cs="Times New Roman"/>
          </w:rPr>
        </w:pPr>
      </w:p>
      <w:p w14:paraId="7A0D560D" w14:textId="71469971" w:rsidR="00DE180C" w:rsidRPr="00C04F45" w:rsidRDefault="00DE180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2CC82DBB" wp14:editId="168F394D">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3922FE">
          <w:rPr>
            <w:rFonts w:ascii="Times New Roman" w:hAnsi="Times New Roman" w:cs="Times New Roman"/>
            <w:noProof/>
          </w:rPr>
          <w:t>1</w:t>
        </w:r>
        <w:r w:rsidRPr="00C04F45">
          <w:rPr>
            <w:rFonts w:ascii="Times New Roman" w:hAnsi="Times New Roman" w:cs="Times New Roman"/>
          </w:rPr>
          <w:fldChar w:fldCharType="end"/>
        </w:r>
      </w:p>
    </w:sdtContent>
  </w:sdt>
  <w:p w14:paraId="6CAB2DED" w14:textId="77777777" w:rsidR="00DE180C" w:rsidRDefault="00DE180C">
    <w:pPr>
      <w:pStyle w:val="Rodap"/>
      <w:rPr>
        <w:rFonts w:ascii="Times New Roman" w:hAnsi="Times New Roman" w:cs="Times New Roman"/>
      </w:rPr>
    </w:pPr>
  </w:p>
  <w:p w14:paraId="7E0DCB04" w14:textId="77777777" w:rsidR="00DE180C" w:rsidRPr="00C04F45" w:rsidRDefault="00DE180C"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4F925" w14:textId="77777777" w:rsidR="006862D4" w:rsidRDefault="006862D4" w:rsidP="008A5824">
      <w:r>
        <w:separator/>
      </w:r>
    </w:p>
  </w:footnote>
  <w:footnote w:type="continuationSeparator" w:id="0">
    <w:p w14:paraId="05AEA667" w14:textId="77777777" w:rsidR="006862D4" w:rsidRDefault="006862D4" w:rsidP="008A58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501C8" w14:textId="77777777" w:rsidR="00DE180C" w:rsidRPr="00E361F4" w:rsidRDefault="00DE180C" w:rsidP="00E361F4">
    <w:pPr>
      <w:pStyle w:val="Cabealho"/>
    </w:pPr>
    <w:r>
      <w:rPr>
        <w:noProof/>
        <w:lang w:eastAsia="pt-BR"/>
      </w:rPr>
      <w:drawing>
        <wp:inline distT="0" distB="0" distL="0" distR="0" wp14:anchorId="6D5A8E76" wp14:editId="4618497D">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2079B"/>
    <w:multiLevelType w:val="hybridMultilevel"/>
    <w:tmpl w:val="C66EF0DA"/>
    <w:lvl w:ilvl="0" w:tplc="5C6883C6">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1956A2"/>
    <w:multiLevelType w:val="hybridMultilevel"/>
    <w:tmpl w:val="57D874BC"/>
    <w:lvl w:ilvl="0" w:tplc="2C2846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ECE79D4"/>
    <w:multiLevelType w:val="hybridMultilevel"/>
    <w:tmpl w:val="C2F48E38"/>
    <w:lvl w:ilvl="0" w:tplc="AFD2BA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327A66"/>
    <w:multiLevelType w:val="hybridMultilevel"/>
    <w:tmpl w:val="4E5A5C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1"/>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67126"/>
    <w:rsid w:val="000D3220"/>
    <w:rsid w:val="000D3625"/>
    <w:rsid w:val="0010250E"/>
    <w:rsid w:val="0016220D"/>
    <w:rsid w:val="00194BA9"/>
    <w:rsid w:val="001A4423"/>
    <w:rsid w:val="001C328B"/>
    <w:rsid w:val="001F1783"/>
    <w:rsid w:val="001F6A6D"/>
    <w:rsid w:val="00222A29"/>
    <w:rsid w:val="00226102"/>
    <w:rsid w:val="00227A0C"/>
    <w:rsid w:val="002552F1"/>
    <w:rsid w:val="002B0015"/>
    <w:rsid w:val="002B2B78"/>
    <w:rsid w:val="00333B0D"/>
    <w:rsid w:val="0036377D"/>
    <w:rsid w:val="0038579D"/>
    <w:rsid w:val="003922FE"/>
    <w:rsid w:val="003A0D41"/>
    <w:rsid w:val="004020EB"/>
    <w:rsid w:val="00416DF2"/>
    <w:rsid w:val="00473887"/>
    <w:rsid w:val="004752B9"/>
    <w:rsid w:val="00491708"/>
    <w:rsid w:val="004A450C"/>
    <w:rsid w:val="0060430B"/>
    <w:rsid w:val="006064A3"/>
    <w:rsid w:val="00631DCF"/>
    <w:rsid w:val="00634D01"/>
    <w:rsid w:val="006862D4"/>
    <w:rsid w:val="00686527"/>
    <w:rsid w:val="0072578D"/>
    <w:rsid w:val="00730B38"/>
    <w:rsid w:val="007479B5"/>
    <w:rsid w:val="00832D16"/>
    <w:rsid w:val="00833855"/>
    <w:rsid w:val="00852399"/>
    <w:rsid w:val="00860B20"/>
    <w:rsid w:val="008A5824"/>
    <w:rsid w:val="008D4F05"/>
    <w:rsid w:val="008F7916"/>
    <w:rsid w:val="00930B48"/>
    <w:rsid w:val="00974EA9"/>
    <w:rsid w:val="009833D5"/>
    <w:rsid w:val="00A161C2"/>
    <w:rsid w:val="00A44657"/>
    <w:rsid w:val="00A51EE2"/>
    <w:rsid w:val="00A51EE9"/>
    <w:rsid w:val="00A841A9"/>
    <w:rsid w:val="00A86ECF"/>
    <w:rsid w:val="00B32719"/>
    <w:rsid w:val="00B41CAF"/>
    <w:rsid w:val="00BC3216"/>
    <w:rsid w:val="00BD0F13"/>
    <w:rsid w:val="00C03B8E"/>
    <w:rsid w:val="00C04F45"/>
    <w:rsid w:val="00C244C7"/>
    <w:rsid w:val="00C30374"/>
    <w:rsid w:val="00C75F33"/>
    <w:rsid w:val="00CA2367"/>
    <w:rsid w:val="00CA25AA"/>
    <w:rsid w:val="00CE312E"/>
    <w:rsid w:val="00CE5296"/>
    <w:rsid w:val="00CF5FAF"/>
    <w:rsid w:val="00CF645C"/>
    <w:rsid w:val="00CF6514"/>
    <w:rsid w:val="00D56434"/>
    <w:rsid w:val="00D70C74"/>
    <w:rsid w:val="00D83336"/>
    <w:rsid w:val="00D91EAD"/>
    <w:rsid w:val="00D96C26"/>
    <w:rsid w:val="00DE0933"/>
    <w:rsid w:val="00DE180C"/>
    <w:rsid w:val="00E361F4"/>
    <w:rsid w:val="00E6136F"/>
    <w:rsid w:val="00E85612"/>
    <w:rsid w:val="00E86FF7"/>
    <w:rsid w:val="00EB6D9C"/>
    <w:rsid w:val="00ED7A83"/>
    <w:rsid w:val="00EF0942"/>
    <w:rsid w:val="00EF4D44"/>
    <w:rsid w:val="00FA3327"/>
    <w:rsid w:val="00FA55A1"/>
    <w:rsid w:val="00FD5F74"/>
    <w:rsid w:val="00FE1CF2"/>
    <w:rsid w:val="00FE469D"/>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935330"/>
  <w15:docId w15:val="{C6D80748-254D-4D7A-8454-0A1EFC70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styleId="Legenda">
    <w:name w:val="caption"/>
    <w:basedOn w:val="Normal"/>
    <w:next w:val="Normal"/>
    <w:uiPriority w:val="35"/>
    <w:unhideWhenUsed/>
    <w:qFormat/>
    <w:rsid w:val="0060430B"/>
    <w:pPr>
      <w:suppressAutoHyphens w:val="0"/>
      <w:spacing w:line="360" w:lineRule="auto"/>
      <w:ind w:firstLine="709"/>
      <w:jc w:val="both"/>
    </w:pPr>
    <w:rPr>
      <w:rFonts w:eastAsia="Calibri"/>
      <w:b/>
      <w:bCs/>
      <w:lang w:eastAsia="en-US"/>
    </w:rPr>
  </w:style>
  <w:style w:type="character" w:styleId="Forte">
    <w:name w:val="Strong"/>
    <w:basedOn w:val="Fontepargpadro"/>
    <w:uiPriority w:val="22"/>
    <w:qFormat/>
    <w:rsid w:val="0060430B"/>
    <w:rPr>
      <w:b/>
      <w:bCs/>
    </w:rPr>
  </w:style>
  <w:style w:type="character" w:styleId="Refdecomentrio">
    <w:name w:val="annotation reference"/>
    <w:basedOn w:val="Fontepargpadro"/>
    <w:uiPriority w:val="99"/>
    <w:semiHidden/>
    <w:unhideWhenUsed/>
    <w:rsid w:val="0060430B"/>
    <w:rPr>
      <w:sz w:val="16"/>
      <w:szCs w:val="16"/>
    </w:rPr>
  </w:style>
  <w:style w:type="paragraph" w:styleId="Textodecomentrio">
    <w:name w:val="annotation text"/>
    <w:basedOn w:val="Normal"/>
    <w:link w:val="TextodecomentrioChar"/>
    <w:uiPriority w:val="99"/>
    <w:semiHidden/>
    <w:unhideWhenUsed/>
    <w:rsid w:val="0060430B"/>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60430B"/>
    <w:rPr>
      <w:sz w:val="20"/>
      <w:szCs w:val="20"/>
    </w:rPr>
  </w:style>
  <w:style w:type="paragraph" w:styleId="SemEspaamento">
    <w:name w:val="No Spacing"/>
    <w:uiPriority w:val="1"/>
    <w:qFormat/>
    <w:rsid w:val="0060430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lanalto.gov.br/ccivil_03/constituicao/constituicaocompilado.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nadiogabriel@gmail.com"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tesouro.gov.br/documents/10180/542015/MDF_7_edicao_05_04%20_17_versao_02_12_16.pdf/7a4bf97c-0db9-48c4-bb0e-41d9f6bedf55"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transparencia.sc.gov.br/responsabilidadefiscal/subareainteresse/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Excel.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Restos a Pagar Inscritos</c:v>
                </c:pt>
              </c:strCache>
            </c:strRef>
          </c:tx>
          <c:spPr>
            <a:pattFill prst="pct50">
              <a:fgClr>
                <a:sysClr val="windowText" lastClr="000000"/>
              </a:fgClr>
              <a:bgClr>
                <a:schemeClr val="bg1"/>
              </a:bgClr>
            </a:pattFill>
            <a:ln>
              <a:solidFill>
                <a:schemeClr val="tx1"/>
              </a:solidFill>
            </a:ln>
            <a:effectLst/>
          </c:spPr>
          <c:invertIfNegative val="0"/>
          <c:cat>
            <c:numRef>
              <c:f>Planilha1!$A$2:$A$8</c:f>
              <c:numCache>
                <c:formatCode>General</c:formatCode>
                <c:ptCount val="7"/>
                <c:pt idx="0">
                  <c:v>2011</c:v>
                </c:pt>
                <c:pt idx="1">
                  <c:v>2012</c:v>
                </c:pt>
                <c:pt idx="2">
                  <c:v>2013</c:v>
                </c:pt>
                <c:pt idx="3">
                  <c:v>2014</c:v>
                </c:pt>
                <c:pt idx="4">
                  <c:v>2015</c:v>
                </c:pt>
                <c:pt idx="5">
                  <c:v>2016</c:v>
                </c:pt>
                <c:pt idx="6">
                  <c:v>2017</c:v>
                </c:pt>
              </c:numCache>
            </c:numRef>
          </c:cat>
          <c:val>
            <c:numRef>
              <c:f>Planilha1!$B$2:$B$8</c:f>
              <c:numCache>
                <c:formatCode>#,##0.00</c:formatCode>
                <c:ptCount val="7"/>
                <c:pt idx="0">
                  <c:v>428782872.5</c:v>
                </c:pt>
                <c:pt idx="1">
                  <c:v>393215453.13</c:v>
                </c:pt>
                <c:pt idx="2">
                  <c:v>675138975.78999996</c:v>
                </c:pt>
                <c:pt idx="3">
                  <c:v>494981392.64999998</c:v>
                </c:pt>
                <c:pt idx="4">
                  <c:v>647193697.58000004</c:v>
                </c:pt>
                <c:pt idx="5">
                  <c:v>699162107.05999994</c:v>
                </c:pt>
                <c:pt idx="6">
                  <c:v>1078450641.51</c:v>
                </c:pt>
              </c:numCache>
            </c:numRef>
          </c:val>
          <c:extLst>
            <c:ext xmlns:c16="http://schemas.microsoft.com/office/drawing/2014/chart" uri="{C3380CC4-5D6E-409C-BE32-E72D297353CC}">
              <c16:uniqueId val="{00000000-24C3-4571-A139-40504E3A6997}"/>
            </c:ext>
          </c:extLst>
        </c:ser>
        <c:dLbls>
          <c:showLegendKey val="0"/>
          <c:showVal val="0"/>
          <c:showCatName val="0"/>
          <c:showSerName val="0"/>
          <c:showPercent val="0"/>
          <c:showBubbleSize val="0"/>
        </c:dLbls>
        <c:gapWidth val="219"/>
        <c:overlap val="-27"/>
        <c:axId val="127267056"/>
        <c:axId val="127267616"/>
      </c:barChart>
      <c:catAx>
        <c:axId val="12726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27267616"/>
        <c:crosses val="autoZero"/>
        <c:auto val="1"/>
        <c:lblAlgn val="ctr"/>
        <c:lblOffset val="100"/>
        <c:noMultiLvlLbl val="0"/>
      </c:catAx>
      <c:valAx>
        <c:axId val="1272676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2726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Planilha1!$B$1</c:f>
              <c:strCache>
                <c:ptCount val="1"/>
                <c:pt idx="0">
                  <c:v>Não Processados Inscritos</c:v>
                </c:pt>
              </c:strCache>
            </c:strRef>
          </c:tx>
          <c:spPr>
            <a:pattFill prst="pct20">
              <a:fgClr>
                <a:sysClr val="windowText" lastClr="000000"/>
              </a:fgClr>
              <a:bgClr>
                <a:schemeClr val="bg1"/>
              </a:bgClr>
            </a:pattFill>
            <a:ln>
              <a:solidFill>
                <a:schemeClr val="tx1"/>
              </a:solidFill>
            </a:ln>
            <a:effectLst/>
          </c:spPr>
          <c:invertIfNegative val="0"/>
          <c:cat>
            <c:numRef>
              <c:f>Planilha1!$A$2:$A$8</c:f>
              <c:numCache>
                <c:formatCode>General</c:formatCode>
                <c:ptCount val="7"/>
                <c:pt idx="0">
                  <c:v>2011</c:v>
                </c:pt>
                <c:pt idx="1">
                  <c:v>2012</c:v>
                </c:pt>
                <c:pt idx="2">
                  <c:v>2013</c:v>
                </c:pt>
                <c:pt idx="3">
                  <c:v>2014</c:v>
                </c:pt>
                <c:pt idx="4">
                  <c:v>2015</c:v>
                </c:pt>
                <c:pt idx="5">
                  <c:v>2016</c:v>
                </c:pt>
                <c:pt idx="6">
                  <c:v>2017</c:v>
                </c:pt>
              </c:numCache>
            </c:numRef>
          </c:cat>
          <c:val>
            <c:numRef>
              <c:f>Planilha1!$B$2:$B$8</c:f>
              <c:numCache>
                <c:formatCode>"R$"\ #,##0.00</c:formatCode>
                <c:ptCount val="7"/>
                <c:pt idx="0">
                  <c:v>382413888.68000001</c:v>
                </c:pt>
                <c:pt idx="1">
                  <c:v>346177758.93000001</c:v>
                </c:pt>
                <c:pt idx="2">
                  <c:v>575717907.84000003</c:v>
                </c:pt>
                <c:pt idx="3">
                  <c:v>437748493.64999998</c:v>
                </c:pt>
                <c:pt idx="4">
                  <c:v>455426041.67000002</c:v>
                </c:pt>
                <c:pt idx="5">
                  <c:v>542078139.02999997</c:v>
                </c:pt>
                <c:pt idx="6">
                  <c:v>673893358.49000001</c:v>
                </c:pt>
              </c:numCache>
            </c:numRef>
          </c:val>
          <c:extLst>
            <c:ext xmlns:c16="http://schemas.microsoft.com/office/drawing/2014/chart" uri="{C3380CC4-5D6E-409C-BE32-E72D297353CC}">
              <c16:uniqueId val="{00000000-5F87-4FF9-8FA9-8BF731AE7537}"/>
            </c:ext>
          </c:extLst>
        </c:ser>
        <c:ser>
          <c:idx val="1"/>
          <c:order val="1"/>
          <c:tx>
            <c:strRef>
              <c:f>Planilha1!$C$1</c:f>
              <c:strCache>
                <c:ptCount val="1"/>
                <c:pt idx="0">
                  <c:v>Processados Inscritos</c:v>
                </c:pt>
              </c:strCache>
            </c:strRef>
          </c:tx>
          <c:spPr>
            <a:pattFill prst="pct40">
              <a:fgClr>
                <a:sysClr val="windowText" lastClr="000000"/>
              </a:fgClr>
              <a:bgClr>
                <a:schemeClr val="bg1"/>
              </a:bgClr>
            </a:pattFill>
            <a:ln>
              <a:solidFill>
                <a:schemeClr val="tx1"/>
              </a:solidFill>
            </a:ln>
            <a:effectLst/>
          </c:spPr>
          <c:invertIfNegative val="0"/>
          <c:cat>
            <c:numRef>
              <c:f>Planilha1!$A$2:$A$8</c:f>
              <c:numCache>
                <c:formatCode>General</c:formatCode>
                <c:ptCount val="7"/>
                <c:pt idx="0">
                  <c:v>2011</c:v>
                </c:pt>
                <c:pt idx="1">
                  <c:v>2012</c:v>
                </c:pt>
                <c:pt idx="2">
                  <c:v>2013</c:v>
                </c:pt>
                <c:pt idx="3">
                  <c:v>2014</c:v>
                </c:pt>
                <c:pt idx="4">
                  <c:v>2015</c:v>
                </c:pt>
                <c:pt idx="5">
                  <c:v>2016</c:v>
                </c:pt>
                <c:pt idx="6">
                  <c:v>2017</c:v>
                </c:pt>
              </c:numCache>
            </c:numRef>
          </c:cat>
          <c:val>
            <c:numRef>
              <c:f>Planilha1!$C$2:$C$8</c:f>
              <c:numCache>
                <c:formatCode>"R$"\ #,##0.00</c:formatCode>
                <c:ptCount val="7"/>
                <c:pt idx="0">
                  <c:v>46368983.82</c:v>
                </c:pt>
                <c:pt idx="1">
                  <c:v>47037694.200000003</c:v>
                </c:pt>
                <c:pt idx="2">
                  <c:v>99421067.950000003</c:v>
                </c:pt>
                <c:pt idx="3">
                  <c:v>57232899</c:v>
                </c:pt>
                <c:pt idx="4">
                  <c:v>191767637.91</c:v>
                </c:pt>
                <c:pt idx="5">
                  <c:v>157083968.03</c:v>
                </c:pt>
                <c:pt idx="6">
                  <c:v>404557283.01999998</c:v>
                </c:pt>
              </c:numCache>
            </c:numRef>
          </c:val>
          <c:extLst>
            <c:ext xmlns:c16="http://schemas.microsoft.com/office/drawing/2014/chart" uri="{C3380CC4-5D6E-409C-BE32-E72D297353CC}">
              <c16:uniqueId val="{00000001-5F87-4FF9-8FA9-8BF731AE7537}"/>
            </c:ext>
          </c:extLst>
        </c:ser>
        <c:dLbls>
          <c:showLegendKey val="0"/>
          <c:showVal val="0"/>
          <c:showCatName val="0"/>
          <c:showSerName val="0"/>
          <c:showPercent val="0"/>
          <c:showBubbleSize val="0"/>
        </c:dLbls>
        <c:gapWidth val="150"/>
        <c:overlap val="100"/>
        <c:axId val="307371808"/>
        <c:axId val="307372368"/>
      </c:barChart>
      <c:catAx>
        <c:axId val="30737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307372368"/>
        <c:crosses val="autoZero"/>
        <c:auto val="1"/>
        <c:lblAlgn val="ctr"/>
        <c:lblOffset val="100"/>
        <c:noMultiLvlLbl val="0"/>
      </c:catAx>
      <c:valAx>
        <c:axId val="307372368"/>
        <c:scaling>
          <c:orientation val="minMax"/>
        </c:scaling>
        <c:delete val="0"/>
        <c:axPos val="l"/>
        <c:majorGridlines>
          <c:spPr>
            <a:ln w="9525" cap="flat" cmpd="sng" algn="ctr">
              <a:solidFill>
                <a:schemeClr val="tx1">
                  <a:lumMod val="15000"/>
                  <a:lumOff val="85000"/>
                </a:schemeClr>
              </a:solidFill>
              <a:round/>
            </a:ln>
            <a:effectLst/>
          </c:spPr>
        </c:majorGridlines>
        <c:numFmt formatCode="&quot;R$&quot;\ #,##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30737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17</Pages>
  <Words>7535</Words>
  <Characters>40694</Characters>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Printed>2018-05-06T19:58:00Z</cp:lastPrinted>
  <dcterms:created xsi:type="dcterms:W3CDTF">2018-05-01T18:30:00Z</dcterms:created>
  <dcterms:modified xsi:type="dcterms:W3CDTF">2018-05-08T00:00:00Z</dcterms:modified>
</cp:coreProperties>
</file>