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1756E" w14:textId="77777777" w:rsidR="0036377D" w:rsidRDefault="0036377D" w:rsidP="0036377D">
      <w:pPr>
        <w:jc w:val="center"/>
        <w:rPr>
          <w:b/>
          <w:sz w:val="24"/>
        </w:rPr>
      </w:pPr>
    </w:p>
    <w:p w14:paraId="5EB78D36" w14:textId="136D97A7" w:rsidR="00C22DE5" w:rsidRPr="00C22DE5" w:rsidRDefault="00D81865" w:rsidP="00C22DE5">
      <w:pPr>
        <w:suppressAutoHyphens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Pr="00C22DE5">
        <w:rPr>
          <w:b/>
          <w:sz w:val="24"/>
          <w:szCs w:val="24"/>
        </w:rPr>
        <w:t xml:space="preserve">epresentatividade dos </w:t>
      </w:r>
      <w:r>
        <w:rPr>
          <w:b/>
          <w:sz w:val="24"/>
          <w:szCs w:val="24"/>
        </w:rPr>
        <w:t>I</w:t>
      </w:r>
      <w:r w:rsidRPr="00C22DE5">
        <w:rPr>
          <w:b/>
          <w:sz w:val="24"/>
          <w:szCs w:val="24"/>
        </w:rPr>
        <w:t xml:space="preserve">ncentivos </w:t>
      </w:r>
      <w:r>
        <w:rPr>
          <w:b/>
          <w:sz w:val="24"/>
          <w:szCs w:val="24"/>
        </w:rPr>
        <w:t>F</w:t>
      </w:r>
      <w:r w:rsidRPr="00C22DE5">
        <w:rPr>
          <w:b/>
          <w:sz w:val="24"/>
          <w:szCs w:val="24"/>
        </w:rPr>
        <w:t xml:space="preserve">iscais da </w:t>
      </w:r>
      <w:r>
        <w:rPr>
          <w:b/>
          <w:sz w:val="24"/>
          <w:szCs w:val="24"/>
        </w:rPr>
        <w:t>L</w:t>
      </w:r>
      <w:r w:rsidRPr="00C22DE5">
        <w:rPr>
          <w:b/>
          <w:sz w:val="24"/>
          <w:szCs w:val="24"/>
        </w:rPr>
        <w:t xml:space="preserve">ei de </w:t>
      </w:r>
      <w:r>
        <w:rPr>
          <w:b/>
          <w:sz w:val="24"/>
          <w:szCs w:val="24"/>
        </w:rPr>
        <w:t>I</w:t>
      </w:r>
      <w:r w:rsidRPr="00C22DE5">
        <w:rPr>
          <w:b/>
          <w:sz w:val="24"/>
          <w:szCs w:val="24"/>
        </w:rPr>
        <w:t xml:space="preserve">nformática no </w:t>
      </w:r>
      <w:r>
        <w:rPr>
          <w:b/>
          <w:sz w:val="24"/>
          <w:szCs w:val="24"/>
        </w:rPr>
        <w:t>R</w:t>
      </w:r>
      <w:r w:rsidRPr="00C22DE5">
        <w:rPr>
          <w:b/>
          <w:sz w:val="24"/>
          <w:szCs w:val="24"/>
        </w:rPr>
        <w:t xml:space="preserve">esultado </w:t>
      </w:r>
      <w:r>
        <w:rPr>
          <w:b/>
          <w:sz w:val="24"/>
          <w:szCs w:val="24"/>
        </w:rPr>
        <w:t>E</w:t>
      </w:r>
      <w:r w:rsidRPr="00C22DE5">
        <w:rPr>
          <w:b/>
          <w:sz w:val="24"/>
          <w:szCs w:val="24"/>
        </w:rPr>
        <w:t>conômico d</w:t>
      </w:r>
      <w:r>
        <w:rPr>
          <w:b/>
          <w:sz w:val="24"/>
          <w:szCs w:val="24"/>
        </w:rPr>
        <w:t>e</w:t>
      </w:r>
      <w:r w:rsidRPr="00C22DE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 w:rsidRPr="00C22DE5">
        <w:rPr>
          <w:b/>
          <w:sz w:val="24"/>
          <w:szCs w:val="24"/>
        </w:rPr>
        <w:t xml:space="preserve">ndústrias </w:t>
      </w:r>
      <w:r>
        <w:rPr>
          <w:b/>
          <w:sz w:val="24"/>
          <w:szCs w:val="24"/>
        </w:rPr>
        <w:t>C</w:t>
      </w:r>
      <w:r w:rsidRPr="00C22DE5">
        <w:rPr>
          <w:b/>
          <w:sz w:val="24"/>
          <w:szCs w:val="24"/>
        </w:rPr>
        <w:t>atarinenses</w:t>
      </w:r>
    </w:p>
    <w:p w14:paraId="6BD0B25B" w14:textId="77777777" w:rsidR="005826A6" w:rsidRDefault="005826A6" w:rsidP="005826A6">
      <w:pPr>
        <w:suppressAutoHyphens w:val="0"/>
        <w:rPr>
          <w:sz w:val="24"/>
          <w:szCs w:val="24"/>
        </w:rPr>
      </w:pPr>
    </w:p>
    <w:p w14:paraId="4B633461" w14:textId="504B177B" w:rsidR="005826A6" w:rsidRDefault="005826A6" w:rsidP="00C92A35">
      <w:pPr>
        <w:suppressAutoHyphens w:val="0"/>
        <w:jc w:val="right"/>
        <w:rPr>
          <w:sz w:val="24"/>
          <w:szCs w:val="24"/>
        </w:rPr>
      </w:pPr>
      <w:r>
        <w:rPr>
          <w:sz w:val="24"/>
          <w:szCs w:val="24"/>
        </w:rPr>
        <w:t>Ian Mota Pereira</w:t>
      </w:r>
    </w:p>
    <w:p w14:paraId="37DD3D6A" w14:textId="6406BAF1" w:rsidR="005826A6" w:rsidRDefault="005826A6" w:rsidP="00C92A35">
      <w:pPr>
        <w:suppressAutoHyphens w:val="0"/>
        <w:jc w:val="right"/>
        <w:rPr>
          <w:sz w:val="24"/>
          <w:szCs w:val="24"/>
        </w:rPr>
      </w:pPr>
      <w:r>
        <w:rPr>
          <w:sz w:val="24"/>
          <w:szCs w:val="24"/>
        </w:rPr>
        <w:t>Universidade do Sul de Santa Catarina - UNISUL</w:t>
      </w:r>
    </w:p>
    <w:p w14:paraId="290ED4D6" w14:textId="77777777" w:rsidR="005826A6" w:rsidRDefault="005826A6" w:rsidP="00C92A35">
      <w:pPr>
        <w:suppressAutoHyphens w:val="0"/>
        <w:jc w:val="right"/>
        <w:rPr>
          <w:sz w:val="24"/>
          <w:szCs w:val="24"/>
        </w:rPr>
      </w:pPr>
      <w:r>
        <w:rPr>
          <w:sz w:val="24"/>
          <w:szCs w:val="24"/>
        </w:rPr>
        <w:t>E-mail: ianmota078@gmail.com</w:t>
      </w:r>
    </w:p>
    <w:p w14:paraId="7D79BB96" w14:textId="77777777" w:rsidR="005826A6" w:rsidRDefault="005826A6" w:rsidP="00C92A35">
      <w:pPr>
        <w:suppressAutoHyphens w:val="0"/>
        <w:jc w:val="right"/>
        <w:rPr>
          <w:sz w:val="24"/>
          <w:szCs w:val="24"/>
        </w:rPr>
      </w:pPr>
    </w:p>
    <w:p w14:paraId="421E6546" w14:textId="77777777" w:rsidR="005826A6" w:rsidRDefault="005826A6" w:rsidP="00C92A35">
      <w:pPr>
        <w:suppressAutoHyphens w:val="0"/>
        <w:jc w:val="right"/>
        <w:rPr>
          <w:sz w:val="24"/>
          <w:szCs w:val="24"/>
        </w:rPr>
      </w:pPr>
      <w:r>
        <w:rPr>
          <w:sz w:val="24"/>
          <w:szCs w:val="24"/>
        </w:rPr>
        <w:t>Dalci Mendes Almeida</w:t>
      </w:r>
    </w:p>
    <w:p w14:paraId="50C1CF78" w14:textId="0BBF1A7B" w:rsidR="006346D4" w:rsidRDefault="006346D4" w:rsidP="006346D4">
      <w:pPr>
        <w:suppressAutoHyphens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Universidade do Sul de Santa Catarina </w:t>
      </w:r>
      <w:r w:rsidR="00F555B9">
        <w:rPr>
          <w:sz w:val="24"/>
          <w:szCs w:val="24"/>
        </w:rPr>
        <w:t>–</w:t>
      </w:r>
      <w:r>
        <w:rPr>
          <w:sz w:val="24"/>
          <w:szCs w:val="24"/>
        </w:rPr>
        <w:t xml:space="preserve"> UNISUL</w:t>
      </w:r>
    </w:p>
    <w:p w14:paraId="6F523624" w14:textId="45BE2689" w:rsidR="00F555B9" w:rsidRDefault="00F555B9" w:rsidP="006346D4">
      <w:pPr>
        <w:suppressAutoHyphens w:val="0"/>
        <w:jc w:val="right"/>
        <w:rPr>
          <w:sz w:val="24"/>
          <w:szCs w:val="24"/>
        </w:rPr>
      </w:pPr>
      <w:r>
        <w:rPr>
          <w:sz w:val="24"/>
          <w:szCs w:val="24"/>
        </w:rPr>
        <w:t>Universidade Federal de Santa Catarina –</w:t>
      </w:r>
      <w:bookmarkStart w:id="0" w:name="_GoBack"/>
      <w:bookmarkEnd w:id="0"/>
      <w:r>
        <w:rPr>
          <w:sz w:val="24"/>
          <w:szCs w:val="24"/>
        </w:rPr>
        <w:t xml:space="preserve"> UFSC</w:t>
      </w:r>
    </w:p>
    <w:p w14:paraId="3A5DB184" w14:textId="77777777" w:rsidR="005826A6" w:rsidRDefault="005826A6" w:rsidP="00C92A35">
      <w:pPr>
        <w:suppressAutoHyphens w:val="0"/>
        <w:jc w:val="right"/>
        <w:rPr>
          <w:sz w:val="24"/>
          <w:szCs w:val="24"/>
        </w:rPr>
      </w:pPr>
      <w:r>
        <w:rPr>
          <w:sz w:val="24"/>
          <w:szCs w:val="24"/>
        </w:rPr>
        <w:t>E-mail: dalci.almeida@unisul.br</w:t>
      </w:r>
    </w:p>
    <w:p w14:paraId="3437808B" w14:textId="77777777" w:rsidR="005826A6" w:rsidRDefault="005826A6" w:rsidP="00C22DE5">
      <w:pPr>
        <w:suppressAutoHyphens w:val="0"/>
        <w:jc w:val="both"/>
        <w:rPr>
          <w:b/>
          <w:sz w:val="24"/>
          <w:szCs w:val="24"/>
        </w:rPr>
      </w:pPr>
    </w:p>
    <w:p w14:paraId="652E32F2" w14:textId="5BD2774C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 w:rsidRPr="00C22DE5">
        <w:rPr>
          <w:sz w:val="24"/>
          <w:szCs w:val="24"/>
        </w:rPr>
        <w:t>O complexo eletrônico é um setor que está em constante desenvolvimento e crescimento no país. O governo, busca por meio de políticas governamentais estimular o crescimento do complexo eletrônico do Brasil, criando uma série de incentivos às empresas</w:t>
      </w:r>
      <w:r w:rsidR="00F84CDE">
        <w:rPr>
          <w:sz w:val="24"/>
          <w:szCs w:val="24"/>
        </w:rPr>
        <w:t xml:space="preserve"> do setor de tecnologia, que </w:t>
      </w:r>
      <w:r w:rsidRPr="00C22DE5">
        <w:rPr>
          <w:sz w:val="24"/>
          <w:szCs w:val="24"/>
        </w:rPr>
        <w:t>invest</w:t>
      </w:r>
      <w:r w:rsidR="00EA4BAA">
        <w:rPr>
          <w:sz w:val="24"/>
          <w:szCs w:val="24"/>
        </w:rPr>
        <w:t>em</w:t>
      </w:r>
      <w:r w:rsidRPr="00C22DE5">
        <w:rPr>
          <w:sz w:val="24"/>
          <w:szCs w:val="24"/>
        </w:rPr>
        <w:t xml:space="preserve"> </w:t>
      </w:r>
      <w:r w:rsidR="004C41EA">
        <w:rPr>
          <w:sz w:val="24"/>
          <w:szCs w:val="24"/>
        </w:rPr>
        <w:t xml:space="preserve">em </w:t>
      </w:r>
      <w:r w:rsidR="003B07FC" w:rsidRPr="00C22DE5">
        <w:rPr>
          <w:sz w:val="24"/>
          <w:szCs w:val="24"/>
        </w:rPr>
        <w:t>pesquisa e desenvolvimento</w:t>
      </w:r>
      <w:r w:rsidRPr="00C22DE5">
        <w:rPr>
          <w:sz w:val="24"/>
          <w:szCs w:val="24"/>
        </w:rPr>
        <w:t>, como a Lei d</w:t>
      </w:r>
      <w:r w:rsidR="003B07FC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Informática. </w:t>
      </w:r>
      <w:r w:rsidR="00F84CDE">
        <w:rPr>
          <w:sz w:val="24"/>
          <w:szCs w:val="24"/>
        </w:rPr>
        <w:t>Desse modo</w:t>
      </w:r>
      <w:r w:rsidRPr="00C22DE5">
        <w:rPr>
          <w:sz w:val="24"/>
          <w:szCs w:val="24"/>
        </w:rPr>
        <w:t xml:space="preserve">, </w:t>
      </w:r>
      <w:r w:rsidR="00EA4BAA">
        <w:rPr>
          <w:sz w:val="24"/>
          <w:szCs w:val="24"/>
        </w:rPr>
        <w:t xml:space="preserve">o </w:t>
      </w:r>
      <w:r w:rsidRPr="00C22DE5">
        <w:rPr>
          <w:sz w:val="24"/>
          <w:szCs w:val="24"/>
        </w:rPr>
        <w:t xml:space="preserve">objetivo da pesquisa consiste em verificar a representatividade dos incentivos fiscais da </w:t>
      </w:r>
      <w:r w:rsidR="00EA4BAA">
        <w:rPr>
          <w:sz w:val="24"/>
          <w:szCs w:val="24"/>
        </w:rPr>
        <w:t>L</w:t>
      </w:r>
      <w:r w:rsidRPr="00C22DE5">
        <w:rPr>
          <w:sz w:val="24"/>
          <w:szCs w:val="24"/>
        </w:rPr>
        <w:t>ei d</w:t>
      </w:r>
      <w:r w:rsidR="00EA4BAA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</w:t>
      </w:r>
      <w:r w:rsidR="00EA4BAA">
        <w:rPr>
          <w:sz w:val="24"/>
          <w:szCs w:val="24"/>
        </w:rPr>
        <w:t>I</w:t>
      </w:r>
      <w:r w:rsidRPr="00C22DE5">
        <w:rPr>
          <w:sz w:val="24"/>
          <w:szCs w:val="24"/>
        </w:rPr>
        <w:t>nformática no resultado econômico de empresas catarinenses. A pesquisa é classificada como descritiva, de levantamento e quantitativa. A população foi formada por 64 empresas</w:t>
      </w:r>
      <w:r w:rsidR="00F84CDE">
        <w:rPr>
          <w:sz w:val="24"/>
          <w:szCs w:val="24"/>
        </w:rPr>
        <w:t>,</w:t>
      </w:r>
      <w:r w:rsidRPr="00C22DE5">
        <w:rPr>
          <w:sz w:val="24"/>
          <w:szCs w:val="24"/>
        </w:rPr>
        <w:t xml:space="preserve"> que utilizam dos incentivos fiscais da Lei de Informática</w:t>
      </w:r>
      <w:r w:rsidR="00F84CDE">
        <w:rPr>
          <w:sz w:val="24"/>
          <w:szCs w:val="24"/>
        </w:rPr>
        <w:t>,</w:t>
      </w:r>
      <w:r w:rsidRPr="00C22DE5">
        <w:rPr>
          <w:sz w:val="24"/>
          <w:szCs w:val="24"/>
        </w:rPr>
        <w:t xml:space="preserve"> cadastradas no Ministério da Ciência, Tecnologia, Inovações e Comunicações em 2014, sendo a amostra </w:t>
      </w:r>
      <w:r w:rsidR="00EA4BAA">
        <w:rPr>
          <w:sz w:val="24"/>
          <w:szCs w:val="24"/>
        </w:rPr>
        <w:t>representada por</w:t>
      </w:r>
      <w:r w:rsidRPr="00C22DE5">
        <w:rPr>
          <w:sz w:val="24"/>
          <w:szCs w:val="24"/>
        </w:rPr>
        <w:t xml:space="preserve"> 18 empresas. Os dados foram analisados por meio da estatística descritiva. Os achados da pesquisa apontaram que, a renúncia dos impostos representou valores consideráveis no resultado econômico das empresas, em que 44,44% afirmaram que a renúncia proveniente dos incentivos fiscais, representam mais de 2% sobre o resultado econômico</w:t>
      </w:r>
      <w:r w:rsidR="00EA4BAA">
        <w:rPr>
          <w:sz w:val="24"/>
          <w:szCs w:val="24"/>
        </w:rPr>
        <w:t xml:space="preserve"> (lucro)</w:t>
      </w:r>
      <w:r w:rsidRPr="00C22DE5">
        <w:rPr>
          <w:sz w:val="24"/>
          <w:szCs w:val="24"/>
        </w:rPr>
        <w:t xml:space="preserve">. </w:t>
      </w:r>
    </w:p>
    <w:p w14:paraId="38656906" w14:textId="1DD77FEB" w:rsidR="00C22DE5" w:rsidRDefault="00C22DE5" w:rsidP="00C22DE5">
      <w:pPr>
        <w:suppressAutoHyphens w:val="0"/>
        <w:jc w:val="both"/>
        <w:rPr>
          <w:sz w:val="24"/>
          <w:szCs w:val="24"/>
        </w:rPr>
      </w:pPr>
    </w:p>
    <w:p w14:paraId="6F532A78" w14:textId="5856EC92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b/>
          <w:sz w:val="24"/>
          <w:szCs w:val="24"/>
        </w:rPr>
        <w:t>Palavras-chave:</w:t>
      </w:r>
      <w:r>
        <w:rPr>
          <w:b/>
          <w:sz w:val="24"/>
          <w:szCs w:val="24"/>
        </w:rPr>
        <w:t xml:space="preserve"> </w:t>
      </w:r>
      <w:r w:rsidRPr="00C22DE5">
        <w:rPr>
          <w:sz w:val="24"/>
          <w:szCs w:val="24"/>
        </w:rPr>
        <w:t>Incentivos Fiscais; Lei de Informática; Resultado Econômico.</w:t>
      </w:r>
    </w:p>
    <w:p w14:paraId="6C7E9AE8" w14:textId="77777777" w:rsidR="00C22DE5" w:rsidRPr="00C22DE5" w:rsidRDefault="00C22DE5" w:rsidP="00C22DE5">
      <w:pPr>
        <w:rPr>
          <w:sz w:val="24"/>
          <w:szCs w:val="24"/>
        </w:rPr>
      </w:pPr>
    </w:p>
    <w:p w14:paraId="28AD4EF5" w14:textId="149F969D" w:rsidR="00C22DE5" w:rsidRPr="0036377D" w:rsidRDefault="00C22DE5" w:rsidP="00C22DE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Linha Temática: </w:t>
      </w:r>
      <w:r w:rsidR="00EA4BAA" w:rsidRPr="00EA4BAA">
        <w:rPr>
          <w:sz w:val="24"/>
          <w:szCs w:val="24"/>
        </w:rPr>
        <w:t>Outros temas relevantes em contabilidade</w:t>
      </w:r>
      <w:r w:rsidR="00EA4BAA">
        <w:rPr>
          <w:sz w:val="24"/>
          <w:szCs w:val="24"/>
        </w:rPr>
        <w:t>.</w:t>
      </w:r>
    </w:p>
    <w:p w14:paraId="169D002E" w14:textId="77777777" w:rsidR="000E04F4" w:rsidRDefault="000E04F4" w:rsidP="00C22DE5">
      <w:pPr>
        <w:suppressAutoHyphens w:val="0"/>
        <w:jc w:val="both"/>
        <w:rPr>
          <w:b/>
          <w:sz w:val="24"/>
          <w:szCs w:val="24"/>
        </w:rPr>
      </w:pPr>
    </w:p>
    <w:p w14:paraId="257ACF5E" w14:textId="649501B4" w:rsidR="00C22DE5" w:rsidRPr="00C22DE5" w:rsidRDefault="00C22DE5" w:rsidP="00C22DE5">
      <w:pPr>
        <w:suppressAutoHyphens w:val="0"/>
        <w:jc w:val="both"/>
        <w:rPr>
          <w:b/>
          <w:sz w:val="24"/>
          <w:szCs w:val="24"/>
        </w:rPr>
      </w:pPr>
      <w:r w:rsidRPr="00C22DE5">
        <w:rPr>
          <w:b/>
          <w:sz w:val="24"/>
          <w:szCs w:val="24"/>
        </w:rPr>
        <w:t>1 I</w:t>
      </w:r>
      <w:r w:rsidR="000E04F4">
        <w:rPr>
          <w:b/>
          <w:sz w:val="24"/>
          <w:szCs w:val="24"/>
        </w:rPr>
        <w:t>ntrodução</w:t>
      </w:r>
    </w:p>
    <w:p w14:paraId="2A8BA956" w14:textId="77777777" w:rsidR="00B66949" w:rsidRPr="00B66949" w:rsidRDefault="00B66949" w:rsidP="00B66949">
      <w:pPr>
        <w:suppressAutoHyphens w:val="0"/>
        <w:ind w:firstLine="708"/>
        <w:jc w:val="both"/>
        <w:rPr>
          <w:sz w:val="24"/>
          <w:szCs w:val="24"/>
        </w:rPr>
      </w:pPr>
      <w:r w:rsidRPr="00B66949">
        <w:rPr>
          <w:sz w:val="24"/>
          <w:szCs w:val="24"/>
        </w:rPr>
        <w:t>No atual contexto socioeconômico, predominam as rápidas e radicais mudanças no mercado, proporcionadas pela abertura de novos mercados e pelos avanços tecnológicos. Diante desse contexto, as empresas buscam alternativas para se adaptarem a essas novas exigências que surgem. Uma das principais alternativas encontradas pelos empresários para que não fiquem para trás nesse aspecto, é o aumento de investimentos em pesquisas e desenvolvimentos nas áreas de tecnologia.</w:t>
      </w:r>
    </w:p>
    <w:p w14:paraId="4AEC1CD6" w14:textId="77777777" w:rsidR="00B66949" w:rsidRPr="00B66949" w:rsidRDefault="00B66949" w:rsidP="00B66949">
      <w:pPr>
        <w:suppressAutoHyphens w:val="0"/>
        <w:ind w:firstLine="708"/>
        <w:jc w:val="both"/>
        <w:rPr>
          <w:sz w:val="24"/>
          <w:szCs w:val="24"/>
        </w:rPr>
      </w:pPr>
      <w:r w:rsidRPr="00B66949">
        <w:rPr>
          <w:sz w:val="24"/>
          <w:szCs w:val="24"/>
        </w:rPr>
        <w:t>O grande problema é que essas práticas acabam algumas vezes se tornando muito onerosas para as empresas, o que faz o empresário desistir de investir parte de seu capital de giro em P&amp;D. Nessa perspectiva, a prática do planejamento tributário vem ganhando cada vez mais espaço dentro das organizações, já que o governo concede vários benefícios fiscais para as empresas que investem em P&amp;D.</w:t>
      </w:r>
    </w:p>
    <w:p w14:paraId="5F1B1A5A" w14:textId="77777777" w:rsidR="00B66949" w:rsidRPr="00B66949" w:rsidRDefault="00B66949" w:rsidP="00B66949">
      <w:pPr>
        <w:suppressAutoHyphens w:val="0"/>
        <w:ind w:firstLine="708"/>
        <w:jc w:val="both"/>
        <w:rPr>
          <w:sz w:val="24"/>
          <w:szCs w:val="24"/>
        </w:rPr>
      </w:pPr>
      <w:r w:rsidRPr="00B66949">
        <w:rPr>
          <w:sz w:val="24"/>
          <w:szCs w:val="24"/>
        </w:rPr>
        <w:t xml:space="preserve">Silva </w:t>
      </w:r>
      <w:r w:rsidRPr="00B66949">
        <w:rPr>
          <w:i/>
          <w:sz w:val="24"/>
          <w:szCs w:val="24"/>
        </w:rPr>
        <w:t>et. al</w:t>
      </w:r>
      <w:r w:rsidRPr="00B66949">
        <w:rPr>
          <w:sz w:val="24"/>
          <w:szCs w:val="24"/>
        </w:rPr>
        <w:t xml:space="preserve"> (2004), definem o planejamento tributário como a prática legal de atitudes que resultam na economia dos tributos na empresa, seja por meio de exclusão, redução ou até mesmo pela postergação do ônus tributário. Ribeiro e Mário (2008) destacam como a finalidade do planejamento tributário, a busca pela redução dos custos tributários da empresa. </w:t>
      </w:r>
    </w:p>
    <w:p w14:paraId="41F7B103" w14:textId="77777777" w:rsidR="00B66949" w:rsidRDefault="00B66949" w:rsidP="00B66949">
      <w:pPr>
        <w:suppressAutoHyphens w:val="0"/>
        <w:ind w:firstLine="708"/>
        <w:jc w:val="both"/>
        <w:rPr>
          <w:sz w:val="24"/>
          <w:szCs w:val="24"/>
        </w:rPr>
      </w:pPr>
      <w:r w:rsidRPr="00B66949">
        <w:rPr>
          <w:sz w:val="24"/>
          <w:szCs w:val="24"/>
        </w:rPr>
        <w:t xml:space="preserve">Uma das alternativas legais que as empresas muitas vezes encontram na busca da redução do montante de tributos arrecadados em um determinado período, é a utilização de incentivos fiscais. Para Barbieri (1984, p. 51), “entende-se por incentivo fiscal o alívio total, </w:t>
      </w:r>
      <w:r w:rsidRPr="00B66949">
        <w:rPr>
          <w:sz w:val="24"/>
          <w:szCs w:val="24"/>
        </w:rPr>
        <w:lastRenderedPageBreak/>
        <w:t>parcial ou provisório concedido pelo governo aos particulares com o objetivo de provocar algum comportamento previamente desejado”.</w:t>
      </w:r>
      <w:r w:rsidR="00C22DE5" w:rsidRPr="00C22DE5">
        <w:rPr>
          <w:sz w:val="24"/>
          <w:szCs w:val="24"/>
        </w:rPr>
        <w:t xml:space="preserve"> </w:t>
      </w:r>
    </w:p>
    <w:p w14:paraId="2259F2FD" w14:textId="73DB5FD0" w:rsidR="00C22DE5" w:rsidRPr="00C22DE5" w:rsidRDefault="00C22DE5" w:rsidP="00B66949">
      <w:pPr>
        <w:suppressAutoHyphens w:val="0"/>
        <w:ind w:firstLine="708"/>
        <w:jc w:val="both"/>
        <w:rPr>
          <w:sz w:val="24"/>
          <w:szCs w:val="24"/>
        </w:rPr>
      </w:pPr>
      <w:r w:rsidRPr="00C22DE5">
        <w:rPr>
          <w:sz w:val="24"/>
          <w:szCs w:val="24"/>
        </w:rPr>
        <w:t xml:space="preserve">Assunção (2011) destaca que vários incentivos fiscais já foram criados no decorrer da história, </w:t>
      </w:r>
      <w:r w:rsidR="0042557C">
        <w:rPr>
          <w:sz w:val="24"/>
          <w:szCs w:val="24"/>
        </w:rPr>
        <w:t xml:space="preserve">em que </w:t>
      </w:r>
      <w:r w:rsidRPr="00C22DE5">
        <w:rPr>
          <w:sz w:val="24"/>
          <w:szCs w:val="24"/>
        </w:rPr>
        <w:t xml:space="preserve">o Estado tem como principal objetivo viabilizar intervenções na economia. </w:t>
      </w:r>
      <w:proofErr w:type="spellStart"/>
      <w:r w:rsidRPr="00C22DE5">
        <w:rPr>
          <w:sz w:val="24"/>
          <w:szCs w:val="24"/>
        </w:rPr>
        <w:t>Fabretti</w:t>
      </w:r>
      <w:proofErr w:type="spellEnd"/>
      <w:r w:rsidRPr="00C22DE5">
        <w:rPr>
          <w:sz w:val="24"/>
          <w:szCs w:val="24"/>
        </w:rPr>
        <w:t xml:space="preserve"> (2012), menciona que o Estado pode abrir mão de parte dos tributos arrecadados na intenção de estimular determinada área da economia. Es</w:t>
      </w:r>
      <w:r w:rsidR="0042557C">
        <w:rPr>
          <w:sz w:val="24"/>
          <w:szCs w:val="24"/>
        </w:rPr>
        <w:t>t</w:t>
      </w:r>
      <w:r w:rsidRPr="00C22DE5">
        <w:rPr>
          <w:sz w:val="24"/>
          <w:szCs w:val="24"/>
        </w:rPr>
        <w:t xml:space="preserve">a prática é chamada de </w:t>
      </w:r>
      <w:proofErr w:type="spellStart"/>
      <w:r w:rsidRPr="00C22DE5">
        <w:rPr>
          <w:sz w:val="24"/>
          <w:szCs w:val="24"/>
        </w:rPr>
        <w:t>extrafiscalidade</w:t>
      </w:r>
      <w:proofErr w:type="spellEnd"/>
      <w:r w:rsidRPr="00C22DE5">
        <w:rPr>
          <w:sz w:val="24"/>
          <w:szCs w:val="24"/>
        </w:rPr>
        <w:t xml:space="preserve">, </w:t>
      </w:r>
      <w:r w:rsidR="0042557C">
        <w:rPr>
          <w:sz w:val="24"/>
          <w:szCs w:val="24"/>
        </w:rPr>
        <w:t>em que</w:t>
      </w:r>
      <w:r w:rsidRPr="00C22DE5">
        <w:rPr>
          <w:sz w:val="24"/>
          <w:szCs w:val="24"/>
        </w:rPr>
        <w:t xml:space="preserve"> os tributos são utilizados para outros fins, que não o de arrecadação.</w:t>
      </w:r>
    </w:p>
    <w:p w14:paraId="6FCB9B3E" w14:textId="71099FC3" w:rsidR="00C22DE5" w:rsidRPr="00C22DE5" w:rsidRDefault="00C22DE5" w:rsidP="00C22DE5">
      <w:pPr>
        <w:suppressAutoHyphens w:val="0"/>
        <w:ind w:firstLine="708"/>
        <w:jc w:val="both"/>
        <w:rPr>
          <w:sz w:val="24"/>
          <w:szCs w:val="24"/>
        </w:rPr>
      </w:pPr>
      <w:r w:rsidRPr="00C22DE5">
        <w:rPr>
          <w:sz w:val="24"/>
          <w:szCs w:val="24"/>
        </w:rPr>
        <w:t>Dentro da área de pesquisa e desenvolvimento, destacam-se alguns incentivos fiscais, entre eles, os concedidos pela Lei d</w:t>
      </w:r>
      <w:r w:rsidR="00885895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Informática. A Lei d</w:t>
      </w:r>
      <w:r w:rsidR="00885895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 está disposta na Lei 8.248/91</w:t>
      </w:r>
      <w:r w:rsidR="00AE7205">
        <w:rPr>
          <w:sz w:val="24"/>
          <w:szCs w:val="24"/>
        </w:rPr>
        <w:t xml:space="preserve"> e alterações</w:t>
      </w:r>
      <w:r w:rsidRPr="00C22DE5">
        <w:rPr>
          <w:sz w:val="24"/>
          <w:szCs w:val="24"/>
        </w:rPr>
        <w:t xml:space="preserve"> e regulamentada pelo Decreto Lei nº 5.906 de 26 de setembro de 2006. Ela decreta a concessão de benefícios fiscais à</w:t>
      </w:r>
      <w:r w:rsidR="00AE7205">
        <w:rPr>
          <w:sz w:val="24"/>
          <w:szCs w:val="24"/>
        </w:rPr>
        <w:t>s</w:t>
      </w:r>
      <w:r w:rsidRPr="00C22DE5">
        <w:rPr>
          <w:sz w:val="24"/>
          <w:szCs w:val="24"/>
        </w:rPr>
        <w:t xml:space="preserve"> empresas </w:t>
      </w:r>
      <w:r w:rsidR="0094305A">
        <w:rPr>
          <w:sz w:val="24"/>
          <w:szCs w:val="24"/>
        </w:rPr>
        <w:t xml:space="preserve">do setor de tecnologia </w:t>
      </w:r>
      <w:r w:rsidR="0094305A" w:rsidRPr="0094305A">
        <w:rPr>
          <w:sz w:val="24"/>
          <w:szCs w:val="24"/>
        </w:rPr>
        <w:t xml:space="preserve">(áreas de hardware e automação), que </w:t>
      </w:r>
      <w:r w:rsidR="0094305A">
        <w:rPr>
          <w:sz w:val="24"/>
          <w:szCs w:val="24"/>
        </w:rPr>
        <w:t>investem</w:t>
      </w:r>
      <w:r w:rsidR="0094305A" w:rsidRPr="0094305A">
        <w:rPr>
          <w:sz w:val="24"/>
          <w:szCs w:val="24"/>
        </w:rPr>
        <w:t xml:space="preserve"> em Pesquisa e Desenvolvimento</w:t>
      </w:r>
      <w:r w:rsidR="0094305A">
        <w:rPr>
          <w:sz w:val="24"/>
          <w:szCs w:val="24"/>
        </w:rPr>
        <w:t>.</w:t>
      </w:r>
    </w:p>
    <w:p w14:paraId="710F875E" w14:textId="3ABD78E1" w:rsidR="00C22DE5" w:rsidRDefault="00C22DE5" w:rsidP="00C22DE5">
      <w:pPr>
        <w:suppressAutoHyphens w:val="0"/>
        <w:ind w:firstLine="708"/>
        <w:jc w:val="both"/>
        <w:rPr>
          <w:sz w:val="24"/>
          <w:szCs w:val="24"/>
        </w:rPr>
      </w:pPr>
      <w:r w:rsidRPr="00C22DE5">
        <w:rPr>
          <w:sz w:val="24"/>
          <w:szCs w:val="24"/>
        </w:rPr>
        <w:t>O objetivo do Estado com a Lei d</w:t>
      </w:r>
      <w:r w:rsidR="004B3DA4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</w:t>
      </w:r>
      <w:r w:rsidR="004B3DA4">
        <w:rPr>
          <w:sz w:val="24"/>
          <w:szCs w:val="24"/>
        </w:rPr>
        <w:t>I</w:t>
      </w:r>
      <w:r w:rsidRPr="00C22DE5">
        <w:rPr>
          <w:sz w:val="24"/>
          <w:szCs w:val="24"/>
        </w:rPr>
        <w:t xml:space="preserve">nformática é promover o desenvolvimento e estabelecimento do complexo eletrônico no Brasil (Garcia &amp; </w:t>
      </w:r>
      <w:proofErr w:type="spellStart"/>
      <w:r w:rsidRPr="00C22DE5">
        <w:rPr>
          <w:sz w:val="24"/>
          <w:szCs w:val="24"/>
        </w:rPr>
        <w:t>Roselino</w:t>
      </w:r>
      <w:proofErr w:type="spellEnd"/>
      <w:r w:rsidRPr="00C22DE5">
        <w:rPr>
          <w:sz w:val="24"/>
          <w:szCs w:val="24"/>
        </w:rPr>
        <w:t xml:space="preserve">, 2004). Diegues e </w:t>
      </w:r>
      <w:proofErr w:type="spellStart"/>
      <w:r w:rsidRPr="00C22DE5">
        <w:rPr>
          <w:sz w:val="24"/>
          <w:szCs w:val="24"/>
        </w:rPr>
        <w:t>Roselino</w:t>
      </w:r>
      <w:proofErr w:type="spellEnd"/>
      <w:r w:rsidRPr="00C22DE5">
        <w:rPr>
          <w:sz w:val="24"/>
          <w:szCs w:val="24"/>
        </w:rPr>
        <w:t xml:space="preserve"> (2006) destacam a </w:t>
      </w:r>
      <w:r w:rsidR="004B3DA4">
        <w:rPr>
          <w:sz w:val="24"/>
          <w:szCs w:val="24"/>
        </w:rPr>
        <w:t>L</w:t>
      </w:r>
      <w:r w:rsidRPr="00C22DE5">
        <w:rPr>
          <w:sz w:val="24"/>
          <w:szCs w:val="24"/>
        </w:rPr>
        <w:t>ei d</w:t>
      </w:r>
      <w:r w:rsidR="00885895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</w:t>
      </w:r>
      <w:r w:rsidR="004B3DA4">
        <w:rPr>
          <w:sz w:val="24"/>
          <w:szCs w:val="24"/>
        </w:rPr>
        <w:t>I</w:t>
      </w:r>
      <w:r w:rsidRPr="00C22DE5">
        <w:rPr>
          <w:sz w:val="24"/>
          <w:szCs w:val="24"/>
        </w:rPr>
        <w:t xml:space="preserve">nformática como um dos mais importantes instrumentos de apoio </w:t>
      </w:r>
      <w:r w:rsidR="0094305A">
        <w:rPr>
          <w:sz w:val="24"/>
          <w:szCs w:val="24"/>
        </w:rPr>
        <w:t>à</w:t>
      </w:r>
      <w:r w:rsidRPr="00C22DE5">
        <w:rPr>
          <w:sz w:val="24"/>
          <w:szCs w:val="24"/>
        </w:rPr>
        <w:t>s empresas do complexo eletrônico inseridas no Brasil.</w:t>
      </w:r>
    </w:p>
    <w:p w14:paraId="19F98B83" w14:textId="7F089A90" w:rsidR="004B3DA4" w:rsidRPr="00C22DE5" w:rsidRDefault="004B3DA4" w:rsidP="004B3DA4">
      <w:pPr>
        <w:suppressAutoHyphens w:val="0"/>
        <w:ind w:firstLine="708"/>
        <w:jc w:val="both"/>
        <w:rPr>
          <w:sz w:val="24"/>
          <w:szCs w:val="24"/>
        </w:rPr>
      </w:pPr>
      <w:r w:rsidRPr="00C22DE5">
        <w:rPr>
          <w:sz w:val="24"/>
          <w:szCs w:val="24"/>
        </w:rPr>
        <w:t>O Brasil possui uma carga tributária muito complexa, com um sistema tributário fortemente marcado pela tributação sobre o consumo, inclusive, sobre produtos intermediários (Fernandes, Teixeira &amp; Batista, 2010).</w:t>
      </w:r>
      <w:r w:rsidRPr="00C22DE5">
        <w:rPr>
          <w:color w:val="000000"/>
          <w:sz w:val="24"/>
          <w:szCs w:val="24"/>
        </w:rPr>
        <w:t xml:space="preserve"> “A obrigatoriedade existente acrescida de uma elevada carga tributária como a atual, impulsiona o contribuinte a buscar alternativas dentro da legalidade como forma de alcançar o menor custo tributário possível, ou até a eliminação do mesmo” (Silva </w:t>
      </w:r>
      <w:r w:rsidRPr="00C22DE5">
        <w:rPr>
          <w:i/>
          <w:color w:val="000000"/>
          <w:sz w:val="24"/>
          <w:szCs w:val="24"/>
        </w:rPr>
        <w:t>et al.</w:t>
      </w:r>
      <w:r w:rsidRPr="00C22DE5">
        <w:rPr>
          <w:color w:val="000000"/>
          <w:sz w:val="24"/>
          <w:szCs w:val="24"/>
        </w:rPr>
        <w:t>, 2004, p. 2). Essa relevância dos tributos no mundo corporativo exige dos mais altos níveis hierárquicos das empresas, uma gestão eficaz das suas obrigações tributárias (</w:t>
      </w:r>
      <w:r w:rsidR="002F492E">
        <w:rPr>
          <w:color w:val="000000"/>
          <w:sz w:val="24"/>
          <w:szCs w:val="24"/>
        </w:rPr>
        <w:t>Borges, 2008</w:t>
      </w:r>
      <w:r w:rsidRPr="00C22DE5">
        <w:rPr>
          <w:color w:val="000000"/>
          <w:sz w:val="24"/>
          <w:szCs w:val="24"/>
        </w:rPr>
        <w:t xml:space="preserve">). </w:t>
      </w:r>
    </w:p>
    <w:p w14:paraId="7BC90613" w14:textId="77777777" w:rsidR="00C22DE5" w:rsidRPr="00C22DE5" w:rsidRDefault="00C22DE5" w:rsidP="00C22DE5">
      <w:pPr>
        <w:suppressAutoHyphens w:val="0"/>
        <w:ind w:firstLine="708"/>
        <w:jc w:val="both"/>
        <w:rPr>
          <w:sz w:val="24"/>
          <w:szCs w:val="24"/>
        </w:rPr>
      </w:pPr>
      <w:r w:rsidRPr="00C22DE5">
        <w:rPr>
          <w:sz w:val="24"/>
          <w:szCs w:val="24"/>
        </w:rPr>
        <w:t xml:space="preserve">Diante do exposto, surge a seguinte questão problema: </w:t>
      </w:r>
      <w:r w:rsidRPr="00C22DE5">
        <w:rPr>
          <w:i/>
          <w:sz w:val="24"/>
          <w:szCs w:val="24"/>
        </w:rPr>
        <w:t xml:space="preserve">Qual a representatividade dos incentivos fiscais da Lei de Informática, no resultado econômico de indústrias catarinenses? </w:t>
      </w:r>
      <w:r w:rsidRPr="00C22DE5">
        <w:rPr>
          <w:sz w:val="24"/>
          <w:szCs w:val="24"/>
        </w:rPr>
        <w:t>O objetivo consiste em identificar os incentivos fiscais da Lei de Informática, no resultado econômico de indústrias catarinenses.</w:t>
      </w:r>
    </w:p>
    <w:p w14:paraId="69FAFA84" w14:textId="77777777" w:rsidR="00C22DE5" w:rsidRPr="00C22DE5" w:rsidRDefault="00C22DE5" w:rsidP="00C22DE5">
      <w:pPr>
        <w:suppressAutoHyphens w:val="0"/>
        <w:ind w:firstLine="708"/>
        <w:jc w:val="both"/>
        <w:rPr>
          <w:sz w:val="24"/>
          <w:szCs w:val="24"/>
        </w:rPr>
      </w:pPr>
      <w:r w:rsidRPr="00C22DE5">
        <w:rPr>
          <w:sz w:val="24"/>
          <w:szCs w:val="24"/>
        </w:rPr>
        <w:t xml:space="preserve">A pesquisa se justifica, pois de acordo com o Gutierrez (2010, p. 2) “é inegável o papel estratégico da eletrônica na sociedade moderna. A disseminação da tecnologia no país renova a oportunidade de se conhecerem as ações em prol da competitividade do complexo eletrônico brasileiro e seus resultados”. </w:t>
      </w:r>
    </w:p>
    <w:p w14:paraId="5C697E48" w14:textId="56FFD6E2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Assunção (2011) em sua pesquisa no contexto de incentivos fiscais analisou os reflexos econômicos e financeiros dos incentivos fiscais concedidos pelo Governo Federal durante a crise internacional de 2008</w:t>
      </w:r>
      <w:r w:rsidR="00C16E0E">
        <w:rPr>
          <w:sz w:val="24"/>
          <w:szCs w:val="24"/>
        </w:rPr>
        <w:t>.</w:t>
      </w:r>
      <w:r w:rsidRPr="00C22DE5">
        <w:rPr>
          <w:sz w:val="24"/>
          <w:szCs w:val="24"/>
        </w:rPr>
        <w:t xml:space="preserve">  Garcia e </w:t>
      </w:r>
      <w:proofErr w:type="spellStart"/>
      <w:r w:rsidRPr="00C22DE5">
        <w:rPr>
          <w:sz w:val="24"/>
          <w:szCs w:val="24"/>
        </w:rPr>
        <w:t>Roselino</w:t>
      </w:r>
      <w:proofErr w:type="spellEnd"/>
      <w:r w:rsidRPr="00C22DE5">
        <w:rPr>
          <w:sz w:val="24"/>
          <w:szCs w:val="24"/>
        </w:rPr>
        <w:t xml:space="preserve"> (2004), apresentaram um conjunto de considerações a respeito de alguns dos resultados da Lei de Informática sobre o complexo eletrônico brasileiro, a partir da análise dos seus efeitos sobre o desempenho de empresas que se beneficiam dos estímulos fiscais da lei. </w:t>
      </w:r>
      <w:r w:rsidR="008B07FB">
        <w:rPr>
          <w:sz w:val="24"/>
          <w:szCs w:val="24"/>
        </w:rPr>
        <w:t xml:space="preserve">Gutierrez (2010), </w:t>
      </w:r>
      <w:r w:rsidR="00C16E0E">
        <w:rPr>
          <w:sz w:val="24"/>
          <w:szCs w:val="24"/>
        </w:rPr>
        <w:t>estudou</w:t>
      </w:r>
      <w:r w:rsidR="008B07FB" w:rsidRPr="008B07FB">
        <w:rPr>
          <w:sz w:val="24"/>
          <w:szCs w:val="24"/>
        </w:rPr>
        <w:t xml:space="preserve"> a evolução da produção eletrônica no mundo e analis</w:t>
      </w:r>
      <w:r w:rsidR="00C16E0E">
        <w:rPr>
          <w:sz w:val="24"/>
          <w:szCs w:val="24"/>
        </w:rPr>
        <w:t>ou</w:t>
      </w:r>
      <w:r w:rsidR="008B07FB" w:rsidRPr="008B07FB">
        <w:rPr>
          <w:sz w:val="24"/>
          <w:szCs w:val="24"/>
        </w:rPr>
        <w:t xml:space="preserve"> a situação do complexo eletrônico brasileiro, utilizando como base a balança comercial do setor e os principais resultados da Lei de Informática divulgados pelo Ministério da Ciência e Tecnologia </w:t>
      </w:r>
      <w:r w:rsidR="008B07FB">
        <w:rPr>
          <w:sz w:val="24"/>
          <w:szCs w:val="24"/>
        </w:rPr>
        <w:t>–</w:t>
      </w:r>
      <w:r w:rsidR="008B07FB" w:rsidRPr="008B07FB">
        <w:rPr>
          <w:sz w:val="24"/>
          <w:szCs w:val="24"/>
        </w:rPr>
        <w:t xml:space="preserve"> MCT</w:t>
      </w:r>
      <w:r w:rsidR="008B07FB">
        <w:rPr>
          <w:sz w:val="24"/>
          <w:szCs w:val="24"/>
        </w:rPr>
        <w:t>.</w:t>
      </w:r>
      <w:r w:rsidR="00C16E0E" w:rsidRPr="00C16E0E">
        <w:rPr>
          <w:sz w:val="24"/>
          <w:szCs w:val="24"/>
        </w:rPr>
        <w:t xml:space="preserve"> </w:t>
      </w:r>
      <w:r w:rsidR="00C16E0E">
        <w:rPr>
          <w:sz w:val="24"/>
          <w:szCs w:val="24"/>
        </w:rPr>
        <w:t>N</w:t>
      </w:r>
      <w:r w:rsidR="00C16E0E" w:rsidRPr="00C22DE5">
        <w:rPr>
          <w:sz w:val="24"/>
          <w:szCs w:val="24"/>
        </w:rPr>
        <w:t>ão se identificou pesquisas que abordassem a representatividade dos incentivos fiscais da Lei de Informática no resultado econômico</w:t>
      </w:r>
      <w:r w:rsidR="00C16E0E">
        <w:rPr>
          <w:sz w:val="24"/>
          <w:szCs w:val="24"/>
        </w:rPr>
        <w:t>, o que motiva também o estudo.</w:t>
      </w:r>
    </w:p>
    <w:p w14:paraId="69143EF4" w14:textId="3E073BD6" w:rsidR="00C22DE5" w:rsidRPr="00C22DE5" w:rsidRDefault="00C22DE5" w:rsidP="00C22DE5">
      <w:pPr>
        <w:suppressAutoHyphens w:val="0"/>
        <w:ind w:firstLine="708"/>
        <w:jc w:val="both"/>
        <w:rPr>
          <w:sz w:val="24"/>
          <w:szCs w:val="24"/>
        </w:rPr>
      </w:pPr>
      <w:r w:rsidRPr="00C22DE5">
        <w:rPr>
          <w:sz w:val="24"/>
          <w:szCs w:val="24"/>
        </w:rPr>
        <w:t xml:space="preserve">Esta pesquisa contribuirá, no sentido de gerar esclarecimentos sobre os incentivos fiscais </w:t>
      </w:r>
      <w:r w:rsidR="0094305A">
        <w:rPr>
          <w:sz w:val="24"/>
          <w:szCs w:val="24"/>
        </w:rPr>
        <w:t>oferecidos</w:t>
      </w:r>
      <w:r w:rsidRPr="00C22DE5">
        <w:rPr>
          <w:sz w:val="24"/>
          <w:szCs w:val="24"/>
        </w:rPr>
        <w:t xml:space="preserve"> pela Lei de Informática, assunto esse ainda pouco explorado, tanto no meio acadêmico como empresarial. Além disso, o</w:t>
      </w:r>
      <w:r w:rsidR="006260CB">
        <w:rPr>
          <w:sz w:val="24"/>
          <w:szCs w:val="24"/>
        </w:rPr>
        <w:t>s resultados poderão permitir às empresas</w:t>
      </w:r>
      <w:r w:rsidRPr="00C22DE5">
        <w:rPr>
          <w:sz w:val="24"/>
          <w:szCs w:val="24"/>
        </w:rPr>
        <w:t xml:space="preserve"> </w:t>
      </w:r>
      <w:r w:rsidR="006260CB">
        <w:rPr>
          <w:sz w:val="24"/>
          <w:szCs w:val="24"/>
        </w:rPr>
        <w:t>conhecer</w:t>
      </w:r>
      <w:r w:rsidRPr="00C22DE5">
        <w:rPr>
          <w:sz w:val="24"/>
          <w:szCs w:val="24"/>
        </w:rPr>
        <w:t xml:space="preserve"> os incentivos fiscais e possivelmente aproveitá-los, reduzindo seu ônus tributário e</w:t>
      </w:r>
      <w:r w:rsidR="0094305A">
        <w:rPr>
          <w:sz w:val="24"/>
          <w:szCs w:val="24"/>
        </w:rPr>
        <w:t>,</w:t>
      </w:r>
      <w:r w:rsidRPr="00C22DE5">
        <w:rPr>
          <w:sz w:val="24"/>
          <w:szCs w:val="24"/>
        </w:rPr>
        <w:t xml:space="preserve"> por consequência, os custos de sua atividade, tornando-se mais competitivas e consolidadas no mercado.</w:t>
      </w:r>
    </w:p>
    <w:p w14:paraId="48BFF2F4" w14:textId="77777777" w:rsidR="00C22DE5" w:rsidRPr="00C22DE5" w:rsidRDefault="00C22DE5" w:rsidP="00C22DE5">
      <w:pPr>
        <w:suppressAutoHyphens w:val="0"/>
        <w:jc w:val="both"/>
        <w:rPr>
          <w:b/>
          <w:sz w:val="24"/>
          <w:szCs w:val="24"/>
        </w:rPr>
      </w:pPr>
    </w:p>
    <w:p w14:paraId="06D84C17" w14:textId="0FA50DDB" w:rsidR="00C22DE5" w:rsidRPr="00C22DE5" w:rsidRDefault="00C22DE5" w:rsidP="00C22DE5">
      <w:pPr>
        <w:suppressAutoHyphens w:val="0"/>
        <w:jc w:val="both"/>
        <w:rPr>
          <w:b/>
          <w:sz w:val="24"/>
          <w:szCs w:val="24"/>
        </w:rPr>
      </w:pPr>
      <w:r w:rsidRPr="00C22DE5">
        <w:rPr>
          <w:b/>
          <w:sz w:val="24"/>
          <w:szCs w:val="24"/>
        </w:rPr>
        <w:lastRenderedPageBreak/>
        <w:t xml:space="preserve">2 </w:t>
      </w:r>
      <w:r w:rsidR="000E04F4">
        <w:rPr>
          <w:b/>
          <w:sz w:val="24"/>
          <w:szCs w:val="24"/>
        </w:rPr>
        <w:t>Referencial Teórico</w:t>
      </w:r>
    </w:p>
    <w:p w14:paraId="32EBD2D7" w14:textId="77777777" w:rsidR="00C22DE5" w:rsidRPr="00C22DE5" w:rsidRDefault="00C22DE5" w:rsidP="00C22DE5">
      <w:pPr>
        <w:suppressAutoHyphens w:val="0"/>
        <w:jc w:val="both"/>
        <w:rPr>
          <w:b/>
          <w:sz w:val="24"/>
          <w:szCs w:val="24"/>
        </w:rPr>
      </w:pPr>
      <w:r w:rsidRPr="00C22DE5">
        <w:rPr>
          <w:b/>
          <w:sz w:val="24"/>
          <w:szCs w:val="24"/>
        </w:rPr>
        <w:t>2.1 Planejamento Tributário</w:t>
      </w:r>
    </w:p>
    <w:p w14:paraId="1C045CB2" w14:textId="368F51F7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Há tempos, dentro da área da economia, contabilidade e demais áreas da gestão, busca-se compreender como os impostos interferem na economia real, seu sentido social e institucional e como pessoas e empresas se comportam mediante as reformas fiscais (Fernandes, Teixeira &amp; Batista, 2010). Os profissionais que integram os mais altos níveis hierárquicos das empresas</w:t>
      </w:r>
      <w:r w:rsidR="006260CB">
        <w:rPr>
          <w:sz w:val="24"/>
          <w:szCs w:val="24"/>
        </w:rPr>
        <w:t>,</w:t>
      </w:r>
      <w:r w:rsidRPr="00C22DE5">
        <w:rPr>
          <w:sz w:val="24"/>
          <w:szCs w:val="24"/>
        </w:rPr>
        <w:t xml:space="preserve"> sabem que os tributos incidentes nas suas operações, independente da natureza do empreendimento, correspondem ao maior passivo das empresas (Borges, 2008). </w:t>
      </w:r>
    </w:p>
    <w:p w14:paraId="6E64E34A" w14:textId="7D640F52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Os tributos podem ser definidos como uma participação imperativa do indivíduo, da empresa e da instituição</w:t>
      </w:r>
      <w:r w:rsidR="006260CB">
        <w:rPr>
          <w:sz w:val="24"/>
          <w:szCs w:val="24"/>
        </w:rPr>
        <w:t>,</w:t>
      </w:r>
      <w:r w:rsidRPr="00C22DE5">
        <w:rPr>
          <w:sz w:val="24"/>
          <w:szCs w:val="24"/>
        </w:rPr>
        <w:t xml:space="preserve"> no sentido de angariar fundos para cobrir dispêndios da entidade tributante visando </w:t>
      </w:r>
      <w:r w:rsidR="006260CB">
        <w:rPr>
          <w:sz w:val="24"/>
          <w:szCs w:val="24"/>
        </w:rPr>
        <w:t>a</w:t>
      </w:r>
      <w:r w:rsidRPr="00C22DE5">
        <w:rPr>
          <w:sz w:val="24"/>
          <w:szCs w:val="24"/>
        </w:rPr>
        <w:t xml:space="preserve"> conservação e a consecução de serviços públicos (Andrade &amp; Neves, 2008, p. 5). </w:t>
      </w:r>
    </w:p>
    <w:p w14:paraId="0B89396F" w14:textId="02ACB1E8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rFonts w:cs="Trebuchet MS"/>
          <w:color w:val="000000"/>
          <w:sz w:val="22"/>
          <w:szCs w:val="22"/>
        </w:rPr>
      </w:pPr>
      <w:r w:rsidRPr="00C22DE5">
        <w:rPr>
          <w:sz w:val="24"/>
          <w:szCs w:val="24"/>
        </w:rPr>
        <w:tab/>
        <w:t>O planejamento tributário vem, portanto, ganhando destaque dentro das empresas e também na literatura</w:t>
      </w:r>
      <w:r w:rsidRPr="004B3DA4">
        <w:rPr>
          <w:sz w:val="24"/>
          <w:szCs w:val="24"/>
        </w:rPr>
        <w:t xml:space="preserve">, devido ao impacto que os tributos têm sobre o retorno nas organizações (Lunkes </w:t>
      </w:r>
      <w:r w:rsidRPr="004B3DA4">
        <w:rPr>
          <w:i/>
          <w:sz w:val="24"/>
          <w:szCs w:val="24"/>
        </w:rPr>
        <w:t>et al.,</w:t>
      </w:r>
      <w:r w:rsidRPr="004B3DA4">
        <w:rPr>
          <w:sz w:val="24"/>
          <w:szCs w:val="24"/>
        </w:rPr>
        <w:t xml:space="preserve"> 2014).</w:t>
      </w:r>
      <w:r w:rsidRPr="004B3DA4">
        <w:rPr>
          <w:rFonts w:cs="Trebuchet MS"/>
          <w:color w:val="000000"/>
          <w:sz w:val="24"/>
          <w:szCs w:val="24"/>
        </w:rPr>
        <w:t xml:space="preserve"> Essa gestão tributária consiste no acompanhamento sistemático de todos os tributos na empresa, estabelecendo um processo estruturado de sistemas de informação que deem suporte à gestão (</w:t>
      </w:r>
      <w:proofErr w:type="spellStart"/>
      <w:r w:rsidRPr="004B3DA4">
        <w:rPr>
          <w:rFonts w:cs="Trebuchet MS"/>
          <w:color w:val="000000"/>
          <w:sz w:val="24"/>
          <w:szCs w:val="24"/>
        </w:rPr>
        <w:t>Kronbauer</w:t>
      </w:r>
      <w:proofErr w:type="spellEnd"/>
      <w:r w:rsidRPr="004B3DA4">
        <w:rPr>
          <w:rFonts w:cs="Trebuchet MS"/>
          <w:color w:val="000000"/>
          <w:sz w:val="24"/>
          <w:szCs w:val="24"/>
        </w:rPr>
        <w:t xml:space="preserve"> </w:t>
      </w:r>
      <w:r w:rsidRPr="004B3DA4">
        <w:rPr>
          <w:rFonts w:cs="Trebuchet MS"/>
          <w:i/>
          <w:color w:val="000000"/>
          <w:sz w:val="24"/>
          <w:szCs w:val="24"/>
        </w:rPr>
        <w:t>et al.</w:t>
      </w:r>
      <w:r w:rsidRPr="004B3DA4">
        <w:rPr>
          <w:rFonts w:cs="Trebuchet MS"/>
          <w:color w:val="000000"/>
          <w:sz w:val="24"/>
          <w:szCs w:val="24"/>
        </w:rPr>
        <w:t>, 2009).</w:t>
      </w:r>
      <w:r w:rsidRPr="00C22DE5">
        <w:rPr>
          <w:rFonts w:cs="Trebuchet MS"/>
          <w:color w:val="000000"/>
          <w:sz w:val="22"/>
          <w:szCs w:val="22"/>
        </w:rPr>
        <w:t xml:space="preserve"> </w:t>
      </w:r>
    </w:p>
    <w:p w14:paraId="2A6D06D5" w14:textId="77777777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Santos e Souza (2005, p. 83) definem o planejamento tributário como, “um estudo realizado previamente, ou seja, pesquisar os efeitos econômicos e jurídicos que este planejamento pode trazer pra empresa e adotá-los ou não”.</w:t>
      </w:r>
    </w:p>
    <w:p w14:paraId="33ABD300" w14:textId="678AFC07" w:rsidR="00C22DE5" w:rsidRPr="00C22DE5" w:rsidRDefault="00C22DE5" w:rsidP="00C22DE5">
      <w:pPr>
        <w:suppressAutoHyphens w:val="0"/>
        <w:ind w:left="2340"/>
        <w:jc w:val="both"/>
      </w:pPr>
      <w:r w:rsidRPr="00C22DE5">
        <w:t>Sua definição também pode ser dada como uma técnica gerencial no intuito de projetar as atividades industriais, comerciais e de prestação de serviço, visando conhecer as obrigações e encargos tributários relacionado a cada uma das alternativas legais pertinentes para adoção daquela que propicie uma anulação, redução ou adiantamento do ônus fiscal para a empresa (Oliveira; Lemes &amp; Almeida, 2008</w:t>
      </w:r>
      <w:r w:rsidR="000A7828">
        <w:t>, p. 159</w:t>
      </w:r>
      <w:r w:rsidRPr="00C22DE5">
        <w:t>).</w:t>
      </w:r>
    </w:p>
    <w:p w14:paraId="61CA74A0" w14:textId="7080932D" w:rsid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 xml:space="preserve">Silva </w:t>
      </w:r>
      <w:r w:rsidRPr="00C22DE5">
        <w:rPr>
          <w:i/>
          <w:sz w:val="24"/>
          <w:szCs w:val="24"/>
        </w:rPr>
        <w:t>et al.,</w:t>
      </w:r>
      <w:r w:rsidRPr="00C22DE5">
        <w:rPr>
          <w:sz w:val="24"/>
          <w:szCs w:val="24"/>
        </w:rPr>
        <w:t xml:space="preserve"> (2004), ainda definem o planejamento tributário como um processo que usa de instrumentos legais, que proporcione a empresa uma economia dos tributos</w:t>
      </w:r>
      <w:r w:rsidR="000A7828">
        <w:rPr>
          <w:sz w:val="24"/>
          <w:szCs w:val="24"/>
        </w:rPr>
        <w:t>,</w:t>
      </w:r>
      <w:r w:rsidRPr="00C22DE5">
        <w:rPr>
          <w:sz w:val="24"/>
          <w:szCs w:val="24"/>
        </w:rPr>
        <w:t xml:space="preserve"> por meio de uma exclusão, redução ou postergação do ônus tributário. O planejamento tributário é uma atividade técnica, com o intuito de projetar as atividades de uma empresa, para que mediante meios e instrumentos adequados, ela tenha embasamentos para adotar aquela alternativa mais benéfica tributariamente (Borges, 2008). Portanto, sua finalidade, de acordo com Ribeiro e Mário (2008) é obter a diminuição, anulação ou postergação, dos custos tributários das empresas.  “A questão de referência em termos de planejamento tributário, sem dúvida, é o fato gerador, seguida das economias de tributos decorrentes da própria lei, ou de lacunas e brechas da mesma” (Ribeiro &amp; Mário, 2008, p.115).</w:t>
      </w:r>
    </w:p>
    <w:p w14:paraId="4E4CE059" w14:textId="77777777" w:rsidR="00B66949" w:rsidRPr="00C22DE5" w:rsidRDefault="00B66949" w:rsidP="00B66949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O planejamento tributário se faz importante devido dois aspectos: o elevado ônus fiscal incidente no mundo dos negócios e a consciência empresarial da volatilidade e complexidade da legislação pertinente (Borges, 2008). Desse modo, o planejamento tributário tem sempre uma ação de prevenção executada por meio de atos e práticas legais que antecedem, retardam ou impedem o fato gerador do tributo, no intuito de reduzir, o montante de tributos devidos (Ribeiro &amp; Mário, 2008).</w:t>
      </w:r>
    </w:p>
    <w:p w14:paraId="2EE8FEDC" w14:textId="76479663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</w:r>
      <w:proofErr w:type="spellStart"/>
      <w:r w:rsidRPr="00C22DE5">
        <w:rPr>
          <w:sz w:val="24"/>
          <w:szCs w:val="24"/>
        </w:rPr>
        <w:t>Fabretti</w:t>
      </w:r>
      <w:proofErr w:type="spellEnd"/>
      <w:r w:rsidRPr="00C22DE5">
        <w:rPr>
          <w:sz w:val="24"/>
          <w:szCs w:val="24"/>
        </w:rPr>
        <w:t xml:space="preserve"> (2012, p. 8) destaca que “o planejamento tributário exige, antes de tudo, bom senso do planejador.”  Existem alternativas legais válidas para grandes empresas, porém, inaplicáveis em médias e pequenas, considerando o que pode exigir a execução desse planejamento. </w:t>
      </w:r>
      <w:proofErr w:type="spellStart"/>
      <w:r w:rsidRPr="00C22DE5">
        <w:rPr>
          <w:sz w:val="24"/>
          <w:szCs w:val="24"/>
        </w:rPr>
        <w:t>Olivera</w:t>
      </w:r>
      <w:proofErr w:type="spellEnd"/>
      <w:r w:rsidRPr="00C22DE5">
        <w:rPr>
          <w:sz w:val="24"/>
          <w:szCs w:val="24"/>
        </w:rPr>
        <w:t xml:space="preserve"> </w:t>
      </w:r>
      <w:r w:rsidRPr="00C22DE5">
        <w:rPr>
          <w:i/>
          <w:sz w:val="24"/>
          <w:szCs w:val="24"/>
        </w:rPr>
        <w:t>et al.,</w:t>
      </w:r>
      <w:r w:rsidRPr="00C22DE5">
        <w:rPr>
          <w:sz w:val="24"/>
          <w:szCs w:val="24"/>
        </w:rPr>
        <w:t xml:space="preserve"> (2007) destacam que</w:t>
      </w:r>
      <w:r w:rsidR="00B66949">
        <w:rPr>
          <w:sz w:val="24"/>
          <w:szCs w:val="24"/>
        </w:rPr>
        <w:t>,</w:t>
      </w:r>
      <w:r w:rsidRPr="00C22DE5">
        <w:rPr>
          <w:sz w:val="24"/>
          <w:szCs w:val="24"/>
        </w:rPr>
        <w:t xml:space="preserve"> um bom planejador tributário tem como finalidade principal, a economia dos </w:t>
      </w:r>
      <w:r w:rsidR="00B66949">
        <w:rPr>
          <w:sz w:val="24"/>
          <w:szCs w:val="24"/>
        </w:rPr>
        <w:t>tributos</w:t>
      </w:r>
      <w:r w:rsidRPr="00C22DE5">
        <w:rPr>
          <w:sz w:val="24"/>
          <w:szCs w:val="24"/>
        </w:rPr>
        <w:t>, sem infringir a legislação.</w:t>
      </w:r>
    </w:p>
    <w:p w14:paraId="3B860481" w14:textId="77777777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O planejamento tributário, portanto, deve ser executado de acordo com a realidade de cada empresa. O planejador precisa ter noção da sua situação financeira e operacional, levando em conta que algumas atitudes decorrentes da execução desse planejamento, podem afetar a empresa nesses dois aspectos.</w:t>
      </w:r>
    </w:p>
    <w:p w14:paraId="55138923" w14:textId="77777777" w:rsidR="00B66949" w:rsidRDefault="00B66949" w:rsidP="00C22DE5">
      <w:pPr>
        <w:suppressAutoHyphens w:val="0"/>
        <w:jc w:val="both"/>
        <w:rPr>
          <w:b/>
          <w:sz w:val="24"/>
          <w:szCs w:val="24"/>
        </w:rPr>
      </w:pPr>
    </w:p>
    <w:p w14:paraId="2C78864D" w14:textId="6980E7D1" w:rsidR="00C22DE5" w:rsidRPr="00C22DE5" w:rsidRDefault="00C22DE5" w:rsidP="00C22DE5">
      <w:pPr>
        <w:suppressAutoHyphens w:val="0"/>
        <w:jc w:val="both"/>
        <w:rPr>
          <w:b/>
          <w:sz w:val="24"/>
          <w:szCs w:val="24"/>
        </w:rPr>
      </w:pPr>
      <w:r w:rsidRPr="00C22DE5">
        <w:rPr>
          <w:b/>
          <w:sz w:val="24"/>
          <w:szCs w:val="24"/>
        </w:rPr>
        <w:t>2.2 Incentivos Fiscais</w:t>
      </w:r>
    </w:p>
    <w:p w14:paraId="26C4F411" w14:textId="77777777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b/>
          <w:sz w:val="24"/>
          <w:szCs w:val="24"/>
        </w:rPr>
        <w:tab/>
      </w:r>
      <w:r w:rsidRPr="00C22DE5">
        <w:rPr>
          <w:sz w:val="24"/>
          <w:szCs w:val="24"/>
        </w:rPr>
        <w:t xml:space="preserve">No atual cenário econômico, os incentivos fiscais vêm sendo amplamente utilizados por empresas de iniciativa privada no intuito de reduzir o montante que pagam de tributos. Historicamente, inúmeros incentivos fiscais já foram criados na intenção de viabilizar intervenções do Estado, sobre a economia (Assunção, 2013). </w:t>
      </w:r>
    </w:p>
    <w:p w14:paraId="1BB3E298" w14:textId="42274FB8" w:rsidR="00C22DE5" w:rsidRPr="00C22DE5" w:rsidRDefault="00C22DE5" w:rsidP="00C22DE5">
      <w:pPr>
        <w:suppressAutoHyphens w:val="0"/>
        <w:ind w:firstLine="708"/>
        <w:jc w:val="both"/>
        <w:rPr>
          <w:sz w:val="24"/>
          <w:szCs w:val="24"/>
        </w:rPr>
      </w:pPr>
      <w:r w:rsidRPr="00C22DE5">
        <w:rPr>
          <w:sz w:val="24"/>
          <w:szCs w:val="24"/>
        </w:rPr>
        <w:t>Para Assunção (2013), as reduções nas alíquotas, postergação do prazo de recolhimento de determinado tributo e outras formas de desoneração, podem ser caracterizados como incentivos fiscais.</w:t>
      </w:r>
      <w:r w:rsidR="000A7828">
        <w:rPr>
          <w:sz w:val="24"/>
          <w:szCs w:val="24"/>
        </w:rPr>
        <w:t xml:space="preserve"> </w:t>
      </w:r>
      <w:r w:rsidRPr="00C22DE5">
        <w:rPr>
          <w:sz w:val="24"/>
          <w:szCs w:val="24"/>
        </w:rPr>
        <w:t>Portanto, nessa perspectiva, Beraldo (1988, p. 2)</w:t>
      </w:r>
      <w:r w:rsidR="003B07FC">
        <w:rPr>
          <w:sz w:val="24"/>
          <w:szCs w:val="24"/>
        </w:rPr>
        <w:t>,</w:t>
      </w:r>
      <w:r w:rsidRPr="00C22DE5">
        <w:rPr>
          <w:sz w:val="24"/>
          <w:szCs w:val="24"/>
        </w:rPr>
        <w:t xml:space="preserve"> assume os incentivos fiscais como “um “produto” que os governos desejam “vender” a um determinado “mercado alvo” - no caso, a indústria nacional”</w:t>
      </w:r>
      <w:r w:rsidR="003B07FC">
        <w:rPr>
          <w:sz w:val="24"/>
          <w:szCs w:val="24"/>
        </w:rPr>
        <w:t>.</w:t>
      </w:r>
      <w:r w:rsidRPr="00C22DE5">
        <w:rPr>
          <w:sz w:val="24"/>
          <w:szCs w:val="24"/>
        </w:rPr>
        <w:t xml:space="preserve"> </w:t>
      </w:r>
    </w:p>
    <w:p w14:paraId="5F08B42A" w14:textId="77777777" w:rsidR="00C22DE5" w:rsidRPr="00C22DE5" w:rsidRDefault="00C22DE5" w:rsidP="00C22DE5">
      <w:pPr>
        <w:suppressAutoHyphens w:val="0"/>
        <w:ind w:firstLine="708"/>
        <w:jc w:val="both"/>
        <w:rPr>
          <w:sz w:val="24"/>
          <w:szCs w:val="24"/>
        </w:rPr>
      </w:pPr>
      <w:r w:rsidRPr="00C22DE5">
        <w:rPr>
          <w:sz w:val="24"/>
          <w:szCs w:val="24"/>
        </w:rPr>
        <w:t>Com isso, os incentivos fiscais podem ser caracterizados como instrumentos de política econômica usados para promover o desenvolvimento regional, exportações, e também estimular setores considerados prioritários (Barbieri, 1984). Assim, para o governo, os incentivos fiscais servem como uma forma de estimular algumas práticas dentro das empresas, na intenção de impulsionar ou regularizar determinado mercado.</w:t>
      </w:r>
    </w:p>
    <w:p w14:paraId="6BF48C04" w14:textId="6E2A4B4C" w:rsidR="00C22DE5" w:rsidRPr="00C22DE5" w:rsidRDefault="00C22DE5" w:rsidP="00C22DE5">
      <w:pPr>
        <w:suppressAutoHyphens w:val="0"/>
        <w:ind w:firstLine="708"/>
        <w:jc w:val="both"/>
        <w:rPr>
          <w:sz w:val="24"/>
          <w:szCs w:val="24"/>
        </w:rPr>
      </w:pPr>
      <w:r w:rsidRPr="003B07FC">
        <w:rPr>
          <w:sz w:val="24"/>
          <w:szCs w:val="24"/>
        </w:rPr>
        <w:t xml:space="preserve">O Estado pode abrir mão de parte dos tributos arrecadados na intenção de estimular um mercado ou uma atividade </w:t>
      </w:r>
      <w:smartTag w:uri="urn:schemas-microsoft-com:office:smarttags" w:element="PersonName">
        <w:smartTagPr>
          <w:attr w:name="ProductID" w:val="em espec￭fico. A"/>
        </w:smartTagPr>
        <w:r w:rsidRPr="003B07FC">
          <w:rPr>
            <w:sz w:val="24"/>
            <w:szCs w:val="24"/>
          </w:rPr>
          <w:t>em específico. A</w:t>
        </w:r>
      </w:smartTag>
      <w:r w:rsidRPr="003B07FC">
        <w:rPr>
          <w:sz w:val="24"/>
          <w:szCs w:val="24"/>
        </w:rPr>
        <w:t xml:space="preserve"> prática dessa renúncia é chamada tecnicamente de </w:t>
      </w:r>
      <w:proofErr w:type="spellStart"/>
      <w:r w:rsidRPr="003B07FC">
        <w:rPr>
          <w:sz w:val="24"/>
          <w:szCs w:val="24"/>
        </w:rPr>
        <w:t>extrafiscalidade</w:t>
      </w:r>
      <w:proofErr w:type="spellEnd"/>
      <w:r w:rsidRPr="003B07FC">
        <w:rPr>
          <w:sz w:val="24"/>
          <w:szCs w:val="24"/>
        </w:rPr>
        <w:t>, onde o imposto é usado para outros fins, que não o de arrecadação</w:t>
      </w:r>
      <w:r w:rsidR="003B07FC">
        <w:rPr>
          <w:sz w:val="24"/>
          <w:szCs w:val="24"/>
        </w:rPr>
        <w:t>. A</w:t>
      </w:r>
      <w:r w:rsidRPr="00C22DE5">
        <w:rPr>
          <w:sz w:val="24"/>
          <w:szCs w:val="24"/>
        </w:rPr>
        <w:t xml:space="preserve"> contrapartida dessa renúncia fiscal resulta em um benefício fiscal para o contribuinte, caso este atenda </w:t>
      </w:r>
      <w:r w:rsidR="002F492E" w:rsidRPr="00C22DE5">
        <w:rPr>
          <w:sz w:val="24"/>
          <w:szCs w:val="24"/>
        </w:rPr>
        <w:t>aos</w:t>
      </w:r>
      <w:r w:rsidRPr="00C22DE5">
        <w:rPr>
          <w:sz w:val="24"/>
          <w:szCs w:val="24"/>
        </w:rPr>
        <w:t xml:space="preserve"> requisitos previstos em lei para a obtenção e o direito de usufruir deste incentivo</w:t>
      </w:r>
      <w:r w:rsidR="003B07FC" w:rsidRPr="003B07FC">
        <w:rPr>
          <w:sz w:val="24"/>
          <w:szCs w:val="24"/>
        </w:rPr>
        <w:t xml:space="preserve"> (</w:t>
      </w:r>
      <w:proofErr w:type="spellStart"/>
      <w:r w:rsidR="003B07FC" w:rsidRPr="003B07FC">
        <w:rPr>
          <w:sz w:val="24"/>
          <w:szCs w:val="24"/>
        </w:rPr>
        <w:t>Fabretti</w:t>
      </w:r>
      <w:proofErr w:type="spellEnd"/>
      <w:r w:rsidR="003B07FC" w:rsidRPr="003B07FC">
        <w:rPr>
          <w:sz w:val="24"/>
          <w:szCs w:val="24"/>
        </w:rPr>
        <w:t>, 2012).</w:t>
      </w:r>
    </w:p>
    <w:p w14:paraId="1FAC70B6" w14:textId="515CC9C5" w:rsidR="00C22DE5" w:rsidRPr="00C22DE5" w:rsidRDefault="00C22DE5" w:rsidP="00C22DE5">
      <w:pPr>
        <w:suppressAutoHyphens w:val="0"/>
        <w:ind w:firstLine="708"/>
        <w:jc w:val="both"/>
        <w:rPr>
          <w:sz w:val="24"/>
          <w:szCs w:val="24"/>
        </w:rPr>
      </w:pPr>
      <w:r w:rsidRPr="00C22DE5">
        <w:rPr>
          <w:sz w:val="24"/>
          <w:szCs w:val="24"/>
        </w:rPr>
        <w:t xml:space="preserve">Assunção (2013) destaca que a concessão de benefícios fiscais deve estar devidamente apoiada sobre alguma finalidade constitucional, por se tratar de uma perda voluntária da receita pública. </w:t>
      </w:r>
      <w:r w:rsidR="002F492E">
        <w:rPr>
          <w:sz w:val="24"/>
          <w:szCs w:val="24"/>
        </w:rPr>
        <w:t>Desse modo,</w:t>
      </w:r>
      <w:r w:rsidRPr="00C22DE5">
        <w:rPr>
          <w:sz w:val="24"/>
          <w:szCs w:val="24"/>
        </w:rPr>
        <w:t xml:space="preserve"> a legitimidade da concessão de um benefício fiscal está fundamentada na verificação das finalidades da medida e a pertinência dos valores determinados em texto constitucional.</w:t>
      </w:r>
    </w:p>
    <w:p w14:paraId="294D88DE" w14:textId="36627400" w:rsidR="00C22DE5" w:rsidRPr="00C22DE5" w:rsidRDefault="003B07FC" w:rsidP="00C22DE5">
      <w:pPr>
        <w:suppressAutoHyphens w:val="0"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Percebe-se, portanto, que o</w:t>
      </w:r>
      <w:r w:rsidR="00C22DE5" w:rsidRPr="00C22DE5">
        <w:rPr>
          <w:sz w:val="24"/>
          <w:szCs w:val="24"/>
        </w:rPr>
        <w:t>s incentivos fiscais, representam para as empresas uma oportunidade de reduzirem a carga tributária paga, tendo que se adaptar e seguir alguns parâmetros pré-estabelecidos na legislação, para que ocorra a concessão dos benefícios fiscais por parte do governo, e o aproveitamento deles por parte da empresa.</w:t>
      </w:r>
      <w:r>
        <w:rPr>
          <w:sz w:val="24"/>
          <w:szCs w:val="24"/>
        </w:rPr>
        <w:t xml:space="preserve"> </w:t>
      </w:r>
      <w:r w:rsidR="00C22DE5" w:rsidRPr="00C22DE5">
        <w:rPr>
          <w:sz w:val="24"/>
          <w:szCs w:val="24"/>
        </w:rPr>
        <w:t>Já para o Estado, os incentivos fiscais representam um instrumento de política econômica</w:t>
      </w:r>
      <w:r>
        <w:rPr>
          <w:sz w:val="24"/>
          <w:szCs w:val="24"/>
        </w:rPr>
        <w:t>. C</w:t>
      </w:r>
      <w:r w:rsidR="00C22DE5" w:rsidRPr="00C22DE5">
        <w:rPr>
          <w:sz w:val="24"/>
          <w:szCs w:val="24"/>
        </w:rPr>
        <w:t xml:space="preserve">om o intuito de impulsionar </w:t>
      </w:r>
      <w:r>
        <w:rPr>
          <w:sz w:val="24"/>
          <w:szCs w:val="24"/>
        </w:rPr>
        <w:t>um</w:t>
      </w:r>
      <w:r w:rsidR="00C22DE5" w:rsidRPr="00C22DE5">
        <w:rPr>
          <w:sz w:val="24"/>
          <w:szCs w:val="24"/>
        </w:rPr>
        <w:t xml:space="preserve"> ramo da economia, abre mão total ou parcialmente da arrecadação de um determinado tributo, ou apenas flexibiliza a sua arrecadação.</w:t>
      </w:r>
    </w:p>
    <w:p w14:paraId="764BBEB3" w14:textId="77777777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C22DE5">
        <w:rPr>
          <w:b/>
          <w:sz w:val="24"/>
          <w:szCs w:val="24"/>
        </w:rPr>
        <w:t>2.2.1 Incentivos fiscais da Lei de Informática</w:t>
      </w:r>
    </w:p>
    <w:p w14:paraId="52DFD914" w14:textId="05C0D7A6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A Lei d</w:t>
      </w:r>
      <w:r w:rsidR="002A1119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 é uma das leis que prevê incentivos fiscais à</w:t>
      </w:r>
      <w:r w:rsidR="003B07FC">
        <w:rPr>
          <w:sz w:val="24"/>
          <w:szCs w:val="24"/>
        </w:rPr>
        <w:t>s</w:t>
      </w:r>
      <w:r w:rsidRPr="00C22DE5">
        <w:rPr>
          <w:sz w:val="24"/>
          <w:szCs w:val="24"/>
        </w:rPr>
        <w:t xml:space="preserve"> empresas</w:t>
      </w:r>
      <w:r w:rsidR="002A1119">
        <w:rPr>
          <w:sz w:val="24"/>
          <w:szCs w:val="24"/>
        </w:rPr>
        <w:t xml:space="preserve"> de tecnologia </w:t>
      </w:r>
      <w:r w:rsidRPr="00C22DE5">
        <w:rPr>
          <w:sz w:val="24"/>
          <w:szCs w:val="24"/>
        </w:rPr>
        <w:t>que inv</w:t>
      </w:r>
      <w:r w:rsidR="002A1119">
        <w:rPr>
          <w:sz w:val="24"/>
          <w:szCs w:val="24"/>
        </w:rPr>
        <w:t>estem</w:t>
      </w:r>
      <w:r w:rsidRPr="00C22DE5">
        <w:rPr>
          <w:sz w:val="24"/>
          <w:szCs w:val="24"/>
        </w:rPr>
        <w:t xml:space="preserve"> em pesquisa</w:t>
      </w:r>
      <w:r w:rsidR="000F72B5">
        <w:rPr>
          <w:sz w:val="24"/>
          <w:szCs w:val="24"/>
        </w:rPr>
        <w:t xml:space="preserve"> e</w:t>
      </w:r>
      <w:r w:rsidRPr="00C22DE5">
        <w:rPr>
          <w:sz w:val="24"/>
          <w:szCs w:val="24"/>
        </w:rPr>
        <w:t xml:space="preserve"> desenvolvimento de produtos. “A Lei de Informática é atualmente um dos mais relevantes instrumentos do arcabouço institucional em que se inserem as empresas do complexo eletrônico no Brasil” (Diegues &amp; </w:t>
      </w:r>
      <w:proofErr w:type="spellStart"/>
      <w:r w:rsidRPr="00C22DE5">
        <w:rPr>
          <w:sz w:val="24"/>
          <w:szCs w:val="24"/>
        </w:rPr>
        <w:t>Roselino</w:t>
      </w:r>
      <w:proofErr w:type="spellEnd"/>
      <w:r w:rsidRPr="00C22DE5">
        <w:rPr>
          <w:sz w:val="24"/>
          <w:szCs w:val="24"/>
        </w:rPr>
        <w:t>, 2006, p. 377).</w:t>
      </w:r>
    </w:p>
    <w:p w14:paraId="7097BE70" w14:textId="3955846D" w:rsidR="00C22DE5" w:rsidRPr="00C22DE5" w:rsidRDefault="00C22DE5" w:rsidP="00C22DE5">
      <w:pPr>
        <w:suppressAutoHyphens w:val="0"/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C22DE5">
        <w:rPr>
          <w:sz w:val="24"/>
          <w:szCs w:val="24"/>
        </w:rPr>
        <w:t>Gutierrez (2010) destaca que a importação de bens eletrônicos começou a apresentar problemas sérios a balança comercial do setor, devido aos altos índices. No intuito de promover o enraizamento da indústria eletrônica no país, foi proposta pelo Ministério da Ciência e Tecnologia uma nova forma de incentivar as atividades de P&amp;D em informática e automação. Dessa forma, a Lei d</w:t>
      </w:r>
      <w:r w:rsidR="000F21B4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 representa uma tentativa do Estado de estimular, por meio de políticas fiscais, o estabelecimento e desenvolvimento do complexo eletrônico no Brasil (Garcia &amp; </w:t>
      </w:r>
      <w:proofErr w:type="spellStart"/>
      <w:r w:rsidRPr="00C22DE5">
        <w:rPr>
          <w:sz w:val="24"/>
          <w:szCs w:val="24"/>
        </w:rPr>
        <w:t>Roselino</w:t>
      </w:r>
      <w:proofErr w:type="spellEnd"/>
      <w:r w:rsidRPr="00C22DE5">
        <w:rPr>
          <w:sz w:val="24"/>
          <w:szCs w:val="24"/>
        </w:rPr>
        <w:t>, 2004).</w:t>
      </w:r>
    </w:p>
    <w:p w14:paraId="0871B74B" w14:textId="18297169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Os benefícios fiscais concedidos, bem como suas alíquotas e requisitos para suas concessões, e demais disposições estão estabelecidos na Leis 8.248/91 e suas alterações, e também regulamentado no Decreto Lei 5.906/-06. Conforme descreve Gutierrez (2010)</w:t>
      </w:r>
      <w:r w:rsidR="00B93403">
        <w:rPr>
          <w:sz w:val="24"/>
          <w:szCs w:val="24"/>
        </w:rPr>
        <w:t>,</w:t>
      </w:r>
      <w:r w:rsidRPr="00C22DE5">
        <w:rPr>
          <w:sz w:val="24"/>
          <w:szCs w:val="24"/>
        </w:rPr>
        <w:t xml:space="preserve"> é </w:t>
      </w:r>
      <w:r w:rsidRPr="00C22DE5">
        <w:rPr>
          <w:sz w:val="24"/>
          <w:szCs w:val="24"/>
        </w:rPr>
        <w:lastRenderedPageBreak/>
        <w:t>importante destacar que a abrangência da Lei d</w:t>
      </w:r>
      <w:r w:rsidR="00D865D3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Informática, restringe-se apenas aos produtos relacionados à tecnologia de informação e comunicação (</w:t>
      </w:r>
      <w:proofErr w:type="spellStart"/>
      <w:r w:rsidRPr="00C22DE5">
        <w:rPr>
          <w:sz w:val="24"/>
          <w:szCs w:val="24"/>
        </w:rPr>
        <w:t>TICs</w:t>
      </w:r>
      <w:proofErr w:type="spellEnd"/>
      <w:r w:rsidRPr="00C22DE5">
        <w:rPr>
          <w:sz w:val="24"/>
          <w:szCs w:val="24"/>
        </w:rPr>
        <w:t>).</w:t>
      </w:r>
    </w:p>
    <w:p w14:paraId="0D915B3E" w14:textId="31758B0B" w:rsidR="00C22DE5" w:rsidRPr="00C22DE5" w:rsidRDefault="00C22DE5" w:rsidP="00C22DE5">
      <w:pPr>
        <w:suppressAutoHyphens w:val="0"/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C22DE5">
        <w:rPr>
          <w:color w:val="000000"/>
          <w:sz w:val="24"/>
          <w:szCs w:val="24"/>
        </w:rPr>
        <w:t xml:space="preserve">Para Gutierrez (2010, p. 16) são considerados </w:t>
      </w:r>
      <w:r w:rsidRPr="00C22DE5">
        <w:rPr>
          <w:sz w:val="24"/>
          <w:szCs w:val="24"/>
        </w:rPr>
        <w:t xml:space="preserve">bens e serviços de informática e automação “componentes semicondutores, </w:t>
      </w:r>
      <w:proofErr w:type="spellStart"/>
      <w:r w:rsidRPr="00C22DE5">
        <w:rPr>
          <w:sz w:val="24"/>
          <w:szCs w:val="24"/>
        </w:rPr>
        <w:t>optoeletrônicos</w:t>
      </w:r>
      <w:proofErr w:type="spellEnd"/>
      <w:r w:rsidRPr="00C22DE5">
        <w:rPr>
          <w:sz w:val="24"/>
          <w:szCs w:val="24"/>
        </w:rPr>
        <w:t xml:space="preserve"> e seus insumos; máquinas, equipamentos e dispositivos baseados em eletrônica</w:t>
      </w:r>
      <w:r w:rsidR="00D865D3">
        <w:rPr>
          <w:sz w:val="24"/>
          <w:szCs w:val="24"/>
        </w:rPr>
        <w:t xml:space="preserve"> </w:t>
      </w:r>
      <w:r w:rsidRPr="00C22DE5">
        <w:rPr>
          <w:sz w:val="24"/>
          <w:szCs w:val="24"/>
        </w:rPr>
        <w:t xml:space="preserve">digital, seus insumos, partes, peças e suportes físicos; </w:t>
      </w:r>
      <w:r w:rsidRPr="00C22DE5">
        <w:rPr>
          <w:i/>
          <w:iCs/>
          <w:sz w:val="24"/>
          <w:szCs w:val="24"/>
        </w:rPr>
        <w:t>software</w:t>
      </w:r>
      <w:r w:rsidRPr="00C22DE5">
        <w:rPr>
          <w:sz w:val="24"/>
          <w:szCs w:val="24"/>
        </w:rPr>
        <w:t>; e serviços técnicos associados a essas três categorias”</w:t>
      </w:r>
      <w:r w:rsidR="00B93403">
        <w:rPr>
          <w:sz w:val="24"/>
          <w:szCs w:val="24"/>
        </w:rPr>
        <w:t>.</w:t>
      </w:r>
    </w:p>
    <w:p w14:paraId="110DB62F" w14:textId="71ED234F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C22DE5">
        <w:rPr>
          <w:sz w:val="24"/>
          <w:szCs w:val="24"/>
        </w:rPr>
        <w:tab/>
        <w:t>Em relação aos incentivos a esses produtos, a Lei d</w:t>
      </w:r>
      <w:r w:rsidR="00D865D3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Informática, concede às empresas que inv</w:t>
      </w:r>
      <w:r w:rsidR="00D865D3">
        <w:rPr>
          <w:sz w:val="24"/>
          <w:szCs w:val="24"/>
        </w:rPr>
        <w:t>este</w:t>
      </w:r>
      <w:r w:rsidRPr="00C22DE5">
        <w:rPr>
          <w:sz w:val="24"/>
          <w:szCs w:val="24"/>
        </w:rPr>
        <w:t>m em pesquisa e desenvolvimento de tecnologias (informática e automação), isenção ou redução do Imposto sobre Produtos Industrializados (IPI).</w:t>
      </w:r>
      <w:r w:rsidR="00B93403">
        <w:rPr>
          <w:sz w:val="24"/>
          <w:szCs w:val="24"/>
        </w:rPr>
        <w:t xml:space="preserve"> </w:t>
      </w:r>
      <w:r w:rsidRPr="00C22DE5">
        <w:rPr>
          <w:sz w:val="24"/>
          <w:szCs w:val="24"/>
        </w:rPr>
        <w:t xml:space="preserve">O §6, do artigo 11, da Lei 8.248/91 destaca a redução na alíquota de IPI sobre os </w:t>
      </w:r>
      <w:r w:rsidRPr="00C22DE5">
        <w:rPr>
          <w:color w:val="000000"/>
          <w:sz w:val="24"/>
          <w:szCs w:val="24"/>
        </w:rPr>
        <w:t xml:space="preserve">microcomputadores portáteis, as unidades de processamento digital de pequena capacidade, baseadas em microprocessadores, de valor até R$ 11.000,00 (onze mil reais), bem como as unidades de discos magnéticos e ópticos, circuitos impressos com componentes elétricos e eletrônicos montados, gabinetes, e fontes de alimentação, reconhecíveis como exclusiva ou principalmente destinados a tais produtos, e os bens de informática e automação desenvolvidos no país, conforme </w:t>
      </w:r>
      <w:r w:rsidR="00D865D3">
        <w:rPr>
          <w:color w:val="000000"/>
          <w:sz w:val="24"/>
          <w:szCs w:val="24"/>
        </w:rPr>
        <w:t>a</w:t>
      </w:r>
      <w:r w:rsidRPr="00C22DE5">
        <w:rPr>
          <w:color w:val="000000"/>
          <w:sz w:val="24"/>
          <w:szCs w:val="24"/>
        </w:rPr>
        <w:t xml:space="preserve"> </w:t>
      </w:r>
      <w:r w:rsidR="00F22EEF">
        <w:rPr>
          <w:color w:val="000000"/>
          <w:sz w:val="24"/>
          <w:szCs w:val="24"/>
        </w:rPr>
        <w:t>Tabela</w:t>
      </w:r>
      <w:r w:rsidRPr="00C22DE5">
        <w:rPr>
          <w:color w:val="000000"/>
          <w:sz w:val="24"/>
          <w:szCs w:val="24"/>
        </w:rPr>
        <w:t xml:space="preserve"> </w:t>
      </w:r>
      <w:r w:rsidR="00D865D3">
        <w:rPr>
          <w:color w:val="000000"/>
          <w:sz w:val="24"/>
          <w:szCs w:val="24"/>
        </w:rPr>
        <w:t>0</w:t>
      </w:r>
      <w:r w:rsidRPr="00C22DE5">
        <w:rPr>
          <w:color w:val="000000"/>
          <w:sz w:val="24"/>
          <w:szCs w:val="24"/>
        </w:rPr>
        <w:t>1:</w:t>
      </w:r>
    </w:p>
    <w:p w14:paraId="5612F19B" w14:textId="012800DC" w:rsidR="00C22DE5" w:rsidRPr="00C22DE5" w:rsidRDefault="00F22EEF" w:rsidP="00C22DE5"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Tabela</w:t>
      </w:r>
      <w:r w:rsidR="00C22DE5" w:rsidRPr="00C22DE5">
        <w:rPr>
          <w:sz w:val="24"/>
          <w:szCs w:val="24"/>
        </w:rPr>
        <w:t xml:space="preserve"> </w:t>
      </w:r>
      <w:r w:rsidR="00D865D3">
        <w:rPr>
          <w:sz w:val="24"/>
          <w:szCs w:val="24"/>
        </w:rPr>
        <w:t>0</w:t>
      </w:r>
      <w:r w:rsidR="00C22DE5" w:rsidRPr="00C22DE5">
        <w:rPr>
          <w:sz w:val="24"/>
          <w:szCs w:val="24"/>
        </w:rPr>
        <w:t xml:space="preserve">1 – Redução das alíquotas de IPI aos bens de informática e automação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3969"/>
      </w:tblGrid>
      <w:tr w:rsidR="00C22DE5" w:rsidRPr="00C22DE5" w14:paraId="43D4BB55" w14:textId="77777777" w:rsidTr="00D81865">
        <w:tc>
          <w:tcPr>
            <w:tcW w:w="5211" w:type="dxa"/>
            <w:shd w:val="clear" w:color="auto" w:fill="auto"/>
          </w:tcPr>
          <w:p w14:paraId="2FCB9A8E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center"/>
            </w:pPr>
            <w:r w:rsidRPr="00C22DE5">
              <w:t>Período</w:t>
            </w:r>
          </w:p>
        </w:tc>
        <w:tc>
          <w:tcPr>
            <w:tcW w:w="3969" w:type="dxa"/>
            <w:shd w:val="clear" w:color="auto" w:fill="auto"/>
          </w:tcPr>
          <w:p w14:paraId="30F50BDC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center"/>
            </w:pPr>
            <w:r w:rsidRPr="00C22DE5">
              <w:t>Benefício.</w:t>
            </w:r>
          </w:p>
        </w:tc>
      </w:tr>
      <w:tr w:rsidR="00C22DE5" w:rsidRPr="00C22DE5" w14:paraId="71E50D6A" w14:textId="77777777" w:rsidTr="00D81865">
        <w:tc>
          <w:tcPr>
            <w:tcW w:w="5211" w:type="dxa"/>
            <w:shd w:val="clear" w:color="auto" w:fill="auto"/>
          </w:tcPr>
          <w:p w14:paraId="53237F7F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both"/>
            </w:pPr>
            <w:r w:rsidRPr="00C22DE5">
              <w:rPr>
                <w:color w:val="000000"/>
              </w:rPr>
              <w:t>A</w:t>
            </w:r>
            <w:r w:rsidRPr="00C22DE5">
              <w:t>té 31 de dezembro de 2024.</w:t>
            </w:r>
          </w:p>
        </w:tc>
        <w:tc>
          <w:tcPr>
            <w:tcW w:w="3969" w:type="dxa"/>
            <w:shd w:val="clear" w:color="auto" w:fill="auto"/>
          </w:tcPr>
          <w:p w14:paraId="13DF2041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both"/>
            </w:pPr>
            <w:r w:rsidRPr="00C22DE5">
              <w:t>Isenção de IPI</w:t>
            </w:r>
          </w:p>
        </w:tc>
      </w:tr>
      <w:tr w:rsidR="00C22DE5" w:rsidRPr="00C22DE5" w14:paraId="0D5D0F10" w14:textId="77777777" w:rsidTr="00D81865">
        <w:tc>
          <w:tcPr>
            <w:tcW w:w="5211" w:type="dxa"/>
            <w:shd w:val="clear" w:color="auto" w:fill="auto"/>
          </w:tcPr>
          <w:p w14:paraId="7B40975C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both"/>
            </w:pPr>
            <w:r w:rsidRPr="00C22DE5">
              <w:rPr>
                <w:color w:val="000000"/>
              </w:rPr>
              <w:t>De 1</w:t>
            </w:r>
            <w:r w:rsidRPr="00C22DE5">
              <w:rPr>
                <w:color w:val="000000"/>
                <w:u w:val="single"/>
                <w:vertAlign w:val="superscript"/>
              </w:rPr>
              <w:t>o</w:t>
            </w:r>
            <w:r w:rsidRPr="00C22DE5">
              <w:rPr>
                <w:color w:val="000000"/>
              </w:rPr>
              <w:t> de janeiro até de 2025 até 31 de dezembro de 2026.</w:t>
            </w:r>
          </w:p>
        </w:tc>
        <w:tc>
          <w:tcPr>
            <w:tcW w:w="3969" w:type="dxa"/>
            <w:shd w:val="clear" w:color="auto" w:fill="auto"/>
          </w:tcPr>
          <w:p w14:paraId="77FBAE5D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both"/>
            </w:pPr>
            <w:r w:rsidRPr="00C22DE5">
              <w:t>Redução de 95% nas alíquotas</w:t>
            </w:r>
          </w:p>
        </w:tc>
      </w:tr>
      <w:tr w:rsidR="00C22DE5" w:rsidRPr="00C22DE5" w14:paraId="07422D64" w14:textId="77777777" w:rsidTr="00D81865">
        <w:tc>
          <w:tcPr>
            <w:tcW w:w="5211" w:type="dxa"/>
            <w:shd w:val="clear" w:color="auto" w:fill="auto"/>
          </w:tcPr>
          <w:p w14:paraId="4617943B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both"/>
            </w:pPr>
            <w:r w:rsidRPr="00C22DE5">
              <w:rPr>
                <w:color w:val="000000"/>
              </w:rPr>
              <w:t>De 1</w:t>
            </w:r>
            <w:r w:rsidRPr="00C22DE5">
              <w:rPr>
                <w:color w:val="000000"/>
                <w:u w:val="single"/>
                <w:vertAlign w:val="superscript"/>
              </w:rPr>
              <w:t>o</w:t>
            </w:r>
            <w:r w:rsidRPr="00C22DE5">
              <w:rPr>
                <w:color w:val="000000"/>
              </w:rPr>
              <w:t> de janeiro de 2027 a 31 de dezembro de 2029.</w:t>
            </w:r>
          </w:p>
        </w:tc>
        <w:tc>
          <w:tcPr>
            <w:tcW w:w="3969" w:type="dxa"/>
            <w:shd w:val="clear" w:color="auto" w:fill="auto"/>
          </w:tcPr>
          <w:p w14:paraId="119E76D9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both"/>
            </w:pPr>
            <w:r w:rsidRPr="00C22DE5">
              <w:t>Redução de 85% nas alíquotas</w:t>
            </w:r>
          </w:p>
        </w:tc>
      </w:tr>
    </w:tbl>
    <w:p w14:paraId="10D3FE8B" w14:textId="16558C07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</w:pPr>
      <w:r w:rsidRPr="00C22DE5">
        <w:t xml:space="preserve">Fonte: </w:t>
      </w:r>
      <w:r w:rsidR="00D865D3">
        <w:t xml:space="preserve">Adaptado do </w:t>
      </w:r>
      <w:r w:rsidR="00D865D3" w:rsidRPr="00C22DE5">
        <w:rPr>
          <w:sz w:val="24"/>
          <w:szCs w:val="24"/>
        </w:rPr>
        <w:t>§</w:t>
      </w:r>
      <w:r w:rsidRPr="00C22DE5">
        <w:t xml:space="preserve"> 1º-E</w:t>
      </w:r>
      <w:r w:rsidR="00D865D3">
        <w:t>,</w:t>
      </w:r>
      <w:r w:rsidRPr="00C22DE5">
        <w:t xml:space="preserve"> do art. 4</w:t>
      </w:r>
      <w:r w:rsidR="00D865D3">
        <w:t>,</w:t>
      </w:r>
      <w:r w:rsidRPr="00C22DE5">
        <w:t xml:space="preserve"> d</w:t>
      </w:r>
      <w:r w:rsidR="00D865D3">
        <w:t>a</w:t>
      </w:r>
      <w:r w:rsidRPr="00C22DE5">
        <w:t xml:space="preserve"> Lei nº 8.248/91.</w:t>
      </w:r>
    </w:p>
    <w:p w14:paraId="2AD2E199" w14:textId="41A55AD8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 xml:space="preserve">A </w:t>
      </w:r>
      <w:r w:rsidR="00D865D3">
        <w:rPr>
          <w:sz w:val="24"/>
          <w:szCs w:val="24"/>
        </w:rPr>
        <w:t>Lei de Informática</w:t>
      </w:r>
      <w:r w:rsidRPr="00C22DE5">
        <w:rPr>
          <w:sz w:val="24"/>
          <w:szCs w:val="24"/>
        </w:rPr>
        <w:t xml:space="preserve"> ainda traz no parágrafo 1º-A</w:t>
      </w:r>
      <w:r w:rsidR="00B93403">
        <w:rPr>
          <w:sz w:val="24"/>
          <w:szCs w:val="24"/>
        </w:rPr>
        <w:t>,</w:t>
      </w:r>
      <w:r w:rsidRPr="00C22DE5">
        <w:rPr>
          <w:sz w:val="24"/>
          <w:szCs w:val="24"/>
        </w:rPr>
        <w:t xml:space="preserve"> do artigo 4</w:t>
      </w:r>
      <w:r w:rsidR="00B93403">
        <w:rPr>
          <w:sz w:val="24"/>
          <w:szCs w:val="24"/>
        </w:rPr>
        <w:t>,</w:t>
      </w:r>
      <w:r w:rsidRPr="00C22DE5">
        <w:rPr>
          <w:sz w:val="24"/>
          <w:szCs w:val="24"/>
        </w:rPr>
        <w:t xml:space="preserve"> as reduções e isenções nas alíquotas de IPI, dos demais produtos, conforme </w:t>
      </w:r>
      <w:r w:rsidR="00F22EEF">
        <w:rPr>
          <w:sz w:val="24"/>
          <w:szCs w:val="24"/>
        </w:rPr>
        <w:t>Tabela</w:t>
      </w:r>
      <w:r w:rsidRPr="00C22DE5">
        <w:rPr>
          <w:sz w:val="24"/>
          <w:szCs w:val="24"/>
        </w:rPr>
        <w:t xml:space="preserve"> </w:t>
      </w:r>
      <w:r w:rsidR="00D865D3">
        <w:rPr>
          <w:sz w:val="24"/>
          <w:szCs w:val="24"/>
        </w:rPr>
        <w:t>0</w:t>
      </w:r>
      <w:r w:rsidRPr="00C22DE5">
        <w:rPr>
          <w:sz w:val="24"/>
          <w:szCs w:val="24"/>
        </w:rPr>
        <w:t>2:</w:t>
      </w:r>
    </w:p>
    <w:p w14:paraId="71A71F53" w14:textId="34298676" w:rsidR="00C22DE5" w:rsidRPr="00C22DE5" w:rsidRDefault="00F22EEF" w:rsidP="00C22DE5"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Tabela</w:t>
      </w:r>
      <w:r w:rsidR="00C22DE5" w:rsidRPr="00C22DE5">
        <w:rPr>
          <w:sz w:val="24"/>
          <w:szCs w:val="24"/>
        </w:rPr>
        <w:t xml:space="preserve"> </w:t>
      </w:r>
      <w:r w:rsidR="00D865D3">
        <w:rPr>
          <w:sz w:val="24"/>
          <w:szCs w:val="24"/>
        </w:rPr>
        <w:t>0</w:t>
      </w:r>
      <w:r w:rsidR="00C22DE5" w:rsidRPr="00C22DE5">
        <w:rPr>
          <w:sz w:val="24"/>
          <w:szCs w:val="24"/>
        </w:rPr>
        <w:t xml:space="preserve">2 – Redução e isenção das alíquotas de IPI aos bens de informática e automação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14"/>
        <w:gridCol w:w="2558"/>
        <w:gridCol w:w="2708"/>
      </w:tblGrid>
      <w:tr w:rsidR="00C22DE5" w:rsidRPr="00C22DE5" w14:paraId="57982E1F" w14:textId="77777777" w:rsidTr="00D81865">
        <w:tc>
          <w:tcPr>
            <w:tcW w:w="3914" w:type="dxa"/>
            <w:shd w:val="clear" w:color="auto" w:fill="auto"/>
          </w:tcPr>
          <w:p w14:paraId="336995AF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center"/>
            </w:pPr>
            <w:r w:rsidRPr="00C22DE5">
              <w:t>Período</w:t>
            </w:r>
          </w:p>
        </w:tc>
        <w:tc>
          <w:tcPr>
            <w:tcW w:w="2558" w:type="dxa"/>
            <w:shd w:val="clear" w:color="auto" w:fill="auto"/>
          </w:tcPr>
          <w:p w14:paraId="74A02F04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center"/>
            </w:pPr>
            <w:r w:rsidRPr="00C22DE5">
              <w:t>Benefício nas regiões Centro-Oeste, Norte e Nordeste</w:t>
            </w:r>
          </w:p>
        </w:tc>
        <w:tc>
          <w:tcPr>
            <w:tcW w:w="2708" w:type="dxa"/>
          </w:tcPr>
          <w:p w14:paraId="4038A17E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center"/>
            </w:pPr>
            <w:r w:rsidRPr="00C22DE5">
              <w:t>Benefício nas regiões Sul e Sudeste</w:t>
            </w:r>
          </w:p>
        </w:tc>
      </w:tr>
      <w:tr w:rsidR="00C22DE5" w:rsidRPr="00C22DE5" w14:paraId="5C8BEA36" w14:textId="77777777" w:rsidTr="00D81865">
        <w:tc>
          <w:tcPr>
            <w:tcW w:w="3914" w:type="dxa"/>
            <w:shd w:val="clear" w:color="auto" w:fill="auto"/>
          </w:tcPr>
          <w:p w14:paraId="042E42D1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both"/>
            </w:pPr>
            <w:r w:rsidRPr="00C22DE5">
              <w:t>Até 31 de dezembro de 2000</w:t>
            </w:r>
          </w:p>
        </w:tc>
        <w:tc>
          <w:tcPr>
            <w:tcW w:w="2558" w:type="dxa"/>
            <w:shd w:val="clear" w:color="auto" w:fill="auto"/>
          </w:tcPr>
          <w:p w14:paraId="7DC60072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both"/>
            </w:pPr>
            <w:r w:rsidRPr="00C22DE5">
              <w:t>Isenção</w:t>
            </w:r>
          </w:p>
        </w:tc>
        <w:tc>
          <w:tcPr>
            <w:tcW w:w="2708" w:type="dxa"/>
          </w:tcPr>
          <w:p w14:paraId="300C2248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both"/>
            </w:pPr>
            <w:r w:rsidRPr="00C22DE5">
              <w:t>Isenção</w:t>
            </w:r>
          </w:p>
        </w:tc>
      </w:tr>
      <w:tr w:rsidR="00C22DE5" w:rsidRPr="00C22DE5" w14:paraId="53550B56" w14:textId="77777777" w:rsidTr="00D81865">
        <w:tc>
          <w:tcPr>
            <w:tcW w:w="3914" w:type="dxa"/>
            <w:shd w:val="clear" w:color="auto" w:fill="auto"/>
          </w:tcPr>
          <w:p w14:paraId="7EA51372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both"/>
            </w:pPr>
            <w:r w:rsidRPr="00C22DE5">
              <w:rPr>
                <w:color w:val="000000"/>
              </w:rPr>
              <w:t>De 1</w:t>
            </w:r>
            <w:r w:rsidRPr="00C22DE5">
              <w:rPr>
                <w:color w:val="000000"/>
                <w:u w:val="single"/>
                <w:vertAlign w:val="superscript"/>
              </w:rPr>
              <w:t>o</w:t>
            </w:r>
            <w:r w:rsidRPr="00C22DE5">
              <w:rPr>
                <w:color w:val="000000"/>
              </w:rPr>
              <w:t> de janeiro de 2001 até 31 de dezembro de 2001.</w:t>
            </w:r>
          </w:p>
        </w:tc>
        <w:tc>
          <w:tcPr>
            <w:tcW w:w="2558" w:type="dxa"/>
            <w:shd w:val="clear" w:color="auto" w:fill="auto"/>
          </w:tcPr>
          <w:p w14:paraId="1DE809F5" w14:textId="405C8B03" w:rsidR="00C22DE5" w:rsidRPr="00C22DE5" w:rsidRDefault="009C55A2" w:rsidP="00C22DE5">
            <w:pPr>
              <w:suppressAutoHyphens w:val="0"/>
              <w:autoSpaceDE w:val="0"/>
              <w:autoSpaceDN w:val="0"/>
              <w:adjustRightInd w:val="0"/>
              <w:jc w:val="both"/>
            </w:pPr>
            <w:r w:rsidRPr="00C22DE5">
              <w:t>Isenção</w:t>
            </w:r>
          </w:p>
        </w:tc>
        <w:tc>
          <w:tcPr>
            <w:tcW w:w="2708" w:type="dxa"/>
          </w:tcPr>
          <w:p w14:paraId="69D2B41F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both"/>
            </w:pPr>
            <w:r w:rsidRPr="00C22DE5">
              <w:t>Redução de 95% nas alíquotas</w:t>
            </w:r>
          </w:p>
        </w:tc>
      </w:tr>
      <w:tr w:rsidR="00C22DE5" w:rsidRPr="00C22DE5" w14:paraId="17A4FD94" w14:textId="77777777" w:rsidTr="00D81865">
        <w:tc>
          <w:tcPr>
            <w:tcW w:w="3914" w:type="dxa"/>
            <w:shd w:val="clear" w:color="auto" w:fill="auto"/>
          </w:tcPr>
          <w:p w14:paraId="00A0C8AC" w14:textId="77777777" w:rsidR="00C22DE5" w:rsidRPr="00C22DE5" w:rsidRDefault="00C22DE5" w:rsidP="00C22DE5">
            <w:pPr>
              <w:suppressAutoHyphens w:val="0"/>
            </w:pPr>
            <w:r w:rsidRPr="00C22DE5">
              <w:t>De 1</w:t>
            </w:r>
            <w:r w:rsidRPr="00C22DE5">
              <w:rPr>
                <w:u w:val="single"/>
                <w:vertAlign w:val="superscript"/>
              </w:rPr>
              <w:t>o</w:t>
            </w:r>
            <w:r w:rsidRPr="00C22DE5">
              <w:t> de janeiro de 2002 até 31 de dezembro de 2002.</w:t>
            </w:r>
          </w:p>
        </w:tc>
        <w:tc>
          <w:tcPr>
            <w:tcW w:w="2558" w:type="dxa"/>
            <w:shd w:val="clear" w:color="auto" w:fill="auto"/>
          </w:tcPr>
          <w:p w14:paraId="333F2D93" w14:textId="7A83A4E3" w:rsidR="00C22DE5" w:rsidRPr="00C22DE5" w:rsidRDefault="009C55A2" w:rsidP="00C22DE5">
            <w:pPr>
              <w:suppressAutoHyphens w:val="0"/>
              <w:autoSpaceDE w:val="0"/>
              <w:autoSpaceDN w:val="0"/>
              <w:adjustRightInd w:val="0"/>
              <w:jc w:val="both"/>
            </w:pPr>
            <w:r w:rsidRPr="00C22DE5">
              <w:t>Isenção</w:t>
            </w:r>
          </w:p>
        </w:tc>
        <w:tc>
          <w:tcPr>
            <w:tcW w:w="2708" w:type="dxa"/>
          </w:tcPr>
          <w:p w14:paraId="19C437FF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both"/>
            </w:pPr>
            <w:r w:rsidRPr="00C22DE5">
              <w:t>Redução de 90% nas alíquotas</w:t>
            </w:r>
          </w:p>
        </w:tc>
      </w:tr>
      <w:tr w:rsidR="00C22DE5" w:rsidRPr="00C22DE5" w14:paraId="2464B464" w14:textId="77777777" w:rsidTr="00D81865">
        <w:tc>
          <w:tcPr>
            <w:tcW w:w="3914" w:type="dxa"/>
            <w:shd w:val="clear" w:color="auto" w:fill="auto"/>
          </w:tcPr>
          <w:p w14:paraId="2FA0E0FC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C22DE5">
              <w:rPr>
                <w:color w:val="000000"/>
              </w:rPr>
              <w:t>De 1</w:t>
            </w:r>
            <w:r w:rsidRPr="00C22DE5">
              <w:rPr>
                <w:color w:val="000000"/>
                <w:u w:val="single"/>
                <w:vertAlign w:val="superscript"/>
              </w:rPr>
              <w:t>o</w:t>
            </w:r>
            <w:r w:rsidRPr="00C22DE5">
              <w:rPr>
                <w:color w:val="000000"/>
              </w:rPr>
              <w:t> de janeiro de 2003 até 31 de dezembro de 2003.</w:t>
            </w:r>
          </w:p>
        </w:tc>
        <w:tc>
          <w:tcPr>
            <w:tcW w:w="2558" w:type="dxa"/>
            <w:shd w:val="clear" w:color="auto" w:fill="auto"/>
          </w:tcPr>
          <w:p w14:paraId="49E3E6F2" w14:textId="30740A33" w:rsidR="00C22DE5" w:rsidRPr="00C22DE5" w:rsidRDefault="009C55A2" w:rsidP="00C22DE5">
            <w:pPr>
              <w:suppressAutoHyphens w:val="0"/>
              <w:autoSpaceDE w:val="0"/>
              <w:autoSpaceDN w:val="0"/>
              <w:adjustRightInd w:val="0"/>
              <w:jc w:val="both"/>
            </w:pPr>
            <w:r w:rsidRPr="00C22DE5">
              <w:t>Isenção</w:t>
            </w:r>
          </w:p>
        </w:tc>
        <w:tc>
          <w:tcPr>
            <w:tcW w:w="2708" w:type="dxa"/>
          </w:tcPr>
          <w:p w14:paraId="471FA75F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both"/>
            </w:pPr>
            <w:r w:rsidRPr="00C22DE5">
              <w:t>Redução de 85% nas alíquotas</w:t>
            </w:r>
          </w:p>
        </w:tc>
      </w:tr>
      <w:tr w:rsidR="00C22DE5" w:rsidRPr="00C22DE5" w14:paraId="2DEFD457" w14:textId="77777777" w:rsidTr="00D81865">
        <w:tc>
          <w:tcPr>
            <w:tcW w:w="3914" w:type="dxa"/>
            <w:shd w:val="clear" w:color="auto" w:fill="auto"/>
          </w:tcPr>
          <w:p w14:paraId="466921BE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C22DE5">
              <w:rPr>
                <w:color w:val="000000"/>
              </w:rPr>
              <w:t>De 1</w:t>
            </w:r>
            <w:r w:rsidRPr="00C22DE5">
              <w:rPr>
                <w:color w:val="000000"/>
                <w:u w:val="single"/>
                <w:vertAlign w:val="superscript"/>
              </w:rPr>
              <w:t>o</w:t>
            </w:r>
            <w:r w:rsidRPr="00C22DE5">
              <w:rPr>
                <w:color w:val="000000"/>
              </w:rPr>
              <w:t> de janeiro de 2004 até 31 de dezembro de 2024.</w:t>
            </w:r>
          </w:p>
        </w:tc>
        <w:tc>
          <w:tcPr>
            <w:tcW w:w="2558" w:type="dxa"/>
            <w:shd w:val="clear" w:color="auto" w:fill="auto"/>
          </w:tcPr>
          <w:p w14:paraId="4A403F74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both"/>
            </w:pPr>
            <w:r w:rsidRPr="00C22DE5">
              <w:t>Redução de 95% nas alíquotas</w:t>
            </w:r>
          </w:p>
        </w:tc>
        <w:tc>
          <w:tcPr>
            <w:tcW w:w="2708" w:type="dxa"/>
          </w:tcPr>
          <w:p w14:paraId="1DCF1F48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both"/>
            </w:pPr>
            <w:r w:rsidRPr="00C22DE5">
              <w:t>Redução de 80% nas alíquotas</w:t>
            </w:r>
          </w:p>
        </w:tc>
      </w:tr>
      <w:tr w:rsidR="00C22DE5" w:rsidRPr="00C22DE5" w14:paraId="7C0F0300" w14:textId="77777777" w:rsidTr="00D81865">
        <w:tc>
          <w:tcPr>
            <w:tcW w:w="3914" w:type="dxa"/>
            <w:shd w:val="clear" w:color="auto" w:fill="auto"/>
          </w:tcPr>
          <w:p w14:paraId="64B1D682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C22DE5">
              <w:rPr>
                <w:color w:val="000000"/>
              </w:rPr>
              <w:t>De 1</w:t>
            </w:r>
            <w:r w:rsidRPr="00C22DE5">
              <w:rPr>
                <w:color w:val="000000"/>
                <w:u w:val="single"/>
                <w:vertAlign w:val="superscript"/>
              </w:rPr>
              <w:t>o</w:t>
            </w:r>
            <w:r w:rsidRPr="00C22DE5">
              <w:rPr>
                <w:color w:val="000000"/>
              </w:rPr>
              <w:t> de janeiro de 2025 até 31 de dezembro de 2026.</w:t>
            </w:r>
          </w:p>
        </w:tc>
        <w:tc>
          <w:tcPr>
            <w:tcW w:w="2558" w:type="dxa"/>
            <w:shd w:val="clear" w:color="auto" w:fill="auto"/>
          </w:tcPr>
          <w:p w14:paraId="157F2F51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both"/>
            </w:pPr>
            <w:r w:rsidRPr="00C22DE5">
              <w:t>Redução de 90% nas alíquotas</w:t>
            </w:r>
          </w:p>
        </w:tc>
        <w:tc>
          <w:tcPr>
            <w:tcW w:w="2708" w:type="dxa"/>
          </w:tcPr>
          <w:p w14:paraId="4B46F417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both"/>
            </w:pPr>
            <w:r w:rsidRPr="00C22DE5">
              <w:t>Redução de 75% nas alíquotas</w:t>
            </w:r>
          </w:p>
        </w:tc>
      </w:tr>
      <w:tr w:rsidR="00C22DE5" w:rsidRPr="00C22DE5" w14:paraId="28641907" w14:textId="77777777" w:rsidTr="00D81865">
        <w:tc>
          <w:tcPr>
            <w:tcW w:w="3914" w:type="dxa"/>
            <w:shd w:val="clear" w:color="auto" w:fill="auto"/>
          </w:tcPr>
          <w:p w14:paraId="66F2FF60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C22DE5">
              <w:rPr>
                <w:color w:val="000000"/>
              </w:rPr>
              <w:t>De 1</w:t>
            </w:r>
            <w:r w:rsidRPr="00C22DE5">
              <w:rPr>
                <w:color w:val="000000"/>
                <w:u w:val="single"/>
                <w:vertAlign w:val="superscript"/>
              </w:rPr>
              <w:t>o</w:t>
            </w:r>
            <w:r w:rsidRPr="00C22DE5">
              <w:rPr>
                <w:color w:val="000000"/>
              </w:rPr>
              <w:t> de janeiro de 2027 até 31 de dezembro de 2029.</w:t>
            </w:r>
          </w:p>
        </w:tc>
        <w:tc>
          <w:tcPr>
            <w:tcW w:w="2558" w:type="dxa"/>
            <w:shd w:val="clear" w:color="auto" w:fill="auto"/>
          </w:tcPr>
          <w:p w14:paraId="133BE0C4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both"/>
            </w:pPr>
            <w:r w:rsidRPr="00C22DE5">
              <w:t>Redução de 85% nas alíquotas</w:t>
            </w:r>
          </w:p>
        </w:tc>
        <w:tc>
          <w:tcPr>
            <w:tcW w:w="2708" w:type="dxa"/>
          </w:tcPr>
          <w:p w14:paraId="7B2A7F57" w14:textId="77777777" w:rsidR="00C22DE5" w:rsidRPr="00C22DE5" w:rsidRDefault="00C22DE5" w:rsidP="00C22DE5">
            <w:pPr>
              <w:suppressAutoHyphens w:val="0"/>
              <w:autoSpaceDE w:val="0"/>
              <w:autoSpaceDN w:val="0"/>
              <w:adjustRightInd w:val="0"/>
              <w:jc w:val="both"/>
            </w:pPr>
            <w:r w:rsidRPr="00C22DE5">
              <w:t>Redução de 70% nas alíquotas</w:t>
            </w:r>
          </w:p>
        </w:tc>
      </w:tr>
    </w:tbl>
    <w:p w14:paraId="2320F517" w14:textId="4BCC08FD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</w:pPr>
      <w:r w:rsidRPr="00C22DE5">
        <w:t xml:space="preserve">Fonte: Adaptado </w:t>
      </w:r>
      <w:r w:rsidR="00D865D3">
        <w:t xml:space="preserve">do </w:t>
      </w:r>
      <w:r w:rsidR="00D865D3" w:rsidRPr="00C22DE5">
        <w:rPr>
          <w:sz w:val="24"/>
          <w:szCs w:val="24"/>
        </w:rPr>
        <w:t>§</w:t>
      </w:r>
      <w:r w:rsidRPr="00C22DE5">
        <w:t>1º-A</w:t>
      </w:r>
      <w:r w:rsidR="00D865D3">
        <w:t>,</w:t>
      </w:r>
      <w:r w:rsidRPr="00C22DE5">
        <w:t xml:space="preserve"> no art. 4</w:t>
      </w:r>
      <w:r w:rsidR="00D865D3">
        <w:t>,</w:t>
      </w:r>
      <w:r w:rsidRPr="00C22DE5">
        <w:t xml:space="preserve"> da Lei nº 8.248/91.</w:t>
      </w:r>
    </w:p>
    <w:p w14:paraId="0D548802" w14:textId="7F9AE489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Em contrapartida, a concessão desses incentivos às empresas, só ocorre</w:t>
      </w:r>
      <w:r w:rsidR="00D865D3">
        <w:rPr>
          <w:sz w:val="24"/>
          <w:szCs w:val="24"/>
        </w:rPr>
        <w:t>,</w:t>
      </w:r>
      <w:r w:rsidRPr="00C22DE5">
        <w:rPr>
          <w:sz w:val="24"/>
          <w:szCs w:val="24"/>
        </w:rPr>
        <w:t xml:space="preserve"> conforme destacam Garcia e </w:t>
      </w:r>
      <w:proofErr w:type="spellStart"/>
      <w:r w:rsidRPr="00C22DE5">
        <w:rPr>
          <w:sz w:val="24"/>
          <w:szCs w:val="24"/>
        </w:rPr>
        <w:t>Roselino</w:t>
      </w:r>
      <w:proofErr w:type="spellEnd"/>
      <w:r w:rsidRPr="00C22DE5">
        <w:rPr>
          <w:sz w:val="24"/>
          <w:szCs w:val="24"/>
        </w:rPr>
        <w:t xml:space="preserve"> (2004)</w:t>
      </w:r>
      <w:r w:rsidR="00D865D3">
        <w:rPr>
          <w:sz w:val="24"/>
          <w:szCs w:val="24"/>
        </w:rPr>
        <w:t>,</w:t>
      </w:r>
      <w:r w:rsidRPr="00C22DE5">
        <w:rPr>
          <w:sz w:val="24"/>
          <w:szCs w:val="24"/>
        </w:rPr>
        <w:t xml:space="preserve"> mediante a realização do investimento de 5% do faturamento bruto da empresa em P&amp;D de produtos da área de informática e automação, além ter de seguir o Processo Produtivo Básico (PPB), que determina as etapas mínimas do processo produtivo.</w:t>
      </w:r>
      <w:r w:rsidR="00B93403">
        <w:rPr>
          <w:sz w:val="24"/>
          <w:szCs w:val="24"/>
        </w:rPr>
        <w:t xml:space="preserve"> </w:t>
      </w:r>
      <w:r w:rsidRPr="00C22DE5">
        <w:rPr>
          <w:sz w:val="24"/>
          <w:szCs w:val="24"/>
        </w:rPr>
        <w:t>O art. 16 do Decreto Lei 5.906/06</w:t>
      </w:r>
      <w:r w:rsidR="00D865D3">
        <w:rPr>
          <w:sz w:val="24"/>
          <w:szCs w:val="24"/>
        </w:rPr>
        <w:t>,</w:t>
      </w:r>
      <w:r w:rsidRPr="00C22DE5">
        <w:rPr>
          <w:sz w:val="24"/>
          <w:szCs w:val="24"/>
        </w:rPr>
        <w:t xml:space="preserve"> destaca que o processo produtivo básico é o conjunto mínimo de atividades fabris, que caracterizam a industrialização de um produto.</w:t>
      </w:r>
    </w:p>
    <w:p w14:paraId="33DF4CB6" w14:textId="28E3E624" w:rsidR="00C22DE5" w:rsidRPr="00C22DE5" w:rsidRDefault="00C22DE5" w:rsidP="00D865D3"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Dessa forma, para a obtenção dos benefícios, somente serão considerados os bens de informática e automação produzidos de acordo com o PPB definido pelo poder executivo, submetido proposta ao Ministério da Ciência e Tecnologia, conforme destacado no art.17 do Decreto Lei nº 5.906/06. Essa proposta, comumente chamada de “Pleito de PPB”, deverá ser elaborada em conformidade com a Portaria Interministerial MCT/MDIC nº 253 de 28/06/01 (</w:t>
      </w:r>
      <w:proofErr w:type="spellStart"/>
      <w:r w:rsidRPr="00C22DE5">
        <w:rPr>
          <w:sz w:val="24"/>
          <w:szCs w:val="24"/>
        </w:rPr>
        <w:t>Bromberg</w:t>
      </w:r>
      <w:proofErr w:type="spellEnd"/>
      <w:r w:rsidRPr="00C22DE5">
        <w:rPr>
          <w:sz w:val="24"/>
          <w:szCs w:val="24"/>
        </w:rPr>
        <w:t>, 2008).</w:t>
      </w:r>
      <w:r w:rsidR="009C55A2">
        <w:rPr>
          <w:sz w:val="24"/>
          <w:szCs w:val="24"/>
        </w:rPr>
        <w:t xml:space="preserve"> </w:t>
      </w:r>
      <w:r w:rsidRPr="00C22DE5">
        <w:rPr>
          <w:sz w:val="24"/>
          <w:szCs w:val="24"/>
        </w:rPr>
        <w:t xml:space="preserve">Gutierrez (2010) destaca ainda que além desses produtos cumprirem o PPB, </w:t>
      </w:r>
      <w:r w:rsidRPr="00C22DE5">
        <w:rPr>
          <w:sz w:val="24"/>
          <w:szCs w:val="24"/>
        </w:rPr>
        <w:lastRenderedPageBreak/>
        <w:t xml:space="preserve">os mesmos devem ser desenvolvidos no país, </w:t>
      </w:r>
      <w:r w:rsidR="00D865D3">
        <w:rPr>
          <w:sz w:val="24"/>
          <w:szCs w:val="24"/>
        </w:rPr>
        <w:t>ou seja</w:t>
      </w:r>
      <w:r w:rsidRPr="00C22DE5">
        <w:rPr>
          <w:sz w:val="24"/>
          <w:szCs w:val="24"/>
        </w:rPr>
        <w:t>, caracterizado</w:t>
      </w:r>
      <w:r w:rsidR="00D865D3">
        <w:rPr>
          <w:sz w:val="24"/>
          <w:szCs w:val="24"/>
        </w:rPr>
        <w:t>s</w:t>
      </w:r>
      <w:r w:rsidRPr="00C22DE5">
        <w:rPr>
          <w:sz w:val="24"/>
          <w:szCs w:val="24"/>
        </w:rPr>
        <w:t xml:space="preserve"> como produto de tecnologia nacional.</w:t>
      </w:r>
    </w:p>
    <w:p w14:paraId="188EB2AB" w14:textId="128BBD98" w:rsidR="00C22DE5" w:rsidRPr="00D865D3" w:rsidRDefault="00C22DE5" w:rsidP="00C22DE5"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 xml:space="preserve">A alíquota de investimentos está regulamentada no art. 11º da Lei n. 8.248/91, que determina que esses 5% deveriam ser provenientes da comercialização dos produtos incentivados, deduzidos os tributos referentes a tais comercializações. Quanto à distribuição </w:t>
      </w:r>
      <w:r w:rsidRPr="00D865D3">
        <w:rPr>
          <w:sz w:val="24"/>
          <w:szCs w:val="24"/>
        </w:rPr>
        <w:t xml:space="preserve">desses 5% de investimentos, Garcia e </w:t>
      </w:r>
      <w:proofErr w:type="spellStart"/>
      <w:r w:rsidRPr="00D865D3">
        <w:rPr>
          <w:sz w:val="24"/>
          <w:szCs w:val="24"/>
        </w:rPr>
        <w:t>Roselino</w:t>
      </w:r>
      <w:proofErr w:type="spellEnd"/>
      <w:r w:rsidRPr="00D865D3">
        <w:rPr>
          <w:sz w:val="24"/>
          <w:szCs w:val="24"/>
        </w:rPr>
        <w:t xml:space="preserve"> </w:t>
      </w:r>
      <w:r w:rsidRPr="001C7A78">
        <w:rPr>
          <w:sz w:val="24"/>
          <w:szCs w:val="24"/>
        </w:rPr>
        <w:t>(2004</w:t>
      </w:r>
      <w:r w:rsidR="00D865D3" w:rsidRPr="001C7A78">
        <w:rPr>
          <w:sz w:val="24"/>
          <w:szCs w:val="24"/>
        </w:rPr>
        <w:t xml:space="preserve">, p. </w:t>
      </w:r>
      <w:r w:rsidR="001C7A78" w:rsidRPr="001C7A78">
        <w:rPr>
          <w:sz w:val="24"/>
          <w:szCs w:val="24"/>
        </w:rPr>
        <w:t>180</w:t>
      </w:r>
      <w:r w:rsidRPr="00D865D3">
        <w:rPr>
          <w:sz w:val="24"/>
          <w:szCs w:val="24"/>
        </w:rPr>
        <w:t>) destacam:</w:t>
      </w:r>
    </w:p>
    <w:p w14:paraId="356907B7" w14:textId="77777777" w:rsidR="00C22DE5" w:rsidRPr="00C22DE5" w:rsidRDefault="00C22DE5" w:rsidP="00C22DE5">
      <w:pPr>
        <w:suppressAutoHyphens w:val="0"/>
        <w:autoSpaceDE w:val="0"/>
        <w:autoSpaceDN w:val="0"/>
        <w:adjustRightInd w:val="0"/>
        <w:ind w:left="2268"/>
        <w:jc w:val="both"/>
      </w:pPr>
      <w:r w:rsidRPr="00D865D3">
        <w:t>A empresa pode investir internamente 2,7% de seu faturamento. O restante (2,3%) deve ser alocado em centros ou institutos de pesquisa ou educação, uma parte obrigatoriamente, nas regiões Nordeste, Amazônica ou no Centro-Oeste e parte, depositado no Fundo Nacional de Desenvolvimento Científico e Tecnológico – FNDCT.</w:t>
      </w:r>
    </w:p>
    <w:p w14:paraId="1959B6CC" w14:textId="04FB4997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 xml:space="preserve">Ainda em relação a essa distribuição, o inciso I, do §1º, do art. 11, da Lei n. 8.248/91 determina que os investimentos alocados a centros ou institutos de pesquisa ou educação, não podem ser inferiores a 1%. O inciso II determina um investimento mínimo de 0,8%, para centros ou institutos de pesquisa ou educação com sede nas regiões da SUDAM, SUDENE e Centro-Oeste, excetuada a Zona Franca de Manaus. Os demais 0,5% são investidos </w:t>
      </w:r>
      <w:r w:rsidR="002A107B">
        <w:rPr>
          <w:sz w:val="24"/>
          <w:szCs w:val="24"/>
        </w:rPr>
        <w:t>por meio</w:t>
      </w:r>
      <w:r w:rsidRPr="00C22DE5">
        <w:rPr>
          <w:sz w:val="24"/>
          <w:szCs w:val="24"/>
        </w:rPr>
        <w:t xml:space="preserve"> de um depósito trimestral junto ao Fundo Nacional do Desenvolvimento Científico e Tecnológico – FNDCT, conforme estabelecido no inciso III. O disposto neste parágrafo não se aplica as empresas cujo faturamento bruto anual seja inferior a R$15.000.000,00 (quinze milhões de reais), conforme disposto no §11º.</w:t>
      </w:r>
    </w:p>
    <w:p w14:paraId="21C6763F" w14:textId="77777777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 xml:space="preserve">Garcia e </w:t>
      </w:r>
      <w:proofErr w:type="spellStart"/>
      <w:r w:rsidRPr="00C22DE5">
        <w:rPr>
          <w:sz w:val="24"/>
          <w:szCs w:val="24"/>
        </w:rPr>
        <w:t>Roselino</w:t>
      </w:r>
      <w:proofErr w:type="spellEnd"/>
      <w:r w:rsidRPr="00C22DE5">
        <w:rPr>
          <w:sz w:val="24"/>
          <w:szCs w:val="24"/>
        </w:rPr>
        <w:t xml:space="preserve"> (2004) destacam que a forma de divisão dos investimentos, mostra também uma preocupação em promover a cooperação entre empresas beneficiadas e institutos de pesquisa, estimulando ainda mais o desenvolvimento do complexo eletrônico nacional.</w:t>
      </w:r>
    </w:p>
    <w:p w14:paraId="55B302F6" w14:textId="77777777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Em relação à cooperação entre empresas e institutos de pesquisa Ramalho e Fernandes (2009, p. 111) descrevem que:</w:t>
      </w:r>
    </w:p>
    <w:p w14:paraId="4F857A6C" w14:textId="77777777" w:rsidR="00C22DE5" w:rsidRPr="00C22DE5" w:rsidRDefault="00C22DE5" w:rsidP="00C22DE5">
      <w:pPr>
        <w:suppressAutoHyphens w:val="0"/>
        <w:autoSpaceDE w:val="0"/>
        <w:autoSpaceDN w:val="0"/>
        <w:adjustRightInd w:val="0"/>
        <w:ind w:left="2268"/>
        <w:jc w:val="both"/>
      </w:pPr>
      <w:r w:rsidRPr="00C22DE5">
        <w:t>Como as atividades de P&amp;D poderiam ser desenvolvidas em parcerias com grupos e institutos de pesquisa nacionais, a ideia subjacente era promover a transferência de tecnologia para o sistema tecnológico nacional, e deste, para a indústria doméstica, impulsionando-se, assim, a elevação de sua intensidade de tecnologia.</w:t>
      </w:r>
    </w:p>
    <w:p w14:paraId="4EB66005" w14:textId="743E5454" w:rsidR="00C22DE5" w:rsidRPr="00776A0B" w:rsidRDefault="00C22DE5" w:rsidP="00776A0B">
      <w:pPr>
        <w:suppressAutoHyphens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C22DE5">
        <w:rPr>
          <w:sz w:val="24"/>
          <w:szCs w:val="24"/>
        </w:rPr>
        <w:tab/>
        <w:t>A concessão dos benefícios se dará mediante a apresentação de um pleito ao Ministério da Ciência e Tecnologia, que deverá cumprir as seguintes exigências conforme o art. 22, do Decreto Lei 5.906/06</w:t>
      </w:r>
      <w:r w:rsidRPr="00776A0B">
        <w:rPr>
          <w:sz w:val="24"/>
          <w:szCs w:val="24"/>
        </w:rPr>
        <w:t xml:space="preserve">: (i) </w:t>
      </w:r>
      <w:r w:rsidR="00776A0B">
        <w:rPr>
          <w:sz w:val="24"/>
          <w:szCs w:val="24"/>
        </w:rPr>
        <w:t>apresentar</w:t>
      </w:r>
      <w:r w:rsidRPr="00776A0B">
        <w:rPr>
          <w:sz w:val="24"/>
          <w:szCs w:val="24"/>
        </w:rPr>
        <w:t xml:space="preserve"> os produtos a serem fabricados; (</w:t>
      </w:r>
      <w:proofErr w:type="spellStart"/>
      <w:r w:rsidRPr="00776A0B">
        <w:rPr>
          <w:sz w:val="24"/>
          <w:szCs w:val="24"/>
        </w:rPr>
        <w:t>ii</w:t>
      </w:r>
      <w:proofErr w:type="spellEnd"/>
      <w:r w:rsidRPr="00776A0B">
        <w:rPr>
          <w:sz w:val="24"/>
          <w:szCs w:val="24"/>
        </w:rPr>
        <w:t>) contemplar o Plano de Pesquisa e Desenvolvimento; (</w:t>
      </w:r>
      <w:proofErr w:type="spellStart"/>
      <w:r w:rsidRPr="00776A0B">
        <w:rPr>
          <w:sz w:val="24"/>
          <w:szCs w:val="24"/>
        </w:rPr>
        <w:t>iii</w:t>
      </w:r>
      <w:proofErr w:type="spellEnd"/>
      <w:r w:rsidRPr="00776A0B">
        <w:rPr>
          <w:sz w:val="24"/>
          <w:szCs w:val="24"/>
        </w:rPr>
        <w:t xml:space="preserve">) </w:t>
      </w:r>
      <w:r w:rsidR="00776A0B">
        <w:rPr>
          <w:sz w:val="24"/>
          <w:szCs w:val="24"/>
        </w:rPr>
        <w:t>evidenciar</w:t>
      </w:r>
      <w:r w:rsidRPr="00776A0B">
        <w:rPr>
          <w:sz w:val="24"/>
          <w:szCs w:val="24"/>
        </w:rPr>
        <w:t xml:space="preserve"> que na industrialização dos produtos a empresa atenderá aos PPB; (</w:t>
      </w:r>
      <w:proofErr w:type="spellStart"/>
      <w:r w:rsidRPr="00776A0B">
        <w:rPr>
          <w:sz w:val="24"/>
          <w:szCs w:val="24"/>
        </w:rPr>
        <w:t>iv</w:t>
      </w:r>
      <w:proofErr w:type="spellEnd"/>
      <w:r w:rsidRPr="00776A0B">
        <w:rPr>
          <w:sz w:val="24"/>
          <w:szCs w:val="24"/>
        </w:rPr>
        <w:t xml:space="preserve">) </w:t>
      </w:r>
      <w:r w:rsidR="00776A0B">
        <w:rPr>
          <w:sz w:val="24"/>
          <w:szCs w:val="24"/>
        </w:rPr>
        <w:t>possuir</w:t>
      </w:r>
      <w:r w:rsidRPr="00776A0B">
        <w:rPr>
          <w:color w:val="000000"/>
          <w:sz w:val="24"/>
          <w:szCs w:val="24"/>
        </w:rPr>
        <w:t xml:space="preserve"> a Certidão Conjunta Negativa, ou Positiva com efeitos de negativa, de </w:t>
      </w:r>
      <w:r w:rsidR="00776A0B">
        <w:rPr>
          <w:color w:val="000000"/>
          <w:sz w:val="24"/>
          <w:szCs w:val="24"/>
        </w:rPr>
        <w:t>d</w:t>
      </w:r>
      <w:r w:rsidRPr="00776A0B">
        <w:rPr>
          <w:color w:val="000000"/>
          <w:sz w:val="24"/>
          <w:szCs w:val="24"/>
        </w:rPr>
        <w:t xml:space="preserve">ébitos </w:t>
      </w:r>
      <w:r w:rsidR="00776A0B">
        <w:rPr>
          <w:color w:val="000000"/>
          <w:sz w:val="24"/>
          <w:szCs w:val="24"/>
        </w:rPr>
        <w:t>referente a</w:t>
      </w:r>
      <w:r w:rsidRPr="00776A0B">
        <w:rPr>
          <w:color w:val="000000"/>
          <w:sz w:val="24"/>
          <w:szCs w:val="24"/>
        </w:rPr>
        <w:t xml:space="preserve"> </w:t>
      </w:r>
      <w:r w:rsidR="00776A0B">
        <w:rPr>
          <w:color w:val="000000"/>
          <w:sz w:val="24"/>
          <w:szCs w:val="24"/>
        </w:rPr>
        <w:t>t</w:t>
      </w:r>
      <w:r w:rsidRPr="00776A0B">
        <w:rPr>
          <w:color w:val="000000"/>
          <w:sz w:val="24"/>
          <w:szCs w:val="24"/>
        </w:rPr>
        <w:t xml:space="preserve">ributos </w:t>
      </w:r>
      <w:r w:rsidR="00776A0B">
        <w:rPr>
          <w:color w:val="000000"/>
          <w:sz w:val="24"/>
          <w:szCs w:val="24"/>
        </w:rPr>
        <w:t>f</w:t>
      </w:r>
      <w:r w:rsidRPr="00776A0B">
        <w:rPr>
          <w:color w:val="000000"/>
          <w:sz w:val="24"/>
          <w:szCs w:val="24"/>
        </w:rPr>
        <w:t>ederais</w:t>
      </w:r>
      <w:r w:rsidR="00776A0B">
        <w:rPr>
          <w:color w:val="000000"/>
          <w:sz w:val="24"/>
          <w:szCs w:val="24"/>
        </w:rPr>
        <w:t>, d</w:t>
      </w:r>
      <w:r w:rsidRPr="00776A0B">
        <w:rPr>
          <w:color w:val="000000"/>
          <w:sz w:val="24"/>
          <w:szCs w:val="24"/>
        </w:rPr>
        <w:t xml:space="preserve">ívida </w:t>
      </w:r>
      <w:r w:rsidR="00776A0B">
        <w:rPr>
          <w:color w:val="000000"/>
          <w:sz w:val="24"/>
          <w:szCs w:val="24"/>
        </w:rPr>
        <w:t>a</w:t>
      </w:r>
      <w:r w:rsidRPr="00776A0B">
        <w:rPr>
          <w:color w:val="000000"/>
          <w:sz w:val="24"/>
          <w:szCs w:val="24"/>
        </w:rPr>
        <w:t xml:space="preserve">tiva da </w:t>
      </w:r>
      <w:r w:rsidR="00776A0B">
        <w:rPr>
          <w:color w:val="000000"/>
          <w:sz w:val="24"/>
          <w:szCs w:val="24"/>
        </w:rPr>
        <w:t>u</w:t>
      </w:r>
      <w:r w:rsidRPr="00776A0B">
        <w:rPr>
          <w:color w:val="000000"/>
          <w:sz w:val="24"/>
          <w:szCs w:val="24"/>
        </w:rPr>
        <w:t>nião</w:t>
      </w:r>
      <w:r w:rsidR="00776A0B">
        <w:rPr>
          <w:color w:val="000000"/>
          <w:sz w:val="24"/>
          <w:szCs w:val="24"/>
        </w:rPr>
        <w:t>,</w:t>
      </w:r>
      <w:r w:rsidRPr="00776A0B">
        <w:rPr>
          <w:color w:val="000000"/>
          <w:sz w:val="24"/>
          <w:szCs w:val="24"/>
        </w:rPr>
        <w:t xml:space="preserve"> contribuições previdenciárias e </w:t>
      </w:r>
      <w:r w:rsidR="00776A0B">
        <w:rPr>
          <w:color w:val="000000"/>
          <w:sz w:val="24"/>
          <w:szCs w:val="24"/>
        </w:rPr>
        <w:t xml:space="preserve">ao </w:t>
      </w:r>
      <w:r w:rsidRPr="00776A0B">
        <w:rPr>
          <w:color w:val="000000"/>
          <w:sz w:val="24"/>
          <w:szCs w:val="24"/>
        </w:rPr>
        <w:t xml:space="preserve">FGTS; e (v)  comprovar, </w:t>
      </w:r>
      <w:r w:rsidR="00776A0B">
        <w:rPr>
          <w:color w:val="000000"/>
          <w:sz w:val="24"/>
          <w:szCs w:val="24"/>
        </w:rPr>
        <w:t>se necessário</w:t>
      </w:r>
      <w:r w:rsidRPr="00776A0B">
        <w:rPr>
          <w:color w:val="000000"/>
          <w:sz w:val="24"/>
          <w:szCs w:val="24"/>
        </w:rPr>
        <w:t>, que os produtos atendem ao requisito de serem desenvolvidos no País.</w:t>
      </w:r>
    </w:p>
    <w:p w14:paraId="0B57796C" w14:textId="663E630A" w:rsidR="00C22DE5" w:rsidRPr="0029140B" w:rsidRDefault="00C22DE5" w:rsidP="0029140B">
      <w:pPr>
        <w:suppressAutoHyphens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C22DE5">
        <w:rPr>
          <w:sz w:val="24"/>
          <w:szCs w:val="24"/>
        </w:rPr>
        <w:tab/>
      </w:r>
      <w:r w:rsidRPr="0029140B">
        <w:rPr>
          <w:sz w:val="24"/>
          <w:szCs w:val="24"/>
        </w:rPr>
        <w:t>Para fins de concessão do benefício, ser</w:t>
      </w:r>
      <w:r w:rsidR="00DA764F">
        <w:rPr>
          <w:sz w:val="24"/>
          <w:szCs w:val="24"/>
        </w:rPr>
        <w:t>ão</w:t>
      </w:r>
      <w:r w:rsidRPr="0029140B">
        <w:rPr>
          <w:sz w:val="24"/>
          <w:szCs w:val="24"/>
        </w:rPr>
        <w:t xml:space="preserve"> considerad</w:t>
      </w:r>
      <w:r w:rsidR="00DA764F">
        <w:rPr>
          <w:sz w:val="24"/>
          <w:szCs w:val="24"/>
        </w:rPr>
        <w:t>as</w:t>
      </w:r>
      <w:r w:rsidRPr="0029140B">
        <w:rPr>
          <w:sz w:val="24"/>
          <w:szCs w:val="24"/>
        </w:rPr>
        <w:t xml:space="preserve"> como atividades de pesquisa e desenvolvimento em tecnologias da informação, de acordo com o art. 24 do Decreto Lei nº 5.906/06</w:t>
      </w:r>
      <w:r w:rsidR="005A7342">
        <w:rPr>
          <w:sz w:val="24"/>
          <w:szCs w:val="24"/>
        </w:rPr>
        <w:t xml:space="preserve">, como, por exemplo, </w:t>
      </w:r>
      <w:r w:rsidR="0029140B" w:rsidRPr="0029140B">
        <w:rPr>
          <w:sz w:val="24"/>
          <w:szCs w:val="24"/>
        </w:rPr>
        <w:t xml:space="preserve"> </w:t>
      </w:r>
      <w:r w:rsidRPr="0029140B">
        <w:rPr>
          <w:color w:val="000000"/>
          <w:sz w:val="24"/>
          <w:szCs w:val="24"/>
        </w:rPr>
        <w:t>(i) trabalho teórico ou experimental</w:t>
      </w:r>
      <w:r w:rsidR="0029140B" w:rsidRPr="0029140B">
        <w:rPr>
          <w:color w:val="000000"/>
          <w:sz w:val="24"/>
          <w:szCs w:val="24"/>
        </w:rPr>
        <w:t xml:space="preserve"> que permite adquirir novos conhecimentos</w:t>
      </w:r>
      <w:r w:rsidRPr="0029140B">
        <w:rPr>
          <w:color w:val="000000"/>
          <w:sz w:val="24"/>
          <w:szCs w:val="24"/>
        </w:rPr>
        <w:t xml:space="preserve">, </w:t>
      </w:r>
      <w:r w:rsidR="0029140B">
        <w:rPr>
          <w:color w:val="000000"/>
          <w:sz w:val="24"/>
          <w:szCs w:val="24"/>
        </w:rPr>
        <w:t>mesmo que não tenha</w:t>
      </w:r>
      <w:r w:rsidRPr="0029140B">
        <w:rPr>
          <w:color w:val="000000"/>
          <w:sz w:val="24"/>
          <w:szCs w:val="24"/>
        </w:rPr>
        <w:t xml:space="preserve"> </w:t>
      </w:r>
      <w:r w:rsidR="0029140B">
        <w:rPr>
          <w:color w:val="000000"/>
          <w:sz w:val="24"/>
          <w:szCs w:val="24"/>
        </w:rPr>
        <w:t>geração de r</w:t>
      </w:r>
      <w:r w:rsidRPr="0029140B">
        <w:rPr>
          <w:color w:val="000000"/>
          <w:sz w:val="24"/>
          <w:szCs w:val="24"/>
        </w:rPr>
        <w:t>esultados</w:t>
      </w:r>
      <w:r w:rsidR="0029140B">
        <w:rPr>
          <w:color w:val="000000"/>
          <w:sz w:val="24"/>
          <w:szCs w:val="24"/>
        </w:rPr>
        <w:t xml:space="preserve"> práticos</w:t>
      </w:r>
      <w:r w:rsidRPr="0029140B">
        <w:rPr>
          <w:color w:val="000000"/>
          <w:sz w:val="24"/>
          <w:szCs w:val="24"/>
        </w:rPr>
        <w:t>; (</w:t>
      </w:r>
      <w:proofErr w:type="spellStart"/>
      <w:r w:rsidRPr="0029140B">
        <w:rPr>
          <w:color w:val="000000"/>
          <w:sz w:val="24"/>
          <w:szCs w:val="24"/>
        </w:rPr>
        <w:t>ii</w:t>
      </w:r>
      <w:proofErr w:type="spellEnd"/>
      <w:r w:rsidRPr="0029140B">
        <w:rPr>
          <w:color w:val="000000"/>
          <w:sz w:val="24"/>
          <w:szCs w:val="24"/>
        </w:rPr>
        <w:t xml:space="preserve">)  trabalho </w:t>
      </w:r>
      <w:r w:rsidR="0029140B" w:rsidRPr="0029140B">
        <w:rPr>
          <w:color w:val="000000"/>
          <w:sz w:val="24"/>
          <w:szCs w:val="24"/>
        </w:rPr>
        <w:t>que utiliza</w:t>
      </w:r>
      <w:r w:rsidRPr="0029140B">
        <w:rPr>
          <w:color w:val="000000"/>
          <w:sz w:val="24"/>
          <w:szCs w:val="24"/>
        </w:rPr>
        <w:t xml:space="preserve"> o conhecimento adquirido na pesquisa ou experiência prática, para desenvolver</w:t>
      </w:r>
      <w:r w:rsidR="0029140B">
        <w:rPr>
          <w:color w:val="000000"/>
          <w:sz w:val="24"/>
          <w:szCs w:val="24"/>
        </w:rPr>
        <w:t xml:space="preserve">, por exemplo, </w:t>
      </w:r>
      <w:r w:rsidRPr="0029140B">
        <w:rPr>
          <w:color w:val="000000"/>
          <w:sz w:val="24"/>
          <w:szCs w:val="24"/>
        </w:rPr>
        <w:t xml:space="preserve"> novos materiais, produtos, dispositivos ou programas de computador, para implementar novos processos, sistemas ou serviços ou, então, para </w:t>
      </w:r>
      <w:r w:rsidR="0029140B">
        <w:rPr>
          <w:color w:val="000000"/>
          <w:sz w:val="24"/>
          <w:szCs w:val="24"/>
        </w:rPr>
        <w:t xml:space="preserve">por meio de características inovadoras, </w:t>
      </w:r>
      <w:r w:rsidRPr="0029140B">
        <w:rPr>
          <w:color w:val="000000"/>
          <w:sz w:val="24"/>
          <w:szCs w:val="24"/>
        </w:rPr>
        <w:t>aperfeiçoar os já produzidos ou implantados, (</w:t>
      </w:r>
      <w:proofErr w:type="spellStart"/>
      <w:r w:rsidRPr="0029140B">
        <w:rPr>
          <w:color w:val="000000"/>
          <w:sz w:val="24"/>
          <w:szCs w:val="24"/>
        </w:rPr>
        <w:t>iii</w:t>
      </w:r>
      <w:proofErr w:type="spellEnd"/>
      <w:r w:rsidRPr="0029140B">
        <w:rPr>
          <w:color w:val="000000"/>
          <w:sz w:val="24"/>
          <w:szCs w:val="24"/>
        </w:rPr>
        <w:t xml:space="preserve">)  serviço científico e tecnológico de assessoria, consultoria, estudos, ensaios, </w:t>
      </w:r>
      <w:r w:rsidR="005A7342">
        <w:rPr>
          <w:color w:val="000000"/>
          <w:sz w:val="24"/>
          <w:szCs w:val="24"/>
        </w:rPr>
        <w:t xml:space="preserve">entre outros,  </w:t>
      </w:r>
      <w:r w:rsidRPr="0029140B">
        <w:rPr>
          <w:color w:val="000000"/>
          <w:sz w:val="24"/>
          <w:szCs w:val="24"/>
        </w:rPr>
        <w:t>bem como</w:t>
      </w:r>
      <w:r w:rsidR="005A7342">
        <w:rPr>
          <w:color w:val="000000"/>
          <w:sz w:val="24"/>
          <w:szCs w:val="24"/>
        </w:rPr>
        <w:t>,</w:t>
      </w:r>
      <w:r w:rsidRPr="0029140B">
        <w:rPr>
          <w:color w:val="000000"/>
          <w:sz w:val="24"/>
          <w:szCs w:val="24"/>
        </w:rPr>
        <w:t xml:space="preserve"> implantação e operação de incubadoras de base tecnológica em tecnologias da informação, desde que associadas a quaisquer das atividades previstas nos incisos (i) e (</w:t>
      </w:r>
      <w:proofErr w:type="spellStart"/>
      <w:r w:rsidRPr="0029140B">
        <w:rPr>
          <w:color w:val="000000"/>
          <w:sz w:val="24"/>
          <w:szCs w:val="24"/>
        </w:rPr>
        <w:t>ii</w:t>
      </w:r>
      <w:proofErr w:type="spellEnd"/>
      <w:r w:rsidRPr="0029140B">
        <w:rPr>
          <w:color w:val="000000"/>
          <w:sz w:val="24"/>
          <w:szCs w:val="24"/>
        </w:rPr>
        <w:t>) deste artigo; (</w:t>
      </w:r>
      <w:proofErr w:type="spellStart"/>
      <w:r w:rsidRPr="0029140B">
        <w:rPr>
          <w:color w:val="000000"/>
          <w:sz w:val="24"/>
          <w:szCs w:val="24"/>
        </w:rPr>
        <w:t>iv</w:t>
      </w:r>
      <w:proofErr w:type="spellEnd"/>
      <w:r w:rsidRPr="0029140B">
        <w:rPr>
          <w:color w:val="000000"/>
          <w:sz w:val="24"/>
          <w:szCs w:val="24"/>
        </w:rPr>
        <w:t>) formação ou capacitação profissional de níveis médio e superior.</w:t>
      </w:r>
    </w:p>
    <w:p w14:paraId="3D70E040" w14:textId="3876BEA3" w:rsidR="009C55A2" w:rsidRDefault="00C22DE5" w:rsidP="00DA764F">
      <w:pPr>
        <w:suppressAutoHyphens w:val="0"/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C22DE5">
        <w:rPr>
          <w:color w:val="000000"/>
          <w:sz w:val="24"/>
          <w:szCs w:val="24"/>
        </w:rPr>
        <w:lastRenderedPageBreak/>
        <w:t xml:space="preserve">Os gastos realizados na execução ou contratação das atividades especificadas no art. 24 serão enquadrados como dispêndios de pesquisa e </w:t>
      </w:r>
      <w:r w:rsidR="009C55A2" w:rsidRPr="00C22DE5">
        <w:rPr>
          <w:color w:val="000000"/>
          <w:sz w:val="24"/>
          <w:szCs w:val="24"/>
        </w:rPr>
        <w:t>desenvolvimento, de</w:t>
      </w:r>
      <w:r w:rsidRPr="00C22DE5">
        <w:rPr>
          <w:color w:val="000000"/>
          <w:sz w:val="24"/>
          <w:szCs w:val="24"/>
        </w:rPr>
        <w:t xml:space="preserve"> acordo com o art. 25, do </w:t>
      </w:r>
      <w:r w:rsidR="00331511">
        <w:rPr>
          <w:color w:val="000000"/>
          <w:sz w:val="24"/>
          <w:szCs w:val="24"/>
        </w:rPr>
        <w:t>D</w:t>
      </w:r>
      <w:r w:rsidRPr="00C22DE5">
        <w:rPr>
          <w:color w:val="000000"/>
          <w:sz w:val="24"/>
          <w:szCs w:val="24"/>
        </w:rPr>
        <w:t xml:space="preserve">ecreto Lei nº 5.906/06, desde que se refiram a: </w:t>
      </w:r>
    </w:p>
    <w:p w14:paraId="35D9E74C" w14:textId="2E57BCB6" w:rsidR="00C22DE5" w:rsidRPr="009C55A2" w:rsidRDefault="00C22DE5" w:rsidP="009C55A2">
      <w:pPr>
        <w:suppressAutoHyphens w:val="0"/>
        <w:autoSpaceDE w:val="0"/>
        <w:autoSpaceDN w:val="0"/>
        <w:adjustRightInd w:val="0"/>
        <w:ind w:left="2268"/>
        <w:jc w:val="both"/>
        <w:rPr>
          <w:color w:val="000000"/>
        </w:rPr>
      </w:pPr>
      <w:r w:rsidRPr="009C55A2">
        <w:rPr>
          <w:color w:val="000000"/>
        </w:rPr>
        <w:t>(i) uso de programas de computador, de máquinas, equipamentos, aparelhos e instrumentos, seus acessórios, sobressalentes e ferramentas, assim como serviço de instalação dessas máquinas e equipamentos; (</w:t>
      </w:r>
      <w:proofErr w:type="spellStart"/>
      <w:r w:rsidRPr="009C55A2">
        <w:rPr>
          <w:color w:val="000000"/>
        </w:rPr>
        <w:t>ii</w:t>
      </w:r>
      <w:proofErr w:type="spellEnd"/>
      <w:r w:rsidRPr="009C55A2">
        <w:rPr>
          <w:color w:val="000000"/>
        </w:rPr>
        <w:t>) implantação, ampliação ou modernização de laboratórios de pesquisa e desenvolvimento; (</w:t>
      </w:r>
      <w:proofErr w:type="spellStart"/>
      <w:r w:rsidRPr="009C55A2">
        <w:rPr>
          <w:color w:val="000000"/>
        </w:rPr>
        <w:t>iii</w:t>
      </w:r>
      <w:proofErr w:type="spellEnd"/>
      <w:r w:rsidRPr="009C55A2">
        <w:rPr>
          <w:color w:val="000000"/>
        </w:rPr>
        <w:t>) recursos humanos diretos; (</w:t>
      </w:r>
      <w:proofErr w:type="spellStart"/>
      <w:r w:rsidRPr="009C55A2">
        <w:rPr>
          <w:color w:val="000000"/>
        </w:rPr>
        <w:t>iv</w:t>
      </w:r>
      <w:proofErr w:type="spellEnd"/>
      <w:r w:rsidRPr="009C55A2">
        <w:rPr>
          <w:color w:val="000000"/>
        </w:rPr>
        <w:t>) recursos humanos indiretos; (v) aquisições de livros e periódicos técnicos; (vi) materiais de consumo; (</w:t>
      </w:r>
      <w:proofErr w:type="spellStart"/>
      <w:r w:rsidRPr="009C55A2">
        <w:rPr>
          <w:color w:val="000000"/>
        </w:rPr>
        <w:t>vii</w:t>
      </w:r>
      <w:proofErr w:type="spellEnd"/>
      <w:r w:rsidRPr="009C55A2">
        <w:rPr>
          <w:color w:val="000000"/>
        </w:rPr>
        <w:t>) viagens; (</w:t>
      </w:r>
      <w:proofErr w:type="spellStart"/>
      <w:r w:rsidRPr="009C55A2">
        <w:rPr>
          <w:color w:val="000000"/>
        </w:rPr>
        <w:t>viii</w:t>
      </w:r>
      <w:proofErr w:type="spellEnd"/>
      <w:r w:rsidRPr="009C55A2">
        <w:rPr>
          <w:color w:val="000000"/>
        </w:rPr>
        <w:t>) treinamento; (</w:t>
      </w:r>
      <w:proofErr w:type="spellStart"/>
      <w:r w:rsidRPr="009C55A2">
        <w:rPr>
          <w:color w:val="000000"/>
        </w:rPr>
        <w:t>ix</w:t>
      </w:r>
      <w:proofErr w:type="spellEnd"/>
      <w:r w:rsidRPr="009C55A2">
        <w:rPr>
          <w:color w:val="000000"/>
        </w:rPr>
        <w:t>) serviços técnicos de terceiros; e (x) outros correlatos.</w:t>
      </w:r>
    </w:p>
    <w:p w14:paraId="038B17E5" w14:textId="6DC67ABC" w:rsidR="00C22DE5" w:rsidRPr="00C22DE5" w:rsidRDefault="00C22DE5" w:rsidP="00FE5207">
      <w:pPr>
        <w:suppressAutoHyphens w:val="0"/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C22DE5">
        <w:rPr>
          <w:sz w:val="24"/>
          <w:szCs w:val="24"/>
        </w:rPr>
        <w:t xml:space="preserve">Dessa forma, Garcia e </w:t>
      </w:r>
      <w:proofErr w:type="spellStart"/>
      <w:r w:rsidRPr="00C22DE5">
        <w:rPr>
          <w:sz w:val="24"/>
          <w:szCs w:val="24"/>
        </w:rPr>
        <w:t>Roselino</w:t>
      </w:r>
      <w:proofErr w:type="spellEnd"/>
      <w:r w:rsidRPr="00C22DE5">
        <w:rPr>
          <w:sz w:val="24"/>
          <w:szCs w:val="24"/>
        </w:rPr>
        <w:t xml:space="preserve"> (2004) destacam que toda atividade relacionada à pesquisa e desenvolvimento e vinculada ao complexo eletrônico pode usufruir dos incentivos fiscais previstos na Lei d</w:t>
      </w:r>
      <w:r w:rsidR="00885895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Informática.</w:t>
      </w:r>
    </w:p>
    <w:p w14:paraId="0A205209" w14:textId="54202AB3" w:rsidR="00C22DE5" w:rsidRPr="00C22DE5" w:rsidRDefault="00C22DE5" w:rsidP="00C22DE5">
      <w:pPr>
        <w:suppressAutoHyphens w:val="0"/>
        <w:autoSpaceDE w:val="0"/>
        <w:autoSpaceDN w:val="0"/>
        <w:adjustRightInd w:val="0"/>
        <w:ind w:firstLine="45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>Desse modo, a Lei d</w:t>
      </w:r>
      <w:r w:rsidR="00885895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 visa estimular o desenvolvimento do complexo industrial eletrônico no Brasil, beneficiando com a redução nas alíquotas de IPI, as atividades relacionadas ao investimento em P&amp;D nas áreas de automação e informática.</w:t>
      </w:r>
    </w:p>
    <w:p w14:paraId="0166A10A" w14:textId="77777777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C22DE5">
        <w:rPr>
          <w:b/>
          <w:sz w:val="24"/>
          <w:szCs w:val="24"/>
        </w:rPr>
        <w:t>2.2.2 Incentivos Fiscais da Lei de Informática de Santa Catarina</w:t>
      </w:r>
    </w:p>
    <w:p w14:paraId="07C71927" w14:textId="77777777" w:rsidR="00C22DE5" w:rsidRPr="00C22DE5" w:rsidRDefault="00C22DE5" w:rsidP="00C22DE5">
      <w:pPr>
        <w:suppressAutoHyphens w:val="0"/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C22DE5">
        <w:rPr>
          <w:sz w:val="24"/>
          <w:szCs w:val="24"/>
        </w:rPr>
        <w:t>Alguns estados, como o de Santa Catarina, proporcionam também às empresas, além das reduções nas alíquotas de IPI, a oportunidade do aproveitamento do crédito presumido do ICMS. No estado catarinense, este benefício está regulamentado pelo Decreto nº 2.024/04, que introduz a alteração 581, ao Regulamento do ICMS do Estado.</w:t>
      </w:r>
    </w:p>
    <w:p w14:paraId="7C1C94CD" w14:textId="7B36FAC2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Quanto às empresas que podem aproveitar esse crédito de ICMS, o art. 143 do Decreto 2.024/04, determina que as empresas devam: (i) industrializar aqueles produtos dispostos na Lei d</w:t>
      </w:r>
      <w:r w:rsidR="00E9164C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Informática; (</w:t>
      </w:r>
      <w:proofErr w:type="spellStart"/>
      <w:r w:rsidRPr="00C22DE5">
        <w:rPr>
          <w:sz w:val="24"/>
          <w:szCs w:val="24"/>
        </w:rPr>
        <w:t>ii</w:t>
      </w:r>
      <w:proofErr w:type="spellEnd"/>
      <w:r w:rsidRPr="00C22DE5">
        <w:rPr>
          <w:sz w:val="24"/>
          <w:szCs w:val="24"/>
        </w:rPr>
        <w:t>) investir em P&amp;D os percentuais dispostos pela Lei d</w:t>
      </w:r>
      <w:r w:rsidR="00E9164C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Informática; (</w:t>
      </w:r>
      <w:proofErr w:type="spellStart"/>
      <w:r w:rsidRPr="00C22DE5">
        <w:rPr>
          <w:sz w:val="24"/>
          <w:szCs w:val="24"/>
        </w:rPr>
        <w:t>iii</w:t>
      </w:r>
      <w:proofErr w:type="spellEnd"/>
      <w:r w:rsidRPr="00C22DE5">
        <w:rPr>
          <w:sz w:val="24"/>
          <w:szCs w:val="24"/>
        </w:rPr>
        <w:t>) possuir um sistema de gestão ambiental certificado por algum órgão de certificação reconhecido pelo INMETRO (Instituto Nacional de Metrologia); (</w:t>
      </w:r>
      <w:proofErr w:type="spellStart"/>
      <w:r w:rsidRPr="00C22DE5">
        <w:rPr>
          <w:sz w:val="24"/>
          <w:szCs w:val="24"/>
        </w:rPr>
        <w:t>iv</w:t>
      </w:r>
      <w:proofErr w:type="spellEnd"/>
      <w:r w:rsidRPr="00C22DE5">
        <w:rPr>
          <w:sz w:val="24"/>
          <w:szCs w:val="24"/>
        </w:rPr>
        <w:t>) possuir um projeto industrial aprovado pela Secretária do Estado de Planejamento, Orçamento e Gestão.</w:t>
      </w:r>
    </w:p>
    <w:p w14:paraId="6F85800B" w14:textId="2D874475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C22DE5">
        <w:rPr>
          <w:sz w:val="24"/>
          <w:szCs w:val="24"/>
        </w:rPr>
        <w:tab/>
        <w:t>Diante do exposto, o § 2, do art. 142 do Decreto 2.024/04, regulamenta o pedido de concessão do benefício, que deve ser instruído com as prerrogativas de: (i)</w:t>
      </w:r>
      <w:r w:rsidRPr="00C22DE5">
        <w:rPr>
          <w:color w:val="000000"/>
          <w:sz w:val="24"/>
          <w:szCs w:val="24"/>
        </w:rPr>
        <w:t xml:space="preserve"> documentos que comprovem o cumprimento das exigências contidas no art. 143; (</w:t>
      </w:r>
      <w:proofErr w:type="spellStart"/>
      <w:r w:rsidRPr="00C22DE5">
        <w:rPr>
          <w:color w:val="000000"/>
          <w:sz w:val="24"/>
          <w:szCs w:val="24"/>
        </w:rPr>
        <w:t>ii</w:t>
      </w:r>
      <w:proofErr w:type="spellEnd"/>
      <w:r w:rsidRPr="00C22DE5">
        <w:rPr>
          <w:color w:val="000000"/>
          <w:sz w:val="24"/>
          <w:szCs w:val="24"/>
        </w:rPr>
        <w:t>) certidão negativa de tributos estaduais; (</w:t>
      </w:r>
      <w:proofErr w:type="spellStart"/>
      <w:r w:rsidRPr="00C22DE5">
        <w:rPr>
          <w:color w:val="000000"/>
          <w:sz w:val="24"/>
          <w:szCs w:val="24"/>
        </w:rPr>
        <w:t>iii</w:t>
      </w:r>
      <w:proofErr w:type="spellEnd"/>
      <w:r w:rsidRPr="00C22DE5">
        <w:rPr>
          <w:color w:val="000000"/>
          <w:sz w:val="24"/>
          <w:szCs w:val="24"/>
        </w:rPr>
        <w:t>) outros documentos julgados necessários pela autoridade concedente.</w:t>
      </w:r>
    </w:p>
    <w:p w14:paraId="3B22C6DC" w14:textId="7CF29CDF" w:rsidR="00C22DE5" w:rsidRPr="00C22DE5" w:rsidRDefault="00C22DE5" w:rsidP="00C22DE5">
      <w:pPr>
        <w:suppressAutoHyphens w:val="0"/>
        <w:ind w:firstLine="708"/>
        <w:jc w:val="both"/>
        <w:rPr>
          <w:color w:val="000000"/>
          <w:sz w:val="24"/>
          <w:szCs w:val="24"/>
        </w:rPr>
      </w:pPr>
      <w:r w:rsidRPr="00C22DE5">
        <w:rPr>
          <w:color w:val="000000"/>
          <w:sz w:val="24"/>
          <w:szCs w:val="24"/>
        </w:rPr>
        <w:t xml:space="preserve">Esse crédito presumido do ICMS, conforme destacado no art. 144 do </w:t>
      </w:r>
      <w:r w:rsidRPr="00C22DE5">
        <w:rPr>
          <w:sz w:val="24"/>
          <w:szCs w:val="24"/>
        </w:rPr>
        <w:t>Decreto 2.024/04</w:t>
      </w:r>
      <w:r w:rsidRPr="00C22DE5">
        <w:rPr>
          <w:color w:val="000000"/>
          <w:sz w:val="24"/>
          <w:szCs w:val="24"/>
        </w:rPr>
        <w:t>, será equivalente a 96,5% para a saída de produtos de informática resultantes da industrialização, e que atendam as disposições contidas na Lei d</w:t>
      </w:r>
      <w:r w:rsidR="00885895">
        <w:rPr>
          <w:color w:val="000000"/>
          <w:sz w:val="24"/>
          <w:szCs w:val="24"/>
        </w:rPr>
        <w:t>e</w:t>
      </w:r>
      <w:r w:rsidRPr="00C22DE5">
        <w:rPr>
          <w:color w:val="000000"/>
          <w:sz w:val="24"/>
          <w:szCs w:val="24"/>
        </w:rPr>
        <w:t xml:space="preserve"> Informática.</w:t>
      </w:r>
      <w:r w:rsidR="00E9164C">
        <w:rPr>
          <w:color w:val="000000"/>
          <w:sz w:val="24"/>
          <w:szCs w:val="24"/>
        </w:rPr>
        <w:t xml:space="preserve"> </w:t>
      </w:r>
      <w:r w:rsidRPr="00C22DE5">
        <w:rPr>
          <w:color w:val="000000"/>
          <w:sz w:val="24"/>
          <w:szCs w:val="24"/>
        </w:rPr>
        <w:t xml:space="preserve">Já os produtos que não atendam essas disposições, terão o crédito presumido, conforme determina o art. 145 </w:t>
      </w:r>
      <w:r w:rsidRPr="00C22DE5">
        <w:rPr>
          <w:sz w:val="24"/>
          <w:szCs w:val="24"/>
        </w:rPr>
        <w:t>Decreto 2.024/04</w:t>
      </w:r>
      <w:r w:rsidRPr="00C22DE5">
        <w:rPr>
          <w:color w:val="000000"/>
          <w:sz w:val="24"/>
          <w:szCs w:val="24"/>
        </w:rPr>
        <w:t>: (i) 79,42% nas saídas tributadas à alíquota de 17%; (</w:t>
      </w:r>
      <w:proofErr w:type="spellStart"/>
      <w:r w:rsidRPr="00C22DE5">
        <w:rPr>
          <w:color w:val="000000"/>
          <w:sz w:val="24"/>
          <w:szCs w:val="24"/>
        </w:rPr>
        <w:t>ii</w:t>
      </w:r>
      <w:proofErr w:type="spellEnd"/>
      <w:r w:rsidRPr="00C22DE5">
        <w:rPr>
          <w:color w:val="000000"/>
          <w:sz w:val="24"/>
          <w:szCs w:val="24"/>
        </w:rPr>
        <w:t>) 70, 84% nas saídas tributadas à alíquota de 12%; (</w:t>
      </w:r>
      <w:proofErr w:type="spellStart"/>
      <w:r w:rsidRPr="00C22DE5">
        <w:rPr>
          <w:color w:val="000000"/>
          <w:sz w:val="24"/>
          <w:szCs w:val="24"/>
        </w:rPr>
        <w:t>iii</w:t>
      </w:r>
      <w:proofErr w:type="spellEnd"/>
      <w:r w:rsidRPr="00C22DE5">
        <w:rPr>
          <w:color w:val="000000"/>
          <w:sz w:val="24"/>
          <w:szCs w:val="24"/>
        </w:rPr>
        <w:t>) 50% nas saídas tributadas à alíquota de 7%.</w:t>
      </w:r>
    </w:p>
    <w:p w14:paraId="4033CC0D" w14:textId="77777777" w:rsidR="00C22DE5" w:rsidRPr="00C22DE5" w:rsidRDefault="00C22DE5" w:rsidP="00C22DE5">
      <w:pPr>
        <w:suppressAutoHyphens w:val="0"/>
        <w:ind w:firstLine="851"/>
        <w:jc w:val="both"/>
        <w:rPr>
          <w:color w:val="000000"/>
          <w:sz w:val="24"/>
          <w:szCs w:val="24"/>
        </w:rPr>
      </w:pPr>
      <w:r w:rsidRPr="00C22DE5">
        <w:rPr>
          <w:color w:val="000000"/>
          <w:sz w:val="24"/>
          <w:szCs w:val="24"/>
        </w:rPr>
        <w:t>Ainda como condição para a empresa usufruir desse benefício, o parágrafo 1 do art. 146, dispõe que a empresa precisa auferir os seguintes percentuais do valor total do faturamento anual, como venda de produtos fabricados no estabelecimento industrial: (i) 25% no primeiro ano de produção; (</w:t>
      </w:r>
      <w:proofErr w:type="spellStart"/>
      <w:r w:rsidRPr="00C22DE5">
        <w:rPr>
          <w:color w:val="000000"/>
          <w:sz w:val="24"/>
          <w:szCs w:val="24"/>
        </w:rPr>
        <w:t>ii</w:t>
      </w:r>
      <w:proofErr w:type="spellEnd"/>
      <w:r w:rsidRPr="00C22DE5">
        <w:rPr>
          <w:color w:val="000000"/>
          <w:sz w:val="24"/>
          <w:szCs w:val="24"/>
        </w:rPr>
        <w:t>) 33% no segundo ano de produção; (</w:t>
      </w:r>
      <w:proofErr w:type="spellStart"/>
      <w:r w:rsidRPr="00C22DE5">
        <w:rPr>
          <w:color w:val="000000"/>
          <w:sz w:val="24"/>
          <w:szCs w:val="24"/>
        </w:rPr>
        <w:t>iii</w:t>
      </w:r>
      <w:proofErr w:type="spellEnd"/>
      <w:r w:rsidRPr="00C22DE5">
        <w:rPr>
          <w:color w:val="000000"/>
          <w:sz w:val="24"/>
          <w:szCs w:val="24"/>
        </w:rPr>
        <w:t>) 40%  no terceiro ano de produção; (</w:t>
      </w:r>
      <w:proofErr w:type="spellStart"/>
      <w:r w:rsidRPr="00C22DE5">
        <w:rPr>
          <w:color w:val="000000"/>
          <w:sz w:val="24"/>
          <w:szCs w:val="24"/>
        </w:rPr>
        <w:t>iv</w:t>
      </w:r>
      <w:proofErr w:type="spellEnd"/>
      <w:r w:rsidRPr="00C22DE5">
        <w:rPr>
          <w:color w:val="000000"/>
          <w:sz w:val="24"/>
          <w:szCs w:val="24"/>
        </w:rPr>
        <w:t>) 50% a partir do quarto ano de produção.</w:t>
      </w:r>
    </w:p>
    <w:p w14:paraId="1E27D84E" w14:textId="09B348C5" w:rsidR="00C22DE5" w:rsidRDefault="00C22DE5" w:rsidP="00C22DE5">
      <w:pPr>
        <w:suppressAutoHyphens w:val="0"/>
        <w:ind w:firstLine="851"/>
        <w:jc w:val="both"/>
        <w:rPr>
          <w:color w:val="000000"/>
          <w:sz w:val="24"/>
          <w:szCs w:val="24"/>
        </w:rPr>
      </w:pPr>
      <w:r w:rsidRPr="00C22DE5">
        <w:rPr>
          <w:color w:val="000000"/>
          <w:sz w:val="24"/>
          <w:szCs w:val="24"/>
        </w:rPr>
        <w:t>Dessa forma, além da redução nas alíquotas de IPI, previstas na legislação federal, as empresas de Santa Catarina que investirem em pesquisa e desenvolvimento de produtos da área de informática e automação, podem usufruir também, na forma de incentivos fiscais, de uma redução nas alíquotas de ICMS.</w:t>
      </w:r>
    </w:p>
    <w:p w14:paraId="3DFB57AD" w14:textId="77777777" w:rsidR="004F35B8" w:rsidRPr="00C22DE5" w:rsidRDefault="004F35B8" w:rsidP="00C22DE5">
      <w:pPr>
        <w:suppressAutoHyphens w:val="0"/>
        <w:ind w:firstLine="851"/>
        <w:jc w:val="both"/>
        <w:rPr>
          <w:color w:val="000000"/>
          <w:sz w:val="24"/>
          <w:szCs w:val="24"/>
        </w:rPr>
      </w:pPr>
    </w:p>
    <w:p w14:paraId="539CB3A9" w14:textId="7555CAF7" w:rsidR="004F35B8" w:rsidRPr="00C22DE5" w:rsidRDefault="00C22DE5" w:rsidP="004F35B8">
      <w:pPr>
        <w:suppressAutoHyphens w:val="0"/>
        <w:jc w:val="both"/>
        <w:rPr>
          <w:color w:val="000000"/>
          <w:sz w:val="24"/>
          <w:szCs w:val="24"/>
        </w:rPr>
      </w:pPr>
      <w:r w:rsidRPr="00C22DE5">
        <w:rPr>
          <w:b/>
          <w:sz w:val="24"/>
          <w:szCs w:val="24"/>
        </w:rPr>
        <w:t xml:space="preserve">3 </w:t>
      </w:r>
      <w:r w:rsidR="000E04F4">
        <w:rPr>
          <w:b/>
          <w:sz w:val="24"/>
          <w:szCs w:val="24"/>
        </w:rPr>
        <w:t>A</w:t>
      </w:r>
      <w:r w:rsidR="004F35B8">
        <w:rPr>
          <w:b/>
          <w:sz w:val="24"/>
          <w:szCs w:val="24"/>
        </w:rPr>
        <w:t>spectos Metodológicos</w:t>
      </w:r>
    </w:p>
    <w:p w14:paraId="09248D31" w14:textId="7900FBCC" w:rsidR="00C22DE5" w:rsidRPr="00C22DE5" w:rsidRDefault="004F35B8" w:rsidP="00C22DE5">
      <w:pPr>
        <w:suppressAutoHyphens w:val="0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</w:t>
      </w:r>
      <w:r w:rsidR="00C22DE5" w:rsidRPr="00C22DE5">
        <w:rPr>
          <w:color w:val="000000"/>
          <w:sz w:val="24"/>
          <w:szCs w:val="24"/>
        </w:rPr>
        <w:t xml:space="preserve">uanto ao delineamento a pesquisa classifica-se como descritiva, de levantamento e quantitativa. Quando aos objetivos </w:t>
      </w:r>
      <w:r w:rsidR="00331511">
        <w:rPr>
          <w:color w:val="000000"/>
          <w:sz w:val="24"/>
          <w:szCs w:val="24"/>
        </w:rPr>
        <w:t xml:space="preserve">é </w:t>
      </w:r>
      <w:r w:rsidR="00C22DE5" w:rsidRPr="00C22DE5">
        <w:rPr>
          <w:color w:val="000000"/>
          <w:sz w:val="24"/>
          <w:szCs w:val="24"/>
        </w:rPr>
        <w:t xml:space="preserve">descritiva, pois tem como objetivo evidenciar a representatividade dos incentivos fiscais da Lei </w:t>
      </w:r>
      <w:r w:rsidR="00E9164C">
        <w:rPr>
          <w:color w:val="000000"/>
          <w:sz w:val="24"/>
          <w:szCs w:val="24"/>
        </w:rPr>
        <w:t>de</w:t>
      </w:r>
      <w:r w:rsidR="00C22DE5" w:rsidRPr="00C22DE5">
        <w:rPr>
          <w:color w:val="000000"/>
          <w:sz w:val="24"/>
          <w:szCs w:val="24"/>
        </w:rPr>
        <w:t xml:space="preserve"> Informática, sobre o resultado econômico </w:t>
      </w:r>
      <w:r w:rsidR="00C22DE5" w:rsidRPr="00C22DE5">
        <w:rPr>
          <w:color w:val="000000"/>
          <w:sz w:val="24"/>
          <w:szCs w:val="24"/>
        </w:rPr>
        <w:lastRenderedPageBreak/>
        <w:t>das empresas catarinenses</w:t>
      </w:r>
      <w:r w:rsidR="00331511">
        <w:rPr>
          <w:color w:val="000000"/>
          <w:sz w:val="24"/>
          <w:szCs w:val="24"/>
        </w:rPr>
        <w:t>, sem interferir na realidade investigada.</w:t>
      </w:r>
      <w:r w:rsidR="00C22DE5" w:rsidRPr="00C22DE5">
        <w:rPr>
          <w:color w:val="000000"/>
          <w:sz w:val="24"/>
          <w:szCs w:val="24"/>
        </w:rPr>
        <w:t xml:space="preserve"> De levantamento</w:t>
      </w:r>
      <w:r w:rsidR="00331511">
        <w:rPr>
          <w:color w:val="000000"/>
          <w:sz w:val="24"/>
          <w:szCs w:val="24"/>
        </w:rPr>
        <w:t>,</w:t>
      </w:r>
      <w:r w:rsidR="00C22DE5" w:rsidRPr="00C22DE5">
        <w:rPr>
          <w:color w:val="000000"/>
          <w:sz w:val="24"/>
          <w:szCs w:val="24"/>
        </w:rPr>
        <w:t xml:space="preserve"> quanto aos seus procedimentos, tendo em vista que os dados foram obtidos por meio de um questionário, aplicado diretamente </w:t>
      </w:r>
      <w:r w:rsidR="00331511">
        <w:rPr>
          <w:color w:val="000000"/>
          <w:sz w:val="24"/>
          <w:szCs w:val="24"/>
        </w:rPr>
        <w:t>à</w:t>
      </w:r>
      <w:r w:rsidR="00C22DE5" w:rsidRPr="00C22DE5">
        <w:rPr>
          <w:color w:val="000000"/>
          <w:sz w:val="24"/>
          <w:szCs w:val="24"/>
        </w:rPr>
        <w:t>s empresas catarinenses que usufruíram dos incentivos fiscais da Lei d</w:t>
      </w:r>
      <w:r w:rsidR="00885895">
        <w:rPr>
          <w:color w:val="000000"/>
          <w:sz w:val="24"/>
          <w:szCs w:val="24"/>
        </w:rPr>
        <w:t>e</w:t>
      </w:r>
      <w:r w:rsidR="00C22DE5" w:rsidRPr="00C22DE5">
        <w:rPr>
          <w:color w:val="000000"/>
          <w:sz w:val="24"/>
          <w:szCs w:val="24"/>
        </w:rPr>
        <w:t xml:space="preserve"> Informática no ano de 2014. E quantitativa</w:t>
      </w:r>
      <w:r w:rsidR="00331511">
        <w:rPr>
          <w:color w:val="000000"/>
          <w:sz w:val="24"/>
          <w:szCs w:val="24"/>
        </w:rPr>
        <w:t>,</w:t>
      </w:r>
      <w:r w:rsidR="00C22DE5" w:rsidRPr="00C22DE5">
        <w:rPr>
          <w:color w:val="000000"/>
          <w:sz w:val="24"/>
          <w:szCs w:val="24"/>
        </w:rPr>
        <w:t xml:space="preserve"> no que </w:t>
      </w:r>
      <w:r w:rsidR="00331511">
        <w:rPr>
          <w:color w:val="000000"/>
          <w:sz w:val="24"/>
          <w:szCs w:val="24"/>
        </w:rPr>
        <w:t>s</w:t>
      </w:r>
      <w:r w:rsidR="00C22DE5" w:rsidRPr="00C22DE5">
        <w:rPr>
          <w:color w:val="000000"/>
          <w:sz w:val="24"/>
          <w:szCs w:val="24"/>
        </w:rPr>
        <w:t>e refere a abordagem do problema, uma vez que utilizou da estatística descritiva</w:t>
      </w:r>
      <w:r w:rsidR="00331511">
        <w:rPr>
          <w:color w:val="000000"/>
          <w:sz w:val="24"/>
          <w:szCs w:val="24"/>
        </w:rPr>
        <w:t>,</w:t>
      </w:r>
      <w:r w:rsidR="00C22DE5" w:rsidRPr="00C22DE5">
        <w:rPr>
          <w:color w:val="000000"/>
          <w:sz w:val="24"/>
          <w:szCs w:val="24"/>
        </w:rPr>
        <w:t xml:space="preserve"> para a análise dos dados.</w:t>
      </w:r>
    </w:p>
    <w:p w14:paraId="5A494B9E" w14:textId="079B9EAD" w:rsidR="00C22DE5" w:rsidRPr="00C22DE5" w:rsidRDefault="00C22DE5" w:rsidP="00C22DE5">
      <w:pPr>
        <w:suppressAutoHyphens w:val="0"/>
        <w:ind w:firstLine="708"/>
        <w:jc w:val="both"/>
        <w:rPr>
          <w:sz w:val="24"/>
          <w:szCs w:val="24"/>
        </w:rPr>
      </w:pPr>
      <w:r w:rsidRPr="00C22DE5">
        <w:rPr>
          <w:sz w:val="24"/>
          <w:szCs w:val="24"/>
        </w:rPr>
        <w:t>A população da pesquisa é formada por 64 empresas</w:t>
      </w:r>
      <w:r w:rsidR="00331511">
        <w:rPr>
          <w:sz w:val="24"/>
          <w:szCs w:val="24"/>
        </w:rPr>
        <w:t>,</w:t>
      </w:r>
      <w:r w:rsidRPr="00C22DE5">
        <w:rPr>
          <w:sz w:val="24"/>
          <w:szCs w:val="24"/>
        </w:rPr>
        <w:t xml:space="preserve"> que se utilizam dos incentivos fiscais da Lei de Informática</w:t>
      </w:r>
      <w:r w:rsidR="00331511">
        <w:rPr>
          <w:sz w:val="24"/>
          <w:szCs w:val="24"/>
        </w:rPr>
        <w:t>,</w:t>
      </w:r>
      <w:r w:rsidRPr="00C22DE5">
        <w:rPr>
          <w:sz w:val="24"/>
          <w:szCs w:val="24"/>
        </w:rPr>
        <w:t xml:space="preserve"> no ano de 2014</w:t>
      </w:r>
      <w:r w:rsidR="00E9164C">
        <w:rPr>
          <w:sz w:val="24"/>
          <w:szCs w:val="24"/>
        </w:rPr>
        <w:t>.</w:t>
      </w:r>
      <w:r w:rsidRPr="00C22DE5">
        <w:rPr>
          <w:sz w:val="24"/>
          <w:szCs w:val="24"/>
        </w:rPr>
        <w:t xml:space="preserve"> As empresas foram identificadas por meio do</w:t>
      </w:r>
      <w:r w:rsidR="002B2A92">
        <w:rPr>
          <w:sz w:val="24"/>
          <w:szCs w:val="24"/>
        </w:rPr>
        <w:t>s</w:t>
      </w:r>
      <w:r w:rsidRPr="00C22DE5">
        <w:rPr>
          <w:sz w:val="24"/>
          <w:szCs w:val="24"/>
        </w:rPr>
        <w:t xml:space="preserve"> </w:t>
      </w:r>
      <w:r w:rsidR="002B2A92" w:rsidRPr="00C22DE5">
        <w:rPr>
          <w:sz w:val="24"/>
          <w:szCs w:val="24"/>
          <w:shd w:val="clear" w:color="auto" w:fill="FFFFFF"/>
        </w:rPr>
        <w:t>Relatórios Estatísticos dos Resultados da Lei de Informática ano base 2014</w:t>
      </w:r>
      <w:r w:rsidR="002B2A92">
        <w:rPr>
          <w:sz w:val="24"/>
          <w:szCs w:val="24"/>
          <w:shd w:val="clear" w:color="auto" w:fill="FFFFFF"/>
        </w:rPr>
        <w:t>,</w:t>
      </w:r>
      <w:r w:rsidR="00E9164C">
        <w:rPr>
          <w:sz w:val="24"/>
          <w:szCs w:val="24"/>
          <w:shd w:val="clear" w:color="auto" w:fill="FFFFFF"/>
        </w:rPr>
        <w:t xml:space="preserve"> divulgado em 2015,</w:t>
      </w:r>
      <w:r w:rsidR="002B2A92">
        <w:rPr>
          <w:sz w:val="24"/>
          <w:szCs w:val="24"/>
          <w:shd w:val="clear" w:color="auto" w:fill="FFFFFF"/>
        </w:rPr>
        <w:t xml:space="preserve"> no</w:t>
      </w:r>
      <w:r w:rsidR="002B2A92" w:rsidRPr="00C22DE5">
        <w:rPr>
          <w:sz w:val="24"/>
          <w:szCs w:val="24"/>
          <w:shd w:val="clear" w:color="auto" w:fill="FFFFFF"/>
        </w:rPr>
        <w:t xml:space="preserve"> </w:t>
      </w:r>
      <w:r w:rsidRPr="00C22DE5">
        <w:rPr>
          <w:sz w:val="24"/>
          <w:szCs w:val="24"/>
        </w:rPr>
        <w:t xml:space="preserve">site </w:t>
      </w:r>
      <w:r w:rsidR="009C55A2" w:rsidRPr="00C22DE5">
        <w:rPr>
          <w:sz w:val="24"/>
          <w:szCs w:val="24"/>
        </w:rPr>
        <w:t>do Ministério</w:t>
      </w:r>
      <w:r w:rsidRPr="00C22DE5">
        <w:rPr>
          <w:sz w:val="24"/>
          <w:szCs w:val="24"/>
        </w:rPr>
        <w:t xml:space="preserve"> da Ciência, Tecnologia, Inovações e Comunicações, </w:t>
      </w:r>
      <w:hyperlink r:id="rId8" w:history="1">
        <w:r w:rsidRPr="00C22DE5">
          <w:rPr>
            <w:color w:val="0000FF"/>
            <w:sz w:val="24"/>
            <w:szCs w:val="24"/>
            <w:u w:val="single"/>
          </w:rPr>
          <w:t>http://sigplani.mct.gov.br/</w:t>
        </w:r>
      </w:hyperlink>
      <w:r w:rsidRPr="00C22DE5">
        <w:rPr>
          <w:sz w:val="24"/>
          <w:szCs w:val="24"/>
        </w:rPr>
        <w:t xml:space="preserve">. Obtiveram-se as respostas de 18 empresas, representando 28,13% da população. </w:t>
      </w:r>
    </w:p>
    <w:p w14:paraId="48E6DCCA" w14:textId="093E39E6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 xml:space="preserve">O instrumento de pesquisa utilizado é </w:t>
      </w:r>
      <w:r w:rsidR="00E9164C">
        <w:rPr>
          <w:sz w:val="24"/>
          <w:szCs w:val="24"/>
        </w:rPr>
        <w:t xml:space="preserve">o </w:t>
      </w:r>
      <w:r w:rsidRPr="00C22DE5">
        <w:rPr>
          <w:sz w:val="24"/>
          <w:szCs w:val="24"/>
        </w:rPr>
        <w:t>questionário</w:t>
      </w:r>
      <w:r w:rsidR="004E5D6C">
        <w:rPr>
          <w:sz w:val="24"/>
          <w:szCs w:val="24"/>
        </w:rPr>
        <w:t>,</w:t>
      </w:r>
      <w:r w:rsidRPr="00C22DE5">
        <w:rPr>
          <w:sz w:val="24"/>
          <w:szCs w:val="24"/>
        </w:rPr>
        <w:t xml:space="preserve"> elaborado com base na Lei de Informática 8.248/91 e suas alterações, sendo divido em dois blocos, perfil da empresa e </w:t>
      </w:r>
      <w:r w:rsidR="004E5D6C">
        <w:rPr>
          <w:sz w:val="24"/>
          <w:szCs w:val="24"/>
        </w:rPr>
        <w:t>L</w:t>
      </w:r>
      <w:r w:rsidRPr="00C22DE5">
        <w:rPr>
          <w:sz w:val="24"/>
          <w:szCs w:val="24"/>
        </w:rPr>
        <w:t>ei de informática.</w:t>
      </w:r>
      <w:r w:rsidR="00E9164C">
        <w:rPr>
          <w:sz w:val="24"/>
          <w:szCs w:val="24"/>
        </w:rPr>
        <w:t xml:space="preserve">  </w:t>
      </w:r>
      <w:r w:rsidRPr="00C22DE5">
        <w:rPr>
          <w:sz w:val="24"/>
          <w:szCs w:val="24"/>
        </w:rPr>
        <w:t>N</w:t>
      </w:r>
      <w:r w:rsidR="004E5D6C">
        <w:rPr>
          <w:sz w:val="24"/>
          <w:szCs w:val="24"/>
        </w:rPr>
        <w:t>a</w:t>
      </w:r>
      <w:r w:rsidRPr="00C22DE5">
        <w:rPr>
          <w:sz w:val="24"/>
          <w:szCs w:val="24"/>
        </w:rPr>
        <w:t xml:space="preserve"> </w:t>
      </w:r>
      <w:r w:rsidR="00F22EEF">
        <w:rPr>
          <w:sz w:val="24"/>
          <w:szCs w:val="24"/>
        </w:rPr>
        <w:t>Tabela</w:t>
      </w:r>
      <w:r w:rsidRPr="00C22DE5">
        <w:rPr>
          <w:sz w:val="24"/>
          <w:szCs w:val="24"/>
        </w:rPr>
        <w:t xml:space="preserve"> </w:t>
      </w:r>
      <w:r w:rsidR="00D865D3">
        <w:rPr>
          <w:sz w:val="24"/>
          <w:szCs w:val="24"/>
        </w:rPr>
        <w:t>3</w:t>
      </w:r>
      <w:r w:rsidRPr="00C22DE5">
        <w:rPr>
          <w:sz w:val="24"/>
          <w:szCs w:val="24"/>
        </w:rPr>
        <w:t xml:space="preserve">, apresenta-se o </w:t>
      </w:r>
      <w:r w:rsidR="004E5D6C">
        <w:rPr>
          <w:sz w:val="24"/>
          <w:szCs w:val="24"/>
        </w:rPr>
        <w:t>instrumento de pesquisa.</w:t>
      </w:r>
    </w:p>
    <w:p w14:paraId="5BB11CE7" w14:textId="68D1F5BA" w:rsidR="00C22DE5" w:rsidRPr="00C22DE5" w:rsidRDefault="00F22EEF" w:rsidP="00C22DE5">
      <w:pPr>
        <w:suppressAutoHyphens w:val="0"/>
        <w:jc w:val="both"/>
        <w:rPr>
          <w:sz w:val="24"/>
          <w:szCs w:val="24"/>
        </w:rPr>
      </w:pPr>
      <w:r>
        <w:rPr>
          <w:sz w:val="24"/>
          <w:szCs w:val="24"/>
        </w:rPr>
        <w:t>Tabela</w:t>
      </w:r>
      <w:r w:rsidR="00C22DE5" w:rsidRPr="00C22DE5">
        <w:rPr>
          <w:sz w:val="24"/>
          <w:szCs w:val="24"/>
        </w:rPr>
        <w:t xml:space="preserve"> </w:t>
      </w:r>
      <w:r w:rsidR="00D865D3">
        <w:rPr>
          <w:sz w:val="24"/>
          <w:szCs w:val="24"/>
        </w:rPr>
        <w:t>3</w:t>
      </w:r>
      <w:r w:rsidR="00C22DE5" w:rsidRPr="00C22DE5">
        <w:rPr>
          <w:sz w:val="24"/>
          <w:szCs w:val="24"/>
        </w:rPr>
        <w:t xml:space="preserve"> – Instrumento de Pesquisa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C22DE5" w:rsidRPr="00C22DE5" w14:paraId="6B52EFBD" w14:textId="77777777" w:rsidTr="002E78E7">
        <w:tc>
          <w:tcPr>
            <w:tcW w:w="9067" w:type="dxa"/>
            <w:shd w:val="clear" w:color="auto" w:fill="auto"/>
          </w:tcPr>
          <w:p w14:paraId="34AEBCDC" w14:textId="61E1167F" w:rsidR="00C22DE5" w:rsidRPr="00C22DE5" w:rsidRDefault="00C22DE5" w:rsidP="00C22DE5">
            <w:pPr>
              <w:suppressAutoHyphens w:val="0"/>
              <w:jc w:val="both"/>
              <w:rPr>
                <w:b/>
              </w:rPr>
            </w:pPr>
            <w:r w:rsidRPr="00C22DE5">
              <w:rPr>
                <w:b/>
              </w:rPr>
              <w:t>1 P</w:t>
            </w:r>
            <w:r w:rsidR="004E5D6C">
              <w:rPr>
                <w:b/>
              </w:rPr>
              <w:t>erfil da Empresa</w:t>
            </w:r>
          </w:p>
          <w:p w14:paraId="2E900FD3" w14:textId="77777777" w:rsidR="00C22DE5" w:rsidRPr="00C22DE5" w:rsidRDefault="00C22DE5" w:rsidP="00C22DE5">
            <w:pPr>
              <w:numPr>
                <w:ilvl w:val="1"/>
                <w:numId w:val="2"/>
              </w:num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 w:rsidRPr="00C22DE5">
              <w:rPr>
                <w:rFonts w:eastAsia="Calibri"/>
                <w:b/>
                <w:lang w:eastAsia="en-US"/>
              </w:rPr>
              <w:t>–</w:t>
            </w:r>
            <w:r w:rsidRPr="00C22DE5">
              <w:rPr>
                <w:rFonts w:eastAsia="Calibri"/>
                <w:lang w:eastAsia="en-US"/>
              </w:rPr>
              <w:t xml:space="preserve"> Ramo de atividade</w:t>
            </w:r>
          </w:p>
          <w:p w14:paraId="67BBEB90" w14:textId="4AE692DE" w:rsidR="00C22DE5" w:rsidRPr="00C22DE5" w:rsidRDefault="00C22DE5" w:rsidP="00C22DE5">
            <w:pPr>
              <w:suppressAutoHyphens w:val="0"/>
              <w:jc w:val="both"/>
            </w:pPr>
            <w:r w:rsidRPr="00C22DE5">
              <w:t>. Indústria</w:t>
            </w:r>
            <w:r w:rsidR="00E9164C">
              <w:t xml:space="preserve"> </w:t>
            </w:r>
          </w:p>
          <w:p w14:paraId="2F48F251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Comércio</w:t>
            </w:r>
          </w:p>
          <w:p w14:paraId="1C84E2B2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Prestação de Serviços</w:t>
            </w:r>
          </w:p>
          <w:p w14:paraId="30F99544" w14:textId="77777777" w:rsidR="00C22DE5" w:rsidRPr="00C22DE5" w:rsidRDefault="00C22DE5" w:rsidP="00C22DE5">
            <w:pPr>
              <w:numPr>
                <w:ilvl w:val="1"/>
                <w:numId w:val="2"/>
              </w:num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 w:rsidRPr="00C22DE5">
              <w:rPr>
                <w:rFonts w:eastAsia="Calibri"/>
                <w:lang w:eastAsia="en-US"/>
              </w:rPr>
              <w:t>– Número de funcionários</w:t>
            </w:r>
          </w:p>
          <w:p w14:paraId="71E019EE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1 a 50</w:t>
            </w:r>
          </w:p>
          <w:p w14:paraId="3D4FC38F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51 a 100</w:t>
            </w:r>
          </w:p>
          <w:p w14:paraId="380E27C8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101 a 150</w:t>
            </w:r>
          </w:p>
          <w:p w14:paraId="1218ED8A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151 a 200</w:t>
            </w:r>
          </w:p>
          <w:p w14:paraId="615D7E5A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Mais de 200</w:t>
            </w:r>
          </w:p>
          <w:p w14:paraId="5AC53DE0" w14:textId="77777777" w:rsidR="00C22DE5" w:rsidRPr="00C22DE5" w:rsidRDefault="00C22DE5" w:rsidP="00C22DE5">
            <w:pPr>
              <w:numPr>
                <w:ilvl w:val="1"/>
                <w:numId w:val="2"/>
              </w:num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 w:rsidRPr="00C22DE5">
              <w:rPr>
                <w:rFonts w:eastAsia="Calibri"/>
                <w:lang w:eastAsia="en-US"/>
              </w:rPr>
              <w:t>– Porte da empresa</w:t>
            </w:r>
          </w:p>
          <w:p w14:paraId="5BE3ABE4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Empresa Individual</w:t>
            </w:r>
          </w:p>
          <w:p w14:paraId="48462AC9" w14:textId="606B0F1A" w:rsidR="00C22DE5" w:rsidRPr="00C22DE5" w:rsidRDefault="00C22DE5" w:rsidP="00C22DE5">
            <w:pPr>
              <w:suppressAutoHyphens w:val="0"/>
              <w:jc w:val="both"/>
            </w:pPr>
            <w:r w:rsidRPr="00C22DE5">
              <w:t>. Micro</w:t>
            </w:r>
            <w:r w:rsidR="004E5D6C">
              <w:t>e</w:t>
            </w:r>
            <w:r w:rsidRPr="00C22DE5">
              <w:t>mpresa</w:t>
            </w:r>
          </w:p>
          <w:p w14:paraId="46E43C82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Empresa de Pequeno Porte</w:t>
            </w:r>
          </w:p>
          <w:p w14:paraId="3CF218C0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Empresa de Médio Porte</w:t>
            </w:r>
          </w:p>
          <w:p w14:paraId="2EAC4934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Empresa de Grande Porte</w:t>
            </w:r>
          </w:p>
          <w:p w14:paraId="2281265C" w14:textId="75B6CF93" w:rsidR="00C22DE5" w:rsidRPr="00C22DE5" w:rsidRDefault="004E5D6C" w:rsidP="00C22DE5">
            <w:pPr>
              <w:numPr>
                <w:ilvl w:val="0"/>
                <w:numId w:val="2"/>
              </w:numPr>
              <w:suppressAutoHyphens w:val="0"/>
              <w:contextualSpacing/>
              <w:jc w:val="both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Lei de Informática</w:t>
            </w:r>
          </w:p>
          <w:p w14:paraId="4FA9626D" w14:textId="77777777" w:rsidR="00C22DE5" w:rsidRPr="00C22DE5" w:rsidRDefault="00C22DE5" w:rsidP="00C22DE5">
            <w:pPr>
              <w:numPr>
                <w:ilvl w:val="1"/>
                <w:numId w:val="2"/>
              </w:num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 w:rsidRPr="00C22DE5">
              <w:rPr>
                <w:rFonts w:eastAsia="Calibri"/>
                <w:b/>
                <w:lang w:eastAsia="en-US"/>
              </w:rPr>
              <w:t xml:space="preserve">– </w:t>
            </w:r>
            <w:r w:rsidRPr="00C22DE5">
              <w:rPr>
                <w:rFonts w:eastAsia="Calibri"/>
                <w:lang w:eastAsia="en-US"/>
              </w:rPr>
              <w:t>Faturamento total</w:t>
            </w:r>
          </w:p>
          <w:p w14:paraId="3031C29F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Até R$ 2,4 milhões</w:t>
            </w:r>
          </w:p>
          <w:p w14:paraId="00040B22" w14:textId="3466D033" w:rsidR="00C22DE5" w:rsidRPr="00C22DE5" w:rsidRDefault="00C22DE5" w:rsidP="00C22DE5">
            <w:pPr>
              <w:suppressAutoHyphens w:val="0"/>
              <w:jc w:val="both"/>
            </w:pPr>
            <w:r w:rsidRPr="00C22DE5">
              <w:t xml:space="preserve">. Maior que R$ 2,4 milhões e </w:t>
            </w:r>
            <w:r w:rsidR="00944989">
              <w:t>até</w:t>
            </w:r>
            <w:r w:rsidRPr="00C22DE5">
              <w:t xml:space="preserve"> R$ 1</w:t>
            </w:r>
            <w:r w:rsidR="00944989">
              <w:t>5</w:t>
            </w:r>
            <w:r w:rsidRPr="00C22DE5">
              <w:t xml:space="preserve"> milhões</w:t>
            </w:r>
          </w:p>
          <w:p w14:paraId="362BC1C3" w14:textId="569095B1" w:rsidR="00C22DE5" w:rsidRPr="00C22DE5" w:rsidRDefault="00C22DE5" w:rsidP="00C22DE5">
            <w:pPr>
              <w:suppressAutoHyphens w:val="0"/>
              <w:jc w:val="both"/>
            </w:pPr>
            <w:r w:rsidRPr="00C22DE5">
              <w:t>. Maior que R$ 1</w:t>
            </w:r>
            <w:r w:rsidR="00944989">
              <w:t>5</w:t>
            </w:r>
            <w:r w:rsidRPr="00C22DE5">
              <w:t xml:space="preserve"> milhões e menor ou igual a R$ 90 milhões</w:t>
            </w:r>
          </w:p>
          <w:p w14:paraId="47B52856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Maior que R$ 90 milhões e menor ou igual a R$ 300 milhões</w:t>
            </w:r>
          </w:p>
          <w:p w14:paraId="0BD9526C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Maior que R$ 300 milhões</w:t>
            </w:r>
          </w:p>
          <w:p w14:paraId="2B3BB148" w14:textId="77777777" w:rsidR="00C22DE5" w:rsidRPr="00C22DE5" w:rsidRDefault="00C22DE5" w:rsidP="00C22DE5">
            <w:pPr>
              <w:numPr>
                <w:ilvl w:val="1"/>
                <w:numId w:val="2"/>
              </w:num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 w:rsidRPr="00C22DE5">
              <w:rPr>
                <w:rFonts w:eastAsia="Calibri"/>
                <w:b/>
                <w:lang w:eastAsia="en-US"/>
              </w:rPr>
              <w:t>–</w:t>
            </w:r>
            <w:r w:rsidRPr="00C22DE5">
              <w:rPr>
                <w:rFonts w:eastAsia="Calibri"/>
                <w:lang w:eastAsia="en-US"/>
              </w:rPr>
              <w:t xml:space="preserve"> Faturamento bruto com bens incentivados</w:t>
            </w:r>
          </w:p>
          <w:p w14:paraId="2C0CEBE7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Até R$ 100.000,00</w:t>
            </w:r>
          </w:p>
          <w:p w14:paraId="06C2C11B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Entre R$ 100.000,00 e R$ 300.000,00</w:t>
            </w:r>
          </w:p>
          <w:p w14:paraId="7876E785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Entre R$ 300.000,00 e a R$ 500.000,00</w:t>
            </w:r>
          </w:p>
          <w:p w14:paraId="049CDACC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Entre R$ 500.000,00 e a R$ 1 milhão</w:t>
            </w:r>
          </w:p>
          <w:p w14:paraId="108272CB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Mais que R$ 1 milhão</w:t>
            </w:r>
          </w:p>
          <w:p w14:paraId="777A8F70" w14:textId="77777777" w:rsidR="00C22DE5" w:rsidRPr="00C22DE5" w:rsidRDefault="00C22DE5" w:rsidP="00C22DE5">
            <w:pPr>
              <w:numPr>
                <w:ilvl w:val="1"/>
                <w:numId w:val="2"/>
              </w:num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 w:rsidRPr="00C22DE5">
              <w:rPr>
                <w:rFonts w:eastAsia="Calibri"/>
                <w:b/>
                <w:lang w:eastAsia="en-US"/>
              </w:rPr>
              <w:t>–</w:t>
            </w:r>
            <w:r w:rsidRPr="00C22DE5">
              <w:rPr>
                <w:rFonts w:eastAsia="Calibri"/>
                <w:lang w:eastAsia="en-US"/>
              </w:rPr>
              <w:t xml:space="preserve"> Participação do faturamento com bens incentivados no faturamento bruto do período</w:t>
            </w:r>
          </w:p>
          <w:p w14:paraId="33DDB6A5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0,00% a 20,00%</w:t>
            </w:r>
          </w:p>
          <w:p w14:paraId="5BB4B4A0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20,01% a 40,00%</w:t>
            </w:r>
          </w:p>
          <w:p w14:paraId="3E82526A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40,01% a 60,00%</w:t>
            </w:r>
          </w:p>
          <w:p w14:paraId="28A082C1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60,01% a 80,00%</w:t>
            </w:r>
          </w:p>
          <w:p w14:paraId="30C4DC36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80,01% a 100,00%</w:t>
            </w:r>
          </w:p>
          <w:p w14:paraId="0B40E301" w14:textId="77777777" w:rsidR="00C22DE5" w:rsidRPr="00C22DE5" w:rsidRDefault="00C22DE5" w:rsidP="00C22DE5">
            <w:pPr>
              <w:numPr>
                <w:ilvl w:val="1"/>
                <w:numId w:val="2"/>
              </w:num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 w:rsidRPr="00C22DE5">
              <w:rPr>
                <w:rFonts w:eastAsia="Calibri"/>
                <w:lang w:eastAsia="en-US"/>
              </w:rPr>
              <w:t>– Impostos renunciados</w:t>
            </w:r>
          </w:p>
          <w:p w14:paraId="5351599B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IPI</w:t>
            </w:r>
          </w:p>
          <w:p w14:paraId="72E76AA5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ICMS</w:t>
            </w:r>
          </w:p>
          <w:p w14:paraId="32F325E4" w14:textId="77777777" w:rsidR="00C22DE5" w:rsidRPr="00C22DE5" w:rsidRDefault="00C22DE5" w:rsidP="00C22DE5">
            <w:pPr>
              <w:numPr>
                <w:ilvl w:val="1"/>
                <w:numId w:val="2"/>
              </w:num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 w:rsidRPr="00C22DE5">
              <w:rPr>
                <w:rFonts w:eastAsia="Calibri"/>
                <w:b/>
                <w:lang w:eastAsia="en-US"/>
              </w:rPr>
              <w:t>–</w:t>
            </w:r>
            <w:r w:rsidRPr="00C22DE5">
              <w:rPr>
                <w:rFonts w:eastAsia="Calibri"/>
                <w:lang w:eastAsia="en-US"/>
              </w:rPr>
              <w:t xml:space="preserve"> IPI recolhido</w:t>
            </w:r>
          </w:p>
          <w:p w14:paraId="35016FAD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R$ 0,00 a R$50.000,00</w:t>
            </w:r>
          </w:p>
          <w:p w14:paraId="1325FD24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 xml:space="preserve">. Entre </w:t>
            </w:r>
            <w:r w:rsidRPr="00C22DE5">
              <w:tab/>
              <w:t>R$ 50.000,00 e R$ 100.000,00</w:t>
            </w:r>
          </w:p>
          <w:p w14:paraId="336D17E2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lastRenderedPageBreak/>
              <w:t xml:space="preserve">. Entre </w:t>
            </w:r>
            <w:r w:rsidRPr="00C22DE5">
              <w:tab/>
              <w:t>R$ 100.000,00 e R$ 150.000,00</w:t>
            </w:r>
          </w:p>
          <w:p w14:paraId="7B3A0FB7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 xml:space="preserve">. Entre </w:t>
            </w:r>
            <w:r w:rsidRPr="00C22DE5">
              <w:tab/>
              <w:t>R$ 150.000,00 e R$ 200.000,00</w:t>
            </w:r>
          </w:p>
          <w:p w14:paraId="7D79DEC8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Mais que R$ 200.000,00</w:t>
            </w:r>
          </w:p>
          <w:p w14:paraId="47648FDF" w14:textId="77777777" w:rsidR="00C22DE5" w:rsidRPr="00C22DE5" w:rsidRDefault="00C22DE5" w:rsidP="00C22DE5">
            <w:pPr>
              <w:numPr>
                <w:ilvl w:val="1"/>
                <w:numId w:val="2"/>
              </w:num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 w:rsidRPr="00C22DE5">
              <w:rPr>
                <w:rFonts w:eastAsia="Calibri"/>
                <w:b/>
                <w:lang w:eastAsia="en-US"/>
              </w:rPr>
              <w:t>–</w:t>
            </w:r>
            <w:r w:rsidRPr="00C22DE5">
              <w:rPr>
                <w:rFonts w:eastAsia="Calibri"/>
                <w:lang w:eastAsia="en-US"/>
              </w:rPr>
              <w:t xml:space="preserve"> ICMS recolhido</w:t>
            </w:r>
          </w:p>
          <w:p w14:paraId="77F04988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R$ 0,00 a R$50.000,00</w:t>
            </w:r>
          </w:p>
          <w:p w14:paraId="5841D958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 xml:space="preserve">. Entre </w:t>
            </w:r>
            <w:r w:rsidRPr="00C22DE5">
              <w:tab/>
              <w:t>R$ 50.000,00 e R$ 100.000,00</w:t>
            </w:r>
          </w:p>
          <w:p w14:paraId="713BF762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 xml:space="preserve">. Entre </w:t>
            </w:r>
            <w:r w:rsidRPr="00C22DE5">
              <w:tab/>
              <w:t>R$ 100.000,00 e R$ 150.000,00</w:t>
            </w:r>
          </w:p>
          <w:p w14:paraId="248E5274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 xml:space="preserve">. Entre </w:t>
            </w:r>
            <w:r w:rsidRPr="00C22DE5">
              <w:tab/>
              <w:t>R$ 150.000,00 e R$ 200.000,00</w:t>
            </w:r>
          </w:p>
          <w:p w14:paraId="02FDFCB1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Mais que R$ 200.000,00</w:t>
            </w:r>
          </w:p>
          <w:p w14:paraId="64D3CFE4" w14:textId="77777777" w:rsidR="00C22DE5" w:rsidRPr="00C22DE5" w:rsidRDefault="00C22DE5" w:rsidP="00C22DE5">
            <w:pPr>
              <w:numPr>
                <w:ilvl w:val="1"/>
                <w:numId w:val="2"/>
              </w:num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 w:rsidRPr="00C22DE5">
              <w:rPr>
                <w:rFonts w:eastAsia="Calibri"/>
                <w:b/>
                <w:lang w:eastAsia="en-US"/>
              </w:rPr>
              <w:t>–</w:t>
            </w:r>
            <w:r w:rsidRPr="00C22DE5">
              <w:rPr>
                <w:rFonts w:eastAsia="Calibri"/>
                <w:lang w:eastAsia="en-US"/>
              </w:rPr>
              <w:t xml:space="preserve"> Participação da renúncia fiscal (IPI e ICMS) no resultado econômico.</w:t>
            </w:r>
          </w:p>
          <w:p w14:paraId="2CDB4382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0,10% a 0,30%</w:t>
            </w:r>
          </w:p>
          <w:p w14:paraId="72B9AF5C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0,31% a 0,50%</w:t>
            </w:r>
          </w:p>
          <w:p w14:paraId="58895428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0,51% a 0,70%</w:t>
            </w:r>
          </w:p>
          <w:p w14:paraId="276E6690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0,71% a 1,0%</w:t>
            </w:r>
          </w:p>
          <w:p w14:paraId="51616898" w14:textId="77777777" w:rsidR="00C22DE5" w:rsidRPr="00C22DE5" w:rsidRDefault="00C22DE5" w:rsidP="00C22DE5">
            <w:pPr>
              <w:suppressAutoHyphens w:val="0"/>
              <w:jc w:val="both"/>
            </w:pPr>
            <w:r w:rsidRPr="00C22DE5">
              <w:t>. Mais que 1,1%</w:t>
            </w:r>
          </w:p>
          <w:p w14:paraId="2B89B8F0" w14:textId="6DEFCDE0" w:rsidR="00C22DE5" w:rsidRDefault="00C22DE5" w:rsidP="00C22DE5">
            <w:pPr>
              <w:numPr>
                <w:ilvl w:val="1"/>
                <w:numId w:val="2"/>
              </w:num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 w:rsidRPr="00C22DE5">
              <w:rPr>
                <w:rFonts w:eastAsia="Calibri"/>
                <w:lang w:eastAsia="en-US"/>
              </w:rPr>
              <w:t>– Há quanto tempo a empresa utiliza os incentivos da Lei d</w:t>
            </w:r>
            <w:r w:rsidR="00885895">
              <w:rPr>
                <w:rFonts w:eastAsia="Calibri"/>
                <w:lang w:eastAsia="en-US"/>
              </w:rPr>
              <w:t>e</w:t>
            </w:r>
            <w:r w:rsidRPr="00C22DE5">
              <w:rPr>
                <w:rFonts w:eastAsia="Calibri"/>
                <w:lang w:eastAsia="en-US"/>
              </w:rPr>
              <w:t xml:space="preserve"> Informática</w:t>
            </w:r>
            <w:r w:rsidR="006D37AD">
              <w:rPr>
                <w:rFonts w:eastAsia="Calibri"/>
                <w:lang w:eastAsia="en-US"/>
              </w:rPr>
              <w:t>?</w:t>
            </w:r>
          </w:p>
          <w:p w14:paraId="526685F2" w14:textId="422D6BAE" w:rsidR="006D37AD" w:rsidRDefault="006D37AD" w:rsidP="006D37AD">
            <w:pPr>
              <w:numPr>
                <w:ilvl w:val="1"/>
                <w:numId w:val="2"/>
              </w:num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– </w:t>
            </w:r>
            <w:r w:rsidRPr="006D37AD">
              <w:rPr>
                <w:rFonts w:eastAsia="Calibri"/>
                <w:lang w:eastAsia="en-US"/>
              </w:rPr>
              <w:t>Quantos por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6D37AD">
              <w:rPr>
                <w:rFonts w:eastAsia="Calibri"/>
                <w:lang w:eastAsia="en-US"/>
              </w:rPr>
              <w:t>cento do faturamento bruto com produtos incentivados a empresa investiu em centros ou institutos de pesquisa ou entidades brasileiras de ensino no ano de 2014?</w:t>
            </w:r>
          </w:p>
          <w:p w14:paraId="51FCFDB5" w14:textId="13C364D0" w:rsidR="00E57098" w:rsidRDefault="00E57098" w:rsidP="00E57098">
            <w:p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. </w:t>
            </w:r>
            <w:r w:rsidRPr="00E57098">
              <w:rPr>
                <w:rFonts w:eastAsia="Calibri"/>
                <w:lang w:eastAsia="en-US"/>
              </w:rPr>
              <w:t>0,7% a 1,00%</w:t>
            </w:r>
          </w:p>
          <w:p w14:paraId="49FF3031" w14:textId="119607D8" w:rsidR="00E57098" w:rsidRDefault="00E57098" w:rsidP="00E57098">
            <w:p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. </w:t>
            </w:r>
            <w:r w:rsidRPr="00E57098">
              <w:rPr>
                <w:rFonts w:eastAsia="Calibri"/>
                <w:lang w:eastAsia="en-US"/>
              </w:rPr>
              <w:t>1% a 1,5%</w:t>
            </w:r>
          </w:p>
          <w:p w14:paraId="43B79ED1" w14:textId="365B963C" w:rsidR="00E57098" w:rsidRDefault="00E57098" w:rsidP="00E57098">
            <w:p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. </w:t>
            </w:r>
            <w:r w:rsidRPr="00E57098">
              <w:rPr>
                <w:rFonts w:eastAsia="Calibri"/>
                <w:lang w:eastAsia="en-US"/>
              </w:rPr>
              <w:t>1,5% a 2,0%</w:t>
            </w:r>
          </w:p>
          <w:p w14:paraId="729F557C" w14:textId="107C1F0A" w:rsidR="00E57098" w:rsidRDefault="00E57098" w:rsidP="00E57098">
            <w:p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. </w:t>
            </w:r>
            <w:r w:rsidRPr="00E57098">
              <w:rPr>
                <w:rFonts w:eastAsia="Calibri"/>
                <w:lang w:eastAsia="en-US"/>
              </w:rPr>
              <w:t>2,0% a 2,5%</w:t>
            </w:r>
          </w:p>
          <w:p w14:paraId="04BF6B19" w14:textId="2C4D5451" w:rsidR="00E57098" w:rsidRDefault="00E57098" w:rsidP="00E57098">
            <w:p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. </w:t>
            </w:r>
            <w:r w:rsidRPr="00E57098">
              <w:rPr>
                <w:rFonts w:eastAsia="Calibri"/>
                <w:lang w:eastAsia="en-US"/>
              </w:rPr>
              <w:t>2,5% a 2,59%</w:t>
            </w:r>
          </w:p>
          <w:p w14:paraId="2DA871AE" w14:textId="2E6B347F" w:rsidR="00E57098" w:rsidRDefault="00E57098" w:rsidP="00E57098">
            <w:p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. </w:t>
            </w:r>
            <w:r w:rsidRPr="00E57098">
              <w:rPr>
                <w:rFonts w:eastAsia="Calibri"/>
                <w:lang w:eastAsia="en-US"/>
              </w:rPr>
              <w:t>Não investe</w:t>
            </w:r>
          </w:p>
          <w:p w14:paraId="2FF58318" w14:textId="77777777" w:rsidR="00E57098" w:rsidRDefault="006D37AD" w:rsidP="00E57098">
            <w:pPr>
              <w:numPr>
                <w:ilvl w:val="1"/>
                <w:numId w:val="2"/>
              </w:num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 –</w:t>
            </w:r>
            <w:r w:rsidRPr="006D37AD">
              <w:rPr>
                <w:rFonts w:eastAsia="Calibri"/>
                <w:lang w:eastAsia="en-US"/>
              </w:rPr>
              <w:t xml:space="preserve"> Quantos por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6D37AD">
              <w:rPr>
                <w:rFonts w:eastAsia="Calibri"/>
                <w:lang w:eastAsia="en-US"/>
              </w:rPr>
              <w:t>cento do faturamento bruto com produtos incentiva</w:t>
            </w:r>
            <w:r>
              <w:rPr>
                <w:rFonts w:eastAsia="Calibri"/>
                <w:lang w:eastAsia="en-US"/>
              </w:rPr>
              <w:t>dos a empresa investiu em forma</w:t>
            </w:r>
            <w:r w:rsidRPr="006D37AD">
              <w:rPr>
                <w:rFonts w:eastAsia="Calibri"/>
                <w:lang w:eastAsia="en-US"/>
              </w:rPr>
              <w:t xml:space="preserve"> de recursos financeiros depositados trimestralmente no Fundo Nacional de Desenvolvimento Científico e Tecnológico - FNDCT no ano de 2014?</w:t>
            </w:r>
          </w:p>
          <w:p w14:paraId="1EAFDA00" w14:textId="77777777" w:rsidR="00E57098" w:rsidRDefault="00E57098" w:rsidP="00E57098">
            <w:p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. </w:t>
            </w:r>
            <w:r w:rsidRPr="00E57098">
              <w:rPr>
                <w:rFonts w:eastAsia="Calibri"/>
                <w:lang w:eastAsia="en-US"/>
              </w:rPr>
              <w:t>0,35% a 0,70%</w:t>
            </w:r>
          </w:p>
          <w:p w14:paraId="4ED2C9AA" w14:textId="77777777" w:rsidR="00E57098" w:rsidRDefault="00E57098" w:rsidP="00E57098">
            <w:p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. </w:t>
            </w:r>
            <w:r w:rsidRPr="00E57098">
              <w:rPr>
                <w:rFonts w:eastAsia="Calibri"/>
                <w:lang w:eastAsia="en-US"/>
              </w:rPr>
              <w:t>0,7% a 1,00%</w:t>
            </w:r>
          </w:p>
          <w:p w14:paraId="43A221E9" w14:textId="77777777" w:rsidR="00E57098" w:rsidRDefault="00E57098" w:rsidP="00E57098">
            <w:p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. </w:t>
            </w:r>
            <w:r w:rsidRPr="00E57098">
              <w:rPr>
                <w:rFonts w:eastAsia="Calibri"/>
                <w:lang w:eastAsia="en-US"/>
              </w:rPr>
              <w:t>1,00% a 1,5%</w:t>
            </w:r>
          </w:p>
          <w:p w14:paraId="7A053C0B" w14:textId="77777777" w:rsidR="00E57098" w:rsidRDefault="00E57098" w:rsidP="00E57098">
            <w:p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. </w:t>
            </w:r>
            <w:r w:rsidRPr="00E57098">
              <w:rPr>
                <w:rFonts w:eastAsia="Calibri"/>
                <w:lang w:eastAsia="en-US"/>
              </w:rPr>
              <w:t>1,5% a 2,00%</w:t>
            </w:r>
          </w:p>
          <w:p w14:paraId="12E96515" w14:textId="77777777" w:rsidR="00E57098" w:rsidRDefault="00E57098" w:rsidP="00E57098">
            <w:p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. </w:t>
            </w:r>
            <w:r w:rsidRPr="00E57098">
              <w:rPr>
                <w:rFonts w:eastAsia="Calibri"/>
                <w:lang w:eastAsia="en-US"/>
              </w:rPr>
              <w:t>2,00% a 2,24%</w:t>
            </w:r>
          </w:p>
          <w:p w14:paraId="45085287" w14:textId="057FDF46" w:rsidR="00E57098" w:rsidRPr="00E57098" w:rsidRDefault="00E57098" w:rsidP="00E57098">
            <w:pPr>
              <w:suppressAutoHyphens w:val="0"/>
              <w:contextualSpacing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. </w:t>
            </w:r>
            <w:r w:rsidRPr="00E57098">
              <w:rPr>
                <w:rFonts w:eastAsia="Calibri"/>
                <w:lang w:eastAsia="en-US"/>
              </w:rPr>
              <w:t>Não investe</w:t>
            </w:r>
          </w:p>
        </w:tc>
      </w:tr>
    </w:tbl>
    <w:p w14:paraId="67C418AC" w14:textId="77777777" w:rsidR="00C22DE5" w:rsidRPr="00C22DE5" w:rsidRDefault="00C22DE5" w:rsidP="00C22DE5">
      <w:pPr>
        <w:suppressAutoHyphens w:val="0"/>
        <w:jc w:val="both"/>
      </w:pPr>
      <w:r w:rsidRPr="00C22DE5">
        <w:lastRenderedPageBreak/>
        <w:t>Fonte: Elaborado pelos autores com base na Lei 8.248/91 e suas alterações.</w:t>
      </w:r>
    </w:p>
    <w:p w14:paraId="5F478381" w14:textId="5242CB35" w:rsidR="00C22DE5" w:rsidRPr="00C22DE5" w:rsidRDefault="00C22DE5" w:rsidP="00C22DE5">
      <w:pPr>
        <w:suppressAutoHyphens w:val="0"/>
        <w:ind w:firstLine="708"/>
        <w:jc w:val="both"/>
        <w:rPr>
          <w:sz w:val="24"/>
          <w:szCs w:val="24"/>
        </w:rPr>
      </w:pPr>
      <w:r w:rsidRPr="00C22DE5">
        <w:rPr>
          <w:sz w:val="24"/>
          <w:szCs w:val="24"/>
        </w:rPr>
        <w:t>Os sujeitos da pesquisa foram contadores,</w:t>
      </w:r>
      <w:r w:rsidR="00E9164C">
        <w:rPr>
          <w:sz w:val="24"/>
          <w:szCs w:val="24"/>
        </w:rPr>
        <w:t xml:space="preserve"> gerentes administrativos e financeiros </w:t>
      </w:r>
      <w:r w:rsidR="00FB30B8">
        <w:rPr>
          <w:sz w:val="24"/>
          <w:szCs w:val="24"/>
        </w:rPr>
        <w:t xml:space="preserve">e </w:t>
      </w:r>
      <w:r w:rsidR="001F0C1E">
        <w:rPr>
          <w:sz w:val="24"/>
          <w:szCs w:val="24"/>
        </w:rPr>
        <w:t>analistas fiscais</w:t>
      </w:r>
      <w:r w:rsidRPr="00C22DE5">
        <w:rPr>
          <w:sz w:val="24"/>
          <w:szCs w:val="24"/>
        </w:rPr>
        <w:t xml:space="preserve">. O instrumento foi encaminhado por e-mail no período de </w:t>
      </w:r>
      <w:r w:rsidR="00E9164C">
        <w:rPr>
          <w:sz w:val="24"/>
          <w:szCs w:val="24"/>
        </w:rPr>
        <w:t xml:space="preserve">agosto de </w:t>
      </w:r>
      <w:r w:rsidR="00E57098">
        <w:rPr>
          <w:sz w:val="24"/>
          <w:szCs w:val="24"/>
        </w:rPr>
        <w:t>2016</w:t>
      </w:r>
      <w:r w:rsidRPr="00C22DE5">
        <w:rPr>
          <w:sz w:val="24"/>
          <w:szCs w:val="24"/>
        </w:rPr>
        <w:t xml:space="preserve"> até </w:t>
      </w:r>
      <w:r w:rsidR="00E9164C">
        <w:rPr>
          <w:sz w:val="24"/>
          <w:szCs w:val="24"/>
        </w:rPr>
        <w:t xml:space="preserve">novembro de </w:t>
      </w:r>
      <w:r w:rsidR="00E57098">
        <w:rPr>
          <w:sz w:val="24"/>
          <w:szCs w:val="24"/>
        </w:rPr>
        <w:t>2016</w:t>
      </w:r>
      <w:r w:rsidRPr="00C22DE5">
        <w:rPr>
          <w:sz w:val="24"/>
          <w:szCs w:val="24"/>
        </w:rPr>
        <w:t>. Como não se obteve um número mínimo de respostas</w:t>
      </w:r>
      <w:r w:rsidR="00E57098">
        <w:rPr>
          <w:sz w:val="24"/>
          <w:szCs w:val="24"/>
        </w:rPr>
        <w:t xml:space="preserve"> via e-mail,</w:t>
      </w:r>
      <w:r w:rsidRPr="00C22DE5">
        <w:rPr>
          <w:sz w:val="24"/>
          <w:szCs w:val="24"/>
        </w:rPr>
        <w:t xml:space="preserve"> </w:t>
      </w:r>
      <w:r w:rsidR="002420B7" w:rsidRPr="00C22DE5">
        <w:rPr>
          <w:sz w:val="24"/>
          <w:szCs w:val="24"/>
        </w:rPr>
        <w:t>também se entrou</w:t>
      </w:r>
      <w:r w:rsidRPr="00C22DE5">
        <w:rPr>
          <w:sz w:val="24"/>
          <w:szCs w:val="24"/>
        </w:rPr>
        <w:t xml:space="preserve"> em contato com as empresas por meio de telefone no </w:t>
      </w:r>
      <w:r w:rsidR="00E57098">
        <w:rPr>
          <w:sz w:val="24"/>
          <w:szCs w:val="24"/>
        </w:rPr>
        <w:t>mesmo período.</w:t>
      </w:r>
    </w:p>
    <w:p w14:paraId="558CE71F" w14:textId="77777777" w:rsidR="00C22DE5" w:rsidRPr="00C22DE5" w:rsidRDefault="00C22DE5" w:rsidP="00C22DE5">
      <w:pPr>
        <w:suppressAutoHyphens w:val="0"/>
        <w:ind w:firstLine="708"/>
        <w:jc w:val="both"/>
        <w:rPr>
          <w:sz w:val="24"/>
          <w:szCs w:val="24"/>
        </w:rPr>
      </w:pPr>
      <w:r w:rsidRPr="00C22DE5">
        <w:rPr>
          <w:sz w:val="24"/>
          <w:szCs w:val="24"/>
        </w:rPr>
        <w:t xml:space="preserve">Quanto ao processo de análise e interpretação dos dados, a pesquisa apresenta característica de análise descritiva. </w:t>
      </w:r>
      <w:proofErr w:type="spellStart"/>
      <w:r w:rsidRPr="00C22DE5">
        <w:rPr>
          <w:sz w:val="24"/>
          <w:szCs w:val="24"/>
        </w:rPr>
        <w:t>Colauto</w:t>
      </w:r>
      <w:proofErr w:type="spellEnd"/>
      <w:r w:rsidRPr="00C22DE5">
        <w:rPr>
          <w:sz w:val="24"/>
          <w:szCs w:val="24"/>
        </w:rPr>
        <w:t xml:space="preserve"> e Beuren (2009, p. 139) destacam que a análise descritiva “se preocupara fundamentalmente em investigar o que é, ou seja, em descobrir as características de um fenômeno. Para tanto, vale-se de técnicas estatísticas como cálculo do percentual, média, desvio-padrão e outras, para analisar os dados e dar suporte às inferências do pesquisador”.</w:t>
      </w:r>
    </w:p>
    <w:p w14:paraId="198B6263" w14:textId="77777777" w:rsidR="00C22DE5" w:rsidRPr="00C22DE5" w:rsidRDefault="00C22DE5" w:rsidP="00C22DE5">
      <w:pPr>
        <w:suppressAutoHyphens w:val="0"/>
        <w:jc w:val="both"/>
      </w:pPr>
    </w:p>
    <w:p w14:paraId="134A2671" w14:textId="018DDFA6" w:rsidR="00C22DE5" w:rsidRPr="00C22DE5" w:rsidRDefault="00C22DE5" w:rsidP="00C22DE5">
      <w:pPr>
        <w:suppressAutoHyphens w:val="0"/>
        <w:jc w:val="both"/>
        <w:rPr>
          <w:b/>
          <w:sz w:val="24"/>
          <w:szCs w:val="24"/>
        </w:rPr>
      </w:pPr>
      <w:r w:rsidRPr="00C22DE5">
        <w:rPr>
          <w:b/>
          <w:sz w:val="24"/>
          <w:szCs w:val="24"/>
        </w:rPr>
        <w:t xml:space="preserve">4 </w:t>
      </w:r>
      <w:r w:rsidR="004F35B8">
        <w:rPr>
          <w:b/>
          <w:sz w:val="24"/>
          <w:szCs w:val="24"/>
        </w:rPr>
        <w:t>Análise e Descrição dos Dados</w:t>
      </w:r>
    </w:p>
    <w:p w14:paraId="1884593A" w14:textId="77777777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A análise e descrição dos dados é formada pelas características das empresas pesquisadas e a representatividade dos incentivos fiscais sobre o resultado econômico.</w:t>
      </w:r>
    </w:p>
    <w:p w14:paraId="7BDF5BB5" w14:textId="77777777" w:rsidR="00C22DE5" w:rsidRPr="00C22DE5" w:rsidRDefault="00C22DE5" w:rsidP="00C22DE5">
      <w:pPr>
        <w:suppressAutoHyphens w:val="0"/>
        <w:jc w:val="both"/>
        <w:rPr>
          <w:b/>
          <w:sz w:val="24"/>
          <w:szCs w:val="24"/>
        </w:rPr>
      </w:pPr>
      <w:r w:rsidRPr="00C22DE5">
        <w:rPr>
          <w:b/>
          <w:sz w:val="24"/>
          <w:szCs w:val="24"/>
        </w:rPr>
        <w:t xml:space="preserve">4.1 Perfil das empresas </w:t>
      </w:r>
    </w:p>
    <w:p w14:paraId="42CE34E0" w14:textId="1136A039" w:rsidR="00C22DE5" w:rsidRPr="00C22DE5" w:rsidRDefault="00C22DE5" w:rsidP="00C22DE5">
      <w:pPr>
        <w:suppressAutoHyphens w:val="0"/>
        <w:ind w:firstLine="708"/>
        <w:jc w:val="both"/>
        <w:rPr>
          <w:sz w:val="24"/>
          <w:szCs w:val="24"/>
        </w:rPr>
      </w:pPr>
      <w:r w:rsidRPr="00C22DE5">
        <w:rPr>
          <w:sz w:val="24"/>
          <w:szCs w:val="24"/>
        </w:rPr>
        <w:t>Os entrevistados foram questionados sobre o ramo de atividade da empresa, em virtude de os incentivos fiscais da Lei d</w:t>
      </w:r>
      <w:r w:rsidR="002B2A92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 impactarem principalmente sobre o IPI</w:t>
      </w:r>
      <w:r w:rsidR="002B2A92">
        <w:rPr>
          <w:sz w:val="24"/>
          <w:szCs w:val="24"/>
        </w:rPr>
        <w:t>. T</w:t>
      </w:r>
      <w:r w:rsidRPr="00C22DE5">
        <w:rPr>
          <w:sz w:val="24"/>
          <w:szCs w:val="24"/>
        </w:rPr>
        <w:t xml:space="preserve">odas as empresas da amostra são do ramo industrial, algumas com mais de um ramo de atividade, conforme dispõe a Tabela </w:t>
      </w:r>
      <w:r w:rsidR="002B2A92">
        <w:rPr>
          <w:sz w:val="24"/>
          <w:szCs w:val="24"/>
        </w:rPr>
        <w:t>0</w:t>
      </w:r>
      <w:r w:rsidR="00D865D3">
        <w:rPr>
          <w:sz w:val="24"/>
          <w:szCs w:val="24"/>
        </w:rPr>
        <w:t>4</w:t>
      </w:r>
      <w:r w:rsidRPr="00C22DE5">
        <w:rPr>
          <w:sz w:val="24"/>
          <w:szCs w:val="24"/>
        </w:rPr>
        <w:t>.</w:t>
      </w:r>
    </w:p>
    <w:p w14:paraId="5BEDB957" w14:textId="77AD7465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 xml:space="preserve">Tabela </w:t>
      </w:r>
      <w:r w:rsidR="002B2A92">
        <w:rPr>
          <w:sz w:val="24"/>
          <w:szCs w:val="24"/>
        </w:rPr>
        <w:t>0</w:t>
      </w:r>
      <w:r w:rsidR="00D865D3">
        <w:rPr>
          <w:sz w:val="24"/>
          <w:szCs w:val="24"/>
        </w:rPr>
        <w:t>4</w:t>
      </w:r>
      <w:r w:rsidRPr="00C22DE5">
        <w:rPr>
          <w:sz w:val="24"/>
          <w:szCs w:val="24"/>
        </w:rPr>
        <w:t xml:space="preserve"> – Ramo de Atividade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30"/>
        <w:gridCol w:w="2513"/>
        <w:gridCol w:w="1322"/>
      </w:tblGrid>
      <w:tr w:rsidR="00C22DE5" w:rsidRPr="00C22DE5" w14:paraId="6C322098" w14:textId="77777777" w:rsidTr="00D81865">
        <w:trPr>
          <w:trHeight w:val="255"/>
        </w:trPr>
        <w:tc>
          <w:tcPr>
            <w:tcW w:w="28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2256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Ramo de atividade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E0E05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Nº de Empresas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C81F4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%</w:t>
            </w:r>
          </w:p>
        </w:tc>
      </w:tr>
      <w:tr w:rsidR="00C22DE5" w:rsidRPr="00C22DE5" w14:paraId="72C1DC9B" w14:textId="77777777" w:rsidTr="00D81865">
        <w:trPr>
          <w:trHeight w:val="255"/>
        </w:trPr>
        <w:tc>
          <w:tcPr>
            <w:tcW w:w="288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4579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lastRenderedPageBreak/>
              <w:t>Indústria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0D19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12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3F43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66,67</w:t>
            </w:r>
          </w:p>
        </w:tc>
      </w:tr>
      <w:tr w:rsidR="00C22DE5" w:rsidRPr="00C22DE5" w14:paraId="6DAEC2E0" w14:textId="77777777" w:rsidTr="00D81865">
        <w:trPr>
          <w:trHeight w:val="255"/>
        </w:trPr>
        <w:tc>
          <w:tcPr>
            <w:tcW w:w="288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1C79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Indústria e Prestação de Serviços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12AB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2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F340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11,11</w:t>
            </w:r>
          </w:p>
        </w:tc>
      </w:tr>
      <w:tr w:rsidR="00C22DE5" w:rsidRPr="00C22DE5" w14:paraId="456FD364" w14:textId="77777777" w:rsidTr="00D81865">
        <w:trPr>
          <w:trHeight w:val="255"/>
        </w:trPr>
        <w:tc>
          <w:tcPr>
            <w:tcW w:w="288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0967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Indústria, Prestação de Serviços e Comércio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A256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4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A8FE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22,22</w:t>
            </w:r>
          </w:p>
        </w:tc>
      </w:tr>
      <w:tr w:rsidR="00C22DE5" w:rsidRPr="00C22DE5" w14:paraId="47AC95F5" w14:textId="77777777" w:rsidTr="00D81865">
        <w:trPr>
          <w:trHeight w:val="255"/>
        </w:trPr>
        <w:tc>
          <w:tcPr>
            <w:tcW w:w="288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893A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TOTAL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7779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18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2B1B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100</w:t>
            </w:r>
          </w:p>
        </w:tc>
      </w:tr>
    </w:tbl>
    <w:p w14:paraId="4301A81A" w14:textId="77777777" w:rsidR="00C22DE5" w:rsidRPr="00C22DE5" w:rsidRDefault="00C22DE5" w:rsidP="00C22DE5">
      <w:pPr>
        <w:suppressAutoHyphens w:val="0"/>
        <w:jc w:val="both"/>
        <w:rPr>
          <w:sz w:val="22"/>
          <w:szCs w:val="24"/>
        </w:rPr>
      </w:pPr>
      <w:r w:rsidRPr="00C22DE5">
        <w:rPr>
          <w:sz w:val="22"/>
          <w:szCs w:val="24"/>
        </w:rPr>
        <w:t>Fonte: Dados da pesquisa.</w:t>
      </w:r>
    </w:p>
    <w:p w14:paraId="1ADBE1AF" w14:textId="341AD779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Percebe-se na Tabela 0</w:t>
      </w:r>
      <w:r w:rsidR="002B2A92">
        <w:rPr>
          <w:sz w:val="24"/>
          <w:szCs w:val="24"/>
        </w:rPr>
        <w:t>4</w:t>
      </w:r>
      <w:r w:rsidRPr="00C22DE5">
        <w:rPr>
          <w:sz w:val="24"/>
          <w:szCs w:val="24"/>
        </w:rPr>
        <w:t xml:space="preserve"> que, 66,67% das empresas são caracterizadas apenas como indústrias. Outras 11,11% são do ramo industrial e de prestação de serviços e 22,22% são indústria, prestação de serviços e comércio.</w:t>
      </w:r>
    </w:p>
    <w:p w14:paraId="006DBA77" w14:textId="04C8FE73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 xml:space="preserve">Em um segundo momento, os entrevistados foram questionados sobre o porte da empresa, como é descrito na Tabela </w:t>
      </w:r>
      <w:r w:rsidR="002B2A92">
        <w:rPr>
          <w:sz w:val="24"/>
          <w:szCs w:val="24"/>
        </w:rPr>
        <w:t>0</w:t>
      </w:r>
      <w:r w:rsidR="00D865D3">
        <w:rPr>
          <w:sz w:val="24"/>
          <w:szCs w:val="24"/>
        </w:rPr>
        <w:t>5</w:t>
      </w:r>
      <w:r w:rsidRPr="00C22DE5">
        <w:rPr>
          <w:sz w:val="24"/>
          <w:szCs w:val="24"/>
        </w:rPr>
        <w:t>.</w:t>
      </w:r>
    </w:p>
    <w:p w14:paraId="196A4024" w14:textId="2DD62BD0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 xml:space="preserve">Tabela </w:t>
      </w:r>
      <w:r w:rsidR="002B2A92">
        <w:rPr>
          <w:sz w:val="24"/>
          <w:szCs w:val="24"/>
        </w:rPr>
        <w:t>0</w:t>
      </w:r>
      <w:r w:rsidR="00D865D3">
        <w:rPr>
          <w:sz w:val="24"/>
          <w:szCs w:val="24"/>
        </w:rPr>
        <w:t>5</w:t>
      </w:r>
      <w:r w:rsidRPr="00C22DE5">
        <w:rPr>
          <w:sz w:val="24"/>
          <w:szCs w:val="24"/>
        </w:rPr>
        <w:t xml:space="preserve"> – Porte da Empresa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31"/>
        <w:gridCol w:w="2511"/>
        <w:gridCol w:w="1323"/>
      </w:tblGrid>
      <w:tr w:rsidR="00C22DE5" w:rsidRPr="00C22DE5" w14:paraId="0A76AC82" w14:textId="77777777" w:rsidTr="00D81865">
        <w:trPr>
          <w:trHeight w:val="255"/>
        </w:trPr>
        <w:tc>
          <w:tcPr>
            <w:tcW w:w="28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5DC4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Porte da empresa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B8D845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Nº de Empresas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A9C5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%</w:t>
            </w:r>
          </w:p>
        </w:tc>
      </w:tr>
      <w:tr w:rsidR="00C22DE5" w:rsidRPr="00C22DE5" w14:paraId="32E420E5" w14:textId="77777777" w:rsidTr="00D81865">
        <w:trPr>
          <w:trHeight w:val="255"/>
        </w:trPr>
        <w:tc>
          <w:tcPr>
            <w:tcW w:w="288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A4B6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Microempresa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9768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2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60F2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11,11</w:t>
            </w:r>
          </w:p>
        </w:tc>
      </w:tr>
      <w:tr w:rsidR="00C22DE5" w:rsidRPr="00C22DE5" w14:paraId="3CDF7011" w14:textId="77777777" w:rsidTr="00D81865">
        <w:trPr>
          <w:trHeight w:val="255"/>
        </w:trPr>
        <w:tc>
          <w:tcPr>
            <w:tcW w:w="288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CA21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Empresa de Pequeno Porte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4521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7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1E79E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38,89</w:t>
            </w:r>
          </w:p>
        </w:tc>
      </w:tr>
      <w:tr w:rsidR="00C22DE5" w:rsidRPr="00C22DE5" w14:paraId="179EB7CD" w14:textId="77777777" w:rsidTr="00D81865">
        <w:trPr>
          <w:trHeight w:val="255"/>
        </w:trPr>
        <w:tc>
          <w:tcPr>
            <w:tcW w:w="288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0395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Empresa de Médio Porte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48F1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7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08E9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38,89</w:t>
            </w:r>
          </w:p>
        </w:tc>
      </w:tr>
      <w:tr w:rsidR="00C22DE5" w:rsidRPr="00C22DE5" w14:paraId="16A40CA7" w14:textId="77777777" w:rsidTr="00D81865">
        <w:trPr>
          <w:trHeight w:val="255"/>
        </w:trPr>
        <w:tc>
          <w:tcPr>
            <w:tcW w:w="288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EF31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Empresa de Grande Porte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FBBA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2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C8A4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11,11</w:t>
            </w:r>
          </w:p>
        </w:tc>
      </w:tr>
      <w:tr w:rsidR="00C22DE5" w:rsidRPr="00C22DE5" w14:paraId="044569F6" w14:textId="77777777" w:rsidTr="00D81865">
        <w:trPr>
          <w:trHeight w:val="255"/>
        </w:trPr>
        <w:tc>
          <w:tcPr>
            <w:tcW w:w="288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2AAD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TOTAL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F7AD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18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96F8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100</w:t>
            </w:r>
          </w:p>
        </w:tc>
      </w:tr>
    </w:tbl>
    <w:p w14:paraId="75FEA8E1" w14:textId="77777777" w:rsidR="00C22DE5" w:rsidRPr="00C22DE5" w:rsidRDefault="00C22DE5" w:rsidP="00C22DE5">
      <w:pPr>
        <w:suppressAutoHyphens w:val="0"/>
        <w:jc w:val="both"/>
        <w:rPr>
          <w:sz w:val="22"/>
          <w:szCs w:val="24"/>
        </w:rPr>
      </w:pPr>
      <w:r w:rsidRPr="00C22DE5">
        <w:rPr>
          <w:sz w:val="22"/>
          <w:szCs w:val="24"/>
        </w:rPr>
        <w:t>Fonte: Dados da pesquisa.</w:t>
      </w:r>
    </w:p>
    <w:p w14:paraId="65A43C75" w14:textId="3520D80F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b/>
          <w:sz w:val="24"/>
          <w:szCs w:val="24"/>
        </w:rPr>
        <w:tab/>
      </w:r>
      <w:r w:rsidRPr="00C22DE5">
        <w:rPr>
          <w:sz w:val="24"/>
          <w:szCs w:val="24"/>
        </w:rPr>
        <w:t>De acordo com a Tabela 0</w:t>
      </w:r>
      <w:r w:rsidR="002B2A92">
        <w:rPr>
          <w:sz w:val="24"/>
          <w:szCs w:val="24"/>
        </w:rPr>
        <w:t>5</w:t>
      </w:r>
      <w:r w:rsidRPr="00C22DE5">
        <w:rPr>
          <w:sz w:val="24"/>
          <w:szCs w:val="24"/>
        </w:rPr>
        <w:t>, das empresas catarinenses que compõe a amostra e que utilizam do benefício da Lei d</w:t>
      </w:r>
      <w:r w:rsidR="002B2A92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Informática, 11,11% são microempresas. A mesma quantidade de empresas de grande porte também utilizam deste benefício. Há ainda 38,89% de empresas de pequeno porte que usufruem dos benefícios, percentual que se repete em empresas consideradas de médio porte.</w:t>
      </w:r>
    </w:p>
    <w:p w14:paraId="68B0359C" w14:textId="318294F8" w:rsidR="00C22DE5" w:rsidRPr="00C22DE5" w:rsidRDefault="00C22DE5" w:rsidP="00C22DE5">
      <w:pPr>
        <w:suppressAutoHyphens w:val="0"/>
        <w:jc w:val="both"/>
        <w:rPr>
          <w:b/>
          <w:sz w:val="24"/>
          <w:szCs w:val="24"/>
        </w:rPr>
      </w:pPr>
      <w:r w:rsidRPr="00C22DE5">
        <w:rPr>
          <w:b/>
          <w:sz w:val="24"/>
          <w:szCs w:val="24"/>
        </w:rPr>
        <w:tab/>
      </w:r>
      <w:r w:rsidRPr="00C22DE5">
        <w:rPr>
          <w:sz w:val="24"/>
          <w:szCs w:val="24"/>
        </w:rPr>
        <w:t xml:space="preserve">Dessa forma, conforme destacam Garcia e </w:t>
      </w:r>
      <w:proofErr w:type="spellStart"/>
      <w:r w:rsidRPr="00C22DE5">
        <w:rPr>
          <w:sz w:val="24"/>
          <w:szCs w:val="24"/>
        </w:rPr>
        <w:t>Roselino</w:t>
      </w:r>
      <w:proofErr w:type="spellEnd"/>
      <w:r w:rsidRPr="00C22DE5">
        <w:rPr>
          <w:sz w:val="24"/>
          <w:szCs w:val="24"/>
        </w:rPr>
        <w:t xml:space="preserve"> (2004) toda atividade desenvolvida pela empresa relacionada à P&amp;D vinculada ao complexo eletrônico (informática e automação), pode pleitear os incentivos fiscais dispostos na Lei d</w:t>
      </w:r>
      <w:r w:rsidR="00885895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Informática, independente do porte da empresa.</w:t>
      </w:r>
    </w:p>
    <w:p w14:paraId="4B058B18" w14:textId="4BDC7387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</w:r>
      <w:r w:rsidR="002B2A92">
        <w:rPr>
          <w:sz w:val="24"/>
          <w:szCs w:val="24"/>
        </w:rPr>
        <w:t>Os entrevistados</w:t>
      </w:r>
      <w:r w:rsidRPr="00C22DE5">
        <w:rPr>
          <w:sz w:val="24"/>
          <w:szCs w:val="24"/>
        </w:rPr>
        <w:t xml:space="preserve"> foram questionad</w:t>
      </w:r>
      <w:r w:rsidR="002B2A92">
        <w:rPr>
          <w:sz w:val="24"/>
          <w:szCs w:val="24"/>
        </w:rPr>
        <w:t>o</w:t>
      </w:r>
      <w:r w:rsidRPr="00C22DE5">
        <w:rPr>
          <w:sz w:val="24"/>
          <w:szCs w:val="24"/>
        </w:rPr>
        <w:t xml:space="preserve">s sobre o número de colaboradores, conforme se evidencia na Tabela </w:t>
      </w:r>
      <w:r w:rsidR="002B2A92">
        <w:rPr>
          <w:sz w:val="24"/>
          <w:szCs w:val="24"/>
        </w:rPr>
        <w:t>0</w:t>
      </w:r>
      <w:r w:rsidR="00D865D3">
        <w:rPr>
          <w:sz w:val="24"/>
          <w:szCs w:val="24"/>
        </w:rPr>
        <w:t>6</w:t>
      </w:r>
      <w:r w:rsidRPr="00C22DE5">
        <w:rPr>
          <w:sz w:val="24"/>
          <w:szCs w:val="24"/>
        </w:rPr>
        <w:t>.</w:t>
      </w:r>
    </w:p>
    <w:p w14:paraId="184546FD" w14:textId="6348E698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 xml:space="preserve">Tabela </w:t>
      </w:r>
      <w:r w:rsidR="002B2A92">
        <w:rPr>
          <w:sz w:val="24"/>
          <w:szCs w:val="24"/>
        </w:rPr>
        <w:t>0</w:t>
      </w:r>
      <w:r w:rsidR="00D865D3">
        <w:rPr>
          <w:sz w:val="24"/>
          <w:szCs w:val="24"/>
        </w:rPr>
        <w:t>6</w:t>
      </w:r>
      <w:r w:rsidRPr="00C22DE5">
        <w:rPr>
          <w:sz w:val="24"/>
          <w:szCs w:val="24"/>
        </w:rPr>
        <w:t xml:space="preserve"> – Número de funcionários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31"/>
        <w:gridCol w:w="2511"/>
        <w:gridCol w:w="1323"/>
      </w:tblGrid>
      <w:tr w:rsidR="00C22DE5" w:rsidRPr="00C22DE5" w14:paraId="03A1A852" w14:textId="77777777" w:rsidTr="00D81865">
        <w:trPr>
          <w:trHeight w:val="255"/>
        </w:trPr>
        <w:tc>
          <w:tcPr>
            <w:tcW w:w="28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2756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Número de funcionários</w:t>
            </w:r>
          </w:p>
        </w:tc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10ED665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Nº de Empresas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DDD2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%</w:t>
            </w:r>
          </w:p>
        </w:tc>
      </w:tr>
      <w:tr w:rsidR="00C22DE5" w:rsidRPr="00C22DE5" w14:paraId="37E52C74" w14:textId="77777777" w:rsidTr="00D81865">
        <w:trPr>
          <w:trHeight w:val="255"/>
        </w:trPr>
        <w:tc>
          <w:tcPr>
            <w:tcW w:w="288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FBE5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1 a 50 funcionários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838B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10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2F01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55,56</w:t>
            </w:r>
          </w:p>
        </w:tc>
      </w:tr>
      <w:tr w:rsidR="00C22DE5" w:rsidRPr="00C22DE5" w14:paraId="07542B3F" w14:textId="77777777" w:rsidTr="00D81865">
        <w:trPr>
          <w:trHeight w:val="255"/>
        </w:trPr>
        <w:tc>
          <w:tcPr>
            <w:tcW w:w="288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37FA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51 a 100 funcionários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69DB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4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D018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22,22</w:t>
            </w:r>
          </w:p>
        </w:tc>
      </w:tr>
      <w:tr w:rsidR="00C22DE5" w:rsidRPr="00C22DE5" w14:paraId="00136038" w14:textId="77777777" w:rsidTr="00D81865">
        <w:trPr>
          <w:trHeight w:val="255"/>
        </w:trPr>
        <w:tc>
          <w:tcPr>
            <w:tcW w:w="288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D38C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101 a 200 funcionários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7C86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2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F247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11,11</w:t>
            </w:r>
          </w:p>
        </w:tc>
      </w:tr>
      <w:tr w:rsidR="00C22DE5" w:rsidRPr="00C22DE5" w14:paraId="65F6AEDA" w14:textId="77777777" w:rsidTr="00D81865">
        <w:trPr>
          <w:trHeight w:val="255"/>
        </w:trPr>
        <w:tc>
          <w:tcPr>
            <w:tcW w:w="288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F055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Mais que 200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91E6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2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DB59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11,11</w:t>
            </w:r>
          </w:p>
        </w:tc>
      </w:tr>
      <w:tr w:rsidR="00C22DE5" w:rsidRPr="00C22DE5" w14:paraId="3D0ED0F8" w14:textId="77777777" w:rsidTr="00D81865">
        <w:trPr>
          <w:trHeight w:val="255"/>
        </w:trPr>
        <w:tc>
          <w:tcPr>
            <w:tcW w:w="288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E0CC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TOTAL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D8C3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18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84D5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100</w:t>
            </w:r>
          </w:p>
        </w:tc>
      </w:tr>
    </w:tbl>
    <w:p w14:paraId="7C73A204" w14:textId="77777777" w:rsidR="00C22DE5" w:rsidRPr="00C22DE5" w:rsidRDefault="00C22DE5" w:rsidP="00C22DE5">
      <w:pPr>
        <w:suppressAutoHyphens w:val="0"/>
        <w:jc w:val="both"/>
        <w:rPr>
          <w:sz w:val="22"/>
          <w:szCs w:val="24"/>
        </w:rPr>
      </w:pPr>
      <w:r w:rsidRPr="00C22DE5">
        <w:rPr>
          <w:sz w:val="22"/>
          <w:szCs w:val="24"/>
        </w:rPr>
        <w:t>Fonte: Dados da pesquisa.</w:t>
      </w:r>
    </w:p>
    <w:p w14:paraId="66D1EA1E" w14:textId="0429A89F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</w:r>
      <w:r w:rsidR="002B2A92">
        <w:rPr>
          <w:sz w:val="24"/>
          <w:szCs w:val="24"/>
        </w:rPr>
        <w:t>De acordo com a Tabela 06, d</w:t>
      </w:r>
      <w:r w:rsidRPr="00C22DE5">
        <w:rPr>
          <w:sz w:val="24"/>
          <w:szCs w:val="24"/>
        </w:rPr>
        <w:t xml:space="preserve">as 18 empresas entrevistadas, </w:t>
      </w:r>
      <w:proofErr w:type="gramStart"/>
      <w:r w:rsidRPr="00C22DE5">
        <w:rPr>
          <w:sz w:val="24"/>
          <w:szCs w:val="24"/>
        </w:rPr>
        <w:t>10  contam</w:t>
      </w:r>
      <w:proofErr w:type="gramEnd"/>
      <w:r w:rsidRPr="00C22DE5">
        <w:rPr>
          <w:sz w:val="24"/>
          <w:szCs w:val="24"/>
        </w:rPr>
        <w:t xml:space="preserve"> com um número de colaboradores entre </w:t>
      </w:r>
      <w:r w:rsidR="002B2A92">
        <w:rPr>
          <w:sz w:val="24"/>
          <w:szCs w:val="24"/>
        </w:rPr>
        <w:t xml:space="preserve">um </w:t>
      </w:r>
      <w:r w:rsidRPr="00C22DE5">
        <w:rPr>
          <w:sz w:val="24"/>
          <w:szCs w:val="24"/>
        </w:rPr>
        <w:t xml:space="preserve">e 50. Outras </w:t>
      </w:r>
      <w:r w:rsidR="002B2A92">
        <w:rPr>
          <w:sz w:val="24"/>
          <w:szCs w:val="24"/>
        </w:rPr>
        <w:t>quatro</w:t>
      </w:r>
      <w:r w:rsidRPr="00C22DE5">
        <w:rPr>
          <w:sz w:val="24"/>
          <w:szCs w:val="24"/>
        </w:rPr>
        <w:t xml:space="preserve"> empresas afirmam possuir entre 51 e 100 colaboradores. Há ainda duas empresas que afirmam trabalhar com um número entre 101 e 200 colaboradores, e outras duas empresas, que afirmam ter mais de 200</w:t>
      </w:r>
      <w:r w:rsidR="002B2A92">
        <w:rPr>
          <w:sz w:val="24"/>
          <w:szCs w:val="24"/>
        </w:rPr>
        <w:t>.</w:t>
      </w:r>
    </w:p>
    <w:p w14:paraId="53431AD7" w14:textId="7FB2A77C" w:rsidR="00C22DE5" w:rsidRPr="00C22DE5" w:rsidRDefault="00C22DE5" w:rsidP="00C22DE5">
      <w:pPr>
        <w:suppressAutoHyphens w:val="0"/>
        <w:jc w:val="both"/>
        <w:rPr>
          <w:b/>
          <w:sz w:val="24"/>
          <w:szCs w:val="24"/>
        </w:rPr>
      </w:pPr>
      <w:r w:rsidRPr="00C22DE5">
        <w:rPr>
          <w:b/>
          <w:sz w:val="24"/>
          <w:szCs w:val="24"/>
        </w:rPr>
        <w:t xml:space="preserve">4.2 Representatividade dos incentivos fiscais </w:t>
      </w:r>
      <w:r w:rsidR="002B2A92">
        <w:rPr>
          <w:b/>
          <w:sz w:val="24"/>
          <w:szCs w:val="24"/>
        </w:rPr>
        <w:t xml:space="preserve">da Lei de Informática </w:t>
      </w:r>
      <w:r w:rsidRPr="00C22DE5">
        <w:rPr>
          <w:b/>
          <w:sz w:val="24"/>
          <w:szCs w:val="24"/>
        </w:rPr>
        <w:t xml:space="preserve">no resultado </w:t>
      </w:r>
    </w:p>
    <w:p w14:paraId="506999F9" w14:textId="073A0EF5" w:rsidR="00C22DE5" w:rsidRPr="00C22DE5" w:rsidRDefault="00C22DE5" w:rsidP="00C22DE5">
      <w:pPr>
        <w:suppressAutoHyphens w:val="0"/>
        <w:ind w:firstLine="708"/>
        <w:jc w:val="both"/>
        <w:rPr>
          <w:sz w:val="24"/>
          <w:szCs w:val="24"/>
        </w:rPr>
      </w:pPr>
      <w:r w:rsidRPr="00C22DE5">
        <w:rPr>
          <w:sz w:val="24"/>
          <w:szCs w:val="24"/>
        </w:rPr>
        <w:t xml:space="preserve">Em um segundo momento, os entrevistados foram questionados acerca de questões pertinentes a aplicação e resultados da Lei de Informática na empresa. O levantamento analisou questões referentes ao </w:t>
      </w:r>
      <w:r w:rsidR="006455C0">
        <w:rPr>
          <w:sz w:val="24"/>
          <w:szCs w:val="24"/>
        </w:rPr>
        <w:t xml:space="preserve">faturamento </w:t>
      </w:r>
      <w:r w:rsidRPr="00C22DE5">
        <w:rPr>
          <w:sz w:val="24"/>
          <w:szCs w:val="24"/>
        </w:rPr>
        <w:t xml:space="preserve">bruto das empresas, o faturamento bruto com produtos incentivados, a participação do faturamento com produtos incentivados no faturamento total, os impostos renunciados e a quantidade recolhida, a participação da renúncia dos impostos no </w:t>
      </w:r>
      <w:r w:rsidR="006455C0">
        <w:rPr>
          <w:sz w:val="24"/>
          <w:szCs w:val="24"/>
        </w:rPr>
        <w:t>resultado</w:t>
      </w:r>
      <w:r w:rsidRPr="00C22DE5">
        <w:rPr>
          <w:sz w:val="24"/>
          <w:szCs w:val="24"/>
        </w:rPr>
        <w:t xml:space="preserve">, </w:t>
      </w:r>
      <w:r w:rsidR="006455C0">
        <w:rPr>
          <w:sz w:val="24"/>
          <w:szCs w:val="24"/>
        </w:rPr>
        <w:t>há</w:t>
      </w:r>
      <w:r w:rsidRPr="00C22DE5">
        <w:rPr>
          <w:sz w:val="24"/>
          <w:szCs w:val="24"/>
        </w:rPr>
        <w:t xml:space="preserve"> quanto tempo a empresa utiliza os incentivos e </w:t>
      </w:r>
      <w:r w:rsidR="006455C0">
        <w:rPr>
          <w:sz w:val="24"/>
          <w:szCs w:val="24"/>
        </w:rPr>
        <w:t>como são realizados</w:t>
      </w:r>
      <w:r w:rsidRPr="00C22DE5">
        <w:rPr>
          <w:sz w:val="24"/>
          <w:szCs w:val="24"/>
        </w:rPr>
        <w:t xml:space="preserve"> os investimentos em P&amp;D.</w:t>
      </w:r>
    </w:p>
    <w:p w14:paraId="7E44C690" w14:textId="0B2E5863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 xml:space="preserve">Na Tabela </w:t>
      </w:r>
      <w:r w:rsidR="006455C0">
        <w:rPr>
          <w:sz w:val="24"/>
          <w:szCs w:val="24"/>
        </w:rPr>
        <w:t>0</w:t>
      </w:r>
      <w:r w:rsidR="00D865D3">
        <w:rPr>
          <w:sz w:val="24"/>
          <w:szCs w:val="24"/>
        </w:rPr>
        <w:t>7</w:t>
      </w:r>
      <w:r w:rsidRPr="00C22DE5">
        <w:rPr>
          <w:sz w:val="24"/>
          <w:szCs w:val="24"/>
        </w:rPr>
        <w:t>, é disposto o faturamento bruto das empresas catarinenses que usufruem dos benefícios, como dispõe-se a seguir.</w:t>
      </w:r>
    </w:p>
    <w:p w14:paraId="396BFB04" w14:textId="6B104EF7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lastRenderedPageBreak/>
        <w:t xml:space="preserve">Tabela </w:t>
      </w:r>
      <w:r w:rsidR="00F02A55">
        <w:rPr>
          <w:sz w:val="24"/>
          <w:szCs w:val="24"/>
        </w:rPr>
        <w:t>0</w:t>
      </w:r>
      <w:r w:rsidR="00D865D3">
        <w:rPr>
          <w:sz w:val="24"/>
          <w:szCs w:val="24"/>
        </w:rPr>
        <w:t>7</w:t>
      </w:r>
      <w:r w:rsidRPr="00C22DE5">
        <w:rPr>
          <w:sz w:val="24"/>
          <w:szCs w:val="24"/>
        </w:rPr>
        <w:t xml:space="preserve"> – Faturamento Total no ano de 2014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30"/>
        <w:gridCol w:w="2513"/>
        <w:gridCol w:w="1322"/>
      </w:tblGrid>
      <w:tr w:rsidR="00C22DE5" w:rsidRPr="00C22DE5" w14:paraId="77F3FCE3" w14:textId="77777777" w:rsidTr="00D81865">
        <w:trPr>
          <w:trHeight w:val="255"/>
        </w:trPr>
        <w:tc>
          <w:tcPr>
            <w:tcW w:w="28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9B9F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Faturamento total no ano de 2014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4146F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Nº de Empresas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8892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%</w:t>
            </w:r>
          </w:p>
        </w:tc>
      </w:tr>
      <w:tr w:rsidR="00C22DE5" w:rsidRPr="00C22DE5" w14:paraId="2A56D3DB" w14:textId="77777777" w:rsidTr="00D81865">
        <w:trPr>
          <w:trHeight w:val="255"/>
        </w:trPr>
        <w:tc>
          <w:tcPr>
            <w:tcW w:w="288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935A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Até R$ 2,4 milhões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CA46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3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AC75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16,67</w:t>
            </w:r>
          </w:p>
        </w:tc>
      </w:tr>
      <w:tr w:rsidR="00C22DE5" w:rsidRPr="00C22DE5" w14:paraId="3BBF74E2" w14:textId="77777777" w:rsidTr="00D81865">
        <w:trPr>
          <w:trHeight w:val="255"/>
        </w:trPr>
        <w:tc>
          <w:tcPr>
            <w:tcW w:w="288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39BF" w14:textId="430E899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Maior que R$ 2,4 milhões e</w:t>
            </w:r>
            <w:r w:rsidR="003E300D">
              <w:rPr>
                <w:color w:val="000000"/>
              </w:rPr>
              <w:t xml:space="preserve"> até</w:t>
            </w:r>
            <w:r w:rsidRPr="00C22DE5">
              <w:rPr>
                <w:color w:val="000000"/>
              </w:rPr>
              <w:t xml:space="preserve"> R$ 15 milhões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2F47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10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76EF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55,56</w:t>
            </w:r>
          </w:p>
        </w:tc>
      </w:tr>
      <w:tr w:rsidR="00C22DE5" w:rsidRPr="00C22DE5" w14:paraId="7C112E12" w14:textId="77777777" w:rsidTr="00D81865">
        <w:trPr>
          <w:trHeight w:val="255"/>
        </w:trPr>
        <w:tc>
          <w:tcPr>
            <w:tcW w:w="288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D593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Maior que R$ 15 milhões e menor ou igual a R$ 90 milhões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2937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3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0164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16,67</w:t>
            </w:r>
          </w:p>
        </w:tc>
      </w:tr>
      <w:tr w:rsidR="00C22DE5" w:rsidRPr="00C22DE5" w14:paraId="72A9007D" w14:textId="77777777" w:rsidTr="00D81865">
        <w:trPr>
          <w:trHeight w:val="255"/>
        </w:trPr>
        <w:tc>
          <w:tcPr>
            <w:tcW w:w="288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5316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Maior que R$ 90 milhões e menor ou igual a R$ 300 milhões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5839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4566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5,56</w:t>
            </w:r>
          </w:p>
        </w:tc>
      </w:tr>
      <w:tr w:rsidR="00C22DE5" w:rsidRPr="00C22DE5" w14:paraId="212F1700" w14:textId="77777777" w:rsidTr="00D81865">
        <w:trPr>
          <w:trHeight w:val="255"/>
        </w:trPr>
        <w:tc>
          <w:tcPr>
            <w:tcW w:w="288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C295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Maior que R$ 300 milhões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B2C1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9424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5,56</w:t>
            </w:r>
          </w:p>
        </w:tc>
      </w:tr>
      <w:tr w:rsidR="00C22DE5" w:rsidRPr="00C22DE5" w14:paraId="707004A5" w14:textId="77777777" w:rsidTr="00D81865">
        <w:trPr>
          <w:trHeight w:val="255"/>
        </w:trPr>
        <w:tc>
          <w:tcPr>
            <w:tcW w:w="288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2076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TOTAL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10F4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18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426D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100</w:t>
            </w:r>
          </w:p>
        </w:tc>
      </w:tr>
    </w:tbl>
    <w:p w14:paraId="146F1EDD" w14:textId="77777777" w:rsidR="00C22DE5" w:rsidRPr="00C22DE5" w:rsidRDefault="00C22DE5" w:rsidP="00C22DE5">
      <w:pPr>
        <w:suppressAutoHyphens w:val="0"/>
        <w:jc w:val="both"/>
        <w:rPr>
          <w:sz w:val="22"/>
          <w:szCs w:val="24"/>
        </w:rPr>
      </w:pPr>
      <w:r w:rsidRPr="00C22DE5">
        <w:rPr>
          <w:sz w:val="22"/>
          <w:szCs w:val="24"/>
        </w:rPr>
        <w:t>Fonte: Dados da pesquisa.</w:t>
      </w:r>
    </w:p>
    <w:p w14:paraId="3CB2971A" w14:textId="4B384994" w:rsidR="00C22DE5" w:rsidRPr="00C22DE5" w:rsidRDefault="000B60B5" w:rsidP="000E04F4">
      <w:pPr>
        <w:suppressAutoHyphens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Percebe-se na Tabela 07 que, d</w:t>
      </w:r>
      <w:r w:rsidR="00C22DE5" w:rsidRPr="00C22DE5">
        <w:rPr>
          <w:sz w:val="24"/>
          <w:szCs w:val="24"/>
        </w:rPr>
        <w:t>as empresas entrevistadas, 16,67% possuem um faturamento de até R$ 2,4 milhões. Dez empresas afirmaram ter faturado no ano de 2014, um valor entre 2,4 e 1</w:t>
      </w:r>
      <w:r w:rsidR="000454BC">
        <w:rPr>
          <w:sz w:val="24"/>
          <w:szCs w:val="24"/>
        </w:rPr>
        <w:t xml:space="preserve">5 </w:t>
      </w:r>
      <w:r w:rsidR="00C22DE5" w:rsidRPr="00C22DE5">
        <w:rPr>
          <w:sz w:val="24"/>
          <w:szCs w:val="24"/>
        </w:rPr>
        <w:t>milhões de reais, representando 55,67% da amostra. Três empresas faturaram entre 16 e 90 milhões de reais em 2014. Houve ainda uma empresa com faturamento entre 90 e 300 milhões, e uma outra empresa com faturamento acima de 300 milhões de reais, representando 5,56% da amostra.</w:t>
      </w:r>
    </w:p>
    <w:p w14:paraId="14EA8ED6" w14:textId="170BC1E0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 xml:space="preserve">Na Tabela </w:t>
      </w:r>
      <w:r w:rsidR="006455C0">
        <w:rPr>
          <w:sz w:val="24"/>
          <w:szCs w:val="24"/>
        </w:rPr>
        <w:t>0</w:t>
      </w:r>
      <w:r w:rsidR="00D865D3">
        <w:rPr>
          <w:sz w:val="24"/>
          <w:szCs w:val="24"/>
        </w:rPr>
        <w:t>8</w:t>
      </w:r>
      <w:r w:rsidRPr="00C22DE5">
        <w:rPr>
          <w:sz w:val="24"/>
          <w:szCs w:val="24"/>
        </w:rPr>
        <w:t>, observa-se o faturamento das empresas somente com os produtos que recebem o incentivo fiscal da Lei d</w:t>
      </w:r>
      <w:r w:rsidR="00885895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Informática.</w:t>
      </w:r>
    </w:p>
    <w:p w14:paraId="2942BD42" w14:textId="7BCC2C5D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 xml:space="preserve">Tabela </w:t>
      </w:r>
      <w:r w:rsidR="006455C0">
        <w:rPr>
          <w:sz w:val="24"/>
          <w:szCs w:val="24"/>
        </w:rPr>
        <w:t>0</w:t>
      </w:r>
      <w:r w:rsidR="00D865D3">
        <w:rPr>
          <w:sz w:val="24"/>
          <w:szCs w:val="24"/>
        </w:rPr>
        <w:t>8</w:t>
      </w:r>
      <w:r w:rsidRPr="00C22DE5">
        <w:rPr>
          <w:sz w:val="24"/>
          <w:szCs w:val="24"/>
        </w:rPr>
        <w:t xml:space="preserve"> – Faturamento bruto com bens incentivados no ano de 2014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46"/>
        <w:gridCol w:w="2681"/>
        <w:gridCol w:w="1238"/>
      </w:tblGrid>
      <w:tr w:rsidR="00C22DE5" w:rsidRPr="00C22DE5" w14:paraId="06F344B3" w14:textId="77777777" w:rsidTr="00D81865">
        <w:trPr>
          <w:trHeight w:val="255"/>
        </w:trPr>
        <w:tc>
          <w:tcPr>
            <w:tcW w:w="28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5549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Faturamento bruto com bens incentivados no ano de 2014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B8FDB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Nº de Empresas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C990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%</w:t>
            </w:r>
          </w:p>
        </w:tc>
      </w:tr>
      <w:tr w:rsidR="00C22DE5" w:rsidRPr="00C22DE5" w14:paraId="534069C2" w14:textId="77777777" w:rsidTr="00D81865">
        <w:trPr>
          <w:trHeight w:val="255"/>
        </w:trPr>
        <w:tc>
          <w:tcPr>
            <w:tcW w:w="283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4106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Até R$ 1,2 milhão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4D49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4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B5A5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22,22</w:t>
            </w:r>
          </w:p>
        </w:tc>
      </w:tr>
      <w:tr w:rsidR="00C22DE5" w:rsidRPr="00C22DE5" w14:paraId="7A2DDD93" w14:textId="77777777" w:rsidTr="00D81865">
        <w:trPr>
          <w:trHeight w:val="255"/>
        </w:trPr>
        <w:tc>
          <w:tcPr>
            <w:tcW w:w="283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2A31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Maior que R$ 1,2 milhão e menor que R$ 8 milhões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7729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8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462D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44,44</w:t>
            </w:r>
          </w:p>
        </w:tc>
      </w:tr>
      <w:tr w:rsidR="00C22DE5" w:rsidRPr="00C22DE5" w14:paraId="66941836" w14:textId="77777777" w:rsidTr="00D81865">
        <w:trPr>
          <w:trHeight w:val="255"/>
        </w:trPr>
        <w:tc>
          <w:tcPr>
            <w:tcW w:w="283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3735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Maior que R$ 8 milhões e menor ou igual a R$ 150 milhões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BEE6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5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64CF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27,78</w:t>
            </w:r>
          </w:p>
        </w:tc>
      </w:tr>
      <w:tr w:rsidR="00C22DE5" w:rsidRPr="00C22DE5" w14:paraId="112DD1C4" w14:textId="77777777" w:rsidTr="00D81865">
        <w:trPr>
          <w:trHeight w:val="255"/>
        </w:trPr>
        <w:tc>
          <w:tcPr>
            <w:tcW w:w="283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1C69A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Maior que R$ 150 milhões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ECDE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E235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5,56</w:t>
            </w:r>
          </w:p>
        </w:tc>
      </w:tr>
      <w:tr w:rsidR="00C22DE5" w:rsidRPr="00C22DE5" w14:paraId="5EDFF23D" w14:textId="77777777" w:rsidTr="00D81865">
        <w:trPr>
          <w:trHeight w:val="255"/>
        </w:trPr>
        <w:tc>
          <w:tcPr>
            <w:tcW w:w="283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FCC2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TOTAL</w:t>
            </w:r>
          </w:p>
        </w:tc>
        <w:tc>
          <w:tcPr>
            <w:tcW w:w="1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6CEC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18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A0C2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100</w:t>
            </w:r>
          </w:p>
        </w:tc>
      </w:tr>
    </w:tbl>
    <w:p w14:paraId="505CFE1A" w14:textId="77777777" w:rsidR="00C22DE5" w:rsidRPr="00C22DE5" w:rsidRDefault="00C22DE5" w:rsidP="00C22DE5">
      <w:pPr>
        <w:suppressAutoHyphens w:val="0"/>
        <w:jc w:val="both"/>
        <w:rPr>
          <w:sz w:val="22"/>
          <w:szCs w:val="24"/>
        </w:rPr>
      </w:pPr>
      <w:r w:rsidRPr="00C22DE5">
        <w:rPr>
          <w:sz w:val="22"/>
          <w:szCs w:val="24"/>
        </w:rPr>
        <w:t>Fonte: Dados da pesquisa.</w:t>
      </w:r>
    </w:p>
    <w:p w14:paraId="3132BA9F" w14:textId="2C94F08C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Percebe-se na Tabela 0</w:t>
      </w:r>
      <w:r w:rsidR="000B60B5">
        <w:rPr>
          <w:sz w:val="24"/>
          <w:szCs w:val="24"/>
        </w:rPr>
        <w:t>8</w:t>
      </w:r>
      <w:r w:rsidRPr="00C22DE5">
        <w:rPr>
          <w:sz w:val="24"/>
          <w:szCs w:val="24"/>
        </w:rPr>
        <w:t xml:space="preserve"> que, 22,22% obtiveram um faturamento de até R$ 1,2 milhão com produtos incentivados. Oito empresas obtiveram esse faturamento entre 1,2 e 8 milhões de reais. Houve ainda 27,78% de empresas com faturamento entre 9 e 150 milhões de reais, e 5,56% com faturamento acima de 150 milhões somente com produtos incentivados.</w:t>
      </w:r>
    </w:p>
    <w:p w14:paraId="022E2F6C" w14:textId="20A5D905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 xml:space="preserve">Diegues e </w:t>
      </w:r>
      <w:proofErr w:type="spellStart"/>
      <w:r w:rsidRPr="00C22DE5">
        <w:rPr>
          <w:sz w:val="24"/>
          <w:szCs w:val="24"/>
        </w:rPr>
        <w:t>Roselino</w:t>
      </w:r>
      <w:proofErr w:type="spellEnd"/>
      <w:r w:rsidRPr="00C22DE5">
        <w:rPr>
          <w:sz w:val="24"/>
          <w:szCs w:val="24"/>
        </w:rPr>
        <w:t xml:space="preserve"> (2006), destacam a Lei d</w:t>
      </w:r>
      <w:r w:rsidR="00885895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 como uma das ferramentas mais importantes do arcabouço institucional, </w:t>
      </w:r>
      <w:r w:rsidR="000B60B5">
        <w:rPr>
          <w:sz w:val="24"/>
          <w:szCs w:val="24"/>
        </w:rPr>
        <w:t>à</w:t>
      </w:r>
      <w:r w:rsidRPr="00C22DE5">
        <w:rPr>
          <w:sz w:val="24"/>
          <w:szCs w:val="24"/>
        </w:rPr>
        <w:t xml:space="preserve"> disposição das empresas brasileiras que fazem parte do complexo eletrônico nacional. Dessa forma, percebe-se que as empresas catarinenses do setor de automação/informática, de modo geral, atingem valores consideráveis de faturamento com os produtos incentivados, o que mostra que também possuem ciência de que a utilização dos incentivos podem representar um diferencial competitivo para elas no mercado.</w:t>
      </w:r>
    </w:p>
    <w:p w14:paraId="40DDE48D" w14:textId="40A31A92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 xml:space="preserve">Na Tabela </w:t>
      </w:r>
      <w:r w:rsidR="00F02A55">
        <w:rPr>
          <w:sz w:val="24"/>
          <w:szCs w:val="24"/>
        </w:rPr>
        <w:t>0</w:t>
      </w:r>
      <w:r w:rsidR="00D865D3">
        <w:rPr>
          <w:sz w:val="24"/>
          <w:szCs w:val="24"/>
        </w:rPr>
        <w:t xml:space="preserve">9 </w:t>
      </w:r>
      <w:r w:rsidRPr="00C22DE5">
        <w:rPr>
          <w:sz w:val="24"/>
          <w:szCs w:val="24"/>
        </w:rPr>
        <w:t>evidencia-se a participação do faturamento com bens incentivados em relação ao faturamento bruto no ano de 2014.</w:t>
      </w:r>
    </w:p>
    <w:p w14:paraId="5E4F34D0" w14:textId="5B8962E0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>Tabela</w:t>
      </w:r>
      <w:r w:rsidR="00F02A55">
        <w:rPr>
          <w:sz w:val="24"/>
          <w:szCs w:val="24"/>
        </w:rPr>
        <w:t xml:space="preserve"> 0</w:t>
      </w:r>
      <w:r w:rsidR="00D865D3">
        <w:rPr>
          <w:sz w:val="24"/>
          <w:szCs w:val="24"/>
        </w:rPr>
        <w:t>9</w:t>
      </w:r>
      <w:r w:rsidRPr="00C22DE5">
        <w:rPr>
          <w:sz w:val="24"/>
          <w:szCs w:val="24"/>
        </w:rPr>
        <w:t xml:space="preserve"> –  Participação do faturamento com bens incentivados no faturamento bruto no período de 2014.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1"/>
        <w:gridCol w:w="994"/>
        <w:gridCol w:w="700"/>
      </w:tblGrid>
      <w:tr w:rsidR="00C22DE5" w:rsidRPr="00C22DE5" w14:paraId="620449EE" w14:textId="77777777" w:rsidTr="000E04F4">
        <w:trPr>
          <w:trHeight w:val="255"/>
        </w:trPr>
        <w:tc>
          <w:tcPr>
            <w:tcW w:w="406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F205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Participação do faturamento com bens incentivados no faturamento bruto no período de 2014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B67737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Nº de empresas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6B2C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%</w:t>
            </w:r>
          </w:p>
        </w:tc>
      </w:tr>
      <w:tr w:rsidR="00C22DE5" w:rsidRPr="00C22DE5" w14:paraId="4C71CA03" w14:textId="77777777" w:rsidTr="000E04F4">
        <w:trPr>
          <w:trHeight w:val="255"/>
        </w:trPr>
        <w:tc>
          <w:tcPr>
            <w:tcW w:w="4066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0C39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1% a 20,00%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BB9A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3D510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22,22</w:t>
            </w:r>
          </w:p>
        </w:tc>
      </w:tr>
      <w:tr w:rsidR="00C22DE5" w:rsidRPr="00C22DE5" w14:paraId="1F385BEE" w14:textId="77777777" w:rsidTr="000E04F4">
        <w:trPr>
          <w:trHeight w:val="255"/>
        </w:trPr>
        <w:tc>
          <w:tcPr>
            <w:tcW w:w="4066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B107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20,01% a 40,00%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2E83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3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30AE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16,67</w:t>
            </w:r>
          </w:p>
        </w:tc>
      </w:tr>
      <w:tr w:rsidR="00C22DE5" w:rsidRPr="00C22DE5" w14:paraId="477BE2C7" w14:textId="77777777" w:rsidTr="000E04F4">
        <w:trPr>
          <w:trHeight w:val="255"/>
        </w:trPr>
        <w:tc>
          <w:tcPr>
            <w:tcW w:w="4066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6F55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40,01% a 60,00%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00B9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5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81D1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27,78</w:t>
            </w:r>
          </w:p>
        </w:tc>
      </w:tr>
      <w:tr w:rsidR="00C22DE5" w:rsidRPr="00C22DE5" w14:paraId="1E198A61" w14:textId="77777777" w:rsidTr="000E04F4">
        <w:trPr>
          <w:trHeight w:val="255"/>
        </w:trPr>
        <w:tc>
          <w:tcPr>
            <w:tcW w:w="4066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BA71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60,01% a 80,00%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6C34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B0C8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5,56</w:t>
            </w:r>
          </w:p>
        </w:tc>
      </w:tr>
      <w:tr w:rsidR="00C22DE5" w:rsidRPr="00C22DE5" w14:paraId="60C5C079" w14:textId="77777777" w:rsidTr="000E04F4">
        <w:trPr>
          <w:trHeight w:val="255"/>
        </w:trPr>
        <w:tc>
          <w:tcPr>
            <w:tcW w:w="4066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602B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80,01% a 100,00%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439F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5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25CB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27,78</w:t>
            </w:r>
          </w:p>
        </w:tc>
      </w:tr>
      <w:tr w:rsidR="00C22DE5" w:rsidRPr="00C22DE5" w14:paraId="46E3C5DE" w14:textId="77777777" w:rsidTr="000E04F4">
        <w:trPr>
          <w:trHeight w:val="255"/>
        </w:trPr>
        <w:tc>
          <w:tcPr>
            <w:tcW w:w="4066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D918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TOTAL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4037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18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574B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100</w:t>
            </w:r>
          </w:p>
        </w:tc>
      </w:tr>
    </w:tbl>
    <w:p w14:paraId="2B2AA586" w14:textId="77777777" w:rsidR="00C22DE5" w:rsidRPr="00C22DE5" w:rsidRDefault="00C22DE5" w:rsidP="00C22DE5">
      <w:pPr>
        <w:suppressAutoHyphens w:val="0"/>
        <w:jc w:val="both"/>
        <w:rPr>
          <w:sz w:val="22"/>
          <w:szCs w:val="24"/>
        </w:rPr>
      </w:pPr>
      <w:r w:rsidRPr="00C22DE5">
        <w:rPr>
          <w:sz w:val="22"/>
          <w:szCs w:val="24"/>
        </w:rPr>
        <w:t>Fonte: Dados da pesquisa.</w:t>
      </w:r>
    </w:p>
    <w:p w14:paraId="52959B8F" w14:textId="01B99778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 xml:space="preserve">Observa-se na Tabela </w:t>
      </w:r>
      <w:r w:rsidR="00F02A55">
        <w:rPr>
          <w:sz w:val="24"/>
          <w:szCs w:val="24"/>
        </w:rPr>
        <w:t>0</w:t>
      </w:r>
      <w:r w:rsidR="000B60B5">
        <w:rPr>
          <w:sz w:val="24"/>
          <w:szCs w:val="24"/>
        </w:rPr>
        <w:t>9</w:t>
      </w:r>
      <w:r w:rsidRPr="00C22DE5">
        <w:rPr>
          <w:sz w:val="24"/>
          <w:szCs w:val="24"/>
        </w:rPr>
        <w:t xml:space="preserve"> que, quatro empresas afirmaram que </w:t>
      </w:r>
      <w:r w:rsidR="00F02A55" w:rsidRPr="00C22DE5">
        <w:rPr>
          <w:sz w:val="24"/>
          <w:szCs w:val="24"/>
        </w:rPr>
        <w:t>o faturamento com bens incentivados representa</w:t>
      </w:r>
      <w:r w:rsidRPr="00C22DE5">
        <w:rPr>
          <w:sz w:val="24"/>
          <w:szCs w:val="24"/>
        </w:rPr>
        <w:t xml:space="preserve"> entre 1,00% e 20,00% em relação ao faturamento bruto total. Houve ainda três empresas com uma representatividade entre 20,01% e 40,00%, cinco empresas com </w:t>
      </w:r>
      <w:r w:rsidRPr="00C22DE5">
        <w:rPr>
          <w:sz w:val="24"/>
          <w:szCs w:val="24"/>
        </w:rPr>
        <w:lastRenderedPageBreak/>
        <w:t>uma representatividade entre 40,01% e 60,00%, uma empresa com representatividade entre 60,01% e 80,00%, e outras cinco empresas, que afirmaram que o faturamento com produtos incentivados em 2014, atingiu uma porcentagem entre 80,01% e 100,00%, em relação ao faturamento bruto total da empresa.</w:t>
      </w:r>
    </w:p>
    <w:p w14:paraId="507DA613" w14:textId="4087754A" w:rsidR="00C22DE5" w:rsidRPr="00C22DE5" w:rsidRDefault="00C22DE5" w:rsidP="00C22DE5">
      <w:pPr>
        <w:suppressAutoHyphens w:val="0"/>
        <w:jc w:val="both"/>
        <w:rPr>
          <w:color w:val="FF0000"/>
          <w:sz w:val="24"/>
          <w:szCs w:val="24"/>
        </w:rPr>
      </w:pPr>
      <w:r w:rsidRPr="00C22DE5">
        <w:rPr>
          <w:sz w:val="24"/>
          <w:szCs w:val="24"/>
        </w:rPr>
        <w:tab/>
        <w:t>A Lei d</w:t>
      </w:r>
      <w:r w:rsidR="00177E76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Informática, conforme destacam Garcia e </w:t>
      </w:r>
      <w:proofErr w:type="spellStart"/>
      <w:r w:rsidRPr="00C22DE5">
        <w:rPr>
          <w:sz w:val="24"/>
          <w:szCs w:val="24"/>
        </w:rPr>
        <w:t>Roselino</w:t>
      </w:r>
      <w:proofErr w:type="spellEnd"/>
      <w:r w:rsidRPr="00C22DE5">
        <w:rPr>
          <w:sz w:val="24"/>
          <w:szCs w:val="24"/>
        </w:rPr>
        <w:t xml:space="preserve"> (2004) representa uma forma encontrada pelo estado de estimular o desenvolvimento do complexo eletrônico do país, por meio de políticas de incentivos fiscais. Dessa forma, a Lei d</w:t>
      </w:r>
      <w:r w:rsidR="00177E76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 também representa, assim </w:t>
      </w:r>
      <w:r w:rsidRPr="00177E76">
        <w:rPr>
          <w:sz w:val="24"/>
          <w:szCs w:val="24"/>
        </w:rPr>
        <w:t>como todo incentivo fiscal, uma vantagem competitiva para a empresa, conforme destaca Assunção (201</w:t>
      </w:r>
      <w:r w:rsidR="00177E76" w:rsidRPr="00177E76">
        <w:rPr>
          <w:sz w:val="24"/>
          <w:szCs w:val="24"/>
        </w:rPr>
        <w:t>1</w:t>
      </w:r>
      <w:r w:rsidRPr="00177E76">
        <w:rPr>
          <w:sz w:val="24"/>
          <w:szCs w:val="24"/>
        </w:rPr>
        <w:t>), referindo-se aos incentivos fiscais como instrumentos de caráter financeiro ou tributários que proporcionam vantagens às empresas, interferindo na economia, e alcançando finalidades pré-estabelecidas</w:t>
      </w:r>
      <w:r w:rsidRPr="00C22DE5">
        <w:rPr>
          <w:color w:val="FF0000"/>
          <w:sz w:val="24"/>
          <w:szCs w:val="24"/>
        </w:rPr>
        <w:t>.</w:t>
      </w:r>
    </w:p>
    <w:p w14:paraId="7F58FAAB" w14:textId="00C897ED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Na Tabela 1</w:t>
      </w:r>
      <w:r w:rsidR="00D865D3">
        <w:rPr>
          <w:sz w:val="24"/>
          <w:szCs w:val="24"/>
        </w:rPr>
        <w:t>0</w:t>
      </w:r>
      <w:r w:rsidRPr="00C22DE5">
        <w:rPr>
          <w:sz w:val="24"/>
          <w:szCs w:val="24"/>
        </w:rPr>
        <w:t xml:space="preserve">, os entrevistados foram questionados sobre quais </w:t>
      </w:r>
      <w:r w:rsidR="00177E76">
        <w:rPr>
          <w:sz w:val="24"/>
          <w:szCs w:val="24"/>
        </w:rPr>
        <w:t xml:space="preserve">são </w:t>
      </w:r>
      <w:r w:rsidRPr="00C22DE5">
        <w:rPr>
          <w:sz w:val="24"/>
          <w:szCs w:val="24"/>
        </w:rPr>
        <w:t>os impostos renunciados com os incentivos.</w:t>
      </w:r>
    </w:p>
    <w:p w14:paraId="67BCE6FC" w14:textId="2E7952C0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>Tabela 1</w:t>
      </w:r>
      <w:r w:rsidR="00D865D3">
        <w:rPr>
          <w:sz w:val="24"/>
          <w:szCs w:val="24"/>
        </w:rPr>
        <w:t>0</w:t>
      </w:r>
      <w:r w:rsidRPr="00C22DE5">
        <w:rPr>
          <w:sz w:val="24"/>
          <w:szCs w:val="24"/>
        </w:rPr>
        <w:t xml:space="preserve"> – Impostos renunciados no ano de 2014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17"/>
        <w:gridCol w:w="2056"/>
        <w:gridCol w:w="892"/>
      </w:tblGrid>
      <w:tr w:rsidR="00C22DE5" w:rsidRPr="00C22DE5" w14:paraId="4BE485A8" w14:textId="77777777" w:rsidTr="00D81865">
        <w:trPr>
          <w:trHeight w:val="255"/>
        </w:trPr>
        <w:tc>
          <w:tcPr>
            <w:tcW w:w="33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2EC2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Impostos renunciados no ano de 2014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CA0D2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Nº de Empresas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51AE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%</w:t>
            </w:r>
          </w:p>
        </w:tc>
      </w:tr>
      <w:tr w:rsidR="00C22DE5" w:rsidRPr="00C22DE5" w14:paraId="0B12FF46" w14:textId="77777777" w:rsidTr="00D81865">
        <w:trPr>
          <w:trHeight w:val="255"/>
        </w:trPr>
        <w:tc>
          <w:tcPr>
            <w:tcW w:w="3374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6B34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IPI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7652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16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E5C0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88,89</w:t>
            </w:r>
          </w:p>
        </w:tc>
      </w:tr>
      <w:tr w:rsidR="00C22DE5" w:rsidRPr="00C22DE5" w14:paraId="6B07DA01" w14:textId="77777777" w:rsidTr="00D81865">
        <w:trPr>
          <w:trHeight w:val="255"/>
        </w:trPr>
        <w:tc>
          <w:tcPr>
            <w:tcW w:w="3374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D21B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ICMS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400E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13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48CE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72,22</w:t>
            </w:r>
          </w:p>
        </w:tc>
      </w:tr>
      <w:tr w:rsidR="00C22DE5" w:rsidRPr="00C22DE5" w14:paraId="71A3E0FC" w14:textId="77777777" w:rsidTr="00D81865">
        <w:trPr>
          <w:trHeight w:val="255"/>
        </w:trPr>
        <w:tc>
          <w:tcPr>
            <w:tcW w:w="3374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4A08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TOTAL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DD83" w14:textId="24E73D06" w:rsidR="00C22DE5" w:rsidRPr="00C22DE5" w:rsidRDefault="00944989" w:rsidP="00C22DE5">
            <w:pPr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C4CE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100</w:t>
            </w:r>
          </w:p>
        </w:tc>
      </w:tr>
    </w:tbl>
    <w:p w14:paraId="36FB0EB2" w14:textId="77777777" w:rsidR="00C22DE5" w:rsidRPr="00C22DE5" w:rsidRDefault="00C22DE5" w:rsidP="00C22DE5">
      <w:pPr>
        <w:suppressAutoHyphens w:val="0"/>
        <w:jc w:val="both"/>
        <w:rPr>
          <w:sz w:val="22"/>
          <w:szCs w:val="24"/>
        </w:rPr>
      </w:pPr>
      <w:r w:rsidRPr="00C22DE5">
        <w:rPr>
          <w:sz w:val="22"/>
          <w:szCs w:val="24"/>
        </w:rPr>
        <w:t>Fonte: Dados da pesquisa.</w:t>
      </w:r>
    </w:p>
    <w:p w14:paraId="4B63E317" w14:textId="61DBAC38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Depreende-se da Tabela 1</w:t>
      </w:r>
      <w:r w:rsidR="00D865D3">
        <w:rPr>
          <w:sz w:val="24"/>
          <w:szCs w:val="24"/>
        </w:rPr>
        <w:t>0</w:t>
      </w:r>
      <w:r w:rsidRPr="00C22DE5">
        <w:rPr>
          <w:sz w:val="24"/>
          <w:szCs w:val="24"/>
        </w:rPr>
        <w:t xml:space="preserve"> que, das empresas entrevistadas, 88,89% afirmam que renunciam o IPI e 72,22% das empresas renunciam ao ICMS. Em relação aos impostos renunciáveis,  o § 6 do artigo 11 da lei 8.248/91 destaca a redução na alíquota de IPI sobre os </w:t>
      </w:r>
      <w:r w:rsidRPr="00C22DE5">
        <w:rPr>
          <w:color w:val="000000"/>
          <w:sz w:val="24"/>
          <w:szCs w:val="24"/>
        </w:rPr>
        <w:t xml:space="preserve">microcomputadores portáteis, as unidades de processamento digital de pequena capacidade, baseadas em microprocessadores, de valor até R$ 11.000, bem como as unidades de discos magnéticos e ópticos, circuitos impressos com componentes elétricos e eletrônicos montados, gabinetes, e fontes de alimentação, reconhecíveis como exclusiva ou principalmente destinados a tais produtos, e os bens de informática e automação desenvolvidos no país. Entretanto, em estados como Santa Catarina há também a possibilidade de renúncia do Imposto sobre Circulação de Mercadorias, Bens e Serviços (ICMS) conforme é destacado no </w:t>
      </w:r>
      <w:r w:rsidRPr="00C22DE5">
        <w:rPr>
          <w:sz w:val="24"/>
          <w:szCs w:val="24"/>
        </w:rPr>
        <w:t>Decreto nº 2.024/04, que introduz a alteração 581 ao Regulamento do ICMS do Estado de Santa Catarina.</w:t>
      </w:r>
    </w:p>
    <w:p w14:paraId="520BB927" w14:textId="717DE2D8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Na Tabela 1</w:t>
      </w:r>
      <w:r w:rsidR="00D865D3">
        <w:rPr>
          <w:sz w:val="24"/>
          <w:szCs w:val="24"/>
        </w:rPr>
        <w:t>1</w:t>
      </w:r>
      <w:r w:rsidRPr="00C22DE5">
        <w:rPr>
          <w:sz w:val="24"/>
          <w:szCs w:val="24"/>
        </w:rPr>
        <w:t xml:space="preserve"> apresenta-se o valor de IPI recolhido pelas empresas catarinenses beneficiadas no ano de 2014.</w:t>
      </w:r>
    </w:p>
    <w:p w14:paraId="539F4BC8" w14:textId="60E1693F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>Tabela 1</w:t>
      </w:r>
      <w:r w:rsidR="00D865D3">
        <w:rPr>
          <w:sz w:val="24"/>
          <w:szCs w:val="24"/>
        </w:rPr>
        <w:t>1</w:t>
      </w:r>
      <w:r w:rsidRPr="00C22DE5">
        <w:rPr>
          <w:sz w:val="24"/>
          <w:szCs w:val="24"/>
        </w:rPr>
        <w:t xml:space="preserve"> – IPI recolhido no ano de 2014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68"/>
        <w:gridCol w:w="2103"/>
        <w:gridCol w:w="894"/>
      </w:tblGrid>
      <w:tr w:rsidR="00C22DE5" w:rsidRPr="00C22DE5" w14:paraId="11AF236F" w14:textId="77777777" w:rsidTr="00D81865">
        <w:trPr>
          <w:trHeight w:val="255"/>
        </w:trPr>
        <w:tc>
          <w:tcPr>
            <w:tcW w:w="334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2069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IPI total recolhido no ano de 2014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70D13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Nº de Empresas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5CD4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%</w:t>
            </w:r>
          </w:p>
        </w:tc>
      </w:tr>
      <w:tr w:rsidR="00C22DE5" w:rsidRPr="00C22DE5" w14:paraId="4FDA89B9" w14:textId="77777777" w:rsidTr="00D81865">
        <w:trPr>
          <w:trHeight w:val="255"/>
        </w:trPr>
        <w:tc>
          <w:tcPr>
            <w:tcW w:w="3347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1AE4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R$ 1,00 a R$50.000,00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4DD5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8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B646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44,44</w:t>
            </w:r>
          </w:p>
        </w:tc>
      </w:tr>
      <w:tr w:rsidR="00C22DE5" w:rsidRPr="00C22DE5" w14:paraId="0B827AC5" w14:textId="77777777" w:rsidTr="00D81865">
        <w:trPr>
          <w:trHeight w:val="255"/>
        </w:trPr>
        <w:tc>
          <w:tcPr>
            <w:tcW w:w="3347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6670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Entre R$ 50.000,01 e R$ 100.000,00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7D33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3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F54D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16,67</w:t>
            </w:r>
          </w:p>
        </w:tc>
      </w:tr>
      <w:tr w:rsidR="00C22DE5" w:rsidRPr="00C22DE5" w14:paraId="146ECBA1" w14:textId="77777777" w:rsidTr="00D81865">
        <w:trPr>
          <w:trHeight w:val="255"/>
        </w:trPr>
        <w:tc>
          <w:tcPr>
            <w:tcW w:w="3347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8B58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Entre R$ 100.000,01 e R$ 200.000,00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7627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2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7F14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11,11</w:t>
            </w:r>
          </w:p>
        </w:tc>
      </w:tr>
      <w:tr w:rsidR="00C22DE5" w:rsidRPr="00C22DE5" w14:paraId="4EC46DBE" w14:textId="77777777" w:rsidTr="00D81865">
        <w:trPr>
          <w:trHeight w:val="255"/>
        </w:trPr>
        <w:tc>
          <w:tcPr>
            <w:tcW w:w="3347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9D27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Mais que R$ 200.000,00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CDD1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8D17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27,78</w:t>
            </w:r>
          </w:p>
        </w:tc>
      </w:tr>
      <w:tr w:rsidR="00C22DE5" w:rsidRPr="00C22DE5" w14:paraId="54F4D806" w14:textId="77777777" w:rsidTr="00D81865">
        <w:trPr>
          <w:trHeight w:val="255"/>
        </w:trPr>
        <w:tc>
          <w:tcPr>
            <w:tcW w:w="3347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E950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TOTAL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935B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18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D61B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100</w:t>
            </w:r>
          </w:p>
        </w:tc>
      </w:tr>
    </w:tbl>
    <w:p w14:paraId="50102EBA" w14:textId="77777777" w:rsidR="00C22DE5" w:rsidRPr="00C22DE5" w:rsidRDefault="00C22DE5" w:rsidP="00C22DE5">
      <w:pPr>
        <w:suppressAutoHyphens w:val="0"/>
        <w:jc w:val="both"/>
        <w:rPr>
          <w:sz w:val="22"/>
          <w:szCs w:val="24"/>
        </w:rPr>
      </w:pPr>
      <w:r w:rsidRPr="00C22DE5">
        <w:rPr>
          <w:sz w:val="22"/>
          <w:szCs w:val="24"/>
        </w:rPr>
        <w:t>Fonte: Dados da pesquisa.</w:t>
      </w:r>
    </w:p>
    <w:p w14:paraId="268BEF5C" w14:textId="65B1C53F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Observa-se na Tabela 1</w:t>
      </w:r>
      <w:r w:rsidR="00D865D3">
        <w:rPr>
          <w:sz w:val="24"/>
          <w:szCs w:val="24"/>
        </w:rPr>
        <w:t>1</w:t>
      </w:r>
      <w:r w:rsidRPr="00C22DE5">
        <w:rPr>
          <w:sz w:val="24"/>
          <w:szCs w:val="24"/>
        </w:rPr>
        <w:t xml:space="preserve"> que</w:t>
      </w:r>
      <w:r w:rsidR="00D865D3">
        <w:rPr>
          <w:sz w:val="24"/>
          <w:szCs w:val="24"/>
        </w:rPr>
        <w:t>,</w:t>
      </w:r>
      <w:r w:rsidRPr="00C22DE5">
        <w:rPr>
          <w:sz w:val="24"/>
          <w:szCs w:val="24"/>
        </w:rPr>
        <w:t xml:space="preserve"> entre as empresas da amostra, 44,44% recolheram entre 1,00 e 50.000,00 reais. Houve ainda 16,67% das empresas que recolheram entre R$ 50.000,01 e R$ 100.000,00 de IPI em 2014, 11,11% que recolheram entre R$ 100.000,01 e R$ 200.000,00 em 2014 e outras 27,78% que recolheram mais que R$ 200.000,00.</w:t>
      </w:r>
    </w:p>
    <w:p w14:paraId="616A628E" w14:textId="6C84085C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A Tabela 1</w:t>
      </w:r>
      <w:r w:rsidR="00D865D3">
        <w:rPr>
          <w:sz w:val="24"/>
          <w:szCs w:val="24"/>
        </w:rPr>
        <w:t>2</w:t>
      </w:r>
      <w:r w:rsidRPr="00C22DE5">
        <w:rPr>
          <w:sz w:val="24"/>
          <w:szCs w:val="24"/>
        </w:rPr>
        <w:t xml:space="preserve"> evidencia o recolhimento de ICMS no ano de 2014 pelas empresas beneficiadas pela Lei d</w:t>
      </w:r>
      <w:r w:rsidR="00885895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Informática.</w:t>
      </w:r>
    </w:p>
    <w:p w14:paraId="2C61153D" w14:textId="588FEE9A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>Tabela 1</w:t>
      </w:r>
      <w:r w:rsidR="00D865D3">
        <w:rPr>
          <w:sz w:val="24"/>
          <w:szCs w:val="24"/>
        </w:rPr>
        <w:t>2</w:t>
      </w:r>
      <w:r w:rsidRPr="00C22DE5">
        <w:rPr>
          <w:sz w:val="24"/>
          <w:szCs w:val="24"/>
        </w:rPr>
        <w:t xml:space="preserve"> – ICMS recolhido no ano de 2014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29"/>
        <w:gridCol w:w="2529"/>
        <w:gridCol w:w="607"/>
      </w:tblGrid>
      <w:tr w:rsidR="00C22DE5" w:rsidRPr="00C22DE5" w14:paraId="11CC9C2B" w14:textId="77777777" w:rsidTr="00D81865">
        <w:trPr>
          <w:trHeight w:val="255"/>
        </w:trPr>
        <w:tc>
          <w:tcPr>
            <w:tcW w:w="32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7D95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ICMS total recolhido no ano de 2014</w:t>
            </w:r>
          </w:p>
        </w:tc>
        <w:tc>
          <w:tcPr>
            <w:tcW w:w="1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68E59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Nº de Empresas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E8A3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%</w:t>
            </w:r>
          </w:p>
        </w:tc>
      </w:tr>
      <w:tr w:rsidR="00C22DE5" w:rsidRPr="00C22DE5" w14:paraId="3696F4B4" w14:textId="77777777" w:rsidTr="00D81865">
        <w:trPr>
          <w:trHeight w:val="255"/>
        </w:trPr>
        <w:tc>
          <w:tcPr>
            <w:tcW w:w="327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E720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R$ 1,00 a R$50.000,00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97BC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8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CA5B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44,44</w:t>
            </w:r>
          </w:p>
        </w:tc>
      </w:tr>
      <w:tr w:rsidR="00C22DE5" w:rsidRPr="00C22DE5" w14:paraId="4DC3A2D9" w14:textId="77777777" w:rsidTr="00D81865">
        <w:trPr>
          <w:trHeight w:val="255"/>
        </w:trPr>
        <w:tc>
          <w:tcPr>
            <w:tcW w:w="327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6997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Entre R$ 50.000,01 e R$ 100.000,00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BBA5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4711A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5,56</w:t>
            </w:r>
          </w:p>
        </w:tc>
      </w:tr>
      <w:tr w:rsidR="00C22DE5" w:rsidRPr="00C22DE5" w14:paraId="188E3A3E" w14:textId="77777777" w:rsidTr="00D81865">
        <w:trPr>
          <w:trHeight w:val="255"/>
        </w:trPr>
        <w:tc>
          <w:tcPr>
            <w:tcW w:w="327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45B5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lastRenderedPageBreak/>
              <w:t>Entre R$ 100.000,01 e R$ 150.000,00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19A8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00E4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5,56</w:t>
            </w:r>
          </w:p>
        </w:tc>
      </w:tr>
      <w:tr w:rsidR="00C22DE5" w:rsidRPr="00C22DE5" w14:paraId="4CD9108A" w14:textId="77777777" w:rsidTr="00944989">
        <w:trPr>
          <w:trHeight w:val="255"/>
        </w:trPr>
        <w:tc>
          <w:tcPr>
            <w:tcW w:w="327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D297A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Entre R$ 150.000,01 e R$ 200.000,00</w:t>
            </w:r>
          </w:p>
        </w:tc>
        <w:tc>
          <w:tcPr>
            <w:tcW w:w="1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F5B3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BFB3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11,11</w:t>
            </w:r>
          </w:p>
        </w:tc>
      </w:tr>
      <w:tr w:rsidR="00C22DE5" w:rsidRPr="00C22DE5" w14:paraId="29542756" w14:textId="77777777" w:rsidTr="00944989">
        <w:trPr>
          <w:trHeight w:val="255"/>
        </w:trPr>
        <w:tc>
          <w:tcPr>
            <w:tcW w:w="32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6828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Mais que R$ 200.000,00</w:t>
            </w:r>
          </w:p>
        </w:tc>
        <w:tc>
          <w:tcPr>
            <w:tcW w:w="1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A131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6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CCC4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33,33</w:t>
            </w:r>
          </w:p>
        </w:tc>
      </w:tr>
      <w:tr w:rsidR="00944989" w:rsidRPr="00C22DE5" w14:paraId="3F171489" w14:textId="77777777" w:rsidTr="00944989">
        <w:trPr>
          <w:trHeight w:val="255"/>
        </w:trPr>
        <w:tc>
          <w:tcPr>
            <w:tcW w:w="32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30D45" w14:textId="1045EA35" w:rsidR="00944989" w:rsidRPr="00C22DE5" w:rsidRDefault="00944989" w:rsidP="00C22DE5">
            <w:pPr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1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0D501" w14:textId="7EBAEDAD" w:rsidR="00944989" w:rsidRPr="00C22DE5" w:rsidRDefault="00944989" w:rsidP="00C22DE5">
            <w:pPr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B783F09" w14:textId="2FF2D19A" w:rsidR="00944989" w:rsidRPr="00C22DE5" w:rsidRDefault="00944989" w:rsidP="00C22DE5">
            <w:pPr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</w:tr>
    </w:tbl>
    <w:p w14:paraId="2925100A" w14:textId="77777777" w:rsidR="00944989" w:rsidRDefault="00944989" w:rsidP="00C22DE5">
      <w:pPr>
        <w:suppressAutoHyphens w:val="0"/>
        <w:jc w:val="both"/>
        <w:rPr>
          <w:sz w:val="22"/>
          <w:szCs w:val="24"/>
        </w:rPr>
      </w:pPr>
    </w:p>
    <w:p w14:paraId="1C75E78F" w14:textId="561CC7AD" w:rsidR="00C22DE5" w:rsidRPr="00C22DE5" w:rsidRDefault="00C22DE5" w:rsidP="00C22DE5">
      <w:pPr>
        <w:suppressAutoHyphens w:val="0"/>
        <w:jc w:val="both"/>
        <w:rPr>
          <w:sz w:val="22"/>
          <w:szCs w:val="24"/>
        </w:rPr>
      </w:pPr>
      <w:r w:rsidRPr="00C22DE5">
        <w:rPr>
          <w:sz w:val="22"/>
          <w:szCs w:val="24"/>
        </w:rPr>
        <w:t>Fonte: Dados da pesquisa.</w:t>
      </w:r>
    </w:p>
    <w:p w14:paraId="477D6121" w14:textId="2ACA5FEF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Observa-se na Tabela 1</w:t>
      </w:r>
      <w:r w:rsidR="00D865D3">
        <w:rPr>
          <w:sz w:val="24"/>
          <w:szCs w:val="24"/>
        </w:rPr>
        <w:t>2</w:t>
      </w:r>
      <w:r w:rsidRPr="00C22DE5">
        <w:rPr>
          <w:sz w:val="24"/>
          <w:szCs w:val="24"/>
        </w:rPr>
        <w:t xml:space="preserve"> que, 44,44% recolheram entre R$ 1,00 e R$ 50.000,00 de ICMS em 2014. Houve ainda 5,56% que recolheram entre R$ 50.000,01 e R$ 100.000,00, outros 5,56% que recolheram entre R$ 100.000,01 e R$ 150.000,00, 11,11% que recolheram entre R$ 150.000,00 e R$ 200.000,00 e mais 33,33% que recolheram mais de R$ 200.000,00 de ICMS em 2014.</w:t>
      </w:r>
    </w:p>
    <w:p w14:paraId="3003FABE" w14:textId="0428E7CB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A Tabela 1</w:t>
      </w:r>
      <w:r w:rsidR="00D865D3">
        <w:rPr>
          <w:sz w:val="24"/>
          <w:szCs w:val="24"/>
        </w:rPr>
        <w:t>3</w:t>
      </w:r>
      <w:r w:rsidRPr="00C22DE5">
        <w:rPr>
          <w:sz w:val="24"/>
          <w:szCs w:val="24"/>
        </w:rPr>
        <w:t xml:space="preserve"> apresenta a participação da renúncia fiscal, resultante dos incentivos da Lei d</w:t>
      </w:r>
      <w:r w:rsidR="00177E76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Informática, no lucro líquido das empresas, no ano de 2014.</w:t>
      </w:r>
    </w:p>
    <w:p w14:paraId="41FA3BE2" w14:textId="3D42A079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>Tabela 1</w:t>
      </w:r>
      <w:r w:rsidR="00D865D3">
        <w:rPr>
          <w:sz w:val="24"/>
          <w:szCs w:val="24"/>
        </w:rPr>
        <w:t>3</w:t>
      </w:r>
      <w:r w:rsidRPr="00C22DE5">
        <w:rPr>
          <w:sz w:val="24"/>
          <w:szCs w:val="24"/>
        </w:rPr>
        <w:t xml:space="preserve"> - Participação da renúncia fiscal (IPI e ICMS) no resultado econômico (lucro) no ano de 2014.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1"/>
        <w:gridCol w:w="992"/>
        <w:gridCol w:w="702"/>
      </w:tblGrid>
      <w:tr w:rsidR="00C22DE5" w:rsidRPr="00C22DE5" w14:paraId="464B0810" w14:textId="77777777" w:rsidTr="000E04F4">
        <w:trPr>
          <w:trHeight w:val="255"/>
        </w:trPr>
        <w:tc>
          <w:tcPr>
            <w:tcW w:w="406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219F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Participação da renúncia fiscal (IPI e ICMS) no resultado econômico (lucro) no ano de 2014.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8EA667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Nº de Empresas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AEDB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%</w:t>
            </w:r>
          </w:p>
        </w:tc>
      </w:tr>
      <w:tr w:rsidR="00C22DE5" w:rsidRPr="00C22DE5" w14:paraId="7364C793" w14:textId="77777777" w:rsidTr="000E04F4">
        <w:trPr>
          <w:trHeight w:val="255"/>
        </w:trPr>
        <w:tc>
          <w:tcPr>
            <w:tcW w:w="4066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1512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0,20% a 0,60%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2236A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2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651C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11,11</w:t>
            </w:r>
          </w:p>
        </w:tc>
      </w:tr>
      <w:tr w:rsidR="00C22DE5" w:rsidRPr="00C22DE5" w14:paraId="5C5EBBEF" w14:textId="77777777" w:rsidTr="000E04F4">
        <w:trPr>
          <w:trHeight w:val="255"/>
        </w:trPr>
        <w:tc>
          <w:tcPr>
            <w:tcW w:w="4066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3B86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0,61% a 1,10%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7DE4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4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5133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22,22</w:t>
            </w:r>
          </w:p>
        </w:tc>
      </w:tr>
      <w:tr w:rsidR="00C22DE5" w:rsidRPr="00C22DE5" w14:paraId="4190BFDE" w14:textId="77777777" w:rsidTr="000E04F4">
        <w:trPr>
          <w:trHeight w:val="255"/>
        </w:trPr>
        <w:tc>
          <w:tcPr>
            <w:tcW w:w="4066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B8AF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1,11% a 1,40%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EAE4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F417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5,56</w:t>
            </w:r>
          </w:p>
        </w:tc>
      </w:tr>
      <w:tr w:rsidR="00C22DE5" w:rsidRPr="00C22DE5" w14:paraId="144DE485" w14:textId="77777777" w:rsidTr="000E04F4">
        <w:trPr>
          <w:trHeight w:val="255"/>
        </w:trPr>
        <w:tc>
          <w:tcPr>
            <w:tcW w:w="4066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7340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1,41 a 2,0%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42A8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3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E9CA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16,67</w:t>
            </w:r>
          </w:p>
        </w:tc>
      </w:tr>
      <w:tr w:rsidR="00C22DE5" w:rsidRPr="00C22DE5" w14:paraId="222F0846" w14:textId="77777777" w:rsidTr="000E04F4">
        <w:trPr>
          <w:trHeight w:val="255"/>
        </w:trPr>
        <w:tc>
          <w:tcPr>
            <w:tcW w:w="4066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78A5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Mais que 2%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F981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8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A01A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44,44</w:t>
            </w:r>
          </w:p>
        </w:tc>
      </w:tr>
      <w:tr w:rsidR="00C22DE5" w:rsidRPr="00C22DE5" w14:paraId="7A53D327" w14:textId="77777777" w:rsidTr="000E04F4">
        <w:trPr>
          <w:trHeight w:val="255"/>
        </w:trPr>
        <w:tc>
          <w:tcPr>
            <w:tcW w:w="4066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1E9B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TOTAL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C41F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18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D2B8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100</w:t>
            </w:r>
          </w:p>
        </w:tc>
      </w:tr>
    </w:tbl>
    <w:p w14:paraId="7CD8782C" w14:textId="77777777" w:rsidR="00C22DE5" w:rsidRPr="00C22DE5" w:rsidRDefault="00C22DE5" w:rsidP="00C22DE5">
      <w:pPr>
        <w:suppressAutoHyphens w:val="0"/>
        <w:jc w:val="both"/>
        <w:rPr>
          <w:sz w:val="22"/>
          <w:szCs w:val="24"/>
        </w:rPr>
      </w:pPr>
      <w:r w:rsidRPr="00C22DE5">
        <w:rPr>
          <w:sz w:val="22"/>
          <w:szCs w:val="24"/>
        </w:rPr>
        <w:t>Fonte: Dados da pesquisa.</w:t>
      </w:r>
    </w:p>
    <w:p w14:paraId="0AE226C1" w14:textId="5BD38F60" w:rsidR="00C22DE5" w:rsidRPr="00C22DE5" w:rsidRDefault="00C22DE5" w:rsidP="004F53F7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Percebe-se na Tabela 1</w:t>
      </w:r>
      <w:r w:rsidR="00D865D3">
        <w:rPr>
          <w:sz w:val="24"/>
          <w:szCs w:val="24"/>
        </w:rPr>
        <w:t>3</w:t>
      </w:r>
      <w:r w:rsidRPr="00C22DE5">
        <w:rPr>
          <w:sz w:val="24"/>
          <w:szCs w:val="24"/>
        </w:rPr>
        <w:t xml:space="preserve"> que, em 11,11% das empresas entrevistadas, a renúncia fiscal oriunda dos incentivos da Lei d</w:t>
      </w:r>
      <w:r w:rsidR="00885895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 teve</w:t>
      </w:r>
      <w:r w:rsidR="00885895">
        <w:rPr>
          <w:sz w:val="24"/>
          <w:szCs w:val="24"/>
        </w:rPr>
        <w:t xml:space="preserve"> </w:t>
      </w:r>
      <w:r w:rsidRPr="00C22DE5">
        <w:rPr>
          <w:sz w:val="24"/>
          <w:szCs w:val="24"/>
        </w:rPr>
        <w:t xml:space="preserve">uma participação de 0,20% a 0,60% no resultado econômico no ano de 2014. Em 22,22%, essa participação foi entre 0,61% e 1,10%. Em 5,56% das empresas que fazem parte da amostra, a renúncia representou entre 1,1% a 1,40% do resultado econômico. Em 16,67%, a participação no resultado econômico foi entre 1,41% e 2,00%. Em 44,44% das empresas a participação da renúncia fiscal sobre o resultado econômico, foi superior a 2,00%. Barbiere (1984), destaca que os incentivos fiscais buscam estimular o desenvolvimento regional, exportações, </w:t>
      </w:r>
      <w:proofErr w:type="gramStart"/>
      <w:r w:rsidRPr="00C22DE5">
        <w:rPr>
          <w:sz w:val="24"/>
          <w:szCs w:val="24"/>
        </w:rPr>
        <w:t>e também</w:t>
      </w:r>
      <w:proofErr w:type="gramEnd"/>
      <w:r w:rsidRPr="00C22DE5">
        <w:rPr>
          <w:sz w:val="24"/>
          <w:szCs w:val="24"/>
        </w:rPr>
        <w:t xml:space="preserve"> estimular o crescimento de setores específicos, no caso da Lei d</w:t>
      </w:r>
      <w:r w:rsidR="004F53F7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Informática, o setor tecnológico.</w:t>
      </w:r>
    </w:p>
    <w:p w14:paraId="0479B483" w14:textId="7C0CE4EB" w:rsidR="00C22DE5" w:rsidRPr="00C22DE5" w:rsidRDefault="00177E76" w:rsidP="00C22DE5">
      <w:pPr>
        <w:suppressAutoHyphens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Na</w:t>
      </w:r>
      <w:r w:rsidR="00C22DE5" w:rsidRPr="00C22DE5">
        <w:rPr>
          <w:sz w:val="24"/>
          <w:szCs w:val="24"/>
        </w:rPr>
        <w:t xml:space="preserve"> Tabela 1</w:t>
      </w:r>
      <w:r w:rsidR="00D865D3">
        <w:rPr>
          <w:sz w:val="24"/>
          <w:szCs w:val="24"/>
        </w:rPr>
        <w:t>4</w:t>
      </w:r>
      <w:r w:rsidR="00C22DE5" w:rsidRPr="00C22D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tem-se </w:t>
      </w:r>
      <w:r w:rsidR="00C22DE5" w:rsidRPr="00C22DE5">
        <w:rPr>
          <w:sz w:val="24"/>
          <w:szCs w:val="24"/>
        </w:rPr>
        <w:t>quanto tempo as empresas utilizam dos incentivos fiscais da Lei d</w:t>
      </w:r>
      <w:r>
        <w:rPr>
          <w:sz w:val="24"/>
          <w:szCs w:val="24"/>
        </w:rPr>
        <w:t>e</w:t>
      </w:r>
      <w:r w:rsidR="00C22DE5" w:rsidRPr="00C22DE5">
        <w:rPr>
          <w:sz w:val="24"/>
          <w:szCs w:val="24"/>
        </w:rPr>
        <w:t xml:space="preserve"> Informática.</w:t>
      </w:r>
    </w:p>
    <w:p w14:paraId="6B1B1BA4" w14:textId="4F4F692E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>Tabela 1</w:t>
      </w:r>
      <w:r w:rsidR="00D865D3">
        <w:rPr>
          <w:sz w:val="24"/>
          <w:szCs w:val="24"/>
        </w:rPr>
        <w:t>4</w:t>
      </w:r>
      <w:r w:rsidRPr="00C22DE5">
        <w:rPr>
          <w:sz w:val="24"/>
          <w:szCs w:val="24"/>
        </w:rPr>
        <w:t xml:space="preserve"> – Tempo de uso dos incentivos fiscais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5"/>
        <w:gridCol w:w="1403"/>
        <w:gridCol w:w="897"/>
      </w:tblGrid>
      <w:tr w:rsidR="00C22DE5" w:rsidRPr="00C22DE5" w14:paraId="649069FE" w14:textId="77777777" w:rsidTr="00D81865">
        <w:trPr>
          <w:trHeight w:val="255"/>
        </w:trPr>
        <w:tc>
          <w:tcPr>
            <w:tcW w:w="37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47A9" w14:textId="7CB6EDB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Há quanto tempo a empresa utiliza os incentivos da Lei d</w:t>
            </w:r>
            <w:r w:rsidR="00885895">
              <w:rPr>
                <w:color w:val="000000"/>
              </w:rPr>
              <w:t>e</w:t>
            </w:r>
            <w:r w:rsidRPr="00C22DE5">
              <w:rPr>
                <w:color w:val="000000"/>
              </w:rPr>
              <w:t xml:space="preserve"> Informática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9D338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Nº de Empresas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E75C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%</w:t>
            </w:r>
          </w:p>
        </w:tc>
      </w:tr>
      <w:tr w:rsidR="00C22DE5" w:rsidRPr="00C22DE5" w14:paraId="0D5E39CE" w14:textId="77777777" w:rsidTr="00D81865">
        <w:trPr>
          <w:trHeight w:val="255"/>
        </w:trPr>
        <w:tc>
          <w:tcPr>
            <w:tcW w:w="3731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309C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1 a 3 anos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8365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B8C5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16,67</w:t>
            </w:r>
          </w:p>
        </w:tc>
      </w:tr>
      <w:tr w:rsidR="00C22DE5" w:rsidRPr="00C22DE5" w14:paraId="27A82E49" w14:textId="77777777" w:rsidTr="00D81865">
        <w:trPr>
          <w:trHeight w:val="255"/>
        </w:trPr>
        <w:tc>
          <w:tcPr>
            <w:tcW w:w="3731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5E50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Entre 3 e 6 anos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1209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9732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50,00</w:t>
            </w:r>
          </w:p>
        </w:tc>
      </w:tr>
      <w:tr w:rsidR="00C22DE5" w:rsidRPr="00C22DE5" w14:paraId="043C1903" w14:textId="77777777" w:rsidTr="00D81865">
        <w:trPr>
          <w:trHeight w:val="255"/>
        </w:trPr>
        <w:tc>
          <w:tcPr>
            <w:tcW w:w="3731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672E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Entre 6 e 9 anos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468D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45FF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27,78</w:t>
            </w:r>
          </w:p>
        </w:tc>
      </w:tr>
      <w:tr w:rsidR="00C22DE5" w:rsidRPr="00C22DE5" w14:paraId="3624A89B" w14:textId="77777777" w:rsidTr="00D81865">
        <w:trPr>
          <w:trHeight w:val="255"/>
        </w:trPr>
        <w:tc>
          <w:tcPr>
            <w:tcW w:w="3731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8459C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Mais que 9 anos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2A05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FCC12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5,56</w:t>
            </w:r>
          </w:p>
        </w:tc>
      </w:tr>
      <w:tr w:rsidR="00C22DE5" w:rsidRPr="00C22DE5" w14:paraId="7C8352FE" w14:textId="77777777" w:rsidTr="00D81865">
        <w:trPr>
          <w:trHeight w:val="255"/>
        </w:trPr>
        <w:tc>
          <w:tcPr>
            <w:tcW w:w="3731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0286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TOTAL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9BB5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18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3E1A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100</w:t>
            </w:r>
          </w:p>
        </w:tc>
      </w:tr>
    </w:tbl>
    <w:p w14:paraId="5513DB86" w14:textId="77777777" w:rsidR="00C22DE5" w:rsidRPr="00C22DE5" w:rsidRDefault="00C22DE5" w:rsidP="00C22DE5">
      <w:pPr>
        <w:suppressAutoHyphens w:val="0"/>
        <w:jc w:val="both"/>
        <w:rPr>
          <w:sz w:val="22"/>
          <w:szCs w:val="24"/>
        </w:rPr>
      </w:pPr>
      <w:r w:rsidRPr="00C22DE5">
        <w:rPr>
          <w:sz w:val="22"/>
          <w:szCs w:val="24"/>
        </w:rPr>
        <w:t>Fonte: Dados da pesquisa.</w:t>
      </w:r>
    </w:p>
    <w:p w14:paraId="3599D301" w14:textId="2C29A238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Observa-se na Tabela 1</w:t>
      </w:r>
      <w:r w:rsidR="00D865D3">
        <w:rPr>
          <w:sz w:val="24"/>
          <w:szCs w:val="24"/>
        </w:rPr>
        <w:t>4</w:t>
      </w:r>
      <w:r w:rsidRPr="00C22DE5">
        <w:rPr>
          <w:sz w:val="24"/>
          <w:szCs w:val="24"/>
        </w:rPr>
        <w:t xml:space="preserve"> que, 16,67% utilizam os incentivos fiscais entre um e três anos, 50% utilizam entre três e seis anos, 27,28% utilizam os benefícios entre seis e nove anos e 5,56% das empresas, usufruem dos incentivos fiscais da Lei d</w:t>
      </w:r>
      <w:r w:rsidR="00177E76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 a mais de nove anos.</w:t>
      </w:r>
    </w:p>
    <w:p w14:paraId="69409CB6" w14:textId="544111D0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Nas Tabelas 1</w:t>
      </w:r>
      <w:r w:rsidR="00D865D3">
        <w:rPr>
          <w:sz w:val="24"/>
          <w:szCs w:val="24"/>
        </w:rPr>
        <w:t>5</w:t>
      </w:r>
      <w:r w:rsidRPr="00C22DE5">
        <w:rPr>
          <w:sz w:val="24"/>
          <w:szCs w:val="24"/>
        </w:rPr>
        <w:t xml:space="preserve"> e 1</w:t>
      </w:r>
      <w:r w:rsidR="00D865D3">
        <w:rPr>
          <w:sz w:val="24"/>
          <w:szCs w:val="24"/>
        </w:rPr>
        <w:t>6</w:t>
      </w:r>
      <w:r w:rsidRPr="00C22DE5">
        <w:rPr>
          <w:sz w:val="24"/>
          <w:szCs w:val="24"/>
        </w:rPr>
        <w:t xml:space="preserve">, os entrevistados foram questionados a respeito dos investimentos em P&amp;D e a forma como eles são efetuados. </w:t>
      </w:r>
    </w:p>
    <w:p w14:paraId="2A535003" w14:textId="6E6FBE93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>Tabela 1</w:t>
      </w:r>
      <w:r w:rsidR="00D865D3">
        <w:rPr>
          <w:sz w:val="24"/>
          <w:szCs w:val="24"/>
        </w:rPr>
        <w:t>5</w:t>
      </w:r>
      <w:r w:rsidRPr="00C22DE5">
        <w:rPr>
          <w:sz w:val="24"/>
          <w:szCs w:val="24"/>
        </w:rPr>
        <w:t xml:space="preserve"> – Investimentos em centros/institutos de pesquisa ou entidades de ensino em 2014.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1"/>
        <w:gridCol w:w="1714"/>
        <w:gridCol w:w="590"/>
      </w:tblGrid>
      <w:tr w:rsidR="00C22DE5" w:rsidRPr="00C22DE5" w14:paraId="7CF4D6E6" w14:textId="77777777" w:rsidTr="00D81865">
        <w:trPr>
          <w:trHeight w:val="255"/>
        </w:trPr>
        <w:tc>
          <w:tcPr>
            <w:tcW w:w="37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434D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lastRenderedPageBreak/>
              <w:t>Investimentos em centros/institutos de pesquisa ou entidades de ensino em 2014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FD45D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Nº de Empresas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C322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%</w:t>
            </w:r>
          </w:p>
        </w:tc>
      </w:tr>
      <w:tr w:rsidR="00C22DE5" w:rsidRPr="00C22DE5" w14:paraId="29984587" w14:textId="77777777" w:rsidTr="00D81865">
        <w:trPr>
          <w:trHeight w:val="255"/>
        </w:trPr>
        <w:tc>
          <w:tcPr>
            <w:tcW w:w="373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36F4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0,7% a 1,00%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2328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6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7A50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33,33</w:t>
            </w:r>
          </w:p>
        </w:tc>
      </w:tr>
      <w:tr w:rsidR="00C22DE5" w:rsidRPr="00C22DE5" w14:paraId="6A64033E" w14:textId="77777777" w:rsidTr="00D81865">
        <w:trPr>
          <w:trHeight w:val="255"/>
        </w:trPr>
        <w:tc>
          <w:tcPr>
            <w:tcW w:w="373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0630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1,00% a 1,15%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377A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3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2D91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16,67</w:t>
            </w:r>
          </w:p>
        </w:tc>
      </w:tr>
      <w:tr w:rsidR="00C22DE5" w:rsidRPr="00C22DE5" w14:paraId="08799CAE" w14:textId="77777777" w:rsidTr="00D81865">
        <w:trPr>
          <w:trHeight w:val="255"/>
        </w:trPr>
        <w:tc>
          <w:tcPr>
            <w:tcW w:w="373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4D33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1,15% a 2,00%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751AD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43E0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5,56</w:t>
            </w:r>
          </w:p>
        </w:tc>
      </w:tr>
      <w:tr w:rsidR="00C22DE5" w:rsidRPr="00C22DE5" w14:paraId="1A7A82BC" w14:textId="77777777" w:rsidTr="00D81865">
        <w:trPr>
          <w:trHeight w:val="255"/>
        </w:trPr>
        <w:tc>
          <w:tcPr>
            <w:tcW w:w="373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6A72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2,00% a 2,50%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69D7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0916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5,56</w:t>
            </w:r>
          </w:p>
        </w:tc>
      </w:tr>
      <w:tr w:rsidR="00C22DE5" w:rsidRPr="00C22DE5" w14:paraId="7ECD984C" w14:textId="77777777" w:rsidTr="00D81865">
        <w:trPr>
          <w:trHeight w:val="255"/>
        </w:trPr>
        <w:tc>
          <w:tcPr>
            <w:tcW w:w="373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35CB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2,50% a 2,59%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A23C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2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AA72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11,11</w:t>
            </w:r>
          </w:p>
        </w:tc>
      </w:tr>
      <w:tr w:rsidR="00C22DE5" w:rsidRPr="00C22DE5" w14:paraId="18416FC8" w14:textId="77777777" w:rsidTr="00D81865">
        <w:trPr>
          <w:trHeight w:val="255"/>
        </w:trPr>
        <w:tc>
          <w:tcPr>
            <w:tcW w:w="373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A75A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Não investe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F864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5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0638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27,78</w:t>
            </w:r>
          </w:p>
        </w:tc>
      </w:tr>
      <w:tr w:rsidR="00C22DE5" w:rsidRPr="00C22DE5" w14:paraId="03CCEBC9" w14:textId="77777777" w:rsidTr="00D81865">
        <w:trPr>
          <w:trHeight w:val="255"/>
        </w:trPr>
        <w:tc>
          <w:tcPr>
            <w:tcW w:w="373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128A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TOTAL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0B86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18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1A40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100</w:t>
            </w:r>
          </w:p>
        </w:tc>
      </w:tr>
    </w:tbl>
    <w:p w14:paraId="677E2C06" w14:textId="77777777" w:rsidR="00C22DE5" w:rsidRPr="00C22DE5" w:rsidRDefault="00C22DE5" w:rsidP="00C22DE5">
      <w:pPr>
        <w:suppressAutoHyphens w:val="0"/>
        <w:jc w:val="both"/>
        <w:rPr>
          <w:sz w:val="22"/>
          <w:szCs w:val="24"/>
        </w:rPr>
      </w:pPr>
      <w:r w:rsidRPr="00C22DE5">
        <w:rPr>
          <w:sz w:val="22"/>
          <w:szCs w:val="24"/>
        </w:rPr>
        <w:t>Fonte: Dados da pesquisa.</w:t>
      </w:r>
    </w:p>
    <w:p w14:paraId="3920FA92" w14:textId="1F4BD7AE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Percebe-se na Tabela 1</w:t>
      </w:r>
      <w:r w:rsidR="00D865D3">
        <w:rPr>
          <w:sz w:val="24"/>
          <w:szCs w:val="24"/>
        </w:rPr>
        <w:t>5</w:t>
      </w:r>
      <w:r w:rsidRPr="00C22DE5">
        <w:rPr>
          <w:sz w:val="24"/>
          <w:szCs w:val="24"/>
        </w:rPr>
        <w:t xml:space="preserve"> que, 33,33% das empresas investem entre 0,7% a 1,00% do faturamento bruto em centros/ institutos de pesquisa ou entidades de ensino, 16,67% investiram entre 1,00% e 1,15%, 5,56% investiram entre 1,15% e 2,00%, 5,56% investiram entre 2,00% e 2,50% e 11,11% investiram entre 2,50% e 2,59%. Houve ainda cinco empresas (27,78%) que afirmaram não investir em centro/institutos de pesquisa ou entidades de ensino.</w:t>
      </w:r>
    </w:p>
    <w:p w14:paraId="41398C47" w14:textId="647B1411" w:rsidR="00C22DE5" w:rsidRPr="00C22DE5" w:rsidRDefault="00C22DE5" w:rsidP="00C22DE5">
      <w:pPr>
        <w:suppressAutoHyphens w:val="0"/>
        <w:autoSpaceDE w:val="0"/>
        <w:autoSpaceDN w:val="0"/>
        <w:adjustRightInd w:val="0"/>
        <w:ind w:firstLine="708"/>
        <w:jc w:val="both"/>
      </w:pPr>
      <w:r w:rsidRPr="00C22DE5">
        <w:rPr>
          <w:sz w:val="24"/>
          <w:szCs w:val="24"/>
        </w:rPr>
        <w:t>Esta distribuição dos investimentos está pautada na própria Lei d</w:t>
      </w:r>
      <w:r w:rsidR="00177E76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Informática, conforme destacam Garcia e </w:t>
      </w:r>
      <w:proofErr w:type="spellStart"/>
      <w:r w:rsidRPr="00C22DE5">
        <w:rPr>
          <w:sz w:val="24"/>
          <w:szCs w:val="24"/>
        </w:rPr>
        <w:t>Roselino</w:t>
      </w:r>
      <w:proofErr w:type="spellEnd"/>
      <w:r w:rsidRPr="00C22DE5">
        <w:rPr>
          <w:sz w:val="24"/>
          <w:szCs w:val="24"/>
        </w:rPr>
        <w:t xml:space="preserve"> (2004), afirmando que a empresa pode investir 2,7% de seu faturamento internamente, e o restante deve ser alocado a centros ou institutos de pesquisa ou educação.</w:t>
      </w:r>
    </w:p>
    <w:p w14:paraId="57C76672" w14:textId="3693E452" w:rsidR="00C22DE5" w:rsidRPr="00C22DE5" w:rsidRDefault="00C22DE5" w:rsidP="00C22DE5">
      <w:pPr>
        <w:suppressAutoHyphens w:val="0"/>
        <w:autoSpaceDE w:val="0"/>
        <w:autoSpaceDN w:val="0"/>
        <w:adjustRightInd w:val="0"/>
        <w:ind w:firstLine="708"/>
        <w:jc w:val="both"/>
        <w:rPr>
          <w:sz w:val="24"/>
        </w:rPr>
      </w:pPr>
      <w:r w:rsidRPr="00C22DE5">
        <w:rPr>
          <w:sz w:val="24"/>
        </w:rPr>
        <w:t>A Tabela 1</w:t>
      </w:r>
      <w:r w:rsidR="00D865D3">
        <w:rPr>
          <w:sz w:val="24"/>
        </w:rPr>
        <w:t>6</w:t>
      </w:r>
      <w:r w:rsidRPr="00C22DE5">
        <w:rPr>
          <w:sz w:val="24"/>
        </w:rPr>
        <w:t xml:space="preserve"> evidencia a porcentagem do faturamento bruto direcionada ao Fundo Nacional de Desenvolvimento Científico e Tecnológico – FNDCT.</w:t>
      </w:r>
    </w:p>
    <w:p w14:paraId="216D4260" w14:textId="77777777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sz w:val="24"/>
        </w:rPr>
      </w:pPr>
      <w:r w:rsidRPr="00C22DE5">
        <w:rPr>
          <w:sz w:val="24"/>
        </w:rPr>
        <w:t>Tabela 17 – Investimentos no Fundo Nacional de Desenvolvimento Científico e Tecnológico – FNDCT.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4"/>
        <w:gridCol w:w="1407"/>
        <w:gridCol w:w="894"/>
      </w:tblGrid>
      <w:tr w:rsidR="00C22DE5" w:rsidRPr="00C22DE5" w14:paraId="172A8339" w14:textId="77777777" w:rsidTr="00D81865">
        <w:trPr>
          <w:trHeight w:val="255"/>
        </w:trPr>
        <w:tc>
          <w:tcPr>
            <w:tcW w:w="37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81E6F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t>Investimentos direcionados ao FNDCT em 2014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D4860E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Nº de Empresas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9921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%</w:t>
            </w:r>
          </w:p>
        </w:tc>
      </w:tr>
      <w:tr w:rsidR="00C22DE5" w:rsidRPr="00C22DE5" w14:paraId="645D6E8C" w14:textId="77777777" w:rsidTr="00D81865">
        <w:trPr>
          <w:trHeight w:val="255"/>
        </w:trPr>
        <w:tc>
          <w:tcPr>
            <w:tcW w:w="3731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DB7A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0,35% a 0,70%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B2E1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4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6097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22,22</w:t>
            </w:r>
          </w:p>
        </w:tc>
      </w:tr>
      <w:tr w:rsidR="00C22DE5" w:rsidRPr="00C22DE5" w14:paraId="5BCDA88B" w14:textId="77777777" w:rsidTr="00D81865">
        <w:trPr>
          <w:trHeight w:val="255"/>
        </w:trPr>
        <w:tc>
          <w:tcPr>
            <w:tcW w:w="3731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EE10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0,7% a 2,00%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C9A8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16F6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5,56</w:t>
            </w:r>
          </w:p>
        </w:tc>
      </w:tr>
      <w:tr w:rsidR="00C22DE5" w:rsidRPr="00C22DE5" w14:paraId="301F649C" w14:textId="77777777" w:rsidTr="00D81865">
        <w:trPr>
          <w:trHeight w:val="255"/>
        </w:trPr>
        <w:tc>
          <w:tcPr>
            <w:tcW w:w="3731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B9C7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2,00% a 2,24%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0CF7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3B5F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5,56</w:t>
            </w:r>
          </w:p>
        </w:tc>
      </w:tr>
      <w:tr w:rsidR="00C22DE5" w:rsidRPr="00C22DE5" w14:paraId="76770705" w14:textId="77777777" w:rsidTr="00D81865">
        <w:trPr>
          <w:trHeight w:val="255"/>
        </w:trPr>
        <w:tc>
          <w:tcPr>
            <w:tcW w:w="3731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77E2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Não Investe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FDF4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12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6636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66,67</w:t>
            </w:r>
          </w:p>
        </w:tc>
      </w:tr>
      <w:tr w:rsidR="00C22DE5" w:rsidRPr="00C22DE5" w14:paraId="651E5260" w14:textId="77777777" w:rsidTr="00D81865">
        <w:trPr>
          <w:trHeight w:val="255"/>
        </w:trPr>
        <w:tc>
          <w:tcPr>
            <w:tcW w:w="3731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501D" w14:textId="77777777" w:rsidR="00C22DE5" w:rsidRPr="00C22DE5" w:rsidRDefault="00C22DE5" w:rsidP="00C22DE5">
            <w:pPr>
              <w:suppressAutoHyphens w:val="0"/>
              <w:rPr>
                <w:color w:val="000000"/>
              </w:rPr>
            </w:pPr>
            <w:r w:rsidRPr="00C22DE5">
              <w:rPr>
                <w:color w:val="000000"/>
              </w:rPr>
              <w:t>TOTAL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47C6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18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253C" w14:textId="77777777" w:rsidR="00C22DE5" w:rsidRPr="00C22DE5" w:rsidRDefault="00C22DE5" w:rsidP="00C22DE5">
            <w:pPr>
              <w:suppressAutoHyphens w:val="0"/>
              <w:jc w:val="center"/>
              <w:rPr>
                <w:color w:val="000000"/>
              </w:rPr>
            </w:pPr>
            <w:r w:rsidRPr="00C22DE5">
              <w:rPr>
                <w:color w:val="000000"/>
              </w:rPr>
              <w:t>100</w:t>
            </w:r>
          </w:p>
        </w:tc>
      </w:tr>
    </w:tbl>
    <w:p w14:paraId="574B1626" w14:textId="77777777" w:rsidR="00C22DE5" w:rsidRPr="00C22DE5" w:rsidRDefault="00C22DE5" w:rsidP="00C22DE5">
      <w:pPr>
        <w:suppressAutoHyphens w:val="0"/>
        <w:jc w:val="both"/>
        <w:rPr>
          <w:sz w:val="22"/>
          <w:szCs w:val="24"/>
        </w:rPr>
      </w:pPr>
      <w:r w:rsidRPr="00C22DE5">
        <w:rPr>
          <w:sz w:val="22"/>
          <w:szCs w:val="24"/>
        </w:rPr>
        <w:t>Fonte: Dados da pesquisa.</w:t>
      </w:r>
    </w:p>
    <w:p w14:paraId="15E42309" w14:textId="2689E1C4" w:rsid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 xml:space="preserve">Depreende-se da </w:t>
      </w:r>
      <w:r w:rsidR="00D865D3">
        <w:rPr>
          <w:sz w:val="24"/>
          <w:szCs w:val="24"/>
        </w:rPr>
        <w:t>T</w:t>
      </w:r>
      <w:r w:rsidRPr="00C22DE5">
        <w:rPr>
          <w:sz w:val="24"/>
          <w:szCs w:val="24"/>
        </w:rPr>
        <w:t>abela 1</w:t>
      </w:r>
      <w:r w:rsidR="00D865D3">
        <w:rPr>
          <w:sz w:val="24"/>
          <w:szCs w:val="24"/>
        </w:rPr>
        <w:t>6</w:t>
      </w:r>
      <w:r w:rsidRPr="00C22DE5">
        <w:rPr>
          <w:sz w:val="24"/>
          <w:szCs w:val="24"/>
        </w:rPr>
        <w:t xml:space="preserve"> que</w:t>
      </w:r>
      <w:r w:rsidR="00D865D3">
        <w:rPr>
          <w:sz w:val="24"/>
          <w:szCs w:val="24"/>
        </w:rPr>
        <w:t>,</w:t>
      </w:r>
      <w:r w:rsidRPr="00C22DE5">
        <w:rPr>
          <w:sz w:val="24"/>
          <w:szCs w:val="24"/>
        </w:rPr>
        <w:t xml:space="preserve"> quatro empresas direcionam entre 0,35% a 0,70% do seu faturamento bruto a investimentos no FNDCT. Houve ainda uma empresa que direciona entre 0,70% a 2,00% e uma empresa que direciona entre 2,00% e 2,24%. Houve também doze empresas que afirmam não realizar estes investimentos.</w:t>
      </w:r>
    </w:p>
    <w:p w14:paraId="6C20DF04" w14:textId="158EDE95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 xml:space="preserve">Garcia e </w:t>
      </w:r>
      <w:proofErr w:type="spellStart"/>
      <w:r w:rsidRPr="00C22DE5">
        <w:rPr>
          <w:sz w:val="24"/>
          <w:szCs w:val="24"/>
        </w:rPr>
        <w:t>Roselino</w:t>
      </w:r>
      <w:proofErr w:type="spellEnd"/>
      <w:r w:rsidRPr="00C22DE5">
        <w:rPr>
          <w:sz w:val="24"/>
          <w:szCs w:val="24"/>
        </w:rPr>
        <w:t xml:space="preserve"> (2004) destacam que parte dos 2,3% a serem investidos em centros/institutos de pesquisa, devem ser direcionados ao FNDCT. O mesmo está disposto </w:t>
      </w:r>
      <w:r w:rsidR="00E478E9">
        <w:rPr>
          <w:sz w:val="24"/>
          <w:szCs w:val="24"/>
        </w:rPr>
        <w:t xml:space="preserve">no </w:t>
      </w:r>
      <w:r w:rsidR="00E478E9" w:rsidRPr="00C22DE5">
        <w:rPr>
          <w:sz w:val="24"/>
          <w:szCs w:val="24"/>
        </w:rPr>
        <w:t>inciso I, do §1º</w:t>
      </w:r>
      <w:r w:rsidR="00E478E9">
        <w:rPr>
          <w:sz w:val="24"/>
          <w:szCs w:val="24"/>
        </w:rPr>
        <w:t xml:space="preserve">, art. 11, da </w:t>
      </w:r>
      <w:r w:rsidRPr="00C22DE5">
        <w:rPr>
          <w:sz w:val="24"/>
          <w:szCs w:val="24"/>
        </w:rPr>
        <w:t>Lei d</w:t>
      </w:r>
      <w:r w:rsidR="00177E76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</w:t>
      </w:r>
      <w:r w:rsidR="00E478E9">
        <w:rPr>
          <w:sz w:val="24"/>
          <w:szCs w:val="24"/>
        </w:rPr>
        <w:t>,</w:t>
      </w:r>
      <w:r w:rsidRPr="00C22DE5">
        <w:rPr>
          <w:sz w:val="24"/>
          <w:szCs w:val="24"/>
        </w:rPr>
        <w:t xml:space="preserve"> que descreve que os investimentos alocados a centros ou institutos de pesquisa ou educação, não podem ser inferiores a 1%. O inciso II determina um investimento mínimo de 0,8%, para centros ou institutos de pesquisa ou educação com sede nas regiões da SUDAM, SUDENE e Centro-Oeste, excetuada a Zona Franca de Manaus. Os demais 0,5% são investidos </w:t>
      </w:r>
      <w:r w:rsidR="00E478E9">
        <w:rPr>
          <w:sz w:val="24"/>
          <w:szCs w:val="24"/>
        </w:rPr>
        <w:t>por meio</w:t>
      </w:r>
      <w:r w:rsidRPr="00C22DE5">
        <w:rPr>
          <w:sz w:val="24"/>
          <w:szCs w:val="24"/>
        </w:rPr>
        <w:t xml:space="preserve"> de um depósito trimestral junto</w:t>
      </w:r>
      <w:r w:rsidR="00E478E9">
        <w:rPr>
          <w:sz w:val="24"/>
          <w:szCs w:val="24"/>
        </w:rPr>
        <w:t xml:space="preserve"> </w:t>
      </w:r>
      <w:proofErr w:type="gramStart"/>
      <w:r w:rsidR="00E478E9">
        <w:rPr>
          <w:sz w:val="24"/>
          <w:szCs w:val="24"/>
        </w:rPr>
        <w:t xml:space="preserve">ao </w:t>
      </w:r>
      <w:r w:rsidRPr="00C22DE5">
        <w:rPr>
          <w:sz w:val="24"/>
          <w:szCs w:val="24"/>
        </w:rPr>
        <w:t xml:space="preserve"> FNDCT</w:t>
      </w:r>
      <w:proofErr w:type="gramEnd"/>
      <w:r w:rsidRPr="00C22DE5">
        <w:rPr>
          <w:sz w:val="24"/>
          <w:szCs w:val="24"/>
        </w:rPr>
        <w:t>, conforme estabelecido no inciso III. Esta situação não se aplica às empresas cujo faturamento bruto anual seja inferior a R$15.000.000</w:t>
      </w:r>
      <w:r w:rsidRPr="00DA7684">
        <w:rPr>
          <w:sz w:val="24"/>
          <w:szCs w:val="24"/>
        </w:rPr>
        <w:t>, conforme disposto no §11º da própria lei.</w:t>
      </w:r>
    </w:p>
    <w:p w14:paraId="441898FC" w14:textId="10A75981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Dessa forma, subentendesse que 66,67% das empresas que fazem parte da amostra, tiveram um faturamento bruto anual inferior a R$ 15.000.000</w:t>
      </w:r>
      <w:r w:rsidR="0064222B">
        <w:rPr>
          <w:sz w:val="24"/>
          <w:szCs w:val="24"/>
        </w:rPr>
        <w:t>.</w:t>
      </w:r>
    </w:p>
    <w:p w14:paraId="7EB1D130" w14:textId="77777777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6B30FE2" w14:textId="59852C9F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C22DE5">
        <w:rPr>
          <w:b/>
          <w:sz w:val="24"/>
          <w:szCs w:val="24"/>
        </w:rPr>
        <w:t xml:space="preserve">5 </w:t>
      </w:r>
      <w:r w:rsidR="004F35B8">
        <w:rPr>
          <w:b/>
          <w:sz w:val="24"/>
          <w:szCs w:val="24"/>
        </w:rPr>
        <w:t>Considerações Finais</w:t>
      </w:r>
    </w:p>
    <w:p w14:paraId="1E7504E1" w14:textId="631034C2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 xml:space="preserve">A pesquisa teve como objetivo </w:t>
      </w:r>
      <w:r w:rsidR="0064222B">
        <w:rPr>
          <w:sz w:val="24"/>
          <w:szCs w:val="24"/>
        </w:rPr>
        <w:t>verificar a representatividade</w:t>
      </w:r>
      <w:r w:rsidRPr="00C22DE5">
        <w:rPr>
          <w:sz w:val="24"/>
          <w:szCs w:val="24"/>
        </w:rPr>
        <w:t xml:space="preserve"> dos incentivos fiscais da Lei d</w:t>
      </w:r>
      <w:r w:rsidR="00177E76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 no resultado econômico das empresas catarinenses. Para tanto, foi desenvolvido uma pesquisa descritiva, de levantamento e qualitativa, utilizando como instrumento de pesquisa, um questionário formado </w:t>
      </w:r>
      <w:r w:rsidR="00177E76">
        <w:rPr>
          <w:sz w:val="24"/>
          <w:szCs w:val="24"/>
        </w:rPr>
        <w:t>por</w:t>
      </w:r>
      <w:r w:rsidRPr="00C22DE5">
        <w:rPr>
          <w:sz w:val="24"/>
          <w:szCs w:val="24"/>
        </w:rPr>
        <w:t xml:space="preserve"> questões fechadas, sobre a Lei d</w:t>
      </w:r>
      <w:r w:rsidR="00177E76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</w:t>
      </w:r>
      <w:r w:rsidRPr="00C22DE5">
        <w:rPr>
          <w:sz w:val="24"/>
          <w:szCs w:val="24"/>
        </w:rPr>
        <w:lastRenderedPageBreak/>
        <w:t>Informática. A amostra foi composta por 18 empresas</w:t>
      </w:r>
      <w:r w:rsidR="009C55A2">
        <w:rPr>
          <w:sz w:val="24"/>
          <w:szCs w:val="24"/>
        </w:rPr>
        <w:t xml:space="preserve"> catarinenses que</w:t>
      </w:r>
      <w:r w:rsidR="00177E76">
        <w:rPr>
          <w:sz w:val="24"/>
          <w:szCs w:val="24"/>
        </w:rPr>
        <w:t xml:space="preserve"> utilizam dos benefícios fiscais da Lei de Informática</w:t>
      </w:r>
      <w:r w:rsidRPr="00C22DE5">
        <w:rPr>
          <w:sz w:val="24"/>
          <w:szCs w:val="24"/>
        </w:rPr>
        <w:t>, representando 28,</w:t>
      </w:r>
      <w:r w:rsidR="00946F13">
        <w:rPr>
          <w:sz w:val="24"/>
          <w:szCs w:val="24"/>
        </w:rPr>
        <w:t>1</w:t>
      </w:r>
      <w:r w:rsidRPr="00C22DE5">
        <w:rPr>
          <w:sz w:val="24"/>
          <w:szCs w:val="24"/>
        </w:rPr>
        <w:t>3% da população e os dados levantados foram analisados por meio da estatística descritiva.</w:t>
      </w:r>
    </w:p>
    <w:p w14:paraId="2B9C10A4" w14:textId="00A90369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A pesquisa mostrou que os incentivos fiscais da Lei d</w:t>
      </w:r>
      <w:r w:rsidR="0064222B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 possuem uma abrangência considerável, no que se refere ao ramo de atividade e ao porte das empresas. Mais de 30% das empresas catarinenses presentes na amostra, atuam não somente como indústrias, mas também como comércio e prestadora de serviços. Em relação ao porte das empresas, a pesquisa aponta que tanto micro e pequeno porte, como de médio e grande porte, também usufruem dos incentivos fiscais da Lei d</w:t>
      </w:r>
      <w:r w:rsidR="0064222B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Informática, sendo que as empresas de pequeno porte, e as de médio porte, representam 77,78% da amostra (38,89% cada).</w:t>
      </w:r>
      <w:r w:rsidR="00D230F7">
        <w:rPr>
          <w:sz w:val="24"/>
          <w:szCs w:val="24"/>
        </w:rPr>
        <w:t xml:space="preserve"> A</w:t>
      </w:r>
      <w:r w:rsidRPr="00C22DE5">
        <w:rPr>
          <w:sz w:val="24"/>
          <w:szCs w:val="24"/>
        </w:rPr>
        <w:t xml:space="preserve"> pesquisa </w:t>
      </w:r>
      <w:r w:rsidR="00D230F7">
        <w:rPr>
          <w:sz w:val="24"/>
          <w:szCs w:val="24"/>
        </w:rPr>
        <w:t xml:space="preserve">também </w:t>
      </w:r>
      <w:r w:rsidRPr="00C22DE5">
        <w:rPr>
          <w:sz w:val="24"/>
          <w:szCs w:val="24"/>
        </w:rPr>
        <w:t xml:space="preserve">apontou que em torno de 55,56% das empresas da amostra, contam com menos de 50 funcionários. Por outro lado, 22,22% contam com mais de 100 funcionários, sendo </w:t>
      </w:r>
      <w:r w:rsidR="0064222B">
        <w:rPr>
          <w:sz w:val="24"/>
          <w:szCs w:val="24"/>
        </w:rPr>
        <w:t xml:space="preserve">que </w:t>
      </w:r>
      <w:r w:rsidRPr="00C22DE5">
        <w:rPr>
          <w:sz w:val="24"/>
          <w:szCs w:val="24"/>
        </w:rPr>
        <w:t xml:space="preserve">11,11%, </w:t>
      </w:r>
      <w:r w:rsidR="0064222B">
        <w:rPr>
          <w:sz w:val="24"/>
          <w:szCs w:val="24"/>
        </w:rPr>
        <w:t>possuem mais</w:t>
      </w:r>
      <w:r w:rsidRPr="00C22DE5">
        <w:rPr>
          <w:sz w:val="24"/>
          <w:szCs w:val="24"/>
        </w:rPr>
        <w:t xml:space="preserve"> de 200 funcionários.</w:t>
      </w:r>
    </w:p>
    <w:p w14:paraId="1D37334E" w14:textId="6D498CB9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</w:r>
      <w:r w:rsidR="00DF1E6D">
        <w:rPr>
          <w:sz w:val="24"/>
          <w:szCs w:val="24"/>
        </w:rPr>
        <w:t>No que diz respeito</w:t>
      </w:r>
      <w:r w:rsidRPr="00C22DE5">
        <w:rPr>
          <w:sz w:val="24"/>
          <w:szCs w:val="24"/>
        </w:rPr>
        <w:t xml:space="preserve"> ao faturamento bruto total das empresas, no ano de 2014, a grande maioria </w:t>
      </w:r>
      <w:r w:rsidR="009C55A2">
        <w:rPr>
          <w:sz w:val="24"/>
          <w:szCs w:val="24"/>
        </w:rPr>
        <w:t>da amostra, 55,56%,</w:t>
      </w:r>
      <w:r w:rsidRPr="00C22DE5">
        <w:rPr>
          <w:sz w:val="24"/>
          <w:szCs w:val="24"/>
        </w:rPr>
        <w:t xml:space="preserve"> faturaram entre R$ 2,4 milhões e R$ 1</w:t>
      </w:r>
      <w:r w:rsidR="00DF1E6D">
        <w:rPr>
          <w:sz w:val="24"/>
          <w:szCs w:val="24"/>
        </w:rPr>
        <w:t>5</w:t>
      </w:r>
      <w:r w:rsidRPr="00C22DE5">
        <w:rPr>
          <w:sz w:val="24"/>
          <w:szCs w:val="24"/>
        </w:rPr>
        <w:t xml:space="preserve"> milhões. Já em relação ao faturamento com produtos incentivados, 44,44% das empresas pesquisadas, apresentaram no ano de 2014, um faturamento entre R$ 1,2 milh</w:t>
      </w:r>
      <w:r w:rsidR="00DF1E6D">
        <w:rPr>
          <w:sz w:val="24"/>
          <w:szCs w:val="24"/>
        </w:rPr>
        <w:t>ões</w:t>
      </w:r>
      <w:r w:rsidRPr="00C22DE5">
        <w:rPr>
          <w:sz w:val="24"/>
          <w:szCs w:val="24"/>
        </w:rPr>
        <w:t xml:space="preserve"> e R$ 8 milhões</w:t>
      </w:r>
      <w:r w:rsidR="00DF1E6D">
        <w:rPr>
          <w:sz w:val="24"/>
          <w:szCs w:val="24"/>
        </w:rPr>
        <w:t>.</w:t>
      </w:r>
    </w:p>
    <w:p w14:paraId="69B7F500" w14:textId="6D049F4E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</w:r>
      <w:r w:rsidR="00DF1E6D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m relação a representação do faturamento com bens incentivados, no faturamento total, </w:t>
      </w:r>
      <w:r w:rsidR="00D230F7">
        <w:rPr>
          <w:sz w:val="24"/>
          <w:szCs w:val="24"/>
        </w:rPr>
        <w:t>os resultados apontam</w:t>
      </w:r>
      <w:r w:rsidRPr="00C22DE5">
        <w:rPr>
          <w:sz w:val="24"/>
          <w:szCs w:val="24"/>
        </w:rPr>
        <w:t xml:space="preserve"> que de modo geral, os bens incentivados representam uma quantidade considerável, na receita bruta das empresas. Cerca de 27,78% das empresas afirmaram que o faturamento com produtos incentivados, representam entre 80,01% e 100% do faturamento total da empresa. Houve ainda 5,56% das empresas, que afirmaram uma participação de 60,01% a 80,00% e outros 27,78% que responderam representar entre 40,01% e 60,00% do faturamento bruto total da empresa.</w:t>
      </w:r>
    </w:p>
    <w:p w14:paraId="762FBB50" w14:textId="25ACA210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</w:r>
      <w:r w:rsidR="00DF1E6D">
        <w:rPr>
          <w:sz w:val="24"/>
          <w:szCs w:val="24"/>
        </w:rPr>
        <w:t>No que se refere ao</w:t>
      </w:r>
      <w:r w:rsidRPr="00C22DE5">
        <w:rPr>
          <w:sz w:val="24"/>
          <w:szCs w:val="24"/>
        </w:rPr>
        <w:t>s impostos renunciados, 88,89% afirmaram utilizar os incentivos fiscais para renúncia do IPI, e 72,22% das empresas analisadas, afirmaram utilizar os incentivos para renúncia do ICMS.</w:t>
      </w:r>
      <w:r w:rsidR="00D230F7">
        <w:rPr>
          <w:sz w:val="24"/>
          <w:szCs w:val="24"/>
        </w:rPr>
        <w:t xml:space="preserve"> </w:t>
      </w:r>
      <w:r w:rsidRPr="00C22DE5">
        <w:rPr>
          <w:sz w:val="24"/>
          <w:szCs w:val="24"/>
        </w:rPr>
        <w:t>Essas ren</w:t>
      </w:r>
      <w:r w:rsidR="00DF1E6D">
        <w:rPr>
          <w:sz w:val="24"/>
          <w:szCs w:val="24"/>
        </w:rPr>
        <w:t>ú</w:t>
      </w:r>
      <w:r w:rsidRPr="00C22DE5">
        <w:rPr>
          <w:sz w:val="24"/>
          <w:szCs w:val="24"/>
        </w:rPr>
        <w:t>ncias impactaram de certa forma no resultado econômico das empresas, como aponta a pesquisa. A renúncia fiscal dos impostos para 44,44% das empresas da amostra, representaram mais de 2% do seu resultado econômico. Houve ainda 16,67% das empresas da amostra, que afirmaram que a renúncia proveniente dos benefícios da Lei d</w:t>
      </w:r>
      <w:r w:rsidR="00DF1E6D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Informática, representaram entre 1,41% e 2,00% do seu resultado econômico.</w:t>
      </w:r>
    </w:p>
    <w:p w14:paraId="2031ED3E" w14:textId="405BF91A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>A pesquisa apontou também, que boa parte das empresas, que usufruem dos incentivos da Lei d</w:t>
      </w:r>
      <w:r w:rsidR="00B760E2">
        <w:rPr>
          <w:sz w:val="24"/>
          <w:szCs w:val="24"/>
        </w:rPr>
        <w:t>e</w:t>
      </w:r>
      <w:r w:rsidRPr="00C22DE5">
        <w:rPr>
          <w:sz w:val="24"/>
          <w:szCs w:val="24"/>
        </w:rPr>
        <w:t xml:space="preserve"> Informática, não direcionam seus investimentos a centros/institutos de pesquisa ou ensino, ou ao FNDCT, 27,78% das empresas afirmaram não investir em centros/institutos de pesquisa ou ensino e 66,67% das empresas afirmaram não direcionar seus investimentos ao FNDCT, o que deixa implícito que estas empresas, tiveram um faturamento bruto no ano de 2014 inferior a R$ 15.000.000,00.</w:t>
      </w:r>
    </w:p>
    <w:p w14:paraId="36671CB2" w14:textId="3410327B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ab/>
        <w:t xml:space="preserve">A pesquisa possui algumas limitações, </w:t>
      </w:r>
      <w:r w:rsidR="00DF1E6D">
        <w:rPr>
          <w:sz w:val="24"/>
          <w:szCs w:val="24"/>
        </w:rPr>
        <w:t xml:space="preserve">em que </w:t>
      </w:r>
      <w:r w:rsidRPr="00C22DE5">
        <w:rPr>
          <w:sz w:val="24"/>
          <w:szCs w:val="24"/>
        </w:rPr>
        <w:t>a principal se refere ao fato do estudo ser pouco aprofundado, apesar de trazer informações de abrangência significativa para o setor, não permite a análise de forma mais minuciosa do tema nas empresas. Além disso, o estudo se limita apenas ao estado de Santa Catarina, o que não permite generalizar o resultado para demais regiões do país.</w:t>
      </w:r>
    </w:p>
    <w:p w14:paraId="2CC4A2D8" w14:textId="08DA31F9" w:rsidR="00C22DE5" w:rsidRPr="00C22DE5" w:rsidRDefault="00C22DE5" w:rsidP="00C22DE5">
      <w:pPr>
        <w:suppressAutoHyphens w:val="0"/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C22DE5">
        <w:rPr>
          <w:sz w:val="24"/>
          <w:szCs w:val="24"/>
        </w:rPr>
        <w:t>Dessa forma, segue</w:t>
      </w:r>
      <w:r w:rsidR="00DF1E6D">
        <w:rPr>
          <w:sz w:val="24"/>
          <w:szCs w:val="24"/>
        </w:rPr>
        <w:t>m</w:t>
      </w:r>
      <w:r w:rsidRPr="00C22DE5">
        <w:rPr>
          <w:sz w:val="24"/>
          <w:szCs w:val="24"/>
        </w:rPr>
        <w:t xml:space="preserve"> como sugest</w:t>
      </w:r>
      <w:r w:rsidR="00DF1E6D">
        <w:rPr>
          <w:sz w:val="24"/>
          <w:szCs w:val="24"/>
        </w:rPr>
        <w:t>ões</w:t>
      </w:r>
      <w:r w:rsidRPr="00C22DE5">
        <w:rPr>
          <w:sz w:val="24"/>
          <w:szCs w:val="24"/>
        </w:rPr>
        <w:t xml:space="preserve"> para estudos posteriores, trabalhar outros métodos de abordagem do problema e de análise dos dados, ou utilizar as mesmas técnicas metodológicas aplicadas neste estudo em outros estados, o que possibilitaria uma confrontação dos resultados.</w:t>
      </w:r>
    </w:p>
    <w:p w14:paraId="0EA80B91" w14:textId="77777777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FD07E02" w14:textId="31B48930" w:rsidR="00C22DE5" w:rsidRPr="00C22DE5" w:rsidRDefault="004F35B8" w:rsidP="00C22DE5">
      <w:pPr>
        <w:suppressAutoHyphens w:val="0"/>
        <w:autoSpaceDE w:val="0"/>
        <w:autoSpaceDN w:val="0"/>
        <w:adjustRightInd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Referências </w:t>
      </w:r>
    </w:p>
    <w:p w14:paraId="5C7F05BD" w14:textId="77777777" w:rsidR="00C22DE5" w:rsidRPr="00C22DE5" w:rsidRDefault="00C22DE5" w:rsidP="00C22DE5">
      <w:pPr>
        <w:suppressAutoHyphens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 xml:space="preserve">Andrade, H. C., &amp; Neves, M. C. R. (2008). Cooperativismo e Tributação: um Estudo do Ramo Agropecuário Brasileiro. </w:t>
      </w:r>
      <w:r w:rsidRPr="00C22DE5">
        <w:rPr>
          <w:i/>
          <w:sz w:val="24"/>
          <w:szCs w:val="24"/>
        </w:rPr>
        <w:t>Revista de Contabilidade e Organizações</w:t>
      </w:r>
      <w:r w:rsidRPr="00C22DE5">
        <w:rPr>
          <w:sz w:val="24"/>
          <w:szCs w:val="24"/>
        </w:rPr>
        <w:t>, 2(4), 90-106.</w:t>
      </w:r>
    </w:p>
    <w:p w14:paraId="100C1CE6" w14:textId="77777777" w:rsidR="00C22DE5" w:rsidRPr="00C22DE5" w:rsidRDefault="00C22DE5" w:rsidP="00C22DE5">
      <w:pPr>
        <w:suppressAutoHyphens w:val="0"/>
        <w:jc w:val="both"/>
        <w:rPr>
          <w:sz w:val="24"/>
          <w:szCs w:val="24"/>
          <w:shd w:val="clear" w:color="auto" w:fill="FFFFFF"/>
        </w:rPr>
      </w:pPr>
      <w:r w:rsidRPr="00C22DE5">
        <w:rPr>
          <w:sz w:val="24"/>
          <w:szCs w:val="24"/>
          <w:shd w:val="clear" w:color="auto" w:fill="FFFFFF"/>
        </w:rPr>
        <w:lastRenderedPageBreak/>
        <w:t>Assunção, M.  C. (2011) Incentivos fiscais em tempos de crise: impactos econômicos e reflexos financeiros. </w:t>
      </w:r>
      <w:r w:rsidRPr="00C22DE5">
        <w:rPr>
          <w:bCs/>
          <w:i/>
          <w:sz w:val="24"/>
          <w:szCs w:val="24"/>
          <w:shd w:val="clear" w:color="auto" w:fill="FFFFFF"/>
        </w:rPr>
        <w:t>Revista da PGFN</w:t>
      </w:r>
      <w:r w:rsidRPr="00C22DE5">
        <w:rPr>
          <w:i/>
          <w:sz w:val="24"/>
          <w:szCs w:val="24"/>
          <w:shd w:val="clear" w:color="auto" w:fill="FFFFFF"/>
        </w:rPr>
        <w:t>,</w:t>
      </w:r>
      <w:r w:rsidRPr="00C22DE5">
        <w:rPr>
          <w:sz w:val="24"/>
          <w:szCs w:val="24"/>
          <w:shd w:val="clear" w:color="auto" w:fill="FFFFFF"/>
        </w:rPr>
        <w:t xml:space="preserve"> 1 (1), 99-123.</w:t>
      </w:r>
    </w:p>
    <w:p w14:paraId="3BBD52FC" w14:textId="77777777" w:rsidR="00C22DE5" w:rsidRPr="00C22DE5" w:rsidRDefault="00C22DE5" w:rsidP="00C22DE5">
      <w:pPr>
        <w:suppressAutoHyphens w:val="0"/>
        <w:jc w:val="both"/>
        <w:rPr>
          <w:sz w:val="24"/>
          <w:szCs w:val="24"/>
          <w:shd w:val="clear" w:color="auto" w:fill="FFFFFF"/>
        </w:rPr>
      </w:pPr>
      <w:r w:rsidRPr="00C22DE5">
        <w:rPr>
          <w:sz w:val="24"/>
          <w:szCs w:val="24"/>
          <w:shd w:val="clear" w:color="auto" w:fill="FFFFFF"/>
        </w:rPr>
        <w:t xml:space="preserve">Barbieri, J. C. (1984). Incentivos fiscais à produção de tecnologia. </w:t>
      </w:r>
      <w:r w:rsidRPr="00C22DE5">
        <w:rPr>
          <w:i/>
          <w:sz w:val="24"/>
          <w:szCs w:val="24"/>
          <w:shd w:val="clear" w:color="auto" w:fill="FFFFFF"/>
        </w:rPr>
        <w:t>Revista de Administração</w:t>
      </w:r>
      <w:r w:rsidRPr="00C22DE5">
        <w:rPr>
          <w:sz w:val="24"/>
          <w:szCs w:val="24"/>
          <w:shd w:val="clear" w:color="auto" w:fill="FFFFFF"/>
        </w:rPr>
        <w:t xml:space="preserve">, 19(1), 50-58. </w:t>
      </w:r>
    </w:p>
    <w:p w14:paraId="6925668F" w14:textId="77777777" w:rsidR="00C22DE5" w:rsidRPr="00C22DE5" w:rsidRDefault="00C22DE5" w:rsidP="00C22DE5">
      <w:pPr>
        <w:suppressAutoHyphens w:val="0"/>
        <w:jc w:val="both"/>
        <w:rPr>
          <w:sz w:val="24"/>
          <w:szCs w:val="24"/>
          <w:shd w:val="clear" w:color="auto" w:fill="FFFFFF"/>
        </w:rPr>
      </w:pPr>
      <w:r w:rsidRPr="00C22DE5">
        <w:rPr>
          <w:sz w:val="24"/>
          <w:szCs w:val="24"/>
          <w:shd w:val="clear" w:color="auto" w:fill="FFFFFF"/>
        </w:rPr>
        <w:t xml:space="preserve">Beraldo, V. (1988). Incentivos fiscais para P&amp;D no setor de informática. </w:t>
      </w:r>
      <w:r w:rsidRPr="00C22DE5">
        <w:rPr>
          <w:i/>
          <w:sz w:val="24"/>
          <w:szCs w:val="24"/>
          <w:shd w:val="clear" w:color="auto" w:fill="FFFFFF"/>
        </w:rPr>
        <w:t>Revista de Administração</w:t>
      </w:r>
      <w:r w:rsidRPr="00C22DE5">
        <w:rPr>
          <w:sz w:val="24"/>
          <w:szCs w:val="24"/>
          <w:shd w:val="clear" w:color="auto" w:fill="FFFFFF"/>
        </w:rPr>
        <w:t xml:space="preserve">, 23(1), 13-38. </w:t>
      </w:r>
    </w:p>
    <w:p w14:paraId="5ADC740F" w14:textId="77777777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 xml:space="preserve">Borges, H. B. (2008). </w:t>
      </w:r>
      <w:r w:rsidRPr="00C22DE5">
        <w:rPr>
          <w:i/>
          <w:sz w:val="24"/>
          <w:szCs w:val="24"/>
        </w:rPr>
        <w:t xml:space="preserve">Planejamento Tributário: </w:t>
      </w:r>
      <w:r w:rsidRPr="00C22DE5">
        <w:rPr>
          <w:sz w:val="24"/>
          <w:szCs w:val="24"/>
        </w:rPr>
        <w:t>IPI, ICMS, ISS e IR. 9. ed. Rev. e Atual. São Paulo: Atlas.</w:t>
      </w:r>
    </w:p>
    <w:p w14:paraId="565D43CE" w14:textId="488498C9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proofErr w:type="spellStart"/>
      <w:r w:rsidRPr="00C22DE5">
        <w:rPr>
          <w:sz w:val="24"/>
          <w:szCs w:val="24"/>
        </w:rPr>
        <w:t>Bromberg</w:t>
      </w:r>
      <w:proofErr w:type="spellEnd"/>
      <w:r w:rsidRPr="00C22DE5">
        <w:rPr>
          <w:sz w:val="24"/>
          <w:szCs w:val="24"/>
        </w:rPr>
        <w:t xml:space="preserve">, P. (2008). </w:t>
      </w:r>
      <w:r w:rsidRPr="00C22DE5">
        <w:rPr>
          <w:sz w:val="24"/>
          <w:szCs w:val="24"/>
          <w:shd w:val="clear" w:color="auto" w:fill="FFFFFF"/>
        </w:rPr>
        <w:t>Os incentivos fiscais e a indústria de informática no Brasil. Trabalho de Con</w:t>
      </w:r>
      <w:r w:rsidR="00D9293D">
        <w:rPr>
          <w:sz w:val="24"/>
          <w:szCs w:val="24"/>
          <w:shd w:val="clear" w:color="auto" w:fill="FFFFFF"/>
        </w:rPr>
        <w:t>c</w:t>
      </w:r>
      <w:r w:rsidRPr="00C22DE5">
        <w:rPr>
          <w:sz w:val="24"/>
          <w:szCs w:val="24"/>
          <w:shd w:val="clear" w:color="auto" w:fill="FFFFFF"/>
        </w:rPr>
        <w:t>lusão do Curso de Especialização em Finanças.</w:t>
      </w:r>
      <w:r w:rsidRPr="00C22DE5">
        <w:rPr>
          <w:sz w:val="24"/>
          <w:szCs w:val="24"/>
        </w:rPr>
        <w:t xml:space="preserve"> Universidade Federal do Rio Grande do Sul, Porto Alegre, PA, Brasil.</w:t>
      </w:r>
    </w:p>
    <w:p w14:paraId="52FF264D" w14:textId="77777777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  <w:shd w:val="clear" w:color="auto" w:fill="FFFFFF"/>
        </w:rPr>
        <w:t>Decreto nº 5.906, de 26 de setembro de 2006. (2006).</w:t>
      </w:r>
      <w:r w:rsidRPr="00C22DE5">
        <w:rPr>
          <w:i/>
          <w:sz w:val="24"/>
          <w:szCs w:val="24"/>
          <w:shd w:val="clear" w:color="auto" w:fill="FFFFFF"/>
        </w:rPr>
        <w:t xml:space="preserve"> </w:t>
      </w:r>
      <w:r w:rsidRPr="00C22DE5">
        <w:rPr>
          <w:sz w:val="24"/>
          <w:szCs w:val="24"/>
        </w:rPr>
        <w:t>Regulamenta o art. 4</w:t>
      </w:r>
      <w:r w:rsidRPr="00C22DE5">
        <w:rPr>
          <w:sz w:val="24"/>
          <w:szCs w:val="24"/>
          <w:u w:val="single"/>
          <w:vertAlign w:val="superscript"/>
        </w:rPr>
        <w:t>o</w:t>
      </w:r>
      <w:r w:rsidRPr="00C22DE5">
        <w:rPr>
          <w:sz w:val="24"/>
          <w:szCs w:val="24"/>
        </w:rPr>
        <w:t> da Lei n</w:t>
      </w:r>
      <w:r w:rsidRPr="00C22DE5">
        <w:rPr>
          <w:sz w:val="24"/>
          <w:szCs w:val="24"/>
          <w:u w:val="single"/>
          <w:vertAlign w:val="superscript"/>
        </w:rPr>
        <w:t>o</w:t>
      </w:r>
      <w:r w:rsidRPr="00C22DE5">
        <w:rPr>
          <w:sz w:val="24"/>
          <w:szCs w:val="24"/>
        </w:rPr>
        <w:t xml:space="preserve"> 11.077, de 30 de dezembro de 2004, os </w:t>
      </w:r>
      <w:proofErr w:type="spellStart"/>
      <w:r w:rsidRPr="00C22DE5">
        <w:rPr>
          <w:sz w:val="24"/>
          <w:szCs w:val="24"/>
        </w:rPr>
        <w:t>arts</w:t>
      </w:r>
      <w:proofErr w:type="spellEnd"/>
      <w:r w:rsidRPr="00C22DE5">
        <w:rPr>
          <w:sz w:val="24"/>
          <w:szCs w:val="24"/>
        </w:rPr>
        <w:t>. 4</w:t>
      </w:r>
      <w:r w:rsidRPr="00C22DE5">
        <w:rPr>
          <w:sz w:val="24"/>
          <w:szCs w:val="24"/>
          <w:u w:val="single"/>
          <w:vertAlign w:val="superscript"/>
        </w:rPr>
        <w:t>o</w:t>
      </w:r>
      <w:r w:rsidRPr="00C22DE5">
        <w:rPr>
          <w:sz w:val="24"/>
          <w:szCs w:val="24"/>
        </w:rPr>
        <w:t>, 9</w:t>
      </w:r>
      <w:r w:rsidRPr="00C22DE5">
        <w:rPr>
          <w:sz w:val="24"/>
          <w:szCs w:val="24"/>
          <w:u w:val="single"/>
          <w:vertAlign w:val="superscript"/>
        </w:rPr>
        <w:t>o</w:t>
      </w:r>
      <w:r w:rsidRPr="00C22DE5">
        <w:rPr>
          <w:sz w:val="24"/>
          <w:szCs w:val="24"/>
        </w:rPr>
        <w:t>, 11 e 16-A da Lei n</w:t>
      </w:r>
      <w:r w:rsidRPr="00C22DE5">
        <w:rPr>
          <w:sz w:val="24"/>
          <w:szCs w:val="24"/>
          <w:u w:val="single"/>
          <w:vertAlign w:val="superscript"/>
        </w:rPr>
        <w:t>o</w:t>
      </w:r>
      <w:r w:rsidRPr="00C22DE5">
        <w:rPr>
          <w:sz w:val="24"/>
          <w:szCs w:val="24"/>
        </w:rPr>
        <w:t xml:space="preserve"> 8.248, de 23 de outubro de 1991, e os </w:t>
      </w:r>
      <w:proofErr w:type="spellStart"/>
      <w:r w:rsidRPr="00C22DE5">
        <w:rPr>
          <w:sz w:val="24"/>
          <w:szCs w:val="24"/>
        </w:rPr>
        <w:t>arts</w:t>
      </w:r>
      <w:proofErr w:type="spellEnd"/>
      <w:r w:rsidRPr="00C22DE5">
        <w:rPr>
          <w:sz w:val="24"/>
          <w:szCs w:val="24"/>
        </w:rPr>
        <w:t>. 8</w:t>
      </w:r>
      <w:r w:rsidRPr="00C22DE5">
        <w:rPr>
          <w:sz w:val="24"/>
          <w:szCs w:val="24"/>
          <w:u w:val="single"/>
          <w:vertAlign w:val="superscript"/>
        </w:rPr>
        <w:t>o</w:t>
      </w:r>
      <w:r w:rsidRPr="00C22DE5">
        <w:rPr>
          <w:sz w:val="24"/>
          <w:szCs w:val="24"/>
        </w:rPr>
        <w:t> e 11 da Lei n</w:t>
      </w:r>
      <w:r w:rsidRPr="00C22DE5">
        <w:rPr>
          <w:sz w:val="24"/>
          <w:szCs w:val="24"/>
          <w:u w:val="single"/>
          <w:vertAlign w:val="superscript"/>
        </w:rPr>
        <w:t>o</w:t>
      </w:r>
      <w:r w:rsidRPr="00C22DE5">
        <w:rPr>
          <w:sz w:val="24"/>
          <w:szCs w:val="24"/>
        </w:rPr>
        <w:t xml:space="preserve">10.176, de 11 de janeiro de 2001, que dispõem sobre a capacitação e competitividade do setor de tecnologias da informação. Recuperado de: </w:t>
      </w:r>
      <w:hyperlink r:id="rId9" w:history="1">
        <w:r w:rsidRPr="00C22DE5">
          <w:rPr>
            <w:sz w:val="24"/>
            <w:szCs w:val="24"/>
            <w:u w:val="single"/>
          </w:rPr>
          <w:t>http://www.planalto.gov.br/ccivil_03/_ato2004-2006/2006/decreto/d5906.htm</w:t>
        </w:r>
      </w:hyperlink>
      <w:r w:rsidRPr="00C22DE5">
        <w:rPr>
          <w:sz w:val="24"/>
          <w:szCs w:val="24"/>
        </w:rPr>
        <w:t>.</w:t>
      </w:r>
    </w:p>
    <w:p w14:paraId="216D4A77" w14:textId="77777777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  <w:shd w:val="clear" w:color="auto" w:fill="FFFFFF"/>
        </w:rPr>
        <w:t>Decreto nº 2.024, de 25 de junho de 2004. (2004).</w:t>
      </w:r>
      <w:r w:rsidRPr="00C22DE5">
        <w:rPr>
          <w:i/>
          <w:sz w:val="24"/>
          <w:szCs w:val="24"/>
          <w:shd w:val="clear" w:color="auto" w:fill="FFFFFF"/>
        </w:rPr>
        <w:t xml:space="preserve"> </w:t>
      </w:r>
      <w:r w:rsidRPr="00C22DE5">
        <w:rPr>
          <w:sz w:val="24"/>
          <w:szCs w:val="24"/>
        </w:rPr>
        <w:t xml:space="preserve">Introduz a alteração 581 ao RICMS/01. Recuperado de: </w:t>
      </w:r>
      <w:hyperlink r:id="rId10" w:history="1">
        <w:r w:rsidRPr="00C22DE5">
          <w:rPr>
            <w:sz w:val="24"/>
            <w:szCs w:val="24"/>
            <w:u w:val="single"/>
          </w:rPr>
          <w:t>http://leisestaduais.com.br/sc/decreto-n-2024-2004-santa-catarina-introduz-a-alteracao-581-ao-ricms-01</w:t>
        </w:r>
      </w:hyperlink>
    </w:p>
    <w:p w14:paraId="2C2F10EB" w14:textId="62E6A24C" w:rsidR="001B2C4C" w:rsidRDefault="002E78E7" w:rsidP="001B2C4C">
      <w:pPr>
        <w:suppressAutoHyphens w:val="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Silva</w:t>
      </w:r>
      <w:r w:rsidR="00C22DE5" w:rsidRPr="00C22DE5">
        <w:rPr>
          <w:sz w:val="24"/>
          <w:szCs w:val="24"/>
          <w:shd w:val="clear" w:color="auto" w:fill="FFFFFF"/>
        </w:rPr>
        <w:t>, D</w:t>
      </w:r>
      <w:r w:rsidR="001B2C4C">
        <w:rPr>
          <w:sz w:val="24"/>
          <w:szCs w:val="24"/>
          <w:shd w:val="clear" w:color="auto" w:fill="FFFFFF"/>
        </w:rPr>
        <w:t>.</w:t>
      </w:r>
      <w:r w:rsidR="00C22DE5" w:rsidRPr="00C22DE5">
        <w:rPr>
          <w:sz w:val="24"/>
          <w:szCs w:val="24"/>
          <w:shd w:val="clear" w:color="auto" w:fill="FFFFFF"/>
        </w:rPr>
        <w:t>H</w:t>
      </w:r>
      <w:r w:rsidR="001B2C4C">
        <w:rPr>
          <w:sz w:val="24"/>
          <w:szCs w:val="24"/>
          <w:shd w:val="clear" w:color="auto" w:fill="FFFFFF"/>
        </w:rPr>
        <w:t>.</w:t>
      </w:r>
      <w:r w:rsidR="00C22DE5" w:rsidRPr="00C22DE5">
        <w:rPr>
          <w:sz w:val="24"/>
          <w:szCs w:val="24"/>
          <w:shd w:val="clear" w:color="auto" w:fill="FFFFFF"/>
        </w:rPr>
        <w:t>F</w:t>
      </w:r>
      <w:r w:rsidR="001B2C4C">
        <w:rPr>
          <w:sz w:val="24"/>
          <w:szCs w:val="24"/>
          <w:shd w:val="clear" w:color="auto" w:fill="FFFFFF"/>
        </w:rPr>
        <w:t>.</w:t>
      </w:r>
      <w:r w:rsidR="00C22DE5" w:rsidRPr="00C22DE5">
        <w:rPr>
          <w:sz w:val="24"/>
          <w:szCs w:val="24"/>
          <w:shd w:val="clear" w:color="auto" w:fill="FFFFFF"/>
        </w:rPr>
        <w:t>;</w:t>
      </w:r>
      <w:r w:rsidR="001B2C4C">
        <w:rPr>
          <w:sz w:val="24"/>
          <w:szCs w:val="24"/>
          <w:shd w:val="clear" w:color="auto" w:fill="FFFFFF"/>
        </w:rPr>
        <w:t xml:space="preserve"> </w:t>
      </w:r>
      <w:proofErr w:type="spellStart"/>
      <w:r w:rsidR="001B2C4C">
        <w:rPr>
          <w:sz w:val="24"/>
          <w:szCs w:val="24"/>
          <w:shd w:val="clear" w:color="auto" w:fill="FFFFFF"/>
        </w:rPr>
        <w:t>Gallo</w:t>
      </w:r>
      <w:proofErr w:type="spellEnd"/>
      <w:r w:rsidR="001B2C4C">
        <w:rPr>
          <w:sz w:val="24"/>
          <w:szCs w:val="24"/>
          <w:shd w:val="clear" w:color="auto" w:fill="FFFFFF"/>
        </w:rPr>
        <w:t xml:space="preserve">, M. </w:t>
      </w:r>
      <w:proofErr w:type="spellStart"/>
      <w:proofErr w:type="gramStart"/>
      <w:r w:rsidR="001B2C4C">
        <w:rPr>
          <w:sz w:val="24"/>
          <w:szCs w:val="24"/>
          <w:shd w:val="clear" w:color="auto" w:fill="FFFFFF"/>
        </w:rPr>
        <w:t>F.;Pereira</w:t>
      </w:r>
      <w:proofErr w:type="spellEnd"/>
      <w:proofErr w:type="gramEnd"/>
      <w:r w:rsidR="001B2C4C">
        <w:rPr>
          <w:sz w:val="24"/>
          <w:szCs w:val="24"/>
          <w:shd w:val="clear" w:color="auto" w:fill="FFFFFF"/>
        </w:rPr>
        <w:t>, C.A.; Lima, E.M. (2004).</w:t>
      </w:r>
      <w:r w:rsidR="00C22DE5" w:rsidRPr="00C22DE5">
        <w:rPr>
          <w:sz w:val="24"/>
          <w:szCs w:val="24"/>
          <w:shd w:val="clear" w:color="auto" w:fill="FFFFFF"/>
        </w:rPr>
        <w:t xml:space="preserve"> </w:t>
      </w:r>
      <w:r w:rsidR="00C22DE5" w:rsidRPr="00912B82">
        <w:rPr>
          <w:sz w:val="24"/>
          <w:szCs w:val="24"/>
          <w:shd w:val="clear" w:color="auto" w:fill="FFFFFF"/>
        </w:rPr>
        <w:t>As operações de fusão, incorporação e cisão e o planejamento tributário</w:t>
      </w:r>
      <w:r w:rsidR="00D61484">
        <w:rPr>
          <w:sz w:val="24"/>
          <w:szCs w:val="24"/>
          <w:shd w:val="clear" w:color="auto" w:fill="FFFFFF"/>
        </w:rPr>
        <w:t xml:space="preserve">. </w:t>
      </w:r>
      <w:r w:rsidR="001B2C4C" w:rsidRPr="009D4523">
        <w:rPr>
          <w:i/>
          <w:sz w:val="24"/>
          <w:szCs w:val="24"/>
          <w:shd w:val="clear" w:color="auto" w:fill="FFFFFF"/>
        </w:rPr>
        <w:t>Anais do</w:t>
      </w:r>
      <w:r w:rsidR="00D61484" w:rsidRPr="009D4523">
        <w:rPr>
          <w:i/>
          <w:sz w:val="24"/>
          <w:szCs w:val="24"/>
          <w:shd w:val="clear" w:color="auto" w:fill="FFFFFF"/>
        </w:rPr>
        <w:t xml:space="preserve"> Congresso USP de Contabilidade e Controladoria</w:t>
      </w:r>
      <w:r w:rsidR="00D61484">
        <w:rPr>
          <w:sz w:val="24"/>
          <w:szCs w:val="24"/>
          <w:shd w:val="clear" w:color="auto" w:fill="FFFFFF"/>
        </w:rPr>
        <w:t xml:space="preserve">, </w:t>
      </w:r>
      <w:r w:rsidR="001B2C4C">
        <w:rPr>
          <w:sz w:val="24"/>
          <w:szCs w:val="24"/>
          <w:shd w:val="clear" w:color="auto" w:fill="FFFFFF"/>
        </w:rPr>
        <w:t>S</w:t>
      </w:r>
      <w:r w:rsidR="00D61484">
        <w:rPr>
          <w:sz w:val="24"/>
          <w:szCs w:val="24"/>
          <w:shd w:val="clear" w:color="auto" w:fill="FFFFFF"/>
        </w:rPr>
        <w:t>ão Paulo</w:t>
      </w:r>
      <w:r w:rsidR="001B2C4C">
        <w:rPr>
          <w:sz w:val="24"/>
          <w:szCs w:val="24"/>
          <w:shd w:val="clear" w:color="auto" w:fill="FFFFFF"/>
        </w:rPr>
        <w:t>, SP, Brasil, 4.</w:t>
      </w:r>
    </w:p>
    <w:p w14:paraId="25054F37" w14:textId="77777777" w:rsidR="00C22DE5" w:rsidRPr="00C22DE5" w:rsidRDefault="00C22DE5" w:rsidP="00C22DE5">
      <w:pPr>
        <w:suppressAutoHyphens w:val="0"/>
        <w:jc w:val="both"/>
        <w:rPr>
          <w:sz w:val="24"/>
          <w:szCs w:val="24"/>
          <w:shd w:val="clear" w:color="auto" w:fill="FFFFFF"/>
        </w:rPr>
      </w:pPr>
      <w:proofErr w:type="spellStart"/>
      <w:r w:rsidRPr="00C22DE5">
        <w:rPr>
          <w:sz w:val="24"/>
          <w:szCs w:val="24"/>
          <w:shd w:val="clear" w:color="auto" w:fill="FFFFFF"/>
        </w:rPr>
        <w:t>Colauto</w:t>
      </w:r>
      <w:proofErr w:type="spellEnd"/>
      <w:r w:rsidRPr="00C22DE5">
        <w:rPr>
          <w:sz w:val="24"/>
          <w:szCs w:val="24"/>
          <w:shd w:val="clear" w:color="auto" w:fill="FFFFFF"/>
        </w:rPr>
        <w:t xml:space="preserve">, R. D.; Beuren, I. M. (2009). </w:t>
      </w:r>
      <w:r w:rsidRPr="009D4523">
        <w:rPr>
          <w:i/>
          <w:sz w:val="24"/>
          <w:szCs w:val="24"/>
          <w:shd w:val="clear" w:color="auto" w:fill="FFFFFF"/>
        </w:rPr>
        <w:t>Coleta, Análise e Interpretação dos Dados</w:t>
      </w:r>
      <w:r w:rsidRPr="00C22DE5">
        <w:rPr>
          <w:sz w:val="24"/>
          <w:szCs w:val="24"/>
          <w:shd w:val="clear" w:color="auto" w:fill="FFFFFF"/>
        </w:rPr>
        <w:t>. In Beuren, I. M.: (Org.). Como elaborar trabalhos monográficos em contabilidade: teoria e prática. 3. ed. São Paulo: Atlas.</w:t>
      </w:r>
    </w:p>
    <w:p w14:paraId="57BCC786" w14:textId="77777777" w:rsidR="00C22DE5" w:rsidRPr="00C22DE5" w:rsidRDefault="00C22DE5" w:rsidP="00C22DE5">
      <w:pPr>
        <w:suppressAutoHyphens w:val="0"/>
        <w:jc w:val="both"/>
        <w:rPr>
          <w:sz w:val="24"/>
          <w:szCs w:val="24"/>
          <w:shd w:val="clear" w:color="auto" w:fill="FFFFFF"/>
        </w:rPr>
      </w:pPr>
      <w:r w:rsidRPr="00C22DE5">
        <w:rPr>
          <w:sz w:val="24"/>
          <w:szCs w:val="24"/>
          <w:shd w:val="clear" w:color="auto" w:fill="FFFFFF"/>
        </w:rPr>
        <w:t xml:space="preserve">Diegues, A. C., &amp; </w:t>
      </w:r>
      <w:proofErr w:type="spellStart"/>
      <w:r w:rsidRPr="00C22DE5">
        <w:rPr>
          <w:sz w:val="24"/>
          <w:szCs w:val="24"/>
          <w:shd w:val="clear" w:color="auto" w:fill="FFFFFF"/>
        </w:rPr>
        <w:t>Roselino</w:t>
      </w:r>
      <w:proofErr w:type="spellEnd"/>
      <w:r w:rsidRPr="00C22DE5">
        <w:rPr>
          <w:sz w:val="24"/>
          <w:szCs w:val="24"/>
          <w:shd w:val="clear" w:color="auto" w:fill="FFFFFF"/>
        </w:rPr>
        <w:t xml:space="preserve">, J. E. (2006). Interação, Aprendizado Tecnológico e </w:t>
      </w:r>
      <w:proofErr w:type="spellStart"/>
      <w:r w:rsidRPr="00C22DE5">
        <w:rPr>
          <w:sz w:val="24"/>
          <w:szCs w:val="24"/>
          <w:shd w:val="clear" w:color="auto" w:fill="FFFFFF"/>
        </w:rPr>
        <w:t>Inovativo</w:t>
      </w:r>
      <w:proofErr w:type="spellEnd"/>
      <w:r w:rsidRPr="00C22DE5">
        <w:rPr>
          <w:sz w:val="24"/>
          <w:szCs w:val="24"/>
          <w:shd w:val="clear" w:color="auto" w:fill="FFFFFF"/>
        </w:rPr>
        <w:t xml:space="preserve"> no </w:t>
      </w:r>
      <w:proofErr w:type="spellStart"/>
      <w:r w:rsidRPr="00C22DE5">
        <w:rPr>
          <w:sz w:val="24"/>
          <w:szCs w:val="24"/>
          <w:shd w:val="clear" w:color="auto" w:fill="FFFFFF"/>
        </w:rPr>
        <w:t>Pólo</w:t>
      </w:r>
      <w:proofErr w:type="spellEnd"/>
      <w:r w:rsidRPr="00C22DE5">
        <w:rPr>
          <w:sz w:val="24"/>
          <w:szCs w:val="24"/>
          <w:shd w:val="clear" w:color="auto" w:fill="FFFFFF"/>
        </w:rPr>
        <w:t xml:space="preserve"> de TIC da Região de Campinas: uma caracterização com ênfase nas atividades tecnológicas desenvolvidas pelas empresas beneficiárias da Lei de Informática. </w:t>
      </w:r>
      <w:r w:rsidRPr="00E4065E">
        <w:rPr>
          <w:i/>
          <w:sz w:val="24"/>
          <w:szCs w:val="24"/>
          <w:shd w:val="clear" w:color="auto" w:fill="FFFFFF"/>
        </w:rPr>
        <w:t>Revista Brasileira de Inovação</w:t>
      </w:r>
      <w:r w:rsidRPr="00C22DE5">
        <w:rPr>
          <w:sz w:val="24"/>
          <w:szCs w:val="24"/>
          <w:shd w:val="clear" w:color="auto" w:fill="FFFFFF"/>
        </w:rPr>
        <w:t xml:space="preserve">, 5(2), 373-402. </w:t>
      </w:r>
    </w:p>
    <w:p w14:paraId="003F31A8" w14:textId="77777777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proofErr w:type="spellStart"/>
      <w:r w:rsidRPr="00C22DE5">
        <w:rPr>
          <w:sz w:val="24"/>
          <w:szCs w:val="24"/>
        </w:rPr>
        <w:t>Fabretti</w:t>
      </w:r>
      <w:proofErr w:type="spellEnd"/>
      <w:r w:rsidRPr="00C22DE5">
        <w:rPr>
          <w:sz w:val="24"/>
          <w:szCs w:val="24"/>
        </w:rPr>
        <w:t xml:space="preserve">, C. C. (2012). </w:t>
      </w:r>
      <w:r w:rsidRPr="00C22DE5">
        <w:rPr>
          <w:i/>
          <w:sz w:val="24"/>
          <w:szCs w:val="24"/>
        </w:rPr>
        <w:t xml:space="preserve">Contabilidade tributária: </w:t>
      </w:r>
      <w:r w:rsidRPr="00C22DE5">
        <w:rPr>
          <w:sz w:val="24"/>
          <w:szCs w:val="24"/>
        </w:rPr>
        <w:t>impostos e contribuições atualizados, PIS e COFINS: sistemas cumulativo e não-cumulativo e sobre importação, ISS: de acordo com a nova Lei Complementar nº 116/03, tratamento tributário e contábil na nova Lei de recuperação judicial e falência, lei n. 11.101/05, SPED, regime tributário de transição – MP 449/08 – convertida na lei n. 11.941/09.</w:t>
      </w:r>
      <w:r w:rsidRPr="00C22DE5">
        <w:rPr>
          <w:i/>
          <w:sz w:val="24"/>
          <w:szCs w:val="24"/>
        </w:rPr>
        <w:t xml:space="preserve"> </w:t>
      </w:r>
      <w:r w:rsidRPr="00C22DE5">
        <w:rPr>
          <w:sz w:val="24"/>
          <w:szCs w:val="24"/>
        </w:rPr>
        <w:t>12</w:t>
      </w:r>
      <w:r w:rsidRPr="00C22DE5">
        <w:rPr>
          <w:i/>
          <w:sz w:val="24"/>
          <w:szCs w:val="24"/>
        </w:rPr>
        <w:t>.</w:t>
      </w:r>
      <w:r w:rsidRPr="00C22DE5">
        <w:rPr>
          <w:sz w:val="24"/>
          <w:szCs w:val="24"/>
        </w:rPr>
        <w:t xml:space="preserve"> ed. rev. e atual. São Paulo: Atlas.</w:t>
      </w:r>
    </w:p>
    <w:p w14:paraId="1360A292" w14:textId="77777777" w:rsidR="00C22DE5" w:rsidRPr="00C22DE5" w:rsidRDefault="00C22DE5" w:rsidP="00C22DE5">
      <w:pPr>
        <w:suppressAutoHyphens w:val="0"/>
        <w:jc w:val="both"/>
        <w:rPr>
          <w:sz w:val="24"/>
          <w:szCs w:val="24"/>
          <w:shd w:val="clear" w:color="auto" w:fill="FFFFFF"/>
        </w:rPr>
      </w:pPr>
      <w:r w:rsidRPr="00C22DE5">
        <w:rPr>
          <w:sz w:val="24"/>
          <w:szCs w:val="24"/>
          <w:shd w:val="clear" w:color="auto" w:fill="FFFFFF"/>
        </w:rPr>
        <w:t xml:space="preserve">Fernandes, F. A. D., Teixeira, A., &amp; Baptista, É. C. S. (2010). </w:t>
      </w:r>
      <w:proofErr w:type="spellStart"/>
      <w:r w:rsidRPr="00C22DE5">
        <w:rPr>
          <w:sz w:val="24"/>
          <w:szCs w:val="24"/>
          <w:shd w:val="clear" w:color="auto" w:fill="FFFFFF"/>
        </w:rPr>
        <w:t>Cofins</w:t>
      </w:r>
      <w:proofErr w:type="spellEnd"/>
      <w:r w:rsidRPr="00C22DE5">
        <w:rPr>
          <w:sz w:val="24"/>
          <w:szCs w:val="24"/>
          <w:shd w:val="clear" w:color="auto" w:fill="FFFFFF"/>
        </w:rPr>
        <w:t xml:space="preserve">: um estudo empírico dos efeitos da alteração de incidência sobre o lucro de empresas com ações negociadas na Bovespa e seu impacto na arrecadação tributária federal. </w:t>
      </w:r>
      <w:r w:rsidRPr="00C22DE5">
        <w:rPr>
          <w:i/>
          <w:sz w:val="24"/>
          <w:szCs w:val="24"/>
          <w:shd w:val="clear" w:color="auto" w:fill="FFFFFF"/>
        </w:rPr>
        <w:t>Revista Brasileira de Gestão de Negócios</w:t>
      </w:r>
      <w:r w:rsidRPr="00C22DE5">
        <w:rPr>
          <w:sz w:val="24"/>
          <w:szCs w:val="24"/>
          <w:shd w:val="clear" w:color="auto" w:fill="FFFFFF"/>
        </w:rPr>
        <w:t>, 12(35), 171-190.</w:t>
      </w:r>
    </w:p>
    <w:p w14:paraId="7D4978C7" w14:textId="77777777" w:rsidR="00C22DE5" w:rsidRPr="00C22DE5" w:rsidRDefault="00C22DE5" w:rsidP="00C22DE5">
      <w:pPr>
        <w:suppressAutoHyphens w:val="0"/>
        <w:jc w:val="both"/>
        <w:rPr>
          <w:sz w:val="24"/>
          <w:szCs w:val="24"/>
          <w:shd w:val="clear" w:color="auto" w:fill="FFFFFF"/>
        </w:rPr>
      </w:pPr>
      <w:r w:rsidRPr="00C22DE5">
        <w:rPr>
          <w:sz w:val="24"/>
          <w:szCs w:val="24"/>
          <w:shd w:val="clear" w:color="auto" w:fill="FFFFFF"/>
        </w:rPr>
        <w:t xml:space="preserve">Garcia, R., &amp; </w:t>
      </w:r>
      <w:proofErr w:type="spellStart"/>
      <w:r w:rsidRPr="00C22DE5">
        <w:rPr>
          <w:sz w:val="24"/>
          <w:szCs w:val="24"/>
          <w:shd w:val="clear" w:color="auto" w:fill="FFFFFF"/>
        </w:rPr>
        <w:t>Roselino</w:t>
      </w:r>
      <w:proofErr w:type="spellEnd"/>
      <w:r w:rsidRPr="00C22DE5">
        <w:rPr>
          <w:sz w:val="24"/>
          <w:szCs w:val="24"/>
          <w:shd w:val="clear" w:color="auto" w:fill="FFFFFF"/>
        </w:rPr>
        <w:t xml:space="preserve">, J.E. (2004). Uma avaliação da Lei de Informática e de seus resultados como instrumento indutor de desenvolvimento tecnológico e industrial. </w:t>
      </w:r>
      <w:r w:rsidRPr="00C22DE5">
        <w:rPr>
          <w:i/>
          <w:sz w:val="24"/>
          <w:szCs w:val="24"/>
          <w:shd w:val="clear" w:color="auto" w:fill="FFFFFF"/>
        </w:rPr>
        <w:t>Gestão &amp; Produção</w:t>
      </w:r>
      <w:r w:rsidRPr="00C22DE5">
        <w:rPr>
          <w:sz w:val="24"/>
          <w:szCs w:val="24"/>
          <w:shd w:val="clear" w:color="auto" w:fill="FFFFFF"/>
        </w:rPr>
        <w:t xml:space="preserve">, 11(2), 177-185 </w:t>
      </w:r>
    </w:p>
    <w:p w14:paraId="06AB6C47" w14:textId="77777777" w:rsidR="00C22DE5" w:rsidRPr="00C22DE5" w:rsidRDefault="00C22DE5" w:rsidP="00C22DE5">
      <w:pPr>
        <w:suppressAutoHyphens w:val="0"/>
        <w:jc w:val="both"/>
        <w:rPr>
          <w:sz w:val="24"/>
          <w:szCs w:val="24"/>
          <w:shd w:val="clear" w:color="auto" w:fill="FFFFFF"/>
        </w:rPr>
      </w:pPr>
      <w:r w:rsidRPr="00C22DE5">
        <w:rPr>
          <w:sz w:val="24"/>
          <w:szCs w:val="24"/>
          <w:shd w:val="clear" w:color="auto" w:fill="FFFFFF"/>
        </w:rPr>
        <w:t>Gutierrez, R. M. V. (2010). Complexo eletrônico: Lei de Informática e competitividade. </w:t>
      </w:r>
      <w:r w:rsidRPr="00C22DE5">
        <w:rPr>
          <w:bCs/>
          <w:i/>
          <w:sz w:val="24"/>
          <w:szCs w:val="24"/>
          <w:shd w:val="clear" w:color="auto" w:fill="FFFFFF"/>
        </w:rPr>
        <w:t>BNDES Setorial,</w:t>
      </w:r>
      <w:r w:rsidRPr="00C22DE5">
        <w:rPr>
          <w:sz w:val="24"/>
          <w:szCs w:val="24"/>
          <w:shd w:val="clear" w:color="auto" w:fill="FFFFFF"/>
        </w:rPr>
        <w:t xml:space="preserve"> 31, 5-48.</w:t>
      </w:r>
    </w:p>
    <w:p w14:paraId="7965A0C1" w14:textId="77777777" w:rsidR="00C22DE5" w:rsidRPr="00C22DE5" w:rsidRDefault="00C22DE5" w:rsidP="00C22DE5">
      <w:pPr>
        <w:suppressAutoHyphens w:val="0"/>
        <w:jc w:val="both"/>
        <w:rPr>
          <w:sz w:val="24"/>
          <w:szCs w:val="24"/>
          <w:shd w:val="clear" w:color="auto" w:fill="FFFFFF"/>
        </w:rPr>
      </w:pPr>
      <w:proofErr w:type="spellStart"/>
      <w:r w:rsidRPr="00C22DE5">
        <w:rPr>
          <w:sz w:val="24"/>
          <w:szCs w:val="24"/>
          <w:shd w:val="clear" w:color="auto" w:fill="FFFFFF"/>
        </w:rPr>
        <w:t>Kronbauer</w:t>
      </w:r>
      <w:proofErr w:type="spellEnd"/>
      <w:r w:rsidRPr="00C22DE5">
        <w:rPr>
          <w:sz w:val="24"/>
          <w:szCs w:val="24"/>
          <w:shd w:val="clear" w:color="auto" w:fill="FFFFFF"/>
        </w:rPr>
        <w:t xml:space="preserve">, C. A., Souza, M. A., </w:t>
      </w:r>
      <w:proofErr w:type="spellStart"/>
      <w:r w:rsidRPr="00C22DE5">
        <w:rPr>
          <w:sz w:val="24"/>
          <w:szCs w:val="24"/>
          <w:shd w:val="clear" w:color="auto" w:fill="FFFFFF"/>
        </w:rPr>
        <w:t>Ott</w:t>
      </w:r>
      <w:proofErr w:type="spellEnd"/>
      <w:r w:rsidRPr="00C22DE5">
        <w:rPr>
          <w:sz w:val="24"/>
          <w:szCs w:val="24"/>
          <w:shd w:val="clear" w:color="auto" w:fill="FFFFFF"/>
        </w:rPr>
        <w:t xml:space="preserve">, E., &amp; </w:t>
      </w:r>
      <w:proofErr w:type="spellStart"/>
      <w:r w:rsidRPr="00C22DE5">
        <w:rPr>
          <w:sz w:val="24"/>
          <w:szCs w:val="24"/>
          <w:shd w:val="clear" w:color="auto" w:fill="FFFFFF"/>
        </w:rPr>
        <w:t>Collet</w:t>
      </w:r>
      <w:proofErr w:type="spellEnd"/>
      <w:r w:rsidRPr="00C22DE5">
        <w:rPr>
          <w:sz w:val="24"/>
          <w:szCs w:val="24"/>
          <w:shd w:val="clear" w:color="auto" w:fill="FFFFFF"/>
        </w:rPr>
        <w:t xml:space="preserve">, C. J. (2009). Evidenciação e análise de carga tributária: um estudo em empresas brasileiras do setor de energia elétrica. Revista de Contabilidade e Organizações, 3(7), 3-24. </w:t>
      </w:r>
    </w:p>
    <w:p w14:paraId="4AD4F876" w14:textId="77777777" w:rsidR="00C22DE5" w:rsidRPr="00C22DE5" w:rsidRDefault="00C22DE5" w:rsidP="00C22DE5">
      <w:pPr>
        <w:suppressAutoHyphens w:val="0"/>
        <w:jc w:val="both"/>
        <w:rPr>
          <w:sz w:val="24"/>
          <w:szCs w:val="24"/>
        </w:rPr>
      </w:pPr>
      <w:r w:rsidRPr="00C22DE5">
        <w:rPr>
          <w:sz w:val="24"/>
          <w:szCs w:val="24"/>
        </w:rPr>
        <w:t xml:space="preserve">Lei nº 8.248, de 23 de outubro de 1991. (1991). Dispõe sobre a capacitação e competitividade do setor de informática e automação, e dá outras providências. Recuperado de: </w:t>
      </w:r>
      <w:hyperlink r:id="rId11" w:history="1">
        <w:r w:rsidRPr="00C22DE5">
          <w:rPr>
            <w:sz w:val="24"/>
            <w:szCs w:val="24"/>
            <w:u w:val="single"/>
          </w:rPr>
          <w:t>http://www.planalto.gov.br/ccivil_03/leis/l8248.htm</w:t>
        </w:r>
      </w:hyperlink>
      <w:r w:rsidRPr="00C22DE5">
        <w:rPr>
          <w:sz w:val="24"/>
          <w:szCs w:val="24"/>
        </w:rPr>
        <w:t>.</w:t>
      </w:r>
    </w:p>
    <w:p w14:paraId="674C9384" w14:textId="77777777" w:rsidR="00C22DE5" w:rsidRPr="00C22DE5" w:rsidRDefault="00C22DE5" w:rsidP="00C22DE5">
      <w:pPr>
        <w:suppressAutoHyphens w:val="0"/>
        <w:jc w:val="both"/>
        <w:rPr>
          <w:sz w:val="24"/>
          <w:szCs w:val="24"/>
          <w:shd w:val="clear" w:color="auto" w:fill="FFFFFF"/>
        </w:rPr>
      </w:pPr>
      <w:r w:rsidRPr="00C22DE5">
        <w:rPr>
          <w:sz w:val="24"/>
          <w:szCs w:val="24"/>
          <w:shd w:val="clear" w:color="auto" w:fill="FFFFFF"/>
        </w:rPr>
        <w:lastRenderedPageBreak/>
        <w:t xml:space="preserve">Lunkes, R. J., Ferreira, L. F., </w:t>
      </w:r>
      <w:proofErr w:type="spellStart"/>
      <w:r w:rsidRPr="00C22DE5">
        <w:rPr>
          <w:sz w:val="24"/>
          <w:szCs w:val="24"/>
          <w:shd w:val="clear" w:color="auto" w:fill="FFFFFF"/>
        </w:rPr>
        <w:t>Rech</w:t>
      </w:r>
      <w:proofErr w:type="spellEnd"/>
      <w:r w:rsidRPr="00C22DE5">
        <w:rPr>
          <w:sz w:val="24"/>
          <w:szCs w:val="24"/>
          <w:shd w:val="clear" w:color="auto" w:fill="FFFFFF"/>
        </w:rPr>
        <w:t xml:space="preserve">, J. O., &amp; </w:t>
      </w:r>
      <w:proofErr w:type="spellStart"/>
      <w:r w:rsidRPr="00C22DE5">
        <w:rPr>
          <w:sz w:val="24"/>
          <w:szCs w:val="24"/>
          <w:shd w:val="clear" w:color="auto" w:fill="FFFFFF"/>
        </w:rPr>
        <w:t>Renzzieri</w:t>
      </w:r>
      <w:proofErr w:type="spellEnd"/>
      <w:r w:rsidRPr="00C22DE5">
        <w:rPr>
          <w:sz w:val="24"/>
          <w:szCs w:val="24"/>
          <w:shd w:val="clear" w:color="auto" w:fill="FFFFFF"/>
        </w:rPr>
        <w:t xml:space="preserve">, T. (2014). A legitimidade cognitiva da disciplina de Planejamento Tributário no Brasil. </w:t>
      </w:r>
      <w:r w:rsidRPr="00C22DE5">
        <w:rPr>
          <w:i/>
          <w:sz w:val="24"/>
          <w:szCs w:val="24"/>
          <w:shd w:val="clear" w:color="auto" w:fill="FFFFFF"/>
        </w:rPr>
        <w:t>Contabilidade, Gestão e Governança</w:t>
      </w:r>
      <w:r w:rsidRPr="00C22DE5">
        <w:rPr>
          <w:sz w:val="24"/>
          <w:szCs w:val="24"/>
          <w:shd w:val="clear" w:color="auto" w:fill="FFFFFF"/>
        </w:rPr>
        <w:t xml:space="preserve">, 17(2), 45-59. </w:t>
      </w:r>
    </w:p>
    <w:p w14:paraId="7FC4282F" w14:textId="77777777" w:rsidR="00C22DE5" w:rsidRPr="00C22DE5" w:rsidRDefault="00C22DE5" w:rsidP="00C22DE5">
      <w:pPr>
        <w:suppressAutoHyphens w:val="0"/>
        <w:jc w:val="both"/>
        <w:rPr>
          <w:sz w:val="24"/>
          <w:szCs w:val="24"/>
          <w:shd w:val="clear" w:color="auto" w:fill="FFFFFF"/>
        </w:rPr>
      </w:pPr>
      <w:r w:rsidRPr="00C22DE5">
        <w:rPr>
          <w:sz w:val="24"/>
          <w:szCs w:val="24"/>
          <w:shd w:val="clear" w:color="auto" w:fill="FFFFFF"/>
        </w:rPr>
        <w:t xml:space="preserve">Oliveira, L.M.; </w:t>
      </w:r>
      <w:proofErr w:type="spellStart"/>
      <w:r w:rsidRPr="00C22DE5">
        <w:rPr>
          <w:sz w:val="24"/>
          <w:szCs w:val="24"/>
          <w:shd w:val="clear" w:color="auto" w:fill="FFFFFF"/>
        </w:rPr>
        <w:t>Chieregato</w:t>
      </w:r>
      <w:proofErr w:type="spellEnd"/>
      <w:r w:rsidRPr="00C22DE5">
        <w:rPr>
          <w:sz w:val="24"/>
          <w:szCs w:val="24"/>
          <w:shd w:val="clear" w:color="auto" w:fill="FFFFFF"/>
        </w:rPr>
        <w:t xml:space="preserve">, R.; Perez Júnior, J.H.; Gomes, M.B. (2007) </w:t>
      </w:r>
      <w:r w:rsidRPr="00C22DE5">
        <w:rPr>
          <w:i/>
          <w:sz w:val="24"/>
          <w:szCs w:val="24"/>
          <w:shd w:val="clear" w:color="auto" w:fill="FFFFFF"/>
        </w:rPr>
        <w:t>Manual de Contabilidade Tributária</w:t>
      </w:r>
      <w:r w:rsidRPr="00C22DE5">
        <w:rPr>
          <w:sz w:val="24"/>
          <w:szCs w:val="24"/>
          <w:shd w:val="clear" w:color="auto" w:fill="FFFFFF"/>
        </w:rPr>
        <w:t>. 6 ed., São Paulo: Atlas.</w:t>
      </w:r>
    </w:p>
    <w:p w14:paraId="23468F3C" w14:textId="77777777" w:rsidR="00C22DE5" w:rsidRPr="00C22DE5" w:rsidRDefault="00C22DE5" w:rsidP="00C22DE5">
      <w:pPr>
        <w:suppressAutoHyphens w:val="0"/>
        <w:jc w:val="both"/>
        <w:rPr>
          <w:sz w:val="24"/>
          <w:szCs w:val="24"/>
          <w:shd w:val="clear" w:color="auto" w:fill="FFFFFF"/>
        </w:rPr>
      </w:pPr>
      <w:r w:rsidRPr="00C22DE5">
        <w:rPr>
          <w:sz w:val="24"/>
          <w:szCs w:val="24"/>
          <w:shd w:val="clear" w:color="auto" w:fill="FFFFFF"/>
        </w:rPr>
        <w:t xml:space="preserve">Oliveira, V. A., Lemes, S., &amp; Almeida, L. C. F. (2008). Gerenciamento de resultados contábeis por meio de ativos fiscais diferidos. </w:t>
      </w:r>
      <w:r w:rsidRPr="00C22DE5">
        <w:rPr>
          <w:i/>
          <w:sz w:val="24"/>
          <w:szCs w:val="24"/>
          <w:shd w:val="clear" w:color="auto" w:fill="FFFFFF"/>
        </w:rPr>
        <w:t>Contabilidade, Gestão e Governança</w:t>
      </w:r>
      <w:r w:rsidRPr="00C22DE5">
        <w:rPr>
          <w:sz w:val="24"/>
          <w:szCs w:val="24"/>
          <w:shd w:val="clear" w:color="auto" w:fill="FFFFFF"/>
        </w:rPr>
        <w:t xml:space="preserve">, 11(1-2), 153-169. </w:t>
      </w:r>
    </w:p>
    <w:p w14:paraId="5CA425A2" w14:textId="354EC1E2" w:rsidR="00912B82" w:rsidRPr="00EF4766" w:rsidRDefault="00912B82" w:rsidP="00C22DE5">
      <w:pPr>
        <w:suppressAutoHyphens w:val="0"/>
        <w:jc w:val="both"/>
        <w:rPr>
          <w:sz w:val="24"/>
          <w:szCs w:val="24"/>
          <w:shd w:val="clear" w:color="auto" w:fill="FFFFFF"/>
        </w:rPr>
      </w:pPr>
      <w:r w:rsidRPr="00EF4766">
        <w:rPr>
          <w:sz w:val="24"/>
          <w:szCs w:val="24"/>
          <w:shd w:val="clear" w:color="auto" w:fill="FFFFFF"/>
        </w:rPr>
        <w:t>Ramalho, F</w:t>
      </w:r>
      <w:r w:rsidR="002E78E7" w:rsidRPr="00EF4766">
        <w:rPr>
          <w:sz w:val="24"/>
          <w:szCs w:val="24"/>
          <w:shd w:val="clear" w:color="auto" w:fill="FFFFFF"/>
        </w:rPr>
        <w:t>., &amp;</w:t>
      </w:r>
      <w:r w:rsidRPr="00EF4766">
        <w:rPr>
          <w:sz w:val="24"/>
          <w:szCs w:val="24"/>
          <w:shd w:val="clear" w:color="auto" w:fill="FFFFFF"/>
        </w:rPr>
        <w:t xml:space="preserve"> Fernandes, A</w:t>
      </w:r>
      <w:r w:rsidR="002E78E7" w:rsidRPr="00EF4766">
        <w:rPr>
          <w:sz w:val="24"/>
          <w:szCs w:val="24"/>
          <w:shd w:val="clear" w:color="auto" w:fill="FFFFFF"/>
        </w:rPr>
        <w:t>.</w:t>
      </w:r>
      <w:r w:rsidRPr="00EF4766">
        <w:rPr>
          <w:sz w:val="24"/>
          <w:szCs w:val="24"/>
          <w:shd w:val="clear" w:color="auto" w:fill="FFFFFF"/>
        </w:rPr>
        <w:t>C</w:t>
      </w:r>
      <w:r w:rsidR="002E78E7" w:rsidRPr="00EF4766">
        <w:rPr>
          <w:sz w:val="24"/>
          <w:szCs w:val="24"/>
          <w:shd w:val="clear" w:color="auto" w:fill="FFFFFF"/>
        </w:rPr>
        <w:t>. (2009).</w:t>
      </w:r>
      <w:r w:rsidRPr="00EF4766">
        <w:rPr>
          <w:sz w:val="24"/>
          <w:szCs w:val="24"/>
          <w:shd w:val="clear" w:color="auto" w:fill="FFFFFF"/>
        </w:rPr>
        <w:t xml:space="preserve"> Efeitos locais de políticas públicas federais. Observações a partir da Lei de Informática no desenvolvimento do setor de software de Campina Grande, PB. </w:t>
      </w:r>
      <w:r w:rsidRPr="00EF4766">
        <w:rPr>
          <w:bCs/>
          <w:i/>
          <w:sz w:val="24"/>
          <w:szCs w:val="24"/>
          <w:shd w:val="clear" w:color="auto" w:fill="FFFFFF"/>
        </w:rPr>
        <w:t>Revista Brasileira de Estudos Urbanos e Regionais</w:t>
      </w:r>
      <w:r w:rsidRPr="00EF4766">
        <w:rPr>
          <w:sz w:val="24"/>
          <w:szCs w:val="24"/>
          <w:shd w:val="clear" w:color="auto" w:fill="FFFFFF"/>
        </w:rPr>
        <w:t>, 11</w:t>
      </w:r>
      <w:r w:rsidR="002E78E7" w:rsidRPr="00EF4766">
        <w:rPr>
          <w:sz w:val="24"/>
          <w:szCs w:val="24"/>
          <w:shd w:val="clear" w:color="auto" w:fill="FFFFFF"/>
        </w:rPr>
        <w:t xml:space="preserve"> (</w:t>
      </w:r>
      <w:r w:rsidRPr="00EF4766">
        <w:rPr>
          <w:sz w:val="24"/>
          <w:szCs w:val="24"/>
          <w:shd w:val="clear" w:color="auto" w:fill="FFFFFF"/>
        </w:rPr>
        <w:t>1</w:t>
      </w:r>
      <w:r w:rsidR="002E78E7" w:rsidRPr="00EF4766">
        <w:rPr>
          <w:sz w:val="24"/>
          <w:szCs w:val="24"/>
          <w:shd w:val="clear" w:color="auto" w:fill="FFFFFF"/>
        </w:rPr>
        <w:t>)</w:t>
      </w:r>
      <w:r w:rsidRPr="00EF4766">
        <w:rPr>
          <w:sz w:val="24"/>
          <w:szCs w:val="24"/>
          <w:shd w:val="clear" w:color="auto" w:fill="FFFFFF"/>
        </w:rPr>
        <w:t>,</w:t>
      </w:r>
      <w:r w:rsidR="005A7342" w:rsidRPr="00EF4766">
        <w:rPr>
          <w:sz w:val="24"/>
          <w:szCs w:val="24"/>
          <w:shd w:val="clear" w:color="auto" w:fill="FFFFFF"/>
        </w:rPr>
        <w:t xml:space="preserve"> 1-21.</w:t>
      </w:r>
    </w:p>
    <w:p w14:paraId="64F1A385" w14:textId="77777777" w:rsidR="00C22DE5" w:rsidRPr="00C22DE5" w:rsidRDefault="00C22DE5" w:rsidP="00C22DE5">
      <w:pPr>
        <w:suppressAutoHyphens w:val="0"/>
        <w:jc w:val="both"/>
        <w:rPr>
          <w:sz w:val="24"/>
          <w:szCs w:val="24"/>
          <w:shd w:val="clear" w:color="auto" w:fill="FFFFFF"/>
        </w:rPr>
      </w:pPr>
      <w:r w:rsidRPr="00C22DE5">
        <w:rPr>
          <w:sz w:val="24"/>
          <w:szCs w:val="24"/>
          <w:shd w:val="clear" w:color="auto" w:fill="FFFFFF"/>
        </w:rPr>
        <w:t xml:space="preserve">Ribeiro, A. E. L., &amp; Mário, P. C. (2008). Utilização de metodologias de reestruturação societária como ferramenta de planejamento tributário: um estudo de caso. </w:t>
      </w:r>
      <w:r w:rsidRPr="00C22DE5">
        <w:rPr>
          <w:i/>
          <w:sz w:val="24"/>
          <w:szCs w:val="24"/>
          <w:shd w:val="clear" w:color="auto" w:fill="FFFFFF"/>
        </w:rPr>
        <w:t>Contabilidade Vista &amp; Revista</w:t>
      </w:r>
      <w:r w:rsidRPr="00C22DE5">
        <w:rPr>
          <w:sz w:val="24"/>
          <w:szCs w:val="24"/>
          <w:shd w:val="clear" w:color="auto" w:fill="FFFFFF"/>
        </w:rPr>
        <w:t xml:space="preserve">, 19(4), 107-128. </w:t>
      </w:r>
    </w:p>
    <w:p w14:paraId="251B2466" w14:textId="77777777" w:rsidR="00C22DE5" w:rsidRPr="00C22DE5" w:rsidRDefault="00C22DE5" w:rsidP="00C22DE5">
      <w:pPr>
        <w:suppressAutoHyphens w:val="0"/>
        <w:jc w:val="both"/>
        <w:rPr>
          <w:sz w:val="24"/>
          <w:szCs w:val="24"/>
          <w:shd w:val="clear" w:color="auto" w:fill="FFFFFF"/>
        </w:rPr>
      </w:pPr>
      <w:r w:rsidRPr="00C22DE5">
        <w:rPr>
          <w:sz w:val="24"/>
          <w:szCs w:val="24"/>
          <w:shd w:val="clear" w:color="auto" w:fill="FFFFFF"/>
        </w:rPr>
        <w:t>Relatórios Estatísticos dos Resultados da Lei de Informática ano base 2014 (2016). Recuperadode:http://sigplani.mctic.gov.br/arquivos/RelatorioEstatisticoA5VersaoGrafica2014v1.pdf</w:t>
      </w:r>
    </w:p>
    <w:p w14:paraId="4DF00A8A" w14:textId="31BBD17E" w:rsidR="00B41AC1" w:rsidRDefault="00C22DE5" w:rsidP="00F22EEF">
      <w:pPr>
        <w:suppressAutoHyphens w:val="0"/>
        <w:jc w:val="both"/>
      </w:pPr>
      <w:r w:rsidRPr="00C22DE5">
        <w:rPr>
          <w:sz w:val="24"/>
          <w:szCs w:val="24"/>
          <w:shd w:val="clear" w:color="auto" w:fill="FFFFFF"/>
        </w:rPr>
        <w:t xml:space="preserve">Santos, R. C., &amp; Souza, A. A. (2005). Planejamento Tributário: o impacto dos Programas Governamentais Simples e Simples Geral nas micro e pequenas empresas. </w:t>
      </w:r>
      <w:r w:rsidRPr="00C22DE5">
        <w:rPr>
          <w:i/>
          <w:sz w:val="24"/>
          <w:szCs w:val="24"/>
          <w:shd w:val="clear" w:color="auto" w:fill="FFFFFF"/>
        </w:rPr>
        <w:t>Contabilidade Vista &amp; Revista</w:t>
      </w:r>
      <w:r w:rsidRPr="00C22DE5">
        <w:rPr>
          <w:sz w:val="24"/>
          <w:szCs w:val="24"/>
          <w:shd w:val="clear" w:color="auto" w:fill="FFFFFF"/>
        </w:rPr>
        <w:t>, 16(1), 73-88.</w:t>
      </w:r>
    </w:p>
    <w:p w14:paraId="0B26F9FD" w14:textId="77777777" w:rsidR="00E6136F" w:rsidRDefault="00E6136F" w:rsidP="00B41AC1">
      <w:pPr>
        <w:jc w:val="center"/>
      </w:pPr>
    </w:p>
    <w:sectPr w:rsidR="00E6136F" w:rsidSect="00E361F4">
      <w:headerReference w:type="default" r:id="rId12"/>
      <w:footerReference w:type="default" r:id="rId13"/>
      <w:pgSz w:w="11900" w:h="16840"/>
      <w:pgMar w:top="1701" w:right="1134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90C08" w14:textId="77777777" w:rsidR="003F03E3" w:rsidRDefault="003F03E3" w:rsidP="008A5824">
      <w:r>
        <w:separator/>
      </w:r>
    </w:p>
  </w:endnote>
  <w:endnote w:type="continuationSeparator" w:id="0">
    <w:p w14:paraId="1EC5658D" w14:textId="77777777" w:rsidR="003F03E3" w:rsidRDefault="003F03E3" w:rsidP="008A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32202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0A951DB" w14:textId="32FBBEF5" w:rsidR="00DA7684" w:rsidRPr="0000188B" w:rsidRDefault="00DA7684">
        <w:pPr>
          <w:pStyle w:val="Rodap"/>
          <w:jc w:val="right"/>
          <w:rPr>
            <w:rFonts w:ascii="Times New Roman" w:hAnsi="Times New Roman" w:cs="Times New Roman"/>
          </w:rPr>
        </w:pPr>
        <w:r w:rsidRPr="0000188B">
          <w:rPr>
            <w:rFonts w:ascii="Times New Roman" w:hAnsi="Times New Roman" w:cs="Times New Roman"/>
          </w:rPr>
          <w:fldChar w:fldCharType="begin"/>
        </w:r>
        <w:r w:rsidRPr="0000188B">
          <w:rPr>
            <w:rFonts w:ascii="Times New Roman" w:hAnsi="Times New Roman" w:cs="Times New Roman"/>
          </w:rPr>
          <w:instrText>PAGE   \* MERGEFORMAT</w:instrText>
        </w:r>
        <w:r w:rsidRPr="0000188B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17</w:t>
        </w:r>
        <w:r w:rsidRPr="0000188B">
          <w:rPr>
            <w:rFonts w:ascii="Times New Roman" w:hAnsi="Times New Roman" w:cs="Times New Roman"/>
          </w:rPr>
          <w:fldChar w:fldCharType="end"/>
        </w:r>
      </w:p>
    </w:sdtContent>
  </w:sdt>
  <w:p w14:paraId="1DE39BEB" w14:textId="75881562" w:rsidR="00DA7684" w:rsidRDefault="00DA76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E9A8E" w14:textId="77777777" w:rsidR="003F03E3" w:rsidRDefault="003F03E3" w:rsidP="008A5824">
      <w:r>
        <w:separator/>
      </w:r>
    </w:p>
  </w:footnote>
  <w:footnote w:type="continuationSeparator" w:id="0">
    <w:p w14:paraId="4B39899D" w14:textId="77777777" w:rsidR="003F03E3" w:rsidRDefault="003F03E3" w:rsidP="008A5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E78CC" w14:textId="293C39C3" w:rsidR="00DA7684" w:rsidRPr="00E361F4" w:rsidRDefault="00DA7684" w:rsidP="00E361F4">
    <w:pPr>
      <w:pStyle w:val="Cabealho"/>
    </w:pPr>
    <w:r>
      <w:rPr>
        <w:noProof/>
        <w:lang w:eastAsia="pt-BR"/>
      </w:rPr>
      <w:drawing>
        <wp:inline distT="0" distB="0" distL="0" distR="0" wp14:anchorId="0680C3C9" wp14:editId="2D2F0FBB">
          <wp:extent cx="5756275" cy="108648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 8 Congresso UFSC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6275" cy="1086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5AA4"/>
    <w:multiLevelType w:val="multilevel"/>
    <w:tmpl w:val="C096DD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299735A0"/>
    <w:multiLevelType w:val="hybridMultilevel"/>
    <w:tmpl w:val="550E80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E7D87"/>
    <w:multiLevelType w:val="hybridMultilevel"/>
    <w:tmpl w:val="54AA59B0"/>
    <w:lvl w:ilvl="0" w:tplc="911A24C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D7132"/>
    <w:multiLevelType w:val="hybridMultilevel"/>
    <w:tmpl w:val="00AAD2E0"/>
    <w:lvl w:ilvl="0" w:tplc="2264C29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84AB9"/>
    <w:multiLevelType w:val="hybridMultilevel"/>
    <w:tmpl w:val="71F066A2"/>
    <w:lvl w:ilvl="0" w:tplc="3F445EA6">
      <w:start w:val="1"/>
      <w:numFmt w:val="lowerRoman"/>
      <w:lvlText w:val="(%1)"/>
      <w:lvlJc w:val="left"/>
      <w:pPr>
        <w:ind w:left="1488" w:hanging="72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5" w15:restartNumberingAfterBreak="0">
    <w:nsid w:val="6655188F"/>
    <w:multiLevelType w:val="hybridMultilevel"/>
    <w:tmpl w:val="165E80A2"/>
    <w:lvl w:ilvl="0" w:tplc="1060949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824"/>
    <w:rsid w:val="0000188B"/>
    <w:rsid w:val="000454BC"/>
    <w:rsid w:val="00054E9F"/>
    <w:rsid w:val="00073843"/>
    <w:rsid w:val="000A7828"/>
    <w:rsid w:val="000B60B5"/>
    <w:rsid w:val="000C6F72"/>
    <w:rsid w:val="000E04F4"/>
    <w:rsid w:val="000F21B4"/>
    <w:rsid w:val="000F72B5"/>
    <w:rsid w:val="0016220D"/>
    <w:rsid w:val="00177E76"/>
    <w:rsid w:val="001870D5"/>
    <w:rsid w:val="00194BA9"/>
    <w:rsid w:val="0019591E"/>
    <w:rsid w:val="001A4423"/>
    <w:rsid w:val="001B2C4C"/>
    <w:rsid w:val="001C328B"/>
    <w:rsid w:val="001C7A78"/>
    <w:rsid w:val="001F0C1E"/>
    <w:rsid w:val="001F6A6D"/>
    <w:rsid w:val="002420B7"/>
    <w:rsid w:val="0029140B"/>
    <w:rsid w:val="002A107B"/>
    <w:rsid w:val="002A1119"/>
    <w:rsid w:val="002B0015"/>
    <w:rsid w:val="002B2A92"/>
    <w:rsid w:val="002B2B78"/>
    <w:rsid w:val="002E0114"/>
    <w:rsid w:val="002E78E7"/>
    <w:rsid w:val="002E7BA3"/>
    <w:rsid w:val="002F492E"/>
    <w:rsid w:val="003135C4"/>
    <w:rsid w:val="00331511"/>
    <w:rsid w:val="00350798"/>
    <w:rsid w:val="0036377D"/>
    <w:rsid w:val="0038579D"/>
    <w:rsid w:val="003974A4"/>
    <w:rsid w:val="003B07FC"/>
    <w:rsid w:val="003E300D"/>
    <w:rsid w:val="003F03E3"/>
    <w:rsid w:val="004020EB"/>
    <w:rsid w:val="0042557C"/>
    <w:rsid w:val="00455855"/>
    <w:rsid w:val="00473887"/>
    <w:rsid w:val="00491708"/>
    <w:rsid w:val="004B3DA4"/>
    <w:rsid w:val="004C41EA"/>
    <w:rsid w:val="004E5D6C"/>
    <w:rsid w:val="004F35B8"/>
    <w:rsid w:val="004F53F7"/>
    <w:rsid w:val="005826A6"/>
    <w:rsid w:val="005A7342"/>
    <w:rsid w:val="006260CB"/>
    <w:rsid w:val="00631DCF"/>
    <w:rsid w:val="006346D4"/>
    <w:rsid w:val="0064222B"/>
    <w:rsid w:val="006455C0"/>
    <w:rsid w:val="00686527"/>
    <w:rsid w:val="006A34F2"/>
    <w:rsid w:val="006D37AD"/>
    <w:rsid w:val="0072578D"/>
    <w:rsid w:val="00776A0B"/>
    <w:rsid w:val="00825175"/>
    <w:rsid w:val="008333DD"/>
    <w:rsid w:val="00860B20"/>
    <w:rsid w:val="00885895"/>
    <w:rsid w:val="008A550D"/>
    <w:rsid w:val="008A5824"/>
    <w:rsid w:val="008B07FB"/>
    <w:rsid w:val="008D4F05"/>
    <w:rsid w:val="00912B82"/>
    <w:rsid w:val="00927800"/>
    <w:rsid w:val="0094305A"/>
    <w:rsid w:val="00944989"/>
    <w:rsid w:val="00946F13"/>
    <w:rsid w:val="00950B92"/>
    <w:rsid w:val="009833D5"/>
    <w:rsid w:val="009B3F6D"/>
    <w:rsid w:val="009C55A2"/>
    <w:rsid w:val="009D4523"/>
    <w:rsid w:val="009F7022"/>
    <w:rsid w:val="00AA4840"/>
    <w:rsid w:val="00AE7205"/>
    <w:rsid w:val="00B046BE"/>
    <w:rsid w:val="00B07D30"/>
    <w:rsid w:val="00B32719"/>
    <w:rsid w:val="00B41175"/>
    <w:rsid w:val="00B41AC1"/>
    <w:rsid w:val="00B41CAF"/>
    <w:rsid w:val="00B66949"/>
    <w:rsid w:val="00B760E2"/>
    <w:rsid w:val="00B93403"/>
    <w:rsid w:val="00BD0F13"/>
    <w:rsid w:val="00BE110B"/>
    <w:rsid w:val="00C16E0E"/>
    <w:rsid w:val="00C22DE5"/>
    <w:rsid w:val="00C30374"/>
    <w:rsid w:val="00C92A35"/>
    <w:rsid w:val="00CA2367"/>
    <w:rsid w:val="00CA25AA"/>
    <w:rsid w:val="00CB0347"/>
    <w:rsid w:val="00CD5FFF"/>
    <w:rsid w:val="00CE5296"/>
    <w:rsid w:val="00CF63F7"/>
    <w:rsid w:val="00CF645C"/>
    <w:rsid w:val="00D21B06"/>
    <w:rsid w:val="00D230F7"/>
    <w:rsid w:val="00D55D19"/>
    <w:rsid w:val="00D61484"/>
    <w:rsid w:val="00D81865"/>
    <w:rsid w:val="00D865D3"/>
    <w:rsid w:val="00D9293D"/>
    <w:rsid w:val="00DA764F"/>
    <w:rsid w:val="00DA7684"/>
    <w:rsid w:val="00DE6699"/>
    <w:rsid w:val="00DF1E6D"/>
    <w:rsid w:val="00E07A87"/>
    <w:rsid w:val="00E361F4"/>
    <w:rsid w:val="00E4065E"/>
    <w:rsid w:val="00E478E9"/>
    <w:rsid w:val="00E57098"/>
    <w:rsid w:val="00E6136F"/>
    <w:rsid w:val="00E9164C"/>
    <w:rsid w:val="00EA0EC1"/>
    <w:rsid w:val="00EA4BAA"/>
    <w:rsid w:val="00EB16D7"/>
    <w:rsid w:val="00EF4766"/>
    <w:rsid w:val="00F02A55"/>
    <w:rsid w:val="00F22EEF"/>
    <w:rsid w:val="00F555B9"/>
    <w:rsid w:val="00F84CDE"/>
    <w:rsid w:val="00FB30B8"/>
    <w:rsid w:val="00FE1CF2"/>
    <w:rsid w:val="00FE5207"/>
    <w:rsid w:val="00FF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654D7B35"/>
  <w14:defaultImageDpi w14:val="300"/>
  <w15:docId w15:val="{77C28ED9-63F5-4CB6-BACE-EF8A78B5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77D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22DE5"/>
    <w:pPr>
      <w:keepNext/>
      <w:keepLines/>
      <w:spacing w:before="240"/>
      <w:outlineLvl w:val="0"/>
    </w:pPr>
    <w:rPr>
      <w:rFonts w:ascii="Calibri Light" w:hAnsi="Calibri Light"/>
      <w:b/>
      <w:bCs/>
      <w:kern w:val="32"/>
      <w:sz w:val="32"/>
      <w:szCs w:val="32"/>
      <w:lang w:eastAsia="en-US"/>
    </w:rPr>
  </w:style>
  <w:style w:type="paragraph" w:styleId="Ttulo3">
    <w:name w:val="heading 3"/>
    <w:basedOn w:val="Normal"/>
    <w:link w:val="Ttulo3Char"/>
    <w:qFormat/>
    <w:rsid w:val="00C22DE5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rsid w:val="008A5824"/>
  </w:style>
  <w:style w:type="paragraph" w:styleId="Rodap">
    <w:name w:val="footer"/>
    <w:basedOn w:val="Normal"/>
    <w:link w:val="Rodap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A5824"/>
  </w:style>
  <w:style w:type="paragraph" w:styleId="NormalWeb">
    <w:name w:val="Normal (Web)"/>
    <w:basedOn w:val="Normal"/>
    <w:uiPriority w:val="99"/>
    <w:semiHidden/>
    <w:unhideWhenUsed/>
    <w:rsid w:val="008A5824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C328B"/>
    <w:pPr>
      <w:ind w:left="720"/>
      <w:contextualSpacing/>
    </w:pPr>
  </w:style>
  <w:style w:type="paragraph" w:styleId="Textodebalo">
    <w:name w:val="Balloon Text"/>
    <w:basedOn w:val="Normal"/>
    <w:link w:val="TextodebaloChar"/>
    <w:unhideWhenUsed/>
    <w:rsid w:val="00E361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361F4"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Ttulo11">
    <w:name w:val="Título 11"/>
    <w:basedOn w:val="Normal"/>
    <w:next w:val="Normal"/>
    <w:qFormat/>
    <w:rsid w:val="00C22DE5"/>
    <w:pPr>
      <w:keepNext/>
      <w:suppressAutoHyphens w:val="0"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rsid w:val="00C22DE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numbering" w:customStyle="1" w:styleId="Semlista1">
    <w:name w:val="Sem lista1"/>
    <w:next w:val="Semlista"/>
    <w:semiHidden/>
    <w:unhideWhenUsed/>
    <w:rsid w:val="00C22DE5"/>
  </w:style>
  <w:style w:type="character" w:customStyle="1" w:styleId="Ttulo1Char">
    <w:name w:val="Título 1 Char"/>
    <w:basedOn w:val="Fontepargpadro"/>
    <w:link w:val="Ttulo1"/>
    <w:rsid w:val="00C22DE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rsid w:val="00C22DE5"/>
    <w:rPr>
      <w:color w:val="0000FF"/>
      <w:u w:val="single"/>
    </w:rPr>
  </w:style>
  <w:style w:type="table" w:styleId="Tabelacomgrade">
    <w:name w:val="Table Grid"/>
    <w:basedOn w:val="Tabelanormal"/>
    <w:uiPriority w:val="59"/>
    <w:rsid w:val="00C22DE5"/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A4"/>
    <w:rsid w:val="00C22DE5"/>
    <w:rPr>
      <w:rFonts w:cs="Trebuchet MS"/>
      <w:color w:val="000000"/>
      <w:sz w:val="22"/>
      <w:szCs w:val="22"/>
    </w:rPr>
  </w:style>
  <w:style w:type="paragraph" w:customStyle="1" w:styleId="textos">
    <w:name w:val="textos"/>
    <w:basedOn w:val="Normal"/>
    <w:rsid w:val="00C22DE5"/>
    <w:pPr>
      <w:suppressAutoHyphens w:val="0"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C22DE5"/>
  </w:style>
  <w:style w:type="paragraph" w:styleId="Reviso">
    <w:name w:val="Revision"/>
    <w:hidden/>
    <w:uiPriority w:val="99"/>
    <w:semiHidden/>
    <w:rsid w:val="00C22DE5"/>
    <w:rPr>
      <w:rFonts w:ascii="Times New Roman" w:eastAsia="Times New Roman" w:hAnsi="Times New Roman" w:cs="Times New Roman"/>
      <w:lang w:eastAsia="pt-BR"/>
    </w:rPr>
  </w:style>
  <w:style w:type="character" w:styleId="nfase">
    <w:name w:val="Emphasis"/>
    <w:qFormat/>
    <w:rsid w:val="00C22DE5"/>
    <w:rPr>
      <w:i/>
      <w:iCs/>
    </w:rPr>
  </w:style>
  <w:style w:type="character" w:styleId="Refdecomentrio">
    <w:name w:val="annotation reference"/>
    <w:basedOn w:val="Fontepargpadro"/>
    <w:rsid w:val="00C22DE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22DE5"/>
    <w:pPr>
      <w:suppressAutoHyphens w:val="0"/>
    </w:pPr>
  </w:style>
  <w:style w:type="character" w:customStyle="1" w:styleId="TextodecomentrioChar">
    <w:name w:val="Texto de comentário Char"/>
    <w:basedOn w:val="Fontepargpadro"/>
    <w:link w:val="Textodecomentrio"/>
    <w:rsid w:val="00C22DE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22D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C22DE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22DE5"/>
    <w:rPr>
      <w:color w:val="808080"/>
      <w:shd w:val="clear" w:color="auto" w:fill="E6E6E6"/>
    </w:rPr>
  </w:style>
  <w:style w:type="character" w:customStyle="1" w:styleId="Ttulo1Char1">
    <w:name w:val="Título 1 Char1"/>
    <w:basedOn w:val="Fontepargpadro"/>
    <w:uiPriority w:val="9"/>
    <w:rsid w:val="00C22D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2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gplani.mct.gov.br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lanalto.gov.br/ccivil_03/leis/l8248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eisestaduais.com.br/sc/decreto-n-2024-2004-santa-catarina-introduz-a-alteracao-581-ao-ricms-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_ato2004-2006/2006/decreto/d5906.ht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8BABD-17CF-4601-A2AD-F59BD46E4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8602</Words>
  <Characters>46455</Characters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2018-05-08T00:08:00Z</cp:lastPrinted>
  <dcterms:created xsi:type="dcterms:W3CDTF">2018-05-08T00:07:00Z</dcterms:created>
  <dcterms:modified xsi:type="dcterms:W3CDTF">2018-05-08T00:28:00Z</dcterms:modified>
</cp:coreProperties>
</file>