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DB5AA" w14:textId="77777777" w:rsidR="006773B3" w:rsidRDefault="006773B3">
      <w:pPr>
        <w:jc w:val="center"/>
        <w:rPr>
          <w:b/>
          <w:sz w:val="24"/>
          <w:szCs w:val="24"/>
        </w:rPr>
      </w:pPr>
      <w:bookmarkStart w:id="0" w:name="_GoBack"/>
      <w:bookmarkEnd w:id="0"/>
    </w:p>
    <w:p w14:paraId="0F955A69" w14:textId="6FBA2AE9" w:rsidR="005C7283" w:rsidRDefault="00971E4A">
      <w:pPr>
        <w:spacing w:line="360" w:lineRule="auto"/>
        <w:jc w:val="center"/>
        <w:rPr>
          <w:b/>
          <w:sz w:val="24"/>
          <w:szCs w:val="24"/>
        </w:rPr>
      </w:pPr>
      <w:bookmarkStart w:id="1" w:name="_gjdgxs" w:colFirst="0" w:colLast="0"/>
      <w:bookmarkEnd w:id="1"/>
      <w:r>
        <w:rPr>
          <w:b/>
          <w:sz w:val="24"/>
          <w:szCs w:val="24"/>
        </w:rPr>
        <w:t xml:space="preserve">Evidenciação de </w:t>
      </w:r>
      <w:r w:rsidR="00542D28" w:rsidRPr="00542D28">
        <w:rPr>
          <w:b/>
          <w:sz w:val="24"/>
          <w:szCs w:val="24"/>
        </w:rPr>
        <w:t>Passivos e Conting</w:t>
      </w:r>
      <w:r w:rsidR="00542D28">
        <w:rPr>
          <w:b/>
          <w:sz w:val="24"/>
          <w:szCs w:val="24"/>
        </w:rPr>
        <w:t>ências Ambientais</w:t>
      </w:r>
      <w:r>
        <w:rPr>
          <w:b/>
          <w:sz w:val="24"/>
          <w:szCs w:val="24"/>
        </w:rPr>
        <w:t xml:space="preserve"> P</w:t>
      </w:r>
      <w:r w:rsidR="00542D28" w:rsidRPr="00542D28">
        <w:rPr>
          <w:b/>
          <w:sz w:val="24"/>
          <w:szCs w:val="24"/>
        </w:rPr>
        <w:t xml:space="preserve">elas </w:t>
      </w:r>
      <w:r>
        <w:rPr>
          <w:b/>
          <w:sz w:val="24"/>
          <w:szCs w:val="24"/>
        </w:rPr>
        <w:t>E</w:t>
      </w:r>
      <w:r w:rsidR="00542D28" w:rsidRPr="00542D28">
        <w:rPr>
          <w:b/>
          <w:sz w:val="24"/>
          <w:szCs w:val="24"/>
        </w:rPr>
        <w:t xml:space="preserve">mpresas </w:t>
      </w:r>
      <w:r>
        <w:rPr>
          <w:b/>
          <w:sz w:val="24"/>
          <w:szCs w:val="24"/>
        </w:rPr>
        <w:t>C</w:t>
      </w:r>
      <w:r w:rsidR="00542D28" w:rsidRPr="00542D28">
        <w:rPr>
          <w:b/>
          <w:sz w:val="24"/>
          <w:szCs w:val="24"/>
        </w:rPr>
        <w:t>om Maior Potencial Poluidor.</w:t>
      </w:r>
    </w:p>
    <w:p w14:paraId="6331A84D" w14:textId="77777777" w:rsidR="005C7283" w:rsidRPr="00DC098E" w:rsidRDefault="005C7283" w:rsidP="005C7283">
      <w:pPr>
        <w:widowControl w:val="0"/>
        <w:jc w:val="right"/>
        <w:rPr>
          <w:b/>
          <w:sz w:val="24"/>
          <w:szCs w:val="24"/>
        </w:rPr>
      </w:pPr>
      <w:r w:rsidRPr="00DC098E">
        <w:rPr>
          <w:b/>
          <w:sz w:val="24"/>
          <w:szCs w:val="24"/>
        </w:rPr>
        <w:t xml:space="preserve">Vitor </w:t>
      </w:r>
      <w:proofErr w:type="spellStart"/>
      <w:r w:rsidRPr="00DC098E">
        <w:rPr>
          <w:b/>
          <w:sz w:val="24"/>
          <w:szCs w:val="24"/>
        </w:rPr>
        <w:t>Goedert</w:t>
      </w:r>
      <w:proofErr w:type="spellEnd"/>
      <w:r w:rsidRPr="00DC098E">
        <w:rPr>
          <w:b/>
          <w:sz w:val="24"/>
          <w:szCs w:val="24"/>
        </w:rPr>
        <w:t xml:space="preserve"> Mendes</w:t>
      </w:r>
    </w:p>
    <w:p w14:paraId="03127F5F" w14:textId="77777777" w:rsidR="005C7283" w:rsidRDefault="005C7283" w:rsidP="005C7283">
      <w:pPr>
        <w:widowControl w:val="0"/>
        <w:jc w:val="right"/>
        <w:rPr>
          <w:b/>
          <w:sz w:val="24"/>
          <w:szCs w:val="24"/>
        </w:rPr>
      </w:pPr>
      <w:r>
        <w:rPr>
          <w:b/>
          <w:sz w:val="24"/>
          <w:szCs w:val="24"/>
        </w:rPr>
        <w:t>Universidade Federal de Santa Catarina (UFSC)</w:t>
      </w:r>
    </w:p>
    <w:p w14:paraId="77AD1A7A" w14:textId="77777777" w:rsidR="005C7283" w:rsidRPr="005C7283" w:rsidRDefault="005C7283" w:rsidP="005C7283">
      <w:pPr>
        <w:widowControl w:val="0"/>
        <w:jc w:val="right"/>
        <w:rPr>
          <w:b/>
          <w:i/>
          <w:sz w:val="24"/>
          <w:szCs w:val="24"/>
        </w:rPr>
      </w:pPr>
      <w:r w:rsidRPr="00B631DE">
        <w:rPr>
          <w:b/>
          <w:i/>
          <w:sz w:val="24"/>
          <w:szCs w:val="24"/>
        </w:rPr>
        <w:t>E-mail:</w:t>
      </w:r>
      <w:r w:rsidRPr="005C7283">
        <w:rPr>
          <w:b/>
          <w:i/>
          <w:sz w:val="24"/>
          <w:szCs w:val="24"/>
        </w:rPr>
        <w:t xml:space="preserve"> vitorgm@live.com</w:t>
      </w:r>
    </w:p>
    <w:p w14:paraId="46DDB8A7" w14:textId="77777777" w:rsidR="005C7283" w:rsidRDefault="005C7283" w:rsidP="005C7283">
      <w:pPr>
        <w:widowControl w:val="0"/>
        <w:jc w:val="right"/>
        <w:rPr>
          <w:b/>
          <w:i/>
          <w:sz w:val="24"/>
          <w:szCs w:val="24"/>
        </w:rPr>
      </w:pPr>
    </w:p>
    <w:p w14:paraId="4301B2AA" w14:textId="77777777" w:rsidR="005C7283" w:rsidRPr="005C7283" w:rsidRDefault="005C7283" w:rsidP="005C7283">
      <w:pPr>
        <w:jc w:val="right"/>
        <w:rPr>
          <w:color w:val="999999"/>
        </w:rPr>
      </w:pPr>
      <w:r>
        <w:tab/>
      </w:r>
      <w:r>
        <w:tab/>
      </w:r>
      <w:r>
        <w:tab/>
      </w:r>
      <w:r>
        <w:tab/>
      </w:r>
      <w:r>
        <w:tab/>
      </w:r>
      <w:r>
        <w:tab/>
      </w:r>
      <w:r>
        <w:tab/>
      </w:r>
      <w:r>
        <w:tab/>
      </w:r>
      <w:r>
        <w:tab/>
      </w:r>
      <w:proofErr w:type="spellStart"/>
      <w:r w:rsidRPr="005C7283">
        <w:rPr>
          <w:b/>
          <w:sz w:val="24"/>
          <w:szCs w:val="24"/>
        </w:rPr>
        <w:t>Stefanie</w:t>
      </w:r>
      <w:proofErr w:type="spellEnd"/>
      <w:r w:rsidRPr="005C7283">
        <w:rPr>
          <w:b/>
          <w:sz w:val="24"/>
          <w:szCs w:val="24"/>
        </w:rPr>
        <w:t xml:space="preserve"> Rossi</w:t>
      </w:r>
    </w:p>
    <w:p w14:paraId="332FEEFD" w14:textId="77777777" w:rsidR="005C7283" w:rsidRDefault="005C7283" w:rsidP="005C7283">
      <w:pPr>
        <w:jc w:val="right"/>
        <w:rPr>
          <w:b/>
          <w:i/>
          <w:sz w:val="24"/>
          <w:szCs w:val="24"/>
        </w:rPr>
      </w:pPr>
      <w:r>
        <w:rPr>
          <w:b/>
          <w:sz w:val="24"/>
          <w:szCs w:val="24"/>
        </w:rPr>
        <w:t>Universidade Federal de Santa Catarina (UFSC)</w:t>
      </w:r>
    </w:p>
    <w:p w14:paraId="50F02179" w14:textId="77777777" w:rsidR="005C7283" w:rsidRPr="00B631DE" w:rsidRDefault="005C7283" w:rsidP="005C7283">
      <w:pPr>
        <w:jc w:val="right"/>
        <w:rPr>
          <w:b/>
          <w:i/>
          <w:sz w:val="24"/>
          <w:szCs w:val="24"/>
        </w:rPr>
      </w:pPr>
      <w:r w:rsidRPr="00B631DE">
        <w:rPr>
          <w:b/>
          <w:i/>
          <w:sz w:val="24"/>
          <w:szCs w:val="24"/>
        </w:rPr>
        <w:t>E-mail: stefanie-rossi@hotmail.com</w:t>
      </w:r>
    </w:p>
    <w:p w14:paraId="2740F653" w14:textId="77777777" w:rsidR="005C7283" w:rsidRPr="00DC098E" w:rsidRDefault="005C7283" w:rsidP="005C7283">
      <w:pPr>
        <w:jc w:val="right"/>
        <w:rPr>
          <w:b/>
          <w:sz w:val="24"/>
          <w:szCs w:val="24"/>
        </w:rPr>
      </w:pPr>
    </w:p>
    <w:p w14:paraId="0236A00E" w14:textId="77777777" w:rsidR="005C7283" w:rsidRPr="003E3623" w:rsidRDefault="005C7283" w:rsidP="005C7283">
      <w:pPr>
        <w:widowControl w:val="0"/>
        <w:jc w:val="right"/>
        <w:rPr>
          <w:b/>
          <w:sz w:val="24"/>
          <w:szCs w:val="24"/>
        </w:rPr>
      </w:pPr>
      <w:proofErr w:type="spellStart"/>
      <w:r w:rsidRPr="00B631DE">
        <w:rPr>
          <w:b/>
          <w:sz w:val="24"/>
          <w:szCs w:val="24"/>
        </w:rPr>
        <w:t>Denize</w:t>
      </w:r>
      <w:proofErr w:type="spellEnd"/>
      <w:r w:rsidRPr="00B631DE">
        <w:rPr>
          <w:b/>
          <w:sz w:val="24"/>
          <w:szCs w:val="24"/>
        </w:rPr>
        <w:t xml:space="preserve"> </w:t>
      </w:r>
      <w:proofErr w:type="spellStart"/>
      <w:r w:rsidRPr="00B631DE">
        <w:rPr>
          <w:b/>
          <w:sz w:val="24"/>
          <w:szCs w:val="24"/>
        </w:rPr>
        <w:t>Demarche</w:t>
      </w:r>
      <w:proofErr w:type="spellEnd"/>
      <w:r w:rsidRPr="00B631DE">
        <w:rPr>
          <w:b/>
          <w:sz w:val="24"/>
          <w:szCs w:val="24"/>
        </w:rPr>
        <w:t xml:space="preserve"> </w:t>
      </w:r>
      <w:proofErr w:type="spellStart"/>
      <w:r w:rsidRPr="00B631DE">
        <w:rPr>
          <w:b/>
          <w:sz w:val="24"/>
          <w:szCs w:val="24"/>
        </w:rPr>
        <w:t>Minatti</w:t>
      </w:r>
      <w:proofErr w:type="spellEnd"/>
      <w:r w:rsidRPr="00B631DE">
        <w:rPr>
          <w:b/>
          <w:sz w:val="24"/>
          <w:szCs w:val="24"/>
        </w:rPr>
        <w:t xml:space="preserve"> Ferreira</w:t>
      </w:r>
      <w:r>
        <w:rPr>
          <w:b/>
          <w:sz w:val="24"/>
          <w:szCs w:val="24"/>
        </w:rPr>
        <w:t xml:space="preserve"> </w:t>
      </w:r>
    </w:p>
    <w:p w14:paraId="04A6DAA8" w14:textId="77777777" w:rsidR="005C7283" w:rsidRDefault="005C7283" w:rsidP="005C7283">
      <w:pPr>
        <w:jc w:val="right"/>
        <w:rPr>
          <w:b/>
          <w:i/>
          <w:sz w:val="24"/>
          <w:szCs w:val="24"/>
        </w:rPr>
      </w:pPr>
      <w:r>
        <w:rPr>
          <w:b/>
          <w:sz w:val="24"/>
          <w:szCs w:val="24"/>
        </w:rPr>
        <w:t>Universidade Federal de Santa Catarina (UFSC)</w:t>
      </w:r>
    </w:p>
    <w:p w14:paraId="101F20E6" w14:textId="77777777" w:rsidR="005C7283" w:rsidRDefault="005C7283" w:rsidP="005C7283">
      <w:pPr>
        <w:widowControl w:val="0"/>
        <w:jc w:val="right"/>
        <w:rPr>
          <w:b/>
          <w:i/>
          <w:color w:val="auto"/>
          <w:sz w:val="24"/>
        </w:rPr>
      </w:pPr>
      <w:r w:rsidRPr="00B631DE">
        <w:rPr>
          <w:b/>
          <w:i/>
          <w:sz w:val="24"/>
          <w:szCs w:val="24"/>
        </w:rPr>
        <w:t xml:space="preserve">E-mail: </w:t>
      </w:r>
      <w:r w:rsidRPr="00B631DE">
        <w:rPr>
          <w:b/>
          <w:i/>
          <w:color w:val="auto"/>
          <w:sz w:val="24"/>
        </w:rPr>
        <w:t>dminatti@terra.com.br</w:t>
      </w:r>
    </w:p>
    <w:p w14:paraId="153DD510" w14:textId="77777777" w:rsidR="005C7283" w:rsidRPr="00B631DE" w:rsidRDefault="005C7283" w:rsidP="005C7283">
      <w:pPr>
        <w:widowControl w:val="0"/>
        <w:jc w:val="right"/>
        <w:rPr>
          <w:b/>
          <w:i/>
          <w:color w:val="auto"/>
          <w:sz w:val="24"/>
        </w:rPr>
      </w:pPr>
    </w:p>
    <w:p w14:paraId="00239647" w14:textId="77777777" w:rsidR="005C7283" w:rsidRPr="00B631DE" w:rsidRDefault="005C7283" w:rsidP="005C7283">
      <w:pPr>
        <w:widowControl w:val="0"/>
        <w:jc w:val="right"/>
        <w:rPr>
          <w:b/>
          <w:color w:val="auto"/>
          <w:sz w:val="24"/>
        </w:rPr>
      </w:pPr>
      <w:proofErr w:type="spellStart"/>
      <w:r w:rsidRPr="00B631DE">
        <w:rPr>
          <w:b/>
          <w:color w:val="auto"/>
          <w:sz w:val="24"/>
        </w:rPr>
        <w:t>Suliani</w:t>
      </w:r>
      <w:proofErr w:type="spellEnd"/>
      <w:r w:rsidRPr="00B631DE">
        <w:rPr>
          <w:b/>
          <w:color w:val="auto"/>
          <w:sz w:val="24"/>
        </w:rPr>
        <w:t xml:space="preserve"> Rover</w:t>
      </w:r>
    </w:p>
    <w:p w14:paraId="7048DA40" w14:textId="77777777" w:rsidR="005C7283" w:rsidRDefault="005C7283" w:rsidP="005C7283">
      <w:pPr>
        <w:jc w:val="right"/>
        <w:rPr>
          <w:b/>
          <w:i/>
          <w:sz w:val="24"/>
          <w:szCs w:val="24"/>
        </w:rPr>
      </w:pPr>
      <w:r>
        <w:rPr>
          <w:b/>
          <w:sz w:val="24"/>
          <w:szCs w:val="24"/>
        </w:rPr>
        <w:t>Universidade Federal de Santa Catarina (UFSC)</w:t>
      </w:r>
    </w:p>
    <w:p w14:paraId="35E9B124" w14:textId="77777777" w:rsidR="005C7283" w:rsidRDefault="005C7283" w:rsidP="005C7283">
      <w:pPr>
        <w:widowControl w:val="0"/>
        <w:jc w:val="right"/>
        <w:rPr>
          <w:b/>
          <w:color w:val="999999"/>
        </w:rPr>
      </w:pPr>
      <w:r w:rsidRPr="00B631DE">
        <w:rPr>
          <w:b/>
          <w:i/>
          <w:sz w:val="24"/>
          <w:szCs w:val="24"/>
        </w:rPr>
        <w:t>E-mail</w:t>
      </w:r>
      <w:r>
        <w:rPr>
          <w:b/>
          <w:i/>
          <w:sz w:val="24"/>
          <w:szCs w:val="24"/>
        </w:rPr>
        <w:t>: sulianirover@gmail.com</w:t>
      </w:r>
    </w:p>
    <w:p w14:paraId="2EABC02C" w14:textId="77777777" w:rsidR="006773B3" w:rsidRDefault="006773B3">
      <w:pPr>
        <w:widowControl w:val="0"/>
        <w:jc w:val="both"/>
        <w:rPr>
          <w:b/>
          <w:sz w:val="24"/>
          <w:szCs w:val="24"/>
        </w:rPr>
      </w:pPr>
      <w:r>
        <w:rPr>
          <w:b/>
          <w:sz w:val="24"/>
          <w:szCs w:val="24"/>
        </w:rPr>
        <w:t xml:space="preserve">Resumo </w:t>
      </w:r>
      <w:r>
        <w:rPr>
          <w:b/>
          <w:sz w:val="24"/>
          <w:szCs w:val="24"/>
        </w:rPr>
        <w:tab/>
      </w:r>
    </w:p>
    <w:p w14:paraId="0DF81F9F" w14:textId="77777777" w:rsidR="006773B3" w:rsidRDefault="006773B3">
      <w:pPr>
        <w:jc w:val="both"/>
        <w:rPr>
          <w:b/>
          <w:sz w:val="24"/>
          <w:szCs w:val="24"/>
        </w:rPr>
      </w:pPr>
    </w:p>
    <w:p w14:paraId="02E1BCC1" w14:textId="44C5057D" w:rsidR="006773B3" w:rsidRDefault="006773B3" w:rsidP="001B5256">
      <w:pPr>
        <w:jc w:val="both"/>
        <w:rPr>
          <w:sz w:val="24"/>
          <w:szCs w:val="24"/>
        </w:rPr>
      </w:pPr>
      <w:r>
        <w:rPr>
          <w:sz w:val="24"/>
          <w:szCs w:val="24"/>
        </w:rPr>
        <w:t xml:space="preserve">Este trabalho tem como objetivo comparar o nível de evidenciação de passivos e contingências ambientais divulgados nas Demonstrações Financeiras Padronizadas (DFP) e nos Relatórios de Sustentabilidade (RS) das empresas classificadas de acordo com a Lei nº 10.165 como as com maior potencial poluidor, pertencentes ao </w:t>
      </w:r>
      <w:proofErr w:type="spellStart"/>
      <w:r>
        <w:rPr>
          <w:sz w:val="24"/>
          <w:szCs w:val="24"/>
        </w:rPr>
        <w:t>IBrX</w:t>
      </w:r>
      <w:proofErr w:type="spellEnd"/>
      <w:r>
        <w:rPr>
          <w:sz w:val="24"/>
          <w:szCs w:val="24"/>
        </w:rPr>
        <w:t xml:space="preserve"> 100 da </w:t>
      </w:r>
      <w:proofErr w:type="spellStart"/>
      <w:r>
        <w:rPr>
          <w:sz w:val="24"/>
          <w:szCs w:val="24"/>
        </w:rPr>
        <w:t>BM&amp;FBovespa</w:t>
      </w:r>
      <w:proofErr w:type="spellEnd"/>
      <w:r>
        <w:rPr>
          <w:sz w:val="24"/>
          <w:szCs w:val="24"/>
        </w:rPr>
        <w:t xml:space="preserve">. Para a execução da pesquisa, foram selecionadas 11 empresas entre os anos de 2005 até 2016 e coletados </w:t>
      </w:r>
      <w:r w:rsidR="00971E4A">
        <w:rPr>
          <w:sz w:val="24"/>
          <w:szCs w:val="24"/>
        </w:rPr>
        <w:t xml:space="preserve">as DFP e RS </w:t>
      </w:r>
      <w:r>
        <w:rPr>
          <w:sz w:val="24"/>
          <w:szCs w:val="24"/>
        </w:rPr>
        <w:t xml:space="preserve">da </w:t>
      </w:r>
      <w:proofErr w:type="spellStart"/>
      <w:r>
        <w:rPr>
          <w:sz w:val="24"/>
          <w:szCs w:val="24"/>
        </w:rPr>
        <w:t>BM&amp;FBovespa</w:t>
      </w:r>
      <w:proofErr w:type="spellEnd"/>
      <w:r w:rsidR="0053195B">
        <w:rPr>
          <w:sz w:val="24"/>
          <w:szCs w:val="24"/>
        </w:rPr>
        <w:t xml:space="preserve"> e dos </w:t>
      </w:r>
      <w:r w:rsidR="0053195B">
        <w:rPr>
          <w:i/>
          <w:sz w:val="24"/>
          <w:szCs w:val="24"/>
        </w:rPr>
        <w:t>websites</w:t>
      </w:r>
      <w:r w:rsidR="0053195B">
        <w:rPr>
          <w:sz w:val="24"/>
          <w:szCs w:val="24"/>
        </w:rPr>
        <w:t xml:space="preserve"> das empresas</w:t>
      </w:r>
      <w:r>
        <w:rPr>
          <w:sz w:val="24"/>
          <w:szCs w:val="24"/>
        </w:rPr>
        <w:t xml:space="preserve">, respectivamente. </w:t>
      </w:r>
      <w:r w:rsidR="00971E4A">
        <w:rPr>
          <w:sz w:val="24"/>
          <w:szCs w:val="24"/>
        </w:rPr>
        <w:t>Na</w:t>
      </w:r>
      <w:r>
        <w:rPr>
          <w:sz w:val="24"/>
          <w:szCs w:val="24"/>
        </w:rPr>
        <w:t xml:space="preserve"> etapa seguinte</w:t>
      </w:r>
      <w:r w:rsidR="00971E4A">
        <w:rPr>
          <w:sz w:val="24"/>
          <w:szCs w:val="24"/>
        </w:rPr>
        <w:t>,</w:t>
      </w:r>
      <w:r>
        <w:rPr>
          <w:sz w:val="24"/>
          <w:szCs w:val="24"/>
        </w:rPr>
        <w:t xml:space="preserve"> </w:t>
      </w:r>
      <w:r w:rsidR="00136129">
        <w:rPr>
          <w:sz w:val="24"/>
          <w:szCs w:val="24"/>
        </w:rPr>
        <w:t>as</w:t>
      </w:r>
      <w:r>
        <w:rPr>
          <w:sz w:val="24"/>
          <w:szCs w:val="24"/>
        </w:rPr>
        <w:t xml:space="preserve"> informações foram classificadas em </w:t>
      </w:r>
      <w:r w:rsidR="003322EF">
        <w:rPr>
          <w:sz w:val="24"/>
          <w:szCs w:val="24"/>
        </w:rPr>
        <w:t>q</w:t>
      </w:r>
      <w:r>
        <w:rPr>
          <w:sz w:val="24"/>
          <w:szCs w:val="24"/>
        </w:rPr>
        <w:t xml:space="preserve">ualitativas (QL), </w:t>
      </w:r>
      <w:r w:rsidR="003322EF">
        <w:rPr>
          <w:sz w:val="24"/>
          <w:szCs w:val="24"/>
        </w:rPr>
        <w:t>q</w:t>
      </w:r>
      <w:r>
        <w:rPr>
          <w:sz w:val="24"/>
          <w:szCs w:val="24"/>
        </w:rPr>
        <w:t xml:space="preserve">uantitativas </w:t>
      </w:r>
      <w:r w:rsidR="003322EF">
        <w:rPr>
          <w:sz w:val="24"/>
          <w:szCs w:val="24"/>
        </w:rPr>
        <w:t>f</w:t>
      </w:r>
      <w:r>
        <w:rPr>
          <w:sz w:val="24"/>
          <w:szCs w:val="24"/>
        </w:rPr>
        <w:t xml:space="preserve">inanceiras (QTF), e </w:t>
      </w:r>
      <w:r w:rsidR="003322EF">
        <w:rPr>
          <w:sz w:val="24"/>
          <w:szCs w:val="24"/>
        </w:rPr>
        <w:t>q</w:t>
      </w:r>
      <w:r>
        <w:rPr>
          <w:sz w:val="24"/>
          <w:szCs w:val="24"/>
        </w:rPr>
        <w:t xml:space="preserve">uantitativas </w:t>
      </w:r>
      <w:r w:rsidR="003322EF">
        <w:rPr>
          <w:sz w:val="24"/>
          <w:szCs w:val="24"/>
        </w:rPr>
        <w:t>n</w:t>
      </w:r>
      <w:r>
        <w:rPr>
          <w:sz w:val="24"/>
          <w:szCs w:val="24"/>
        </w:rPr>
        <w:t xml:space="preserve">ão </w:t>
      </w:r>
      <w:r w:rsidR="003322EF">
        <w:rPr>
          <w:sz w:val="24"/>
          <w:szCs w:val="24"/>
        </w:rPr>
        <w:t>f</w:t>
      </w:r>
      <w:r>
        <w:rPr>
          <w:sz w:val="24"/>
          <w:szCs w:val="24"/>
        </w:rPr>
        <w:t xml:space="preserve">inanceiras (QTNF) </w:t>
      </w:r>
      <w:r w:rsidR="00971E4A">
        <w:rPr>
          <w:sz w:val="24"/>
          <w:szCs w:val="24"/>
        </w:rPr>
        <w:t xml:space="preserve">e, </w:t>
      </w:r>
      <w:r>
        <w:rPr>
          <w:sz w:val="24"/>
          <w:szCs w:val="24"/>
        </w:rPr>
        <w:t xml:space="preserve">frequência de cada </w:t>
      </w:r>
      <w:r w:rsidR="00971E4A">
        <w:rPr>
          <w:sz w:val="24"/>
          <w:szCs w:val="24"/>
        </w:rPr>
        <w:t>uma das informações</w:t>
      </w:r>
      <w:r>
        <w:rPr>
          <w:sz w:val="24"/>
          <w:szCs w:val="24"/>
        </w:rPr>
        <w:t xml:space="preserve">. Dentre os principais resultados destaca-se que o relatório </w:t>
      </w:r>
      <w:r w:rsidR="00BF1D00">
        <w:rPr>
          <w:sz w:val="24"/>
          <w:szCs w:val="24"/>
        </w:rPr>
        <w:t xml:space="preserve">em </w:t>
      </w:r>
      <w:r>
        <w:rPr>
          <w:sz w:val="24"/>
          <w:szCs w:val="24"/>
        </w:rPr>
        <w:t xml:space="preserve">que as empresas mais evidenciam seus passivos e contingências ambientais é o </w:t>
      </w:r>
      <w:r w:rsidR="00971E4A">
        <w:rPr>
          <w:sz w:val="24"/>
          <w:szCs w:val="24"/>
        </w:rPr>
        <w:t xml:space="preserve">RS </w:t>
      </w:r>
      <w:r>
        <w:rPr>
          <w:sz w:val="24"/>
          <w:szCs w:val="24"/>
        </w:rPr>
        <w:t xml:space="preserve">e, com 66,52% do total de evidenciações dentre ambos. </w:t>
      </w:r>
      <w:r w:rsidR="00971E4A">
        <w:rPr>
          <w:sz w:val="24"/>
          <w:szCs w:val="24"/>
        </w:rPr>
        <w:t xml:space="preserve">Foram elaborados </w:t>
      </w:r>
      <w:r>
        <w:rPr>
          <w:sz w:val="24"/>
          <w:szCs w:val="24"/>
        </w:rPr>
        <w:t xml:space="preserve">índices para verificar a quantidade de </w:t>
      </w:r>
      <w:r w:rsidR="00971E4A">
        <w:rPr>
          <w:sz w:val="24"/>
          <w:szCs w:val="24"/>
        </w:rPr>
        <w:t xml:space="preserve">informações </w:t>
      </w:r>
      <w:r>
        <w:rPr>
          <w:sz w:val="24"/>
          <w:szCs w:val="24"/>
        </w:rPr>
        <w:t xml:space="preserve">evidenciadas nos relatórios, ficou claro que o índice mais frequente é o 0.33, representando 46% do total. Entre os setores econômicos, o que mais evidenciou informações sobre suas provisões durante o período estudado foi o setor da indústria química, porém, a empresa que mais apresentou informações sobre suas provisões em seus relatórios foi a Vale, do setor de mineração.  </w:t>
      </w:r>
    </w:p>
    <w:p w14:paraId="2912EF1D" w14:textId="77777777" w:rsidR="006773B3" w:rsidRDefault="006773B3">
      <w:pPr>
        <w:ind w:firstLine="709"/>
        <w:jc w:val="both"/>
        <w:rPr>
          <w:sz w:val="24"/>
          <w:szCs w:val="24"/>
        </w:rPr>
      </w:pPr>
    </w:p>
    <w:p w14:paraId="566BEB73" w14:textId="540D1265" w:rsidR="006773B3" w:rsidRDefault="006773B3">
      <w:pPr>
        <w:jc w:val="both"/>
        <w:rPr>
          <w:sz w:val="24"/>
          <w:szCs w:val="24"/>
        </w:rPr>
      </w:pPr>
      <w:r>
        <w:rPr>
          <w:b/>
          <w:sz w:val="24"/>
          <w:szCs w:val="24"/>
        </w:rPr>
        <w:t xml:space="preserve">Palavras-chave: </w:t>
      </w:r>
      <w:r>
        <w:rPr>
          <w:sz w:val="24"/>
          <w:szCs w:val="24"/>
        </w:rPr>
        <w:t xml:space="preserve">Passivos Ambientais; Evidenciação; </w:t>
      </w:r>
      <w:proofErr w:type="spellStart"/>
      <w:r>
        <w:rPr>
          <w:sz w:val="24"/>
          <w:szCs w:val="24"/>
        </w:rPr>
        <w:t>BM&amp;FBovespa</w:t>
      </w:r>
      <w:proofErr w:type="spellEnd"/>
      <w:r>
        <w:rPr>
          <w:sz w:val="24"/>
          <w:szCs w:val="24"/>
        </w:rPr>
        <w:t>.</w:t>
      </w:r>
    </w:p>
    <w:p w14:paraId="1487A04F" w14:textId="77777777" w:rsidR="005C7283" w:rsidRDefault="005C7283">
      <w:pPr>
        <w:jc w:val="both"/>
        <w:rPr>
          <w:sz w:val="24"/>
          <w:szCs w:val="24"/>
        </w:rPr>
      </w:pPr>
    </w:p>
    <w:p w14:paraId="21E8ECC1" w14:textId="74941D02" w:rsidR="006773B3" w:rsidRDefault="006773B3">
      <w:pPr>
        <w:widowControl w:val="0"/>
        <w:rPr>
          <w:sz w:val="24"/>
          <w:szCs w:val="24"/>
        </w:rPr>
      </w:pPr>
      <w:r>
        <w:rPr>
          <w:b/>
          <w:sz w:val="24"/>
          <w:szCs w:val="24"/>
        </w:rPr>
        <w:t xml:space="preserve">Linha Temática: </w:t>
      </w:r>
      <w:r w:rsidR="00903B7F" w:rsidRPr="0080212C">
        <w:rPr>
          <w:sz w:val="24"/>
          <w:szCs w:val="24"/>
        </w:rPr>
        <w:t>Outros temas relevantes em contabilidade.</w:t>
      </w:r>
    </w:p>
    <w:p w14:paraId="2149635C" w14:textId="77777777" w:rsidR="006773B3" w:rsidRDefault="006773B3">
      <w:pPr>
        <w:widowControl w:val="0"/>
        <w:rPr>
          <w:b/>
          <w:sz w:val="24"/>
          <w:szCs w:val="24"/>
        </w:rPr>
      </w:pPr>
      <w:r>
        <w:rPr>
          <w:b/>
          <w:sz w:val="24"/>
          <w:szCs w:val="24"/>
        </w:rPr>
        <w:lastRenderedPageBreak/>
        <w:t>1 Introdução</w:t>
      </w:r>
    </w:p>
    <w:p w14:paraId="177574BA" w14:textId="77777777" w:rsidR="006773B3" w:rsidRDefault="006773B3">
      <w:pPr>
        <w:widowControl w:val="0"/>
        <w:rPr>
          <w:b/>
          <w:sz w:val="24"/>
          <w:szCs w:val="24"/>
        </w:rPr>
      </w:pPr>
    </w:p>
    <w:p w14:paraId="100BAECF" w14:textId="77777777" w:rsidR="006773B3" w:rsidRDefault="006773B3">
      <w:pPr>
        <w:ind w:firstLine="709"/>
        <w:jc w:val="both"/>
        <w:rPr>
          <w:sz w:val="24"/>
          <w:szCs w:val="24"/>
        </w:rPr>
      </w:pPr>
      <w:r>
        <w:rPr>
          <w:sz w:val="24"/>
          <w:szCs w:val="24"/>
        </w:rPr>
        <w:t>Habitualmente tem se vivenciado catástrofes ambientais causadas por grandes empresas, como por exemplo, a Samarco, mineradora brasileira, que provocou o rompimento da barragem em Mariana, ocasionando, um dos maiores desastres socioambientais do país no setor de mineração, com o lançamento de 34 milhões de metros cúbicos de rejeitos no meio ambiente. O acidente ocorrido em novembro de 2015, deixou 19 mortos e poluiu o rio Doce, que percorre diversas cidades até atingir o mar do Espírito Santo (IBAMA, 2015). As operações da Samarco estão paralisadas desde então, e Vale e BHP criaram uma instituição autônoma e independente, para cuidar das tarefas relacionadas às compensações pelo incidente (Santos, 2018).</w:t>
      </w:r>
    </w:p>
    <w:p w14:paraId="2B3DE742" w14:textId="77777777" w:rsidR="006773B3" w:rsidRDefault="006773B3">
      <w:pPr>
        <w:ind w:firstLine="709"/>
        <w:jc w:val="both"/>
        <w:rPr>
          <w:sz w:val="24"/>
          <w:szCs w:val="24"/>
        </w:rPr>
      </w:pPr>
      <w:r w:rsidRPr="00A379CD">
        <w:rPr>
          <w:sz w:val="24"/>
          <w:szCs w:val="24"/>
        </w:rPr>
        <w:t xml:space="preserve">Diante de fatos como esse, a perspectiva empresarial tem se voltado a uma maior atenção a preservação ambiental, efeito causado pela pressão social nas comunidades, que cada vez mais se preocupam com </w:t>
      </w:r>
      <w:r>
        <w:rPr>
          <w:sz w:val="24"/>
          <w:szCs w:val="24"/>
        </w:rPr>
        <w:t xml:space="preserve">os impactos negativos que atingem </w:t>
      </w:r>
      <w:r w:rsidRPr="00A379CD">
        <w:rPr>
          <w:sz w:val="24"/>
          <w:szCs w:val="24"/>
        </w:rPr>
        <w:t>o meio ambiente</w:t>
      </w:r>
      <w:r w:rsidRPr="00A379CD">
        <w:rPr>
          <w:b/>
          <w:sz w:val="24"/>
          <w:szCs w:val="24"/>
        </w:rPr>
        <w:t xml:space="preserve"> </w:t>
      </w:r>
      <w:r w:rsidRPr="00A379CD">
        <w:rPr>
          <w:sz w:val="24"/>
          <w:szCs w:val="24"/>
        </w:rPr>
        <w:t xml:space="preserve">(Pereira, Ferreira, Souza </w:t>
      </w:r>
      <w:r>
        <w:rPr>
          <w:sz w:val="24"/>
          <w:szCs w:val="24"/>
        </w:rPr>
        <w:t>&amp;</w:t>
      </w:r>
      <w:r w:rsidRPr="00A379CD">
        <w:rPr>
          <w:sz w:val="24"/>
          <w:szCs w:val="24"/>
        </w:rPr>
        <w:t xml:space="preserve"> Ferreira, 2014</w:t>
      </w:r>
      <w:r w:rsidRPr="00A379CD">
        <w:rPr>
          <w:color w:val="222222"/>
          <w:sz w:val="24"/>
          <w:szCs w:val="24"/>
        </w:rPr>
        <w:t>)</w:t>
      </w:r>
      <w:r w:rsidRPr="00A379CD">
        <w:rPr>
          <w:sz w:val="24"/>
          <w:szCs w:val="24"/>
        </w:rPr>
        <w:t>.</w:t>
      </w:r>
      <w:r>
        <w:rPr>
          <w:sz w:val="24"/>
          <w:szCs w:val="24"/>
        </w:rPr>
        <w:t xml:space="preserve"> Ainda segundo os autores, as empresas estão se moldando, para que os impactos causados por suas atividades sejam reduzidos, por conseguinte, haja minimização do uso dos recursos naturais.</w:t>
      </w:r>
    </w:p>
    <w:p w14:paraId="00DDA154" w14:textId="77777777" w:rsidR="006773B3" w:rsidRPr="00A379CD" w:rsidRDefault="006773B3" w:rsidP="004A607D">
      <w:pPr>
        <w:ind w:firstLine="709"/>
        <w:jc w:val="both"/>
        <w:rPr>
          <w:color w:val="auto"/>
          <w:sz w:val="24"/>
          <w:szCs w:val="24"/>
        </w:rPr>
      </w:pPr>
      <w:r w:rsidRPr="00A379CD">
        <w:rPr>
          <w:color w:val="auto"/>
          <w:sz w:val="24"/>
          <w:szCs w:val="24"/>
        </w:rPr>
        <w:t xml:space="preserve">Para tanto, o mundo vem sofrendo mudanças significativas na maneira de pensar a responsabilidade socioambiental das organizações, assim como o agravamento da degradação do meio ambiente. E, é nesta perspectiva, que a contabilidade tem se apresentado como ferramenta à gestão e a tomada de decisões de diferentes grupos de usuários (Fonseca, Almeida </w:t>
      </w:r>
      <w:r>
        <w:rPr>
          <w:color w:val="auto"/>
          <w:sz w:val="24"/>
          <w:szCs w:val="24"/>
        </w:rPr>
        <w:t>&amp;</w:t>
      </w:r>
      <w:r w:rsidRPr="00A379CD">
        <w:rPr>
          <w:color w:val="auto"/>
          <w:sz w:val="24"/>
          <w:szCs w:val="24"/>
        </w:rPr>
        <w:t xml:space="preserve"> França</w:t>
      </w:r>
      <w:r>
        <w:rPr>
          <w:color w:val="auto"/>
          <w:sz w:val="24"/>
          <w:szCs w:val="24"/>
        </w:rPr>
        <w:t>,</w:t>
      </w:r>
      <w:r w:rsidRPr="00A379CD">
        <w:rPr>
          <w:color w:val="auto"/>
          <w:sz w:val="24"/>
          <w:szCs w:val="24"/>
        </w:rPr>
        <w:t xml:space="preserve"> 2012). Dessa forma</w:t>
      </w:r>
      <w:r>
        <w:rPr>
          <w:color w:val="auto"/>
          <w:sz w:val="24"/>
          <w:szCs w:val="24"/>
        </w:rPr>
        <w:t xml:space="preserve">, </w:t>
      </w:r>
      <w:r w:rsidRPr="00A379CD">
        <w:rPr>
          <w:color w:val="auto"/>
          <w:sz w:val="24"/>
          <w:szCs w:val="24"/>
        </w:rPr>
        <w:t>possibilita</w:t>
      </w:r>
      <w:r>
        <w:rPr>
          <w:color w:val="auto"/>
          <w:sz w:val="24"/>
          <w:szCs w:val="24"/>
        </w:rPr>
        <w:t>ndo q</w:t>
      </w:r>
      <w:r w:rsidRPr="00A379CD">
        <w:rPr>
          <w:color w:val="auto"/>
          <w:sz w:val="24"/>
          <w:szCs w:val="24"/>
        </w:rPr>
        <w:t>ue a sociedade tenha informações quanto aos prejuízos que as empresas de capital aberto causam ao meio ambiente, a contabilidade tem como propósito salientar de forma mais simples a evidenciação financeira do impacto desses acidentes em seus relatórios, fazendo com que as entidades diminuam os efeitos negativos, no caso de não conseguir controlá-los (Bertoli &amp; Ribeiro, 2006).</w:t>
      </w:r>
    </w:p>
    <w:p w14:paraId="5182B888" w14:textId="77777777" w:rsidR="006773B3" w:rsidRDefault="006773B3" w:rsidP="005B5323">
      <w:pPr>
        <w:ind w:firstLine="709"/>
        <w:jc w:val="both"/>
        <w:rPr>
          <w:sz w:val="24"/>
          <w:szCs w:val="24"/>
          <w:highlight w:val="white"/>
        </w:rPr>
      </w:pPr>
      <w:r w:rsidRPr="00A379CD">
        <w:rPr>
          <w:sz w:val="24"/>
          <w:szCs w:val="24"/>
        </w:rPr>
        <w:t>Os usuários externos cada vez mais têm interesse em assuntos socioambientais</w:t>
      </w:r>
      <w:r>
        <w:rPr>
          <w:sz w:val="24"/>
          <w:szCs w:val="24"/>
        </w:rPr>
        <w:t xml:space="preserve"> e</w:t>
      </w:r>
      <w:r w:rsidRPr="00A379CD">
        <w:rPr>
          <w:sz w:val="24"/>
          <w:szCs w:val="24"/>
        </w:rPr>
        <w:t xml:space="preserve">, com isso a evidenciação das contingências ambientais é fundamental para que os </w:t>
      </w:r>
      <w:r>
        <w:rPr>
          <w:sz w:val="24"/>
          <w:szCs w:val="24"/>
          <w:highlight w:val="white"/>
        </w:rPr>
        <w:t xml:space="preserve">mesmos possam investir em empresas transparentes e ter conhecimento sobre possíveis perdas com passivos contingentes. Assim, é necessário que apresentem informações verídicas, já que este tipo de relato, além de apresentar a real situação econômico-financeira pode resultar em uma tomada de decisão eficiente </w:t>
      </w:r>
      <w:r w:rsidRPr="006063BF">
        <w:rPr>
          <w:sz w:val="24"/>
          <w:szCs w:val="24"/>
        </w:rPr>
        <w:t xml:space="preserve">(Costa, Correia, Machado </w:t>
      </w:r>
      <w:r>
        <w:rPr>
          <w:sz w:val="24"/>
          <w:szCs w:val="24"/>
        </w:rPr>
        <w:t>&amp;</w:t>
      </w:r>
      <w:r w:rsidRPr="006063BF">
        <w:rPr>
          <w:sz w:val="24"/>
          <w:szCs w:val="24"/>
        </w:rPr>
        <w:t xml:space="preserve"> Lucena 2017; Menezes, Arruda, Cabral, Santos </w:t>
      </w:r>
      <w:r>
        <w:rPr>
          <w:sz w:val="24"/>
          <w:szCs w:val="24"/>
        </w:rPr>
        <w:t>&amp;</w:t>
      </w:r>
      <w:r w:rsidRPr="006063BF">
        <w:rPr>
          <w:sz w:val="24"/>
          <w:szCs w:val="24"/>
        </w:rPr>
        <w:t xml:space="preserve"> Pessoa 2018). </w:t>
      </w:r>
      <w:r>
        <w:rPr>
          <w:sz w:val="24"/>
          <w:szCs w:val="24"/>
          <w:highlight w:val="white"/>
        </w:rPr>
        <w:t xml:space="preserve">Mediante esta preocupação, a estruturação </w:t>
      </w:r>
      <w:r w:rsidRPr="005B5323">
        <w:rPr>
          <w:sz w:val="24"/>
          <w:szCs w:val="24"/>
        </w:rPr>
        <w:t>jurídic</w:t>
      </w:r>
      <w:r>
        <w:rPr>
          <w:sz w:val="24"/>
          <w:szCs w:val="24"/>
        </w:rPr>
        <w:t>a no Brasil,</w:t>
      </w:r>
      <w:r w:rsidRPr="005B5323">
        <w:rPr>
          <w:sz w:val="24"/>
          <w:szCs w:val="24"/>
        </w:rPr>
        <w:t xml:space="preserve"> relativ</w:t>
      </w:r>
      <w:r>
        <w:rPr>
          <w:sz w:val="24"/>
          <w:szCs w:val="24"/>
        </w:rPr>
        <w:t>a</w:t>
      </w:r>
      <w:r w:rsidRPr="005B5323">
        <w:rPr>
          <w:sz w:val="24"/>
          <w:szCs w:val="24"/>
        </w:rPr>
        <w:t xml:space="preserve"> à questão ambiental tem</w:t>
      </w:r>
      <w:r>
        <w:rPr>
          <w:sz w:val="24"/>
          <w:szCs w:val="24"/>
        </w:rPr>
        <w:t xml:space="preserve"> </w:t>
      </w:r>
      <w:r w:rsidRPr="005B5323">
        <w:rPr>
          <w:sz w:val="24"/>
          <w:szCs w:val="24"/>
        </w:rPr>
        <w:t xml:space="preserve">como </w:t>
      </w:r>
      <w:r>
        <w:rPr>
          <w:sz w:val="24"/>
          <w:szCs w:val="24"/>
        </w:rPr>
        <w:t>modelo</w:t>
      </w:r>
      <w:r w:rsidRPr="005B5323">
        <w:rPr>
          <w:sz w:val="24"/>
          <w:szCs w:val="24"/>
        </w:rPr>
        <w:t xml:space="preserve"> a Lei n°6.938/1981, </w:t>
      </w:r>
      <w:r>
        <w:rPr>
          <w:sz w:val="24"/>
          <w:szCs w:val="24"/>
        </w:rPr>
        <w:t xml:space="preserve">que foi </w:t>
      </w:r>
      <w:r w:rsidRPr="005B5323">
        <w:rPr>
          <w:sz w:val="24"/>
          <w:szCs w:val="24"/>
        </w:rPr>
        <w:t>alterada</w:t>
      </w:r>
      <w:r>
        <w:rPr>
          <w:sz w:val="24"/>
          <w:szCs w:val="24"/>
        </w:rPr>
        <w:t xml:space="preserve"> em dezembro de 2000</w:t>
      </w:r>
      <w:r w:rsidRPr="005B5323">
        <w:rPr>
          <w:sz w:val="24"/>
          <w:szCs w:val="24"/>
        </w:rPr>
        <w:t xml:space="preserve"> pela Lei n°10.165/2000, que estabelece diretrizes da</w:t>
      </w:r>
      <w:r>
        <w:rPr>
          <w:sz w:val="24"/>
          <w:szCs w:val="24"/>
        </w:rPr>
        <w:t xml:space="preserve"> </w:t>
      </w:r>
      <w:r w:rsidRPr="005B5323">
        <w:rPr>
          <w:sz w:val="24"/>
          <w:szCs w:val="24"/>
        </w:rPr>
        <w:t>Política Nacional do Meio Ambiente</w:t>
      </w:r>
      <w:r>
        <w:rPr>
          <w:sz w:val="24"/>
          <w:szCs w:val="24"/>
          <w:highlight w:val="white"/>
        </w:rPr>
        <w:t>, e também classifica as empresas de acordo com o grau de poluição e uso de recursos naturais.</w:t>
      </w:r>
    </w:p>
    <w:p w14:paraId="1EEE08E9" w14:textId="355F94DE" w:rsidR="006773B3" w:rsidRDefault="006773B3">
      <w:pPr>
        <w:ind w:firstLine="709"/>
        <w:jc w:val="both"/>
        <w:rPr>
          <w:sz w:val="24"/>
          <w:szCs w:val="24"/>
          <w:highlight w:val="white"/>
        </w:rPr>
      </w:pPr>
      <w:r>
        <w:rPr>
          <w:sz w:val="24"/>
          <w:szCs w:val="24"/>
          <w:highlight w:val="white"/>
        </w:rPr>
        <w:t xml:space="preserve">Mesmo com o exposto, </w:t>
      </w:r>
      <w:proofErr w:type="spellStart"/>
      <w:r>
        <w:rPr>
          <w:sz w:val="24"/>
          <w:szCs w:val="24"/>
          <w:highlight w:val="white"/>
        </w:rPr>
        <w:t>Mussoi</w:t>
      </w:r>
      <w:proofErr w:type="spellEnd"/>
      <w:r>
        <w:rPr>
          <w:sz w:val="24"/>
          <w:szCs w:val="24"/>
          <w:highlight w:val="white"/>
        </w:rPr>
        <w:t xml:space="preserve"> e Van </w:t>
      </w:r>
      <w:proofErr w:type="spellStart"/>
      <w:r>
        <w:rPr>
          <w:sz w:val="24"/>
          <w:szCs w:val="24"/>
          <w:highlight w:val="white"/>
        </w:rPr>
        <w:t>Bellen</w:t>
      </w:r>
      <w:proofErr w:type="spellEnd"/>
      <w:r>
        <w:rPr>
          <w:sz w:val="24"/>
          <w:szCs w:val="24"/>
          <w:highlight w:val="white"/>
        </w:rPr>
        <w:t xml:space="preserve"> (2010) </w:t>
      </w:r>
      <w:r w:rsidR="00214238">
        <w:rPr>
          <w:sz w:val="24"/>
          <w:szCs w:val="24"/>
          <w:highlight w:val="white"/>
        </w:rPr>
        <w:t xml:space="preserve">apontam </w:t>
      </w:r>
      <w:r>
        <w:rPr>
          <w:sz w:val="24"/>
          <w:szCs w:val="24"/>
          <w:highlight w:val="white"/>
        </w:rPr>
        <w:t xml:space="preserve">que as empresas acabam por evidenciar em seus relatórios, informações menos relevantes para a sociedade, deixando de lado informações realmente impactantes ao meio ambiente, como emissão de poluentes e consumo de recursos. Ainda para os autores, a falta de padronização nas informações dificulta </w:t>
      </w:r>
      <w:r>
        <w:rPr>
          <w:sz w:val="24"/>
          <w:szCs w:val="24"/>
          <w:highlight w:val="white"/>
        </w:rPr>
        <w:lastRenderedPageBreak/>
        <w:t>ao usuário comparação entre empresas diferentes e possibilitam a interpretação apenas a peritos da área ambiental.</w:t>
      </w:r>
    </w:p>
    <w:p w14:paraId="2CD886DF" w14:textId="77777777" w:rsidR="006773B3" w:rsidRDefault="006773B3">
      <w:pPr>
        <w:ind w:firstLine="709"/>
        <w:jc w:val="both"/>
        <w:rPr>
          <w:sz w:val="24"/>
          <w:szCs w:val="24"/>
        </w:rPr>
      </w:pPr>
      <w:r>
        <w:rPr>
          <w:sz w:val="24"/>
          <w:szCs w:val="24"/>
        </w:rPr>
        <w:t xml:space="preserve">Diante desse cenário, este trabalho tem por </w:t>
      </w:r>
      <w:r w:rsidRPr="00015625">
        <w:rPr>
          <w:sz w:val="24"/>
          <w:szCs w:val="24"/>
        </w:rPr>
        <w:t xml:space="preserve">objetivo </w:t>
      </w:r>
      <w:r w:rsidR="00331B55">
        <w:rPr>
          <w:sz w:val="24"/>
          <w:szCs w:val="24"/>
        </w:rPr>
        <w:t xml:space="preserve">verificar </w:t>
      </w:r>
      <w:r>
        <w:rPr>
          <w:sz w:val="24"/>
          <w:szCs w:val="24"/>
        </w:rPr>
        <w:t>como as empresas evidenciam seus</w:t>
      </w:r>
      <w:r w:rsidRPr="00015625">
        <w:rPr>
          <w:sz w:val="24"/>
          <w:szCs w:val="24"/>
        </w:rPr>
        <w:t xml:space="preserve"> passivos e contingências ambientais </w:t>
      </w:r>
      <w:r>
        <w:rPr>
          <w:sz w:val="24"/>
          <w:szCs w:val="24"/>
        </w:rPr>
        <w:t>comparando as</w:t>
      </w:r>
      <w:r w:rsidRPr="00015625">
        <w:rPr>
          <w:sz w:val="24"/>
          <w:szCs w:val="24"/>
        </w:rPr>
        <w:t xml:space="preserve"> Demonstrações Financeiras Padronizadas (DFP) e </w:t>
      </w:r>
      <w:r>
        <w:rPr>
          <w:sz w:val="24"/>
          <w:szCs w:val="24"/>
        </w:rPr>
        <w:t>os</w:t>
      </w:r>
      <w:r w:rsidRPr="00015625">
        <w:rPr>
          <w:sz w:val="24"/>
          <w:szCs w:val="24"/>
        </w:rPr>
        <w:t xml:space="preserve"> Relatórios de Sustentabilidade (RS), </w:t>
      </w:r>
      <w:r>
        <w:rPr>
          <w:sz w:val="24"/>
          <w:szCs w:val="24"/>
        </w:rPr>
        <w:t>sendo estas</w:t>
      </w:r>
      <w:r w:rsidRPr="00015625">
        <w:rPr>
          <w:sz w:val="24"/>
          <w:szCs w:val="24"/>
        </w:rPr>
        <w:t xml:space="preserve"> empresas classificadas de acordo com a Lei nº 10.165 como as com maior potencial poluidor, pertencentes ao Índice Brasil 100 (</w:t>
      </w:r>
      <w:proofErr w:type="spellStart"/>
      <w:r w:rsidRPr="00015625">
        <w:rPr>
          <w:sz w:val="24"/>
          <w:szCs w:val="24"/>
        </w:rPr>
        <w:t>IBrX</w:t>
      </w:r>
      <w:proofErr w:type="spellEnd"/>
      <w:r w:rsidRPr="00015625">
        <w:rPr>
          <w:sz w:val="24"/>
          <w:szCs w:val="24"/>
        </w:rPr>
        <w:t xml:space="preserve"> 100) da </w:t>
      </w:r>
      <w:proofErr w:type="spellStart"/>
      <w:r w:rsidRPr="00015625">
        <w:rPr>
          <w:sz w:val="24"/>
          <w:szCs w:val="24"/>
        </w:rPr>
        <w:t>BM&amp;FBovespa</w:t>
      </w:r>
      <w:proofErr w:type="spellEnd"/>
      <w:r w:rsidRPr="00015625">
        <w:rPr>
          <w:sz w:val="24"/>
          <w:szCs w:val="24"/>
        </w:rPr>
        <w:t>.</w:t>
      </w:r>
    </w:p>
    <w:p w14:paraId="09BAE3A5" w14:textId="32069C86" w:rsidR="006773B3" w:rsidRDefault="006773B3">
      <w:pPr>
        <w:ind w:firstLine="709"/>
        <w:jc w:val="both"/>
        <w:rPr>
          <w:sz w:val="24"/>
          <w:szCs w:val="24"/>
        </w:rPr>
      </w:pPr>
      <w:r>
        <w:rPr>
          <w:sz w:val="24"/>
          <w:szCs w:val="24"/>
        </w:rPr>
        <w:t>Justifica-se a pesquisa, desta forma pela importância de demonstrar por meio de verificação dos documentos contábeis, se as empresas estão cumprindo suas obrigações e pagamentos de multas ambientais</w:t>
      </w:r>
      <w:r w:rsidR="00214238">
        <w:rPr>
          <w:sz w:val="24"/>
          <w:szCs w:val="24"/>
        </w:rPr>
        <w:t>, evidenciados em informações</w:t>
      </w:r>
      <w:r>
        <w:rPr>
          <w:sz w:val="24"/>
          <w:szCs w:val="24"/>
        </w:rPr>
        <w:t xml:space="preserve">. Além disso, é relevante ter </w:t>
      </w:r>
      <w:r w:rsidR="00B26888">
        <w:rPr>
          <w:sz w:val="24"/>
          <w:szCs w:val="24"/>
        </w:rPr>
        <w:t>conhecimento</w:t>
      </w:r>
      <w:r>
        <w:rPr>
          <w:sz w:val="24"/>
          <w:szCs w:val="24"/>
        </w:rPr>
        <w:t xml:space="preserve"> </w:t>
      </w:r>
      <w:r w:rsidR="00B26888">
        <w:rPr>
          <w:sz w:val="24"/>
          <w:szCs w:val="24"/>
        </w:rPr>
        <w:t xml:space="preserve">de </w:t>
      </w:r>
      <w:r>
        <w:rPr>
          <w:sz w:val="24"/>
          <w:szCs w:val="24"/>
        </w:rPr>
        <w:t xml:space="preserve">onde as mesmas </w:t>
      </w:r>
      <w:r w:rsidRPr="00015625">
        <w:rPr>
          <w:sz w:val="24"/>
          <w:szCs w:val="24"/>
        </w:rPr>
        <w:t xml:space="preserve">estão evidenciando suas penalidades, para que o usuário tenha acesso a tais </w:t>
      </w:r>
      <w:r w:rsidR="00214238" w:rsidRPr="00015625">
        <w:rPr>
          <w:sz w:val="24"/>
          <w:szCs w:val="24"/>
        </w:rPr>
        <w:t>elementos</w:t>
      </w:r>
      <w:r w:rsidRPr="00015625">
        <w:rPr>
          <w:sz w:val="24"/>
          <w:szCs w:val="24"/>
        </w:rPr>
        <w:t>.</w:t>
      </w:r>
    </w:p>
    <w:p w14:paraId="61BBE11E" w14:textId="77777777" w:rsidR="006773B3" w:rsidRDefault="006773B3">
      <w:pPr>
        <w:widowControl w:val="0"/>
        <w:ind w:firstLine="709"/>
        <w:rPr>
          <w:b/>
          <w:color w:val="003D4C"/>
          <w:sz w:val="24"/>
          <w:szCs w:val="24"/>
        </w:rPr>
      </w:pPr>
    </w:p>
    <w:p w14:paraId="7FB8343B" w14:textId="77777777" w:rsidR="006773B3" w:rsidRDefault="006773B3">
      <w:pPr>
        <w:jc w:val="both"/>
        <w:rPr>
          <w:b/>
          <w:sz w:val="24"/>
          <w:szCs w:val="24"/>
          <w:highlight w:val="white"/>
        </w:rPr>
      </w:pPr>
      <w:r>
        <w:rPr>
          <w:b/>
          <w:sz w:val="24"/>
          <w:szCs w:val="24"/>
          <w:highlight w:val="white"/>
        </w:rPr>
        <w:t>2 Referencial Teórico</w:t>
      </w:r>
    </w:p>
    <w:p w14:paraId="58B8B0B2" w14:textId="77777777" w:rsidR="006773B3" w:rsidRDefault="006773B3">
      <w:pPr>
        <w:jc w:val="both"/>
        <w:rPr>
          <w:sz w:val="24"/>
          <w:szCs w:val="24"/>
          <w:highlight w:val="white"/>
        </w:rPr>
      </w:pPr>
    </w:p>
    <w:p w14:paraId="405F80D8" w14:textId="77777777" w:rsidR="006773B3" w:rsidRDefault="006773B3" w:rsidP="000003CD">
      <w:pPr>
        <w:ind w:firstLine="720"/>
        <w:jc w:val="both"/>
        <w:rPr>
          <w:sz w:val="24"/>
          <w:szCs w:val="24"/>
          <w:highlight w:val="white"/>
        </w:rPr>
      </w:pPr>
      <w:r>
        <w:rPr>
          <w:sz w:val="24"/>
          <w:szCs w:val="24"/>
          <w:highlight w:val="white"/>
        </w:rPr>
        <w:t xml:space="preserve">Neste tópico é apresentado e discutido sobre passivos e contingências ambientais, sobre a evolução e evidenciação destes passivos pelas empresas e também apresentados os principais estudos abrangidos neste trabalho. </w:t>
      </w:r>
    </w:p>
    <w:p w14:paraId="2ADEB2B1" w14:textId="77777777" w:rsidR="006773B3" w:rsidRDefault="006773B3" w:rsidP="000003CD">
      <w:pPr>
        <w:ind w:firstLine="720"/>
        <w:jc w:val="both"/>
        <w:rPr>
          <w:sz w:val="24"/>
          <w:szCs w:val="24"/>
          <w:highlight w:val="white"/>
        </w:rPr>
      </w:pPr>
    </w:p>
    <w:p w14:paraId="3C79EA12" w14:textId="77777777" w:rsidR="006773B3" w:rsidRDefault="006773B3">
      <w:pPr>
        <w:jc w:val="both"/>
        <w:rPr>
          <w:sz w:val="24"/>
          <w:szCs w:val="24"/>
          <w:highlight w:val="white"/>
        </w:rPr>
      </w:pPr>
      <w:r>
        <w:rPr>
          <w:sz w:val="24"/>
          <w:szCs w:val="24"/>
          <w:highlight w:val="white"/>
        </w:rPr>
        <w:t>2.1 Passivos e Contingências Ambientais</w:t>
      </w:r>
    </w:p>
    <w:p w14:paraId="2C15901A" w14:textId="77777777" w:rsidR="006773B3" w:rsidRDefault="006773B3">
      <w:pPr>
        <w:jc w:val="both"/>
        <w:rPr>
          <w:sz w:val="24"/>
          <w:szCs w:val="24"/>
          <w:highlight w:val="white"/>
        </w:rPr>
      </w:pPr>
    </w:p>
    <w:p w14:paraId="52460DEF" w14:textId="77777777" w:rsidR="006773B3" w:rsidRDefault="006773B3">
      <w:pPr>
        <w:ind w:firstLine="709"/>
        <w:jc w:val="both"/>
        <w:rPr>
          <w:sz w:val="24"/>
          <w:szCs w:val="24"/>
          <w:highlight w:val="white"/>
        </w:rPr>
      </w:pPr>
      <w:r>
        <w:rPr>
          <w:sz w:val="24"/>
          <w:szCs w:val="24"/>
          <w:highlight w:val="white"/>
        </w:rPr>
        <w:t>Passivo ambiental é toda obrigação contraída voluntária ou involuntariamente destinada a aplicação em ações de controle, preservação e recuperação do meio ambiente, originando, como contrapartida, um ativo ou custo ambiental (Santos, Silva &amp; Souza, 2001).</w:t>
      </w:r>
    </w:p>
    <w:p w14:paraId="64917784" w14:textId="77777777" w:rsidR="006773B3" w:rsidRDefault="006773B3">
      <w:pPr>
        <w:ind w:firstLine="709"/>
        <w:jc w:val="both"/>
        <w:rPr>
          <w:sz w:val="24"/>
          <w:szCs w:val="24"/>
          <w:highlight w:val="white"/>
        </w:rPr>
      </w:pPr>
      <w:r>
        <w:rPr>
          <w:sz w:val="24"/>
          <w:szCs w:val="24"/>
        </w:rPr>
        <w:t>Os passivos contingentes possuem normas específicas e são regulados pelo FASB (</w:t>
      </w:r>
      <w:r w:rsidRPr="00214238">
        <w:rPr>
          <w:i/>
          <w:sz w:val="24"/>
          <w:szCs w:val="24"/>
        </w:rPr>
        <w:t>Financial Accounting Standards Board</w:t>
      </w:r>
      <w:r>
        <w:rPr>
          <w:sz w:val="24"/>
          <w:szCs w:val="24"/>
        </w:rPr>
        <w:t xml:space="preserve">) e IASB </w:t>
      </w:r>
      <w:r w:rsidRPr="000003CD">
        <w:rPr>
          <w:sz w:val="24"/>
          <w:szCs w:val="24"/>
        </w:rPr>
        <w:t>(</w:t>
      </w:r>
      <w:proofErr w:type="spellStart"/>
      <w:r w:rsidRPr="00214238">
        <w:rPr>
          <w:bCs/>
          <w:i/>
          <w:sz w:val="24"/>
          <w:szCs w:val="24"/>
        </w:rPr>
        <w:t>International</w:t>
      </w:r>
      <w:proofErr w:type="spellEnd"/>
      <w:r w:rsidRPr="00214238">
        <w:rPr>
          <w:bCs/>
          <w:i/>
          <w:sz w:val="24"/>
          <w:szCs w:val="24"/>
        </w:rPr>
        <w:t xml:space="preserve"> </w:t>
      </w:r>
      <w:proofErr w:type="spellStart"/>
      <w:r w:rsidRPr="00214238">
        <w:rPr>
          <w:bCs/>
          <w:i/>
          <w:sz w:val="24"/>
          <w:szCs w:val="24"/>
        </w:rPr>
        <w:t>Accounting</w:t>
      </w:r>
      <w:proofErr w:type="spellEnd"/>
      <w:r w:rsidRPr="00214238">
        <w:rPr>
          <w:bCs/>
          <w:i/>
          <w:sz w:val="24"/>
          <w:szCs w:val="24"/>
        </w:rPr>
        <w:t xml:space="preserve"> Standards</w:t>
      </w:r>
      <w:r w:rsidRPr="00214238">
        <w:rPr>
          <w:i/>
          <w:sz w:val="24"/>
          <w:szCs w:val="24"/>
        </w:rPr>
        <w:t> Board</w:t>
      </w:r>
      <w:r>
        <w:rPr>
          <w:sz w:val="24"/>
          <w:szCs w:val="24"/>
        </w:rPr>
        <w:t xml:space="preserve">), no Brasil é aplicado o CPC 25 - Provisões, Passivos Contingentes e Ativos Contingentes, que se tornou obrigatório em 2010. </w:t>
      </w:r>
      <w:r>
        <w:rPr>
          <w:sz w:val="24"/>
          <w:szCs w:val="24"/>
          <w:highlight w:val="white"/>
        </w:rPr>
        <w:t xml:space="preserve">Em concordância com o CPC 25 (2009, p. 4), passivo contingente é: </w:t>
      </w:r>
    </w:p>
    <w:p w14:paraId="3BA30029" w14:textId="77777777" w:rsidR="006773B3" w:rsidRDefault="006773B3">
      <w:pPr>
        <w:ind w:firstLine="709"/>
        <w:jc w:val="both"/>
        <w:rPr>
          <w:sz w:val="24"/>
          <w:szCs w:val="24"/>
          <w:highlight w:val="white"/>
        </w:rPr>
      </w:pPr>
    </w:p>
    <w:p w14:paraId="7749EC60" w14:textId="77777777" w:rsidR="006773B3" w:rsidRPr="006063BF" w:rsidRDefault="006773B3" w:rsidP="006063BF">
      <w:pPr>
        <w:ind w:left="2268"/>
        <w:jc w:val="both"/>
        <w:rPr>
          <w:szCs w:val="24"/>
          <w:highlight w:val="white"/>
        </w:rPr>
      </w:pPr>
      <w:r w:rsidRPr="006063BF">
        <w:rPr>
          <w:szCs w:val="24"/>
          <w:highlight w:val="white"/>
        </w:rPr>
        <w:t xml:space="preserve">(a) uma obrigação possível que resulta de eventos passados e cuja existência será confirmada apenas pela ocorrência ou não de um ou mais eventos futuros incertos não totalmente sob controle da entidade; ou </w:t>
      </w:r>
    </w:p>
    <w:p w14:paraId="69FE03A7" w14:textId="77777777" w:rsidR="006773B3" w:rsidRDefault="006773B3" w:rsidP="006063BF">
      <w:pPr>
        <w:ind w:left="2268"/>
        <w:jc w:val="both"/>
        <w:rPr>
          <w:szCs w:val="24"/>
          <w:highlight w:val="white"/>
        </w:rPr>
      </w:pPr>
      <w:r w:rsidRPr="006063BF">
        <w:rPr>
          <w:szCs w:val="24"/>
          <w:highlight w:val="white"/>
        </w:rPr>
        <w:t>(b) uma obrigação presente que resulta de eventos passados, mas que não é reconhecida porque: (i) não é provável que uma saída de recursos que incorporam benefícios econômicos seja exigida para liquidar a obrigação; ou (ii) o valor da obrigação não pode ser mensurado com suficiente confiabilidade.</w:t>
      </w:r>
    </w:p>
    <w:p w14:paraId="50DF0358" w14:textId="77777777" w:rsidR="006773B3" w:rsidRPr="006063BF" w:rsidRDefault="006773B3" w:rsidP="006063BF">
      <w:pPr>
        <w:ind w:left="2268"/>
        <w:jc w:val="both"/>
        <w:rPr>
          <w:szCs w:val="24"/>
          <w:highlight w:val="white"/>
        </w:rPr>
      </w:pPr>
    </w:p>
    <w:p w14:paraId="16903378" w14:textId="77777777" w:rsidR="006773B3" w:rsidRDefault="006773B3">
      <w:pPr>
        <w:ind w:firstLine="709"/>
        <w:jc w:val="both"/>
        <w:rPr>
          <w:sz w:val="24"/>
          <w:szCs w:val="24"/>
          <w:highlight w:val="white"/>
        </w:rPr>
      </w:pPr>
      <w:r>
        <w:rPr>
          <w:sz w:val="24"/>
          <w:szCs w:val="24"/>
          <w:highlight w:val="white"/>
        </w:rPr>
        <w:t xml:space="preserve">Passivos ambientais podem ser compreendidos como o conjunto de todas as obrigações que a empresa possui com a natureza, e até mesmo com a sociedade, de reparar possíveis danos causados no passado. Ou seja, se a empresa prejudicou o meio ambiente precisa reparar os danos causados no passado, visto isso, as entidades realizam investimentos em prol de </w:t>
      </w:r>
      <w:r>
        <w:rPr>
          <w:sz w:val="24"/>
          <w:szCs w:val="24"/>
          <w:highlight w:val="white"/>
        </w:rPr>
        <w:lastRenderedPageBreak/>
        <w:t xml:space="preserve">benefícios ao meio ambiente. Investimentos esses, que devem ser mensurados de forma equivalente aos danos causados. </w:t>
      </w:r>
    </w:p>
    <w:p w14:paraId="351336AB" w14:textId="77777777" w:rsidR="006773B3" w:rsidRDefault="006773B3">
      <w:pPr>
        <w:ind w:firstLine="709"/>
        <w:jc w:val="both"/>
        <w:rPr>
          <w:sz w:val="24"/>
          <w:szCs w:val="24"/>
          <w:highlight w:val="white"/>
        </w:rPr>
      </w:pPr>
      <w:r>
        <w:rPr>
          <w:sz w:val="24"/>
          <w:szCs w:val="24"/>
          <w:highlight w:val="white"/>
        </w:rPr>
        <w:t xml:space="preserve">Na visão de Conceição, </w:t>
      </w:r>
      <w:proofErr w:type="spellStart"/>
      <w:r>
        <w:rPr>
          <w:sz w:val="24"/>
          <w:szCs w:val="24"/>
          <w:highlight w:val="white"/>
        </w:rPr>
        <w:t>Finhani</w:t>
      </w:r>
      <w:proofErr w:type="spellEnd"/>
      <w:r>
        <w:rPr>
          <w:sz w:val="24"/>
          <w:szCs w:val="24"/>
          <w:highlight w:val="white"/>
        </w:rPr>
        <w:t>, Junior e Alonso (2014, p. 4), passivo ambiental “refere-se a benefícios econômicos, que serão sacrificados em função de obrigações contraídas voluntária ou involuntariamente destinadas á aplicação em ações de controle, preservação e recuperação do meio ambiente perante terceiros, como contrapartida um ativo ou custo ambiental”.</w:t>
      </w:r>
    </w:p>
    <w:p w14:paraId="3D25212D" w14:textId="77777777" w:rsidR="006773B3" w:rsidRDefault="006773B3">
      <w:pPr>
        <w:ind w:firstLine="709"/>
        <w:jc w:val="both"/>
        <w:rPr>
          <w:sz w:val="24"/>
          <w:szCs w:val="24"/>
          <w:highlight w:val="white"/>
        </w:rPr>
      </w:pPr>
      <w:r>
        <w:rPr>
          <w:sz w:val="24"/>
          <w:szCs w:val="24"/>
        </w:rPr>
        <w:t>Logo, nos dizeres de Costa, Correia, Machado e Lucena (2017) a geração de uma informação fidedigna e compatível com as informações utilizadas gerencialmente para os usuários externos, resultará em uma tomada de decisão eficiente. Ou seja, a divulgação das contingências é importante, principalmente para os usuários externos, para que possam ter acesso a informações sobre possíveis perdas com passivos contingentes.</w:t>
      </w:r>
    </w:p>
    <w:p w14:paraId="54769A22" w14:textId="77777777" w:rsidR="006773B3" w:rsidRDefault="006773B3" w:rsidP="006063BF">
      <w:pPr>
        <w:jc w:val="both"/>
        <w:rPr>
          <w:sz w:val="24"/>
          <w:szCs w:val="24"/>
          <w:highlight w:val="white"/>
        </w:rPr>
      </w:pPr>
    </w:p>
    <w:p w14:paraId="6503DB92" w14:textId="77777777" w:rsidR="006773B3" w:rsidRPr="006063BF" w:rsidRDefault="006773B3" w:rsidP="00E36CF3">
      <w:pPr>
        <w:jc w:val="both"/>
        <w:rPr>
          <w:sz w:val="24"/>
          <w:szCs w:val="24"/>
        </w:rPr>
      </w:pPr>
      <w:r w:rsidRPr="006063BF">
        <w:rPr>
          <w:sz w:val="24"/>
          <w:szCs w:val="24"/>
        </w:rPr>
        <w:t>2.</w:t>
      </w:r>
      <w:r>
        <w:rPr>
          <w:sz w:val="24"/>
          <w:szCs w:val="24"/>
        </w:rPr>
        <w:t>2</w:t>
      </w:r>
      <w:r w:rsidRPr="006063BF">
        <w:rPr>
          <w:sz w:val="24"/>
          <w:szCs w:val="24"/>
        </w:rPr>
        <w:t xml:space="preserve"> Evidenciação Ambiental</w:t>
      </w:r>
      <w:r>
        <w:rPr>
          <w:sz w:val="24"/>
          <w:szCs w:val="24"/>
        </w:rPr>
        <w:t xml:space="preserve"> e Relatórios de Sustentabilidade</w:t>
      </w:r>
    </w:p>
    <w:p w14:paraId="600B6C58" w14:textId="77777777" w:rsidR="006773B3" w:rsidRPr="006063BF" w:rsidRDefault="006773B3" w:rsidP="006063BF">
      <w:pPr>
        <w:ind w:firstLine="709"/>
        <w:jc w:val="both"/>
        <w:rPr>
          <w:sz w:val="24"/>
          <w:szCs w:val="24"/>
        </w:rPr>
      </w:pPr>
    </w:p>
    <w:p w14:paraId="314852EC" w14:textId="77777777" w:rsidR="006773B3" w:rsidRPr="006063BF" w:rsidRDefault="006773B3" w:rsidP="006063BF">
      <w:pPr>
        <w:ind w:firstLine="709"/>
        <w:jc w:val="both"/>
        <w:rPr>
          <w:sz w:val="24"/>
          <w:szCs w:val="24"/>
        </w:rPr>
      </w:pPr>
      <w:r w:rsidRPr="006063BF">
        <w:rPr>
          <w:sz w:val="24"/>
          <w:szCs w:val="24"/>
        </w:rPr>
        <w:t>Foi na década de 70 que a preocupação com o meio ambiente cresceu, com a crise do petróleo, preocupação com a poluição em massa, racionalização do uso de energia, entre outros fatores. Porém, foi na década de 80 que essas preocupações se enfatizaram, com surgimento de empresas estudando os impactos causados ao meio ambiente, e posteriormente nos anos 90 que de fato essas preocupações ganharam grande impacto, com conceitos de certificação, criação de normas e protocolos (Pereira, 2007).</w:t>
      </w:r>
    </w:p>
    <w:p w14:paraId="3EA1F13D" w14:textId="23FF44FA" w:rsidR="006773B3" w:rsidRDefault="006773B3" w:rsidP="006063BF">
      <w:pPr>
        <w:ind w:firstLine="709"/>
        <w:jc w:val="both"/>
        <w:rPr>
          <w:sz w:val="24"/>
          <w:szCs w:val="24"/>
        </w:rPr>
      </w:pPr>
      <w:r w:rsidRPr="006063BF">
        <w:rPr>
          <w:sz w:val="24"/>
          <w:szCs w:val="24"/>
        </w:rPr>
        <w:t>Com a evolução da contabilidade ambiental</w:t>
      </w:r>
      <w:r w:rsidR="006165D0">
        <w:rPr>
          <w:sz w:val="24"/>
          <w:szCs w:val="24"/>
        </w:rPr>
        <w:t>,</w:t>
      </w:r>
      <w:r w:rsidRPr="006063BF">
        <w:rPr>
          <w:sz w:val="24"/>
          <w:szCs w:val="24"/>
        </w:rPr>
        <w:t xml:space="preserve"> as companhias necessitavam transmitir informações confiáveis para seus investidores, evidenciação</w:t>
      </w:r>
      <w:r>
        <w:rPr>
          <w:sz w:val="24"/>
          <w:szCs w:val="24"/>
        </w:rPr>
        <w:t xml:space="preserve"> essa também </w:t>
      </w:r>
      <w:r w:rsidRPr="006063BF">
        <w:rPr>
          <w:sz w:val="24"/>
          <w:szCs w:val="24"/>
        </w:rPr>
        <w:t xml:space="preserve">chamada de </w:t>
      </w:r>
      <w:proofErr w:type="spellStart"/>
      <w:r w:rsidRPr="008B4BC8">
        <w:rPr>
          <w:i/>
          <w:sz w:val="24"/>
          <w:szCs w:val="24"/>
        </w:rPr>
        <w:t>disclosure</w:t>
      </w:r>
      <w:proofErr w:type="spellEnd"/>
      <w:r w:rsidRPr="006063BF">
        <w:rPr>
          <w:sz w:val="24"/>
          <w:szCs w:val="24"/>
        </w:rPr>
        <w:t>.</w:t>
      </w:r>
      <w:r>
        <w:rPr>
          <w:sz w:val="24"/>
          <w:szCs w:val="24"/>
        </w:rPr>
        <w:t xml:space="preserve"> </w:t>
      </w:r>
      <w:r w:rsidRPr="006063BF">
        <w:rPr>
          <w:sz w:val="24"/>
          <w:szCs w:val="24"/>
        </w:rPr>
        <w:t>De acordo c</w:t>
      </w:r>
      <w:r w:rsidR="00FD67B6">
        <w:rPr>
          <w:sz w:val="24"/>
          <w:szCs w:val="24"/>
        </w:rPr>
        <w:t xml:space="preserve">om Dantas, </w:t>
      </w:r>
      <w:proofErr w:type="spellStart"/>
      <w:r w:rsidR="00FD67B6" w:rsidRPr="00FD67B6">
        <w:rPr>
          <w:sz w:val="24"/>
          <w:szCs w:val="24"/>
        </w:rPr>
        <w:t>Zendersky</w:t>
      </w:r>
      <w:proofErr w:type="spellEnd"/>
      <w:r w:rsidR="00FD67B6">
        <w:rPr>
          <w:sz w:val="24"/>
          <w:szCs w:val="24"/>
        </w:rPr>
        <w:t xml:space="preserve">, </w:t>
      </w:r>
      <w:r w:rsidR="00FD67B6" w:rsidRPr="00FD67B6">
        <w:rPr>
          <w:sz w:val="24"/>
          <w:szCs w:val="24"/>
        </w:rPr>
        <w:t>Santos</w:t>
      </w:r>
      <w:r w:rsidR="00FD67B6">
        <w:rPr>
          <w:sz w:val="24"/>
          <w:szCs w:val="24"/>
        </w:rPr>
        <w:t xml:space="preserve"> e </w:t>
      </w:r>
      <w:proofErr w:type="spellStart"/>
      <w:r w:rsidR="00FD67B6" w:rsidRPr="00FD67B6">
        <w:rPr>
          <w:sz w:val="24"/>
          <w:szCs w:val="24"/>
        </w:rPr>
        <w:t>Niyama</w:t>
      </w:r>
      <w:proofErr w:type="spellEnd"/>
      <w:r w:rsidR="00FD67B6">
        <w:rPr>
          <w:sz w:val="24"/>
          <w:szCs w:val="24"/>
        </w:rPr>
        <w:t xml:space="preserve"> </w:t>
      </w:r>
      <w:r w:rsidRPr="006063BF">
        <w:rPr>
          <w:sz w:val="24"/>
          <w:szCs w:val="24"/>
        </w:rPr>
        <w:t xml:space="preserve">(2005), existe uma abrangência entre </w:t>
      </w:r>
      <w:proofErr w:type="spellStart"/>
      <w:r w:rsidRPr="008B4BC8">
        <w:rPr>
          <w:i/>
          <w:sz w:val="24"/>
          <w:szCs w:val="24"/>
        </w:rPr>
        <w:t>disclosure</w:t>
      </w:r>
      <w:proofErr w:type="spellEnd"/>
      <w:r w:rsidRPr="006063BF">
        <w:rPr>
          <w:sz w:val="24"/>
          <w:szCs w:val="24"/>
        </w:rPr>
        <w:t xml:space="preserve"> e a definição de transparência, afirmando que a evidenciação não significa apenas divulgar informações, mas sim as divulgar com qualidade, oportunidade e clareza.</w:t>
      </w:r>
    </w:p>
    <w:p w14:paraId="65B09244" w14:textId="77777777" w:rsidR="006773B3" w:rsidRPr="006063BF" w:rsidRDefault="006773B3" w:rsidP="006063BF">
      <w:pPr>
        <w:ind w:firstLine="709"/>
        <w:jc w:val="both"/>
        <w:rPr>
          <w:sz w:val="24"/>
          <w:szCs w:val="24"/>
        </w:rPr>
      </w:pPr>
    </w:p>
    <w:p w14:paraId="41E82421" w14:textId="77777777" w:rsidR="006773B3" w:rsidRDefault="006773B3" w:rsidP="006063BF">
      <w:pPr>
        <w:ind w:left="2268"/>
        <w:jc w:val="both"/>
        <w:rPr>
          <w:szCs w:val="24"/>
        </w:rPr>
      </w:pPr>
      <w:r w:rsidRPr="006063BF">
        <w:rPr>
          <w:szCs w:val="24"/>
        </w:rPr>
        <w:t xml:space="preserve">Nesse sentido, para alcançar a transparência pretendida com o </w:t>
      </w:r>
      <w:proofErr w:type="spellStart"/>
      <w:r w:rsidRPr="006063BF">
        <w:rPr>
          <w:szCs w:val="24"/>
        </w:rPr>
        <w:t>disclosure</w:t>
      </w:r>
      <w:proofErr w:type="spellEnd"/>
      <w:r w:rsidRPr="006063BF">
        <w:rPr>
          <w:szCs w:val="24"/>
        </w:rPr>
        <w:t>, a instituição deve divulgar informações qualitativas e quantitativas que possibilitem aos usuários formar uma compreensão das atividades desenvolvidas e dos seus riscos, observando os aspectos de tempestividade, detalhamento e relevância necessários (Dantas et al, 2005, p. 57-58)</w:t>
      </w:r>
      <w:r>
        <w:rPr>
          <w:szCs w:val="24"/>
        </w:rPr>
        <w:t>.</w:t>
      </w:r>
    </w:p>
    <w:p w14:paraId="01BECF46" w14:textId="77777777" w:rsidR="006773B3" w:rsidRPr="006063BF" w:rsidRDefault="006773B3" w:rsidP="006063BF">
      <w:pPr>
        <w:ind w:left="2268" w:firstLine="709"/>
        <w:jc w:val="both"/>
        <w:rPr>
          <w:szCs w:val="24"/>
        </w:rPr>
      </w:pPr>
    </w:p>
    <w:p w14:paraId="10225646" w14:textId="77777777" w:rsidR="006773B3" w:rsidRPr="006063BF" w:rsidRDefault="006773B3" w:rsidP="006063BF">
      <w:pPr>
        <w:ind w:firstLine="709"/>
        <w:jc w:val="both"/>
        <w:rPr>
          <w:sz w:val="24"/>
          <w:szCs w:val="24"/>
        </w:rPr>
      </w:pPr>
      <w:r w:rsidRPr="006063BF">
        <w:rPr>
          <w:sz w:val="24"/>
          <w:szCs w:val="24"/>
        </w:rPr>
        <w:t>Segundo Correa</w:t>
      </w:r>
      <w:r w:rsidR="00FD67B6">
        <w:rPr>
          <w:sz w:val="24"/>
          <w:szCs w:val="24"/>
        </w:rPr>
        <w:t xml:space="preserve">, Gonçalves, Sanches e Moraes </w:t>
      </w:r>
      <w:r w:rsidRPr="006063BF">
        <w:rPr>
          <w:sz w:val="24"/>
          <w:szCs w:val="24"/>
        </w:rPr>
        <w:t>(2017), tal divulgação pode ser voluntária, quando publicada de forma espontânea pelas empresas, ou podem se dar de forma compulsória se assim for determinada por lei.</w:t>
      </w:r>
    </w:p>
    <w:p w14:paraId="1054647F" w14:textId="77777777" w:rsidR="006773B3" w:rsidRPr="006063BF" w:rsidRDefault="006773B3" w:rsidP="006063BF">
      <w:pPr>
        <w:ind w:firstLine="709"/>
        <w:jc w:val="both"/>
        <w:rPr>
          <w:sz w:val="24"/>
          <w:szCs w:val="24"/>
        </w:rPr>
      </w:pPr>
      <w:r w:rsidRPr="006063BF">
        <w:rPr>
          <w:sz w:val="24"/>
          <w:szCs w:val="24"/>
        </w:rPr>
        <w:t xml:space="preserve">De acordo com os autores, no Brasil não há obrigatoriedade para a prática de </w:t>
      </w:r>
      <w:proofErr w:type="spellStart"/>
      <w:r w:rsidRPr="008B4BC8">
        <w:rPr>
          <w:i/>
          <w:sz w:val="24"/>
          <w:szCs w:val="24"/>
        </w:rPr>
        <w:t>disclosure</w:t>
      </w:r>
      <w:proofErr w:type="spellEnd"/>
      <w:r w:rsidRPr="006063BF">
        <w:rPr>
          <w:sz w:val="24"/>
          <w:szCs w:val="24"/>
        </w:rPr>
        <w:t xml:space="preserve"> ambiental, apenas recomendações às empresas, como as contidas no Parecer de Orientação n.º 15/87 da Comissão de Valores Mobiliários (CVM), a Norma e Procedimento de Auditoria n.º </w:t>
      </w:r>
      <w:r w:rsidRPr="006063BF">
        <w:rPr>
          <w:sz w:val="24"/>
          <w:szCs w:val="24"/>
        </w:rPr>
        <w:lastRenderedPageBreak/>
        <w:t>11 do Instituto dos Auditores Independentes do Brasil (IBRACON) e na Resolução nº. 1.003/04 do Conselho Federal de Contabilidade (CFC).</w:t>
      </w:r>
    </w:p>
    <w:p w14:paraId="684FE286" w14:textId="64F2FB8E" w:rsidR="006773B3" w:rsidRDefault="006773B3">
      <w:pPr>
        <w:ind w:firstLine="709"/>
        <w:jc w:val="both"/>
        <w:rPr>
          <w:sz w:val="24"/>
          <w:szCs w:val="24"/>
          <w:highlight w:val="white"/>
        </w:rPr>
      </w:pPr>
      <w:r w:rsidRPr="006063BF">
        <w:rPr>
          <w:sz w:val="24"/>
          <w:szCs w:val="24"/>
        </w:rPr>
        <w:t>Já que não há uma obrigatoriedade, muitas empresas evidenciam apenas o que é positivo, dificultando informações de qualidade e confiáveis</w:t>
      </w:r>
      <w:r>
        <w:rPr>
          <w:sz w:val="24"/>
          <w:szCs w:val="24"/>
        </w:rPr>
        <w:t xml:space="preserve">. </w:t>
      </w:r>
      <w:r>
        <w:rPr>
          <w:sz w:val="24"/>
          <w:szCs w:val="24"/>
          <w:highlight w:val="white"/>
        </w:rPr>
        <w:t xml:space="preserve">Não há previsão legal sobre a elaboração e a divulgação do Relatório de Sustentabilidade, sendo assim, é facultada a entidade a publicação ou não do mesmo. Contudo, </w:t>
      </w:r>
      <w:proofErr w:type="spellStart"/>
      <w:r>
        <w:rPr>
          <w:sz w:val="24"/>
          <w:szCs w:val="24"/>
          <w:highlight w:val="white"/>
        </w:rPr>
        <w:t>Ligteringen</w:t>
      </w:r>
      <w:proofErr w:type="spellEnd"/>
      <w:r>
        <w:rPr>
          <w:sz w:val="24"/>
          <w:szCs w:val="24"/>
          <w:highlight w:val="white"/>
        </w:rPr>
        <w:t xml:space="preserve"> (2012) explicou que a elaboração de um Relatório de Sustentabilidade é uma técnica de mensuração e publicação do desempenho sustentável. Ainda de acordo com</w:t>
      </w:r>
      <w:r w:rsidR="0042028A">
        <w:rPr>
          <w:sz w:val="24"/>
          <w:szCs w:val="24"/>
          <w:highlight w:val="white"/>
        </w:rPr>
        <w:t xml:space="preserve"> </w:t>
      </w:r>
      <w:r w:rsidR="003B7E0C">
        <w:rPr>
          <w:sz w:val="24"/>
          <w:szCs w:val="24"/>
          <w:highlight w:val="white"/>
        </w:rPr>
        <w:t>o autor</w:t>
      </w:r>
      <w:r>
        <w:rPr>
          <w:sz w:val="24"/>
          <w:szCs w:val="24"/>
          <w:highlight w:val="white"/>
        </w:rPr>
        <w:t>, a sua divulgação pode ser publicada trimestralmente, e permite a empresa fazer três coisas: (i) Desenvolver uma estratégia de gestão voltada para o futuro, baseada em informações consistentes sobre os impactos positivos e negativos da sustentabilidade, tanto causados pela empresa como por fatores externos, tais como alterações climáticas ou questões de direitos humanos; (ii) Melhorar o diálogo entre os acionistas, o que auxilia as empresas a identificar riscos e oportunidades ligados à sustentabilidade; e, (iii) Ajudar a mudar a mentalidade, buscando o que faz sentido para os negócios em um mundo dinâmico, onde importa não somente o âmbito financeiro, mas também o econômico, o social e o ambiental.</w:t>
      </w:r>
    </w:p>
    <w:p w14:paraId="5BB21661" w14:textId="77777777" w:rsidR="006773B3" w:rsidRDefault="006773B3">
      <w:pPr>
        <w:ind w:firstLine="709"/>
        <w:jc w:val="both"/>
        <w:rPr>
          <w:sz w:val="24"/>
          <w:szCs w:val="24"/>
          <w:highlight w:val="white"/>
        </w:rPr>
      </w:pPr>
      <w:r>
        <w:rPr>
          <w:sz w:val="24"/>
          <w:szCs w:val="24"/>
          <w:highlight w:val="white"/>
        </w:rPr>
        <w:t xml:space="preserve">Transparecendo assim, que as divulgações desses relatórios são, também, de interesse público, pois permitem uma divulgação dos impactos ambientais negativos que as empresas possuem. Possibilitando que, além dos acionistas, os governos analisem e tomem medidas quanto ao grau de danos ambientais que certas empresas causam, podendo assim, adotar medidas a respeito. </w:t>
      </w:r>
    </w:p>
    <w:p w14:paraId="5A117010" w14:textId="77777777" w:rsidR="006773B3" w:rsidRDefault="006773B3">
      <w:pPr>
        <w:ind w:firstLine="708"/>
        <w:jc w:val="both"/>
        <w:rPr>
          <w:sz w:val="24"/>
          <w:szCs w:val="24"/>
          <w:highlight w:val="white"/>
        </w:rPr>
      </w:pPr>
      <w:r>
        <w:rPr>
          <w:sz w:val="24"/>
          <w:szCs w:val="24"/>
          <w:highlight w:val="white"/>
        </w:rPr>
        <w:t xml:space="preserve">Por se tratar de um assunto que engloba diferentes públicos e interesses, há pesquisadores que direcionaram seus estudos sobre as evidenciações de passivos e contingências ambientais em diferentes segmentos. </w:t>
      </w:r>
    </w:p>
    <w:p w14:paraId="6A04F412" w14:textId="77777777" w:rsidR="006773B3" w:rsidRDefault="006773B3">
      <w:pPr>
        <w:ind w:firstLine="709"/>
        <w:jc w:val="both"/>
        <w:rPr>
          <w:sz w:val="24"/>
          <w:szCs w:val="24"/>
          <w:highlight w:val="white"/>
        </w:rPr>
      </w:pPr>
      <w:r w:rsidRPr="005D5B8C">
        <w:rPr>
          <w:sz w:val="24"/>
          <w:szCs w:val="24"/>
        </w:rPr>
        <w:t>Rover, Alves e Borba</w:t>
      </w:r>
      <w:r>
        <w:rPr>
          <w:sz w:val="24"/>
          <w:szCs w:val="24"/>
        </w:rPr>
        <w:t xml:space="preserve"> </w:t>
      </w:r>
      <w:r w:rsidRPr="005D5B8C">
        <w:rPr>
          <w:sz w:val="24"/>
          <w:szCs w:val="24"/>
        </w:rPr>
        <w:t xml:space="preserve">(2006) </w:t>
      </w:r>
      <w:r>
        <w:rPr>
          <w:sz w:val="24"/>
          <w:szCs w:val="24"/>
          <w:highlight w:val="white"/>
        </w:rPr>
        <w:t xml:space="preserve">identificaram as diferenças e semelhanças na prática de evidenciação de passivos ambientais, nas demonstrações contábeis e adicionadas, de empresas listadas na </w:t>
      </w:r>
      <w:proofErr w:type="spellStart"/>
      <w:r>
        <w:rPr>
          <w:sz w:val="24"/>
          <w:szCs w:val="24"/>
          <w:highlight w:val="white"/>
        </w:rPr>
        <w:t>BM&amp;FBovespa</w:t>
      </w:r>
      <w:proofErr w:type="spellEnd"/>
      <w:r>
        <w:rPr>
          <w:sz w:val="24"/>
          <w:szCs w:val="24"/>
          <w:highlight w:val="white"/>
        </w:rPr>
        <w:t xml:space="preserve"> e que emitiram ADRs na Bolsa de Nova Iorque. Os autores apontam que as empresas estão conscientes de que suas atividades geram impacto ao meio ambiente, porém não estão quantificando seus passivos ambientais. </w:t>
      </w:r>
    </w:p>
    <w:p w14:paraId="5B1443B5" w14:textId="700A78DA" w:rsidR="006773B3" w:rsidRDefault="006773B3" w:rsidP="00FD132C">
      <w:pPr>
        <w:ind w:firstLine="709"/>
        <w:jc w:val="both"/>
        <w:rPr>
          <w:sz w:val="24"/>
          <w:szCs w:val="24"/>
          <w:highlight w:val="yellow"/>
        </w:rPr>
      </w:pPr>
      <w:proofErr w:type="spellStart"/>
      <w:r>
        <w:rPr>
          <w:sz w:val="24"/>
          <w:szCs w:val="24"/>
          <w:highlight w:val="white"/>
        </w:rPr>
        <w:t>Mussoi</w:t>
      </w:r>
      <w:proofErr w:type="spellEnd"/>
      <w:r>
        <w:rPr>
          <w:sz w:val="24"/>
          <w:szCs w:val="24"/>
          <w:highlight w:val="white"/>
        </w:rPr>
        <w:t xml:space="preserve"> e Van </w:t>
      </w:r>
      <w:proofErr w:type="spellStart"/>
      <w:r w:rsidRPr="005D5B8C">
        <w:rPr>
          <w:sz w:val="24"/>
          <w:szCs w:val="24"/>
        </w:rPr>
        <w:t>Bellen</w:t>
      </w:r>
      <w:proofErr w:type="spellEnd"/>
      <w:r w:rsidRPr="005D5B8C">
        <w:rPr>
          <w:sz w:val="24"/>
          <w:szCs w:val="24"/>
        </w:rPr>
        <w:t xml:space="preserve"> (2010) </w:t>
      </w:r>
      <w:r w:rsidR="00214238">
        <w:rPr>
          <w:sz w:val="24"/>
          <w:szCs w:val="24"/>
        </w:rPr>
        <w:t xml:space="preserve">pesquisaram </w:t>
      </w:r>
      <w:r>
        <w:rPr>
          <w:sz w:val="24"/>
          <w:szCs w:val="24"/>
          <w:highlight w:val="white"/>
        </w:rPr>
        <w:t>em três tipos diferentes de relatórios empresariais, quais os tipos de informações ambientais apresentam maior evidenciação, em que nível cada relatório as divulga e qual o relatório preferido de cada empresa para mostrar suas informações ambientais. O estudo apontou que o relatório mais completo e com as informações mais relevantes é o relatório socioambiental, entretanto, o relatório anual é o canal mais utilizado pelas empresas da amostra para divulgar suas informações ambientais.</w:t>
      </w:r>
    </w:p>
    <w:p w14:paraId="3376698C" w14:textId="0A9B1288" w:rsidR="006773B3" w:rsidRDefault="006773B3">
      <w:pPr>
        <w:ind w:firstLine="709"/>
        <w:jc w:val="both"/>
        <w:rPr>
          <w:sz w:val="24"/>
          <w:szCs w:val="24"/>
          <w:highlight w:val="white"/>
        </w:rPr>
      </w:pPr>
      <w:r>
        <w:rPr>
          <w:sz w:val="24"/>
          <w:szCs w:val="24"/>
          <w:highlight w:val="white"/>
        </w:rPr>
        <w:t xml:space="preserve">Já Xavier e </w:t>
      </w:r>
      <w:proofErr w:type="spellStart"/>
      <w:r>
        <w:rPr>
          <w:sz w:val="24"/>
          <w:szCs w:val="24"/>
          <w:highlight w:val="white"/>
        </w:rPr>
        <w:t>Luczkiewicz</w:t>
      </w:r>
      <w:proofErr w:type="spellEnd"/>
      <w:r>
        <w:rPr>
          <w:sz w:val="24"/>
          <w:szCs w:val="24"/>
          <w:highlight w:val="white"/>
        </w:rPr>
        <w:t xml:space="preserve"> </w:t>
      </w:r>
      <w:r w:rsidRPr="005D5B8C">
        <w:rPr>
          <w:sz w:val="24"/>
          <w:szCs w:val="24"/>
        </w:rPr>
        <w:t xml:space="preserve">(2013) </w:t>
      </w:r>
      <w:r>
        <w:rPr>
          <w:sz w:val="24"/>
          <w:szCs w:val="24"/>
          <w:highlight w:val="white"/>
        </w:rPr>
        <w:t>verificaram se as empresas do setor de exploração de petróleo com ações listadas na BM</w:t>
      </w:r>
      <w:r w:rsidR="00724807">
        <w:rPr>
          <w:sz w:val="24"/>
          <w:szCs w:val="24"/>
          <w:highlight w:val="white"/>
        </w:rPr>
        <w:t>&amp;</w:t>
      </w:r>
      <w:r>
        <w:rPr>
          <w:sz w:val="24"/>
          <w:szCs w:val="24"/>
          <w:highlight w:val="white"/>
        </w:rPr>
        <w:t>FBOVESPA evidenciaram em seus relatórios financeiros informações acerca de passivos ambientais. Os autores detectaram baixo grau de evidenciação de passivo ambiental para o segmento.</w:t>
      </w:r>
    </w:p>
    <w:p w14:paraId="60BBDDD3" w14:textId="77777777" w:rsidR="006773B3" w:rsidRDefault="006773B3">
      <w:pPr>
        <w:ind w:firstLine="709"/>
        <w:jc w:val="both"/>
        <w:rPr>
          <w:sz w:val="24"/>
          <w:szCs w:val="24"/>
          <w:highlight w:val="white"/>
        </w:rPr>
      </w:pPr>
      <w:r>
        <w:rPr>
          <w:sz w:val="24"/>
          <w:szCs w:val="24"/>
          <w:highlight w:val="white"/>
        </w:rPr>
        <w:lastRenderedPageBreak/>
        <w:t xml:space="preserve">É possível observar uma relação entre os resultados encontrados por Rover et al. (2006) e os achados de Xavier e </w:t>
      </w:r>
      <w:proofErr w:type="spellStart"/>
      <w:r>
        <w:rPr>
          <w:sz w:val="24"/>
          <w:szCs w:val="24"/>
          <w:highlight w:val="white"/>
        </w:rPr>
        <w:t>Luczkiewicz</w:t>
      </w:r>
      <w:proofErr w:type="spellEnd"/>
      <w:r>
        <w:rPr>
          <w:sz w:val="24"/>
          <w:szCs w:val="24"/>
          <w:highlight w:val="white"/>
        </w:rPr>
        <w:t xml:space="preserve"> (2013), uma vez que as empresas não estão evidenciando seus passivos ambientais da forma que deveriam.</w:t>
      </w:r>
    </w:p>
    <w:p w14:paraId="2239C9D0" w14:textId="77777777" w:rsidR="006773B3" w:rsidRDefault="006773B3">
      <w:pPr>
        <w:ind w:firstLine="709"/>
        <w:jc w:val="both"/>
        <w:rPr>
          <w:sz w:val="24"/>
          <w:szCs w:val="24"/>
          <w:highlight w:val="white"/>
        </w:rPr>
      </w:pPr>
      <w:r>
        <w:rPr>
          <w:sz w:val="24"/>
          <w:szCs w:val="24"/>
          <w:highlight w:val="white"/>
        </w:rPr>
        <w:t xml:space="preserve">Costa, Correia, Machado e Lucena (2017) analisaram as diferenças identificadas nos passivos contingentes das firmas listadas na </w:t>
      </w:r>
      <w:proofErr w:type="spellStart"/>
      <w:r>
        <w:rPr>
          <w:sz w:val="24"/>
          <w:szCs w:val="24"/>
          <w:highlight w:val="white"/>
        </w:rPr>
        <w:t>BM&amp;FBovespa</w:t>
      </w:r>
      <w:proofErr w:type="spellEnd"/>
      <w:r>
        <w:rPr>
          <w:sz w:val="24"/>
          <w:szCs w:val="24"/>
          <w:highlight w:val="white"/>
        </w:rPr>
        <w:t xml:space="preserve"> do Brasil e na ASX da Austrália. </w:t>
      </w:r>
      <w:r>
        <w:rPr>
          <w:sz w:val="24"/>
          <w:szCs w:val="24"/>
        </w:rPr>
        <w:t>Como resultado, foi identificado que, no Brasil, a categoria do passivo contingente predominante é a tributária, que corresponde a 56% do total de passivos contingentes evidenciados pelas companhias brasileiras e na Austrália são as garantias, que correspondem quase à totalidade das contingências verificadas, ou seja, 98%. Ao passo que, com relação à aderência as informações descritas no CPC 25 e na AASB 137, verifica-se que as firmas apresentam uma aderência tímida (com um índice de divulgação em torno dos 23%).</w:t>
      </w:r>
    </w:p>
    <w:p w14:paraId="1DFFE218" w14:textId="77777777" w:rsidR="006773B3" w:rsidRDefault="006773B3">
      <w:pPr>
        <w:ind w:firstLine="708"/>
        <w:jc w:val="both"/>
        <w:rPr>
          <w:sz w:val="24"/>
          <w:szCs w:val="24"/>
        </w:rPr>
      </w:pPr>
      <w:r>
        <w:rPr>
          <w:sz w:val="24"/>
          <w:szCs w:val="24"/>
        </w:rPr>
        <w:t>É possível observar que em diferentes amostras, os resultados apontam para a mesma conclusão em todos os estudos. São pouco evidenciadas as informações sobre os passivos e contingências, mas como dito por Rover et al. (2006, p. 53) “os resultados alcançados indicam que apesar de as empresas estarem conscientes de que suas atividades geram consequência ao meio ambiente, elas não estão quantificando seus passivos ambientais”. E acrescentam também que é perceptível uma necessidade no aprofundamento de informações a respeito do meio ambiente pelas empresas para que as mesmas possam gerar informações confiáveis para seus interessados.</w:t>
      </w:r>
    </w:p>
    <w:p w14:paraId="7C9168AA" w14:textId="77777777" w:rsidR="006773B3" w:rsidRDefault="006773B3">
      <w:pPr>
        <w:jc w:val="both"/>
        <w:rPr>
          <w:sz w:val="24"/>
          <w:szCs w:val="24"/>
        </w:rPr>
      </w:pPr>
    </w:p>
    <w:p w14:paraId="71693991" w14:textId="77777777" w:rsidR="006773B3" w:rsidRDefault="006773B3">
      <w:pPr>
        <w:rPr>
          <w:b/>
          <w:sz w:val="24"/>
          <w:szCs w:val="24"/>
        </w:rPr>
      </w:pPr>
      <w:r>
        <w:rPr>
          <w:b/>
          <w:sz w:val="24"/>
          <w:szCs w:val="24"/>
        </w:rPr>
        <w:t>3 Procedimentos Metodológicos</w:t>
      </w:r>
    </w:p>
    <w:p w14:paraId="6CD25A99" w14:textId="77777777" w:rsidR="006773B3" w:rsidRDefault="006773B3">
      <w:pPr>
        <w:rPr>
          <w:b/>
          <w:sz w:val="24"/>
          <w:szCs w:val="24"/>
        </w:rPr>
      </w:pPr>
    </w:p>
    <w:p w14:paraId="5CEA8136" w14:textId="3B3D07D9" w:rsidR="006773B3" w:rsidRDefault="006773B3">
      <w:pPr>
        <w:ind w:firstLine="709"/>
        <w:jc w:val="both"/>
        <w:rPr>
          <w:sz w:val="24"/>
          <w:szCs w:val="24"/>
        </w:rPr>
      </w:pPr>
      <w:r>
        <w:rPr>
          <w:sz w:val="24"/>
          <w:szCs w:val="24"/>
        </w:rPr>
        <w:t xml:space="preserve">O presente estudo é classificado como uma pesquisa qualitativa descritiva, por ter como objetivo descrever a comparação das informações dos passivos ambientais entre os dois relatórios. Quanto ao procedimento utilizado na coleta de dados, é documental, já que as fontes de informações para a pesquisa são os </w:t>
      </w:r>
      <w:r w:rsidR="00214238">
        <w:rPr>
          <w:sz w:val="24"/>
          <w:szCs w:val="24"/>
        </w:rPr>
        <w:t xml:space="preserve">RS </w:t>
      </w:r>
      <w:r>
        <w:rPr>
          <w:sz w:val="24"/>
          <w:szCs w:val="24"/>
        </w:rPr>
        <w:t xml:space="preserve">e as Notas Explicativas contidas nas </w:t>
      </w:r>
      <w:r w:rsidR="00214238">
        <w:rPr>
          <w:sz w:val="24"/>
          <w:szCs w:val="24"/>
        </w:rPr>
        <w:t>DFP</w:t>
      </w:r>
      <w:r w:rsidR="00B41686">
        <w:rPr>
          <w:sz w:val="24"/>
          <w:szCs w:val="24"/>
        </w:rPr>
        <w:t>s</w:t>
      </w:r>
      <w:r>
        <w:rPr>
          <w:sz w:val="24"/>
          <w:szCs w:val="24"/>
        </w:rPr>
        <w:t>.</w:t>
      </w:r>
    </w:p>
    <w:p w14:paraId="2B6BE888" w14:textId="5EF012D7" w:rsidR="006773B3" w:rsidRDefault="006773B3">
      <w:pPr>
        <w:ind w:firstLine="709"/>
        <w:jc w:val="both"/>
        <w:rPr>
          <w:sz w:val="24"/>
          <w:szCs w:val="24"/>
        </w:rPr>
      </w:pPr>
      <w:r>
        <w:rPr>
          <w:sz w:val="24"/>
          <w:szCs w:val="24"/>
        </w:rPr>
        <w:t xml:space="preserve">Para amostra, foram </w:t>
      </w:r>
      <w:r w:rsidR="006A2994">
        <w:rPr>
          <w:sz w:val="24"/>
          <w:szCs w:val="24"/>
        </w:rPr>
        <w:t>selecionadas</w:t>
      </w:r>
      <w:r>
        <w:rPr>
          <w:sz w:val="24"/>
          <w:szCs w:val="24"/>
        </w:rPr>
        <w:t xml:space="preserve"> as empresas classificadas como as de maior potencial poluidor, segundo a Lei 10.165 de 27 de dezembro de 2000, pertencentes ao </w:t>
      </w:r>
      <w:proofErr w:type="spellStart"/>
      <w:r>
        <w:rPr>
          <w:sz w:val="24"/>
          <w:szCs w:val="24"/>
        </w:rPr>
        <w:t>IbrX</w:t>
      </w:r>
      <w:proofErr w:type="spellEnd"/>
      <w:r>
        <w:rPr>
          <w:sz w:val="24"/>
          <w:szCs w:val="24"/>
        </w:rPr>
        <w:t xml:space="preserve"> 100 da </w:t>
      </w:r>
      <w:proofErr w:type="spellStart"/>
      <w:r>
        <w:rPr>
          <w:sz w:val="24"/>
          <w:szCs w:val="24"/>
        </w:rPr>
        <w:t>BM&amp;FBovespa</w:t>
      </w:r>
      <w:proofErr w:type="spellEnd"/>
      <w:r>
        <w:rPr>
          <w:sz w:val="24"/>
          <w:szCs w:val="24"/>
        </w:rPr>
        <w:t xml:space="preserve">, referentes ao terceiro trimestre de 2015. </w:t>
      </w:r>
    </w:p>
    <w:p w14:paraId="65C4832B" w14:textId="77777777" w:rsidR="006773B3" w:rsidRDefault="006773B3">
      <w:pPr>
        <w:ind w:firstLine="709"/>
        <w:jc w:val="both"/>
        <w:rPr>
          <w:sz w:val="24"/>
          <w:szCs w:val="24"/>
        </w:rPr>
      </w:pPr>
      <w:r>
        <w:rPr>
          <w:sz w:val="24"/>
          <w:szCs w:val="24"/>
        </w:rPr>
        <w:t>Para a empresa estar presente neste Índice, é preciso figurar entre as 100 melhores classificadas quanto ao seu índice de negociabilidade, apurados nos doze meses anteriores à reavaliação e ter sido negociadas em pelo menos 70% dos pregões ocorridos nos doze meses anteriores à formação da carteira (BMF&amp;BOVESPA, 2017). A amostra é formada por 11 empresas dos setores apresentados na Quadro1:</w:t>
      </w:r>
    </w:p>
    <w:p w14:paraId="3EE8F9B0" w14:textId="77777777" w:rsidR="006773B3" w:rsidRDefault="006773B3">
      <w:pPr>
        <w:ind w:firstLine="709"/>
        <w:jc w:val="both"/>
        <w:rPr>
          <w:sz w:val="24"/>
          <w:szCs w:val="24"/>
        </w:rPr>
      </w:pPr>
    </w:p>
    <w:p w14:paraId="0ABFB274" w14:textId="77777777" w:rsidR="006773B3" w:rsidRDefault="006773B3">
      <w:r>
        <w:t xml:space="preserve"> </w:t>
      </w:r>
      <w:r>
        <w:rPr>
          <w:b/>
        </w:rPr>
        <w:t>Quadro</w:t>
      </w:r>
      <w:r w:rsidRPr="008B4BC8">
        <w:rPr>
          <w:b/>
        </w:rPr>
        <w:t xml:space="preserve"> 1</w:t>
      </w:r>
      <w:r>
        <w:t xml:space="preserve"> – Classificação das Empresas por setor.</w:t>
      </w: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36"/>
        <w:gridCol w:w="4385"/>
      </w:tblGrid>
      <w:tr w:rsidR="006773B3" w14:paraId="50177792" w14:textId="77777777" w:rsidTr="00A94916">
        <w:trPr>
          <w:trHeight w:val="20"/>
          <w:jc w:val="center"/>
        </w:trPr>
        <w:tc>
          <w:tcPr>
            <w:tcW w:w="4536" w:type="dxa"/>
          </w:tcPr>
          <w:p w14:paraId="772DB3A0" w14:textId="77777777" w:rsidR="006773B3" w:rsidRPr="0015504B" w:rsidRDefault="006773B3" w:rsidP="0015504B">
            <w:pPr>
              <w:widowControl w:val="0"/>
              <w:jc w:val="center"/>
              <w:rPr>
                <w:b/>
              </w:rPr>
            </w:pPr>
            <w:r w:rsidRPr="0015504B">
              <w:rPr>
                <w:b/>
              </w:rPr>
              <w:t>Empresa</w:t>
            </w:r>
          </w:p>
        </w:tc>
        <w:tc>
          <w:tcPr>
            <w:tcW w:w="4385" w:type="dxa"/>
          </w:tcPr>
          <w:p w14:paraId="2F50F6C4" w14:textId="77777777" w:rsidR="006773B3" w:rsidRPr="0015504B" w:rsidRDefault="006773B3" w:rsidP="0015504B">
            <w:pPr>
              <w:widowControl w:val="0"/>
              <w:jc w:val="center"/>
              <w:rPr>
                <w:b/>
              </w:rPr>
            </w:pPr>
            <w:r w:rsidRPr="0015504B">
              <w:rPr>
                <w:b/>
              </w:rPr>
              <w:t>Setor</w:t>
            </w:r>
          </w:p>
        </w:tc>
      </w:tr>
      <w:tr w:rsidR="006773B3" w14:paraId="6D8131A7" w14:textId="77777777" w:rsidTr="00A94916">
        <w:trPr>
          <w:trHeight w:val="20"/>
          <w:jc w:val="center"/>
        </w:trPr>
        <w:tc>
          <w:tcPr>
            <w:tcW w:w="4536" w:type="dxa"/>
          </w:tcPr>
          <w:p w14:paraId="2F5308FC" w14:textId="77777777" w:rsidR="006773B3" w:rsidRDefault="006773B3" w:rsidP="0015504B">
            <w:pPr>
              <w:widowControl w:val="0"/>
              <w:jc w:val="center"/>
            </w:pPr>
            <w:r>
              <w:t>Braskem</w:t>
            </w:r>
          </w:p>
        </w:tc>
        <w:tc>
          <w:tcPr>
            <w:tcW w:w="4385" w:type="dxa"/>
          </w:tcPr>
          <w:p w14:paraId="1F8C896F" w14:textId="77777777" w:rsidR="006773B3" w:rsidRDefault="006773B3" w:rsidP="0015504B">
            <w:pPr>
              <w:widowControl w:val="0"/>
              <w:jc w:val="center"/>
            </w:pPr>
            <w:r>
              <w:t>Indústria Química</w:t>
            </w:r>
          </w:p>
        </w:tc>
      </w:tr>
      <w:tr w:rsidR="006773B3" w14:paraId="77885751" w14:textId="77777777" w:rsidTr="00A94916">
        <w:trPr>
          <w:trHeight w:val="20"/>
          <w:jc w:val="center"/>
        </w:trPr>
        <w:tc>
          <w:tcPr>
            <w:tcW w:w="4536" w:type="dxa"/>
          </w:tcPr>
          <w:p w14:paraId="105AB4B4" w14:textId="77777777" w:rsidR="006773B3" w:rsidRPr="0015504B" w:rsidRDefault="006773B3" w:rsidP="0015504B">
            <w:pPr>
              <w:widowControl w:val="0"/>
              <w:jc w:val="center"/>
              <w:rPr>
                <w:rFonts w:ascii="Calibri" w:hAnsi="Calibri" w:cs="Calibri"/>
                <w:sz w:val="22"/>
                <w:szCs w:val="22"/>
              </w:rPr>
            </w:pPr>
            <w:r>
              <w:t>COSAN</w:t>
            </w:r>
          </w:p>
        </w:tc>
        <w:tc>
          <w:tcPr>
            <w:tcW w:w="4385" w:type="dxa"/>
          </w:tcPr>
          <w:p w14:paraId="02D31990" w14:textId="77777777" w:rsidR="006773B3" w:rsidRPr="0015504B" w:rsidRDefault="006773B3" w:rsidP="0015504B">
            <w:pPr>
              <w:widowControl w:val="0"/>
              <w:jc w:val="center"/>
              <w:rPr>
                <w:rFonts w:ascii="Calibri" w:hAnsi="Calibri" w:cs="Calibri"/>
                <w:sz w:val="22"/>
                <w:szCs w:val="22"/>
              </w:rPr>
            </w:pPr>
            <w:r>
              <w:t>Indústria Química</w:t>
            </w:r>
          </w:p>
        </w:tc>
      </w:tr>
      <w:tr w:rsidR="006773B3" w14:paraId="3982750B" w14:textId="77777777" w:rsidTr="00A94916">
        <w:trPr>
          <w:trHeight w:val="20"/>
          <w:jc w:val="center"/>
        </w:trPr>
        <w:tc>
          <w:tcPr>
            <w:tcW w:w="4536" w:type="dxa"/>
          </w:tcPr>
          <w:p w14:paraId="448AAC7F" w14:textId="77777777" w:rsidR="006773B3" w:rsidRDefault="006773B3" w:rsidP="0015504B">
            <w:pPr>
              <w:widowControl w:val="0"/>
              <w:jc w:val="center"/>
            </w:pPr>
            <w:r>
              <w:t>Natura</w:t>
            </w:r>
          </w:p>
        </w:tc>
        <w:tc>
          <w:tcPr>
            <w:tcW w:w="4385" w:type="dxa"/>
          </w:tcPr>
          <w:p w14:paraId="17086E76" w14:textId="77777777" w:rsidR="006773B3" w:rsidRDefault="006773B3" w:rsidP="0015504B">
            <w:pPr>
              <w:widowControl w:val="0"/>
              <w:jc w:val="center"/>
            </w:pPr>
            <w:r>
              <w:t>Indústria Química</w:t>
            </w:r>
          </w:p>
        </w:tc>
      </w:tr>
      <w:tr w:rsidR="006773B3" w14:paraId="2A71B2FB" w14:textId="77777777" w:rsidTr="00A94916">
        <w:trPr>
          <w:trHeight w:val="20"/>
          <w:jc w:val="center"/>
        </w:trPr>
        <w:tc>
          <w:tcPr>
            <w:tcW w:w="4536" w:type="dxa"/>
          </w:tcPr>
          <w:p w14:paraId="5CD0E81B" w14:textId="77777777" w:rsidR="006773B3" w:rsidRPr="0015504B" w:rsidRDefault="006773B3" w:rsidP="0015504B">
            <w:pPr>
              <w:widowControl w:val="0"/>
              <w:jc w:val="center"/>
              <w:rPr>
                <w:rFonts w:ascii="Calibri" w:hAnsi="Calibri" w:cs="Calibri"/>
                <w:sz w:val="22"/>
                <w:szCs w:val="22"/>
              </w:rPr>
            </w:pPr>
            <w:r>
              <w:t>Petrobras</w:t>
            </w:r>
          </w:p>
        </w:tc>
        <w:tc>
          <w:tcPr>
            <w:tcW w:w="4385" w:type="dxa"/>
          </w:tcPr>
          <w:p w14:paraId="55654E17" w14:textId="77777777" w:rsidR="006773B3" w:rsidRPr="0015504B" w:rsidRDefault="006773B3" w:rsidP="0015504B">
            <w:pPr>
              <w:widowControl w:val="0"/>
              <w:jc w:val="center"/>
              <w:rPr>
                <w:rFonts w:ascii="Calibri" w:hAnsi="Calibri" w:cs="Calibri"/>
                <w:sz w:val="22"/>
                <w:szCs w:val="22"/>
              </w:rPr>
            </w:pPr>
            <w:r>
              <w:t>Indústria Química</w:t>
            </w:r>
          </w:p>
        </w:tc>
      </w:tr>
      <w:tr w:rsidR="006773B3" w14:paraId="5B18A3FF" w14:textId="77777777" w:rsidTr="00A94916">
        <w:trPr>
          <w:trHeight w:val="200"/>
          <w:jc w:val="center"/>
        </w:trPr>
        <w:tc>
          <w:tcPr>
            <w:tcW w:w="4536" w:type="dxa"/>
          </w:tcPr>
          <w:p w14:paraId="66EC0CDD" w14:textId="77777777" w:rsidR="006773B3" w:rsidRDefault="006773B3" w:rsidP="0015504B">
            <w:pPr>
              <w:widowControl w:val="0"/>
              <w:jc w:val="center"/>
            </w:pPr>
            <w:r>
              <w:lastRenderedPageBreak/>
              <w:t xml:space="preserve">CSN </w:t>
            </w:r>
          </w:p>
        </w:tc>
        <w:tc>
          <w:tcPr>
            <w:tcW w:w="4385" w:type="dxa"/>
          </w:tcPr>
          <w:p w14:paraId="08B677A5" w14:textId="77777777" w:rsidR="006773B3" w:rsidRDefault="006773B3" w:rsidP="0015504B">
            <w:pPr>
              <w:widowControl w:val="0"/>
              <w:jc w:val="center"/>
            </w:pPr>
            <w:r>
              <w:t>Mineração</w:t>
            </w:r>
          </w:p>
        </w:tc>
      </w:tr>
      <w:tr w:rsidR="006773B3" w14:paraId="72D6A1B9" w14:textId="77777777" w:rsidTr="00A94916">
        <w:trPr>
          <w:trHeight w:val="20"/>
          <w:jc w:val="center"/>
        </w:trPr>
        <w:tc>
          <w:tcPr>
            <w:tcW w:w="4536" w:type="dxa"/>
          </w:tcPr>
          <w:p w14:paraId="5B584A2C" w14:textId="77777777" w:rsidR="006773B3" w:rsidRDefault="006773B3" w:rsidP="0015504B">
            <w:pPr>
              <w:widowControl w:val="0"/>
              <w:jc w:val="center"/>
            </w:pPr>
            <w:r>
              <w:t>Vale</w:t>
            </w:r>
          </w:p>
        </w:tc>
        <w:tc>
          <w:tcPr>
            <w:tcW w:w="4385" w:type="dxa"/>
          </w:tcPr>
          <w:p w14:paraId="65226056" w14:textId="77777777" w:rsidR="006773B3" w:rsidRDefault="006773B3" w:rsidP="0015504B">
            <w:pPr>
              <w:widowControl w:val="0"/>
              <w:jc w:val="center"/>
            </w:pPr>
            <w:r>
              <w:t>Mineração</w:t>
            </w:r>
          </w:p>
        </w:tc>
      </w:tr>
      <w:tr w:rsidR="006773B3" w14:paraId="7FE12194" w14:textId="77777777" w:rsidTr="00A94916">
        <w:trPr>
          <w:trHeight w:val="131"/>
          <w:jc w:val="center"/>
        </w:trPr>
        <w:tc>
          <w:tcPr>
            <w:tcW w:w="4536" w:type="dxa"/>
          </w:tcPr>
          <w:p w14:paraId="2F073849" w14:textId="77777777" w:rsidR="006773B3" w:rsidRPr="0015504B" w:rsidRDefault="006773B3" w:rsidP="0015504B">
            <w:pPr>
              <w:widowControl w:val="0"/>
              <w:jc w:val="center"/>
              <w:rPr>
                <w:rFonts w:ascii="Calibri" w:hAnsi="Calibri" w:cs="Calibri"/>
                <w:sz w:val="22"/>
                <w:szCs w:val="22"/>
              </w:rPr>
            </w:pPr>
            <w:proofErr w:type="spellStart"/>
            <w:r>
              <w:t>Fibria</w:t>
            </w:r>
            <w:proofErr w:type="spellEnd"/>
          </w:p>
        </w:tc>
        <w:tc>
          <w:tcPr>
            <w:tcW w:w="4385" w:type="dxa"/>
          </w:tcPr>
          <w:p w14:paraId="43070895" w14:textId="77777777" w:rsidR="006773B3" w:rsidRPr="0015504B" w:rsidRDefault="006773B3" w:rsidP="0015504B">
            <w:pPr>
              <w:widowControl w:val="0"/>
              <w:jc w:val="center"/>
              <w:rPr>
                <w:rFonts w:ascii="Calibri" w:hAnsi="Calibri" w:cs="Calibri"/>
                <w:sz w:val="22"/>
                <w:szCs w:val="22"/>
              </w:rPr>
            </w:pPr>
            <w:r>
              <w:t>Indústria Papel e Celulose</w:t>
            </w:r>
          </w:p>
        </w:tc>
      </w:tr>
      <w:tr w:rsidR="006773B3" w14:paraId="695BD8D1" w14:textId="77777777" w:rsidTr="00A94916">
        <w:trPr>
          <w:trHeight w:val="20"/>
          <w:jc w:val="center"/>
        </w:trPr>
        <w:tc>
          <w:tcPr>
            <w:tcW w:w="4536" w:type="dxa"/>
          </w:tcPr>
          <w:p w14:paraId="7AD228B8" w14:textId="77777777" w:rsidR="006773B3" w:rsidRDefault="006773B3" w:rsidP="0015504B">
            <w:pPr>
              <w:widowControl w:val="0"/>
              <w:jc w:val="center"/>
            </w:pPr>
            <w:proofErr w:type="spellStart"/>
            <w:r>
              <w:t>Kablin</w:t>
            </w:r>
            <w:proofErr w:type="spellEnd"/>
            <w:r>
              <w:t xml:space="preserve"> </w:t>
            </w:r>
          </w:p>
        </w:tc>
        <w:tc>
          <w:tcPr>
            <w:tcW w:w="4385" w:type="dxa"/>
          </w:tcPr>
          <w:p w14:paraId="6B7101B8" w14:textId="77777777" w:rsidR="006773B3" w:rsidRDefault="006773B3" w:rsidP="0015504B">
            <w:pPr>
              <w:widowControl w:val="0"/>
              <w:jc w:val="center"/>
            </w:pPr>
            <w:r>
              <w:t>Indústria Papel e Celulose</w:t>
            </w:r>
          </w:p>
        </w:tc>
      </w:tr>
      <w:tr w:rsidR="006773B3" w14:paraId="124396DF" w14:textId="77777777" w:rsidTr="00A94916">
        <w:trPr>
          <w:trHeight w:val="20"/>
          <w:jc w:val="center"/>
        </w:trPr>
        <w:tc>
          <w:tcPr>
            <w:tcW w:w="4536" w:type="dxa"/>
          </w:tcPr>
          <w:p w14:paraId="0399B634" w14:textId="77777777" w:rsidR="006773B3" w:rsidRDefault="006773B3" w:rsidP="0015504B">
            <w:pPr>
              <w:widowControl w:val="0"/>
              <w:jc w:val="center"/>
            </w:pPr>
            <w:r>
              <w:t xml:space="preserve">Suzano </w:t>
            </w:r>
          </w:p>
        </w:tc>
        <w:tc>
          <w:tcPr>
            <w:tcW w:w="4385" w:type="dxa"/>
          </w:tcPr>
          <w:p w14:paraId="3AEF8810" w14:textId="77777777" w:rsidR="006773B3" w:rsidRDefault="006773B3" w:rsidP="0015504B">
            <w:pPr>
              <w:widowControl w:val="0"/>
              <w:jc w:val="center"/>
            </w:pPr>
            <w:r>
              <w:t>Indústria Papel e Celulose</w:t>
            </w:r>
          </w:p>
        </w:tc>
      </w:tr>
      <w:tr w:rsidR="006773B3" w14:paraId="2C58CC72" w14:textId="77777777" w:rsidTr="00A94916">
        <w:trPr>
          <w:trHeight w:val="20"/>
          <w:jc w:val="center"/>
        </w:trPr>
        <w:tc>
          <w:tcPr>
            <w:tcW w:w="4536" w:type="dxa"/>
          </w:tcPr>
          <w:p w14:paraId="45FFA04F" w14:textId="77777777" w:rsidR="006773B3" w:rsidRDefault="006773B3" w:rsidP="0015504B">
            <w:pPr>
              <w:widowControl w:val="0"/>
              <w:jc w:val="center"/>
            </w:pPr>
            <w:r>
              <w:t>Gerdau</w:t>
            </w:r>
          </w:p>
        </w:tc>
        <w:tc>
          <w:tcPr>
            <w:tcW w:w="4385" w:type="dxa"/>
          </w:tcPr>
          <w:p w14:paraId="7AB5D27C" w14:textId="77777777" w:rsidR="006773B3" w:rsidRDefault="006773B3" w:rsidP="0015504B">
            <w:pPr>
              <w:widowControl w:val="0"/>
              <w:jc w:val="center"/>
            </w:pPr>
            <w:r>
              <w:t>Siderurgia</w:t>
            </w:r>
          </w:p>
        </w:tc>
      </w:tr>
      <w:tr w:rsidR="006773B3" w14:paraId="6840F4F4" w14:textId="77777777" w:rsidTr="00A94916">
        <w:trPr>
          <w:trHeight w:val="20"/>
          <w:jc w:val="center"/>
        </w:trPr>
        <w:tc>
          <w:tcPr>
            <w:tcW w:w="4536" w:type="dxa"/>
          </w:tcPr>
          <w:p w14:paraId="65A7EC61" w14:textId="77777777" w:rsidR="006773B3" w:rsidRDefault="006773B3" w:rsidP="0015504B">
            <w:pPr>
              <w:widowControl w:val="0"/>
              <w:jc w:val="center"/>
            </w:pPr>
            <w:r>
              <w:t>Usiminas</w:t>
            </w:r>
          </w:p>
        </w:tc>
        <w:tc>
          <w:tcPr>
            <w:tcW w:w="4385" w:type="dxa"/>
          </w:tcPr>
          <w:p w14:paraId="76244390" w14:textId="77777777" w:rsidR="006773B3" w:rsidRDefault="006773B3" w:rsidP="0015504B">
            <w:pPr>
              <w:widowControl w:val="0"/>
              <w:jc w:val="center"/>
            </w:pPr>
            <w:r>
              <w:t>Siderurgia</w:t>
            </w:r>
          </w:p>
        </w:tc>
      </w:tr>
    </w:tbl>
    <w:p w14:paraId="1F022868" w14:textId="56919376" w:rsidR="006773B3" w:rsidRDefault="00792678">
      <w:r>
        <w:t xml:space="preserve"> </w:t>
      </w:r>
      <w:r w:rsidR="006773B3">
        <w:t>Fonte: Autores (2018)</w:t>
      </w:r>
      <w:r>
        <w:t>.</w:t>
      </w:r>
    </w:p>
    <w:p w14:paraId="30D4E99C" w14:textId="77777777" w:rsidR="006773B3" w:rsidRDefault="006773B3">
      <w:pPr>
        <w:ind w:firstLine="709"/>
        <w:jc w:val="both"/>
        <w:rPr>
          <w:sz w:val="24"/>
          <w:szCs w:val="24"/>
        </w:rPr>
      </w:pPr>
    </w:p>
    <w:p w14:paraId="350D0229" w14:textId="5F900C58" w:rsidR="006773B3" w:rsidRDefault="006773B3">
      <w:pPr>
        <w:ind w:firstLine="709"/>
        <w:jc w:val="both"/>
        <w:rPr>
          <w:sz w:val="24"/>
          <w:szCs w:val="24"/>
        </w:rPr>
      </w:pPr>
      <w:r>
        <w:rPr>
          <w:sz w:val="24"/>
          <w:szCs w:val="24"/>
        </w:rPr>
        <w:t>Os R</w:t>
      </w:r>
      <w:r w:rsidR="003429E7">
        <w:rPr>
          <w:sz w:val="24"/>
          <w:szCs w:val="24"/>
        </w:rPr>
        <w:t>S</w:t>
      </w:r>
      <w:r w:rsidR="005C7283">
        <w:rPr>
          <w:sz w:val="24"/>
          <w:szCs w:val="24"/>
        </w:rPr>
        <w:t xml:space="preserve"> de 2005 a 2016</w:t>
      </w:r>
      <w:r>
        <w:rPr>
          <w:sz w:val="24"/>
          <w:szCs w:val="24"/>
        </w:rPr>
        <w:t xml:space="preserve">, foram coletados nos </w:t>
      </w:r>
      <w:r>
        <w:rPr>
          <w:i/>
          <w:sz w:val="24"/>
          <w:szCs w:val="24"/>
        </w:rPr>
        <w:t>websites</w:t>
      </w:r>
      <w:r>
        <w:rPr>
          <w:sz w:val="24"/>
          <w:szCs w:val="24"/>
        </w:rPr>
        <w:t xml:space="preserve"> das empresas da amostra, no campo de Relação com Investidores (RI) e, na ausência deste relatório optou-se por utilizar os Relatórios Anuais (RA). Os dados das </w:t>
      </w:r>
      <w:r w:rsidR="003429E7">
        <w:rPr>
          <w:sz w:val="24"/>
          <w:szCs w:val="24"/>
        </w:rPr>
        <w:t>DFP</w:t>
      </w:r>
      <w:r w:rsidR="005C7283">
        <w:rPr>
          <w:sz w:val="24"/>
          <w:szCs w:val="24"/>
        </w:rPr>
        <w:t xml:space="preserve"> de 2005 a 2016</w:t>
      </w:r>
      <w:r w:rsidR="003429E7">
        <w:rPr>
          <w:sz w:val="24"/>
          <w:szCs w:val="24"/>
        </w:rPr>
        <w:t xml:space="preserve"> </w:t>
      </w:r>
      <w:r>
        <w:rPr>
          <w:sz w:val="24"/>
          <w:szCs w:val="24"/>
        </w:rPr>
        <w:t xml:space="preserve">foram extraídos do </w:t>
      </w:r>
      <w:r>
        <w:rPr>
          <w:i/>
          <w:sz w:val="24"/>
          <w:szCs w:val="24"/>
        </w:rPr>
        <w:t>website</w:t>
      </w:r>
      <w:r>
        <w:rPr>
          <w:sz w:val="24"/>
          <w:szCs w:val="24"/>
        </w:rPr>
        <w:t xml:space="preserve"> da </w:t>
      </w:r>
      <w:proofErr w:type="spellStart"/>
      <w:r>
        <w:rPr>
          <w:sz w:val="24"/>
          <w:szCs w:val="24"/>
        </w:rPr>
        <w:t>BM&amp;FBovespa</w:t>
      </w:r>
      <w:proofErr w:type="spellEnd"/>
      <w:r>
        <w:rPr>
          <w:sz w:val="24"/>
          <w:szCs w:val="24"/>
        </w:rPr>
        <w:t>.</w:t>
      </w:r>
      <w:r w:rsidR="00A94916">
        <w:rPr>
          <w:sz w:val="24"/>
          <w:szCs w:val="24"/>
        </w:rPr>
        <w:t xml:space="preserve"> </w:t>
      </w:r>
      <w:r>
        <w:rPr>
          <w:sz w:val="24"/>
          <w:szCs w:val="24"/>
        </w:rPr>
        <w:t xml:space="preserve">As </w:t>
      </w:r>
      <w:r w:rsidR="003429E7">
        <w:rPr>
          <w:sz w:val="24"/>
          <w:szCs w:val="24"/>
        </w:rPr>
        <w:t xml:space="preserve">informações </w:t>
      </w:r>
      <w:r>
        <w:rPr>
          <w:sz w:val="24"/>
          <w:szCs w:val="24"/>
        </w:rPr>
        <w:t xml:space="preserve">foram categorizadas </w:t>
      </w:r>
      <w:r w:rsidRPr="00CB0FA8">
        <w:rPr>
          <w:sz w:val="24"/>
          <w:szCs w:val="24"/>
        </w:rPr>
        <w:t>conforme</w:t>
      </w:r>
      <w:r>
        <w:rPr>
          <w:sz w:val="24"/>
          <w:szCs w:val="24"/>
        </w:rPr>
        <w:t xml:space="preserve"> a classificação proposta por </w:t>
      </w:r>
      <w:proofErr w:type="spellStart"/>
      <w:r>
        <w:rPr>
          <w:sz w:val="24"/>
          <w:szCs w:val="24"/>
        </w:rPr>
        <w:t>Sako</w:t>
      </w:r>
      <w:proofErr w:type="spellEnd"/>
      <w:r>
        <w:rPr>
          <w:sz w:val="24"/>
          <w:szCs w:val="24"/>
        </w:rPr>
        <w:t xml:space="preserve"> e Rover (2016). </w:t>
      </w:r>
    </w:p>
    <w:p w14:paraId="4F18B3F0" w14:textId="77777777" w:rsidR="006773B3" w:rsidRDefault="006773B3" w:rsidP="006063BF">
      <w:pPr>
        <w:jc w:val="both"/>
        <w:rPr>
          <w:sz w:val="24"/>
          <w:szCs w:val="24"/>
        </w:rPr>
      </w:pPr>
    </w:p>
    <w:p w14:paraId="01BBDE40" w14:textId="77777777" w:rsidR="006773B3" w:rsidRDefault="006773B3">
      <w:r w:rsidRPr="008B4BC8">
        <w:rPr>
          <w:b/>
        </w:rPr>
        <w:t xml:space="preserve">Quadro </w:t>
      </w:r>
      <w:r>
        <w:rPr>
          <w:b/>
        </w:rPr>
        <w:t>2</w:t>
      </w:r>
      <w:r>
        <w:t xml:space="preserve"> – Classificação por tipo de informação</w:t>
      </w:r>
    </w:p>
    <w:tbl>
      <w:tblPr>
        <w:tblW w:w="9073" w:type="dxa"/>
        <w:jc w:val="center"/>
        <w:tblLayout w:type="fixed"/>
        <w:tblCellMar>
          <w:left w:w="0" w:type="dxa"/>
          <w:right w:w="0" w:type="dxa"/>
        </w:tblCellMar>
        <w:tblLook w:val="0000" w:firstRow="0" w:lastRow="0" w:firstColumn="0" w:lastColumn="0" w:noHBand="0" w:noVBand="0"/>
      </w:tblPr>
      <w:tblGrid>
        <w:gridCol w:w="3120"/>
        <w:gridCol w:w="5953"/>
      </w:tblGrid>
      <w:tr w:rsidR="006773B3" w:rsidRPr="00432E03" w14:paraId="13210393" w14:textId="77777777" w:rsidTr="00A94916">
        <w:trPr>
          <w:trHeight w:val="40"/>
          <w:jc w:val="center"/>
        </w:trPr>
        <w:tc>
          <w:tcPr>
            <w:tcW w:w="3120" w:type="dxa"/>
            <w:tcBorders>
              <w:top w:val="single" w:sz="4" w:space="0" w:color="000000"/>
              <w:left w:val="single" w:sz="4" w:space="0" w:color="000000"/>
              <w:bottom w:val="single" w:sz="4" w:space="0" w:color="000000"/>
              <w:right w:val="single" w:sz="4" w:space="0" w:color="000000"/>
            </w:tcBorders>
            <w:vAlign w:val="center"/>
          </w:tcPr>
          <w:p w14:paraId="1F49EB7C" w14:textId="77777777" w:rsidR="006773B3" w:rsidRPr="00432E03" w:rsidRDefault="006773B3" w:rsidP="0015504B">
            <w:pPr>
              <w:widowControl w:val="0"/>
              <w:jc w:val="center"/>
            </w:pPr>
            <w:r w:rsidRPr="0015504B">
              <w:rPr>
                <w:b/>
              </w:rPr>
              <w:t>Classificação</w:t>
            </w:r>
          </w:p>
        </w:tc>
        <w:tc>
          <w:tcPr>
            <w:tcW w:w="5953" w:type="dxa"/>
            <w:tcBorders>
              <w:top w:val="single" w:sz="4" w:space="0" w:color="000000"/>
              <w:left w:val="single" w:sz="4" w:space="0" w:color="000000"/>
              <w:bottom w:val="single" w:sz="4" w:space="0" w:color="000000"/>
              <w:right w:val="single" w:sz="4" w:space="0" w:color="000000"/>
            </w:tcBorders>
            <w:vAlign w:val="center"/>
          </w:tcPr>
          <w:p w14:paraId="71DBAA4B" w14:textId="77777777" w:rsidR="006773B3" w:rsidRPr="00432E03" w:rsidRDefault="006773B3" w:rsidP="0015504B">
            <w:pPr>
              <w:widowControl w:val="0"/>
              <w:jc w:val="center"/>
            </w:pPr>
            <w:r w:rsidRPr="0015504B">
              <w:rPr>
                <w:b/>
              </w:rPr>
              <w:t>Informação</w:t>
            </w:r>
          </w:p>
        </w:tc>
      </w:tr>
      <w:tr w:rsidR="006773B3" w:rsidRPr="00432E03" w14:paraId="7F1F1FED" w14:textId="77777777" w:rsidTr="00A94916">
        <w:trPr>
          <w:trHeight w:val="40"/>
          <w:jc w:val="center"/>
        </w:trPr>
        <w:tc>
          <w:tcPr>
            <w:tcW w:w="3120" w:type="dxa"/>
            <w:tcBorders>
              <w:top w:val="single" w:sz="4" w:space="0" w:color="000000"/>
              <w:left w:val="single" w:sz="4" w:space="0" w:color="000000"/>
              <w:bottom w:val="single" w:sz="4" w:space="0" w:color="000000"/>
              <w:right w:val="single" w:sz="4" w:space="0" w:color="000000"/>
            </w:tcBorders>
            <w:vAlign w:val="center"/>
          </w:tcPr>
          <w:p w14:paraId="7492C97C" w14:textId="77777777" w:rsidR="006773B3" w:rsidRPr="0015504B" w:rsidRDefault="006773B3" w:rsidP="0015504B">
            <w:pPr>
              <w:widowControl w:val="0"/>
              <w:jc w:val="center"/>
              <w:rPr>
                <w:b/>
              </w:rPr>
            </w:pPr>
            <w:r w:rsidRPr="0015504B">
              <w:rPr>
                <w:b/>
              </w:rPr>
              <w:t>Qualitativa (QL)</w:t>
            </w:r>
          </w:p>
        </w:tc>
        <w:tc>
          <w:tcPr>
            <w:tcW w:w="5953" w:type="dxa"/>
            <w:tcBorders>
              <w:top w:val="single" w:sz="4" w:space="0" w:color="000000"/>
              <w:left w:val="single" w:sz="4" w:space="0" w:color="000000"/>
              <w:bottom w:val="single" w:sz="4" w:space="0" w:color="000000"/>
              <w:right w:val="single" w:sz="4" w:space="0" w:color="000000"/>
            </w:tcBorders>
            <w:vAlign w:val="center"/>
          </w:tcPr>
          <w:p w14:paraId="3E4884E5" w14:textId="77777777" w:rsidR="006773B3" w:rsidRPr="00432E03" w:rsidRDefault="006773B3" w:rsidP="0015504B">
            <w:pPr>
              <w:widowControl w:val="0"/>
              <w:jc w:val="center"/>
            </w:pPr>
            <w:r w:rsidRPr="00432E03">
              <w:t>Local de ocorrência, o tipo de dano ambiental, a probabilidade de realização da provisão, ou anunciar não possuir passivos ambientais.</w:t>
            </w:r>
          </w:p>
        </w:tc>
      </w:tr>
      <w:tr w:rsidR="006773B3" w:rsidRPr="00432E03" w14:paraId="3D3898EE" w14:textId="77777777" w:rsidTr="00A94916">
        <w:trPr>
          <w:trHeight w:val="60"/>
          <w:jc w:val="center"/>
        </w:trPr>
        <w:tc>
          <w:tcPr>
            <w:tcW w:w="3120" w:type="dxa"/>
            <w:tcBorders>
              <w:top w:val="single" w:sz="4" w:space="0" w:color="000000"/>
              <w:left w:val="single" w:sz="4" w:space="0" w:color="000000"/>
              <w:bottom w:val="single" w:sz="4" w:space="0" w:color="000000"/>
              <w:right w:val="single" w:sz="4" w:space="0" w:color="000000"/>
            </w:tcBorders>
            <w:vAlign w:val="center"/>
          </w:tcPr>
          <w:p w14:paraId="6818C606" w14:textId="77777777" w:rsidR="006773B3" w:rsidRPr="0015504B" w:rsidRDefault="006773B3" w:rsidP="0015504B">
            <w:pPr>
              <w:widowControl w:val="0"/>
              <w:jc w:val="center"/>
              <w:rPr>
                <w:b/>
              </w:rPr>
            </w:pPr>
            <w:r w:rsidRPr="0015504B">
              <w:rPr>
                <w:b/>
              </w:rPr>
              <w:t>Quantitativas Financeiras (QTF)</w:t>
            </w:r>
          </w:p>
        </w:tc>
        <w:tc>
          <w:tcPr>
            <w:tcW w:w="5953" w:type="dxa"/>
            <w:tcBorders>
              <w:top w:val="single" w:sz="4" w:space="0" w:color="000000"/>
              <w:left w:val="single" w:sz="4" w:space="0" w:color="000000"/>
              <w:bottom w:val="single" w:sz="4" w:space="0" w:color="000000"/>
              <w:right w:val="single" w:sz="4" w:space="0" w:color="000000"/>
            </w:tcBorders>
            <w:vAlign w:val="center"/>
          </w:tcPr>
          <w:p w14:paraId="1971C8FF" w14:textId="77777777" w:rsidR="006773B3" w:rsidRPr="00432E03" w:rsidRDefault="006773B3" w:rsidP="0015504B">
            <w:pPr>
              <w:widowControl w:val="0"/>
              <w:tabs>
                <w:tab w:val="left" w:pos="1172"/>
                <w:tab w:val="left" w:pos="1759"/>
                <w:tab w:val="left" w:pos="2943"/>
              </w:tabs>
              <w:jc w:val="center"/>
            </w:pPr>
            <w:r w:rsidRPr="00432E03">
              <w:t>Números</w:t>
            </w:r>
            <w:r w:rsidRPr="00432E03">
              <w:tab/>
              <w:t>que</w:t>
            </w:r>
            <w:r w:rsidRPr="00432E03">
              <w:tab/>
              <w:t>pudessem expressar monetariamente o valor de uma provisão ou de uma multa.</w:t>
            </w:r>
          </w:p>
        </w:tc>
      </w:tr>
      <w:tr w:rsidR="006773B3" w:rsidRPr="00432E03" w14:paraId="3076409F" w14:textId="77777777" w:rsidTr="00A94916">
        <w:trPr>
          <w:trHeight w:val="40"/>
          <w:jc w:val="center"/>
        </w:trPr>
        <w:tc>
          <w:tcPr>
            <w:tcW w:w="3120" w:type="dxa"/>
            <w:tcBorders>
              <w:top w:val="single" w:sz="4" w:space="0" w:color="000000"/>
              <w:left w:val="single" w:sz="4" w:space="0" w:color="000000"/>
              <w:bottom w:val="single" w:sz="4" w:space="0" w:color="000000"/>
              <w:right w:val="single" w:sz="4" w:space="0" w:color="000000"/>
            </w:tcBorders>
            <w:vAlign w:val="center"/>
          </w:tcPr>
          <w:p w14:paraId="3F4FC870" w14:textId="77777777" w:rsidR="006773B3" w:rsidRPr="0015504B" w:rsidRDefault="006773B3" w:rsidP="0015504B">
            <w:pPr>
              <w:widowControl w:val="0"/>
              <w:jc w:val="center"/>
              <w:rPr>
                <w:b/>
              </w:rPr>
            </w:pPr>
            <w:r w:rsidRPr="0015504B">
              <w:rPr>
                <w:b/>
              </w:rPr>
              <w:t>Quantitativas Não Financeiras (QTNF)</w:t>
            </w:r>
          </w:p>
        </w:tc>
        <w:tc>
          <w:tcPr>
            <w:tcW w:w="5953" w:type="dxa"/>
            <w:tcBorders>
              <w:top w:val="single" w:sz="4" w:space="0" w:color="000000"/>
              <w:left w:val="single" w:sz="4" w:space="0" w:color="000000"/>
              <w:bottom w:val="single" w:sz="4" w:space="0" w:color="000000"/>
              <w:right w:val="single" w:sz="4" w:space="0" w:color="000000"/>
            </w:tcBorders>
            <w:vAlign w:val="center"/>
          </w:tcPr>
          <w:p w14:paraId="72C952B1" w14:textId="77777777" w:rsidR="006773B3" w:rsidRPr="00432E03" w:rsidRDefault="006773B3" w:rsidP="0015504B">
            <w:pPr>
              <w:widowControl w:val="0"/>
              <w:jc w:val="center"/>
            </w:pPr>
            <w:r w:rsidRPr="00432E03">
              <w:t>Números de multas, de ações, de acidentes, volume de óleo derramado em um acidente, quilômetros quadrados de reflorestamento entre outros.</w:t>
            </w:r>
          </w:p>
        </w:tc>
      </w:tr>
    </w:tbl>
    <w:p w14:paraId="4399D207" w14:textId="2DA013B6" w:rsidR="006773B3" w:rsidRDefault="006773B3">
      <w:r>
        <w:t xml:space="preserve">Fonte: Adaptado de </w:t>
      </w:r>
      <w:proofErr w:type="spellStart"/>
      <w:r>
        <w:t>Sako</w:t>
      </w:r>
      <w:proofErr w:type="spellEnd"/>
      <w:r>
        <w:t xml:space="preserve"> e Rover (2016)</w:t>
      </w:r>
      <w:r w:rsidR="00F417F4">
        <w:t>.</w:t>
      </w:r>
    </w:p>
    <w:p w14:paraId="7F1B2E35" w14:textId="77777777" w:rsidR="006773B3" w:rsidRDefault="006773B3"/>
    <w:p w14:paraId="50C89506" w14:textId="77777777" w:rsidR="006773B3" w:rsidRDefault="006773B3" w:rsidP="007D1ACA">
      <w:pPr>
        <w:ind w:firstLine="708"/>
        <w:jc w:val="both"/>
        <w:rPr>
          <w:sz w:val="24"/>
          <w:szCs w:val="24"/>
        </w:rPr>
      </w:pPr>
      <w:r>
        <w:rPr>
          <w:sz w:val="24"/>
          <w:szCs w:val="24"/>
        </w:rPr>
        <w:t xml:space="preserve">As informações foram classificadas com base na análise de conteúdo, que segundo </w:t>
      </w:r>
      <w:proofErr w:type="spellStart"/>
      <w:r>
        <w:rPr>
          <w:sz w:val="24"/>
          <w:szCs w:val="24"/>
        </w:rPr>
        <w:t>Caregnato</w:t>
      </w:r>
      <w:proofErr w:type="spellEnd"/>
      <w:r>
        <w:rPr>
          <w:sz w:val="24"/>
          <w:szCs w:val="24"/>
        </w:rPr>
        <w:t xml:space="preserve"> e </w:t>
      </w:r>
      <w:proofErr w:type="spellStart"/>
      <w:r>
        <w:rPr>
          <w:sz w:val="24"/>
          <w:szCs w:val="24"/>
        </w:rPr>
        <w:t>Mutti</w:t>
      </w:r>
      <w:proofErr w:type="spellEnd"/>
      <w:r>
        <w:rPr>
          <w:sz w:val="24"/>
          <w:szCs w:val="24"/>
        </w:rPr>
        <w:t xml:space="preserve"> (2006), “a maioria dos autores refere-se à análise de conteúdo como sendo uma técnica de pesquisa que trabalha com a palavra, permitindo de forma prática e objetiva produzir inferências do conteúdo da comunicação de um texto replicáveis ao seu contexto social”. </w:t>
      </w:r>
    </w:p>
    <w:p w14:paraId="50391526" w14:textId="77777777" w:rsidR="00A94916" w:rsidRDefault="006773B3" w:rsidP="00A74CC0">
      <w:pPr>
        <w:ind w:firstLine="708"/>
        <w:jc w:val="both"/>
        <w:rPr>
          <w:sz w:val="24"/>
          <w:szCs w:val="24"/>
        </w:rPr>
      </w:pPr>
      <w:r>
        <w:rPr>
          <w:sz w:val="24"/>
          <w:szCs w:val="24"/>
        </w:rPr>
        <w:t xml:space="preserve">Foi utilizada como técnica estatística, a forma descritiva, verificando a frequência de cada </w:t>
      </w:r>
      <w:r w:rsidR="00A94916">
        <w:rPr>
          <w:sz w:val="24"/>
          <w:szCs w:val="24"/>
        </w:rPr>
        <w:t xml:space="preserve">informação </w:t>
      </w:r>
      <w:r>
        <w:rPr>
          <w:sz w:val="24"/>
          <w:szCs w:val="24"/>
        </w:rPr>
        <w:t>encontrada nos relatórios.</w:t>
      </w:r>
      <w:r w:rsidR="00A94916">
        <w:rPr>
          <w:sz w:val="24"/>
          <w:szCs w:val="24"/>
        </w:rPr>
        <w:t xml:space="preserve"> </w:t>
      </w:r>
    </w:p>
    <w:p w14:paraId="28A58782" w14:textId="703C3138" w:rsidR="006773B3" w:rsidRDefault="006773B3" w:rsidP="00A74CC0">
      <w:pPr>
        <w:ind w:firstLine="708"/>
        <w:jc w:val="both"/>
        <w:rPr>
          <w:sz w:val="24"/>
          <w:szCs w:val="24"/>
        </w:rPr>
      </w:pPr>
      <w:r w:rsidRPr="00015625">
        <w:rPr>
          <w:sz w:val="24"/>
          <w:szCs w:val="24"/>
        </w:rPr>
        <w:t xml:space="preserve">Durante o processo, a análise dos dados não se limitou </w:t>
      </w:r>
      <w:r>
        <w:rPr>
          <w:sz w:val="24"/>
          <w:szCs w:val="24"/>
        </w:rPr>
        <w:t xml:space="preserve">somente a </w:t>
      </w:r>
      <w:r w:rsidRPr="00015625">
        <w:rPr>
          <w:sz w:val="24"/>
          <w:szCs w:val="24"/>
        </w:rPr>
        <w:t xml:space="preserve">descrição dos conteúdos, mesmo que isso fosse necessário, mas, principalmente, quanto os dados contribuíram na construção do conhecimento, por meio da sua interpretação. Dessa forma, optou-se pela separação dos procedimentos em três momentos: </w:t>
      </w:r>
      <w:r>
        <w:rPr>
          <w:sz w:val="24"/>
          <w:szCs w:val="24"/>
        </w:rPr>
        <w:t xml:space="preserve">(i) </w:t>
      </w:r>
      <w:r w:rsidRPr="00015625">
        <w:rPr>
          <w:sz w:val="24"/>
          <w:szCs w:val="24"/>
        </w:rPr>
        <w:t xml:space="preserve">pré-análise onde foi organizado e estruturado o banco de dados; </w:t>
      </w:r>
      <w:r>
        <w:rPr>
          <w:sz w:val="24"/>
          <w:szCs w:val="24"/>
        </w:rPr>
        <w:t xml:space="preserve">(ii) </w:t>
      </w:r>
      <w:r w:rsidRPr="00015625">
        <w:rPr>
          <w:sz w:val="24"/>
          <w:szCs w:val="24"/>
        </w:rPr>
        <w:t>exploração do material, onde foi codificado cada informação de acordo com a classificação pré-estabelecida</w:t>
      </w:r>
      <w:r>
        <w:rPr>
          <w:sz w:val="24"/>
          <w:szCs w:val="24"/>
        </w:rPr>
        <w:t xml:space="preserve"> e</w:t>
      </w:r>
      <w:r w:rsidRPr="00015625">
        <w:rPr>
          <w:sz w:val="24"/>
          <w:szCs w:val="24"/>
        </w:rPr>
        <w:t xml:space="preserve">; </w:t>
      </w:r>
      <w:r>
        <w:rPr>
          <w:sz w:val="24"/>
          <w:szCs w:val="24"/>
        </w:rPr>
        <w:t xml:space="preserve">(iii) </w:t>
      </w:r>
      <w:r w:rsidRPr="00015625">
        <w:rPr>
          <w:sz w:val="24"/>
          <w:szCs w:val="24"/>
        </w:rPr>
        <w:t>tratamento dos resultados e interpretação, no qual obtivemos os resultados significativos e válidos para a pesquisa (</w:t>
      </w:r>
      <w:proofErr w:type="spellStart"/>
      <w:r w:rsidRPr="00015625">
        <w:rPr>
          <w:sz w:val="24"/>
          <w:szCs w:val="24"/>
        </w:rPr>
        <w:t>Bardin</w:t>
      </w:r>
      <w:proofErr w:type="spellEnd"/>
      <w:r w:rsidRPr="00015625">
        <w:rPr>
          <w:sz w:val="24"/>
          <w:szCs w:val="24"/>
        </w:rPr>
        <w:t>, 2011).</w:t>
      </w:r>
    </w:p>
    <w:p w14:paraId="714C40E5" w14:textId="77E2F931" w:rsidR="006773B3" w:rsidRDefault="006773B3">
      <w:pPr>
        <w:ind w:firstLine="708"/>
        <w:jc w:val="both"/>
        <w:rPr>
          <w:sz w:val="24"/>
          <w:szCs w:val="24"/>
        </w:rPr>
      </w:pPr>
      <w:r>
        <w:rPr>
          <w:sz w:val="24"/>
          <w:szCs w:val="24"/>
        </w:rPr>
        <w:t xml:space="preserve">A título de exemplificação das </w:t>
      </w:r>
      <w:r w:rsidR="00A94916">
        <w:rPr>
          <w:sz w:val="24"/>
          <w:szCs w:val="24"/>
        </w:rPr>
        <w:t>informações</w:t>
      </w:r>
      <w:r>
        <w:rPr>
          <w:sz w:val="24"/>
          <w:szCs w:val="24"/>
        </w:rPr>
        <w:t>, está evidenciado na Quadro 3, trecho das Notas Explicativas, da empresa Petrobras:</w:t>
      </w:r>
    </w:p>
    <w:p w14:paraId="597EB6F9" w14:textId="77777777" w:rsidR="00792678" w:rsidRDefault="00792678">
      <w:pPr>
        <w:ind w:firstLine="708"/>
        <w:jc w:val="both"/>
        <w:rPr>
          <w:sz w:val="24"/>
          <w:szCs w:val="24"/>
        </w:rPr>
      </w:pPr>
    </w:p>
    <w:p w14:paraId="6B5FB92C" w14:textId="58A97464" w:rsidR="000F69A7" w:rsidRDefault="000F69A7"/>
    <w:p w14:paraId="7CFB74DA" w14:textId="3B66A1F3" w:rsidR="006773B3" w:rsidRDefault="006773B3">
      <w:r w:rsidRPr="000F69A7">
        <w:rPr>
          <w:b/>
        </w:rPr>
        <w:t>Quadro 3</w:t>
      </w:r>
      <w:r>
        <w:t xml:space="preserve"> – Notas Explicativas Petrobras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5"/>
      </w:tblGrid>
      <w:tr w:rsidR="006773B3" w14:paraId="16457403" w14:textId="77777777" w:rsidTr="000F69A7">
        <w:tc>
          <w:tcPr>
            <w:tcW w:w="9205" w:type="dxa"/>
          </w:tcPr>
          <w:p w14:paraId="55BECF52" w14:textId="77777777" w:rsidR="006773B3" w:rsidRDefault="006773B3" w:rsidP="0015504B">
            <w:pPr>
              <w:pStyle w:val="PargrafodaLista"/>
              <w:numPr>
                <w:ilvl w:val="0"/>
                <w:numId w:val="1"/>
              </w:numPr>
              <w:tabs>
                <w:tab w:val="left" w:pos="176"/>
              </w:tabs>
              <w:ind w:left="0" w:firstLine="0"/>
              <w:jc w:val="both"/>
            </w:pPr>
            <w:r>
              <w:t xml:space="preserve"> </w:t>
            </w:r>
            <w:r w:rsidRPr="00DF3931">
              <w:t>Processo judicial que discute obrigação de fazer, indenização em pecúnia e dano moral referente ao acidente ambiental havido no Estado do Paraná em 16 de julho de 2000.  Situação atual: Processos julgados procedentes em parte, mediante sentença contra a qual autores e a companhia, ré, interpuseram recursos de apelação.</w:t>
            </w:r>
          </w:p>
          <w:p w14:paraId="14246E02" w14:textId="709C673C" w:rsidR="006773B3" w:rsidRDefault="006773B3" w:rsidP="0015504B">
            <w:pPr>
              <w:pStyle w:val="PargrafodaLista"/>
              <w:numPr>
                <w:ilvl w:val="0"/>
                <w:numId w:val="1"/>
              </w:numPr>
              <w:tabs>
                <w:tab w:val="left" w:pos="176"/>
              </w:tabs>
              <w:ind w:left="0" w:firstLine="0"/>
              <w:jc w:val="both"/>
            </w:pPr>
            <w:r>
              <w:t xml:space="preserve"> </w:t>
            </w:r>
            <w:r w:rsidRPr="00DF3931">
              <w:t xml:space="preserve">Processos administrativos decorrentes de multas ambientais relacionadas a operação de exploração e produção (upstream) impugnadas em virtude de divergência quanto à interpretação e aplicação </w:t>
            </w:r>
            <w:r w:rsidR="000F69A7" w:rsidRPr="00DF3931">
              <w:t>de normas pelo</w:t>
            </w:r>
            <w:r w:rsidRPr="00DF3931">
              <w:t xml:space="preserve">  IBAMA,  bem  como  uma  Ação  Civil  Pública  movida  pelo Ministério Público Federal por suposto dano ambiental em virtude do afundamento acidental da Plataforma P-36.  Situação atual:  Quanto às multas, algumas aguardam julgamento de defesa e recurso na esfera administrativa e outras já estão sendo discutidas judicialmente. E no que toca à ação civil pública, a companhia recorreu da sentença que lhe foi desfavorável no juízo de primeiro grau e acompanha o trâmite do recurso que será julgado pelo Tribunal Regional Federal.</w:t>
            </w:r>
          </w:p>
          <w:p w14:paraId="549D07CF" w14:textId="77777777" w:rsidR="006773B3" w:rsidRDefault="006773B3" w:rsidP="0015504B">
            <w:pPr>
              <w:pStyle w:val="PargrafodaLista"/>
              <w:numPr>
                <w:ilvl w:val="0"/>
                <w:numId w:val="1"/>
              </w:numPr>
              <w:tabs>
                <w:tab w:val="left" w:pos="176"/>
              </w:tabs>
              <w:ind w:left="0" w:firstLine="0"/>
              <w:jc w:val="both"/>
            </w:pPr>
            <w:r>
              <w:t xml:space="preserve"> </w:t>
            </w:r>
            <w:r w:rsidRPr="00DF3931">
              <w:t>Processos diversos de natureza ambiental</w:t>
            </w:r>
            <w:r>
              <w:t xml:space="preserve">                                                                           </w:t>
            </w:r>
            <w:r w:rsidRPr="00DF3931">
              <w:t xml:space="preserve"> </w:t>
            </w:r>
            <w:r>
              <w:t xml:space="preserve">R$ </w:t>
            </w:r>
            <w:r w:rsidRPr="00DF3931">
              <w:t>2.854</w:t>
            </w:r>
            <w:r>
              <w:t>.000</w:t>
            </w:r>
          </w:p>
          <w:p w14:paraId="27417C2C" w14:textId="77777777" w:rsidR="006773B3" w:rsidRDefault="006773B3" w:rsidP="0015504B">
            <w:pPr>
              <w:pStyle w:val="PargrafodaLista"/>
              <w:numPr>
                <w:ilvl w:val="0"/>
                <w:numId w:val="1"/>
              </w:numPr>
              <w:tabs>
                <w:tab w:val="left" w:pos="176"/>
              </w:tabs>
              <w:ind w:left="0" w:firstLine="0"/>
              <w:jc w:val="both"/>
            </w:pPr>
            <w:r>
              <w:t xml:space="preserve"> </w:t>
            </w:r>
            <w:r w:rsidRPr="00DF3931">
              <w:t>Total de processos de natureza ambiental</w:t>
            </w:r>
            <w:r>
              <w:t xml:space="preserve">                                                                            R$ 7.079.000</w:t>
            </w:r>
          </w:p>
        </w:tc>
      </w:tr>
    </w:tbl>
    <w:p w14:paraId="01804A45" w14:textId="32FA38DB" w:rsidR="006773B3" w:rsidRDefault="006773B3">
      <w:r>
        <w:t>Fonte: Adaptado das Notas Explicativas Petrobras (2016)</w:t>
      </w:r>
      <w:r w:rsidR="00F417F4">
        <w:t>.</w:t>
      </w:r>
    </w:p>
    <w:p w14:paraId="31ADEEDE" w14:textId="77777777" w:rsidR="006773B3" w:rsidRDefault="006773B3">
      <w:pPr>
        <w:ind w:firstLine="708"/>
        <w:jc w:val="center"/>
      </w:pPr>
    </w:p>
    <w:p w14:paraId="78B17E28" w14:textId="49753B81" w:rsidR="006773B3" w:rsidRDefault="006773B3">
      <w:pPr>
        <w:ind w:firstLine="708"/>
        <w:jc w:val="both"/>
        <w:rPr>
          <w:sz w:val="24"/>
          <w:szCs w:val="24"/>
        </w:rPr>
      </w:pPr>
      <w:r>
        <w:rPr>
          <w:sz w:val="24"/>
          <w:szCs w:val="24"/>
        </w:rPr>
        <w:t xml:space="preserve">Consoante ao exposto, observa-se que as informações evidenciadas pela Petrobras, apresentam (i) informações </w:t>
      </w:r>
      <w:r w:rsidR="005C7283">
        <w:rPr>
          <w:sz w:val="24"/>
          <w:szCs w:val="24"/>
        </w:rPr>
        <w:t>q</w:t>
      </w:r>
      <w:r>
        <w:rPr>
          <w:sz w:val="24"/>
          <w:szCs w:val="24"/>
        </w:rPr>
        <w:t>uantitativas</w:t>
      </w:r>
      <w:r w:rsidR="005C7283">
        <w:rPr>
          <w:sz w:val="24"/>
          <w:szCs w:val="24"/>
        </w:rPr>
        <w:t xml:space="preserve"> financeiras</w:t>
      </w:r>
      <w:r>
        <w:rPr>
          <w:sz w:val="24"/>
          <w:szCs w:val="24"/>
        </w:rPr>
        <w:t xml:space="preserve"> (QT</w:t>
      </w:r>
      <w:r w:rsidR="005C7283">
        <w:rPr>
          <w:sz w:val="24"/>
          <w:szCs w:val="24"/>
        </w:rPr>
        <w:t>F</w:t>
      </w:r>
      <w:r>
        <w:rPr>
          <w:sz w:val="24"/>
          <w:szCs w:val="24"/>
        </w:rPr>
        <w:t>), (</w:t>
      </w:r>
      <w:proofErr w:type="spellStart"/>
      <w:r>
        <w:rPr>
          <w:sz w:val="24"/>
          <w:szCs w:val="24"/>
        </w:rPr>
        <w:t>ii</w:t>
      </w:r>
      <w:proofErr w:type="spellEnd"/>
      <w:r>
        <w:rPr>
          <w:sz w:val="24"/>
          <w:szCs w:val="24"/>
        </w:rPr>
        <w:t xml:space="preserve">) </w:t>
      </w:r>
      <w:r w:rsidR="005C7283">
        <w:rPr>
          <w:sz w:val="24"/>
          <w:szCs w:val="24"/>
        </w:rPr>
        <w:t>q</w:t>
      </w:r>
      <w:r>
        <w:rPr>
          <w:sz w:val="24"/>
          <w:szCs w:val="24"/>
        </w:rPr>
        <w:t>ualitativas (QL) e, (</w:t>
      </w:r>
      <w:proofErr w:type="spellStart"/>
      <w:r>
        <w:rPr>
          <w:sz w:val="24"/>
          <w:szCs w:val="24"/>
        </w:rPr>
        <w:t>iii</w:t>
      </w:r>
      <w:proofErr w:type="spellEnd"/>
      <w:r>
        <w:rPr>
          <w:sz w:val="24"/>
          <w:szCs w:val="24"/>
        </w:rPr>
        <w:t xml:space="preserve">) </w:t>
      </w:r>
      <w:r w:rsidR="005C7283">
        <w:rPr>
          <w:sz w:val="24"/>
          <w:szCs w:val="24"/>
        </w:rPr>
        <w:t>q</w:t>
      </w:r>
      <w:r>
        <w:rPr>
          <w:sz w:val="24"/>
          <w:szCs w:val="24"/>
        </w:rPr>
        <w:t xml:space="preserve">uantitativas não financeiras (QTNF), logo, esta provisão foi classificada como apresentando 100% das informações possíveis. Pode-se verificar ainda outra forma de </w:t>
      </w:r>
      <w:proofErr w:type="spellStart"/>
      <w:r>
        <w:rPr>
          <w:sz w:val="24"/>
          <w:szCs w:val="24"/>
        </w:rPr>
        <w:t>de</w:t>
      </w:r>
      <w:proofErr w:type="spellEnd"/>
      <w:r>
        <w:rPr>
          <w:sz w:val="24"/>
          <w:szCs w:val="24"/>
        </w:rPr>
        <w:t xml:space="preserve"> evidenciação de provisões ambientais, como apresentada nas Notas Explicativas da </w:t>
      </w:r>
      <w:proofErr w:type="spellStart"/>
      <w:r>
        <w:rPr>
          <w:sz w:val="24"/>
          <w:szCs w:val="24"/>
        </w:rPr>
        <w:t>Fibria</w:t>
      </w:r>
      <w:proofErr w:type="spellEnd"/>
      <w:r>
        <w:rPr>
          <w:sz w:val="24"/>
          <w:szCs w:val="24"/>
        </w:rPr>
        <w:t xml:space="preserve"> (Quadro 4):</w:t>
      </w:r>
    </w:p>
    <w:p w14:paraId="4C41C31F" w14:textId="77777777" w:rsidR="006773B3" w:rsidRDefault="006773B3">
      <w:pPr>
        <w:ind w:firstLine="708"/>
        <w:jc w:val="center"/>
      </w:pPr>
    </w:p>
    <w:p w14:paraId="11E764CA" w14:textId="740C3BB1" w:rsidR="006773B3" w:rsidRDefault="006773B3">
      <w:r>
        <w:t xml:space="preserve"> </w:t>
      </w:r>
      <w:r w:rsidRPr="000F69A7">
        <w:rPr>
          <w:b/>
        </w:rPr>
        <w:t xml:space="preserve">Quadro 4 </w:t>
      </w:r>
      <w:r>
        <w:t xml:space="preserve">– Notas Explicativas da </w:t>
      </w:r>
      <w:proofErr w:type="spellStart"/>
      <w:r>
        <w:t>Fibria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5"/>
      </w:tblGrid>
      <w:tr w:rsidR="006773B3" w14:paraId="5C576BDB" w14:textId="77777777" w:rsidTr="0015504B">
        <w:trPr>
          <w:trHeight w:val="1560"/>
        </w:trPr>
        <w:tc>
          <w:tcPr>
            <w:tcW w:w="9069" w:type="dxa"/>
          </w:tcPr>
          <w:p w14:paraId="75125BC4" w14:textId="77777777" w:rsidR="006773B3" w:rsidRDefault="006773B3" w:rsidP="0015504B">
            <w:pPr>
              <w:jc w:val="both"/>
            </w:pPr>
            <w:r w:rsidRPr="00DF3931">
              <w:t>Em junho de 2012 foi ajuizada Ação Civil Pública pelo Ministério Público Federal, objetivando, em sede liminar, que fosse determinado à Companhia que se abstenha de trafegar em qualquer rodovia federal com excesso de peso e causar danos às rodovias federais, ao meio ambiente e à ordem econômica. O valor atualizado em 31 de dezembro de 2016 era de R$ 1.604.607. A Companhia apresentou recurso à decisão liminar que a impedia de trafegar em rodovias federais com suposto excesso de peso, no que obteve êxito, bem como apresentou defesa com relação aos demais pontos pleiteados na ação. O processo encontra-se em fase de instrução processual.</w:t>
            </w:r>
          </w:p>
        </w:tc>
      </w:tr>
    </w:tbl>
    <w:p w14:paraId="20D1A1ED" w14:textId="0ECEEA2B" w:rsidR="006773B3" w:rsidRDefault="006773B3">
      <w:pPr>
        <w:jc w:val="both"/>
      </w:pPr>
      <w:r>
        <w:t xml:space="preserve">Fonte: Adaptado das Notas Explicativas </w:t>
      </w:r>
      <w:proofErr w:type="spellStart"/>
      <w:r>
        <w:t>Fibria</w:t>
      </w:r>
      <w:proofErr w:type="spellEnd"/>
      <w:r>
        <w:t xml:space="preserve"> (2016)</w:t>
      </w:r>
      <w:r w:rsidR="00F417F4">
        <w:t>.</w:t>
      </w:r>
    </w:p>
    <w:p w14:paraId="253DD41F" w14:textId="77777777" w:rsidR="006773B3" w:rsidRDefault="006773B3">
      <w:pPr>
        <w:jc w:val="both"/>
      </w:pPr>
    </w:p>
    <w:p w14:paraId="4FFF66A1" w14:textId="14AA5F49" w:rsidR="006773B3" w:rsidRDefault="006773B3">
      <w:pPr>
        <w:jc w:val="both"/>
        <w:rPr>
          <w:sz w:val="24"/>
          <w:szCs w:val="24"/>
        </w:rPr>
      </w:pPr>
      <w:r>
        <w:tab/>
      </w:r>
      <w:r>
        <w:rPr>
          <w:sz w:val="24"/>
          <w:szCs w:val="24"/>
        </w:rPr>
        <w:t xml:space="preserve">Neste trecho, é possível observar, que se encontram informações de provisão ambiental, na qual a empresa é impossibilitada de trafegar em rodovias federais, e imposta a apresentar recursos para uma possível multa. Neste contexto, consegue-se exemplificar informações de cunho </w:t>
      </w:r>
      <w:r w:rsidR="005C7283">
        <w:rPr>
          <w:sz w:val="24"/>
          <w:szCs w:val="24"/>
        </w:rPr>
        <w:t>q</w:t>
      </w:r>
      <w:r>
        <w:rPr>
          <w:sz w:val="24"/>
          <w:szCs w:val="24"/>
        </w:rPr>
        <w:t xml:space="preserve">ualitativo e </w:t>
      </w:r>
      <w:r w:rsidR="005C7283">
        <w:rPr>
          <w:sz w:val="24"/>
          <w:szCs w:val="24"/>
        </w:rPr>
        <w:t>q</w:t>
      </w:r>
      <w:r>
        <w:rPr>
          <w:sz w:val="24"/>
          <w:szCs w:val="24"/>
        </w:rPr>
        <w:t xml:space="preserve">uantitativo </w:t>
      </w:r>
      <w:r w:rsidR="005C7283">
        <w:rPr>
          <w:sz w:val="24"/>
          <w:szCs w:val="24"/>
        </w:rPr>
        <w:t>f</w:t>
      </w:r>
      <w:r>
        <w:rPr>
          <w:sz w:val="24"/>
          <w:szCs w:val="24"/>
        </w:rPr>
        <w:t>inanceiro (QF), já que é demonstrado o tipo de dano ambiental e apresentam-se números que representam monetariamente o valor da provisão.</w:t>
      </w:r>
    </w:p>
    <w:p w14:paraId="1410FF44" w14:textId="7CC7A9D2" w:rsidR="006773B3" w:rsidRDefault="006773B3">
      <w:pPr>
        <w:jc w:val="both"/>
        <w:rPr>
          <w:sz w:val="24"/>
          <w:szCs w:val="24"/>
        </w:rPr>
      </w:pPr>
      <w:r>
        <w:rPr>
          <w:sz w:val="24"/>
          <w:szCs w:val="24"/>
        </w:rPr>
        <w:tab/>
        <w:t>As Notas Explicativas da Gerdau apresentam informações quantitativas como apresenta a Quadro 5</w:t>
      </w:r>
      <w:r w:rsidR="000F69A7">
        <w:rPr>
          <w:sz w:val="24"/>
          <w:szCs w:val="24"/>
        </w:rPr>
        <w:t>. V</w:t>
      </w:r>
      <w:r>
        <w:rPr>
          <w:sz w:val="24"/>
          <w:szCs w:val="24"/>
        </w:rPr>
        <w:t>erifica-se que nas Notas Explicativas são apresentadas apenas informações de natureza quantitativas financeiras, sem nenhum tipo de informações qualitativas (QL) e quantitativas não financeiras (QTNF), portanto este tipo de informação se faz incompleta, apresentando apenas 33% das variáveis possíveis.</w:t>
      </w:r>
    </w:p>
    <w:p w14:paraId="0ABFC69C" w14:textId="6D3E5721" w:rsidR="00D83337" w:rsidRDefault="00D83337">
      <w:pPr>
        <w:rPr>
          <w:sz w:val="24"/>
          <w:szCs w:val="24"/>
        </w:rPr>
      </w:pPr>
    </w:p>
    <w:p w14:paraId="0BA183AE" w14:textId="4E4552E5" w:rsidR="00792678" w:rsidRDefault="00792678"/>
    <w:p w14:paraId="548A0D3B" w14:textId="4F2A7BCE" w:rsidR="00792678" w:rsidRDefault="00792678"/>
    <w:p w14:paraId="2BDC72D7" w14:textId="77777777" w:rsidR="00792678" w:rsidRDefault="00792678"/>
    <w:p w14:paraId="65BE0E0E" w14:textId="432E7640" w:rsidR="006773B3" w:rsidRDefault="006773B3">
      <w:r w:rsidRPr="00D83337">
        <w:rPr>
          <w:b/>
        </w:rPr>
        <w:t>Quadro 5</w:t>
      </w:r>
      <w:r>
        <w:t xml:space="preserve"> – Notas Explicativas da Gerdau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5"/>
      </w:tblGrid>
      <w:tr w:rsidR="006773B3" w14:paraId="7319A02A" w14:textId="77777777" w:rsidTr="00D83337">
        <w:trPr>
          <w:jc w:val="center"/>
        </w:trPr>
        <w:tc>
          <w:tcPr>
            <w:tcW w:w="9205" w:type="dxa"/>
          </w:tcPr>
          <w:p w14:paraId="472E1CB5" w14:textId="77777777" w:rsidR="006773B3" w:rsidRPr="0015504B" w:rsidRDefault="006773B3" w:rsidP="0015504B">
            <w:pPr>
              <w:rPr>
                <w:b/>
              </w:rPr>
            </w:pPr>
            <w:r w:rsidRPr="0015504B">
              <w:rPr>
                <w:b/>
              </w:rPr>
              <w:t xml:space="preserve">                                                                                                             Controladora                       Consolidado</w:t>
            </w:r>
          </w:p>
          <w:p w14:paraId="4F101BA0" w14:textId="77777777" w:rsidR="006773B3" w:rsidRPr="0015504B" w:rsidRDefault="006773B3" w:rsidP="0015504B">
            <w:pPr>
              <w:rPr>
                <w:b/>
              </w:rPr>
            </w:pPr>
            <w:r w:rsidRPr="0015504B">
              <w:rPr>
                <w:b/>
              </w:rPr>
              <w:t xml:space="preserve">                                                                                                           2016         2015                    2015        2016</w:t>
            </w:r>
          </w:p>
          <w:p w14:paraId="3800BB17" w14:textId="77777777" w:rsidR="006773B3" w:rsidRDefault="006773B3" w:rsidP="0015504B">
            <w:r w:rsidRPr="00DF3931">
              <w:t xml:space="preserve">Provisão para passivos ambientais         </w:t>
            </w:r>
            <w:r>
              <w:t xml:space="preserve">                                             </w:t>
            </w:r>
            <w:r w:rsidRPr="00DF3931">
              <w:t xml:space="preserve">893        1.355     </w:t>
            </w:r>
            <w:r>
              <w:t xml:space="preserve">             </w:t>
            </w:r>
            <w:r w:rsidRPr="00DF3931">
              <w:t xml:space="preserve">83.806 </w:t>
            </w:r>
            <w:r>
              <w:t xml:space="preserve">  </w:t>
            </w:r>
            <w:r w:rsidRPr="00DF3931">
              <w:t xml:space="preserve">163.806 </w:t>
            </w:r>
          </w:p>
          <w:p w14:paraId="0F1645C3" w14:textId="77777777" w:rsidR="006773B3" w:rsidRDefault="006773B3" w:rsidP="0015504B"/>
          <w:p w14:paraId="647F0C99" w14:textId="77777777" w:rsidR="006773B3" w:rsidRDefault="006773B3" w:rsidP="0015504B">
            <w:r w:rsidRPr="00DF3931">
              <w:t xml:space="preserve">Parcela do Circulante        </w:t>
            </w:r>
            <w:r>
              <w:t xml:space="preserve">                                                                   </w:t>
            </w:r>
            <w:r w:rsidRPr="00DF3931">
              <w:t xml:space="preserve">893        1.355     </w:t>
            </w:r>
            <w:r>
              <w:t xml:space="preserve">      </w:t>
            </w:r>
            <w:r w:rsidRPr="00DF3931">
              <w:t xml:space="preserve">  </w:t>
            </w:r>
            <w:r>
              <w:t xml:space="preserve">     </w:t>
            </w:r>
            <w:r w:rsidRPr="00DF3931">
              <w:t xml:space="preserve">17.737  </w:t>
            </w:r>
            <w:r>
              <w:t xml:space="preserve"> </w:t>
            </w:r>
            <w:r w:rsidRPr="00DF3931">
              <w:t xml:space="preserve"> 27.736</w:t>
            </w:r>
          </w:p>
          <w:p w14:paraId="791343B6" w14:textId="77777777" w:rsidR="006773B3" w:rsidRDefault="006773B3" w:rsidP="0015504B">
            <w:r w:rsidRPr="00DF3931">
              <w:t xml:space="preserve">Parcela do Não-circulante          </w:t>
            </w:r>
            <w:r>
              <w:t xml:space="preserve">                                                     </w:t>
            </w:r>
            <w:r w:rsidRPr="00DF3931">
              <w:t xml:space="preserve">   </w:t>
            </w:r>
            <w:r>
              <w:t xml:space="preserve"> </w:t>
            </w:r>
            <w:r w:rsidRPr="00DF3931">
              <w:t xml:space="preserve"> -                -       </w:t>
            </w:r>
            <w:r>
              <w:t xml:space="preserve">               </w:t>
            </w:r>
            <w:r w:rsidRPr="00DF3931">
              <w:t xml:space="preserve">66.069 </w:t>
            </w:r>
            <w:r>
              <w:t xml:space="preserve"> </w:t>
            </w:r>
            <w:r w:rsidRPr="00DF3931">
              <w:t xml:space="preserve">136.070 </w:t>
            </w:r>
          </w:p>
        </w:tc>
      </w:tr>
    </w:tbl>
    <w:p w14:paraId="39225F9F" w14:textId="1261B1C3" w:rsidR="006773B3" w:rsidRDefault="006773B3">
      <w:r>
        <w:t xml:space="preserve"> Fonte: Adaptado das Notas Explicativas da Gerdau (2016)</w:t>
      </w:r>
      <w:r w:rsidR="00792678">
        <w:t>.</w:t>
      </w:r>
    </w:p>
    <w:p w14:paraId="76BB340B" w14:textId="77777777" w:rsidR="006773B3" w:rsidRDefault="006773B3">
      <w:pPr>
        <w:jc w:val="both"/>
        <w:rPr>
          <w:sz w:val="24"/>
          <w:szCs w:val="24"/>
        </w:rPr>
      </w:pPr>
      <w:r>
        <w:rPr>
          <w:sz w:val="24"/>
          <w:szCs w:val="24"/>
        </w:rPr>
        <w:tab/>
      </w:r>
    </w:p>
    <w:p w14:paraId="06C88FAC" w14:textId="77777777" w:rsidR="006773B3" w:rsidRDefault="006773B3" w:rsidP="008B4BC8">
      <w:pPr>
        <w:jc w:val="both"/>
        <w:rPr>
          <w:sz w:val="24"/>
          <w:szCs w:val="24"/>
        </w:rPr>
      </w:pPr>
      <w:r>
        <w:rPr>
          <w:sz w:val="24"/>
          <w:szCs w:val="24"/>
        </w:rPr>
        <w:tab/>
        <w:t xml:space="preserve">Após feito a categorização das informações, também foi classificada a qualidade da provisão de acordo com o índice criado para verificar a quantidade de variáveis evidenciadas nos relatórios analisados de acordo com a Quadro 6: </w:t>
      </w:r>
    </w:p>
    <w:p w14:paraId="573C6EC2" w14:textId="77777777" w:rsidR="006773B3" w:rsidRDefault="006773B3" w:rsidP="007D1ACA">
      <w:pPr>
        <w:ind w:firstLine="708"/>
        <w:jc w:val="both"/>
        <w:rPr>
          <w:sz w:val="24"/>
          <w:szCs w:val="24"/>
        </w:rPr>
      </w:pPr>
    </w:p>
    <w:p w14:paraId="4471E7EF" w14:textId="5D7C1831" w:rsidR="006773B3" w:rsidRPr="007D1ACA" w:rsidRDefault="006773B3" w:rsidP="007D1ACA">
      <w:pPr>
        <w:jc w:val="both"/>
        <w:rPr>
          <w:szCs w:val="24"/>
        </w:rPr>
      </w:pPr>
      <w:r w:rsidRPr="00D83337">
        <w:rPr>
          <w:b/>
          <w:szCs w:val="24"/>
        </w:rPr>
        <w:t>Quadro 6</w:t>
      </w:r>
      <w:r>
        <w:rPr>
          <w:szCs w:val="24"/>
        </w:rPr>
        <w:t xml:space="preserve"> – Classificação por índice das informações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15"/>
        <w:gridCol w:w="4240"/>
      </w:tblGrid>
      <w:tr w:rsidR="006773B3" w14:paraId="71546E63" w14:textId="77777777" w:rsidTr="0015504B">
        <w:tc>
          <w:tcPr>
            <w:tcW w:w="4815" w:type="dxa"/>
          </w:tcPr>
          <w:p w14:paraId="60DBA566" w14:textId="77777777" w:rsidR="006773B3" w:rsidRPr="0015504B" w:rsidRDefault="006773B3" w:rsidP="0015504B">
            <w:pPr>
              <w:jc w:val="center"/>
              <w:rPr>
                <w:b/>
                <w:szCs w:val="24"/>
              </w:rPr>
            </w:pPr>
            <w:r w:rsidRPr="0015504B">
              <w:rPr>
                <w:b/>
                <w:szCs w:val="24"/>
              </w:rPr>
              <w:t>Índice</w:t>
            </w:r>
          </w:p>
        </w:tc>
        <w:tc>
          <w:tcPr>
            <w:tcW w:w="4240" w:type="dxa"/>
          </w:tcPr>
          <w:p w14:paraId="65651145" w14:textId="77777777" w:rsidR="006773B3" w:rsidRPr="0015504B" w:rsidRDefault="006773B3" w:rsidP="0015504B">
            <w:pPr>
              <w:jc w:val="center"/>
              <w:rPr>
                <w:b/>
                <w:szCs w:val="24"/>
              </w:rPr>
            </w:pPr>
            <w:r w:rsidRPr="0015504B">
              <w:rPr>
                <w:b/>
                <w:szCs w:val="24"/>
              </w:rPr>
              <w:t>Informação</w:t>
            </w:r>
          </w:p>
        </w:tc>
      </w:tr>
      <w:tr w:rsidR="006773B3" w14:paraId="1202FD7C" w14:textId="77777777" w:rsidTr="0015504B">
        <w:tc>
          <w:tcPr>
            <w:tcW w:w="4815" w:type="dxa"/>
          </w:tcPr>
          <w:p w14:paraId="4F1BC280" w14:textId="77777777" w:rsidR="006773B3" w:rsidRPr="0015504B" w:rsidRDefault="006773B3" w:rsidP="0015504B">
            <w:pPr>
              <w:jc w:val="center"/>
              <w:rPr>
                <w:rFonts w:ascii="Georgia" w:hAnsi="Georgia" w:cs="Georgia"/>
                <w:i/>
                <w:color w:val="666666"/>
                <w:sz w:val="48"/>
                <w:szCs w:val="24"/>
              </w:rPr>
            </w:pPr>
            <w:r w:rsidRPr="0015504B">
              <w:rPr>
                <w:szCs w:val="24"/>
              </w:rPr>
              <w:t>0,33</w:t>
            </w:r>
          </w:p>
        </w:tc>
        <w:tc>
          <w:tcPr>
            <w:tcW w:w="4240" w:type="dxa"/>
          </w:tcPr>
          <w:p w14:paraId="7701901F" w14:textId="76E5B6D0" w:rsidR="006773B3" w:rsidRPr="0015504B" w:rsidRDefault="006773B3" w:rsidP="0015504B">
            <w:pPr>
              <w:jc w:val="center"/>
              <w:rPr>
                <w:rFonts w:ascii="Georgia" w:hAnsi="Georgia" w:cs="Georgia"/>
                <w:i/>
                <w:color w:val="666666"/>
                <w:sz w:val="48"/>
                <w:szCs w:val="24"/>
              </w:rPr>
            </w:pPr>
            <w:r w:rsidRPr="0015504B">
              <w:rPr>
                <w:szCs w:val="24"/>
              </w:rPr>
              <w:t>Provisões que apresentam 1 das 3 informações</w:t>
            </w:r>
            <w:r w:rsidR="00D83337">
              <w:rPr>
                <w:szCs w:val="24"/>
              </w:rPr>
              <w:t xml:space="preserve"> </w:t>
            </w:r>
          </w:p>
        </w:tc>
      </w:tr>
      <w:tr w:rsidR="006773B3" w14:paraId="22885867" w14:textId="77777777" w:rsidTr="0015504B">
        <w:tc>
          <w:tcPr>
            <w:tcW w:w="4815" w:type="dxa"/>
          </w:tcPr>
          <w:p w14:paraId="17C33A38" w14:textId="77777777" w:rsidR="006773B3" w:rsidRPr="0015504B" w:rsidRDefault="006773B3" w:rsidP="0015504B">
            <w:pPr>
              <w:jc w:val="center"/>
              <w:rPr>
                <w:rFonts w:ascii="Georgia" w:hAnsi="Georgia" w:cs="Georgia"/>
                <w:i/>
                <w:color w:val="666666"/>
                <w:sz w:val="48"/>
                <w:szCs w:val="24"/>
              </w:rPr>
            </w:pPr>
            <w:r w:rsidRPr="0015504B">
              <w:rPr>
                <w:szCs w:val="24"/>
              </w:rPr>
              <w:t>0,66</w:t>
            </w:r>
          </w:p>
        </w:tc>
        <w:tc>
          <w:tcPr>
            <w:tcW w:w="4240" w:type="dxa"/>
          </w:tcPr>
          <w:p w14:paraId="379D245A" w14:textId="77777777" w:rsidR="006773B3" w:rsidRPr="0015504B" w:rsidRDefault="006773B3" w:rsidP="0015504B">
            <w:pPr>
              <w:jc w:val="center"/>
              <w:rPr>
                <w:rFonts w:ascii="Georgia" w:hAnsi="Georgia" w:cs="Georgia"/>
                <w:i/>
                <w:color w:val="666666"/>
                <w:sz w:val="48"/>
                <w:szCs w:val="24"/>
              </w:rPr>
            </w:pPr>
            <w:r w:rsidRPr="0015504B">
              <w:rPr>
                <w:szCs w:val="24"/>
              </w:rPr>
              <w:t>Provisões que apresentam 2 das 3 informações</w:t>
            </w:r>
          </w:p>
        </w:tc>
      </w:tr>
      <w:tr w:rsidR="006773B3" w14:paraId="32D98735" w14:textId="77777777" w:rsidTr="0015504B">
        <w:tc>
          <w:tcPr>
            <w:tcW w:w="4815" w:type="dxa"/>
          </w:tcPr>
          <w:p w14:paraId="63B43ABD" w14:textId="77777777" w:rsidR="006773B3" w:rsidRPr="0015504B" w:rsidRDefault="006773B3" w:rsidP="0015504B">
            <w:pPr>
              <w:jc w:val="center"/>
              <w:rPr>
                <w:rFonts w:ascii="Georgia" w:hAnsi="Georgia" w:cs="Georgia"/>
                <w:i/>
                <w:color w:val="666666"/>
                <w:sz w:val="48"/>
                <w:szCs w:val="24"/>
              </w:rPr>
            </w:pPr>
            <w:r w:rsidRPr="0015504B">
              <w:rPr>
                <w:szCs w:val="24"/>
              </w:rPr>
              <w:t>1,00</w:t>
            </w:r>
          </w:p>
        </w:tc>
        <w:tc>
          <w:tcPr>
            <w:tcW w:w="4240" w:type="dxa"/>
          </w:tcPr>
          <w:p w14:paraId="143E3DE7" w14:textId="77777777" w:rsidR="006773B3" w:rsidRPr="0015504B" w:rsidRDefault="006773B3" w:rsidP="0015504B">
            <w:pPr>
              <w:jc w:val="center"/>
              <w:rPr>
                <w:rFonts w:ascii="Georgia" w:hAnsi="Georgia" w:cs="Georgia"/>
                <w:i/>
                <w:color w:val="666666"/>
                <w:sz w:val="48"/>
                <w:szCs w:val="24"/>
              </w:rPr>
            </w:pPr>
            <w:r w:rsidRPr="0015504B">
              <w:rPr>
                <w:szCs w:val="24"/>
              </w:rPr>
              <w:t>Provisões que apresentam todas as informações</w:t>
            </w:r>
          </w:p>
        </w:tc>
      </w:tr>
    </w:tbl>
    <w:p w14:paraId="5E24D03F" w14:textId="48ED423B" w:rsidR="006773B3" w:rsidRPr="007D1ACA" w:rsidRDefault="006773B3" w:rsidP="007D1ACA">
      <w:pPr>
        <w:jc w:val="both"/>
        <w:rPr>
          <w:szCs w:val="24"/>
        </w:rPr>
      </w:pPr>
      <w:r>
        <w:rPr>
          <w:szCs w:val="24"/>
        </w:rPr>
        <w:t>Fonte: Autores (2018)</w:t>
      </w:r>
      <w:r w:rsidR="00792678">
        <w:rPr>
          <w:szCs w:val="24"/>
        </w:rPr>
        <w:t>.</w:t>
      </w:r>
    </w:p>
    <w:p w14:paraId="4555F27A" w14:textId="77777777" w:rsidR="006773B3" w:rsidRDefault="006773B3">
      <w:pPr>
        <w:jc w:val="both"/>
        <w:rPr>
          <w:sz w:val="24"/>
          <w:szCs w:val="24"/>
        </w:rPr>
      </w:pPr>
    </w:p>
    <w:p w14:paraId="0D441A40" w14:textId="0E2A0134" w:rsidR="006773B3" w:rsidRDefault="00331B55">
      <w:pPr>
        <w:ind w:firstLine="709"/>
        <w:jc w:val="both"/>
        <w:rPr>
          <w:sz w:val="24"/>
          <w:szCs w:val="24"/>
        </w:rPr>
      </w:pPr>
      <w:r>
        <w:rPr>
          <w:sz w:val="24"/>
          <w:szCs w:val="24"/>
        </w:rPr>
        <w:t xml:space="preserve">Como </w:t>
      </w:r>
      <w:r w:rsidR="006773B3">
        <w:rPr>
          <w:sz w:val="24"/>
          <w:szCs w:val="24"/>
        </w:rPr>
        <w:t>limitação da pesquisa verificou-se que nem todas as empresas disponibilizam o R</w:t>
      </w:r>
      <w:r w:rsidR="00D83337">
        <w:rPr>
          <w:sz w:val="24"/>
          <w:szCs w:val="24"/>
        </w:rPr>
        <w:t>S</w:t>
      </w:r>
      <w:r w:rsidR="006773B3">
        <w:rPr>
          <w:sz w:val="24"/>
          <w:szCs w:val="24"/>
        </w:rPr>
        <w:t>, uma vez que não há obrigação em lei.</w:t>
      </w:r>
    </w:p>
    <w:p w14:paraId="08AFBA42" w14:textId="77777777" w:rsidR="006773B3" w:rsidRDefault="006773B3">
      <w:pPr>
        <w:ind w:firstLine="709"/>
        <w:jc w:val="both"/>
        <w:rPr>
          <w:sz w:val="24"/>
          <w:szCs w:val="24"/>
        </w:rPr>
      </w:pPr>
    </w:p>
    <w:p w14:paraId="58892182" w14:textId="77777777" w:rsidR="006773B3" w:rsidRDefault="006773B3">
      <w:pPr>
        <w:jc w:val="both"/>
        <w:rPr>
          <w:b/>
          <w:sz w:val="24"/>
          <w:szCs w:val="24"/>
        </w:rPr>
      </w:pPr>
      <w:r>
        <w:rPr>
          <w:b/>
          <w:sz w:val="24"/>
          <w:szCs w:val="24"/>
        </w:rPr>
        <w:t>4 Resultados</w:t>
      </w:r>
    </w:p>
    <w:p w14:paraId="1FD76686" w14:textId="77777777" w:rsidR="006773B3" w:rsidRDefault="006773B3" w:rsidP="00DB6603">
      <w:pPr>
        <w:jc w:val="both"/>
        <w:rPr>
          <w:sz w:val="24"/>
          <w:szCs w:val="24"/>
        </w:rPr>
      </w:pPr>
      <w:r>
        <w:rPr>
          <w:szCs w:val="24"/>
        </w:rPr>
        <w:tab/>
      </w:r>
    </w:p>
    <w:p w14:paraId="2584E48B" w14:textId="2BE6907E" w:rsidR="006773B3" w:rsidRDefault="006773B3" w:rsidP="008B4BC8">
      <w:pPr>
        <w:ind w:firstLine="709"/>
        <w:jc w:val="both"/>
        <w:rPr>
          <w:sz w:val="24"/>
          <w:szCs w:val="24"/>
        </w:rPr>
      </w:pPr>
      <w:r>
        <w:rPr>
          <w:sz w:val="24"/>
          <w:szCs w:val="24"/>
        </w:rPr>
        <w:t>As informações que prevaleceram nos relatórios das empresas são as de cunho qualitativo, com 122 informações encontradas, representando 53,04% do total. Também foram encontradas 76 informações quantitativas</w:t>
      </w:r>
      <w:r w:rsidR="005C7283">
        <w:rPr>
          <w:sz w:val="24"/>
          <w:szCs w:val="24"/>
        </w:rPr>
        <w:t xml:space="preserve"> financeiras (QTF)</w:t>
      </w:r>
      <w:r>
        <w:rPr>
          <w:sz w:val="24"/>
          <w:szCs w:val="24"/>
        </w:rPr>
        <w:t xml:space="preserve"> e 32 quantitativas não financeira</w:t>
      </w:r>
      <w:r w:rsidR="00FD67B6">
        <w:rPr>
          <w:sz w:val="24"/>
          <w:szCs w:val="24"/>
        </w:rPr>
        <w:t>s</w:t>
      </w:r>
      <w:r w:rsidR="005C7283">
        <w:rPr>
          <w:sz w:val="24"/>
          <w:szCs w:val="24"/>
        </w:rPr>
        <w:t xml:space="preserve"> (QTNF)</w:t>
      </w:r>
      <w:r>
        <w:rPr>
          <w:sz w:val="24"/>
          <w:szCs w:val="24"/>
        </w:rPr>
        <w:t xml:space="preserve">, sendo 33,04% e 13,91% respectivamente, conforme o </w:t>
      </w:r>
      <w:r w:rsidR="00334247">
        <w:rPr>
          <w:sz w:val="24"/>
          <w:szCs w:val="24"/>
        </w:rPr>
        <w:t>Q</w:t>
      </w:r>
      <w:r>
        <w:rPr>
          <w:sz w:val="24"/>
          <w:szCs w:val="24"/>
        </w:rPr>
        <w:t xml:space="preserve">uadro </w:t>
      </w:r>
      <w:r w:rsidR="00334247">
        <w:rPr>
          <w:sz w:val="24"/>
          <w:szCs w:val="24"/>
        </w:rPr>
        <w:t>7</w:t>
      </w:r>
      <w:r>
        <w:rPr>
          <w:sz w:val="24"/>
          <w:szCs w:val="24"/>
        </w:rPr>
        <w:t>.</w:t>
      </w:r>
    </w:p>
    <w:p w14:paraId="7640755F" w14:textId="026D713B" w:rsidR="006773B3" w:rsidRDefault="006773B3" w:rsidP="00DB6603">
      <w:pPr>
        <w:jc w:val="both"/>
        <w:rPr>
          <w:sz w:val="24"/>
          <w:szCs w:val="24"/>
        </w:rPr>
      </w:pPr>
      <w:r>
        <w:rPr>
          <w:sz w:val="24"/>
          <w:szCs w:val="24"/>
        </w:rPr>
        <w:tab/>
        <w:t>Verificou-se que a empresa que mais apresentou informações sobre suas provisões em seus relatórios no período estudado, foi a Vale, evidenciando 39 informações, sendo 17 qualitativas, 15 quantitativas</w:t>
      </w:r>
      <w:r w:rsidR="005C7283">
        <w:rPr>
          <w:sz w:val="24"/>
          <w:szCs w:val="24"/>
        </w:rPr>
        <w:t xml:space="preserve"> financeiras (QTF)</w:t>
      </w:r>
      <w:r>
        <w:rPr>
          <w:sz w:val="24"/>
          <w:szCs w:val="24"/>
        </w:rPr>
        <w:t xml:space="preserve"> e 7 quantitativas não financeiras</w:t>
      </w:r>
      <w:r w:rsidR="005C7283">
        <w:rPr>
          <w:sz w:val="24"/>
          <w:szCs w:val="24"/>
        </w:rPr>
        <w:t xml:space="preserve"> (QTNF)</w:t>
      </w:r>
      <w:r>
        <w:rPr>
          <w:sz w:val="24"/>
          <w:szCs w:val="24"/>
        </w:rPr>
        <w:t xml:space="preserve">. </w:t>
      </w:r>
    </w:p>
    <w:p w14:paraId="21E3A54A" w14:textId="5C79798D" w:rsidR="006773B3" w:rsidRDefault="006773B3" w:rsidP="008B4BC8">
      <w:pPr>
        <w:ind w:firstLine="709"/>
        <w:jc w:val="both"/>
        <w:rPr>
          <w:sz w:val="24"/>
          <w:szCs w:val="24"/>
        </w:rPr>
      </w:pPr>
      <w:r>
        <w:rPr>
          <w:sz w:val="24"/>
          <w:szCs w:val="24"/>
        </w:rPr>
        <w:t xml:space="preserve">Em oposição, a empresa que menos publicou informações nos relatórios analisados, foi a </w:t>
      </w:r>
      <w:proofErr w:type="spellStart"/>
      <w:r>
        <w:rPr>
          <w:sz w:val="24"/>
          <w:szCs w:val="24"/>
        </w:rPr>
        <w:t>Kablin</w:t>
      </w:r>
      <w:proofErr w:type="spellEnd"/>
      <w:r>
        <w:rPr>
          <w:sz w:val="24"/>
          <w:szCs w:val="24"/>
        </w:rPr>
        <w:t>, com apenas 4 variáveis, evidenciadas, representando apenas 1,74% do total das informações encontradas, sendo 3 de natureza qualitativa</w:t>
      </w:r>
      <w:r w:rsidR="005C7283">
        <w:rPr>
          <w:sz w:val="24"/>
          <w:szCs w:val="24"/>
        </w:rPr>
        <w:t xml:space="preserve"> (QL)</w:t>
      </w:r>
      <w:r>
        <w:rPr>
          <w:sz w:val="24"/>
          <w:szCs w:val="24"/>
        </w:rPr>
        <w:t>, 1 quantitativa</w:t>
      </w:r>
      <w:r w:rsidR="005C7283">
        <w:rPr>
          <w:sz w:val="24"/>
          <w:szCs w:val="24"/>
        </w:rPr>
        <w:t xml:space="preserve"> financeira (QTF)</w:t>
      </w:r>
      <w:r>
        <w:rPr>
          <w:sz w:val="24"/>
          <w:szCs w:val="24"/>
        </w:rPr>
        <w:t xml:space="preserve"> e nenhuma informação quantitativa não financeira</w:t>
      </w:r>
      <w:r w:rsidR="005C7283">
        <w:rPr>
          <w:sz w:val="24"/>
          <w:szCs w:val="24"/>
        </w:rPr>
        <w:t xml:space="preserve"> (QTNF)</w:t>
      </w:r>
      <w:r>
        <w:rPr>
          <w:sz w:val="24"/>
          <w:szCs w:val="24"/>
        </w:rPr>
        <w:t>.</w:t>
      </w:r>
    </w:p>
    <w:p w14:paraId="3548D163" w14:textId="77777777" w:rsidR="006773B3" w:rsidRDefault="006773B3">
      <w:pPr>
        <w:jc w:val="both"/>
        <w:rPr>
          <w:szCs w:val="24"/>
        </w:rPr>
      </w:pPr>
    </w:p>
    <w:p w14:paraId="4595A412" w14:textId="70B65109" w:rsidR="006773B3" w:rsidRPr="00F92251" w:rsidRDefault="006773B3">
      <w:pPr>
        <w:jc w:val="both"/>
        <w:rPr>
          <w:szCs w:val="24"/>
        </w:rPr>
      </w:pPr>
      <w:r w:rsidRPr="008B4BC8">
        <w:rPr>
          <w:b/>
          <w:szCs w:val="24"/>
        </w:rPr>
        <w:t xml:space="preserve">Quadro </w:t>
      </w:r>
      <w:r>
        <w:rPr>
          <w:b/>
          <w:szCs w:val="24"/>
        </w:rPr>
        <w:t>7</w:t>
      </w:r>
      <w:r>
        <w:rPr>
          <w:szCs w:val="24"/>
        </w:rPr>
        <w:t xml:space="preserve"> – Quantidade de informações por categoria de cada empresa</w:t>
      </w:r>
    </w:p>
    <w:tbl>
      <w:tblPr>
        <w:tblW w:w="5000" w:type="pct"/>
        <w:tblCellMar>
          <w:left w:w="70" w:type="dxa"/>
          <w:right w:w="70" w:type="dxa"/>
        </w:tblCellMar>
        <w:tblLook w:val="00A0" w:firstRow="1" w:lastRow="0" w:firstColumn="1" w:lastColumn="0" w:noHBand="0" w:noVBand="0"/>
      </w:tblPr>
      <w:tblGrid>
        <w:gridCol w:w="2344"/>
        <w:gridCol w:w="1645"/>
        <w:gridCol w:w="1645"/>
        <w:gridCol w:w="1644"/>
        <w:gridCol w:w="1777"/>
      </w:tblGrid>
      <w:tr w:rsidR="006773B3" w:rsidRPr="00180716" w14:paraId="48B9876B" w14:textId="77777777" w:rsidTr="008B4BC8">
        <w:trPr>
          <w:trHeight w:val="170"/>
        </w:trPr>
        <w:tc>
          <w:tcPr>
            <w:tcW w:w="1294" w:type="pct"/>
            <w:tcBorders>
              <w:top w:val="single" w:sz="4" w:space="0" w:color="auto"/>
              <w:left w:val="single" w:sz="4" w:space="0" w:color="auto"/>
              <w:bottom w:val="single" w:sz="4" w:space="0" w:color="auto"/>
              <w:right w:val="single" w:sz="4" w:space="0" w:color="auto"/>
            </w:tcBorders>
            <w:noWrap/>
            <w:vAlign w:val="center"/>
          </w:tcPr>
          <w:p w14:paraId="18C42FF7" w14:textId="77777777" w:rsidR="006773B3" w:rsidRPr="008B4BC8" w:rsidRDefault="006773B3">
            <w:pPr>
              <w:jc w:val="center"/>
              <w:rPr>
                <w:b/>
                <w:bCs/>
              </w:rPr>
            </w:pPr>
            <w:r w:rsidRPr="008B4BC8">
              <w:rPr>
                <w:b/>
                <w:bCs/>
              </w:rPr>
              <w:t> Empresas</w:t>
            </w:r>
          </w:p>
        </w:tc>
        <w:tc>
          <w:tcPr>
            <w:tcW w:w="908" w:type="pct"/>
            <w:tcBorders>
              <w:top w:val="single" w:sz="4" w:space="0" w:color="auto"/>
              <w:left w:val="nil"/>
              <w:bottom w:val="single" w:sz="4" w:space="0" w:color="auto"/>
              <w:right w:val="single" w:sz="4" w:space="0" w:color="auto"/>
            </w:tcBorders>
            <w:noWrap/>
            <w:vAlign w:val="center"/>
          </w:tcPr>
          <w:p w14:paraId="3970E003" w14:textId="77777777" w:rsidR="006773B3" w:rsidRPr="008B4BC8" w:rsidRDefault="006773B3">
            <w:pPr>
              <w:jc w:val="center"/>
              <w:rPr>
                <w:b/>
                <w:bCs/>
              </w:rPr>
            </w:pPr>
            <w:r w:rsidRPr="008B4BC8">
              <w:rPr>
                <w:b/>
                <w:bCs/>
              </w:rPr>
              <w:t>QL</w:t>
            </w:r>
          </w:p>
        </w:tc>
        <w:tc>
          <w:tcPr>
            <w:tcW w:w="908" w:type="pct"/>
            <w:tcBorders>
              <w:top w:val="single" w:sz="4" w:space="0" w:color="auto"/>
              <w:left w:val="nil"/>
              <w:bottom w:val="single" w:sz="4" w:space="0" w:color="auto"/>
              <w:right w:val="single" w:sz="4" w:space="0" w:color="auto"/>
            </w:tcBorders>
            <w:noWrap/>
            <w:vAlign w:val="center"/>
          </w:tcPr>
          <w:p w14:paraId="3A4E9F4B" w14:textId="3B39009F" w:rsidR="006773B3" w:rsidRPr="008B4BC8" w:rsidRDefault="006773B3">
            <w:pPr>
              <w:jc w:val="center"/>
              <w:rPr>
                <w:b/>
                <w:bCs/>
              </w:rPr>
            </w:pPr>
            <w:r w:rsidRPr="008B4BC8">
              <w:rPr>
                <w:b/>
                <w:bCs/>
              </w:rPr>
              <w:t>QT</w:t>
            </w:r>
            <w:r w:rsidR="005C7283">
              <w:rPr>
                <w:b/>
                <w:bCs/>
              </w:rPr>
              <w:t>F</w:t>
            </w:r>
          </w:p>
        </w:tc>
        <w:tc>
          <w:tcPr>
            <w:tcW w:w="908" w:type="pct"/>
            <w:tcBorders>
              <w:top w:val="single" w:sz="4" w:space="0" w:color="auto"/>
              <w:left w:val="nil"/>
              <w:bottom w:val="single" w:sz="4" w:space="0" w:color="auto"/>
              <w:right w:val="single" w:sz="4" w:space="0" w:color="auto"/>
            </w:tcBorders>
            <w:noWrap/>
            <w:vAlign w:val="center"/>
          </w:tcPr>
          <w:p w14:paraId="7541CFAB" w14:textId="77777777" w:rsidR="006773B3" w:rsidRPr="008B4BC8" w:rsidRDefault="006773B3">
            <w:pPr>
              <w:jc w:val="center"/>
              <w:rPr>
                <w:b/>
                <w:bCs/>
              </w:rPr>
            </w:pPr>
            <w:r w:rsidRPr="008B4BC8">
              <w:rPr>
                <w:b/>
                <w:bCs/>
              </w:rPr>
              <w:t>QTNF</w:t>
            </w:r>
          </w:p>
        </w:tc>
        <w:tc>
          <w:tcPr>
            <w:tcW w:w="981" w:type="pct"/>
            <w:tcBorders>
              <w:top w:val="single" w:sz="4" w:space="0" w:color="auto"/>
              <w:left w:val="nil"/>
              <w:bottom w:val="single" w:sz="4" w:space="0" w:color="auto"/>
              <w:right w:val="single" w:sz="4" w:space="0" w:color="auto"/>
            </w:tcBorders>
            <w:noWrap/>
            <w:vAlign w:val="center"/>
          </w:tcPr>
          <w:p w14:paraId="78C8C1A3" w14:textId="77777777" w:rsidR="006773B3" w:rsidRPr="008B4BC8" w:rsidRDefault="006773B3">
            <w:pPr>
              <w:jc w:val="center"/>
              <w:rPr>
                <w:b/>
                <w:bCs/>
              </w:rPr>
            </w:pPr>
            <w:r w:rsidRPr="008B4BC8">
              <w:rPr>
                <w:b/>
                <w:bCs/>
              </w:rPr>
              <w:t>TOTAL</w:t>
            </w:r>
          </w:p>
        </w:tc>
      </w:tr>
      <w:tr w:rsidR="006773B3" w:rsidRPr="00180716" w14:paraId="4127B96C"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108D01CB" w14:textId="77777777" w:rsidR="006773B3" w:rsidRPr="008B4BC8" w:rsidRDefault="006773B3">
            <w:r w:rsidRPr="008B4BC8">
              <w:rPr>
                <w:bCs/>
              </w:rPr>
              <w:t>Braskem</w:t>
            </w:r>
          </w:p>
        </w:tc>
        <w:tc>
          <w:tcPr>
            <w:tcW w:w="908" w:type="pct"/>
            <w:tcBorders>
              <w:top w:val="nil"/>
              <w:left w:val="nil"/>
              <w:bottom w:val="single" w:sz="4" w:space="0" w:color="auto"/>
              <w:right w:val="single" w:sz="4" w:space="0" w:color="auto"/>
            </w:tcBorders>
            <w:noWrap/>
            <w:vAlign w:val="center"/>
          </w:tcPr>
          <w:p w14:paraId="0C8A8E22" w14:textId="77777777" w:rsidR="006773B3" w:rsidRPr="008B4BC8" w:rsidRDefault="006773B3">
            <w:pPr>
              <w:jc w:val="center"/>
              <w:rPr>
                <w:color w:val="auto"/>
              </w:rPr>
            </w:pPr>
            <w:r w:rsidRPr="008B4BC8">
              <w:t>16</w:t>
            </w:r>
          </w:p>
        </w:tc>
        <w:tc>
          <w:tcPr>
            <w:tcW w:w="908" w:type="pct"/>
            <w:tcBorders>
              <w:top w:val="nil"/>
              <w:left w:val="nil"/>
              <w:bottom w:val="single" w:sz="4" w:space="0" w:color="auto"/>
              <w:right w:val="single" w:sz="4" w:space="0" w:color="auto"/>
            </w:tcBorders>
            <w:noWrap/>
            <w:vAlign w:val="center"/>
          </w:tcPr>
          <w:p w14:paraId="3A7B6978" w14:textId="77777777" w:rsidR="006773B3" w:rsidRPr="008B4BC8" w:rsidRDefault="006773B3">
            <w:pPr>
              <w:jc w:val="center"/>
            </w:pPr>
            <w:r w:rsidRPr="008B4BC8">
              <w:t>6</w:t>
            </w:r>
          </w:p>
        </w:tc>
        <w:tc>
          <w:tcPr>
            <w:tcW w:w="908" w:type="pct"/>
            <w:tcBorders>
              <w:top w:val="nil"/>
              <w:left w:val="nil"/>
              <w:bottom w:val="single" w:sz="4" w:space="0" w:color="auto"/>
              <w:right w:val="single" w:sz="4" w:space="0" w:color="auto"/>
            </w:tcBorders>
            <w:noWrap/>
            <w:vAlign w:val="center"/>
          </w:tcPr>
          <w:p w14:paraId="2B8A067F" w14:textId="77777777" w:rsidR="006773B3" w:rsidRPr="008B4BC8" w:rsidRDefault="006773B3">
            <w:pPr>
              <w:jc w:val="center"/>
            </w:pPr>
            <w:r w:rsidRPr="008B4BC8">
              <w:t>1</w:t>
            </w:r>
          </w:p>
        </w:tc>
        <w:tc>
          <w:tcPr>
            <w:tcW w:w="981" w:type="pct"/>
            <w:tcBorders>
              <w:top w:val="nil"/>
              <w:left w:val="nil"/>
              <w:bottom w:val="single" w:sz="4" w:space="0" w:color="auto"/>
              <w:right w:val="single" w:sz="4" w:space="0" w:color="auto"/>
            </w:tcBorders>
            <w:noWrap/>
            <w:vAlign w:val="center"/>
          </w:tcPr>
          <w:p w14:paraId="6928112C" w14:textId="77777777" w:rsidR="006773B3" w:rsidRPr="008B4BC8" w:rsidRDefault="006773B3">
            <w:pPr>
              <w:jc w:val="center"/>
            </w:pPr>
            <w:r w:rsidRPr="008B4BC8">
              <w:rPr>
                <w:bCs/>
              </w:rPr>
              <w:t>23</w:t>
            </w:r>
          </w:p>
        </w:tc>
      </w:tr>
      <w:tr w:rsidR="006773B3" w:rsidRPr="00180716" w14:paraId="0F283181"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2C01486A" w14:textId="77777777" w:rsidR="006773B3" w:rsidRPr="008B4BC8" w:rsidRDefault="006773B3">
            <w:proofErr w:type="spellStart"/>
            <w:r w:rsidRPr="008B4BC8">
              <w:rPr>
                <w:bCs/>
              </w:rPr>
              <w:t>Cosan</w:t>
            </w:r>
            <w:proofErr w:type="spellEnd"/>
          </w:p>
        </w:tc>
        <w:tc>
          <w:tcPr>
            <w:tcW w:w="908" w:type="pct"/>
            <w:tcBorders>
              <w:top w:val="nil"/>
              <w:left w:val="nil"/>
              <w:bottom w:val="single" w:sz="4" w:space="0" w:color="auto"/>
              <w:right w:val="single" w:sz="4" w:space="0" w:color="auto"/>
            </w:tcBorders>
            <w:noWrap/>
            <w:vAlign w:val="center"/>
          </w:tcPr>
          <w:p w14:paraId="4843DEBA" w14:textId="77777777" w:rsidR="006773B3" w:rsidRPr="008B4BC8" w:rsidRDefault="006773B3">
            <w:pPr>
              <w:jc w:val="center"/>
              <w:rPr>
                <w:color w:val="auto"/>
              </w:rPr>
            </w:pPr>
            <w:r w:rsidRPr="008B4BC8">
              <w:t>7</w:t>
            </w:r>
          </w:p>
        </w:tc>
        <w:tc>
          <w:tcPr>
            <w:tcW w:w="908" w:type="pct"/>
            <w:tcBorders>
              <w:top w:val="nil"/>
              <w:left w:val="nil"/>
              <w:bottom w:val="single" w:sz="4" w:space="0" w:color="auto"/>
              <w:right w:val="single" w:sz="4" w:space="0" w:color="auto"/>
            </w:tcBorders>
            <w:noWrap/>
            <w:vAlign w:val="center"/>
          </w:tcPr>
          <w:p w14:paraId="6EC465B3" w14:textId="77777777" w:rsidR="006773B3" w:rsidRPr="008B4BC8" w:rsidRDefault="006773B3">
            <w:pPr>
              <w:jc w:val="center"/>
            </w:pPr>
            <w:r w:rsidRPr="008B4BC8">
              <w:t>4</w:t>
            </w:r>
          </w:p>
        </w:tc>
        <w:tc>
          <w:tcPr>
            <w:tcW w:w="908" w:type="pct"/>
            <w:tcBorders>
              <w:top w:val="nil"/>
              <w:left w:val="nil"/>
              <w:bottom w:val="single" w:sz="4" w:space="0" w:color="auto"/>
              <w:right w:val="single" w:sz="4" w:space="0" w:color="auto"/>
            </w:tcBorders>
            <w:noWrap/>
            <w:vAlign w:val="center"/>
          </w:tcPr>
          <w:p w14:paraId="7F7E85F3" w14:textId="77777777" w:rsidR="006773B3" w:rsidRPr="008B4BC8" w:rsidRDefault="006773B3">
            <w:pPr>
              <w:jc w:val="center"/>
            </w:pPr>
            <w:r w:rsidRPr="008B4BC8">
              <w:t>3</w:t>
            </w:r>
          </w:p>
        </w:tc>
        <w:tc>
          <w:tcPr>
            <w:tcW w:w="981" w:type="pct"/>
            <w:tcBorders>
              <w:top w:val="nil"/>
              <w:left w:val="nil"/>
              <w:bottom w:val="single" w:sz="4" w:space="0" w:color="auto"/>
              <w:right w:val="single" w:sz="4" w:space="0" w:color="auto"/>
            </w:tcBorders>
            <w:noWrap/>
            <w:vAlign w:val="center"/>
          </w:tcPr>
          <w:p w14:paraId="33E5BA48" w14:textId="77777777" w:rsidR="006773B3" w:rsidRPr="008B4BC8" w:rsidRDefault="006773B3">
            <w:pPr>
              <w:jc w:val="center"/>
            </w:pPr>
            <w:r w:rsidRPr="008B4BC8">
              <w:rPr>
                <w:bCs/>
              </w:rPr>
              <w:t>14</w:t>
            </w:r>
          </w:p>
        </w:tc>
      </w:tr>
      <w:tr w:rsidR="006773B3" w:rsidRPr="00180716" w14:paraId="3B3D74E2"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13FFD112" w14:textId="77777777" w:rsidR="006773B3" w:rsidRPr="008B4BC8" w:rsidRDefault="006773B3">
            <w:r w:rsidRPr="008B4BC8">
              <w:rPr>
                <w:bCs/>
              </w:rPr>
              <w:t>CSN</w:t>
            </w:r>
          </w:p>
        </w:tc>
        <w:tc>
          <w:tcPr>
            <w:tcW w:w="908" w:type="pct"/>
            <w:tcBorders>
              <w:top w:val="nil"/>
              <w:left w:val="nil"/>
              <w:bottom w:val="single" w:sz="4" w:space="0" w:color="auto"/>
              <w:right w:val="single" w:sz="4" w:space="0" w:color="auto"/>
            </w:tcBorders>
            <w:noWrap/>
            <w:vAlign w:val="center"/>
          </w:tcPr>
          <w:p w14:paraId="580463A6" w14:textId="77777777" w:rsidR="006773B3" w:rsidRPr="008B4BC8" w:rsidRDefault="006773B3">
            <w:pPr>
              <w:jc w:val="center"/>
              <w:rPr>
                <w:color w:val="auto"/>
              </w:rPr>
            </w:pPr>
            <w:r w:rsidRPr="008B4BC8">
              <w:t>11</w:t>
            </w:r>
          </w:p>
        </w:tc>
        <w:tc>
          <w:tcPr>
            <w:tcW w:w="908" w:type="pct"/>
            <w:tcBorders>
              <w:top w:val="nil"/>
              <w:left w:val="nil"/>
              <w:bottom w:val="single" w:sz="4" w:space="0" w:color="auto"/>
              <w:right w:val="single" w:sz="4" w:space="0" w:color="auto"/>
            </w:tcBorders>
            <w:noWrap/>
            <w:vAlign w:val="center"/>
          </w:tcPr>
          <w:p w14:paraId="3B6FB56A" w14:textId="77777777" w:rsidR="006773B3" w:rsidRPr="008B4BC8" w:rsidRDefault="006773B3">
            <w:pPr>
              <w:jc w:val="center"/>
            </w:pPr>
            <w:r w:rsidRPr="008B4BC8">
              <w:t>8</w:t>
            </w:r>
          </w:p>
        </w:tc>
        <w:tc>
          <w:tcPr>
            <w:tcW w:w="908" w:type="pct"/>
            <w:tcBorders>
              <w:top w:val="nil"/>
              <w:left w:val="nil"/>
              <w:bottom w:val="single" w:sz="4" w:space="0" w:color="auto"/>
              <w:right w:val="single" w:sz="4" w:space="0" w:color="auto"/>
            </w:tcBorders>
            <w:noWrap/>
            <w:vAlign w:val="center"/>
          </w:tcPr>
          <w:p w14:paraId="478F82BE" w14:textId="77777777" w:rsidR="006773B3" w:rsidRPr="008B4BC8" w:rsidRDefault="006773B3">
            <w:pPr>
              <w:jc w:val="center"/>
            </w:pPr>
            <w:r w:rsidRPr="008B4BC8">
              <w:t>0</w:t>
            </w:r>
          </w:p>
        </w:tc>
        <w:tc>
          <w:tcPr>
            <w:tcW w:w="981" w:type="pct"/>
            <w:tcBorders>
              <w:top w:val="nil"/>
              <w:left w:val="nil"/>
              <w:bottom w:val="single" w:sz="4" w:space="0" w:color="auto"/>
              <w:right w:val="single" w:sz="4" w:space="0" w:color="auto"/>
            </w:tcBorders>
            <w:noWrap/>
            <w:vAlign w:val="center"/>
          </w:tcPr>
          <w:p w14:paraId="679787B1" w14:textId="77777777" w:rsidR="006773B3" w:rsidRPr="008B4BC8" w:rsidRDefault="006773B3">
            <w:pPr>
              <w:jc w:val="center"/>
            </w:pPr>
            <w:r w:rsidRPr="008B4BC8">
              <w:rPr>
                <w:bCs/>
              </w:rPr>
              <w:t>19</w:t>
            </w:r>
          </w:p>
        </w:tc>
      </w:tr>
      <w:tr w:rsidR="006773B3" w:rsidRPr="00180716" w14:paraId="361D52D7"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3FB9C4F0" w14:textId="77777777" w:rsidR="006773B3" w:rsidRPr="008B4BC8" w:rsidRDefault="006773B3">
            <w:proofErr w:type="spellStart"/>
            <w:r w:rsidRPr="008B4BC8">
              <w:rPr>
                <w:bCs/>
              </w:rPr>
              <w:lastRenderedPageBreak/>
              <w:t>Fibria</w:t>
            </w:r>
            <w:proofErr w:type="spellEnd"/>
          </w:p>
        </w:tc>
        <w:tc>
          <w:tcPr>
            <w:tcW w:w="908" w:type="pct"/>
            <w:tcBorders>
              <w:top w:val="nil"/>
              <w:left w:val="nil"/>
              <w:bottom w:val="single" w:sz="4" w:space="0" w:color="auto"/>
              <w:right w:val="single" w:sz="4" w:space="0" w:color="auto"/>
            </w:tcBorders>
            <w:noWrap/>
            <w:vAlign w:val="center"/>
          </w:tcPr>
          <w:p w14:paraId="54C505ED" w14:textId="77777777" w:rsidR="006773B3" w:rsidRPr="008B4BC8" w:rsidRDefault="006773B3">
            <w:pPr>
              <w:jc w:val="center"/>
              <w:rPr>
                <w:color w:val="auto"/>
              </w:rPr>
            </w:pPr>
            <w:r w:rsidRPr="008B4BC8">
              <w:t>7</w:t>
            </w:r>
          </w:p>
        </w:tc>
        <w:tc>
          <w:tcPr>
            <w:tcW w:w="908" w:type="pct"/>
            <w:tcBorders>
              <w:top w:val="nil"/>
              <w:left w:val="nil"/>
              <w:bottom w:val="single" w:sz="4" w:space="0" w:color="auto"/>
              <w:right w:val="single" w:sz="4" w:space="0" w:color="auto"/>
            </w:tcBorders>
            <w:noWrap/>
            <w:vAlign w:val="center"/>
          </w:tcPr>
          <w:p w14:paraId="25812DAA" w14:textId="77777777" w:rsidR="006773B3" w:rsidRPr="008B4BC8" w:rsidRDefault="006773B3">
            <w:pPr>
              <w:jc w:val="center"/>
            </w:pPr>
            <w:r w:rsidRPr="008B4BC8">
              <w:t>5</w:t>
            </w:r>
          </w:p>
        </w:tc>
        <w:tc>
          <w:tcPr>
            <w:tcW w:w="908" w:type="pct"/>
            <w:tcBorders>
              <w:top w:val="nil"/>
              <w:left w:val="nil"/>
              <w:bottom w:val="single" w:sz="4" w:space="0" w:color="auto"/>
              <w:right w:val="single" w:sz="4" w:space="0" w:color="auto"/>
            </w:tcBorders>
            <w:noWrap/>
            <w:vAlign w:val="center"/>
          </w:tcPr>
          <w:p w14:paraId="67C1A10E" w14:textId="77777777" w:rsidR="006773B3" w:rsidRPr="008B4BC8" w:rsidRDefault="006773B3">
            <w:pPr>
              <w:jc w:val="center"/>
            </w:pPr>
            <w:r w:rsidRPr="008B4BC8">
              <w:t>4</w:t>
            </w:r>
          </w:p>
        </w:tc>
        <w:tc>
          <w:tcPr>
            <w:tcW w:w="981" w:type="pct"/>
            <w:tcBorders>
              <w:top w:val="nil"/>
              <w:left w:val="nil"/>
              <w:bottom w:val="single" w:sz="4" w:space="0" w:color="auto"/>
              <w:right w:val="single" w:sz="4" w:space="0" w:color="auto"/>
            </w:tcBorders>
            <w:noWrap/>
            <w:vAlign w:val="center"/>
          </w:tcPr>
          <w:p w14:paraId="0A4C8F2C" w14:textId="77777777" w:rsidR="006773B3" w:rsidRPr="008B4BC8" w:rsidRDefault="006773B3">
            <w:pPr>
              <w:jc w:val="center"/>
            </w:pPr>
            <w:r w:rsidRPr="008B4BC8">
              <w:rPr>
                <w:bCs/>
              </w:rPr>
              <w:t>16</w:t>
            </w:r>
          </w:p>
        </w:tc>
      </w:tr>
      <w:tr w:rsidR="006773B3" w:rsidRPr="00180716" w14:paraId="78C82BC7"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1DFFE35D" w14:textId="77777777" w:rsidR="006773B3" w:rsidRPr="008B4BC8" w:rsidRDefault="006773B3">
            <w:r w:rsidRPr="008B4BC8">
              <w:rPr>
                <w:bCs/>
              </w:rPr>
              <w:t>Gerdau</w:t>
            </w:r>
          </w:p>
        </w:tc>
        <w:tc>
          <w:tcPr>
            <w:tcW w:w="908" w:type="pct"/>
            <w:tcBorders>
              <w:top w:val="nil"/>
              <w:left w:val="nil"/>
              <w:bottom w:val="single" w:sz="4" w:space="0" w:color="auto"/>
              <w:right w:val="single" w:sz="4" w:space="0" w:color="auto"/>
            </w:tcBorders>
            <w:noWrap/>
            <w:vAlign w:val="center"/>
          </w:tcPr>
          <w:p w14:paraId="7CC237C7" w14:textId="77777777" w:rsidR="006773B3" w:rsidRPr="008B4BC8" w:rsidRDefault="006773B3">
            <w:pPr>
              <w:jc w:val="center"/>
              <w:rPr>
                <w:color w:val="auto"/>
              </w:rPr>
            </w:pPr>
            <w:r w:rsidRPr="008B4BC8">
              <w:t>8</w:t>
            </w:r>
          </w:p>
        </w:tc>
        <w:tc>
          <w:tcPr>
            <w:tcW w:w="908" w:type="pct"/>
            <w:tcBorders>
              <w:top w:val="nil"/>
              <w:left w:val="nil"/>
              <w:bottom w:val="single" w:sz="4" w:space="0" w:color="auto"/>
              <w:right w:val="single" w:sz="4" w:space="0" w:color="auto"/>
            </w:tcBorders>
            <w:noWrap/>
            <w:vAlign w:val="center"/>
          </w:tcPr>
          <w:p w14:paraId="41E2DB0F" w14:textId="77777777" w:rsidR="006773B3" w:rsidRPr="008B4BC8" w:rsidRDefault="006773B3">
            <w:pPr>
              <w:jc w:val="center"/>
            </w:pPr>
            <w:r w:rsidRPr="008B4BC8">
              <w:t>9</w:t>
            </w:r>
          </w:p>
        </w:tc>
        <w:tc>
          <w:tcPr>
            <w:tcW w:w="908" w:type="pct"/>
            <w:tcBorders>
              <w:top w:val="nil"/>
              <w:left w:val="nil"/>
              <w:bottom w:val="single" w:sz="4" w:space="0" w:color="auto"/>
              <w:right w:val="single" w:sz="4" w:space="0" w:color="auto"/>
            </w:tcBorders>
            <w:noWrap/>
            <w:vAlign w:val="center"/>
          </w:tcPr>
          <w:p w14:paraId="36FA9B67" w14:textId="77777777" w:rsidR="006773B3" w:rsidRPr="008B4BC8" w:rsidRDefault="006773B3">
            <w:pPr>
              <w:jc w:val="center"/>
            </w:pPr>
            <w:r w:rsidRPr="008B4BC8">
              <w:t>0</w:t>
            </w:r>
          </w:p>
        </w:tc>
        <w:tc>
          <w:tcPr>
            <w:tcW w:w="981" w:type="pct"/>
            <w:tcBorders>
              <w:top w:val="nil"/>
              <w:left w:val="nil"/>
              <w:bottom w:val="single" w:sz="4" w:space="0" w:color="auto"/>
              <w:right w:val="single" w:sz="4" w:space="0" w:color="auto"/>
            </w:tcBorders>
            <w:noWrap/>
            <w:vAlign w:val="center"/>
          </w:tcPr>
          <w:p w14:paraId="472886CC" w14:textId="77777777" w:rsidR="006773B3" w:rsidRPr="008B4BC8" w:rsidRDefault="006773B3">
            <w:pPr>
              <w:jc w:val="center"/>
            </w:pPr>
            <w:r w:rsidRPr="008B4BC8">
              <w:rPr>
                <w:bCs/>
              </w:rPr>
              <w:t>17</w:t>
            </w:r>
          </w:p>
        </w:tc>
      </w:tr>
      <w:tr w:rsidR="006773B3" w:rsidRPr="00180716" w14:paraId="18FCA5BD" w14:textId="77777777" w:rsidTr="008B4BC8">
        <w:trPr>
          <w:trHeight w:val="170"/>
        </w:trPr>
        <w:tc>
          <w:tcPr>
            <w:tcW w:w="1294" w:type="pct"/>
            <w:tcBorders>
              <w:top w:val="nil"/>
              <w:left w:val="single" w:sz="4" w:space="0" w:color="auto"/>
              <w:bottom w:val="single" w:sz="4" w:space="0" w:color="auto"/>
              <w:right w:val="single" w:sz="4" w:space="0" w:color="auto"/>
            </w:tcBorders>
            <w:shd w:val="clear" w:color="000000" w:fill="FFFFFF"/>
            <w:vAlign w:val="center"/>
          </w:tcPr>
          <w:p w14:paraId="3244722C" w14:textId="77777777" w:rsidR="006773B3" w:rsidRPr="008B4BC8" w:rsidRDefault="006773B3">
            <w:proofErr w:type="spellStart"/>
            <w:r w:rsidRPr="008B4BC8">
              <w:rPr>
                <w:bCs/>
              </w:rPr>
              <w:t>Klablin</w:t>
            </w:r>
            <w:proofErr w:type="spellEnd"/>
          </w:p>
        </w:tc>
        <w:tc>
          <w:tcPr>
            <w:tcW w:w="908" w:type="pct"/>
            <w:tcBorders>
              <w:top w:val="nil"/>
              <w:left w:val="nil"/>
              <w:bottom w:val="single" w:sz="4" w:space="0" w:color="auto"/>
              <w:right w:val="single" w:sz="4" w:space="0" w:color="auto"/>
            </w:tcBorders>
            <w:noWrap/>
            <w:vAlign w:val="center"/>
          </w:tcPr>
          <w:p w14:paraId="06DCC5A6" w14:textId="77777777" w:rsidR="006773B3" w:rsidRPr="008B4BC8" w:rsidRDefault="006773B3">
            <w:pPr>
              <w:jc w:val="center"/>
              <w:rPr>
                <w:color w:val="auto"/>
              </w:rPr>
            </w:pPr>
            <w:r w:rsidRPr="008B4BC8">
              <w:t>3</w:t>
            </w:r>
          </w:p>
        </w:tc>
        <w:tc>
          <w:tcPr>
            <w:tcW w:w="908" w:type="pct"/>
            <w:tcBorders>
              <w:top w:val="nil"/>
              <w:left w:val="nil"/>
              <w:bottom w:val="single" w:sz="4" w:space="0" w:color="auto"/>
              <w:right w:val="single" w:sz="4" w:space="0" w:color="auto"/>
            </w:tcBorders>
            <w:noWrap/>
            <w:vAlign w:val="center"/>
          </w:tcPr>
          <w:p w14:paraId="5E97259A" w14:textId="77777777" w:rsidR="006773B3" w:rsidRPr="008B4BC8" w:rsidRDefault="006773B3">
            <w:pPr>
              <w:jc w:val="center"/>
            </w:pPr>
            <w:r w:rsidRPr="008B4BC8">
              <w:t>1</w:t>
            </w:r>
          </w:p>
        </w:tc>
        <w:tc>
          <w:tcPr>
            <w:tcW w:w="908" w:type="pct"/>
            <w:tcBorders>
              <w:top w:val="nil"/>
              <w:left w:val="nil"/>
              <w:bottom w:val="single" w:sz="4" w:space="0" w:color="auto"/>
              <w:right w:val="single" w:sz="4" w:space="0" w:color="auto"/>
            </w:tcBorders>
            <w:noWrap/>
            <w:vAlign w:val="center"/>
          </w:tcPr>
          <w:p w14:paraId="678A7CE7" w14:textId="77777777" w:rsidR="006773B3" w:rsidRPr="008B4BC8" w:rsidRDefault="006773B3">
            <w:pPr>
              <w:jc w:val="center"/>
            </w:pPr>
            <w:r w:rsidRPr="008B4BC8">
              <w:t>0</w:t>
            </w:r>
          </w:p>
        </w:tc>
        <w:tc>
          <w:tcPr>
            <w:tcW w:w="981" w:type="pct"/>
            <w:tcBorders>
              <w:top w:val="nil"/>
              <w:left w:val="nil"/>
              <w:bottom w:val="single" w:sz="4" w:space="0" w:color="auto"/>
              <w:right w:val="single" w:sz="4" w:space="0" w:color="auto"/>
            </w:tcBorders>
            <w:noWrap/>
            <w:vAlign w:val="center"/>
          </w:tcPr>
          <w:p w14:paraId="46E6A2B4" w14:textId="77777777" w:rsidR="006773B3" w:rsidRPr="008B4BC8" w:rsidRDefault="006773B3">
            <w:pPr>
              <w:jc w:val="center"/>
            </w:pPr>
            <w:r w:rsidRPr="008B4BC8">
              <w:rPr>
                <w:bCs/>
              </w:rPr>
              <w:t>4</w:t>
            </w:r>
          </w:p>
        </w:tc>
      </w:tr>
      <w:tr w:rsidR="006773B3" w:rsidRPr="00180716" w14:paraId="58CEB36E"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2F6F0F0A" w14:textId="77777777" w:rsidR="006773B3" w:rsidRPr="008B4BC8" w:rsidRDefault="006773B3">
            <w:r w:rsidRPr="008B4BC8">
              <w:rPr>
                <w:bCs/>
              </w:rPr>
              <w:t>Natura</w:t>
            </w:r>
          </w:p>
        </w:tc>
        <w:tc>
          <w:tcPr>
            <w:tcW w:w="908" w:type="pct"/>
            <w:tcBorders>
              <w:top w:val="nil"/>
              <w:left w:val="nil"/>
              <w:bottom w:val="single" w:sz="4" w:space="0" w:color="auto"/>
              <w:right w:val="single" w:sz="4" w:space="0" w:color="auto"/>
            </w:tcBorders>
            <w:noWrap/>
            <w:vAlign w:val="center"/>
          </w:tcPr>
          <w:p w14:paraId="52A0C222" w14:textId="77777777" w:rsidR="006773B3" w:rsidRPr="008B4BC8" w:rsidRDefault="006773B3">
            <w:pPr>
              <w:jc w:val="center"/>
              <w:rPr>
                <w:color w:val="auto"/>
              </w:rPr>
            </w:pPr>
            <w:r w:rsidRPr="008B4BC8">
              <w:t>14</w:t>
            </w:r>
          </w:p>
        </w:tc>
        <w:tc>
          <w:tcPr>
            <w:tcW w:w="908" w:type="pct"/>
            <w:tcBorders>
              <w:top w:val="nil"/>
              <w:left w:val="nil"/>
              <w:bottom w:val="single" w:sz="4" w:space="0" w:color="auto"/>
              <w:right w:val="single" w:sz="4" w:space="0" w:color="auto"/>
            </w:tcBorders>
            <w:noWrap/>
            <w:vAlign w:val="center"/>
          </w:tcPr>
          <w:p w14:paraId="7C446179" w14:textId="77777777" w:rsidR="006773B3" w:rsidRPr="008B4BC8" w:rsidRDefault="006773B3">
            <w:pPr>
              <w:jc w:val="center"/>
            </w:pPr>
            <w:r w:rsidRPr="008B4BC8">
              <w:t>9</w:t>
            </w:r>
          </w:p>
        </w:tc>
        <w:tc>
          <w:tcPr>
            <w:tcW w:w="908" w:type="pct"/>
            <w:tcBorders>
              <w:top w:val="nil"/>
              <w:left w:val="nil"/>
              <w:bottom w:val="single" w:sz="4" w:space="0" w:color="auto"/>
              <w:right w:val="single" w:sz="4" w:space="0" w:color="auto"/>
            </w:tcBorders>
            <w:noWrap/>
            <w:vAlign w:val="center"/>
          </w:tcPr>
          <w:p w14:paraId="665C57F7" w14:textId="77777777" w:rsidR="006773B3" w:rsidRPr="008B4BC8" w:rsidRDefault="006773B3">
            <w:pPr>
              <w:jc w:val="center"/>
            </w:pPr>
            <w:r w:rsidRPr="008B4BC8">
              <w:t>4</w:t>
            </w:r>
          </w:p>
        </w:tc>
        <w:tc>
          <w:tcPr>
            <w:tcW w:w="981" w:type="pct"/>
            <w:tcBorders>
              <w:top w:val="nil"/>
              <w:left w:val="nil"/>
              <w:bottom w:val="single" w:sz="4" w:space="0" w:color="auto"/>
              <w:right w:val="single" w:sz="4" w:space="0" w:color="auto"/>
            </w:tcBorders>
            <w:noWrap/>
            <w:vAlign w:val="center"/>
          </w:tcPr>
          <w:p w14:paraId="7FA7860E" w14:textId="77777777" w:rsidR="006773B3" w:rsidRPr="008B4BC8" w:rsidRDefault="006773B3">
            <w:pPr>
              <w:jc w:val="center"/>
            </w:pPr>
            <w:r w:rsidRPr="008B4BC8">
              <w:rPr>
                <w:bCs/>
              </w:rPr>
              <w:t>27</w:t>
            </w:r>
          </w:p>
        </w:tc>
      </w:tr>
      <w:tr w:rsidR="006773B3" w:rsidRPr="00180716" w14:paraId="03B43B6F"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0CC675FB" w14:textId="77777777" w:rsidR="006773B3" w:rsidRPr="008B4BC8" w:rsidRDefault="006773B3">
            <w:r w:rsidRPr="008B4BC8">
              <w:rPr>
                <w:bCs/>
              </w:rPr>
              <w:t>Petrobras</w:t>
            </w:r>
          </w:p>
        </w:tc>
        <w:tc>
          <w:tcPr>
            <w:tcW w:w="908" w:type="pct"/>
            <w:tcBorders>
              <w:top w:val="nil"/>
              <w:left w:val="nil"/>
              <w:bottom w:val="single" w:sz="4" w:space="0" w:color="auto"/>
              <w:right w:val="single" w:sz="4" w:space="0" w:color="auto"/>
            </w:tcBorders>
            <w:noWrap/>
            <w:vAlign w:val="center"/>
          </w:tcPr>
          <w:p w14:paraId="34A8CAB1" w14:textId="77777777" w:rsidR="006773B3" w:rsidRPr="008B4BC8" w:rsidRDefault="006773B3">
            <w:pPr>
              <w:jc w:val="center"/>
              <w:rPr>
                <w:color w:val="auto"/>
              </w:rPr>
            </w:pPr>
            <w:r w:rsidRPr="008B4BC8">
              <w:t>12</w:t>
            </w:r>
          </w:p>
        </w:tc>
        <w:tc>
          <w:tcPr>
            <w:tcW w:w="908" w:type="pct"/>
            <w:tcBorders>
              <w:top w:val="nil"/>
              <w:left w:val="nil"/>
              <w:bottom w:val="single" w:sz="4" w:space="0" w:color="auto"/>
              <w:right w:val="single" w:sz="4" w:space="0" w:color="auto"/>
            </w:tcBorders>
            <w:noWrap/>
            <w:vAlign w:val="center"/>
          </w:tcPr>
          <w:p w14:paraId="4A74BE18" w14:textId="77777777" w:rsidR="006773B3" w:rsidRPr="008B4BC8" w:rsidRDefault="006773B3">
            <w:pPr>
              <w:jc w:val="center"/>
            </w:pPr>
            <w:r w:rsidRPr="008B4BC8">
              <w:t>7</w:t>
            </w:r>
          </w:p>
        </w:tc>
        <w:tc>
          <w:tcPr>
            <w:tcW w:w="908" w:type="pct"/>
            <w:tcBorders>
              <w:top w:val="nil"/>
              <w:left w:val="nil"/>
              <w:bottom w:val="single" w:sz="4" w:space="0" w:color="auto"/>
              <w:right w:val="single" w:sz="4" w:space="0" w:color="auto"/>
            </w:tcBorders>
            <w:noWrap/>
            <w:vAlign w:val="center"/>
          </w:tcPr>
          <w:p w14:paraId="7BAD77BB" w14:textId="77777777" w:rsidR="006773B3" w:rsidRPr="008B4BC8" w:rsidRDefault="006773B3">
            <w:pPr>
              <w:jc w:val="center"/>
            </w:pPr>
            <w:r w:rsidRPr="008B4BC8">
              <w:t>7</w:t>
            </w:r>
          </w:p>
        </w:tc>
        <w:tc>
          <w:tcPr>
            <w:tcW w:w="981" w:type="pct"/>
            <w:tcBorders>
              <w:top w:val="nil"/>
              <w:left w:val="nil"/>
              <w:bottom w:val="single" w:sz="4" w:space="0" w:color="auto"/>
              <w:right w:val="single" w:sz="4" w:space="0" w:color="auto"/>
            </w:tcBorders>
            <w:noWrap/>
            <w:vAlign w:val="center"/>
          </w:tcPr>
          <w:p w14:paraId="48D7390B" w14:textId="77777777" w:rsidR="006773B3" w:rsidRPr="008B4BC8" w:rsidRDefault="006773B3">
            <w:pPr>
              <w:jc w:val="center"/>
            </w:pPr>
            <w:r w:rsidRPr="008B4BC8">
              <w:rPr>
                <w:bCs/>
              </w:rPr>
              <w:t>26</w:t>
            </w:r>
          </w:p>
        </w:tc>
      </w:tr>
      <w:tr w:rsidR="006773B3" w:rsidRPr="00180716" w14:paraId="3DAA1EBD" w14:textId="77777777" w:rsidTr="008B4BC8">
        <w:trPr>
          <w:trHeight w:val="170"/>
        </w:trPr>
        <w:tc>
          <w:tcPr>
            <w:tcW w:w="1294" w:type="pct"/>
            <w:tcBorders>
              <w:top w:val="nil"/>
              <w:left w:val="single" w:sz="4" w:space="0" w:color="auto"/>
              <w:bottom w:val="single" w:sz="4" w:space="0" w:color="auto"/>
              <w:right w:val="single" w:sz="4" w:space="0" w:color="auto"/>
            </w:tcBorders>
            <w:shd w:val="clear" w:color="000000" w:fill="FFFFFF"/>
            <w:noWrap/>
            <w:vAlign w:val="center"/>
          </w:tcPr>
          <w:p w14:paraId="3458BC09" w14:textId="77777777" w:rsidR="006773B3" w:rsidRPr="008B4BC8" w:rsidRDefault="006773B3">
            <w:r w:rsidRPr="008B4BC8">
              <w:rPr>
                <w:bCs/>
              </w:rPr>
              <w:t>Suzano</w:t>
            </w:r>
          </w:p>
        </w:tc>
        <w:tc>
          <w:tcPr>
            <w:tcW w:w="908" w:type="pct"/>
            <w:tcBorders>
              <w:top w:val="nil"/>
              <w:left w:val="nil"/>
              <w:bottom w:val="single" w:sz="4" w:space="0" w:color="auto"/>
              <w:right w:val="single" w:sz="4" w:space="0" w:color="auto"/>
            </w:tcBorders>
            <w:noWrap/>
            <w:vAlign w:val="center"/>
          </w:tcPr>
          <w:p w14:paraId="4B326D46" w14:textId="77777777" w:rsidR="006773B3" w:rsidRPr="008B4BC8" w:rsidRDefault="006773B3">
            <w:pPr>
              <w:jc w:val="center"/>
              <w:rPr>
                <w:color w:val="auto"/>
              </w:rPr>
            </w:pPr>
            <w:r w:rsidRPr="008B4BC8">
              <w:t>15</w:t>
            </w:r>
          </w:p>
        </w:tc>
        <w:tc>
          <w:tcPr>
            <w:tcW w:w="908" w:type="pct"/>
            <w:tcBorders>
              <w:top w:val="nil"/>
              <w:left w:val="nil"/>
              <w:bottom w:val="single" w:sz="4" w:space="0" w:color="auto"/>
              <w:right w:val="single" w:sz="4" w:space="0" w:color="auto"/>
            </w:tcBorders>
            <w:noWrap/>
            <w:vAlign w:val="center"/>
          </w:tcPr>
          <w:p w14:paraId="6897059F" w14:textId="77777777" w:rsidR="006773B3" w:rsidRPr="008B4BC8" w:rsidRDefault="006773B3">
            <w:pPr>
              <w:jc w:val="center"/>
            </w:pPr>
            <w:r w:rsidRPr="008B4BC8">
              <w:t>6</w:t>
            </w:r>
          </w:p>
        </w:tc>
        <w:tc>
          <w:tcPr>
            <w:tcW w:w="908" w:type="pct"/>
            <w:tcBorders>
              <w:top w:val="nil"/>
              <w:left w:val="nil"/>
              <w:bottom w:val="single" w:sz="4" w:space="0" w:color="auto"/>
              <w:right w:val="single" w:sz="4" w:space="0" w:color="auto"/>
            </w:tcBorders>
            <w:noWrap/>
            <w:vAlign w:val="center"/>
          </w:tcPr>
          <w:p w14:paraId="04BF93E2" w14:textId="77777777" w:rsidR="006773B3" w:rsidRPr="008B4BC8" w:rsidRDefault="006773B3">
            <w:pPr>
              <w:jc w:val="center"/>
            </w:pPr>
            <w:r w:rsidRPr="008B4BC8">
              <w:t>1</w:t>
            </w:r>
          </w:p>
        </w:tc>
        <w:tc>
          <w:tcPr>
            <w:tcW w:w="981" w:type="pct"/>
            <w:tcBorders>
              <w:top w:val="nil"/>
              <w:left w:val="nil"/>
              <w:bottom w:val="single" w:sz="4" w:space="0" w:color="auto"/>
              <w:right w:val="single" w:sz="4" w:space="0" w:color="auto"/>
            </w:tcBorders>
            <w:noWrap/>
            <w:vAlign w:val="center"/>
          </w:tcPr>
          <w:p w14:paraId="449906E3" w14:textId="77777777" w:rsidR="006773B3" w:rsidRPr="008B4BC8" w:rsidRDefault="006773B3">
            <w:pPr>
              <w:jc w:val="center"/>
            </w:pPr>
            <w:r w:rsidRPr="008B4BC8">
              <w:rPr>
                <w:bCs/>
              </w:rPr>
              <w:t>22</w:t>
            </w:r>
          </w:p>
        </w:tc>
      </w:tr>
      <w:tr w:rsidR="006773B3" w:rsidRPr="00180716" w14:paraId="0A7115A5"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4269FE32" w14:textId="77777777" w:rsidR="006773B3" w:rsidRPr="008B4BC8" w:rsidRDefault="006773B3">
            <w:r w:rsidRPr="008B4BC8">
              <w:rPr>
                <w:bCs/>
              </w:rPr>
              <w:t>Usiminas</w:t>
            </w:r>
          </w:p>
        </w:tc>
        <w:tc>
          <w:tcPr>
            <w:tcW w:w="908" w:type="pct"/>
            <w:tcBorders>
              <w:top w:val="nil"/>
              <w:left w:val="nil"/>
              <w:bottom w:val="single" w:sz="4" w:space="0" w:color="auto"/>
              <w:right w:val="single" w:sz="4" w:space="0" w:color="auto"/>
            </w:tcBorders>
            <w:noWrap/>
            <w:vAlign w:val="center"/>
          </w:tcPr>
          <w:p w14:paraId="77498D37" w14:textId="77777777" w:rsidR="006773B3" w:rsidRPr="008B4BC8" w:rsidRDefault="006773B3">
            <w:pPr>
              <w:jc w:val="center"/>
              <w:rPr>
                <w:color w:val="auto"/>
              </w:rPr>
            </w:pPr>
            <w:r w:rsidRPr="008B4BC8">
              <w:t>12</w:t>
            </w:r>
          </w:p>
        </w:tc>
        <w:tc>
          <w:tcPr>
            <w:tcW w:w="908" w:type="pct"/>
            <w:tcBorders>
              <w:top w:val="nil"/>
              <w:left w:val="nil"/>
              <w:bottom w:val="single" w:sz="4" w:space="0" w:color="auto"/>
              <w:right w:val="single" w:sz="4" w:space="0" w:color="auto"/>
            </w:tcBorders>
            <w:noWrap/>
            <w:vAlign w:val="center"/>
          </w:tcPr>
          <w:p w14:paraId="5BBB7B01" w14:textId="77777777" w:rsidR="006773B3" w:rsidRPr="008B4BC8" w:rsidRDefault="006773B3">
            <w:pPr>
              <w:jc w:val="center"/>
            </w:pPr>
            <w:r w:rsidRPr="008B4BC8">
              <w:t>6</w:t>
            </w:r>
          </w:p>
        </w:tc>
        <w:tc>
          <w:tcPr>
            <w:tcW w:w="908" w:type="pct"/>
            <w:tcBorders>
              <w:top w:val="nil"/>
              <w:left w:val="nil"/>
              <w:bottom w:val="single" w:sz="4" w:space="0" w:color="auto"/>
              <w:right w:val="single" w:sz="4" w:space="0" w:color="auto"/>
            </w:tcBorders>
            <w:noWrap/>
            <w:vAlign w:val="center"/>
          </w:tcPr>
          <w:p w14:paraId="426AB14D" w14:textId="77777777" w:rsidR="006773B3" w:rsidRPr="008B4BC8" w:rsidRDefault="006773B3">
            <w:pPr>
              <w:jc w:val="center"/>
            </w:pPr>
            <w:r w:rsidRPr="008B4BC8">
              <w:t>5</w:t>
            </w:r>
          </w:p>
        </w:tc>
        <w:tc>
          <w:tcPr>
            <w:tcW w:w="981" w:type="pct"/>
            <w:tcBorders>
              <w:top w:val="nil"/>
              <w:left w:val="nil"/>
              <w:bottom w:val="single" w:sz="4" w:space="0" w:color="auto"/>
              <w:right w:val="single" w:sz="4" w:space="0" w:color="auto"/>
            </w:tcBorders>
            <w:noWrap/>
            <w:vAlign w:val="center"/>
          </w:tcPr>
          <w:p w14:paraId="1220ABF2" w14:textId="77777777" w:rsidR="006773B3" w:rsidRPr="008B4BC8" w:rsidRDefault="006773B3">
            <w:pPr>
              <w:jc w:val="center"/>
            </w:pPr>
            <w:r w:rsidRPr="008B4BC8">
              <w:rPr>
                <w:bCs/>
              </w:rPr>
              <w:t>23</w:t>
            </w:r>
          </w:p>
        </w:tc>
      </w:tr>
      <w:tr w:rsidR="006773B3" w:rsidRPr="00180716" w14:paraId="1633F678"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2F580D4B" w14:textId="77777777" w:rsidR="006773B3" w:rsidRPr="008B4BC8" w:rsidRDefault="006773B3">
            <w:r w:rsidRPr="008B4BC8">
              <w:rPr>
                <w:bCs/>
              </w:rPr>
              <w:t>Vale</w:t>
            </w:r>
          </w:p>
        </w:tc>
        <w:tc>
          <w:tcPr>
            <w:tcW w:w="908" w:type="pct"/>
            <w:tcBorders>
              <w:top w:val="nil"/>
              <w:left w:val="nil"/>
              <w:bottom w:val="single" w:sz="4" w:space="0" w:color="auto"/>
              <w:right w:val="single" w:sz="4" w:space="0" w:color="auto"/>
            </w:tcBorders>
            <w:noWrap/>
            <w:vAlign w:val="center"/>
          </w:tcPr>
          <w:p w14:paraId="6002D27B" w14:textId="77777777" w:rsidR="006773B3" w:rsidRPr="008B4BC8" w:rsidRDefault="006773B3">
            <w:pPr>
              <w:jc w:val="center"/>
              <w:rPr>
                <w:color w:val="auto"/>
              </w:rPr>
            </w:pPr>
            <w:r w:rsidRPr="008B4BC8">
              <w:t>17</w:t>
            </w:r>
          </w:p>
        </w:tc>
        <w:tc>
          <w:tcPr>
            <w:tcW w:w="908" w:type="pct"/>
            <w:tcBorders>
              <w:top w:val="nil"/>
              <w:left w:val="nil"/>
              <w:bottom w:val="single" w:sz="4" w:space="0" w:color="auto"/>
              <w:right w:val="single" w:sz="4" w:space="0" w:color="auto"/>
            </w:tcBorders>
            <w:noWrap/>
            <w:vAlign w:val="center"/>
          </w:tcPr>
          <w:p w14:paraId="6751A986" w14:textId="77777777" w:rsidR="006773B3" w:rsidRPr="008B4BC8" w:rsidRDefault="006773B3">
            <w:pPr>
              <w:jc w:val="center"/>
            </w:pPr>
            <w:r w:rsidRPr="008B4BC8">
              <w:t>15</w:t>
            </w:r>
          </w:p>
        </w:tc>
        <w:tc>
          <w:tcPr>
            <w:tcW w:w="908" w:type="pct"/>
            <w:tcBorders>
              <w:top w:val="nil"/>
              <w:left w:val="nil"/>
              <w:bottom w:val="single" w:sz="4" w:space="0" w:color="auto"/>
              <w:right w:val="single" w:sz="4" w:space="0" w:color="auto"/>
            </w:tcBorders>
            <w:noWrap/>
            <w:vAlign w:val="center"/>
          </w:tcPr>
          <w:p w14:paraId="42E168A6" w14:textId="77777777" w:rsidR="006773B3" w:rsidRPr="008B4BC8" w:rsidRDefault="006773B3">
            <w:pPr>
              <w:jc w:val="center"/>
            </w:pPr>
            <w:r w:rsidRPr="008B4BC8">
              <w:t>7</w:t>
            </w:r>
          </w:p>
        </w:tc>
        <w:tc>
          <w:tcPr>
            <w:tcW w:w="981" w:type="pct"/>
            <w:tcBorders>
              <w:top w:val="nil"/>
              <w:left w:val="nil"/>
              <w:bottom w:val="single" w:sz="4" w:space="0" w:color="auto"/>
              <w:right w:val="single" w:sz="4" w:space="0" w:color="auto"/>
            </w:tcBorders>
            <w:noWrap/>
            <w:vAlign w:val="center"/>
          </w:tcPr>
          <w:p w14:paraId="5C788284" w14:textId="77777777" w:rsidR="006773B3" w:rsidRPr="008B4BC8" w:rsidRDefault="006773B3">
            <w:pPr>
              <w:jc w:val="center"/>
            </w:pPr>
            <w:r w:rsidRPr="008B4BC8">
              <w:rPr>
                <w:bCs/>
              </w:rPr>
              <w:t>39</w:t>
            </w:r>
          </w:p>
        </w:tc>
      </w:tr>
      <w:tr w:rsidR="006773B3" w:rsidRPr="00180716" w14:paraId="16CAA60F"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62831E60" w14:textId="77777777" w:rsidR="006773B3" w:rsidRPr="008B4BC8" w:rsidRDefault="006773B3">
            <w:pPr>
              <w:rPr>
                <w:b/>
                <w:bCs/>
              </w:rPr>
            </w:pPr>
            <w:r w:rsidRPr="008B4BC8">
              <w:rPr>
                <w:b/>
                <w:bCs/>
              </w:rPr>
              <w:t>Total</w:t>
            </w:r>
          </w:p>
        </w:tc>
        <w:tc>
          <w:tcPr>
            <w:tcW w:w="908" w:type="pct"/>
            <w:tcBorders>
              <w:top w:val="nil"/>
              <w:left w:val="nil"/>
              <w:bottom w:val="single" w:sz="4" w:space="0" w:color="auto"/>
              <w:right w:val="single" w:sz="4" w:space="0" w:color="auto"/>
            </w:tcBorders>
            <w:noWrap/>
            <w:vAlign w:val="center"/>
          </w:tcPr>
          <w:p w14:paraId="5B313F56" w14:textId="77777777" w:rsidR="006773B3" w:rsidRPr="008B4BC8" w:rsidRDefault="006773B3">
            <w:pPr>
              <w:jc w:val="center"/>
              <w:rPr>
                <w:b/>
                <w:bCs/>
              </w:rPr>
            </w:pPr>
            <w:r w:rsidRPr="008B4BC8">
              <w:rPr>
                <w:b/>
                <w:bCs/>
              </w:rPr>
              <w:t>122</w:t>
            </w:r>
          </w:p>
        </w:tc>
        <w:tc>
          <w:tcPr>
            <w:tcW w:w="908" w:type="pct"/>
            <w:tcBorders>
              <w:top w:val="nil"/>
              <w:left w:val="nil"/>
              <w:bottom w:val="single" w:sz="4" w:space="0" w:color="auto"/>
              <w:right w:val="single" w:sz="4" w:space="0" w:color="auto"/>
            </w:tcBorders>
            <w:noWrap/>
            <w:vAlign w:val="center"/>
          </w:tcPr>
          <w:p w14:paraId="0B57A6C1" w14:textId="77777777" w:rsidR="006773B3" w:rsidRPr="008B4BC8" w:rsidRDefault="006773B3">
            <w:pPr>
              <w:jc w:val="center"/>
              <w:rPr>
                <w:b/>
                <w:bCs/>
              </w:rPr>
            </w:pPr>
            <w:r w:rsidRPr="008B4BC8">
              <w:rPr>
                <w:b/>
                <w:bCs/>
              </w:rPr>
              <w:t>76</w:t>
            </w:r>
          </w:p>
        </w:tc>
        <w:tc>
          <w:tcPr>
            <w:tcW w:w="908" w:type="pct"/>
            <w:tcBorders>
              <w:top w:val="nil"/>
              <w:left w:val="nil"/>
              <w:bottom w:val="single" w:sz="4" w:space="0" w:color="auto"/>
              <w:right w:val="single" w:sz="4" w:space="0" w:color="auto"/>
            </w:tcBorders>
            <w:noWrap/>
            <w:vAlign w:val="center"/>
          </w:tcPr>
          <w:p w14:paraId="3CA4EBCB" w14:textId="77777777" w:rsidR="006773B3" w:rsidRPr="008B4BC8" w:rsidRDefault="006773B3">
            <w:pPr>
              <w:jc w:val="center"/>
              <w:rPr>
                <w:b/>
                <w:bCs/>
              </w:rPr>
            </w:pPr>
            <w:r w:rsidRPr="008B4BC8">
              <w:rPr>
                <w:b/>
                <w:bCs/>
              </w:rPr>
              <w:t>32</w:t>
            </w:r>
          </w:p>
        </w:tc>
        <w:tc>
          <w:tcPr>
            <w:tcW w:w="981" w:type="pct"/>
            <w:tcBorders>
              <w:top w:val="nil"/>
              <w:left w:val="nil"/>
              <w:bottom w:val="single" w:sz="4" w:space="0" w:color="auto"/>
              <w:right w:val="single" w:sz="4" w:space="0" w:color="auto"/>
            </w:tcBorders>
            <w:noWrap/>
            <w:vAlign w:val="center"/>
          </w:tcPr>
          <w:p w14:paraId="1DF68EA2" w14:textId="77777777" w:rsidR="006773B3" w:rsidRPr="008B4BC8" w:rsidRDefault="006773B3">
            <w:pPr>
              <w:jc w:val="center"/>
              <w:rPr>
                <w:b/>
                <w:bCs/>
              </w:rPr>
            </w:pPr>
            <w:r w:rsidRPr="008B4BC8">
              <w:rPr>
                <w:b/>
                <w:bCs/>
              </w:rPr>
              <w:t>230</w:t>
            </w:r>
          </w:p>
        </w:tc>
      </w:tr>
      <w:tr w:rsidR="006773B3" w:rsidRPr="00180716" w14:paraId="57515D71"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775152AE" w14:textId="77777777" w:rsidR="006773B3" w:rsidRPr="008B4BC8" w:rsidRDefault="006773B3">
            <w:pPr>
              <w:rPr>
                <w:b/>
                <w:bCs/>
              </w:rPr>
            </w:pPr>
            <w:r w:rsidRPr="008B4BC8">
              <w:rPr>
                <w:b/>
                <w:bCs/>
              </w:rPr>
              <w:t>Média</w:t>
            </w:r>
          </w:p>
        </w:tc>
        <w:tc>
          <w:tcPr>
            <w:tcW w:w="908" w:type="pct"/>
            <w:tcBorders>
              <w:top w:val="nil"/>
              <w:left w:val="nil"/>
              <w:bottom w:val="single" w:sz="4" w:space="0" w:color="auto"/>
              <w:right w:val="single" w:sz="4" w:space="0" w:color="auto"/>
            </w:tcBorders>
            <w:noWrap/>
            <w:vAlign w:val="center"/>
          </w:tcPr>
          <w:p w14:paraId="05DDD720" w14:textId="77777777" w:rsidR="006773B3" w:rsidRPr="008B4BC8" w:rsidRDefault="006773B3">
            <w:pPr>
              <w:jc w:val="center"/>
              <w:rPr>
                <w:b/>
                <w:bCs/>
              </w:rPr>
            </w:pPr>
            <w:r w:rsidRPr="008B4BC8">
              <w:rPr>
                <w:b/>
                <w:bCs/>
              </w:rPr>
              <w:t>11,09091</w:t>
            </w:r>
          </w:p>
        </w:tc>
        <w:tc>
          <w:tcPr>
            <w:tcW w:w="908" w:type="pct"/>
            <w:tcBorders>
              <w:top w:val="nil"/>
              <w:left w:val="nil"/>
              <w:bottom w:val="single" w:sz="4" w:space="0" w:color="auto"/>
              <w:right w:val="single" w:sz="4" w:space="0" w:color="auto"/>
            </w:tcBorders>
            <w:noWrap/>
            <w:vAlign w:val="center"/>
          </w:tcPr>
          <w:p w14:paraId="2A92881F" w14:textId="77777777" w:rsidR="006773B3" w:rsidRPr="008B4BC8" w:rsidRDefault="006773B3">
            <w:pPr>
              <w:jc w:val="center"/>
              <w:rPr>
                <w:b/>
                <w:bCs/>
              </w:rPr>
            </w:pPr>
            <w:r w:rsidRPr="008B4BC8">
              <w:rPr>
                <w:b/>
                <w:bCs/>
              </w:rPr>
              <w:t>6,909091</w:t>
            </w:r>
          </w:p>
        </w:tc>
        <w:tc>
          <w:tcPr>
            <w:tcW w:w="908" w:type="pct"/>
            <w:tcBorders>
              <w:top w:val="nil"/>
              <w:left w:val="nil"/>
              <w:bottom w:val="single" w:sz="4" w:space="0" w:color="auto"/>
              <w:right w:val="single" w:sz="4" w:space="0" w:color="auto"/>
            </w:tcBorders>
            <w:noWrap/>
            <w:vAlign w:val="center"/>
          </w:tcPr>
          <w:p w14:paraId="527CC828" w14:textId="77777777" w:rsidR="006773B3" w:rsidRPr="008B4BC8" w:rsidRDefault="006773B3">
            <w:pPr>
              <w:jc w:val="center"/>
              <w:rPr>
                <w:b/>
                <w:bCs/>
              </w:rPr>
            </w:pPr>
            <w:r w:rsidRPr="008B4BC8">
              <w:rPr>
                <w:b/>
                <w:bCs/>
              </w:rPr>
              <w:t>2,909091</w:t>
            </w:r>
          </w:p>
        </w:tc>
        <w:tc>
          <w:tcPr>
            <w:tcW w:w="981" w:type="pct"/>
            <w:tcBorders>
              <w:top w:val="nil"/>
              <w:left w:val="nil"/>
              <w:bottom w:val="single" w:sz="4" w:space="0" w:color="auto"/>
              <w:right w:val="single" w:sz="4" w:space="0" w:color="auto"/>
            </w:tcBorders>
            <w:noWrap/>
            <w:vAlign w:val="bottom"/>
          </w:tcPr>
          <w:p w14:paraId="18177788" w14:textId="77777777" w:rsidR="006773B3" w:rsidRPr="008B4BC8" w:rsidRDefault="006773B3">
            <w:pPr>
              <w:jc w:val="center"/>
              <w:rPr>
                <w:b/>
                <w:bCs/>
              </w:rPr>
            </w:pPr>
            <w:r w:rsidRPr="008B4BC8">
              <w:rPr>
                <w:b/>
                <w:bCs/>
              </w:rPr>
              <w:t>20,90909</w:t>
            </w:r>
          </w:p>
        </w:tc>
      </w:tr>
      <w:tr w:rsidR="006773B3" w:rsidRPr="00180716" w14:paraId="61C15159" w14:textId="77777777" w:rsidTr="008B4BC8">
        <w:trPr>
          <w:trHeight w:val="170"/>
        </w:trPr>
        <w:tc>
          <w:tcPr>
            <w:tcW w:w="1294" w:type="pct"/>
            <w:tcBorders>
              <w:top w:val="nil"/>
              <w:left w:val="single" w:sz="4" w:space="0" w:color="auto"/>
              <w:bottom w:val="single" w:sz="4" w:space="0" w:color="auto"/>
              <w:right w:val="single" w:sz="4" w:space="0" w:color="auto"/>
            </w:tcBorders>
            <w:noWrap/>
            <w:vAlign w:val="center"/>
          </w:tcPr>
          <w:p w14:paraId="677AAB5D" w14:textId="77777777" w:rsidR="006773B3" w:rsidRPr="008B4BC8" w:rsidRDefault="006773B3">
            <w:pPr>
              <w:rPr>
                <w:b/>
                <w:bCs/>
              </w:rPr>
            </w:pPr>
            <w:r w:rsidRPr="008B4BC8">
              <w:rPr>
                <w:b/>
                <w:bCs/>
              </w:rPr>
              <w:t>% Total</w:t>
            </w:r>
          </w:p>
        </w:tc>
        <w:tc>
          <w:tcPr>
            <w:tcW w:w="908" w:type="pct"/>
            <w:tcBorders>
              <w:top w:val="nil"/>
              <w:left w:val="nil"/>
              <w:bottom w:val="single" w:sz="4" w:space="0" w:color="auto"/>
              <w:right w:val="single" w:sz="4" w:space="0" w:color="auto"/>
            </w:tcBorders>
            <w:noWrap/>
            <w:vAlign w:val="bottom"/>
          </w:tcPr>
          <w:p w14:paraId="680CFD87" w14:textId="77777777" w:rsidR="006773B3" w:rsidRPr="008B4BC8" w:rsidRDefault="006773B3">
            <w:pPr>
              <w:jc w:val="center"/>
              <w:rPr>
                <w:b/>
                <w:bCs/>
              </w:rPr>
            </w:pPr>
            <w:r w:rsidRPr="008B4BC8">
              <w:rPr>
                <w:b/>
                <w:bCs/>
              </w:rPr>
              <w:t>53,04%</w:t>
            </w:r>
          </w:p>
        </w:tc>
        <w:tc>
          <w:tcPr>
            <w:tcW w:w="908" w:type="pct"/>
            <w:tcBorders>
              <w:top w:val="nil"/>
              <w:left w:val="nil"/>
              <w:bottom w:val="single" w:sz="4" w:space="0" w:color="auto"/>
              <w:right w:val="single" w:sz="4" w:space="0" w:color="auto"/>
            </w:tcBorders>
            <w:noWrap/>
            <w:vAlign w:val="bottom"/>
          </w:tcPr>
          <w:p w14:paraId="55670FB7" w14:textId="77777777" w:rsidR="006773B3" w:rsidRPr="008B4BC8" w:rsidRDefault="006773B3">
            <w:pPr>
              <w:jc w:val="center"/>
              <w:rPr>
                <w:b/>
                <w:bCs/>
              </w:rPr>
            </w:pPr>
            <w:r w:rsidRPr="008B4BC8">
              <w:rPr>
                <w:b/>
                <w:bCs/>
              </w:rPr>
              <w:t>33,04%</w:t>
            </w:r>
          </w:p>
        </w:tc>
        <w:tc>
          <w:tcPr>
            <w:tcW w:w="908" w:type="pct"/>
            <w:tcBorders>
              <w:top w:val="nil"/>
              <w:left w:val="nil"/>
              <w:bottom w:val="single" w:sz="4" w:space="0" w:color="auto"/>
              <w:right w:val="single" w:sz="4" w:space="0" w:color="auto"/>
            </w:tcBorders>
            <w:noWrap/>
            <w:vAlign w:val="bottom"/>
          </w:tcPr>
          <w:p w14:paraId="6DD2B9FE" w14:textId="77777777" w:rsidR="006773B3" w:rsidRPr="008B4BC8" w:rsidRDefault="006773B3">
            <w:pPr>
              <w:jc w:val="center"/>
              <w:rPr>
                <w:b/>
                <w:bCs/>
              </w:rPr>
            </w:pPr>
            <w:r w:rsidRPr="008B4BC8">
              <w:rPr>
                <w:b/>
                <w:bCs/>
              </w:rPr>
              <w:t>13,91%</w:t>
            </w:r>
          </w:p>
        </w:tc>
        <w:tc>
          <w:tcPr>
            <w:tcW w:w="981" w:type="pct"/>
            <w:tcBorders>
              <w:top w:val="nil"/>
              <w:left w:val="nil"/>
              <w:bottom w:val="single" w:sz="4" w:space="0" w:color="auto"/>
              <w:right w:val="single" w:sz="4" w:space="0" w:color="auto"/>
            </w:tcBorders>
            <w:noWrap/>
            <w:vAlign w:val="bottom"/>
          </w:tcPr>
          <w:p w14:paraId="48362F4C" w14:textId="77777777" w:rsidR="006773B3" w:rsidRPr="008B4BC8" w:rsidRDefault="006773B3">
            <w:pPr>
              <w:jc w:val="center"/>
              <w:rPr>
                <w:b/>
                <w:bCs/>
              </w:rPr>
            </w:pPr>
            <w:r w:rsidRPr="008B4BC8">
              <w:rPr>
                <w:b/>
                <w:bCs/>
              </w:rPr>
              <w:t>100%</w:t>
            </w:r>
          </w:p>
        </w:tc>
      </w:tr>
    </w:tbl>
    <w:p w14:paraId="505A9BE6" w14:textId="365273FA" w:rsidR="006773B3" w:rsidRDefault="006773B3">
      <w:pPr>
        <w:jc w:val="both"/>
        <w:rPr>
          <w:szCs w:val="24"/>
        </w:rPr>
      </w:pPr>
      <w:r>
        <w:rPr>
          <w:szCs w:val="24"/>
        </w:rPr>
        <w:t>Fonte: Autores (2018)</w:t>
      </w:r>
      <w:r w:rsidR="00DC4ED0">
        <w:rPr>
          <w:szCs w:val="24"/>
        </w:rPr>
        <w:t>.</w:t>
      </w:r>
    </w:p>
    <w:p w14:paraId="3F1B94DB" w14:textId="7551DBE8" w:rsidR="006773B3" w:rsidRDefault="006773B3">
      <w:pPr>
        <w:jc w:val="both"/>
        <w:rPr>
          <w:szCs w:val="24"/>
        </w:rPr>
      </w:pPr>
      <w:r>
        <w:rPr>
          <w:szCs w:val="24"/>
        </w:rPr>
        <w:t>Legenda: QL – Qualitativa; QT</w:t>
      </w:r>
      <w:r w:rsidR="005C7283">
        <w:rPr>
          <w:szCs w:val="24"/>
        </w:rPr>
        <w:t>F</w:t>
      </w:r>
      <w:r>
        <w:rPr>
          <w:szCs w:val="24"/>
        </w:rPr>
        <w:t xml:space="preserve"> – Quantitativa</w:t>
      </w:r>
      <w:r w:rsidR="005C7283">
        <w:rPr>
          <w:szCs w:val="24"/>
        </w:rPr>
        <w:t xml:space="preserve"> Financeira</w:t>
      </w:r>
      <w:r>
        <w:rPr>
          <w:szCs w:val="24"/>
        </w:rPr>
        <w:t>; QTNF – Quantitativa Não Financeiro.</w:t>
      </w:r>
    </w:p>
    <w:p w14:paraId="202A6848" w14:textId="77777777" w:rsidR="006773B3" w:rsidRDefault="006773B3">
      <w:pPr>
        <w:jc w:val="both"/>
        <w:rPr>
          <w:szCs w:val="24"/>
        </w:rPr>
      </w:pPr>
    </w:p>
    <w:p w14:paraId="15EF5A04" w14:textId="6E265F11" w:rsidR="006773B3" w:rsidRDefault="006773B3" w:rsidP="008B4BC8">
      <w:pPr>
        <w:ind w:firstLine="709"/>
        <w:jc w:val="both"/>
        <w:rPr>
          <w:sz w:val="24"/>
          <w:szCs w:val="24"/>
        </w:rPr>
      </w:pPr>
      <w:r>
        <w:rPr>
          <w:sz w:val="24"/>
          <w:szCs w:val="24"/>
        </w:rPr>
        <w:t>O relatório mais publicado pelas empresas para evidenciação de suas provisões é o Relatório de Sustentabilidade. Entre as variáveis qualitativas</w:t>
      </w:r>
      <w:r w:rsidR="005C7283">
        <w:rPr>
          <w:sz w:val="24"/>
          <w:szCs w:val="24"/>
        </w:rPr>
        <w:t xml:space="preserve"> (QL)</w:t>
      </w:r>
      <w:r>
        <w:rPr>
          <w:sz w:val="24"/>
          <w:szCs w:val="24"/>
        </w:rPr>
        <w:t>, quantitativas</w:t>
      </w:r>
      <w:r w:rsidR="005C7283">
        <w:rPr>
          <w:sz w:val="24"/>
          <w:szCs w:val="24"/>
        </w:rPr>
        <w:t xml:space="preserve"> (QT)</w:t>
      </w:r>
      <w:r>
        <w:rPr>
          <w:sz w:val="24"/>
          <w:szCs w:val="24"/>
        </w:rPr>
        <w:t xml:space="preserve"> e quantitativas não financeiras</w:t>
      </w:r>
      <w:r w:rsidR="005C7283">
        <w:rPr>
          <w:sz w:val="24"/>
          <w:szCs w:val="24"/>
        </w:rPr>
        <w:t xml:space="preserve"> (QTNF)</w:t>
      </w:r>
      <w:r>
        <w:rPr>
          <w:sz w:val="24"/>
          <w:szCs w:val="24"/>
        </w:rPr>
        <w:t xml:space="preserve">, no Relatório de Sustentabilidade é evidenciado 66,52% do total de informações e nas Demonstrações Financeiras Padronizadas, 33,48%. </w:t>
      </w:r>
    </w:p>
    <w:p w14:paraId="1A5D0659" w14:textId="265A35CB" w:rsidR="006773B3" w:rsidRDefault="006773B3" w:rsidP="008B4BC8">
      <w:pPr>
        <w:ind w:firstLine="709"/>
        <w:jc w:val="both"/>
        <w:rPr>
          <w:sz w:val="24"/>
          <w:szCs w:val="24"/>
        </w:rPr>
      </w:pPr>
      <w:r>
        <w:rPr>
          <w:sz w:val="24"/>
          <w:szCs w:val="24"/>
        </w:rPr>
        <w:t xml:space="preserve">Entre os tipos de </w:t>
      </w:r>
      <w:r w:rsidR="00334247">
        <w:rPr>
          <w:sz w:val="24"/>
          <w:szCs w:val="24"/>
        </w:rPr>
        <w:t>informações</w:t>
      </w:r>
      <w:r>
        <w:rPr>
          <w:sz w:val="24"/>
          <w:szCs w:val="24"/>
        </w:rPr>
        <w:t xml:space="preserve">, a que mais foi evidenciada foi a de cunho qualitativo com um total de 122 e, as menos evidenciadas foram as não financeiras com 32 informações (Quadro </w:t>
      </w:r>
      <w:r w:rsidR="00334247">
        <w:rPr>
          <w:sz w:val="24"/>
          <w:szCs w:val="24"/>
        </w:rPr>
        <w:t>8</w:t>
      </w:r>
      <w:r>
        <w:rPr>
          <w:sz w:val="24"/>
          <w:szCs w:val="24"/>
        </w:rPr>
        <w:t xml:space="preserve">).   </w:t>
      </w:r>
    </w:p>
    <w:p w14:paraId="7DC95553" w14:textId="77777777" w:rsidR="006773B3" w:rsidRDefault="006773B3" w:rsidP="00DB6603">
      <w:pPr>
        <w:jc w:val="both"/>
        <w:rPr>
          <w:sz w:val="24"/>
          <w:szCs w:val="24"/>
        </w:rPr>
      </w:pPr>
      <w:r>
        <w:rPr>
          <w:szCs w:val="24"/>
        </w:rPr>
        <w:tab/>
        <w:t xml:space="preserve"> </w:t>
      </w:r>
    </w:p>
    <w:p w14:paraId="2FDB5EEB" w14:textId="77777777" w:rsidR="006773B3" w:rsidRDefault="006773B3">
      <w:pPr>
        <w:jc w:val="both"/>
        <w:rPr>
          <w:szCs w:val="24"/>
        </w:rPr>
      </w:pPr>
      <w:r w:rsidRPr="008B4BC8">
        <w:rPr>
          <w:b/>
          <w:szCs w:val="24"/>
        </w:rPr>
        <w:t xml:space="preserve">Quadro </w:t>
      </w:r>
      <w:r>
        <w:rPr>
          <w:b/>
          <w:szCs w:val="24"/>
        </w:rPr>
        <w:t>8</w:t>
      </w:r>
      <w:r>
        <w:rPr>
          <w:szCs w:val="24"/>
        </w:rPr>
        <w:t xml:space="preserve"> – Onde e como as empresas evidenciam suas provisões entre DFP e RS.</w:t>
      </w:r>
    </w:p>
    <w:tbl>
      <w:tblPr>
        <w:tblW w:w="9142" w:type="dxa"/>
        <w:tblInd w:w="-5" w:type="dxa"/>
        <w:tblLayout w:type="fixed"/>
        <w:tblCellMar>
          <w:left w:w="70" w:type="dxa"/>
          <w:right w:w="70" w:type="dxa"/>
        </w:tblCellMar>
        <w:tblLook w:val="00A0" w:firstRow="1" w:lastRow="0" w:firstColumn="1" w:lastColumn="0" w:noHBand="0" w:noVBand="0"/>
      </w:tblPr>
      <w:tblGrid>
        <w:gridCol w:w="1560"/>
        <w:gridCol w:w="1487"/>
        <w:gridCol w:w="1524"/>
        <w:gridCol w:w="1523"/>
        <w:gridCol w:w="1524"/>
        <w:gridCol w:w="1524"/>
      </w:tblGrid>
      <w:tr w:rsidR="006773B3" w:rsidRPr="007A0727" w14:paraId="43FA9F14" w14:textId="77777777" w:rsidTr="008B4BC8">
        <w:trPr>
          <w:trHeight w:val="170"/>
        </w:trPr>
        <w:tc>
          <w:tcPr>
            <w:tcW w:w="1560" w:type="dxa"/>
            <w:tcBorders>
              <w:top w:val="single" w:sz="4" w:space="0" w:color="auto"/>
              <w:left w:val="single" w:sz="4" w:space="0" w:color="auto"/>
              <w:bottom w:val="single" w:sz="4" w:space="0" w:color="auto"/>
              <w:right w:val="single" w:sz="4" w:space="0" w:color="auto"/>
            </w:tcBorders>
            <w:noWrap/>
            <w:vAlign w:val="bottom"/>
          </w:tcPr>
          <w:p w14:paraId="0DD52A53" w14:textId="77777777" w:rsidR="006773B3" w:rsidRPr="008B4BC8" w:rsidRDefault="006773B3" w:rsidP="00FC7D2B">
            <w:r w:rsidRPr="008B4BC8">
              <w:t> </w:t>
            </w:r>
          </w:p>
        </w:tc>
        <w:tc>
          <w:tcPr>
            <w:tcW w:w="7582" w:type="dxa"/>
            <w:gridSpan w:val="5"/>
            <w:tcBorders>
              <w:top w:val="single" w:sz="4" w:space="0" w:color="auto"/>
              <w:left w:val="nil"/>
              <w:bottom w:val="single" w:sz="4" w:space="0" w:color="auto"/>
              <w:right w:val="single" w:sz="4" w:space="0" w:color="auto"/>
            </w:tcBorders>
            <w:noWrap/>
            <w:vAlign w:val="bottom"/>
          </w:tcPr>
          <w:p w14:paraId="45C57A88" w14:textId="77777777" w:rsidR="006773B3" w:rsidRPr="008B4BC8" w:rsidRDefault="006773B3" w:rsidP="007A0727">
            <w:pPr>
              <w:jc w:val="center"/>
              <w:rPr>
                <w:b/>
              </w:rPr>
            </w:pPr>
            <w:r w:rsidRPr="008B4BC8">
              <w:rPr>
                <w:b/>
              </w:rPr>
              <w:t>Como</w:t>
            </w:r>
          </w:p>
        </w:tc>
      </w:tr>
      <w:tr w:rsidR="006773B3" w:rsidRPr="007A0727" w14:paraId="36C2E74C" w14:textId="77777777" w:rsidTr="008B4BC8">
        <w:trPr>
          <w:trHeight w:val="170"/>
        </w:trPr>
        <w:tc>
          <w:tcPr>
            <w:tcW w:w="1560" w:type="dxa"/>
            <w:vMerge w:val="restart"/>
            <w:tcBorders>
              <w:top w:val="nil"/>
              <w:left w:val="single" w:sz="4" w:space="0" w:color="auto"/>
              <w:bottom w:val="single" w:sz="4" w:space="0" w:color="auto"/>
              <w:right w:val="single" w:sz="4" w:space="0" w:color="auto"/>
            </w:tcBorders>
            <w:noWrap/>
            <w:vAlign w:val="center"/>
          </w:tcPr>
          <w:p w14:paraId="00B59CC8" w14:textId="77777777" w:rsidR="006773B3" w:rsidRPr="008B4BC8" w:rsidRDefault="006773B3" w:rsidP="00FC7D2B">
            <w:pPr>
              <w:jc w:val="center"/>
              <w:rPr>
                <w:b/>
              </w:rPr>
            </w:pPr>
            <w:r w:rsidRPr="008B4BC8">
              <w:rPr>
                <w:b/>
              </w:rPr>
              <w:t>Onde</w:t>
            </w:r>
          </w:p>
        </w:tc>
        <w:tc>
          <w:tcPr>
            <w:tcW w:w="1487" w:type="dxa"/>
            <w:tcBorders>
              <w:top w:val="nil"/>
              <w:left w:val="nil"/>
              <w:bottom w:val="single" w:sz="4" w:space="0" w:color="auto"/>
              <w:right w:val="single" w:sz="4" w:space="0" w:color="auto"/>
            </w:tcBorders>
            <w:noWrap/>
            <w:vAlign w:val="bottom"/>
          </w:tcPr>
          <w:p w14:paraId="524C6851" w14:textId="77777777" w:rsidR="006773B3" w:rsidRPr="008B4BC8" w:rsidRDefault="006773B3" w:rsidP="00FC7D2B">
            <w:r w:rsidRPr="008B4BC8">
              <w:t> </w:t>
            </w:r>
          </w:p>
        </w:tc>
        <w:tc>
          <w:tcPr>
            <w:tcW w:w="1524" w:type="dxa"/>
            <w:tcBorders>
              <w:top w:val="nil"/>
              <w:left w:val="nil"/>
              <w:bottom w:val="single" w:sz="4" w:space="0" w:color="auto"/>
              <w:right w:val="single" w:sz="4" w:space="0" w:color="auto"/>
            </w:tcBorders>
            <w:noWrap/>
            <w:vAlign w:val="bottom"/>
          </w:tcPr>
          <w:p w14:paraId="584AC617" w14:textId="77777777" w:rsidR="006773B3" w:rsidRPr="008B4BC8" w:rsidRDefault="006773B3" w:rsidP="008B4BC8">
            <w:pPr>
              <w:jc w:val="center"/>
              <w:rPr>
                <w:b/>
              </w:rPr>
            </w:pPr>
            <w:r w:rsidRPr="008B4BC8">
              <w:rPr>
                <w:b/>
              </w:rPr>
              <w:t>QL</w:t>
            </w:r>
          </w:p>
        </w:tc>
        <w:tc>
          <w:tcPr>
            <w:tcW w:w="1523" w:type="dxa"/>
            <w:tcBorders>
              <w:top w:val="nil"/>
              <w:left w:val="nil"/>
              <w:bottom w:val="single" w:sz="4" w:space="0" w:color="auto"/>
              <w:right w:val="single" w:sz="4" w:space="0" w:color="auto"/>
            </w:tcBorders>
            <w:noWrap/>
            <w:vAlign w:val="bottom"/>
          </w:tcPr>
          <w:p w14:paraId="479E3D6B" w14:textId="77777777" w:rsidR="006773B3" w:rsidRPr="008B4BC8" w:rsidRDefault="006773B3" w:rsidP="008B4BC8">
            <w:pPr>
              <w:jc w:val="center"/>
              <w:rPr>
                <w:b/>
              </w:rPr>
            </w:pPr>
            <w:r w:rsidRPr="008B4BC8">
              <w:rPr>
                <w:b/>
              </w:rPr>
              <w:t>QT</w:t>
            </w:r>
          </w:p>
        </w:tc>
        <w:tc>
          <w:tcPr>
            <w:tcW w:w="1524" w:type="dxa"/>
            <w:tcBorders>
              <w:top w:val="nil"/>
              <w:left w:val="nil"/>
              <w:bottom w:val="single" w:sz="4" w:space="0" w:color="auto"/>
              <w:right w:val="single" w:sz="4" w:space="0" w:color="auto"/>
            </w:tcBorders>
            <w:noWrap/>
            <w:vAlign w:val="bottom"/>
          </w:tcPr>
          <w:p w14:paraId="1CA6FC47" w14:textId="77777777" w:rsidR="006773B3" w:rsidRPr="008B4BC8" w:rsidRDefault="006773B3" w:rsidP="008B4BC8">
            <w:pPr>
              <w:jc w:val="center"/>
              <w:rPr>
                <w:b/>
              </w:rPr>
            </w:pPr>
            <w:r w:rsidRPr="008B4BC8">
              <w:rPr>
                <w:b/>
              </w:rPr>
              <w:t>QTNF</w:t>
            </w:r>
          </w:p>
        </w:tc>
        <w:tc>
          <w:tcPr>
            <w:tcW w:w="1524" w:type="dxa"/>
            <w:tcBorders>
              <w:top w:val="nil"/>
              <w:left w:val="nil"/>
              <w:bottom w:val="single" w:sz="4" w:space="0" w:color="auto"/>
              <w:right w:val="single" w:sz="4" w:space="0" w:color="auto"/>
            </w:tcBorders>
            <w:noWrap/>
            <w:vAlign w:val="bottom"/>
          </w:tcPr>
          <w:p w14:paraId="4D28F16E" w14:textId="77777777" w:rsidR="006773B3" w:rsidRPr="008B4BC8" w:rsidRDefault="006773B3" w:rsidP="008B4BC8">
            <w:pPr>
              <w:jc w:val="center"/>
              <w:rPr>
                <w:b/>
              </w:rPr>
            </w:pPr>
            <w:r w:rsidRPr="008B4BC8">
              <w:rPr>
                <w:b/>
              </w:rPr>
              <w:t>Total</w:t>
            </w:r>
          </w:p>
        </w:tc>
      </w:tr>
      <w:tr w:rsidR="006773B3" w:rsidRPr="007A0727" w14:paraId="55B769FA" w14:textId="77777777" w:rsidTr="008B4BC8">
        <w:trPr>
          <w:trHeight w:val="170"/>
        </w:trPr>
        <w:tc>
          <w:tcPr>
            <w:tcW w:w="1560" w:type="dxa"/>
            <w:vMerge/>
            <w:tcBorders>
              <w:top w:val="nil"/>
              <w:left w:val="single" w:sz="4" w:space="0" w:color="auto"/>
              <w:bottom w:val="single" w:sz="4" w:space="0" w:color="auto"/>
              <w:right w:val="single" w:sz="4" w:space="0" w:color="auto"/>
            </w:tcBorders>
            <w:vAlign w:val="center"/>
          </w:tcPr>
          <w:p w14:paraId="6E301C62" w14:textId="77777777" w:rsidR="006773B3" w:rsidRPr="008B4BC8" w:rsidRDefault="006773B3" w:rsidP="00FC7D2B"/>
        </w:tc>
        <w:tc>
          <w:tcPr>
            <w:tcW w:w="1487" w:type="dxa"/>
            <w:tcBorders>
              <w:top w:val="nil"/>
              <w:left w:val="nil"/>
              <w:bottom w:val="single" w:sz="4" w:space="0" w:color="auto"/>
              <w:right w:val="single" w:sz="4" w:space="0" w:color="auto"/>
            </w:tcBorders>
            <w:noWrap/>
            <w:vAlign w:val="bottom"/>
          </w:tcPr>
          <w:p w14:paraId="46BDCA45" w14:textId="77777777" w:rsidR="006773B3" w:rsidRPr="008B4BC8" w:rsidRDefault="006773B3" w:rsidP="008B4BC8">
            <w:pPr>
              <w:jc w:val="center"/>
              <w:rPr>
                <w:b/>
              </w:rPr>
            </w:pPr>
            <w:r w:rsidRPr="008B4BC8">
              <w:rPr>
                <w:b/>
              </w:rPr>
              <w:t>DFP</w:t>
            </w:r>
          </w:p>
        </w:tc>
        <w:tc>
          <w:tcPr>
            <w:tcW w:w="1524" w:type="dxa"/>
            <w:tcBorders>
              <w:top w:val="nil"/>
              <w:left w:val="nil"/>
              <w:bottom w:val="single" w:sz="4" w:space="0" w:color="auto"/>
              <w:right w:val="single" w:sz="4" w:space="0" w:color="auto"/>
            </w:tcBorders>
            <w:noWrap/>
            <w:vAlign w:val="bottom"/>
          </w:tcPr>
          <w:p w14:paraId="7A059DD7" w14:textId="77777777" w:rsidR="006773B3" w:rsidRPr="008B4BC8" w:rsidRDefault="006773B3" w:rsidP="00FC7D2B">
            <w:pPr>
              <w:jc w:val="right"/>
            </w:pPr>
            <w:r w:rsidRPr="008B4BC8">
              <w:t>47</w:t>
            </w:r>
          </w:p>
        </w:tc>
        <w:tc>
          <w:tcPr>
            <w:tcW w:w="1523" w:type="dxa"/>
            <w:tcBorders>
              <w:top w:val="nil"/>
              <w:left w:val="nil"/>
              <w:bottom w:val="single" w:sz="4" w:space="0" w:color="auto"/>
              <w:right w:val="single" w:sz="4" w:space="0" w:color="auto"/>
            </w:tcBorders>
            <w:noWrap/>
            <w:vAlign w:val="bottom"/>
          </w:tcPr>
          <w:p w14:paraId="44854D12" w14:textId="77777777" w:rsidR="006773B3" w:rsidRPr="008B4BC8" w:rsidRDefault="006773B3" w:rsidP="00FC7D2B">
            <w:pPr>
              <w:jc w:val="right"/>
            </w:pPr>
            <w:r w:rsidRPr="008B4BC8">
              <w:t>30</w:t>
            </w:r>
          </w:p>
        </w:tc>
        <w:tc>
          <w:tcPr>
            <w:tcW w:w="1524" w:type="dxa"/>
            <w:tcBorders>
              <w:top w:val="nil"/>
              <w:left w:val="nil"/>
              <w:bottom w:val="single" w:sz="4" w:space="0" w:color="auto"/>
              <w:right w:val="single" w:sz="4" w:space="0" w:color="auto"/>
            </w:tcBorders>
            <w:noWrap/>
            <w:vAlign w:val="bottom"/>
          </w:tcPr>
          <w:p w14:paraId="48EA9111" w14:textId="77777777" w:rsidR="006773B3" w:rsidRPr="008B4BC8" w:rsidRDefault="006773B3" w:rsidP="00FC7D2B">
            <w:pPr>
              <w:jc w:val="right"/>
            </w:pPr>
            <w:r w:rsidRPr="008B4BC8">
              <w:t>0</w:t>
            </w:r>
          </w:p>
        </w:tc>
        <w:tc>
          <w:tcPr>
            <w:tcW w:w="1524" w:type="dxa"/>
            <w:tcBorders>
              <w:top w:val="nil"/>
              <w:left w:val="nil"/>
              <w:bottom w:val="single" w:sz="4" w:space="0" w:color="auto"/>
              <w:right w:val="single" w:sz="4" w:space="0" w:color="auto"/>
            </w:tcBorders>
            <w:noWrap/>
            <w:vAlign w:val="bottom"/>
          </w:tcPr>
          <w:p w14:paraId="69CC17BC" w14:textId="77777777" w:rsidR="006773B3" w:rsidRPr="008B4BC8" w:rsidRDefault="006773B3" w:rsidP="00FC7D2B">
            <w:pPr>
              <w:jc w:val="right"/>
            </w:pPr>
            <w:r w:rsidRPr="008B4BC8">
              <w:t>77</w:t>
            </w:r>
          </w:p>
        </w:tc>
      </w:tr>
      <w:tr w:rsidR="006773B3" w:rsidRPr="007A0727" w14:paraId="7209C4C4" w14:textId="77777777" w:rsidTr="008B4BC8">
        <w:trPr>
          <w:trHeight w:val="170"/>
        </w:trPr>
        <w:tc>
          <w:tcPr>
            <w:tcW w:w="1560" w:type="dxa"/>
            <w:vMerge/>
            <w:tcBorders>
              <w:top w:val="nil"/>
              <w:left w:val="single" w:sz="4" w:space="0" w:color="auto"/>
              <w:bottom w:val="single" w:sz="4" w:space="0" w:color="auto"/>
              <w:right w:val="single" w:sz="4" w:space="0" w:color="auto"/>
            </w:tcBorders>
            <w:vAlign w:val="center"/>
          </w:tcPr>
          <w:p w14:paraId="78697E20" w14:textId="77777777" w:rsidR="006773B3" w:rsidRPr="008B4BC8" w:rsidRDefault="006773B3" w:rsidP="00FC7D2B"/>
        </w:tc>
        <w:tc>
          <w:tcPr>
            <w:tcW w:w="1487" w:type="dxa"/>
            <w:tcBorders>
              <w:top w:val="nil"/>
              <w:left w:val="nil"/>
              <w:bottom w:val="single" w:sz="4" w:space="0" w:color="auto"/>
              <w:right w:val="single" w:sz="4" w:space="0" w:color="auto"/>
            </w:tcBorders>
            <w:noWrap/>
            <w:vAlign w:val="bottom"/>
          </w:tcPr>
          <w:p w14:paraId="02187775" w14:textId="77777777" w:rsidR="006773B3" w:rsidRPr="008B4BC8" w:rsidRDefault="006773B3" w:rsidP="008B4BC8">
            <w:pPr>
              <w:jc w:val="center"/>
              <w:rPr>
                <w:b/>
              </w:rPr>
            </w:pPr>
            <w:r w:rsidRPr="008B4BC8">
              <w:rPr>
                <w:b/>
              </w:rPr>
              <w:t>RS</w:t>
            </w:r>
          </w:p>
        </w:tc>
        <w:tc>
          <w:tcPr>
            <w:tcW w:w="1524" w:type="dxa"/>
            <w:tcBorders>
              <w:top w:val="nil"/>
              <w:left w:val="nil"/>
              <w:bottom w:val="single" w:sz="4" w:space="0" w:color="auto"/>
              <w:right w:val="single" w:sz="4" w:space="0" w:color="auto"/>
            </w:tcBorders>
            <w:noWrap/>
            <w:vAlign w:val="bottom"/>
          </w:tcPr>
          <w:p w14:paraId="7FAB7148" w14:textId="77777777" w:rsidR="006773B3" w:rsidRPr="008B4BC8" w:rsidRDefault="006773B3" w:rsidP="00FC7D2B">
            <w:pPr>
              <w:jc w:val="right"/>
            </w:pPr>
            <w:r w:rsidRPr="008B4BC8">
              <w:t>75</w:t>
            </w:r>
          </w:p>
        </w:tc>
        <w:tc>
          <w:tcPr>
            <w:tcW w:w="1523" w:type="dxa"/>
            <w:tcBorders>
              <w:top w:val="nil"/>
              <w:left w:val="nil"/>
              <w:bottom w:val="single" w:sz="4" w:space="0" w:color="auto"/>
              <w:right w:val="single" w:sz="4" w:space="0" w:color="auto"/>
            </w:tcBorders>
            <w:noWrap/>
            <w:vAlign w:val="bottom"/>
          </w:tcPr>
          <w:p w14:paraId="6F25D6AF" w14:textId="77777777" w:rsidR="006773B3" w:rsidRPr="008B4BC8" w:rsidRDefault="006773B3" w:rsidP="00FC7D2B">
            <w:pPr>
              <w:jc w:val="right"/>
            </w:pPr>
            <w:r w:rsidRPr="008B4BC8">
              <w:t>46</w:t>
            </w:r>
          </w:p>
        </w:tc>
        <w:tc>
          <w:tcPr>
            <w:tcW w:w="1524" w:type="dxa"/>
            <w:tcBorders>
              <w:top w:val="nil"/>
              <w:left w:val="nil"/>
              <w:bottom w:val="single" w:sz="4" w:space="0" w:color="auto"/>
              <w:right w:val="single" w:sz="4" w:space="0" w:color="auto"/>
            </w:tcBorders>
            <w:noWrap/>
            <w:vAlign w:val="bottom"/>
          </w:tcPr>
          <w:p w14:paraId="19A9EE57" w14:textId="77777777" w:rsidR="006773B3" w:rsidRPr="008B4BC8" w:rsidRDefault="006773B3" w:rsidP="00FC7D2B">
            <w:pPr>
              <w:jc w:val="right"/>
            </w:pPr>
            <w:r w:rsidRPr="008B4BC8">
              <w:t>32</w:t>
            </w:r>
          </w:p>
        </w:tc>
        <w:tc>
          <w:tcPr>
            <w:tcW w:w="1524" w:type="dxa"/>
            <w:tcBorders>
              <w:top w:val="nil"/>
              <w:left w:val="nil"/>
              <w:bottom w:val="single" w:sz="4" w:space="0" w:color="auto"/>
              <w:right w:val="single" w:sz="4" w:space="0" w:color="auto"/>
            </w:tcBorders>
            <w:noWrap/>
            <w:vAlign w:val="bottom"/>
          </w:tcPr>
          <w:p w14:paraId="27292F56" w14:textId="77777777" w:rsidR="006773B3" w:rsidRPr="008B4BC8" w:rsidRDefault="006773B3" w:rsidP="00FC7D2B">
            <w:pPr>
              <w:jc w:val="right"/>
            </w:pPr>
            <w:r w:rsidRPr="008B4BC8">
              <w:t>153</w:t>
            </w:r>
          </w:p>
        </w:tc>
      </w:tr>
      <w:tr w:rsidR="006773B3" w:rsidRPr="007A0727" w14:paraId="2C3CD504" w14:textId="77777777" w:rsidTr="008B4BC8">
        <w:trPr>
          <w:trHeight w:val="170"/>
        </w:trPr>
        <w:tc>
          <w:tcPr>
            <w:tcW w:w="1560" w:type="dxa"/>
            <w:vMerge/>
            <w:tcBorders>
              <w:top w:val="nil"/>
              <w:left w:val="single" w:sz="4" w:space="0" w:color="auto"/>
              <w:bottom w:val="single" w:sz="4" w:space="0" w:color="auto"/>
              <w:right w:val="single" w:sz="4" w:space="0" w:color="auto"/>
            </w:tcBorders>
            <w:vAlign w:val="center"/>
          </w:tcPr>
          <w:p w14:paraId="7BCE7AD3" w14:textId="77777777" w:rsidR="006773B3" w:rsidRPr="008B4BC8" w:rsidRDefault="006773B3" w:rsidP="00FC7D2B"/>
        </w:tc>
        <w:tc>
          <w:tcPr>
            <w:tcW w:w="1487" w:type="dxa"/>
            <w:tcBorders>
              <w:top w:val="nil"/>
              <w:left w:val="nil"/>
              <w:bottom w:val="single" w:sz="4" w:space="0" w:color="auto"/>
              <w:right w:val="single" w:sz="4" w:space="0" w:color="auto"/>
            </w:tcBorders>
            <w:noWrap/>
            <w:vAlign w:val="bottom"/>
          </w:tcPr>
          <w:p w14:paraId="3B4AF8F3" w14:textId="77777777" w:rsidR="006773B3" w:rsidRPr="008B4BC8" w:rsidRDefault="006773B3" w:rsidP="008B4BC8">
            <w:pPr>
              <w:jc w:val="center"/>
              <w:rPr>
                <w:b/>
              </w:rPr>
            </w:pPr>
            <w:r w:rsidRPr="008B4BC8">
              <w:rPr>
                <w:b/>
              </w:rPr>
              <w:t>Total</w:t>
            </w:r>
          </w:p>
        </w:tc>
        <w:tc>
          <w:tcPr>
            <w:tcW w:w="1524" w:type="dxa"/>
            <w:tcBorders>
              <w:top w:val="nil"/>
              <w:left w:val="nil"/>
              <w:bottom w:val="single" w:sz="4" w:space="0" w:color="auto"/>
              <w:right w:val="single" w:sz="4" w:space="0" w:color="auto"/>
            </w:tcBorders>
            <w:noWrap/>
            <w:vAlign w:val="bottom"/>
          </w:tcPr>
          <w:p w14:paraId="463D4557" w14:textId="77777777" w:rsidR="006773B3" w:rsidRPr="008B4BC8" w:rsidRDefault="006773B3" w:rsidP="00FC7D2B">
            <w:pPr>
              <w:jc w:val="right"/>
            </w:pPr>
            <w:r w:rsidRPr="008B4BC8">
              <w:t>122</w:t>
            </w:r>
          </w:p>
        </w:tc>
        <w:tc>
          <w:tcPr>
            <w:tcW w:w="1523" w:type="dxa"/>
            <w:tcBorders>
              <w:top w:val="nil"/>
              <w:left w:val="nil"/>
              <w:bottom w:val="single" w:sz="4" w:space="0" w:color="auto"/>
              <w:right w:val="single" w:sz="4" w:space="0" w:color="auto"/>
            </w:tcBorders>
            <w:noWrap/>
            <w:vAlign w:val="bottom"/>
          </w:tcPr>
          <w:p w14:paraId="3799E3E3" w14:textId="77777777" w:rsidR="006773B3" w:rsidRPr="008B4BC8" w:rsidRDefault="006773B3" w:rsidP="00FC7D2B">
            <w:pPr>
              <w:jc w:val="right"/>
            </w:pPr>
            <w:r w:rsidRPr="008B4BC8">
              <w:t>76</w:t>
            </w:r>
          </w:p>
        </w:tc>
        <w:tc>
          <w:tcPr>
            <w:tcW w:w="1524" w:type="dxa"/>
            <w:tcBorders>
              <w:top w:val="nil"/>
              <w:left w:val="nil"/>
              <w:bottom w:val="single" w:sz="4" w:space="0" w:color="auto"/>
              <w:right w:val="single" w:sz="4" w:space="0" w:color="auto"/>
            </w:tcBorders>
            <w:noWrap/>
            <w:vAlign w:val="bottom"/>
          </w:tcPr>
          <w:p w14:paraId="25C847AB" w14:textId="77777777" w:rsidR="006773B3" w:rsidRPr="008B4BC8" w:rsidRDefault="006773B3" w:rsidP="00FC7D2B">
            <w:pPr>
              <w:jc w:val="right"/>
            </w:pPr>
            <w:r w:rsidRPr="008B4BC8">
              <w:t>32</w:t>
            </w:r>
          </w:p>
        </w:tc>
        <w:tc>
          <w:tcPr>
            <w:tcW w:w="1524" w:type="dxa"/>
            <w:tcBorders>
              <w:top w:val="nil"/>
              <w:left w:val="nil"/>
              <w:bottom w:val="single" w:sz="4" w:space="0" w:color="auto"/>
              <w:right w:val="single" w:sz="4" w:space="0" w:color="auto"/>
            </w:tcBorders>
            <w:noWrap/>
            <w:vAlign w:val="bottom"/>
          </w:tcPr>
          <w:p w14:paraId="0F723A8C" w14:textId="77777777" w:rsidR="006773B3" w:rsidRPr="008B4BC8" w:rsidRDefault="006773B3" w:rsidP="00FC7D2B">
            <w:pPr>
              <w:jc w:val="right"/>
            </w:pPr>
            <w:r w:rsidRPr="008B4BC8">
              <w:t>230</w:t>
            </w:r>
          </w:p>
        </w:tc>
      </w:tr>
    </w:tbl>
    <w:p w14:paraId="34C4D139" w14:textId="21A9E542" w:rsidR="006773B3" w:rsidRDefault="006773B3">
      <w:pPr>
        <w:jc w:val="both"/>
        <w:rPr>
          <w:szCs w:val="24"/>
        </w:rPr>
      </w:pPr>
      <w:r>
        <w:rPr>
          <w:szCs w:val="24"/>
        </w:rPr>
        <w:t>Fonte: Autores (2018)</w:t>
      </w:r>
      <w:r w:rsidR="004E6BFD">
        <w:rPr>
          <w:szCs w:val="24"/>
        </w:rPr>
        <w:t>.</w:t>
      </w:r>
    </w:p>
    <w:p w14:paraId="6708ABAE" w14:textId="77777777" w:rsidR="00334247" w:rsidRDefault="00334247" w:rsidP="00334247">
      <w:pPr>
        <w:jc w:val="both"/>
        <w:rPr>
          <w:szCs w:val="24"/>
        </w:rPr>
      </w:pPr>
      <w:r>
        <w:rPr>
          <w:szCs w:val="24"/>
        </w:rPr>
        <w:t>Legenda: QL – Qualitativa; QT – Quantitativa; QTNF – Quantitativa Não Financeiro.</w:t>
      </w:r>
    </w:p>
    <w:p w14:paraId="7D9B3838" w14:textId="77777777" w:rsidR="006773B3" w:rsidRDefault="006773B3">
      <w:pPr>
        <w:jc w:val="both"/>
        <w:rPr>
          <w:szCs w:val="24"/>
        </w:rPr>
      </w:pPr>
    </w:p>
    <w:p w14:paraId="46C8A53E" w14:textId="6EF01410" w:rsidR="006773B3" w:rsidRDefault="006773B3" w:rsidP="008B4BC8">
      <w:pPr>
        <w:ind w:firstLine="709"/>
        <w:jc w:val="both"/>
        <w:rPr>
          <w:sz w:val="24"/>
          <w:szCs w:val="24"/>
        </w:rPr>
      </w:pPr>
      <w:r>
        <w:rPr>
          <w:sz w:val="24"/>
          <w:szCs w:val="24"/>
        </w:rPr>
        <w:t xml:space="preserve">A quantidade de informações das </w:t>
      </w:r>
      <w:r w:rsidR="006C7C63">
        <w:rPr>
          <w:sz w:val="24"/>
          <w:szCs w:val="24"/>
        </w:rPr>
        <w:t xml:space="preserve">informações </w:t>
      </w:r>
      <w:r>
        <w:rPr>
          <w:sz w:val="24"/>
          <w:szCs w:val="24"/>
        </w:rPr>
        <w:t xml:space="preserve">entre o </w:t>
      </w:r>
      <w:r w:rsidR="006C7C63">
        <w:rPr>
          <w:sz w:val="24"/>
          <w:szCs w:val="24"/>
        </w:rPr>
        <w:t xml:space="preserve">RS e DFP </w:t>
      </w:r>
      <w:r>
        <w:rPr>
          <w:sz w:val="24"/>
          <w:szCs w:val="24"/>
        </w:rPr>
        <w:t>separadas por setor econômico entre os anos de 2005 à 2016 foram analisadas e estão apresentadas no Gráfico 1</w:t>
      </w:r>
      <w:r w:rsidRPr="000B60D6">
        <w:rPr>
          <w:sz w:val="24"/>
          <w:szCs w:val="24"/>
        </w:rPr>
        <w:t>.</w:t>
      </w:r>
    </w:p>
    <w:p w14:paraId="1A7820C1" w14:textId="77777777" w:rsidR="006773B3" w:rsidRDefault="006773B3">
      <w:pPr>
        <w:rPr>
          <w:sz w:val="24"/>
          <w:szCs w:val="24"/>
        </w:rPr>
      </w:pPr>
      <w:r>
        <w:rPr>
          <w:sz w:val="24"/>
          <w:szCs w:val="24"/>
        </w:rPr>
        <w:br w:type="page"/>
      </w:r>
    </w:p>
    <w:p w14:paraId="0D8D4ECE" w14:textId="77777777" w:rsidR="006773B3" w:rsidRPr="00376DC2" w:rsidRDefault="006773B3">
      <w:pPr>
        <w:rPr>
          <w:sz w:val="24"/>
          <w:szCs w:val="24"/>
        </w:rPr>
      </w:pPr>
    </w:p>
    <w:p w14:paraId="0114DB47" w14:textId="7E85E7C4" w:rsidR="006773B3" w:rsidRDefault="006C7C63">
      <w:pPr>
        <w:jc w:val="both"/>
        <w:rPr>
          <w:szCs w:val="24"/>
        </w:rPr>
      </w:pPr>
      <w:r w:rsidRPr="006C7C63">
        <w:rPr>
          <w:b/>
          <w:szCs w:val="24"/>
        </w:rPr>
        <w:t xml:space="preserve"> </w:t>
      </w:r>
      <w:r w:rsidR="006773B3" w:rsidRPr="006C7C63">
        <w:rPr>
          <w:b/>
          <w:szCs w:val="24"/>
        </w:rPr>
        <w:t>Gráfico 1</w:t>
      </w:r>
      <w:r w:rsidR="006773B3">
        <w:rPr>
          <w:szCs w:val="24"/>
        </w:rPr>
        <w:t xml:space="preserve"> – Quantidade de informações nas DFPs e RS por setor econômico no decorrer dos anos</w:t>
      </w:r>
    </w:p>
    <w:p w14:paraId="182CED3D" w14:textId="77777777" w:rsidR="006773B3" w:rsidRDefault="00542D28" w:rsidP="00340F10">
      <w:pPr>
        <w:jc w:val="center"/>
        <w:rPr>
          <w:szCs w:val="24"/>
        </w:rPr>
      </w:pPr>
      <w:r>
        <w:rPr>
          <w:noProof/>
          <w:lang w:val="en-US" w:eastAsia="en-US"/>
        </w:rPr>
        <w:drawing>
          <wp:inline distT="0" distB="0" distL="0" distR="0" wp14:anchorId="07B5B082" wp14:editId="13F2F204">
            <wp:extent cx="5684520" cy="2758440"/>
            <wp:effectExtent l="0" t="0" r="0" b="3810"/>
            <wp:docPr id="3" name="Gráfico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7"/>
                    <pic:cNvPicPr>
                      <a:picLocks noChangeArrowheads="1"/>
                    </pic:cNvPicPr>
                  </pic:nvPicPr>
                  <pic:blipFill>
                    <a:blip r:embed="rId7"/>
                    <a:srcRect b="-44"/>
                    <a:stretch>
                      <a:fillRect/>
                    </a:stretch>
                  </pic:blipFill>
                  <pic:spPr bwMode="auto">
                    <a:xfrm>
                      <a:off x="0" y="0"/>
                      <a:ext cx="5684520" cy="2758440"/>
                    </a:xfrm>
                    <a:prstGeom prst="rect">
                      <a:avLst/>
                    </a:prstGeom>
                    <a:noFill/>
                    <a:ln w="9525">
                      <a:noFill/>
                      <a:miter lim="800000"/>
                      <a:headEnd/>
                      <a:tailEnd/>
                    </a:ln>
                  </pic:spPr>
                </pic:pic>
              </a:graphicData>
            </a:graphic>
          </wp:inline>
        </w:drawing>
      </w:r>
    </w:p>
    <w:p w14:paraId="0E960AB7" w14:textId="08B947B3" w:rsidR="006773B3" w:rsidRDefault="006773B3">
      <w:pPr>
        <w:jc w:val="both"/>
        <w:rPr>
          <w:szCs w:val="24"/>
        </w:rPr>
      </w:pPr>
      <w:r>
        <w:rPr>
          <w:szCs w:val="24"/>
        </w:rPr>
        <w:t>Fonte: Autores (2018)</w:t>
      </w:r>
      <w:r w:rsidR="004E6BFD">
        <w:rPr>
          <w:szCs w:val="24"/>
        </w:rPr>
        <w:t>.</w:t>
      </w:r>
    </w:p>
    <w:p w14:paraId="2D25CD62" w14:textId="77777777" w:rsidR="006773B3" w:rsidRPr="00F92251" w:rsidRDefault="006773B3">
      <w:pPr>
        <w:jc w:val="both"/>
        <w:rPr>
          <w:szCs w:val="24"/>
        </w:rPr>
      </w:pPr>
    </w:p>
    <w:p w14:paraId="1E4501F5" w14:textId="3486BB7B" w:rsidR="006773B3" w:rsidRDefault="006773B3" w:rsidP="001B41DA">
      <w:pPr>
        <w:ind w:firstLine="709"/>
        <w:jc w:val="both"/>
        <w:rPr>
          <w:sz w:val="24"/>
          <w:szCs w:val="24"/>
        </w:rPr>
      </w:pPr>
      <w:r>
        <w:rPr>
          <w:sz w:val="24"/>
          <w:szCs w:val="24"/>
        </w:rPr>
        <w:t xml:space="preserve">Observa-se que não há um padrão sobre a publicação dos relatórios, ou seja, qual é o tipo de documento e ano em que é publicado, não há uma coerência, destaca-se, </w:t>
      </w:r>
      <w:r w:rsidR="006C7C63">
        <w:rPr>
          <w:sz w:val="24"/>
          <w:szCs w:val="24"/>
        </w:rPr>
        <w:t>entretanto, que</w:t>
      </w:r>
      <w:r>
        <w:rPr>
          <w:sz w:val="24"/>
          <w:szCs w:val="24"/>
        </w:rPr>
        <w:t xml:space="preserve"> entre 2012 a 2016 </w:t>
      </w:r>
      <w:r w:rsidR="006C7C63">
        <w:rPr>
          <w:sz w:val="24"/>
          <w:szCs w:val="24"/>
        </w:rPr>
        <w:t>as evidenciações formam</w:t>
      </w:r>
      <w:r>
        <w:rPr>
          <w:sz w:val="24"/>
          <w:szCs w:val="24"/>
        </w:rPr>
        <w:t xml:space="preserve"> mais evidentes nas DFP.</w:t>
      </w:r>
    </w:p>
    <w:p w14:paraId="5868CB90" w14:textId="691FA027" w:rsidR="006773B3" w:rsidRPr="006C7C63" w:rsidRDefault="006773B3" w:rsidP="006C7C63">
      <w:pPr>
        <w:ind w:firstLine="709"/>
        <w:jc w:val="both"/>
        <w:rPr>
          <w:sz w:val="24"/>
          <w:szCs w:val="24"/>
        </w:rPr>
      </w:pPr>
      <w:r>
        <w:rPr>
          <w:sz w:val="24"/>
          <w:szCs w:val="24"/>
        </w:rPr>
        <w:t xml:space="preserve">Entre os setores econômicos, o que mais evidencia suas provisões é o da Indústria Química e, os que menos evidenciaram foram os de Extração de Minerais e de Mineração. A frequência </w:t>
      </w:r>
      <w:r w:rsidRPr="006C7C63">
        <w:rPr>
          <w:sz w:val="24"/>
          <w:szCs w:val="24"/>
        </w:rPr>
        <w:t xml:space="preserve">geral e o percentual das informações por índices estão apresentados na Tabela </w:t>
      </w:r>
      <w:r w:rsidR="006C7C63" w:rsidRPr="006C7C63">
        <w:rPr>
          <w:sz w:val="24"/>
          <w:szCs w:val="24"/>
        </w:rPr>
        <w:t xml:space="preserve">1. </w:t>
      </w:r>
    </w:p>
    <w:p w14:paraId="4756344F" w14:textId="77777777" w:rsidR="006773B3" w:rsidRPr="006C7C63" w:rsidRDefault="006773B3">
      <w:pPr>
        <w:keepNext/>
      </w:pPr>
    </w:p>
    <w:p w14:paraId="51218687" w14:textId="77777777" w:rsidR="006773B3" w:rsidRDefault="006773B3">
      <w:pPr>
        <w:keepNext/>
      </w:pPr>
      <w:r w:rsidRPr="006C7C63">
        <w:rPr>
          <w:b/>
        </w:rPr>
        <w:t>Tabela 1</w:t>
      </w:r>
      <w:r w:rsidRPr="006C7C63">
        <w:t xml:space="preserve"> - Frequência Geral</w:t>
      </w:r>
    </w:p>
    <w:tbl>
      <w:tblPr>
        <w:tblW w:w="9072" w:type="dxa"/>
        <w:tblBorders>
          <w:top w:val="single" w:sz="4" w:space="0" w:color="000000"/>
          <w:bottom w:val="single" w:sz="4" w:space="0" w:color="000000"/>
        </w:tblBorders>
        <w:tblLayout w:type="fixed"/>
        <w:tblCellMar>
          <w:left w:w="70" w:type="dxa"/>
          <w:right w:w="70" w:type="dxa"/>
        </w:tblCellMar>
        <w:tblLook w:val="0000" w:firstRow="0" w:lastRow="0" w:firstColumn="0" w:lastColumn="0" w:noHBand="0" w:noVBand="0"/>
      </w:tblPr>
      <w:tblGrid>
        <w:gridCol w:w="3024"/>
        <w:gridCol w:w="3024"/>
        <w:gridCol w:w="3024"/>
      </w:tblGrid>
      <w:tr w:rsidR="006773B3" w14:paraId="4E44C75C" w14:textId="77777777" w:rsidTr="0015504B">
        <w:trPr>
          <w:trHeight w:val="20"/>
        </w:trPr>
        <w:tc>
          <w:tcPr>
            <w:tcW w:w="3024" w:type="dxa"/>
            <w:tcBorders>
              <w:top w:val="single" w:sz="4" w:space="0" w:color="000000"/>
              <w:bottom w:val="single" w:sz="4" w:space="0" w:color="000000"/>
            </w:tcBorders>
            <w:vAlign w:val="bottom"/>
          </w:tcPr>
          <w:p w14:paraId="0E32BBFE" w14:textId="77777777" w:rsidR="006773B3" w:rsidRPr="0015504B" w:rsidRDefault="006773B3" w:rsidP="0015504B">
            <w:pPr>
              <w:jc w:val="center"/>
              <w:rPr>
                <w:b/>
              </w:rPr>
            </w:pPr>
            <w:r w:rsidRPr="0015504B">
              <w:rPr>
                <w:b/>
              </w:rPr>
              <w:t>Índice</w:t>
            </w:r>
          </w:p>
        </w:tc>
        <w:tc>
          <w:tcPr>
            <w:tcW w:w="3024" w:type="dxa"/>
            <w:tcBorders>
              <w:top w:val="single" w:sz="4" w:space="0" w:color="000000"/>
              <w:bottom w:val="single" w:sz="4" w:space="0" w:color="000000"/>
            </w:tcBorders>
            <w:vAlign w:val="bottom"/>
          </w:tcPr>
          <w:p w14:paraId="4B62B5AC" w14:textId="77777777" w:rsidR="006773B3" w:rsidRPr="0015504B" w:rsidRDefault="006773B3" w:rsidP="0015504B">
            <w:pPr>
              <w:jc w:val="center"/>
              <w:rPr>
                <w:b/>
              </w:rPr>
            </w:pPr>
            <w:r w:rsidRPr="0015504B">
              <w:rPr>
                <w:b/>
              </w:rPr>
              <w:t>Frequência final</w:t>
            </w:r>
          </w:p>
        </w:tc>
        <w:tc>
          <w:tcPr>
            <w:tcW w:w="3024" w:type="dxa"/>
            <w:tcBorders>
              <w:top w:val="single" w:sz="4" w:space="0" w:color="000000"/>
              <w:bottom w:val="single" w:sz="4" w:space="0" w:color="000000"/>
            </w:tcBorders>
          </w:tcPr>
          <w:p w14:paraId="24E05C61" w14:textId="77777777" w:rsidR="006773B3" w:rsidRPr="0015504B" w:rsidRDefault="006773B3" w:rsidP="0015504B">
            <w:pPr>
              <w:jc w:val="center"/>
              <w:rPr>
                <w:b/>
              </w:rPr>
            </w:pPr>
            <w:r w:rsidRPr="0015504B">
              <w:rPr>
                <w:b/>
              </w:rPr>
              <w:t xml:space="preserve">Percentual </w:t>
            </w:r>
          </w:p>
        </w:tc>
      </w:tr>
      <w:tr w:rsidR="006773B3" w14:paraId="579BC305" w14:textId="77777777" w:rsidTr="0015504B">
        <w:trPr>
          <w:trHeight w:val="20"/>
        </w:trPr>
        <w:tc>
          <w:tcPr>
            <w:tcW w:w="3024" w:type="dxa"/>
            <w:tcBorders>
              <w:top w:val="single" w:sz="4" w:space="0" w:color="000000"/>
            </w:tcBorders>
            <w:vAlign w:val="bottom"/>
          </w:tcPr>
          <w:p w14:paraId="3FA0F142" w14:textId="77777777" w:rsidR="006773B3" w:rsidRDefault="006773B3" w:rsidP="0015504B">
            <w:pPr>
              <w:jc w:val="center"/>
            </w:pPr>
            <w:r>
              <w:t>0.33</w:t>
            </w:r>
          </w:p>
        </w:tc>
        <w:tc>
          <w:tcPr>
            <w:tcW w:w="3024" w:type="dxa"/>
            <w:tcBorders>
              <w:top w:val="single" w:sz="4" w:space="0" w:color="000000"/>
            </w:tcBorders>
            <w:vAlign w:val="bottom"/>
          </w:tcPr>
          <w:p w14:paraId="1C544CD7" w14:textId="77777777" w:rsidR="006773B3" w:rsidRDefault="006773B3" w:rsidP="0015504B">
            <w:pPr>
              <w:jc w:val="center"/>
            </w:pPr>
            <w:r>
              <w:t>92</w:t>
            </w:r>
          </w:p>
        </w:tc>
        <w:tc>
          <w:tcPr>
            <w:tcW w:w="3024" w:type="dxa"/>
            <w:tcBorders>
              <w:top w:val="single" w:sz="4" w:space="0" w:color="000000"/>
            </w:tcBorders>
          </w:tcPr>
          <w:p w14:paraId="6914A21B" w14:textId="77777777" w:rsidR="006773B3" w:rsidRDefault="006773B3" w:rsidP="0015504B">
            <w:pPr>
              <w:jc w:val="center"/>
            </w:pPr>
            <w:r>
              <w:t>46%</w:t>
            </w:r>
          </w:p>
        </w:tc>
      </w:tr>
      <w:tr w:rsidR="006773B3" w14:paraId="529D6AD3" w14:textId="77777777" w:rsidTr="0015504B">
        <w:trPr>
          <w:trHeight w:val="20"/>
        </w:trPr>
        <w:tc>
          <w:tcPr>
            <w:tcW w:w="3024" w:type="dxa"/>
            <w:vAlign w:val="bottom"/>
          </w:tcPr>
          <w:p w14:paraId="0D956F29" w14:textId="77777777" w:rsidR="006773B3" w:rsidRDefault="006773B3" w:rsidP="0015504B">
            <w:pPr>
              <w:jc w:val="center"/>
            </w:pPr>
            <w:r>
              <w:t>0.66</w:t>
            </w:r>
          </w:p>
        </w:tc>
        <w:tc>
          <w:tcPr>
            <w:tcW w:w="3024" w:type="dxa"/>
            <w:vAlign w:val="bottom"/>
          </w:tcPr>
          <w:p w14:paraId="38D6314A" w14:textId="77777777" w:rsidR="006773B3" w:rsidRDefault="006773B3" w:rsidP="0015504B">
            <w:pPr>
              <w:jc w:val="center"/>
            </w:pPr>
            <w:r>
              <w:t>57</w:t>
            </w:r>
          </w:p>
        </w:tc>
        <w:tc>
          <w:tcPr>
            <w:tcW w:w="3024" w:type="dxa"/>
          </w:tcPr>
          <w:p w14:paraId="0C2DC2F8" w14:textId="77777777" w:rsidR="006773B3" w:rsidRDefault="006773B3" w:rsidP="0015504B">
            <w:pPr>
              <w:jc w:val="center"/>
            </w:pPr>
            <w:r>
              <w:t>28,5%</w:t>
            </w:r>
          </w:p>
        </w:tc>
      </w:tr>
      <w:tr w:rsidR="006773B3" w14:paraId="73C28077" w14:textId="77777777" w:rsidTr="0015504B">
        <w:trPr>
          <w:trHeight w:val="20"/>
        </w:trPr>
        <w:tc>
          <w:tcPr>
            <w:tcW w:w="3024" w:type="dxa"/>
            <w:vAlign w:val="bottom"/>
          </w:tcPr>
          <w:p w14:paraId="7C180C79" w14:textId="77777777" w:rsidR="006773B3" w:rsidRDefault="006773B3" w:rsidP="0015504B">
            <w:pPr>
              <w:jc w:val="center"/>
            </w:pPr>
            <w:r>
              <w:t>1</w:t>
            </w:r>
          </w:p>
        </w:tc>
        <w:tc>
          <w:tcPr>
            <w:tcW w:w="3024" w:type="dxa"/>
            <w:vAlign w:val="bottom"/>
          </w:tcPr>
          <w:p w14:paraId="41A36668" w14:textId="77777777" w:rsidR="006773B3" w:rsidRDefault="006773B3" w:rsidP="0015504B">
            <w:pPr>
              <w:jc w:val="center"/>
            </w:pPr>
            <w:r>
              <w:t>51</w:t>
            </w:r>
          </w:p>
        </w:tc>
        <w:tc>
          <w:tcPr>
            <w:tcW w:w="3024" w:type="dxa"/>
          </w:tcPr>
          <w:p w14:paraId="349C85B7" w14:textId="77777777" w:rsidR="006773B3" w:rsidRDefault="006773B3" w:rsidP="0015504B">
            <w:pPr>
              <w:jc w:val="center"/>
            </w:pPr>
            <w:r>
              <w:t>25,5%</w:t>
            </w:r>
          </w:p>
        </w:tc>
      </w:tr>
      <w:tr w:rsidR="006773B3" w14:paraId="38F9A8FE" w14:textId="77777777" w:rsidTr="0015504B">
        <w:trPr>
          <w:trHeight w:val="20"/>
        </w:trPr>
        <w:tc>
          <w:tcPr>
            <w:tcW w:w="3024" w:type="dxa"/>
            <w:tcBorders>
              <w:bottom w:val="single" w:sz="4" w:space="0" w:color="000000"/>
            </w:tcBorders>
            <w:vAlign w:val="bottom"/>
          </w:tcPr>
          <w:p w14:paraId="07C73DE9" w14:textId="77777777" w:rsidR="006773B3" w:rsidRDefault="006773B3" w:rsidP="0015504B">
            <w:pPr>
              <w:jc w:val="center"/>
            </w:pPr>
            <w:r>
              <w:t>Total</w:t>
            </w:r>
          </w:p>
        </w:tc>
        <w:tc>
          <w:tcPr>
            <w:tcW w:w="3024" w:type="dxa"/>
            <w:tcBorders>
              <w:bottom w:val="single" w:sz="4" w:space="0" w:color="000000"/>
            </w:tcBorders>
            <w:vAlign w:val="bottom"/>
          </w:tcPr>
          <w:p w14:paraId="019EBDAF" w14:textId="77777777" w:rsidR="006773B3" w:rsidRDefault="006773B3" w:rsidP="0015504B">
            <w:pPr>
              <w:jc w:val="center"/>
            </w:pPr>
            <w:r>
              <w:t>200</w:t>
            </w:r>
          </w:p>
        </w:tc>
        <w:tc>
          <w:tcPr>
            <w:tcW w:w="3024" w:type="dxa"/>
            <w:tcBorders>
              <w:bottom w:val="single" w:sz="4" w:space="0" w:color="000000"/>
            </w:tcBorders>
          </w:tcPr>
          <w:p w14:paraId="41DF923B" w14:textId="77777777" w:rsidR="006773B3" w:rsidRDefault="006773B3" w:rsidP="0015504B">
            <w:pPr>
              <w:jc w:val="center"/>
            </w:pPr>
            <w:r>
              <w:t>100%</w:t>
            </w:r>
          </w:p>
        </w:tc>
      </w:tr>
    </w:tbl>
    <w:p w14:paraId="5CD4E91F" w14:textId="14380E4C" w:rsidR="006773B3" w:rsidRDefault="006773B3">
      <w:r>
        <w:t>Fonte: Autores (2018)</w:t>
      </w:r>
      <w:r w:rsidR="00DC4ED0">
        <w:t>.</w:t>
      </w:r>
    </w:p>
    <w:p w14:paraId="6F0023B9" w14:textId="77777777" w:rsidR="006773B3" w:rsidRDefault="006773B3"/>
    <w:p w14:paraId="4FCEC7FD" w14:textId="70036B9A" w:rsidR="00AA2596" w:rsidRDefault="006773B3">
      <w:pPr>
        <w:ind w:firstLine="709"/>
        <w:jc w:val="both"/>
        <w:rPr>
          <w:sz w:val="24"/>
          <w:szCs w:val="24"/>
        </w:rPr>
      </w:pPr>
      <w:r>
        <w:rPr>
          <w:sz w:val="24"/>
          <w:szCs w:val="24"/>
        </w:rPr>
        <w:t>Diante da observação dos resultados, not</w:t>
      </w:r>
      <w:r w:rsidR="00C818BB">
        <w:rPr>
          <w:sz w:val="24"/>
          <w:szCs w:val="24"/>
        </w:rPr>
        <w:t>a</w:t>
      </w:r>
      <w:r>
        <w:rPr>
          <w:sz w:val="24"/>
          <w:szCs w:val="24"/>
        </w:rPr>
        <w:t>-se que 51 deles foram classificados como completos, uma vez que compreendem evidenciações qualitativas (Q</w:t>
      </w:r>
      <w:r w:rsidR="005C7283">
        <w:rPr>
          <w:sz w:val="24"/>
          <w:szCs w:val="24"/>
        </w:rPr>
        <w:t>L</w:t>
      </w:r>
      <w:r>
        <w:rPr>
          <w:sz w:val="24"/>
          <w:szCs w:val="24"/>
        </w:rPr>
        <w:t xml:space="preserve">), quantitativa não financeira (QNF) e quantitativas financeiras (QTF). Já as provisões e contingências ambientais que representam 28,5% da frequência total das evidenciações – aquelas que demonstraram duas das três variáveis- resultaram em 57 resultados. E por fim, as informações ambientais com apenas uma variável evidenciada nos relatórios são as que mais aparecem, com 92 resultados. </w:t>
      </w:r>
      <w:r w:rsidR="00AA2596">
        <w:rPr>
          <w:sz w:val="24"/>
          <w:szCs w:val="24"/>
        </w:rPr>
        <w:t xml:space="preserve">   </w:t>
      </w:r>
    </w:p>
    <w:p w14:paraId="619E05E8" w14:textId="541FEBB2" w:rsidR="006773B3" w:rsidRDefault="006773B3">
      <w:pPr>
        <w:ind w:firstLine="709"/>
        <w:jc w:val="both"/>
        <w:rPr>
          <w:sz w:val="24"/>
          <w:szCs w:val="24"/>
        </w:rPr>
      </w:pPr>
      <w:r>
        <w:rPr>
          <w:sz w:val="24"/>
          <w:szCs w:val="24"/>
        </w:rPr>
        <w:lastRenderedPageBreak/>
        <w:t xml:space="preserve">Fica perceptível que os </w:t>
      </w:r>
      <w:r w:rsidR="00AA2596">
        <w:rPr>
          <w:sz w:val="24"/>
          <w:szCs w:val="24"/>
        </w:rPr>
        <w:t>resultados mais evidenciados</w:t>
      </w:r>
      <w:r>
        <w:rPr>
          <w:sz w:val="24"/>
          <w:szCs w:val="24"/>
        </w:rPr>
        <w:t xml:space="preserve"> foram </w:t>
      </w:r>
      <w:r w:rsidR="00AA2596">
        <w:rPr>
          <w:sz w:val="24"/>
          <w:szCs w:val="24"/>
        </w:rPr>
        <w:t>o</w:t>
      </w:r>
      <w:r>
        <w:rPr>
          <w:sz w:val="24"/>
          <w:szCs w:val="24"/>
        </w:rPr>
        <w:t xml:space="preserve">s que contêm apenas uma das três </w:t>
      </w:r>
      <w:r w:rsidR="00AA2596">
        <w:rPr>
          <w:sz w:val="24"/>
          <w:szCs w:val="24"/>
        </w:rPr>
        <w:t xml:space="preserve">informações </w:t>
      </w:r>
      <w:r>
        <w:rPr>
          <w:sz w:val="24"/>
          <w:szCs w:val="24"/>
        </w:rPr>
        <w:t xml:space="preserve">com 46%. Nas DFP, foram encontradas 118 informações relacionadas às provisões e contingências ambientais, que representam 59% de todas as informações encontradas nos relatórios. Já nos Relatórios de Sustentabilidade foram encontradas 79 informações sobre as evidenciações de passivos, o qual representa 41% do total de todas as informações encontradas (Quadro 9).  </w:t>
      </w:r>
    </w:p>
    <w:p w14:paraId="06558F0B" w14:textId="77777777" w:rsidR="006773B3" w:rsidRDefault="006773B3"/>
    <w:p w14:paraId="1B5D52D8" w14:textId="77777777" w:rsidR="006773B3" w:rsidRDefault="006773B3">
      <w:pPr>
        <w:keepNext/>
      </w:pPr>
      <w:r w:rsidRPr="00AA2596">
        <w:rPr>
          <w:b/>
        </w:rPr>
        <w:t>Quadro 9</w:t>
      </w:r>
      <w:r>
        <w:t xml:space="preserve"> – Comparativo entre as frequências na DFP e nos Relatórios de Sustentabilidade</w:t>
      </w:r>
    </w:p>
    <w:tbl>
      <w:tblPr>
        <w:tblW w:w="9088" w:type="dxa"/>
        <w:tblInd w:w="-10" w:type="dxa"/>
        <w:tblCellMar>
          <w:left w:w="70" w:type="dxa"/>
          <w:right w:w="70" w:type="dxa"/>
        </w:tblCellMar>
        <w:tblLook w:val="00A0" w:firstRow="1" w:lastRow="0" w:firstColumn="1" w:lastColumn="0" w:noHBand="0" w:noVBand="0"/>
      </w:tblPr>
      <w:tblGrid>
        <w:gridCol w:w="1298"/>
        <w:gridCol w:w="2597"/>
        <w:gridCol w:w="1298"/>
        <w:gridCol w:w="2597"/>
        <w:gridCol w:w="1298"/>
      </w:tblGrid>
      <w:tr w:rsidR="006773B3" w:rsidRPr="000910F4" w14:paraId="584BEED9" w14:textId="77777777" w:rsidTr="008B4BC8">
        <w:trPr>
          <w:trHeight w:val="57"/>
        </w:trPr>
        <w:tc>
          <w:tcPr>
            <w:tcW w:w="1298" w:type="dxa"/>
            <w:tcBorders>
              <w:top w:val="single" w:sz="8" w:space="0" w:color="auto"/>
              <w:left w:val="single" w:sz="8" w:space="0" w:color="auto"/>
              <w:bottom w:val="single" w:sz="8" w:space="0" w:color="auto"/>
              <w:right w:val="single" w:sz="8" w:space="0" w:color="auto"/>
            </w:tcBorders>
            <w:noWrap/>
            <w:vAlign w:val="bottom"/>
          </w:tcPr>
          <w:p w14:paraId="663FE4A2" w14:textId="77777777" w:rsidR="006773B3" w:rsidRPr="000910F4" w:rsidRDefault="006773B3" w:rsidP="00AA2596">
            <w:pPr>
              <w:rPr>
                <w:rFonts w:ascii="Calibri" w:hAnsi="Calibri" w:cs="Calibri"/>
                <w:sz w:val="22"/>
                <w:szCs w:val="22"/>
              </w:rPr>
            </w:pPr>
            <w:r w:rsidRPr="000910F4">
              <w:rPr>
                <w:rFonts w:ascii="Calibri" w:hAnsi="Calibri" w:cs="Calibri"/>
                <w:sz w:val="22"/>
                <w:szCs w:val="22"/>
              </w:rPr>
              <w:t> </w:t>
            </w:r>
          </w:p>
        </w:tc>
        <w:tc>
          <w:tcPr>
            <w:tcW w:w="3895" w:type="dxa"/>
            <w:gridSpan w:val="2"/>
            <w:tcBorders>
              <w:top w:val="single" w:sz="8" w:space="0" w:color="000000"/>
              <w:left w:val="nil"/>
              <w:bottom w:val="single" w:sz="8" w:space="0" w:color="000000"/>
              <w:right w:val="nil"/>
            </w:tcBorders>
            <w:vAlign w:val="center"/>
          </w:tcPr>
          <w:p w14:paraId="3C331596" w14:textId="77777777" w:rsidR="006773B3" w:rsidRPr="000910F4" w:rsidRDefault="006773B3" w:rsidP="00AA2596">
            <w:pPr>
              <w:jc w:val="center"/>
              <w:rPr>
                <w:b/>
                <w:bCs/>
              </w:rPr>
            </w:pPr>
            <w:r w:rsidRPr="000910F4">
              <w:rPr>
                <w:b/>
                <w:bCs/>
              </w:rPr>
              <w:t>DFPs</w:t>
            </w:r>
          </w:p>
        </w:tc>
        <w:tc>
          <w:tcPr>
            <w:tcW w:w="3895" w:type="dxa"/>
            <w:gridSpan w:val="2"/>
            <w:tcBorders>
              <w:top w:val="single" w:sz="8" w:space="0" w:color="auto"/>
              <w:left w:val="single" w:sz="8" w:space="0" w:color="auto"/>
              <w:bottom w:val="single" w:sz="8" w:space="0" w:color="auto"/>
              <w:right w:val="single" w:sz="8" w:space="0" w:color="000000"/>
            </w:tcBorders>
            <w:vAlign w:val="center"/>
          </w:tcPr>
          <w:p w14:paraId="0ECFE334" w14:textId="77777777" w:rsidR="006773B3" w:rsidRPr="000910F4" w:rsidRDefault="006773B3" w:rsidP="00AA2596">
            <w:pPr>
              <w:jc w:val="center"/>
              <w:rPr>
                <w:b/>
                <w:bCs/>
              </w:rPr>
            </w:pPr>
            <w:r w:rsidRPr="000910F4">
              <w:rPr>
                <w:b/>
                <w:bCs/>
                <w:szCs w:val="22"/>
              </w:rPr>
              <w:t>Relatórios de Sustentabilidade</w:t>
            </w:r>
          </w:p>
        </w:tc>
      </w:tr>
      <w:tr w:rsidR="006773B3" w:rsidRPr="000910F4" w14:paraId="17017123" w14:textId="77777777" w:rsidTr="008B4BC8">
        <w:trPr>
          <w:trHeight w:val="57"/>
        </w:trPr>
        <w:tc>
          <w:tcPr>
            <w:tcW w:w="1298" w:type="dxa"/>
            <w:tcBorders>
              <w:top w:val="nil"/>
              <w:left w:val="single" w:sz="8" w:space="0" w:color="000000"/>
              <w:bottom w:val="single" w:sz="8" w:space="0" w:color="000000"/>
              <w:right w:val="single" w:sz="8" w:space="0" w:color="000000"/>
            </w:tcBorders>
            <w:vAlign w:val="center"/>
          </w:tcPr>
          <w:p w14:paraId="7416D412" w14:textId="77777777" w:rsidR="006773B3" w:rsidRPr="000910F4" w:rsidRDefault="006773B3" w:rsidP="00AA2596">
            <w:pPr>
              <w:jc w:val="center"/>
              <w:rPr>
                <w:b/>
                <w:bCs/>
              </w:rPr>
            </w:pPr>
            <w:r w:rsidRPr="000910F4">
              <w:rPr>
                <w:b/>
                <w:bCs/>
              </w:rPr>
              <w:t>Índice</w:t>
            </w:r>
          </w:p>
        </w:tc>
        <w:tc>
          <w:tcPr>
            <w:tcW w:w="2597" w:type="dxa"/>
            <w:tcBorders>
              <w:top w:val="nil"/>
              <w:left w:val="nil"/>
              <w:bottom w:val="single" w:sz="8" w:space="0" w:color="000000"/>
              <w:right w:val="single" w:sz="8" w:space="0" w:color="000000"/>
            </w:tcBorders>
            <w:vAlign w:val="center"/>
          </w:tcPr>
          <w:p w14:paraId="2AD29D31" w14:textId="77777777" w:rsidR="006773B3" w:rsidRPr="000910F4" w:rsidRDefault="006773B3" w:rsidP="00AA2596">
            <w:pPr>
              <w:jc w:val="center"/>
              <w:rPr>
                <w:b/>
                <w:bCs/>
              </w:rPr>
            </w:pPr>
            <w:r w:rsidRPr="000910F4">
              <w:rPr>
                <w:b/>
                <w:bCs/>
              </w:rPr>
              <w:t>Frequência final</w:t>
            </w:r>
          </w:p>
        </w:tc>
        <w:tc>
          <w:tcPr>
            <w:tcW w:w="1298" w:type="dxa"/>
            <w:tcBorders>
              <w:top w:val="nil"/>
              <w:left w:val="nil"/>
              <w:bottom w:val="single" w:sz="8" w:space="0" w:color="000000"/>
              <w:right w:val="single" w:sz="8" w:space="0" w:color="000000"/>
            </w:tcBorders>
            <w:vAlign w:val="center"/>
          </w:tcPr>
          <w:p w14:paraId="6CE534F1" w14:textId="77777777" w:rsidR="006773B3" w:rsidRPr="000910F4" w:rsidRDefault="006773B3" w:rsidP="00AA2596">
            <w:pPr>
              <w:jc w:val="center"/>
              <w:rPr>
                <w:b/>
                <w:bCs/>
              </w:rPr>
            </w:pPr>
            <w:r w:rsidRPr="000910F4">
              <w:rPr>
                <w:b/>
                <w:bCs/>
              </w:rPr>
              <w:t>%</w:t>
            </w:r>
          </w:p>
        </w:tc>
        <w:tc>
          <w:tcPr>
            <w:tcW w:w="2597" w:type="dxa"/>
            <w:tcBorders>
              <w:top w:val="nil"/>
              <w:left w:val="nil"/>
              <w:bottom w:val="single" w:sz="8" w:space="0" w:color="000000"/>
              <w:right w:val="single" w:sz="8" w:space="0" w:color="000000"/>
            </w:tcBorders>
            <w:vAlign w:val="center"/>
          </w:tcPr>
          <w:p w14:paraId="302D0114" w14:textId="77777777" w:rsidR="006773B3" w:rsidRPr="000910F4" w:rsidRDefault="006773B3" w:rsidP="00AA2596">
            <w:pPr>
              <w:jc w:val="center"/>
              <w:rPr>
                <w:b/>
                <w:bCs/>
              </w:rPr>
            </w:pPr>
            <w:r w:rsidRPr="000910F4">
              <w:rPr>
                <w:b/>
                <w:bCs/>
                <w:szCs w:val="22"/>
              </w:rPr>
              <w:t>Frequência Final</w:t>
            </w:r>
          </w:p>
        </w:tc>
        <w:tc>
          <w:tcPr>
            <w:tcW w:w="1298" w:type="dxa"/>
            <w:tcBorders>
              <w:top w:val="nil"/>
              <w:left w:val="nil"/>
              <w:bottom w:val="single" w:sz="8" w:space="0" w:color="000000"/>
              <w:right w:val="single" w:sz="8" w:space="0" w:color="000000"/>
            </w:tcBorders>
            <w:vAlign w:val="center"/>
          </w:tcPr>
          <w:p w14:paraId="498F3C19" w14:textId="77777777" w:rsidR="006773B3" w:rsidRPr="000910F4" w:rsidRDefault="006773B3" w:rsidP="00AA2596">
            <w:pPr>
              <w:jc w:val="center"/>
              <w:rPr>
                <w:b/>
                <w:bCs/>
              </w:rPr>
            </w:pPr>
            <w:r w:rsidRPr="000910F4">
              <w:rPr>
                <w:b/>
                <w:bCs/>
                <w:szCs w:val="22"/>
              </w:rPr>
              <w:t>%</w:t>
            </w:r>
          </w:p>
        </w:tc>
      </w:tr>
      <w:tr w:rsidR="006773B3" w:rsidRPr="000910F4" w14:paraId="69C7FC77" w14:textId="77777777" w:rsidTr="008B4BC8">
        <w:trPr>
          <w:trHeight w:val="57"/>
        </w:trPr>
        <w:tc>
          <w:tcPr>
            <w:tcW w:w="1298" w:type="dxa"/>
            <w:tcBorders>
              <w:top w:val="nil"/>
              <w:left w:val="single" w:sz="8" w:space="0" w:color="000000"/>
              <w:bottom w:val="single" w:sz="8" w:space="0" w:color="000000"/>
              <w:right w:val="single" w:sz="8" w:space="0" w:color="000000"/>
            </w:tcBorders>
            <w:vAlign w:val="center"/>
          </w:tcPr>
          <w:p w14:paraId="2D5E0E54" w14:textId="77777777" w:rsidR="006773B3" w:rsidRPr="000910F4" w:rsidRDefault="006773B3" w:rsidP="00AA2596">
            <w:pPr>
              <w:jc w:val="center"/>
            </w:pPr>
            <w:r w:rsidRPr="000910F4">
              <w:t>0.33</w:t>
            </w:r>
          </w:p>
        </w:tc>
        <w:tc>
          <w:tcPr>
            <w:tcW w:w="2597" w:type="dxa"/>
            <w:tcBorders>
              <w:top w:val="nil"/>
              <w:left w:val="nil"/>
              <w:bottom w:val="single" w:sz="8" w:space="0" w:color="000000"/>
              <w:right w:val="single" w:sz="8" w:space="0" w:color="000000"/>
            </w:tcBorders>
            <w:vAlign w:val="center"/>
          </w:tcPr>
          <w:p w14:paraId="0C58725A" w14:textId="77777777" w:rsidR="006773B3" w:rsidRPr="000910F4" w:rsidRDefault="006773B3" w:rsidP="00AA2596">
            <w:pPr>
              <w:jc w:val="center"/>
            </w:pPr>
            <w:r w:rsidRPr="000910F4">
              <w:t>53</w:t>
            </w:r>
          </w:p>
        </w:tc>
        <w:tc>
          <w:tcPr>
            <w:tcW w:w="1298" w:type="dxa"/>
            <w:tcBorders>
              <w:top w:val="nil"/>
              <w:left w:val="nil"/>
              <w:bottom w:val="single" w:sz="8" w:space="0" w:color="000000"/>
              <w:right w:val="single" w:sz="8" w:space="0" w:color="000000"/>
            </w:tcBorders>
            <w:vAlign w:val="center"/>
          </w:tcPr>
          <w:p w14:paraId="3827A543" w14:textId="77777777" w:rsidR="006773B3" w:rsidRPr="000910F4" w:rsidRDefault="006773B3" w:rsidP="00AA2596">
            <w:pPr>
              <w:jc w:val="center"/>
            </w:pPr>
            <w:r w:rsidRPr="000910F4">
              <w:t>44,92</w:t>
            </w:r>
          </w:p>
        </w:tc>
        <w:tc>
          <w:tcPr>
            <w:tcW w:w="2597" w:type="dxa"/>
            <w:tcBorders>
              <w:top w:val="nil"/>
              <w:left w:val="nil"/>
              <w:bottom w:val="single" w:sz="8" w:space="0" w:color="000000"/>
              <w:right w:val="single" w:sz="8" w:space="0" w:color="000000"/>
            </w:tcBorders>
            <w:vAlign w:val="center"/>
          </w:tcPr>
          <w:p w14:paraId="63FBC884" w14:textId="77777777" w:rsidR="006773B3" w:rsidRPr="000910F4" w:rsidRDefault="006773B3" w:rsidP="00AA2596">
            <w:pPr>
              <w:jc w:val="center"/>
            </w:pPr>
            <w:r w:rsidRPr="000910F4">
              <w:rPr>
                <w:szCs w:val="22"/>
              </w:rPr>
              <w:t>38</w:t>
            </w:r>
          </w:p>
        </w:tc>
        <w:tc>
          <w:tcPr>
            <w:tcW w:w="1298" w:type="dxa"/>
            <w:tcBorders>
              <w:top w:val="nil"/>
              <w:left w:val="nil"/>
              <w:bottom w:val="single" w:sz="8" w:space="0" w:color="000000"/>
              <w:right w:val="single" w:sz="8" w:space="0" w:color="000000"/>
            </w:tcBorders>
            <w:vAlign w:val="center"/>
          </w:tcPr>
          <w:p w14:paraId="4D484D3D" w14:textId="77777777" w:rsidR="006773B3" w:rsidRPr="000910F4" w:rsidRDefault="006773B3" w:rsidP="00AA2596">
            <w:pPr>
              <w:jc w:val="center"/>
            </w:pPr>
            <w:r w:rsidRPr="000910F4">
              <w:rPr>
                <w:szCs w:val="22"/>
              </w:rPr>
              <w:t>48,1</w:t>
            </w:r>
          </w:p>
        </w:tc>
      </w:tr>
      <w:tr w:rsidR="006773B3" w:rsidRPr="000910F4" w14:paraId="64F4F285" w14:textId="77777777" w:rsidTr="008B4BC8">
        <w:trPr>
          <w:trHeight w:val="57"/>
        </w:trPr>
        <w:tc>
          <w:tcPr>
            <w:tcW w:w="1298" w:type="dxa"/>
            <w:tcBorders>
              <w:top w:val="nil"/>
              <w:left w:val="single" w:sz="8" w:space="0" w:color="000000"/>
              <w:bottom w:val="single" w:sz="8" w:space="0" w:color="000000"/>
              <w:right w:val="single" w:sz="8" w:space="0" w:color="000000"/>
            </w:tcBorders>
            <w:vAlign w:val="center"/>
          </w:tcPr>
          <w:p w14:paraId="382D633B" w14:textId="77777777" w:rsidR="006773B3" w:rsidRPr="000910F4" w:rsidRDefault="006773B3" w:rsidP="00AA2596">
            <w:pPr>
              <w:jc w:val="center"/>
            </w:pPr>
            <w:r w:rsidRPr="000910F4">
              <w:t>0.66</w:t>
            </w:r>
          </w:p>
        </w:tc>
        <w:tc>
          <w:tcPr>
            <w:tcW w:w="2597" w:type="dxa"/>
            <w:tcBorders>
              <w:top w:val="nil"/>
              <w:left w:val="nil"/>
              <w:bottom w:val="single" w:sz="8" w:space="0" w:color="000000"/>
              <w:right w:val="single" w:sz="8" w:space="0" w:color="000000"/>
            </w:tcBorders>
            <w:vAlign w:val="center"/>
          </w:tcPr>
          <w:p w14:paraId="4044ADE4" w14:textId="77777777" w:rsidR="006773B3" w:rsidRPr="000910F4" w:rsidRDefault="006773B3" w:rsidP="00AA2596">
            <w:pPr>
              <w:jc w:val="center"/>
            </w:pPr>
            <w:r w:rsidRPr="000910F4">
              <w:t>48</w:t>
            </w:r>
          </w:p>
        </w:tc>
        <w:tc>
          <w:tcPr>
            <w:tcW w:w="1298" w:type="dxa"/>
            <w:tcBorders>
              <w:top w:val="nil"/>
              <w:left w:val="nil"/>
              <w:bottom w:val="single" w:sz="8" w:space="0" w:color="000000"/>
              <w:right w:val="single" w:sz="8" w:space="0" w:color="000000"/>
            </w:tcBorders>
            <w:vAlign w:val="center"/>
          </w:tcPr>
          <w:p w14:paraId="25CFED67" w14:textId="77777777" w:rsidR="006773B3" w:rsidRPr="000910F4" w:rsidRDefault="006773B3" w:rsidP="00AA2596">
            <w:pPr>
              <w:jc w:val="center"/>
            </w:pPr>
            <w:r w:rsidRPr="000910F4">
              <w:t>40,68</w:t>
            </w:r>
          </w:p>
        </w:tc>
        <w:tc>
          <w:tcPr>
            <w:tcW w:w="2597" w:type="dxa"/>
            <w:tcBorders>
              <w:top w:val="nil"/>
              <w:left w:val="nil"/>
              <w:bottom w:val="single" w:sz="8" w:space="0" w:color="000000"/>
              <w:right w:val="single" w:sz="8" w:space="0" w:color="000000"/>
            </w:tcBorders>
            <w:vAlign w:val="center"/>
          </w:tcPr>
          <w:p w14:paraId="34D35FA3" w14:textId="77777777" w:rsidR="006773B3" w:rsidRPr="000910F4" w:rsidRDefault="006773B3" w:rsidP="00AA2596">
            <w:pPr>
              <w:jc w:val="center"/>
            </w:pPr>
            <w:r w:rsidRPr="000910F4">
              <w:rPr>
                <w:szCs w:val="22"/>
              </w:rPr>
              <w:t>8</w:t>
            </w:r>
          </w:p>
        </w:tc>
        <w:tc>
          <w:tcPr>
            <w:tcW w:w="1298" w:type="dxa"/>
            <w:tcBorders>
              <w:top w:val="nil"/>
              <w:left w:val="nil"/>
              <w:bottom w:val="single" w:sz="8" w:space="0" w:color="000000"/>
              <w:right w:val="single" w:sz="8" w:space="0" w:color="000000"/>
            </w:tcBorders>
            <w:vAlign w:val="center"/>
          </w:tcPr>
          <w:p w14:paraId="2C08B42D" w14:textId="77777777" w:rsidR="006773B3" w:rsidRPr="000910F4" w:rsidRDefault="006773B3" w:rsidP="00AA2596">
            <w:pPr>
              <w:jc w:val="center"/>
            </w:pPr>
            <w:r w:rsidRPr="000910F4">
              <w:rPr>
                <w:szCs w:val="22"/>
              </w:rPr>
              <w:t>10,13</w:t>
            </w:r>
          </w:p>
        </w:tc>
      </w:tr>
      <w:tr w:rsidR="006773B3" w:rsidRPr="000910F4" w14:paraId="42683EE6" w14:textId="77777777" w:rsidTr="008B4BC8">
        <w:trPr>
          <w:trHeight w:val="57"/>
        </w:trPr>
        <w:tc>
          <w:tcPr>
            <w:tcW w:w="1298" w:type="dxa"/>
            <w:tcBorders>
              <w:top w:val="nil"/>
              <w:left w:val="single" w:sz="8" w:space="0" w:color="000000"/>
              <w:bottom w:val="single" w:sz="8" w:space="0" w:color="000000"/>
              <w:right w:val="single" w:sz="8" w:space="0" w:color="000000"/>
            </w:tcBorders>
            <w:vAlign w:val="center"/>
          </w:tcPr>
          <w:p w14:paraId="2408BFCB" w14:textId="77777777" w:rsidR="006773B3" w:rsidRPr="000910F4" w:rsidRDefault="006773B3" w:rsidP="00AA2596">
            <w:pPr>
              <w:jc w:val="center"/>
            </w:pPr>
            <w:r w:rsidRPr="000910F4">
              <w:t>1</w:t>
            </w:r>
          </w:p>
        </w:tc>
        <w:tc>
          <w:tcPr>
            <w:tcW w:w="2597" w:type="dxa"/>
            <w:tcBorders>
              <w:top w:val="nil"/>
              <w:left w:val="nil"/>
              <w:bottom w:val="single" w:sz="8" w:space="0" w:color="000000"/>
              <w:right w:val="single" w:sz="8" w:space="0" w:color="000000"/>
            </w:tcBorders>
            <w:vAlign w:val="center"/>
          </w:tcPr>
          <w:p w14:paraId="7EB2A2AA" w14:textId="77777777" w:rsidR="006773B3" w:rsidRPr="000910F4" w:rsidRDefault="006773B3" w:rsidP="00AA2596">
            <w:pPr>
              <w:jc w:val="center"/>
            </w:pPr>
            <w:r w:rsidRPr="000910F4">
              <w:t>17</w:t>
            </w:r>
          </w:p>
        </w:tc>
        <w:tc>
          <w:tcPr>
            <w:tcW w:w="1298" w:type="dxa"/>
            <w:tcBorders>
              <w:top w:val="nil"/>
              <w:left w:val="nil"/>
              <w:bottom w:val="single" w:sz="8" w:space="0" w:color="000000"/>
              <w:right w:val="single" w:sz="8" w:space="0" w:color="000000"/>
            </w:tcBorders>
            <w:vAlign w:val="center"/>
          </w:tcPr>
          <w:p w14:paraId="26173E62" w14:textId="77777777" w:rsidR="006773B3" w:rsidRPr="000910F4" w:rsidRDefault="006773B3" w:rsidP="00AA2596">
            <w:pPr>
              <w:jc w:val="center"/>
            </w:pPr>
            <w:r w:rsidRPr="000910F4">
              <w:t>14,4</w:t>
            </w:r>
          </w:p>
        </w:tc>
        <w:tc>
          <w:tcPr>
            <w:tcW w:w="2597" w:type="dxa"/>
            <w:tcBorders>
              <w:top w:val="nil"/>
              <w:left w:val="nil"/>
              <w:bottom w:val="single" w:sz="8" w:space="0" w:color="000000"/>
              <w:right w:val="single" w:sz="8" w:space="0" w:color="000000"/>
            </w:tcBorders>
            <w:vAlign w:val="center"/>
          </w:tcPr>
          <w:p w14:paraId="64C0FB5C" w14:textId="77777777" w:rsidR="006773B3" w:rsidRPr="000910F4" w:rsidRDefault="006773B3" w:rsidP="00AA2596">
            <w:pPr>
              <w:jc w:val="center"/>
            </w:pPr>
            <w:r w:rsidRPr="000910F4">
              <w:rPr>
                <w:szCs w:val="22"/>
              </w:rPr>
              <w:t>33</w:t>
            </w:r>
          </w:p>
        </w:tc>
        <w:tc>
          <w:tcPr>
            <w:tcW w:w="1298" w:type="dxa"/>
            <w:tcBorders>
              <w:top w:val="nil"/>
              <w:left w:val="nil"/>
              <w:bottom w:val="single" w:sz="8" w:space="0" w:color="000000"/>
              <w:right w:val="single" w:sz="8" w:space="0" w:color="000000"/>
            </w:tcBorders>
            <w:vAlign w:val="center"/>
          </w:tcPr>
          <w:p w14:paraId="5A77D661" w14:textId="77777777" w:rsidR="006773B3" w:rsidRPr="000910F4" w:rsidRDefault="006773B3" w:rsidP="00AA2596">
            <w:pPr>
              <w:jc w:val="center"/>
            </w:pPr>
            <w:r w:rsidRPr="000910F4">
              <w:rPr>
                <w:szCs w:val="22"/>
              </w:rPr>
              <w:t>41,77</w:t>
            </w:r>
          </w:p>
        </w:tc>
      </w:tr>
      <w:tr w:rsidR="006773B3" w:rsidRPr="000910F4" w14:paraId="3C8540AC" w14:textId="77777777" w:rsidTr="00AA2596">
        <w:trPr>
          <w:trHeight w:val="128"/>
        </w:trPr>
        <w:tc>
          <w:tcPr>
            <w:tcW w:w="1298" w:type="dxa"/>
            <w:tcBorders>
              <w:top w:val="nil"/>
              <w:left w:val="single" w:sz="8" w:space="0" w:color="000000"/>
              <w:bottom w:val="single" w:sz="8" w:space="0" w:color="000000"/>
              <w:right w:val="single" w:sz="8" w:space="0" w:color="000000"/>
            </w:tcBorders>
            <w:vAlign w:val="center"/>
          </w:tcPr>
          <w:p w14:paraId="3441DA78" w14:textId="77777777" w:rsidR="006773B3" w:rsidRPr="008B4BC8" w:rsidRDefault="006773B3" w:rsidP="00AA2596">
            <w:pPr>
              <w:keepNext/>
              <w:keepLines/>
              <w:jc w:val="center"/>
              <w:rPr>
                <w:b/>
              </w:rPr>
            </w:pPr>
            <w:r w:rsidRPr="008B4BC8">
              <w:rPr>
                <w:b/>
              </w:rPr>
              <w:t>Total</w:t>
            </w:r>
          </w:p>
        </w:tc>
        <w:tc>
          <w:tcPr>
            <w:tcW w:w="2597" w:type="dxa"/>
            <w:tcBorders>
              <w:top w:val="nil"/>
              <w:left w:val="nil"/>
              <w:bottom w:val="single" w:sz="8" w:space="0" w:color="000000"/>
              <w:right w:val="single" w:sz="8" w:space="0" w:color="000000"/>
            </w:tcBorders>
            <w:vAlign w:val="center"/>
          </w:tcPr>
          <w:p w14:paraId="5D66EA0F" w14:textId="77777777" w:rsidR="006773B3" w:rsidRPr="000910F4" w:rsidRDefault="006773B3" w:rsidP="00AA2596">
            <w:pPr>
              <w:jc w:val="center"/>
            </w:pPr>
            <w:r w:rsidRPr="000910F4">
              <w:t>118</w:t>
            </w:r>
          </w:p>
        </w:tc>
        <w:tc>
          <w:tcPr>
            <w:tcW w:w="1298" w:type="dxa"/>
            <w:tcBorders>
              <w:top w:val="nil"/>
              <w:left w:val="nil"/>
              <w:bottom w:val="single" w:sz="8" w:space="0" w:color="000000"/>
              <w:right w:val="single" w:sz="8" w:space="0" w:color="000000"/>
            </w:tcBorders>
            <w:vAlign w:val="center"/>
          </w:tcPr>
          <w:p w14:paraId="502E31B1" w14:textId="77777777" w:rsidR="006773B3" w:rsidRPr="000910F4" w:rsidRDefault="006773B3" w:rsidP="00AA2596">
            <w:pPr>
              <w:jc w:val="center"/>
            </w:pPr>
            <w:r w:rsidRPr="000910F4">
              <w:t>100</w:t>
            </w:r>
          </w:p>
        </w:tc>
        <w:tc>
          <w:tcPr>
            <w:tcW w:w="2597" w:type="dxa"/>
            <w:tcBorders>
              <w:top w:val="nil"/>
              <w:left w:val="nil"/>
              <w:bottom w:val="single" w:sz="8" w:space="0" w:color="000000"/>
              <w:right w:val="single" w:sz="8" w:space="0" w:color="000000"/>
            </w:tcBorders>
            <w:vAlign w:val="center"/>
          </w:tcPr>
          <w:p w14:paraId="173530E4" w14:textId="77777777" w:rsidR="006773B3" w:rsidRPr="000910F4" w:rsidRDefault="006773B3" w:rsidP="00AA2596">
            <w:pPr>
              <w:jc w:val="center"/>
            </w:pPr>
            <w:r w:rsidRPr="000910F4">
              <w:rPr>
                <w:szCs w:val="22"/>
              </w:rPr>
              <w:t>79</w:t>
            </w:r>
          </w:p>
        </w:tc>
        <w:tc>
          <w:tcPr>
            <w:tcW w:w="1298" w:type="dxa"/>
            <w:tcBorders>
              <w:top w:val="nil"/>
              <w:left w:val="nil"/>
              <w:bottom w:val="single" w:sz="8" w:space="0" w:color="000000"/>
              <w:right w:val="single" w:sz="8" w:space="0" w:color="000000"/>
            </w:tcBorders>
            <w:vAlign w:val="center"/>
          </w:tcPr>
          <w:p w14:paraId="6EA14948" w14:textId="77777777" w:rsidR="006773B3" w:rsidRPr="000910F4" w:rsidRDefault="006773B3" w:rsidP="00AA2596">
            <w:pPr>
              <w:jc w:val="center"/>
            </w:pPr>
            <w:r w:rsidRPr="000910F4">
              <w:rPr>
                <w:szCs w:val="22"/>
              </w:rPr>
              <w:t>100</w:t>
            </w:r>
          </w:p>
        </w:tc>
      </w:tr>
    </w:tbl>
    <w:p w14:paraId="5F0EE784" w14:textId="0BD487C3" w:rsidR="006773B3" w:rsidRDefault="006773B3">
      <w:pPr>
        <w:jc w:val="both"/>
      </w:pPr>
      <w:r>
        <w:t>Fonte: Autores (2018)</w:t>
      </w:r>
      <w:r w:rsidR="00A03AEC">
        <w:t>.</w:t>
      </w:r>
    </w:p>
    <w:p w14:paraId="59D49568" w14:textId="77777777" w:rsidR="006773B3" w:rsidRDefault="006773B3">
      <w:pPr>
        <w:jc w:val="both"/>
        <w:rPr>
          <w:sz w:val="24"/>
          <w:szCs w:val="24"/>
        </w:rPr>
      </w:pPr>
    </w:p>
    <w:p w14:paraId="4B74AA8C" w14:textId="01DEFF7B" w:rsidR="006773B3" w:rsidRDefault="006773B3" w:rsidP="0089136C">
      <w:pPr>
        <w:ind w:firstLine="709"/>
        <w:jc w:val="both"/>
        <w:rPr>
          <w:sz w:val="24"/>
          <w:szCs w:val="24"/>
        </w:rPr>
      </w:pPr>
      <w:r>
        <w:rPr>
          <w:sz w:val="24"/>
          <w:szCs w:val="24"/>
        </w:rPr>
        <w:t xml:space="preserve">Percebe-se que nas </w:t>
      </w:r>
      <w:r w:rsidR="00D7774C">
        <w:rPr>
          <w:sz w:val="24"/>
          <w:szCs w:val="24"/>
        </w:rPr>
        <w:t xml:space="preserve">DFP </w:t>
      </w:r>
      <w:r>
        <w:rPr>
          <w:sz w:val="24"/>
          <w:szCs w:val="24"/>
        </w:rPr>
        <w:t xml:space="preserve">há uma maior frequência das </w:t>
      </w:r>
      <w:r w:rsidR="00D7774C">
        <w:rPr>
          <w:sz w:val="24"/>
          <w:szCs w:val="24"/>
        </w:rPr>
        <w:t xml:space="preserve">informações </w:t>
      </w:r>
      <w:r w:rsidR="00FD67B6">
        <w:rPr>
          <w:sz w:val="24"/>
          <w:szCs w:val="24"/>
        </w:rPr>
        <w:t>(qualitativas e quantitativas)</w:t>
      </w:r>
      <w:r w:rsidR="00542D28">
        <w:rPr>
          <w:sz w:val="24"/>
          <w:szCs w:val="24"/>
        </w:rPr>
        <w:t xml:space="preserve"> com 118 resultados. O índice que é mais frequente</w:t>
      </w:r>
      <w:r w:rsidR="00FD67B6">
        <w:rPr>
          <w:sz w:val="24"/>
          <w:szCs w:val="24"/>
        </w:rPr>
        <w:t xml:space="preserve"> </w:t>
      </w:r>
      <w:r w:rsidR="00542D28">
        <w:rPr>
          <w:sz w:val="24"/>
          <w:szCs w:val="24"/>
        </w:rPr>
        <w:t xml:space="preserve">é aquele que evidencia apenas 1/3 das </w:t>
      </w:r>
      <w:r w:rsidR="00D7774C">
        <w:rPr>
          <w:sz w:val="24"/>
          <w:szCs w:val="24"/>
        </w:rPr>
        <w:t>informações</w:t>
      </w:r>
      <w:r w:rsidR="00542D28">
        <w:rPr>
          <w:sz w:val="24"/>
          <w:szCs w:val="24"/>
        </w:rPr>
        <w:t>, o índice 0.33 resultando</w:t>
      </w:r>
      <w:r w:rsidR="00FD67B6">
        <w:rPr>
          <w:sz w:val="24"/>
          <w:szCs w:val="24"/>
        </w:rPr>
        <w:t xml:space="preserve"> em </w:t>
      </w:r>
      <w:r>
        <w:rPr>
          <w:sz w:val="24"/>
          <w:szCs w:val="24"/>
        </w:rPr>
        <w:t>53</w:t>
      </w:r>
      <w:r w:rsidR="00FD67B6">
        <w:rPr>
          <w:sz w:val="24"/>
          <w:szCs w:val="24"/>
        </w:rPr>
        <w:t xml:space="preserve"> </w:t>
      </w:r>
      <w:r w:rsidR="00D7774C">
        <w:rPr>
          <w:sz w:val="24"/>
          <w:szCs w:val="24"/>
        </w:rPr>
        <w:t>observações</w:t>
      </w:r>
      <w:r w:rsidR="00542D28">
        <w:rPr>
          <w:sz w:val="24"/>
          <w:szCs w:val="24"/>
        </w:rPr>
        <w:t xml:space="preserve">, </w:t>
      </w:r>
      <w:r>
        <w:rPr>
          <w:sz w:val="24"/>
          <w:szCs w:val="24"/>
        </w:rPr>
        <w:t xml:space="preserve">representando 44,92% do total. E a frequência mais baixa obtida, foi o índice 1, </w:t>
      </w:r>
      <w:r w:rsidR="00FD67B6">
        <w:rPr>
          <w:sz w:val="24"/>
          <w:szCs w:val="24"/>
        </w:rPr>
        <w:t xml:space="preserve">índice o qual </w:t>
      </w:r>
      <w:r>
        <w:rPr>
          <w:sz w:val="24"/>
          <w:szCs w:val="24"/>
        </w:rPr>
        <w:t xml:space="preserve">representa que todas as três </w:t>
      </w:r>
      <w:r w:rsidR="00D7774C">
        <w:rPr>
          <w:sz w:val="24"/>
          <w:szCs w:val="24"/>
        </w:rPr>
        <w:t>informações</w:t>
      </w:r>
      <w:r>
        <w:rPr>
          <w:sz w:val="24"/>
          <w:szCs w:val="24"/>
        </w:rPr>
        <w:t xml:space="preserve"> foram demonstradas pela empresa, com 17 </w:t>
      </w:r>
      <w:r w:rsidR="00D7774C">
        <w:rPr>
          <w:sz w:val="24"/>
          <w:szCs w:val="24"/>
        </w:rPr>
        <w:t>observações</w:t>
      </w:r>
      <w:r>
        <w:rPr>
          <w:sz w:val="24"/>
          <w:szCs w:val="24"/>
        </w:rPr>
        <w:t xml:space="preserve">. </w:t>
      </w:r>
    </w:p>
    <w:p w14:paraId="55BF88B0" w14:textId="12D4E0AC" w:rsidR="006773B3" w:rsidRDefault="006773B3" w:rsidP="0089136C">
      <w:pPr>
        <w:ind w:firstLine="709"/>
        <w:jc w:val="both"/>
        <w:rPr>
          <w:sz w:val="24"/>
          <w:szCs w:val="24"/>
        </w:rPr>
      </w:pPr>
      <w:r>
        <w:rPr>
          <w:sz w:val="24"/>
          <w:szCs w:val="24"/>
        </w:rPr>
        <w:t>Nos R</w:t>
      </w:r>
      <w:r w:rsidR="00D7774C">
        <w:rPr>
          <w:sz w:val="24"/>
          <w:szCs w:val="24"/>
        </w:rPr>
        <w:t>S</w:t>
      </w:r>
      <w:r>
        <w:rPr>
          <w:sz w:val="24"/>
          <w:szCs w:val="24"/>
        </w:rPr>
        <w:t xml:space="preserve">, as empresas evidenciaram o dobro de informações completas, com 33 resultados e um total de informações é inferior ao das DFP, com 79 resultados. É perceptível que apesar de haver maiores evidenciações de variáveis nas DFP, é no </w:t>
      </w:r>
      <w:r w:rsidR="00D7774C">
        <w:rPr>
          <w:sz w:val="24"/>
          <w:szCs w:val="24"/>
        </w:rPr>
        <w:t xml:space="preserve">RS </w:t>
      </w:r>
      <w:r>
        <w:rPr>
          <w:sz w:val="24"/>
          <w:szCs w:val="24"/>
        </w:rPr>
        <w:t xml:space="preserve">que as empresas mais evidenciam suas provisões. </w:t>
      </w:r>
    </w:p>
    <w:p w14:paraId="2FEB9AE2" w14:textId="77777777" w:rsidR="006773B3" w:rsidRDefault="006773B3" w:rsidP="0089136C">
      <w:pPr>
        <w:ind w:firstLine="709"/>
        <w:jc w:val="both"/>
        <w:rPr>
          <w:b/>
          <w:sz w:val="24"/>
          <w:szCs w:val="24"/>
        </w:rPr>
      </w:pPr>
    </w:p>
    <w:p w14:paraId="7CA1ACDC" w14:textId="77777777" w:rsidR="006773B3" w:rsidRDefault="006773B3">
      <w:pPr>
        <w:rPr>
          <w:b/>
          <w:sz w:val="24"/>
          <w:szCs w:val="24"/>
        </w:rPr>
      </w:pPr>
      <w:r>
        <w:rPr>
          <w:b/>
          <w:sz w:val="24"/>
          <w:szCs w:val="24"/>
        </w:rPr>
        <w:t>5 Considerações Finais</w:t>
      </w:r>
    </w:p>
    <w:p w14:paraId="61716F2D" w14:textId="77777777" w:rsidR="006773B3" w:rsidRDefault="006773B3">
      <w:pPr>
        <w:rPr>
          <w:b/>
          <w:sz w:val="24"/>
          <w:szCs w:val="24"/>
        </w:rPr>
      </w:pPr>
    </w:p>
    <w:p w14:paraId="57C309E8" w14:textId="4C46F0FF" w:rsidR="006773B3" w:rsidRDefault="006773B3">
      <w:pPr>
        <w:ind w:firstLine="709"/>
        <w:jc w:val="both"/>
        <w:rPr>
          <w:sz w:val="24"/>
          <w:szCs w:val="24"/>
        </w:rPr>
      </w:pPr>
      <w:r>
        <w:rPr>
          <w:sz w:val="24"/>
          <w:szCs w:val="24"/>
        </w:rPr>
        <w:t>Nesse estudo abordo</w:t>
      </w:r>
      <w:r w:rsidR="00AC3D3D">
        <w:rPr>
          <w:sz w:val="24"/>
          <w:szCs w:val="24"/>
        </w:rPr>
        <w:t>u-se</w:t>
      </w:r>
      <w:r>
        <w:rPr>
          <w:sz w:val="24"/>
          <w:szCs w:val="24"/>
        </w:rPr>
        <w:t xml:space="preserve"> c</w:t>
      </w:r>
      <w:r w:rsidR="00331B55">
        <w:rPr>
          <w:sz w:val="24"/>
          <w:szCs w:val="24"/>
        </w:rPr>
        <w:t xml:space="preserve">omo </w:t>
      </w:r>
      <w:r>
        <w:rPr>
          <w:sz w:val="24"/>
          <w:szCs w:val="24"/>
        </w:rPr>
        <w:t xml:space="preserve">as empresas de maior grau poluidor evidenciam seus passivos e contingências ambientais. Para atingir este objetivo, foram analisados os </w:t>
      </w:r>
      <w:r w:rsidR="005C6BB5">
        <w:rPr>
          <w:sz w:val="24"/>
          <w:szCs w:val="24"/>
        </w:rPr>
        <w:t xml:space="preserve">RS e DFP </w:t>
      </w:r>
      <w:r>
        <w:rPr>
          <w:sz w:val="24"/>
          <w:szCs w:val="24"/>
        </w:rPr>
        <w:t xml:space="preserve">das empresas que compõe o IBrX-100, classificadas conforme a Lei 10.165 como as de maior </w:t>
      </w:r>
      <w:r w:rsidR="005C6BB5">
        <w:rPr>
          <w:sz w:val="24"/>
          <w:szCs w:val="24"/>
        </w:rPr>
        <w:t>potencial</w:t>
      </w:r>
      <w:r>
        <w:rPr>
          <w:sz w:val="24"/>
          <w:szCs w:val="24"/>
        </w:rPr>
        <w:t xml:space="preserve"> de poluição, referentes ao período de 2005 a 2016. </w:t>
      </w:r>
    </w:p>
    <w:p w14:paraId="705FED15" w14:textId="5D241347" w:rsidR="006773B3" w:rsidRDefault="006773B3">
      <w:pPr>
        <w:ind w:firstLine="709"/>
        <w:jc w:val="both"/>
        <w:rPr>
          <w:sz w:val="24"/>
          <w:szCs w:val="24"/>
        </w:rPr>
      </w:pPr>
      <w:r>
        <w:rPr>
          <w:sz w:val="24"/>
          <w:szCs w:val="24"/>
        </w:rPr>
        <w:t xml:space="preserve">Com a análise de conteúdo e feita a classificação das informações encontradas em </w:t>
      </w:r>
      <w:r w:rsidR="005C7283">
        <w:rPr>
          <w:sz w:val="24"/>
          <w:szCs w:val="24"/>
        </w:rPr>
        <w:t>q</w:t>
      </w:r>
      <w:r>
        <w:rPr>
          <w:sz w:val="24"/>
          <w:szCs w:val="24"/>
        </w:rPr>
        <w:t>ualitativa</w:t>
      </w:r>
      <w:r w:rsidR="005C7283">
        <w:rPr>
          <w:sz w:val="24"/>
          <w:szCs w:val="24"/>
        </w:rPr>
        <w:t xml:space="preserve"> (QL)</w:t>
      </w:r>
      <w:r>
        <w:rPr>
          <w:sz w:val="24"/>
          <w:szCs w:val="24"/>
        </w:rPr>
        <w:t xml:space="preserve">, </w:t>
      </w:r>
      <w:r w:rsidR="005C7283">
        <w:rPr>
          <w:sz w:val="24"/>
          <w:szCs w:val="24"/>
        </w:rPr>
        <w:t>q</w:t>
      </w:r>
      <w:r>
        <w:rPr>
          <w:sz w:val="24"/>
          <w:szCs w:val="24"/>
        </w:rPr>
        <w:t>uantitativa</w:t>
      </w:r>
      <w:r w:rsidR="005C7283">
        <w:rPr>
          <w:sz w:val="24"/>
          <w:szCs w:val="24"/>
        </w:rPr>
        <w:t xml:space="preserve"> financeira (QTF)</w:t>
      </w:r>
      <w:r>
        <w:rPr>
          <w:sz w:val="24"/>
          <w:szCs w:val="24"/>
        </w:rPr>
        <w:t xml:space="preserve">, e </w:t>
      </w:r>
      <w:r w:rsidR="005C7283">
        <w:rPr>
          <w:sz w:val="24"/>
          <w:szCs w:val="24"/>
        </w:rPr>
        <w:t>q</w:t>
      </w:r>
      <w:r>
        <w:rPr>
          <w:sz w:val="24"/>
          <w:szCs w:val="24"/>
        </w:rPr>
        <w:t xml:space="preserve">uantitativa </w:t>
      </w:r>
      <w:r w:rsidR="005C7283">
        <w:rPr>
          <w:sz w:val="24"/>
          <w:szCs w:val="24"/>
        </w:rPr>
        <w:t>n</w:t>
      </w:r>
      <w:r>
        <w:rPr>
          <w:sz w:val="24"/>
          <w:szCs w:val="24"/>
        </w:rPr>
        <w:t xml:space="preserve">ão </w:t>
      </w:r>
      <w:r w:rsidR="005C7283">
        <w:rPr>
          <w:sz w:val="24"/>
          <w:szCs w:val="24"/>
        </w:rPr>
        <w:t>f</w:t>
      </w:r>
      <w:r>
        <w:rPr>
          <w:sz w:val="24"/>
          <w:szCs w:val="24"/>
        </w:rPr>
        <w:t>inanceira</w:t>
      </w:r>
      <w:r w:rsidR="005C7283">
        <w:rPr>
          <w:sz w:val="24"/>
          <w:szCs w:val="24"/>
        </w:rPr>
        <w:t xml:space="preserve"> (QTNF)</w:t>
      </w:r>
      <w:r>
        <w:rPr>
          <w:sz w:val="24"/>
          <w:szCs w:val="24"/>
        </w:rPr>
        <w:t xml:space="preserve">, os resultados demonstraram 230 </w:t>
      </w:r>
      <w:r w:rsidR="005C6BB5">
        <w:rPr>
          <w:sz w:val="24"/>
          <w:szCs w:val="24"/>
        </w:rPr>
        <w:t>informações ambientais</w:t>
      </w:r>
      <w:r>
        <w:rPr>
          <w:sz w:val="24"/>
          <w:szCs w:val="24"/>
        </w:rPr>
        <w:t xml:space="preserve">, sendo 153 nos </w:t>
      </w:r>
      <w:r w:rsidR="005C6BB5">
        <w:rPr>
          <w:sz w:val="24"/>
          <w:szCs w:val="24"/>
        </w:rPr>
        <w:t>RS</w:t>
      </w:r>
      <w:r>
        <w:rPr>
          <w:sz w:val="24"/>
          <w:szCs w:val="24"/>
        </w:rPr>
        <w:t>, apontando um aumento dessas sentenças no período compreendido entre 2012 a 2016.</w:t>
      </w:r>
    </w:p>
    <w:p w14:paraId="2B173CBC" w14:textId="4079442F" w:rsidR="006773B3" w:rsidRDefault="006773B3">
      <w:pPr>
        <w:ind w:firstLine="709"/>
        <w:jc w:val="both"/>
        <w:rPr>
          <w:sz w:val="24"/>
          <w:szCs w:val="24"/>
        </w:rPr>
      </w:pPr>
      <w:r>
        <w:rPr>
          <w:sz w:val="24"/>
          <w:szCs w:val="24"/>
        </w:rPr>
        <w:t xml:space="preserve">De acordo com a classificação proposta, percebeu-se que 53,04% das informações são de cunho </w:t>
      </w:r>
      <w:r w:rsidR="005C7283">
        <w:rPr>
          <w:sz w:val="24"/>
          <w:szCs w:val="24"/>
        </w:rPr>
        <w:t>q</w:t>
      </w:r>
      <w:r>
        <w:rPr>
          <w:sz w:val="24"/>
          <w:szCs w:val="24"/>
        </w:rPr>
        <w:t xml:space="preserve">ualitativo (QL), sendo a mais encontrada em todas as empresas da amostra. Em seguida, figuram as informações </w:t>
      </w:r>
      <w:r w:rsidR="005C7283">
        <w:rPr>
          <w:sz w:val="24"/>
          <w:szCs w:val="24"/>
        </w:rPr>
        <w:t>q</w:t>
      </w:r>
      <w:r>
        <w:rPr>
          <w:sz w:val="24"/>
          <w:szCs w:val="24"/>
        </w:rPr>
        <w:t>uantitativas</w:t>
      </w:r>
      <w:r w:rsidR="005C7283">
        <w:rPr>
          <w:sz w:val="24"/>
          <w:szCs w:val="24"/>
        </w:rPr>
        <w:t xml:space="preserve"> financeiras (QTF)</w:t>
      </w:r>
      <w:r>
        <w:rPr>
          <w:sz w:val="24"/>
          <w:szCs w:val="24"/>
        </w:rPr>
        <w:t xml:space="preserve"> representam 33,04% e, por fim, as </w:t>
      </w:r>
      <w:r w:rsidR="005C7283">
        <w:rPr>
          <w:sz w:val="24"/>
          <w:szCs w:val="24"/>
        </w:rPr>
        <w:t>q</w:t>
      </w:r>
      <w:r>
        <w:rPr>
          <w:sz w:val="24"/>
          <w:szCs w:val="24"/>
        </w:rPr>
        <w:t xml:space="preserve">uantitativas </w:t>
      </w:r>
      <w:r w:rsidR="005C7283">
        <w:rPr>
          <w:sz w:val="24"/>
          <w:szCs w:val="24"/>
        </w:rPr>
        <w:t>n</w:t>
      </w:r>
      <w:r>
        <w:rPr>
          <w:sz w:val="24"/>
          <w:szCs w:val="24"/>
        </w:rPr>
        <w:t xml:space="preserve">ão </w:t>
      </w:r>
      <w:r w:rsidR="005C7283">
        <w:rPr>
          <w:sz w:val="24"/>
          <w:szCs w:val="24"/>
        </w:rPr>
        <w:t>f</w:t>
      </w:r>
      <w:r>
        <w:rPr>
          <w:sz w:val="24"/>
          <w:szCs w:val="24"/>
        </w:rPr>
        <w:t>inanceiras</w:t>
      </w:r>
      <w:r w:rsidR="005C7283">
        <w:rPr>
          <w:sz w:val="24"/>
          <w:szCs w:val="24"/>
        </w:rPr>
        <w:t xml:space="preserve"> (QNF)</w:t>
      </w:r>
      <w:r>
        <w:rPr>
          <w:sz w:val="24"/>
          <w:szCs w:val="24"/>
        </w:rPr>
        <w:t xml:space="preserve"> perfazendo 13,01% do total.</w:t>
      </w:r>
    </w:p>
    <w:p w14:paraId="3581C6BF" w14:textId="3EDF1DD4" w:rsidR="006773B3" w:rsidRDefault="006773B3">
      <w:pPr>
        <w:ind w:firstLine="709"/>
        <w:jc w:val="both"/>
        <w:rPr>
          <w:sz w:val="24"/>
          <w:szCs w:val="24"/>
        </w:rPr>
      </w:pPr>
      <w:r>
        <w:rPr>
          <w:sz w:val="24"/>
          <w:szCs w:val="24"/>
        </w:rPr>
        <w:lastRenderedPageBreak/>
        <w:t>Nas DFP</w:t>
      </w:r>
      <w:r w:rsidR="005C6BB5">
        <w:rPr>
          <w:sz w:val="24"/>
          <w:szCs w:val="24"/>
        </w:rPr>
        <w:t xml:space="preserve"> </w:t>
      </w:r>
      <w:r>
        <w:rPr>
          <w:sz w:val="24"/>
          <w:szCs w:val="24"/>
        </w:rPr>
        <w:t>foram encontrad</w:t>
      </w:r>
      <w:r w:rsidR="005C6BB5">
        <w:rPr>
          <w:sz w:val="24"/>
          <w:szCs w:val="24"/>
        </w:rPr>
        <w:t>a</w:t>
      </w:r>
      <w:r>
        <w:rPr>
          <w:sz w:val="24"/>
          <w:szCs w:val="24"/>
        </w:rPr>
        <w:t xml:space="preserve">s 118 provisões, enquanto que os RS apresentam </w:t>
      </w:r>
      <w:r w:rsidR="005C6BB5">
        <w:rPr>
          <w:sz w:val="24"/>
          <w:szCs w:val="24"/>
        </w:rPr>
        <w:t>79, no</w:t>
      </w:r>
      <w:r>
        <w:rPr>
          <w:sz w:val="24"/>
          <w:szCs w:val="24"/>
        </w:rPr>
        <w:t xml:space="preserve"> decorrer dos anos estudados.</w:t>
      </w:r>
      <w:r w:rsidRPr="000B60D6">
        <w:rPr>
          <w:sz w:val="24"/>
          <w:szCs w:val="24"/>
        </w:rPr>
        <w:t xml:space="preserve"> </w:t>
      </w:r>
      <w:r>
        <w:rPr>
          <w:sz w:val="24"/>
          <w:szCs w:val="24"/>
        </w:rPr>
        <w:t xml:space="preserve">A partir destas informações, também pode-se inferir que que as provisões em sua grande maioria, apresentam apenas o </w:t>
      </w:r>
      <w:r w:rsidR="005C6BB5">
        <w:rPr>
          <w:sz w:val="24"/>
          <w:szCs w:val="24"/>
        </w:rPr>
        <w:t>índice</w:t>
      </w:r>
      <w:r>
        <w:rPr>
          <w:sz w:val="24"/>
          <w:szCs w:val="24"/>
        </w:rPr>
        <w:t xml:space="preserve"> 0.33, o que significa, que a provisão cont</w:t>
      </w:r>
      <w:r w:rsidR="005C6BB5">
        <w:rPr>
          <w:sz w:val="24"/>
          <w:szCs w:val="24"/>
        </w:rPr>
        <w:t>é</w:t>
      </w:r>
      <w:r>
        <w:rPr>
          <w:sz w:val="24"/>
          <w:szCs w:val="24"/>
        </w:rPr>
        <w:t xml:space="preserve">m apenas uma das informações, sendo 53 nas DFP, e 38 nos RS. Porém, ao se comparar as provisões que apresentam índice 1, ou seja, apresentam todas as informações, </w:t>
      </w:r>
      <w:r w:rsidR="005C6BB5">
        <w:rPr>
          <w:sz w:val="24"/>
          <w:szCs w:val="24"/>
        </w:rPr>
        <w:t xml:space="preserve">os RS contêm </w:t>
      </w:r>
      <w:r>
        <w:rPr>
          <w:sz w:val="24"/>
          <w:szCs w:val="24"/>
        </w:rPr>
        <w:t>41,77% de suas provisões, já as DFP evidenciam apenas 14,4% com este índice.</w:t>
      </w:r>
    </w:p>
    <w:p w14:paraId="4EB26E0B" w14:textId="45B976BC" w:rsidR="006773B3" w:rsidRDefault="006773B3">
      <w:pPr>
        <w:ind w:firstLine="709"/>
        <w:jc w:val="both"/>
        <w:rPr>
          <w:sz w:val="24"/>
          <w:szCs w:val="24"/>
        </w:rPr>
      </w:pPr>
      <w:r>
        <w:rPr>
          <w:sz w:val="24"/>
          <w:szCs w:val="24"/>
        </w:rPr>
        <w:t>Devido ao fato da não obrigatoriedade legal para publicação dos</w:t>
      </w:r>
      <w:r w:rsidR="005C6BB5">
        <w:rPr>
          <w:sz w:val="24"/>
          <w:szCs w:val="24"/>
        </w:rPr>
        <w:t xml:space="preserve"> RS </w:t>
      </w:r>
      <w:r>
        <w:rPr>
          <w:sz w:val="24"/>
          <w:szCs w:val="24"/>
        </w:rPr>
        <w:t xml:space="preserve">e nem de informações a respeito de passivos e contingências ambientais não se pode afirmar se as empresas estão tendo mais cuidado com as ações relativas ao meio ambiente, e se estão cumprindo com suas obrigações para preservação ambiental. Ainda assim, pode-se inferir que algumas empresas estão investindo em ações que possam minimizar os impactos negativos no meio ambiente, por meio de reflorestamentos, de sistemas de prevenção de queimadas, formas mais sustentáveis para a fabricação de plásticos, controle da liberação de gases poluentes, dentre outras. </w:t>
      </w:r>
    </w:p>
    <w:p w14:paraId="2E3481FA" w14:textId="3AB565B2" w:rsidR="006773B3" w:rsidRDefault="006773B3" w:rsidP="00C21348">
      <w:pPr>
        <w:ind w:firstLine="709"/>
        <w:jc w:val="both"/>
        <w:rPr>
          <w:sz w:val="24"/>
          <w:szCs w:val="24"/>
        </w:rPr>
      </w:pPr>
      <w:r>
        <w:rPr>
          <w:sz w:val="24"/>
          <w:szCs w:val="24"/>
        </w:rPr>
        <w:t xml:space="preserve">Mediante ao exposto, conclui-se que as provisões são em sua grande maioria encontradas nas DFP, porém de maneira incompleta, onde somente 14,4% evidenciam as 3 </w:t>
      </w:r>
      <w:r w:rsidR="005C6BB5">
        <w:rPr>
          <w:sz w:val="24"/>
          <w:szCs w:val="24"/>
        </w:rPr>
        <w:t>informações</w:t>
      </w:r>
      <w:r>
        <w:rPr>
          <w:sz w:val="24"/>
          <w:szCs w:val="24"/>
        </w:rPr>
        <w:t>. Já no que diz respeito aos RS, foi verificado meno</w:t>
      </w:r>
      <w:r w:rsidR="005C6BB5">
        <w:rPr>
          <w:sz w:val="24"/>
          <w:szCs w:val="24"/>
        </w:rPr>
        <w:t>r</w:t>
      </w:r>
      <w:r>
        <w:rPr>
          <w:sz w:val="24"/>
          <w:szCs w:val="24"/>
        </w:rPr>
        <w:t xml:space="preserve"> nível de evidenciação e maiores informações sobre provisões, sendo 41,77% </w:t>
      </w:r>
      <w:r w:rsidR="005C6BB5">
        <w:rPr>
          <w:sz w:val="24"/>
          <w:szCs w:val="24"/>
        </w:rPr>
        <w:t xml:space="preserve">apresentando </w:t>
      </w:r>
      <w:r>
        <w:rPr>
          <w:sz w:val="24"/>
          <w:szCs w:val="24"/>
        </w:rPr>
        <w:t xml:space="preserve">todas, </w:t>
      </w:r>
      <w:r w:rsidR="005C6BB5">
        <w:rPr>
          <w:sz w:val="24"/>
          <w:szCs w:val="24"/>
        </w:rPr>
        <w:t xml:space="preserve">com </w:t>
      </w:r>
      <w:r>
        <w:rPr>
          <w:sz w:val="24"/>
          <w:szCs w:val="24"/>
        </w:rPr>
        <w:t xml:space="preserve">índice 1. </w:t>
      </w:r>
    </w:p>
    <w:p w14:paraId="2F6B0F77" w14:textId="3532037A" w:rsidR="006773B3" w:rsidRDefault="006773B3" w:rsidP="00C21348">
      <w:pPr>
        <w:ind w:firstLine="709"/>
        <w:jc w:val="both"/>
        <w:rPr>
          <w:sz w:val="24"/>
          <w:szCs w:val="24"/>
        </w:rPr>
      </w:pPr>
      <w:r>
        <w:rPr>
          <w:sz w:val="24"/>
          <w:szCs w:val="24"/>
        </w:rPr>
        <w:t xml:space="preserve">Cabe enfatizar que o estudo apresenta limitações quanto a segmentação da amostra, que abrange apenas as empresas de setores com alto grau de poluição, assim não conseguindo comparar com outros setores. E por fim, recomenda-se a ampliação do estudo de provisões e contingencias ambientais para outros relatórios, para conseguir verificar outros meios </w:t>
      </w:r>
      <w:r w:rsidR="005C6BB5">
        <w:rPr>
          <w:sz w:val="24"/>
          <w:szCs w:val="24"/>
        </w:rPr>
        <w:t>que empresas</w:t>
      </w:r>
      <w:r>
        <w:rPr>
          <w:sz w:val="24"/>
          <w:szCs w:val="24"/>
        </w:rPr>
        <w:t xml:space="preserve"> tem de evidenciar seu passivos ambientais, e traçar uma comparação com demais setores de empresas com grau médio e baixo de poluição.</w:t>
      </w:r>
    </w:p>
    <w:p w14:paraId="393D122F" w14:textId="77777777" w:rsidR="006773B3" w:rsidRDefault="006773B3">
      <w:pPr>
        <w:ind w:firstLine="709"/>
        <w:jc w:val="both"/>
        <w:rPr>
          <w:sz w:val="24"/>
          <w:szCs w:val="24"/>
        </w:rPr>
      </w:pPr>
    </w:p>
    <w:p w14:paraId="76EF79A0" w14:textId="77777777" w:rsidR="006773B3" w:rsidRDefault="006773B3">
      <w:pPr>
        <w:rPr>
          <w:b/>
          <w:color w:val="222222"/>
          <w:sz w:val="24"/>
          <w:szCs w:val="24"/>
          <w:highlight w:val="white"/>
        </w:rPr>
      </w:pPr>
      <w:r>
        <w:rPr>
          <w:b/>
          <w:color w:val="222222"/>
          <w:sz w:val="24"/>
          <w:szCs w:val="24"/>
          <w:highlight w:val="white"/>
        </w:rPr>
        <w:t>Referências</w:t>
      </w:r>
    </w:p>
    <w:p w14:paraId="5C19E62F" w14:textId="77777777" w:rsidR="006773B3" w:rsidRDefault="006773B3">
      <w:pPr>
        <w:rPr>
          <w:b/>
          <w:color w:val="222222"/>
          <w:sz w:val="24"/>
          <w:szCs w:val="24"/>
          <w:highlight w:val="white"/>
        </w:rPr>
      </w:pPr>
    </w:p>
    <w:p w14:paraId="68A08B0A" w14:textId="77777777" w:rsidR="006773B3" w:rsidRPr="004E6BFD" w:rsidRDefault="006773B3" w:rsidP="00877878">
      <w:pPr>
        <w:rPr>
          <w:color w:val="auto"/>
          <w:sz w:val="24"/>
        </w:rPr>
      </w:pPr>
      <w:proofErr w:type="spellStart"/>
      <w:r w:rsidRPr="004E6BFD">
        <w:rPr>
          <w:color w:val="auto"/>
          <w:sz w:val="24"/>
        </w:rPr>
        <w:t>Bardin</w:t>
      </w:r>
      <w:proofErr w:type="spellEnd"/>
      <w:r w:rsidRPr="004E6BFD">
        <w:rPr>
          <w:color w:val="auto"/>
          <w:sz w:val="24"/>
        </w:rPr>
        <w:t>, L. (2011). Análise de Conteúdo 70 ed. São Paulo: Almedina Brasil.</w:t>
      </w:r>
    </w:p>
    <w:p w14:paraId="7202E309" w14:textId="77777777" w:rsidR="006773B3" w:rsidRPr="004E6BFD" w:rsidRDefault="006773B3" w:rsidP="00877878">
      <w:pPr>
        <w:rPr>
          <w:b/>
          <w:color w:val="auto"/>
          <w:sz w:val="24"/>
          <w:szCs w:val="24"/>
          <w:highlight w:val="white"/>
        </w:rPr>
      </w:pPr>
    </w:p>
    <w:p w14:paraId="73CCB964" w14:textId="77777777" w:rsidR="006773B3" w:rsidRPr="004E6BFD" w:rsidRDefault="006773B3" w:rsidP="00877878">
      <w:pPr>
        <w:rPr>
          <w:color w:val="auto"/>
          <w:sz w:val="24"/>
          <w:szCs w:val="24"/>
        </w:rPr>
      </w:pPr>
      <w:r w:rsidRPr="004E6BFD">
        <w:rPr>
          <w:color w:val="auto"/>
          <w:sz w:val="24"/>
          <w:szCs w:val="24"/>
        </w:rPr>
        <w:t xml:space="preserve">Bertoli, A. L., &amp; Ribeiro, M. D. S. (2006). Passivo ambiental: estudo de caso da Petróleo Brasileiro SA-Petrobrás. A repercussão ambiental nas demonstrações contábeis, em consequência dos acidentes ocorridos. </w:t>
      </w:r>
      <w:r w:rsidRPr="004E6BFD">
        <w:rPr>
          <w:i/>
          <w:color w:val="auto"/>
          <w:sz w:val="24"/>
          <w:szCs w:val="24"/>
        </w:rPr>
        <w:t>Revista de Administração Contemporânea</w:t>
      </w:r>
      <w:r w:rsidRPr="004E6BFD">
        <w:rPr>
          <w:color w:val="auto"/>
          <w:sz w:val="24"/>
          <w:szCs w:val="24"/>
        </w:rPr>
        <w:t>, 10(2), 117-136.</w:t>
      </w:r>
    </w:p>
    <w:p w14:paraId="0FF12B8A" w14:textId="77777777" w:rsidR="006773B3" w:rsidRDefault="006773B3" w:rsidP="00877878">
      <w:pPr>
        <w:rPr>
          <w:color w:val="222222"/>
          <w:sz w:val="24"/>
          <w:szCs w:val="24"/>
        </w:rPr>
      </w:pPr>
    </w:p>
    <w:p w14:paraId="32200A80" w14:textId="49A603EB" w:rsidR="006773B3" w:rsidRDefault="006773B3" w:rsidP="00877878">
      <w:pPr>
        <w:rPr>
          <w:sz w:val="24"/>
        </w:rPr>
      </w:pPr>
      <w:r>
        <w:rPr>
          <w:sz w:val="24"/>
        </w:rPr>
        <w:t>BRASIL</w:t>
      </w:r>
      <w:r w:rsidRPr="00E43C59">
        <w:rPr>
          <w:sz w:val="24"/>
        </w:rPr>
        <w:t>. Lei n. 10.165, de 27 de dezembro de 2000. Altera a Lei no 6.938, de 31 de agosto de 1981, que dispõe</w:t>
      </w:r>
      <w:r>
        <w:rPr>
          <w:sz w:val="24"/>
        </w:rPr>
        <w:t xml:space="preserve"> </w:t>
      </w:r>
      <w:r w:rsidRPr="00E43C59">
        <w:rPr>
          <w:sz w:val="24"/>
        </w:rPr>
        <w:t xml:space="preserve">sobre a Política Nacional do Meio Ambiente, seus fins e mecanismos de formulação e aplicação, e dá outras providências. Brasília, 27 de dezembro de 2000; 179o da Independência e 112o da República. Recuperado em: </w:t>
      </w:r>
      <w:r w:rsidR="005C7283" w:rsidRPr="004E6BFD">
        <w:rPr>
          <w:color w:val="auto"/>
          <w:sz w:val="24"/>
          <w:szCs w:val="24"/>
          <w:highlight w:val="white"/>
        </w:rPr>
        <w:t xml:space="preserve">Recuperado em </w:t>
      </w:r>
      <w:r w:rsidR="005C7283">
        <w:rPr>
          <w:color w:val="auto"/>
          <w:sz w:val="24"/>
          <w:szCs w:val="24"/>
          <w:highlight w:val="white"/>
        </w:rPr>
        <w:t>30</w:t>
      </w:r>
      <w:r w:rsidR="005C7283" w:rsidRPr="004E6BFD">
        <w:rPr>
          <w:color w:val="auto"/>
          <w:sz w:val="24"/>
          <w:szCs w:val="24"/>
          <w:highlight w:val="white"/>
        </w:rPr>
        <w:t xml:space="preserve"> de </w:t>
      </w:r>
      <w:r w:rsidR="005C7283">
        <w:rPr>
          <w:color w:val="auto"/>
          <w:sz w:val="24"/>
          <w:szCs w:val="24"/>
          <w:highlight w:val="white"/>
        </w:rPr>
        <w:t>outubro</w:t>
      </w:r>
      <w:r w:rsidR="005C7283" w:rsidRPr="004E6BFD">
        <w:rPr>
          <w:color w:val="auto"/>
          <w:sz w:val="24"/>
          <w:szCs w:val="24"/>
          <w:highlight w:val="white"/>
        </w:rPr>
        <w:t xml:space="preserve"> de </w:t>
      </w:r>
      <w:r w:rsidR="005C7283">
        <w:rPr>
          <w:color w:val="auto"/>
          <w:sz w:val="24"/>
          <w:szCs w:val="24"/>
          <w:highlight w:val="white"/>
        </w:rPr>
        <w:t>2</w:t>
      </w:r>
      <w:r w:rsidR="005C7283" w:rsidRPr="004E6BFD">
        <w:rPr>
          <w:color w:val="auto"/>
          <w:sz w:val="24"/>
          <w:szCs w:val="24"/>
          <w:highlight w:val="white"/>
        </w:rPr>
        <w:t>01</w:t>
      </w:r>
      <w:r w:rsidR="005C7283">
        <w:rPr>
          <w:color w:val="auto"/>
          <w:sz w:val="24"/>
          <w:szCs w:val="24"/>
          <w:highlight w:val="white"/>
        </w:rPr>
        <w:t xml:space="preserve">7 </w:t>
      </w:r>
      <w:hyperlink r:id="rId8" w:history="1">
        <w:r w:rsidRPr="002013E8">
          <w:rPr>
            <w:rStyle w:val="Hyperlink"/>
            <w:sz w:val="24"/>
          </w:rPr>
          <w:t>http://www.planalto.gov.br/ccivil_03/Leis/L10165.htm</w:t>
        </w:r>
      </w:hyperlink>
      <w:r>
        <w:rPr>
          <w:sz w:val="24"/>
        </w:rPr>
        <w:t xml:space="preserve">   </w:t>
      </w:r>
    </w:p>
    <w:p w14:paraId="123FA147" w14:textId="77777777" w:rsidR="006773B3" w:rsidRPr="004E6BFD" w:rsidRDefault="006773B3" w:rsidP="00877878">
      <w:pPr>
        <w:rPr>
          <w:color w:val="auto"/>
          <w:sz w:val="24"/>
        </w:rPr>
      </w:pPr>
    </w:p>
    <w:p w14:paraId="2E1ACCED" w14:textId="5BAC3A36" w:rsidR="006773B3" w:rsidRPr="004E6BFD" w:rsidRDefault="006773B3" w:rsidP="00DC098E">
      <w:pPr>
        <w:pStyle w:val="Corpodetexto"/>
        <w:spacing w:after="0"/>
        <w:ind w:firstLine="0"/>
        <w:rPr>
          <w:szCs w:val="26"/>
          <w:shd w:val="clear" w:color="auto" w:fill="FFFFFF"/>
        </w:rPr>
      </w:pPr>
      <w:r w:rsidRPr="004E6BFD">
        <w:rPr>
          <w:szCs w:val="26"/>
          <w:shd w:val="clear" w:color="auto" w:fill="FFFFFF"/>
        </w:rPr>
        <w:lastRenderedPageBreak/>
        <w:t>______</w:t>
      </w:r>
      <w:r w:rsidR="003C0FEB" w:rsidRPr="004E6BFD">
        <w:rPr>
          <w:szCs w:val="26"/>
          <w:shd w:val="clear" w:color="auto" w:fill="FFFFFF"/>
        </w:rPr>
        <w:t>_. INSTITUTO</w:t>
      </w:r>
      <w:r w:rsidRPr="004E6BFD">
        <w:rPr>
          <w:szCs w:val="26"/>
          <w:shd w:val="clear" w:color="auto" w:fill="FFFFFF"/>
        </w:rPr>
        <w:t xml:space="preserve"> BRASILEIRO DO MEIO AMBIENTE E DOS RECURSOS NATURAIS RENOVÁVEIS - IBAMA. </w:t>
      </w:r>
      <w:r w:rsidRPr="004E6BFD">
        <w:rPr>
          <w:rStyle w:val="Forte"/>
          <w:b w:val="0"/>
          <w:bCs/>
          <w:i/>
          <w:szCs w:val="26"/>
          <w:shd w:val="clear" w:color="auto" w:fill="FFFFFF"/>
        </w:rPr>
        <w:t>Laudo Técnico Preliminar:</w:t>
      </w:r>
      <w:r w:rsidRPr="004E6BFD">
        <w:rPr>
          <w:rStyle w:val="apple-converted-space"/>
          <w:b/>
          <w:bCs/>
          <w:szCs w:val="26"/>
          <w:shd w:val="clear" w:color="auto" w:fill="FFFFFF"/>
        </w:rPr>
        <w:t> </w:t>
      </w:r>
      <w:r w:rsidRPr="004E6BFD">
        <w:rPr>
          <w:szCs w:val="26"/>
          <w:shd w:val="clear" w:color="auto" w:fill="FFFFFF"/>
        </w:rPr>
        <w:t xml:space="preserve">impactos ambientais decorrentes do desastre envolvendo o rompimento da barragem de Fundão, em Mariana, Minas Gerais. Brasília: IBAMA, 2015. </w:t>
      </w:r>
    </w:p>
    <w:p w14:paraId="55347969" w14:textId="77777777" w:rsidR="006773B3" w:rsidRPr="004E6BFD" w:rsidRDefault="006773B3" w:rsidP="00877878">
      <w:pPr>
        <w:rPr>
          <w:color w:val="auto"/>
          <w:sz w:val="24"/>
          <w:szCs w:val="24"/>
          <w:highlight w:val="white"/>
        </w:rPr>
      </w:pPr>
    </w:p>
    <w:p w14:paraId="59229EC3" w14:textId="0D3127D6" w:rsidR="006773B3" w:rsidRPr="004E6BFD" w:rsidRDefault="006773B3" w:rsidP="00877878">
      <w:pPr>
        <w:rPr>
          <w:color w:val="auto"/>
          <w:sz w:val="24"/>
          <w:szCs w:val="24"/>
          <w:highlight w:val="white"/>
        </w:rPr>
      </w:pPr>
      <w:r w:rsidRPr="004E6BFD">
        <w:rPr>
          <w:color w:val="auto"/>
          <w:sz w:val="24"/>
          <w:szCs w:val="24"/>
        </w:rPr>
        <w:t>C</w:t>
      </w:r>
      <w:r w:rsidR="005C6BB5" w:rsidRPr="004E6BFD">
        <w:rPr>
          <w:color w:val="auto"/>
          <w:sz w:val="24"/>
          <w:szCs w:val="24"/>
        </w:rPr>
        <w:t xml:space="preserve">onceição </w:t>
      </w:r>
      <w:r w:rsidRPr="004E6BFD">
        <w:rPr>
          <w:i/>
          <w:color w:val="auto"/>
          <w:sz w:val="24"/>
          <w:szCs w:val="24"/>
        </w:rPr>
        <w:t xml:space="preserve">et al </w:t>
      </w:r>
      <w:r w:rsidRPr="004E6BFD">
        <w:rPr>
          <w:color w:val="auto"/>
          <w:sz w:val="24"/>
          <w:szCs w:val="24"/>
        </w:rPr>
        <w:t>(2014)</w:t>
      </w:r>
      <w:r w:rsidRPr="004E6BFD">
        <w:rPr>
          <w:i/>
          <w:color w:val="auto"/>
          <w:sz w:val="24"/>
          <w:szCs w:val="24"/>
        </w:rPr>
        <w:t xml:space="preserve">. </w:t>
      </w:r>
      <w:r w:rsidRPr="004E6BFD">
        <w:rPr>
          <w:color w:val="auto"/>
          <w:sz w:val="24"/>
          <w:szCs w:val="24"/>
        </w:rPr>
        <w:t xml:space="preserve">Contabilidade Ambiental. XI Simpósio de Excelência em Gestão e </w:t>
      </w:r>
      <w:r w:rsidRPr="004E6BFD">
        <w:rPr>
          <w:color w:val="auto"/>
          <w:sz w:val="24"/>
          <w:szCs w:val="24"/>
          <w:highlight w:val="white"/>
        </w:rPr>
        <w:t>Tecnologia, p. 4.</w:t>
      </w:r>
    </w:p>
    <w:p w14:paraId="20319514" w14:textId="77777777" w:rsidR="006773B3" w:rsidRPr="004E6BFD" w:rsidRDefault="006773B3" w:rsidP="00877878">
      <w:pPr>
        <w:rPr>
          <w:color w:val="auto"/>
          <w:sz w:val="24"/>
          <w:szCs w:val="24"/>
          <w:highlight w:val="white"/>
        </w:rPr>
      </w:pPr>
    </w:p>
    <w:p w14:paraId="2930EBDF" w14:textId="77777777" w:rsidR="006773B3" w:rsidRPr="004E6BFD" w:rsidRDefault="006773B3" w:rsidP="00877878">
      <w:pPr>
        <w:rPr>
          <w:color w:val="auto"/>
          <w:sz w:val="24"/>
          <w:szCs w:val="24"/>
        </w:rPr>
      </w:pPr>
      <w:proofErr w:type="spellStart"/>
      <w:r w:rsidRPr="004E6BFD">
        <w:rPr>
          <w:color w:val="auto"/>
          <w:sz w:val="24"/>
          <w:szCs w:val="24"/>
          <w:lang w:val="en-US"/>
        </w:rPr>
        <w:t>Caregnato</w:t>
      </w:r>
      <w:proofErr w:type="spellEnd"/>
      <w:r w:rsidRPr="004E6BFD">
        <w:rPr>
          <w:color w:val="auto"/>
          <w:sz w:val="24"/>
          <w:szCs w:val="24"/>
          <w:lang w:val="en-US"/>
        </w:rPr>
        <w:t xml:space="preserve">, R. C. A., &amp; </w:t>
      </w:r>
      <w:proofErr w:type="spellStart"/>
      <w:r w:rsidRPr="004E6BFD">
        <w:rPr>
          <w:color w:val="auto"/>
          <w:sz w:val="24"/>
          <w:szCs w:val="24"/>
          <w:lang w:val="en-US"/>
        </w:rPr>
        <w:t>Mutti</w:t>
      </w:r>
      <w:proofErr w:type="spellEnd"/>
      <w:r w:rsidRPr="004E6BFD">
        <w:rPr>
          <w:color w:val="auto"/>
          <w:sz w:val="24"/>
          <w:szCs w:val="24"/>
          <w:lang w:val="en-US"/>
        </w:rPr>
        <w:t xml:space="preserve">, R. (2006). </w:t>
      </w:r>
      <w:r w:rsidRPr="004E6BFD">
        <w:rPr>
          <w:color w:val="auto"/>
          <w:sz w:val="24"/>
          <w:szCs w:val="24"/>
        </w:rPr>
        <w:t xml:space="preserve">Pesquisa qualitativa: análise de discurso versus análise de conteúdo. </w:t>
      </w:r>
      <w:r w:rsidRPr="004E6BFD">
        <w:rPr>
          <w:i/>
          <w:color w:val="auto"/>
          <w:sz w:val="24"/>
          <w:szCs w:val="24"/>
        </w:rPr>
        <w:t xml:space="preserve">Texto contexto </w:t>
      </w:r>
      <w:proofErr w:type="spellStart"/>
      <w:r w:rsidRPr="004E6BFD">
        <w:rPr>
          <w:i/>
          <w:color w:val="auto"/>
          <w:sz w:val="24"/>
          <w:szCs w:val="24"/>
        </w:rPr>
        <w:t>enferm</w:t>
      </w:r>
      <w:proofErr w:type="spellEnd"/>
      <w:r w:rsidRPr="004E6BFD">
        <w:rPr>
          <w:color w:val="auto"/>
          <w:sz w:val="24"/>
          <w:szCs w:val="24"/>
        </w:rPr>
        <w:t>, 15(4), 679-84.</w:t>
      </w:r>
    </w:p>
    <w:p w14:paraId="54D5880D" w14:textId="77777777" w:rsidR="006773B3" w:rsidRPr="004E6BFD" w:rsidRDefault="006773B3" w:rsidP="00877878">
      <w:pPr>
        <w:rPr>
          <w:color w:val="auto"/>
          <w:sz w:val="24"/>
          <w:szCs w:val="24"/>
          <w:highlight w:val="white"/>
        </w:rPr>
      </w:pPr>
    </w:p>
    <w:p w14:paraId="1ED143D9" w14:textId="77777777" w:rsidR="006773B3" w:rsidRPr="004E6BFD" w:rsidRDefault="006773B3" w:rsidP="00877878">
      <w:pPr>
        <w:rPr>
          <w:color w:val="auto"/>
          <w:sz w:val="24"/>
          <w:szCs w:val="24"/>
        </w:rPr>
      </w:pPr>
      <w:r w:rsidRPr="004E6BFD">
        <w:rPr>
          <w:color w:val="auto"/>
          <w:sz w:val="24"/>
          <w:szCs w:val="24"/>
        </w:rPr>
        <w:t xml:space="preserve">Correa, J. C., Gonçalves, M. N., Sanches, S. L. R., &amp; de Oliveira Moraes, R. (2018). </w:t>
      </w:r>
      <w:proofErr w:type="spellStart"/>
      <w:r w:rsidRPr="004E6BFD">
        <w:rPr>
          <w:color w:val="auto"/>
          <w:sz w:val="24"/>
          <w:szCs w:val="24"/>
        </w:rPr>
        <w:t>Disclosure</w:t>
      </w:r>
      <w:proofErr w:type="spellEnd"/>
      <w:r w:rsidRPr="004E6BFD">
        <w:rPr>
          <w:color w:val="auto"/>
          <w:sz w:val="24"/>
          <w:szCs w:val="24"/>
        </w:rPr>
        <w:t xml:space="preserve"> socioambiental de empresas norte-americanas listadas na NYSE: Características e os possíveis fatores para a divulgação voluntária. </w:t>
      </w:r>
      <w:r w:rsidRPr="004E6BFD">
        <w:rPr>
          <w:i/>
          <w:color w:val="auto"/>
          <w:sz w:val="24"/>
          <w:szCs w:val="24"/>
        </w:rPr>
        <w:t>Contabilidade Vista &amp; Revista</w:t>
      </w:r>
      <w:r w:rsidRPr="004E6BFD">
        <w:rPr>
          <w:color w:val="auto"/>
          <w:sz w:val="24"/>
          <w:szCs w:val="24"/>
        </w:rPr>
        <w:t>, 28(2), 53-77.</w:t>
      </w:r>
    </w:p>
    <w:p w14:paraId="5D24AF9A" w14:textId="77777777" w:rsidR="006773B3" w:rsidRPr="004E6BFD" w:rsidRDefault="006773B3" w:rsidP="00877878">
      <w:pPr>
        <w:rPr>
          <w:color w:val="auto"/>
          <w:sz w:val="24"/>
          <w:szCs w:val="24"/>
          <w:highlight w:val="white"/>
        </w:rPr>
      </w:pPr>
    </w:p>
    <w:p w14:paraId="637183A1" w14:textId="77777777" w:rsidR="006773B3" w:rsidRPr="004E6BFD" w:rsidRDefault="006773B3" w:rsidP="00877878">
      <w:pPr>
        <w:rPr>
          <w:color w:val="auto"/>
          <w:sz w:val="24"/>
          <w:szCs w:val="24"/>
        </w:rPr>
      </w:pPr>
      <w:r w:rsidRPr="004E6BFD">
        <w:rPr>
          <w:color w:val="auto"/>
          <w:sz w:val="24"/>
          <w:szCs w:val="24"/>
        </w:rPr>
        <w:t xml:space="preserve">Costa, I. L. D. S., Correia, T. D. S., Machado, M. R., &amp; Lucena, W. G. L. (2017). </w:t>
      </w:r>
      <w:proofErr w:type="spellStart"/>
      <w:r w:rsidRPr="004E6BFD">
        <w:rPr>
          <w:color w:val="auto"/>
          <w:sz w:val="24"/>
          <w:szCs w:val="24"/>
        </w:rPr>
        <w:t>Disclosure</w:t>
      </w:r>
      <w:proofErr w:type="spellEnd"/>
      <w:r w:rsidRPr="004E6BFD">
        <w:rPr>
          <w:color w:val="auto"/>
          <w:sz w:val="24"/>
          <w:szCs w:val="24"/>
        </w:rPr>
        <w:t xml:space="preserve"> dos Passivos Contingentes: Análise Comparativa entre Empresas de Mercado Aberto no Brasil e na Austrália. </w:t>
      </w:r>
      <w:r w:rsidRPr="004E6BFD">
        <w:rPr>
          <w:i/>
          <w:color w:val="auto"/>
          <w:sz w:val="24"/>
          <w:szCs w:val="24"/>
        </w:rPr>
        <w:t>Pensar Contábil</w:t>
      </w:r>
      <w:r w:rsidRPr="004E6BFD">
        <w:rPr>
          <w:color w:val="auto"/>
          <w:sz w:val="24"/>
          <w:szCs w:val="24"/>
        </w:rPr>
        <w:t>, 19(69).</w:t>
      </w:r>
    </w:p>
    <w:p w14:paraId="14D3ABC8" w14:textId="77777777" w:rsidR="006773B3" w:rsidRPr="004E6BFD" w:rsidRDefault="006773B3" w:rsidP="00877878">
      <w:pPr>
        <w:rPr>
          <w:color w:val="auto"/>
          <w:sz w:val="24"/>
          <w:szCs w:val="24"/>
        </w:rPr>
      </w:pPr>
    </w:p>
    <w:p w14:paraId="1771C78A" w14:textId="77777777" w:rsidR="006773B3" w:rsidRPr="004E6BFD" w:rsidRDefault="006773B3" w:rsidP="00877878">
      <w:pPr>
        <w:rPr>
          <w:color w:val="auto"/>
          <w:sz w:val="24"/>
          <w:szCs w:val="24"/>
        </w:rPr>
      </w:pPr>
      <w:r w:rsidRPr="004E6BFD">
        <w:rPr>
          <w:color w:val="auto"/>
          <w:sz w:val="24"/>
          <w:szCs w:val="24"/>
        </w:rPr>
        <w:t xml:space="preserve">Dantas, J. A., </w:t>
      </w:r>
      <w:proofErr w:type="spellStart"/>
      <w:r w:rsidRPr="004E6BFD">
        <w:rPr>
          <w:color w:val="auto"/>
          <w:sz w:val="24"/>
          <w:szCs w:val="24"/>
        </w:rPr>
        <w:t>Zendersky</w:t>
      </w:r>
      <w:proofErr w:type="spellEnd"/>
      <w:r w:rsidRPr="004E6BFD">
        <w:rPr>
          <w:color w:val="auto"/>
          <w:sz w:val="24"/>
          <w:szCs w:val="24"/>
        </w:rPr>
        <w:t xml:space="preserve">, H. C., dos Santos, S. C., &amp; </w:t>
      </w:r>
      <w:proofErr w:type="spellStart"/>
      <w:r w:rsidRPr="004E6BFD">
        <w:rPr>
          <w:color w:val="auto"/>
          <w:sz w:val="24"/>
          <w:szCs w:val="24"/>
        </w:rPr>
        <w:t>Niyama</w:t>
      </w:r>
      <w:proofErr w:type="spellEnd"/>
      <w:r w:rsidRPr="004E6BFD">
        <w:rPr>
          <w:color w:val="auto"/>
          <w:sz w:val="24"/>
          <w:szCs w:val="24"/>
        </w:rPr>
        <w:t xml:space="preserve">, J. K. (2008). A dualidade entre os benefícios do </w:t>
      </w:r>
      <w:proofErr w:type="spellStart"/>
      <w:r w:rsidRPr="004E6BFD">
        <w:rPr>
          <w:color w:val="auto"/>
          <w:sz w:val="24"/>
          <w:szCs w:val="24"/>
        </w:rPr>
        <w:t>disclosure</w:t>
      </w:r>
      <w:proofErr w:type="spellEnd"/>
      <w:r w:rsidRPr="004E6BFD">
        <w:rPr>
          <w:color w:val="auto"/>
          <w:sz w:val="24"/>
          <w:szCs w:val="24"/>
        </w:rPr>
        <w:t xml:space="preserve"> e a relutância das organizações em aumentar o grau de evidenciação. </w:t>
      </w:r>
      <w:r w:rsidRPr="004E6BFD">
        <w:rPr>
          <w:i/>
          <w:color w:val="auto"/>
          <w:sz w:val="24"/>
          <w:szCs w:val="24"/>
        </w:rPr>
        <w:t>Revista Economia &amp; Gestão</w:t>
      </w:r>
      <w:r w:rsidRPr="004E6BFD">
        <w:rPr>
          <w:color w:val="auto"/>
          <w:sz w:val="24"/>
          <w:szCs w:val="24"/>
        </w:rPr>
        <w:t>, 5(11), 56-76.</w:t>
      </w:r>
    </w:p>
    <w:p w14:paraId="0300AF3C" w14:textId="77777777" w:rsidR="006773B3" w:rsidRPr="004E6BFD" w:rsidRDefault="006773B3" w:rsidP="00877878">
      <w:pPr>
        <w:rPr>
          <w:color w:val="auto"/>
          <w:sz w:val="24"/>
          <w:szCs w:val="24"/>
        </w:rPr>
      </w:pPr>
    </w:p>
    <w:p w14:paraId="4C4F49D1" w14:textId="77777777" w:rsidR="006773B3" w:rsidRPr="004E6BFD" w:rsidRDefault="006773B3" w:rsidP="00877878">
      <w:pPr>
        <w:rPr>
          <w:color w:val="auto"/>
          <w:sz w:val="24"/>
          <w:szCs w:val="24"/>
        </w:rPr>
      </w:pPr>
      <w:r w:rsidRPr="004E6BFD">
        <w:rPr>
          <w:color w:val="auto"/>
          <w:sz w:val="24"/>
          <w:szCs w:val="24"/>
        </w:rPr>
        <w:t xml:space="preserve">de </w:t>
      </w:r>
      <w:proofErr w:type="spellStart"/>
      <w:r w:rsidRPr="004E6BFD">
        <w:rPr>
          <w:color w:val="auto"/>
          <w:sz w:val="24"/>
          <w:szCs w:val="24"/>
        </w:rPr>
        <w:t>Belmont</w:t>
      </w:r>
      <w:proofErr w:type="spellEnd"/>
      <w:r w:rsidRPr="004E6BFD">
        <w:rPr>
          <w:color w:val="auto"/>
          <w:sz w:val="24"/>
          <w:szCs w:val="24"/>
        </w:rPr>
        <w:t xml:space="preserve"> Fonseca, F. A. P., de Almeida, K. K. N., &amp; de França, R. D. (2015). Evidenciação de Informações Ambientais em Empresas do Segmento de Utilidade Pública Listadas na BM&amp;FBOVESPA: Um Estudo sobre a Evolução na Divulgação dessas Informações. </w:t>
      </w:r>
      <w:r w:rsidRPr="004E6BFD">
        <w:rPr>
          <w:i/>
          <w:color w:val="auto"/>
          <w:sz w:val="24"/>
          <w:szCs w:val="24"/>
        </w:rPr>
        <w:t>Revista Reunir</w:t>
      </w:r>
      <w:r w:rsidRPr="004E6BFD">
        <w:rPr>
          <w:color w:val="auto"/>
          <w:sz w:val="24"/>
          <w:szCs w:val="24"/>
        </w:rPr>
        <w:t>, 2(3), 51-68.</w:t>
      </w:r>
    </w:p>
    <w:p w14:paraId="18CFB989" w14:textId="77777777" w:rsidR="006773B3" w:rsidRPr="004E6BFD" w:rsidRDefault="006773B3" w:rsidP="00877878">
      <w:pPr>
        <w:rPr>
          <w:color w:val="auto"/>
          <w:sz w:val="24"/>
          <w:szCs w:val="24"/>
        </w:rPr>
      </w:pPr>
    </w:p>
    <w:p w14:paraId="740D88BE" w14:textId="77777777" w:rsidR="006773B3" w:rsidRPr="004E6BFD" w:rsidRDefault="006773B3" w:rsidP="00877878">
      <w:pPr>
        <w:rPr>
          <w:color w:val="auto"/>
          <w:sz w:val="24"/>
        </w:rPr>
      </w:pPr>
      <w:r w:rsidRPr="004E6BFD">
        <w:rPr>
          <w:color w:val="auto"/>
          <w:sz w:val="24"/>
        </w:rPr>
        <w:t xml:space="preserve">de Menezes, B. S., Arruda, A. T. F. F. P., de Aquino Cabral, A. C., dos Santos, S. M., &amp; Pessoa, M. N. M. (2018). Evidenciação de Passivos Ambientais: um estudo com empresas integrantes do ISE. </w:t>
      </w:r>
      <w:r w:rsidRPr="004E6BFD">
        <w:rPr>
          <w:i/>
          <w:color w:val="auto"/>
          <w:sz w:val="24"/>
        </w:rPr>
        <w:t>Revista UNEMAT de Contabilidade</w:t>
      </w:r>
      <w:r w:rsidRPr="004E6BFD">
        <w:rPr>
          <w:color w:val="auto"/>
          <w:sz w:val="24"/>
        </w:rPr>
        <w:t>, 6(12).</w:t>
      </w:r>
    </w:p>
    <w:p w14:paraId="4643E845" w14:textId="77777777" w:rsidR="006773B3" w:rsidRPr="004E6BFD" w:rsidRDefault="006773B3" w:rsidP="00877878">
      <w:pPr>
        <w:rPr>
          <w:color w:val="auto"/>
          <w:sz w:val="24"/>
          <w:szCs w:val="24"/>
          <w:highlight w:val="white"/>
        </w:rPr>
      </w:pPr>
    </w:p>
    <w:p w14:paraId="363273A9" w14:textId="77777777" w:rsidR="006773B3" w:rsidRDefault="006773B3" w:rsidP="00877878">
      <w:pPr>
        <w:rPr>
          <w:color w:val="222222"/>
          <w:sz w:val="24"/>
          <w:szCs w:val="24"/>
        </w:rPr>
      </w:pPr>
      <w:proofErr w:type="spellStart"/>
      <w:r w:rsidRPr="004E6BFD">
        <w:rPr>
          <w:color w:val="auto"/>
          <w:sz w:val="24"/>
          <w:szCs w:val="24"/>
        </w:rPr>
        <w:t>Mussoi</w:t>
      </w:r>
      <w:proofErr w:type="spellEnd"/>
      <w:r w:rsidRPr="004E6BFD">
        <w:rPr>
          <w:color w:val="auto"/>
          <w:sz w:val="24"/>
          <w:szCs w:val="24"/>
        </w:rPr>
        <w:t xml:space="preserve">, A., &amp; Van </w:t>
      </w:r>
      <w:proofErr w:type="spellStart"/>
      <w:r w:rsidRPr="004E6BFD">
        <w:rPr>
          <w:color w:val="auto"/>
          <w:sz w:val="24"/>
          <w:szCs w:val="24"/>
        </w:rPr>
        <w:t>Bellen</w:t>
      </w:r>
      <w:proofErr w:type="spellEnd"/>
      <w:r w:rsidRPr="004E6BFD">
        <w:rPr>
          <w:color w:val="auto"/>
          <w:sz w:val="24"/>
          <w:szCs w:val="24"/>
        </w:rPr>
        <w:t xml:space="preserve">, H. M. (2010). Evidenciação ambiental: uma comparação do nível de evidenciação entre os relatórios de empresas brasileiras. </w:t>
      </w:r>
      <w:r w:rsidRPr="004E6BFD">
        <w:rPr>
          <w:i/>
          <w:color w:val="auto"/>
          <w:sz w:val="24"/>
          <w:szCs w:val="24"/>
        </w:rPr>
        <w:t xml:space="preserve">Revista de Contabilidade e </w:t>
      </w:r>
      <w:r w:rsidRPr="005C6BB5">
        <w:rPr>
          <w:i/>
          <w:color w:val="222222"/>
          <w:sz w:val="24"/>
          <w:szCs w:val="24"/>
        </w:rPr>
        <w:t>Organizações</w:t>
      </w:r>
      <w:r w:rsidRPr="007646DD">
        <w:rPr>
          <w:color w:val="222222"/>
          <w:sz w:val="24"/>
          <w:szCs w:val="24"/>
        </w:rPr>
        <w:t>, 4(9), 55-78.</w:t>
      </w:r>
    </w:p>
    <w:p w14:paraId="488BF701" w14:textId="77777777" w:rsidR="006773B3" w:rsidRDefault="006773B3" w:rsidP="00877878">
      <w:pPr>
        <w:rPr>
          <w:color w:val="222222"/>
          <w:sz w:val="24"/>
          <w:szCs w:val="24"/>
          <w:highlight w:val="white"/>
        </w:rPr>
      </w:pPr>
    </w:p>
    <w:p w14:paraId="3C8FCEAF" w14:textId="77777777" w:rsidR="006773B3" w:rsidRDefault="006773B3" w:rsidP="00877878">
      <w:pPr>
        <w:rPr>
          <w:color w:val="222222"/>
          <w:sz w:val="24"/>
          <w:szCs w:val="24"/>
          <w:highlight w:val="white"/>
        </w:rPr>
      </w:pPr>
      <w:proofErr w:type="spellStart"/>
      <w:r w:rsidRPr="004E6BFD">
        <w:rPr>
          <w:color w:val="auto"/>
          <w:sz w:val="24"/>
          <w:szCs w:val="24"/>
          <w:highlight w:val="white"/>
        </w:rPr>
        <w:t>Ligteringen</w:t>
      </w:r>
      <w:proofErr w:type="spellEnd"/>
      <w:r w:rsidRPr="004E6BFD">
        <w:rPr>
          <w:color w:val="auto"/>
          <w:sz w:val="24"/>
          <w:szCs w:val="24"/>
          <w:highlight w:val="white"/>
        </w:rPr>
        <w:t xml:space="preserve"> (2012). Qual a importância dos relatórios de sustentabilidade. Por, BITARELLO, Maria. Revista Exame. Recuperado em 30 de outubro de 2017 de </w:t>
      </w:r>
      <w:hyperlink r:id="rId9">
        <w:r>
          <w:rPr>
            <w:color w:val="0000FF"/>
            <w:sz w:val="24"/>
            <w:szCs w:val="24"/>
            <w:highlight w:val="white"/>
            <w:u w:val="single"/>
          </w:rPr>
          <w:t>https://exame.abril.com.br/mundo/qual-e-a-importancia-dos-relatorios-de-sustentabilidade/</w:t>
        </w:r>
      </w:hyperlink>
    </w:p>
    <w:p w14:paraId="73F8E9EF" w14:textId="77777777" w:rsidR="006773B3" w:rsidRDefault="006773B3" w:rsidP="00877878">
      <w:pPr>
        <w:rPr>
          <w:sz w:val="24"/>
          <w:szCs w:val="24"/>
        </w:rPr>
      </w:pPr>
    </w:p>
    <w:p w14:paraId="2F337847" w14:textId="77777777" w:rsidR="006773B3" w:rsidRPr="004E6BFD" w:rsidRDefault="006773B3" w:rsidP="00877878">
      <w:pPr>
        <w:rPr>
          <w:color w:val="auto"/>
          <w:sz w:val="24"/>
          <w:shd w:val="clear" w:color="auto" w:fill="FFFFFF"/>
        </w:rPr>
      </w:pPr>
      <w:r w:rsidRPr="004E6BFD">
        <w:rPr>
          <w:color w:val="auto"/>
          <w:sz w:val="24"/>
          <w:shd w:val="clear" w:color="auto" w:fill="FFFFFF"/>
        </w:rPr>
        <w:t>Hellmann Pereira, D., Ferreira, L. F., Melo de Souza, M., &amp; Minatti Ferreira, D. D. (2014). Matriz de aspectos e impactos ambientais como ferramenta de evidenciação de contingências ambientais. </w:t>
      </w:r>
      <w:r w:rsidRPr="004E6BFD">
        <w:rPr>
          <w:i/>
          <w:iCs/>
          <w:color w:val="auto"/>
          <w:sz w:val="24"/>
          <w:shd w:val="clear" w:color="auto" w:fill="FFFFFF"/>
        </w:rPr>
        <w:t>Revista de Gestão Ambiental e Sustentabilidade</w:t>
      </w:r>
      <w:r w:rsidRPr="004E6BFD">
        <w:rPr>
          <w:color w:val="auto"/>
          <w:sz w:val="24"/>
          <w:shd w:val="clear" w:color="auto" w:fill="FFFFFF"/>
        </w:rPr>
        <w:t>, </w:t>
      </w:r>
      <w:r w:rsidRPr="004E6BFD">
        <w:rPr>
          <w:i/>
          <w:iCs/>
          <w:color w:val="auto"/>
          <w:sz w:val="24"/>
          <w:shd w:val="clear" w:color="auto" w:fill="FFFFFF"/>
        </w:rPr>
        <w:t>3</w:t>
      </w:r>
      <w:r w:rsidRPr="004E6BFD">
        <w:rPr>
          <w:color w:val="auto"/>
          <w:sz w:val="24"/>
          <w:shd w:val="clear" w:color="auto" w:fill="FFFFFF"/>
        </w:rPr>
        <w:t>(2).</w:t>
      </w:r>
    </w:p>
    <w:p w14:paraId="6499F868" w14:textId="77777777" w:rsidR="006773B3" w:rsidRPr="004E6BFD" w:rsidRDefault="006773B3" w:rsidP="00877878">
      <w:pPr>
        <w:rPr>
          <w:color w:val="auto"/>
          <w:sz w:val="24"/>
          <w:shd w:val="clear" w:color="auto" w:fill="FFFFFF"/>
        </w:rPr>
      </w:pPr>
    </w:p>
    <w:p w14:paraId="01DBABF7" w14:textId="77777777" w:rsidR="006773B3" w:rsidRPr="004E6BFD" w:rsidRDefault="006773B3" w:rsidP="00877878">
      <w:pPr>
        <w:rPr>
          <w:color w:val="auto"/>
          <w:sz w:val="24"/>
          <w:szCs w:val="24"/>
          <w:highlight w:val="white"/>
        </w:rPr>
      </w:pPr>
      <w:r w:rsidRPr="004E6BFD">
        <w:rPr>
          <w:color w:val="auto"/>
          <w:sz w:val="24"/>
          <w:szCs w:val="24"/>
        </w:rPr>
        <w:t xml:space="preserve">Pereira, A. C. F. (2007). A contabilidade ambiental–a sua revelação no relato financeiro. </w:t>
      </w:r>
      <w:r w:rsidRPr="004E6BFD">
        <w:rPr>
          <w:i/>
          <w:color w:val="auto"/>
          <w:sz w:val="24"/>
          <w:szCs w:val="24"/>
        </w:rPr>
        <w:t>Jornal de Contabilidade</w:t>
      </w:r>
      <w:r w:rsidRPr="004E6BFD">
        <w:rPr>
          <w:color w:val="auto"/>
          <w:sz w:val="24"/>
          <w:szCs w:val="24"/>
        </w:rPr>
        <w:t>, 367, 320-332.</w:t>
      </w:r>
    </w:p>
    <w:p w14:paraId="6360D1B5" w14:textId="77777777" w:rsidR="006773B3" w:rsidRDefault="006773B3" w:rsidP="00877878">
      <w:pPr>
        <w:rPr>
          <w:color w:val="222222"/>
          <w:sz w:val="24"/>
          <w:szCs w:val="24"/>
          <w:highlight w:val="white"/>
        </w:rPr>
      </w:pPr>
    </w:p>
    <w:p w14:paraId="145A08B1" w14:textId="77777777" w:rsidR="006773B3" w:rsidRDefault="006773B3" w:rsidP="00877878">
      <w:pPr>
        <w:rPr>
          <w:color w:val="222222"/>
          <w:sz w:val="24"/>
          <w:szCs w:val="24"/>
          <w:highlight w:val="white"/>
        </w:rPr>
      </w:pPr>
      <w:r>
        <w:rPr>
          <w:color w:val="222222"/>
          <w:sz w:val="24"/>
          <w:szCs w:val="24"/>
          <w:highlight w:val="white"/>
        </w:rPr>
        <w:t xml:space="preserve">Pronunciamentos Contábeis. CPC 25, 2009 p.4. Recuperado em 30 de outubro de 2017, de </w:t>
      </w:r>
      <w:hyperlink r:id="rId10" w:history="1">
        <w:r w:rsidRPr="00736E47">
          <w:rPr>
            <w:rStyle w:val="Hyperlink"/>
            <w:sz w:val="24"/>
            <w:szCs w:val="24"/>
            <w:highlight w:val="white"/>
          </w:rPr>
          <w:t>http://www.cpc.org.br/CPC/Documentos-Emitidos/Pronunciamentos/Pronunciamento?Id=56</w:t>
        </w:r>
      </w:hyperlink>
    </w:p>
    <w:p w14:paraId="5D0C230D" w14:textId="77777777" w:rsidR="006773B3" w:rsidRDefault="006773B3" w:rsidP="00877878">
      <w:pPr>
        <w:rPr>
          <w:color w:val="222222"/>
          <w:sz w:val="24"/>
          <w:szCs w:val="24"/>
          <w:highlight w:val="white"/>
        </w:rPr>
      </w:pPr>
    </w:p>
    <w:p w14:paraId="35A97EC4" w14:textId="77777777" w:rsidR="006773B3" w:rsidRPr="004E6BFD" w:rsidRDefault="006773B3" w:rsidP="00877878">
      <w:pPr>
        <w:rPr>
          <w:color w:val="auto"/>
          <w:sz w:val="24"/>
          <w:szCs w:val="24"/>
        </w:rPr>
      </w:pPr>
      <w:r w:rsidRPr="004E6BFD">
        <w:rPr>
          <w:color w:val="auto"/>
          <w:sz w:val="24"/>
          <w:szCs w:val="24"/>
        </w:rPr>
        <w:t xml:space="preserve">Rover, S., Alves, J. L., &amp; Borba, J. A. (2006). A evidenciação do passivo ambiental: quantificando o desconhecido. </w:t>
      </w:r>
      <w:r w:rsidRPr="004E6BFD">
        <w:rPr>
          <w:i/>
          <w:color w:val="auto"/>
          <w:sz w:val="24"/>
          <w:szCs w:val="24"/>
        </w:rPr>
        <w:t>Revista Contemporânea de Contabilidade</w:t>
      </w:r>
      <w:r w:rsidRPr="004E6BFD">
        <w:rPr>
          <w:color w:val="auto"/>
          <w:sz w:val="24"/>
          <w:szCs w:val="24"/>
        </w:rPr>
        <w:t>, 3(5).</w:t>
      </w:r>
    </w:p>
    <w:p w14:paraId="42710543" w14:textId="77777777" w:rsidR="006773B3" w:rsidRPr="004E6BFD" w:rsidRDefault="006773B3" w:rsidP="00877878">
      <w:pPr>
        <w:rPr>
          <w:color w:val="auto"/>
          <w:sz w:val="24"/>
          <w:szCs w:val="24"/>
          <w:highlight w:val="white"/>
        </w:rPr>
      </w:pPr>
    </w:p>
    <w:p w14:paraId="2DE14070" w14:textId="2A455293" w:rsidR="006773B3" w:rsidRDefault="005C7283" w:rsidP="00877878">
      <w:pPr>
        <w:rPr>
          <w:color w:val="auto"/>
          <w:sz w:val="24"/>
          <w:shd w:val="clear" w:color="auto" w:fill="FFFFFF"/>
        </w:rPr>
      </w:pPr>
      <w:proofErr w:type="spellStart"/>
      <w:r w:rsidRPr="005C7283">
        <w:rPr>
          <w:color w:val="auto"/>
          <w:sz w:val="24"/>
          <w:shd w:val="clear" w:color="auto" w:fill="FFFFFF"/>
        </w:rPr>
        <w:t>Sako</w:t>
      </w:r>
      <w:proofErr w:type="spellEnd"/>
      <w:r w:rsidRPr="005C7283">
        <w:rPr>
          <w:color w:val="auto"/>
          <w:sz w:val="24"/>
          <w:shd w:val="clear" w:color="auto" w:fill="FFFFFF"/>
        </w:rPr>
        <w:t xml:space="preserve">, A. V. F. &amp; Rover, S. (2016). </w:t>
      </w:r>
      <w:proofErr w:type="spellStart"/>
      <w:r w:rsidRPr="005C7283">
        <w:rPr>
          <w:color w:val="auto"/>
          <w:sz w:val="24"/>
          <w:shd w:val="clear" w:color="auto" w:fill="FFFFFF"/>
        </w:rPr>
        <w:t>Disclosure</w:t>
      </w:r>
      <w:proofErr w:type="spellEnd"/>
      <w:r w:rsidRPr="005C7283">
        <w:rPr>
          <w:color w:val="auto"/>
          <w:sz w:val="24"/>
          <w:shd w:val="clear" w:color="auto" w:fill="FFFFFF"/>
        </w:rPr>
        <w:t xml:space="preserve"> de passivos e contingências ambientais: uma análise das empresas listadas na BM&amp;FBOVESPA no período de 2005 a 2014. In Anais do Encontro Catarinense de Estudantes de Ciências Contábeis </w:t>
      </w:r>
      <w:r>
        <w:rPr>
          <w:color w:val="auto"/>
          <w:sz w:val="24"/>
          <w:shd w:val="clear" w:color="auto" w:fill="FFFFFF"/>
        </w:rPr>
        <w:t>–</w:t>
      </w:r>
      <w:r w:rsidRPr="005C7283">
        <w:rPr>
          <w:color w:val="auto"/>
          <w:sz w:val="24"/>
          <w:shd w:val="clear" w:color="auto" w:fill="FFFFFF"/>
        </w:rPr>
        <w:t xml:space="preserve"> ECECON</w:t>
      </w:r>
    </w:p>
    <w:p w14:paraId="6E5A0D16" w14:textId="77777777" w:rsidR="005C7283" w:rsidRPr="004E6BFD" w:rsidRDefault="005C7283" w:rsidP="00877878">
      <w:pPr>
        <w:rPr>
          <w:color w:val="auto"/>
          <w:sz w:val="24"/>
          <w:szCs w:val="24"/>
          <w:highlight w:val="white"/>
        </w:rPr>
      </w:pPr>
    </w:p>
    <w:p w14:paraId="3571CFA5" w14:textId="77777777" w:rsidR="006773B3" w:rsidRPr="004E6BFD" w:rsidRDefault="006773B3" w:rsidP="00877878">
      <w:pPr>
        <w:rPr>
          <w:color w:val="auto"/>
          <w:sz w:val="24"/>
          <w:szCs w:val="24"/>
        </w:rPr>
      </w:pPr>
      <w:r w:rsidRPr="004E6BFD">
        <w:rPr>
          <w:color w:val="auto"/>
          <w:sz w:val="24"/>
          <w:szCs w:val="24"/>
        </w:rPr>
        <w:t xml:space="preserve">Santos, A. D. O., Silva, F. B. D., Souza, S. D., &amp; Sousa, M. F. R. D. (2001). Contabilidade ambiental: um estudo sobre sua aplicabilidade em empresas brasileiras. </w:t>
      </w:r>
      <w:r w:rsidRPr="004E6BFD">
        <w:rPr>
          <w:i/>
          <w:color w:val="auto"/>
          <w:sz w:val="24"/>
          <w:szCs w:val="24"/>
        </w:rPr>
        <w:t>Revista Contabilidade &amp; Finanças</w:t>
      </w:r>
      <w:r w:rsidRPr="004E6BFD">
        <w:rPr>
          <w:color w:val="auto"/>
          <w:sz w:val="24"/>
          <w:szCs w:val="24"/>
        </w:rPr>
        <w:t xml:space="preserve">, 12(27), 89-99. </w:t>
      </w:r>
    </w:p>
    <w:p w14:paraId="6A37C74D" w14:textId="77777777" w:rsidR="006773B3" w:rsidRPr="004E6BFD" w:rsidRDefault="006773B3" w:rsidP="00877878">
      <w:pPr>
        <w:rPr>
          <w:color w:val="auto"/>
          <w:sz w:val="24"/>
          <w:szCs w:val="24"/>
          <w:highlight w:val="white"/>
        </w:rPr>
      </w:pPr>
    </w:p>
    <w:p w14:paraId="78E5D76B" w14:textId="77777777" w:rsidR="006773B3" w:rsidRPr="004E6BFD" w:rsidRDefault="006773B3" w:rsidP="00877878">
      <w:pPr>
        <w:rPr>
          <w:color w:val="auto"/>
          <w:sz w:val="24"/>
          <w:szCs w:val="24"/>
        </w:rPr>
      </w:pPr>
      <w:r w:rsidRPr="004E6BFD">
        <w:rPr>
          <w:color w:val="auto"/>
          <w:sz w:val="24"/>
          <w:szCs w:val="24"/>
        </w:rPr>
        <w:t xml:space="preserve">Xavier, V. V. N. T., &amp; </w:t>
      </w:r>
      <w:proofErr w:type="spellStart"/>
      <w:r w:rsidRPr="004E6BFD">
        <w:rPr>
          <w:color w:val="auto"/>
          <w:sz w:val="24"/>
          <w:szCs w:val="24"/>
        </w:rPr>
        <w:t>Luczkiewicz</w:t>
      </w:r>
      <w:proofErr w:type="spellEnd"/>
      <w:r w:rsidRPr="004E6BFD">
        <w:rPr>
          <w:color w:val="auto"/>
          <w:sz w:val="24"/>
          <w:szCs w:val="24"/>
        </w:rPr>
        <w:t>, D. A. (2013). Passivo ambiental e sua evidenciação nas empresas do segmento de petróleo. In Anais do Congresso Brasileiro de Custos-ABC.</w:t>
      </w:r>
    </w:p>
    <w:p w14:paraId="24862D24" w14:textId="77777777" w:rsidR="006773B3" w:rsidRPr="004E6BFD" w:rsidRDefault="006773B3" w:rsidP="00782CF2">
      <w:pPr>
        <w:jc w:val="both"/>
        <w:rPr>
          <w:rFonts w:ascii="Arial" w:hAnsi="Arial" w:cs="Arial"/>
          <w:color w:val="auto"/>
          <w:sz w:val="24"/>
          <w:szCs w:val="24"/>
        </w:rPr>
      </w:pPr>
    </w:p>
    <w:p w14:paraId="4A7E8EED" w14:textId="77777777" w:rsidR="006773B3" w:rsidRDefault="006773B3" w:rsidP="00782CF2">
      <w:pPr>
        <w:jc w:val="both"/>
      </w:pPr>
    </w:p>
    <w:p w14:paraId="743DF38F" w14:textId="77777777" w:rsidR="006773B3" w:rsidRDefault="006773B3" w:rsidP="00782CF2">
      <w:pPr>
        <w:jc w:val="both"/>
      </w:pPr>
    </w:p>
    <w:sectPr w:rsidR="006773B3" w:rsidSect="00E5028C">
      <w:headerReference w:type="default" r:id="rId11"/>
      <w:footerReference w:type="default" r:id="rId12"/>
      <w:pgSz w:w="11900" w:h="16840"/>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854BF" w14:textId="77777777" w:rsidR="00CB5D86" w:rsidRDefault="00CB5D86">
      <w:r>
        <w:separator/>
      </w:r>
    </w:p>
  </w:endnote>
  <w:endnote w:type="continuationSeparator" w:id="0">
    <w:p w14:paraId="799B70CD" w14:textId="77777777" w:rsidR="00CB5D86" w:rsidRDefault="00CB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A43A" w14:textId="77777777" w:rsidR="00A03AEC" w:rsidRDefault="00A03AEC">
    <w:pPr>
      <w:tabs>
        <w:tab w:val="center" w:pos="4419"/>
        <w:tab w:val="right" w:pos="8838"/>
      </w:tabs>
      <w:jc w:val="right"/>
      <w:rPr>
        <w:sz w:val="24"/>
        <w:szCs w:val="24"/>
      </w:rPr>
    </w:pPr>
  </w:p>
  <w:p w14:paraId="0B11347E" w14:textId="1C291598" w:rsidR="00A03AEC" w:rsidRDefault="00A03AEC" w:rsidP="00D3560F">
    <w:pPr>
      <w:tabs>
        <w:tab w:val="center" w:pos="4419"/>
        <w:tab w:val="right" w:pos="8838"/>
      </w:tabs>
      <w:jc w:val="both"/>
      <w:rPr>
        <w:sz w:val="24"/>
        <w:szCs w:val="24"/>
      </w:rPr>
    </w:pPr>
    <w:r>
      <w:rPr>
        <w:sz w:val="24"/>
        <w:szCs w:val="24"/>
      </w:rPr>
      <w:t xml:space="preserve">              </w:t>
    </w:r>
    <w:r w:rsidR="003322EF">
      <w:rPr>
        <w:sz w:val="24"/>
        <w:szCs w:val="24"/>
      </w:rPr>
      <w:tab/>
    </w:r>
    <w:r w:rsidR="003322EF">
      <w:rPr>
        <w:sz w:val="24"/>
        <w:szCs w:val="24"/>
      </w:rPr>
      <w:tab/>
    </w:r>
    <w:r>
      <w:rPr>
        <w:sz w:val="24"/>
        <w:szCs w:val="24"/>
      </w:rPr>
      <w:t xml:space="preserve">    </w:t>
    </w:r>
    <w:r>
      <w:rPr>
        <w:sz w:val="24"/>
        <w:szCs w:val="24"/>
      </w:rPr>
      <w:fldChar w:fldCharType="begin"/>
    </w:r>
    <w:r>
      <w:rPr>
        <w:sz w:val="24"/>
        <w:szCs w:val="24"/>
      </w:rPr>
      <w:instrText>PAGE</w:instrText>
    </w:r>
    <w:r>
      <w:rPr>
        <w:sz w:val="24"/>
        <w:szCs w:val="24"/>
      </w:rPr>
      <w:fldChar w:fldCharType="separate"/>
    </w:r>
    <w:r w:rsidR="00681FB0">
      <w:rPr>
        <w:noProof/>
        <w:sz w:val="24"/>
        <w:szCs w:val="24"/>
      </w:rPr>
      <w:t>12</w:t>
    </w:r>
    <w:r>
      <w:rPr>
        <w:sz w:val="24"/>
        <w:szCs w:val="24"/>
      </w:rPr>
      <w:fldChar w:fldCharType="end"/>
    </w:r>
    <w:r>
      <w:rPr>
        <w:noProof/>
        <w:lang w:val="en-US" w:eastAsia="en-US"/>
      </w:rPr>
      <w:drawing>
        <wp:anchor distT="0" distB="0" distL="0" distR="0" simplePos="0" relativeHeight="251660288" behindDoc="0" locked="0" layoutInCell="1" allowOverlap="1" wp14:anchorId="3D18E787" wp14:editId="7F76FFA7">
          <wp:simplePos x="0" y="0"/>
          <wp:positionH relativeFrom="margin">
            <wp:posOffset>241300</wp:posOffset>
          </wp:positionH>
          <wp:positionV relativeFrom="paragraph">
            <wp:posOffset>149225</wp:posOffset>
          </wp:positionV>
          <wp:extent cx="5562600" cy="728980"/>
          <wp:effectExtent l="19050" t="0" r="0" b="0"/>
          <wp:wrapSquare wrapText="bothSides"/>
          <wp:docPr id="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
                  <a:srcRect/>
                  <a:stretch>
                    <a:fillRect/>
                  </a:stretch>
                </pic:blipFill>
                <pic:spPr bwMode="auto">
                  <a:xfrm>
                    <a:off x="0" y="0"/>
                    <a:ext cx="5562600" cy="728980"/>
                  </a:xfrm>
                  <a:prstGeom prst="rect">
                    <a:avLst/>
                  </a:prstGeom>
                  <a:noFill/>
                </pic:spPr>
              </pic:pic>
            </a:graphicData>
          </a:graphic>
        </wp:anchor>
      </w:drawing>
    </w:r>
  </w:p>
  <w:p w14:paraId="2E177D26" w14:textId="77777777" w:rsidR="00A03AEC" w:rsidRDefault="00A03AEC">
    <w:pPr>
      <w:tabs>
        <w:tab w:val="center" w:pos="4419"/>
        <w:tab w:val="right" w:pos="8838"/>
      </w:tabs>
      <w:rPr>
        <w:sz w:val="24"/>
        <w:szCs w:val="24"/>
      </w:rPr>
    </w:pPr>
  </w:p>
  <w:p w14:paraId="5628D732" w14:textId="77777777" w:rsidR="00A03AEC" w:rsidRDefault="00A03AEC">
    <w:pPr>
      <w:widowControl w:val="0"/>
      <w:tabs>
        <w:tab w:val="center" w:pos="4419"/>
        <w:tab w:val="right" w:pos="8838"/>
      </w:tabs>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23174" w14:textId="77777777" w:rsidR="00CB5D86" w:rsidRDefault="00CB5D86">
      <w:r>
        <w:separator/>
      </w:r>
    </w:p>
  </w:footnote>
  <w:footnote w:type="continuationSeparator" w:id="0">
    <w:p w14:paraId="4BEE9E5B" w14:textId="77777777" w:rsidR="00CB5D86" w:rsidRDefault="00CB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B239" w14:textId="77777777" w:rsidR="00A03AEC" w:rsidRDefault="00A03AEC">
    <w:pPr>
      <w:tabs>
        <w:tab w:val="center" w:pos="4419"/>
        <w:tab w:val="right" w:pos="8838"/>
      </w:tabs>
      <w:rPr>
        <w:rFonts w:ascii="Calibri" w:hAnsi="Calibri" w:cs="Calibri"/>
        <w:sz w:val="24"/>
        <w:szCs w:val="24"/>
      </w:rPr>
    </w:pPr>
    <w:r>
      <w:rPr>
        <w:rFonts w:ascii="Calibri" w:hAnsi="Calibri" w:cs="Calibri"/>
        <w:noProof/>
        <w:sz w:val="24"/>
        <w:szCs w:val="24"/>
        <w:lang w:val="en-US" w:eastAsia="en-US"/>
      </w:rPr>
      <w:drawing>
        <wp:inline distT="0" distB="0" distL="0" distR="0" wp14:anchorId="53F2CB22" wp14:editId="2467CC64">
          <wp:extent cx="5705475" cy="1076325"/>
          <wp:effectExtent l="19050" t="0" r="9525" b="0"/>
          <wp:docPr id="2" nam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a:picLocks noChangeAspect="1" noChangeArrowheads="1"/>
                  </pic:cNvPicPr>
                </pic:nvPicPr>
                <pic:blipFill>
                  <a:blip r:embed="rId1"/>
                  <a:srcRect/>
                  <a:stretch>
                    <a:fillRect/>
                  </a:stretch>
                </pic:blipFill>
                <pic:spPr bwMode="auto">
                  <a:xfrm>
                    <a:off x="0" y="0"/>
                    <a:ext cx="5705475" cy="1076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5A70"/>
    <w:multiLevelType w:val="hybridMultilevel"/>
    <w:tmpl w:val="10889D62"/>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77"/>
    <w:rsid w:val="000003CD"/>
    <w:rsid w:val="00015625"/>
    <w:rsid w:val="00033BA5"/>
    <w:rsid w:val="0003589B"/>
    <w:rsid w:val="00044E69"/>
    <w:rsid w:val="00046D79"/>
    <w:rsid w:val="0005440F"/>
    <w:rsid w:val="00077CD0"/>
    <w:rsid w:val="00080428"/>
    <w:rsid w:val="00086DE2"/>
    <w:rsid w:val="000910F4"/>
    <w:rsid w:val="000B60D6"/>
    <w:rsid w:val="000C463F"/>
    <w:rsid w:val="000E2744"/>
    <w:rsid w:val="000F69A7"/>
    <w:rsid w:val="00112A01"/>
    <w:rsid w:val="00127926"/>
    <w:rsid w:val="00133CE3"/>
    <w:rsid w:val="00136129"/>
    <w:rsid w:val="0015504B"/>
    <w:rsid w:val="001722FE"/>
    <w:rsid w:val="00176CDE"/>
    <w:rsid w:val="00180716"/>
    <w:rsid w:val="001B41DA"/>
    <w:rsid w:val="001B5256"/>
    <w:rsid w:val="001C507F"/>
    <w:rsid w:val="001E4482"/>
    <w:rsid w:val="002013E8"/>
    <w:rsid w:val="00214238"/>
    <w:rsid w:val="00234792"/>
    <w:rsid w:val="002424A8"/>
    <w:rsid w:val="00257998"/>
    <w:rsid w:val="00272DAB"/>
    <w:rsid w:val="00282F3A"/>
    <w:rsid w:val="00283F6B"/>
    <w:rsid w:val="002A4E96"/>
    <w:rsid w:val="002B0EC3"/>
    <w:rsid w:val="002C2AE3"/>
    <w:rsid w:val="002D5D05"/>
    <w:rsid w:val="002E0513"/>
    <w:rsid w:val="002E728F"/>
    <w:rsid w:val="002E786E"/>
    <w:rsid w:val="002F523A"/>
    <w:rsid w:val="00302B54"/>
    <w:rsid w:val="0031478E"/>
    <w:rsid w:val="00331B55"/>
    <w:rsid w:val="003322EF"/>
    <w:rsid w:val="00334247"/>
    <w:rsid w:val="00340F10"/>
    <w:rsid w:val="003429E7"/>
    <w:rsid w:val="00376DC2"/>
    <w:rsid w:val="00377FBC"/>
    <w:rsid w:val="003A63B7"/>
    <w:rsid w:val="003A7C47"/>
    <w:rsid w:val="003B7E0C"/>
    <w:rsid w:val="003C0FEB"/>
    <w:rsid w:val="003D4A9B"/>
    <w:rsid w:val="003E3623"/>
    <w:rsid w:val="00404A88"/>
    <w:rsid w:val="00404BCA"/>
    <w:rsid w:val="00404ED2"/>
    <w:rsid w:val="004060F9"/>
    <w:rsid w:val="00411368"/>
    <w:rsid w:val="0042028A"/>
    <w:rsid w:val="00425AF8"/>
    <w:rsid w:val="00425BDA"/>
    <w:rsid w:val="004310F3"/>
    <w:rsid w:val="00432E03"/>
    <w:rsid w:val="0044102C"/>
    <w:rsid w:val="00457FE2"/>
    <w:rsid w:val="00462527"/>
    <w:rsid w:val="00462D38"/>
    <w:rsid w:val="004719C9"/>
    <w:rsid w:val="00476375"/>
    <w:rsid w:val="004A216A"/>
    <w:rsid w:val="004A607D"/>
    <w:rsid w:val="004A6236"/>
    <w:rsid w:val="004A76B8"/>
    <w:rsid w:val="004D2768"/>
    <w:rsid w:val="004D3EC0"/>
    <w:rsid w:val="004D5128"/>
    <w:rsid w:val="004D7210"/>
    <w:rsid w:val="004E2D4E"/>
    <w:rsid w:val="004E6BFD"/>
    <w:rsid w:val="005150CB"/>
    <w:rsid w:val="005208A8"/>
    <w:rsid w:val="0053195B"/>
    <w:rsid w:val="00533D7B"/>
    <w:rsid w:val="00536210"/>
    <w:rsid w:val="00542D28"/>
    <w:rsid w:val="00544115"/>
    <w:rsid w:val="005508B5"/>
    <w:rsid w:val="00552199"/>
    <w:rsid w:val="00553B65"/>
    <w:rsid w:val="0057478D"/>
    <w:rsid w:val="00574A3C"/>
    <w:rsid w:val="00597F40"/>
    <w:rsid w:val="005B5323"/>
    <w:rsid w:val="005C6BB5"/>
    <w:rsid w:val="005C7283"/>
    <w:rsid w:val="005D5B8C"/>
    <w:rsid w:val="005D6D2A"/>
    <w:rsid w:val="005E62B1"/>
    <w:rsid w:val="005E6FE6"/>
    <w:rsid w:val="006063BF"/>
    <w:rsid w:val="0060666B"/>
    <w:rsid w:val="00613EE5"/>
    <w:rsid w:val="006165D0"/>
    <w:rsid w:val="006231A0"/>
    <w:rsid w:val="00627D09"/>
    <w:rsid w:val="00634D1F"/>
    <w:rsid w:val="00650E76"/>
    <w:rsid w:val="00652428"/>
    <w:rsid w:val="00672E2E"/>
    <w:rsid w:val="006773B3"/>
    <w:rsid w:val="00681FB0"/>
    <w:rsid w:val="00691C22"/>
    <w:rsid w:val="006A2994"/>
    <w:rsid w:val="006B0011"/>
    <w:rsid w:val="006C390D"/>
    <w:rsid w:val="006C6EC4"/>
    <w:rsid w:val="006C7C63"/>
    <w:rsid w:val="006D3D39"/>
    <w:rsid w:val="006E2909"/>
    <w:rsid w:val="00724807"/>
    <w:rsid w:val="00730969"/>
    <w:rsid w:val="00736E47"/>
    <w:rsid w:val="00747939"/>
    <w:rsid w:val="007646DD"/>
    <w:rsid w:val="00782CF2"/>
    <w:rsid w:val="00792678"/>
    <w:rsid w:val="007A0727"/>
    <w:rsid w:val="007A7671"/>
    <w:rsid w:val="007B5D41"/>
    <w:rsid w:val="007C21D0"/>
    <w:rsid w:val="007D1ACA"/>
    <w:rsid w:val="007D24EF"/>
    <w:rsid w:val="007E4933"/>
    <w:rsid w:val="007F1EA4"/>
    <w:rsid w:val="0080212C"/>
    <w:rsid w:val="00807238"/>
    <w:rsid w:val="00811E26"/>
    <w:rsid w:val="00837510"/>
    <w:rsid w:val="00840643"/>
    <w:rsid w:val="0085519C"/>
    <w:rsid w:val="00863863"/>
    <w:rsid w:val="008669F1"/>
    <w:rsid w:val="00877878"/>
    <w:rsid w:val="0089136C"/>
    <w:rsid w:val="008A3A3D"/>
    <w:rsid w:val="008A4068"/>
    <w:rsid w:val="008B4BC8"/>
    <w:rsid w:val="008C0399"/>
    <w:rsid w:val="008C503D"/>
    <w:rsid w:val="008E3E72"/>
    <w:rsid w:val="008F45A7"/>
    <w:rsid w:val="008F67F4"/>
    <w:rsid w:val="00903B7F"/>
    <w:rsid w:val="009078EA"/>
    <w:rsid w:val="00923ABF"/>
    <w:rsid w:val="0094057E"/>
    <w:rsid w:val="009533FF"/>
    <w:rsid w:val="00963490"/>
    <w:rsid w:val="00964BDD"/>
    <w:rsid w:val="00971E4A"/>
    <w:rsid w:val="0098255A"/>
    <w:rsid w:val="00987B01"/>
    <w:rsid w:val="009949A4"/>
    <w:rsid w:val="009963A2"/>
    <w:rsid w:val="009C1068"/>
    <w:rsid w:val="009D00E8"/>
    <w:rsid w:val="009F6BD2"/>
    <w:rsid w:val="00A03AEC"/>
    <w:rsid w:val="00A03D9F"/>
    <w:rsid w:val="00A379CD"/>
    <w:rsid w:val="00A41DEF"/>
    <w:rsid w:val="00A67F31"/>
    <w:rsid w:val="00A74CC0"/>
    <w:rsid w:val="00A76E17"/>
    <w:rsid w:val="00A94916"/>
    <w:rsid w:val="00A96A60"/>
    <w:rsid w:val="00AA1DA1"/>
    <w:rsid w:val="00AA2596"/>
    <w:rsid w:val="00AB5C90"/>
    <w:rsid w:val="00AC3D3D"/>
    <w:rsid w:val="00AC6A97"/>
    <w:rsid w:val="00AE69F6"/>
    <w:rsid w:val="00AF53FE"/>
    <w:rsid w:val="00AF66E7"/>
    <w:rsid w:val="00B04AC6"/>
    <w:rsid w:val="00B144DE"/>
    <w:rsid w:val="00B26888"/>
    <w:rsid w:val="00B32FB6"/>
    <w:rsid w:val="00B363CA"/>
    <w:rsid w:val="00B403DF"/>
    <w:rsid w:val="00B41686"/>
    <w:rsid w:val="00B57800"/>
    <w:rsid w:val="00B62B26"/>
    <w:rsid w:val="00B64040"/>
    <w:rsid w:val="00B708D5"/>
    <w:rsid w:val="00B72CE8"/>
    <w:rsid w:val="00BA6E7F"/>
    <w:rsid w:val="00BB1561"/>
    <w:rsid w:val="00BB72A3"/>
    <w:rsid w:val="00BD03FB"/>
    <w:rsid w:val="00BD4029"/>
    <w:rsid w:val="00BE7AA7"/>
    <w:rsid w:val="00BF1D00"/>
    <w:rsid w:val="00BF774C"/>
    <w:rsid w:val="00C21348"/>
    <w:rsid w:val="00C45F89"/>
    <w:rsid w:val="00C71254"/>
    <w:rsid w:val="00C73162"/>
    <w:rsid w:val="00C80DF8"/>
    <w:rsid w:val="00C818BB"/>
    <w:rsid w:val="00C91417"/>
    <w:rsid w:val="00C9572B"/>
    <w:rsid w:val="00CB0FA8"/>
    <w:rsid w:val="00CB51EC"/>
    <w:rsid w:val="00CB5D86"/>
    <w:rsid w:val="00CC44FD"/>
    <w:rsid w:val="00CE451E"/>
    <w:rsid w:val="00D3560F"/>
    <w:rsid w:val="00D36EBC"/>
    <w:rsid w:val="00D43300"/>
    <w:rsid w:val="00D614D1"/>
    <w:rsid w:val="00D72098"/>
    <w:rsid w:val="00D73473"/>
    <w:rsid w:val="00D74D4B"/>
    <w:rsid w:val="00D7774C"/>
    <w:rsid w:val="00D81F38"/>
    <w:rsid w:val="00D83337"/>
    <w:rsid w:val="00DB6603"/>
    <w:rsid w:val="00DB7A77"/>
    <w:rsid w:val="00DC098E"/>
    <w:rsid w:val="00DC4ED0"/>
    <w:rsid w:val="00DD78B8"/>
    <w:rsid w:val="00DE14A3"/>
    <w:rsid w:val="00DF3931"/>
    <w:rsid w:val="00E26CF0"/>
    <w:rsid w:val="00E33714"/>
    <w:rsid w:val="00E36CF3"/>
    <w:rsid w:val="00E43C59"/>
    <w:rsid w:val="00E5028C"/>
    <w:rsid w:val="00EB087B"/>
    <w:rsid w:val="00EC36BA"/>
    <w:rsid w:val="00F1050F"/>
    <w:rsid w:val="00F110EA"/>
    <w:rsid w:val="00F1155F"/>
    <w:rsid w:val="00F23A54"/>
    <w:rsid w:val="00F417F4"/>
    <w:rsid w:val="00F46C49"/>
    <w:rsid w:val="00F8338B"/>
    <w:rsid w:val="00F85F6C"/>
    <w:rsid w:val="00F92251"/>
    <w:rsid w:val="00FA5F8A"/>
    <w:rsid w:val="00FB5511"/>
    <w:rsid w:val="00FC16BA"/>
    <w:rsid w:val="00FC7D2B"/>
    <w:rsid w:val="00FD132C"/>
    <w:rsid w:val="00FD67B6"/>
    <w:rsid w:val="00FD68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811B9"/>
  <w15:docId w15:val="{FD240F2D-E37D-41F0-ACAF-4A8EA369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28C"/>
    <w:rPr>
      <w:color w:val="000000"/>
      <w:sz w:val="20"/>
      <w:szCs w:val="20"/>
    </w:rPr>
  </w:style>
  <w:style w:type="paragraph" w:styleId="Ttulo1">
    <w:name w:val="heading 1"/>
    <w:basedOn w:val="Normal"/>
    <w:next w:val="Normal"/>
    <w:link w:val="Ttulo1Char"/>
    <w:uiPriority w:val="99"/>
    <w:qFormat/>
    <w:rsid w:val="00E5028C"/>
    <w:pPr>
      <w:spacing w:before="100" w:after="100"/>
      <w:outlineLvl w:val="0"/>
    </w:pPr>
    <w:rPr>
      <w:b/>
      <w:sz w:val="48"/>
      <w:szCs w:val="48"/>
    </w:rPr>
  </w:style>
  <w:style w:type="paragraph" w:styleId="Ttulo2">
    <w:name w:val="heading 2"/>
    <w:basedOn w:val="Normal"/>
    <w:next w:val="Normal"/>
    <w:link w:val="Ttulo2Char"/>
    <w:uiPriority w:val="99"/>
    <w:qFormat/>
    <w:rsid w:val="00E5028C"/>
    <w:pPr>
      <w:keepNext/>
      <w:keepLines/>
      <w:spacing w:before="360" w:after="80"/>
      <w:outlineLvl w:val="1"/>
    </w:pPr>
    <w:rPr>
      <w:b/>
      <w:sz w:val="36"/>
      <w:szCs w:val="36"/>
    </w:rPr>
  </w:style>
  <w:style w:type="paragraph" w:styleId="Ttulo3">
    <w:name w:val="heading 3"/>
    <w:basedOn w:val="Normal"/>
    <w:next w:val="Normal"/>
    <w:link w:val="Ttulo3Char"/>
    <w:uiPriority w:val="99"/>
    <w:qFormat/>
    <w:rsid w:val="00E5028C"/>
    <w:pPr>
      <w:keepNext/>
      <w:keepLines/>
      <w:spacing w:before="280" w:after="80"/>
      <w:outlineLvl w:val="2"/>
    </w:pPr>
    <w:rPr>
      <w:b/>
      <w:sz w:val="28"/>
      <w:szCs w:val="28"/>
    </w:rPr>
  </w:style>
  <w:style w:type="paragraph" w:styleId="Ttulo4">
    <w:name w:val="heading 4"/>
    <w:basedOn w:val="Normal"/>
    <w:next w:val="Normal"/>
    <w:link w:val="Ttulo4Char"/>
    <w:uiPriority w:val="99"/>
    <w:qFormat/>
    <w:rsid w:val="00E5028C"/>
    <w:pPr>
      <w:keepNext/>
      <w:keepLines/>
      <w:spacing w:before="240" w:after="40"/>
      <w:outlineLvl w:val="3"/>
    </w:pPr>
    <w:rPr>
      <w:b/>
      <w:sz w:val="24"/>
      <w:szCs w:val="24"/>
    </w:rPr>
  </w:style>
  <w:style w:type="paragraph" w:styleId="Ttulo5">
    <w:name w:val="heading 5"/>
    <w:basedOn w:val="Normal"/>
    <w:next w:val="Normal"/>
    <w:link w:val="Ttulo5Char"/>
    <w:uiPriority w:val="99"/>
    <w:qFormat/>
    <w:rsid w:val="00E5028C"/>
    <w:pPr>
      <w:keepNext/>
      <w:keepLines/>
      <w:spacing w:before="220" w:after="40"/>
      <w:outlineLvl w:val="4"/>
    </w:pPr>
    <w:rPr>
      <w:b/>
      <w:sz w:val="22"/>
      <w:szCs w:val="22"/>
    </w:rPr>
  </w:style>
  <w:style w:type="paragraph" w:styleId="Ttulo6">
    <w:name w:val="heading 6"/>
    <w:basedOn w:val="Normal"/>
    <w:next w:val="Normal"/>
    <w:link w:val="Ttulo6Char"/>
    <w:uiPriority w:val="99"/>
    <w:qFormat/>
    <w:rsid w:val="00E5028C"/>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08B3"/>
    <w:rPr>
      <w:rFonts w:asciiTheme="majorHAnsi" w:eastAsiaTheme="majorEastAsia" w:hAnsiTheme="majorHAnsi" w:cstheme="majorBidi"/>
      <w:b/>
      <w:bCs/>
      <w:color w:val="000000"/>
      <w:kern w:val="32"/>
      <w:sz w:val="32"/>
      <w:szCs w:val="32"/>
    </w:rPr>
  </w:style>
  <w:style w:type="character" w:customStyle="1" w:styleId="Ttulo2Char">
    <w:name w:val="Título 2 Char"/>
    <w:basedOn w:val="Fontepargpadro"/>
    <w:link w:val="Ttulo2"/>
    <w:uiPriority w:val="9"/>
    <w:semiHidden/>
    <w:rsid w:val="00CF08B3"/>
    <w:rPr>
      <w:rFonts w:asciiTheme="majorHAnsi" w:eastAsiaTheme="majorEastAsia" w:hAnsiTheme="majorHAnsi" w:cstheme="majorBidi"/>
      <w:b/>
      <w:bCs/>
      <w:i/>
      <w:iCs/>
      <w:color w:val="000000"/>
      <w:sz w:val="28"/>
      <w:szCs w:val="28"/>
    </w:rPr>
  </w:style>
  <w:style w:type="character" w:customStyle="1" w:styleId="Ttulo3Char">
    <w:name w:val="Título 3 Char"/>
    <w:basedOn w:val="Fontepargpadro"/>
    <w:link w:val="Ttulo3"/>
    <w:uiPriority w:val="9"/>
    <w:semiHidden/>
    <w:rsid w:val="00CF08B3"/>
    <w:rPr>
      <w:rFonts w:asciiTheme="majorHAnsi" w:eastAsiaTheme="majorEastAsia" w:hAnsiTheme="majorHAnsi" w:cstheme="majorBidi"/>
      <w:b/>
      <w:bCs/>
      <w:color w:val="000000"/>
      <w:sz w:val="26"/>
      <w:szCs w:val="26"/>
    </w:rPr>
  </w:style>
  <w:style w:type="character" w:customStyle="1" w:styleId="Ttulo4Char">
    <w:name w:val="Título 4 Char"/>
    <w:basedOn w:val="Fontepargpadro"/>
    <w:link w:val="Ttulo4"/>
    <w:uiPriority w:val="9"/>
    <w:semiHidden/>
    <w:rsid w:val="00CF08B3"/>
    <w:rPr>
      <w:rFonts w:asciiTheme="minorHAnsi" w:eastAsiaTheme="minorEastAsia" w:hAnsiTheme="minorHAnsi" w:cstheme="minorBidi"/>
      <w:b/>
      <w:bCs/>
      <w:color w:val="000000"/>
      <w:sz w:val="28"/>
      <w:szCs w:val="28"/>
    </w:rPr>
  </w:style>
  <w:style w:type="character" w:customStyle="1" w:styleId="Ttulo5Char">
    <w:name w:val="Título 5 Char"/>
    <w:basedOn w:val="Fontepargpadro"/>
    <w:link w:val="Ttulo5"/>
    <w:uiPriority w:val="9"/>
    <w:semiHidden/>
    <w:rsid w:val="00CF08B3"/>
    <w:rPr>
      <w:rFonts w:asciiTheme="minorHAnsi" w:eastAsiaTheme="minorEastAsia" w:hAnsiTheme="minorHAnsi" w:cstheme="minorBidi"/>
      <w:b/>
      <w:bCs/>
      <w:i/>
      <w:iCs/>
      <w:color w:val="000000"/>
      <w:sz w:val="26"/>
      <w:szCs w:val="26"/>
    </w:rPr>
  </w:style>
  <w:style w:type="character" w:customStyle="1" w:styleId="Ttulo6Char">
    <w:name w:val="Título 6 Char"/>
    <w:basedOn w:val="Fontepargpadro"/>
    <w:link w:val="Ttulo6"/>
    <w:uiPriority w:val="9"/>
    <w:semiHidden/>
    <w:rsid w:val="00CF08B3"/>
    <w:rPr>
      <w:rFonts w:asciiTheme="minorHAnsi" w:eastAsiaTheme="minorEastAsia" w:hAnsiTheme="minorHAnsi" w:cstheme="minorBidi"/>
      <w:b/>
      <w:bCs/>
      <w:color w:val="000000"/>
    </w:rPr>
  </w:style>
  <w:style w:type="table" w:customStyle="1" w:styleId="TableNormal1">
    <w:name w:val="Table Normal1"/>
    <w:uiPriority w:val="99"/>
    <w:rsid w:val="00E5028C"/>
    <w:rPr>
      <w:color w:val="000000"/>
      <w:sz w:val="20"/>
      <w:szCs w:val="20"/>
    </w:rPr>
    <w:tblPr>
      <w:tblCellMar>
        <w:top w:w="0" w:type="dxa"/>
        <w:left w:w="0" w:type="dxa"/>
        <w:bottom w:w="0" w:type="dxa"/>
        <w:right w:w="0" w:type="dxa"/>
      </w:tblCellMar>
    </w:tblPr>
  </w:style>
  <w:style w:type="paragraph" w:styleId="Ttulo">
    <w:name w:val="Title"/>
    <w:basedOn w:val="Normal"/>
    <w:next w:val="Normal"/>
    <w:link w:val="TtuloChar"/>
    <w:uiPriority w:val="99"/>
    <w:qFormat/>
    <w:rsid w:val="00E5028C"/>
    <w:pPr>
      <w:keepNext/>
      <w:keepLines/>
      <w:spacing w:before="480" w:after="120"/>
    </w:pPr>
    <w:rPr>
      <w:b/>
      <w:sz w:val="72"/>
      <w:szCs w:val="72"/>
    </w:rPr>
  </w:style>
  <w:style w:type="character" w:customStyle="1" w:styleId="TtuloChar">
    <w:name w:val="Título Char"/>
    <w:basedOn w:val="Fontepargpadro"/>
    <w:link w:val="Ttulo"/>
    <w:uiPriority w:val="10"/>
    <w:rsid w:val="00CF08B3"/>
    <w:rPr>
      <w:rFonts w:asciiTheme="majorHAnsi" w:eastAsiaTheme="majorEastAsia" w:hAnsiTheme="majorHAnsi" w:cstheme="majorBidi"/>
      <w:b/>
      <w:bCs/>
      <w:color w:val="000000"/>
      <w:kern w:val="28"/>
      <w:sz w:val="32"/>
      <w:szCs w:val="32"/>
    </w:rPr>
  </w:style>
  <w:style w:type="paragraph" w:styleId="Subttulo">
    <w:name w:val="Subtitle"/>
    <w:basedOn w:val="Normal"/>
    <w:next w:val="Normal"/>
    <w:link w:val="SubttuloChar"/>
    <w:uiPriority w:val="99"/>
    <w:qFormat/>
    <w:rsid w:val="00E5028C"/>
    <w:pPr>
      <w:keepNext/>
      <w:keepLines/>
      <w:spacing w:before="360" w:after="80"/>
    </w:pPr>
    <w:rPr>
      <w:rFonts w:ascii="Georgia" w:hAnsi="Georgia" w:cs="Georgia"/>
      <w:i/>
      <w:color w:val="666666"/>
      <w:sz w:val="48"/>
      <w:szCs w:val="48"/>
    </w:rPr>
  </w:style>
  <w:style w:type="character" w:customStyle="1" w:styleId="SubttuloChar">
    <w:name w:val="Subtítulo Char"/>
    <w:basedOn w:val="Fontepargpadro"/>
    <w:link w:val="Subttulo"/>
    <w:uiPriority w:val="11"/>
    <w:rsid w:val="00CF08B3"/>
    <w:rPr>
      <w:rFonts w:asciiTheme="majorHAnsi" w:eastAsiaTheme="majorEastAsia" w:hAnsiTheme="majorHAnsi" w:cstheme="majorBidi"/>
      <w:color w:val="000000"/>
      <w:sz w:val="24"/>
      <w:szCs w:val="24"/>
    </w:rPr>
  </w:style>
  <w:style w:type="table" w:customStyle="1" w:styleId="6">
    <w:name w:val="6"/>
    <w:basedOn w:val="TableNormal1"/>
    <w:uiPriority w:val="99"/>
    <w:rsid w:val="00E5028C"/>
    <w:pPr>
      <w:widowControl w:val="0"/>
    </w:pPr>
    <w:rPr>
      <w:rFonts w:ascii="Calibri" w:hAnsi="Calibri" w:cs="Calibri"/>
      <w:sz w:val="22"/>
      <w:szCs w:val="22"/>
    </w:rPr>
    <w:tblPr>
      <w:tblStyleRowBandSize w:val="1"/>
      <w:tblStyleColBandSize w:val="1"/>
    </w:tblPr>
  </w:style>
  <w:style w:type="table" w:customStyle="1" w:styleId="5">
    <w:name w:val="5"/>
    <w:basedOn w:val="TableNormal1"/>
    <w:uiPriority w:val="99"/>
    <w:rsid w:val="00E5028C"/>
    <w:pPr>
      <w:widowControl w:val="0"/>
    </w:pPr>
    <w:rPr>
      <w:rFonts w:ascii="Calibri" w:hAnsi="Calibri" w:cs="Calibri"/>
      <w:sz w:val="22"/>
      <w:szCs w:val="22"/>
    </w:rPr>
    <w:tblPr>
      <w:tblStyleRowBandSize w:val="1"/>
      <w:tblStyleColBandSize w:val="1"/>
    </w:tblPr>
  </w:style>
  <w:style w:type="table" w:customStyle="1" w:styleId="4">
    <w:name w:val="4"/>
    <w:basedOn w:val="TableNormal1"/>
    <w:uiPriority w:val="99"/>
    <w:rsid w:val="00E5028C"/>
    <w:tblPr>
      <w:tblStyleRowBandSize w:val="1"/>
      <w:tblStyleColBandSize w:val="1"/>
      <w:tblCellMar>
        <w:left w:w="70" w:type="dxa"/>
        <w:right w:w="70" w:type="dxa"/>
      </w:tblCellMar>
    </w:tblPr>
  </w:style>
  <w:style w:type="table" w:customStyle="1" w:styleId="3">
    <w:name w:val="3"/>
    <w:basedOn w:val="TableNormal1"/>
    <w:uiPriority w:val="99"/>
    <w:rsid w:val="00E5028C"/>
    <w:tblPr>
      <w:tblStyleRowBandSize w:val="1"/>
      <w:tblStyleColBandSize w:val="1"/>
      <w:tblCellMar>
        <w:left w:w="70" w:type="dxa"/>
        <w:right w:w="70" w:type="dxa"/>
      </w:tblCellMar>
    </w:tblPr>
  </w:style>
  <w:style w:type="table" w:customStyle="1" w:styleId="2">
    <w:name w:val="2"/>
    <w:basedOn w:val="TableNormal1"/>
    <w:uiPriority w:val="99"/>
    <w:rsid w:val="00E5028C"/>
    <w:tblPr>
      <w:tblStyleRowBandSize w:val="1"/>
      <w:tblStyleColBandSize w:val="1"/>
      <w:tblCellMar>
        <w:left w:w="70" w:type="dxa"/>
        <w:right w:w="70" w:type="dxa"/>
      </w:tblCellMar>
    </w:tblPr>
  </w:style>
  <w:style w:type="table" w:customStyle="1" w:styleId="1">
    <w:name w:val="1"/>
    <w:basedOn w:val="TableNormal1"/>
    <w:uiPriority w:val="99"/>
    <w:rsid w:val="00E5028C"/>
    <w:rPr>
      <w:sz w:val="22"/>
      <w:szCs w:val="22"/>
    </w:r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rsid w:val="00E5028C"/>
  </w:style>
  <w:style w:type="character" w:customStyle="1" w:styleId="TextodecomentrioChar">
    <w:name w:val="Texto de comentário Char"/>
    <w:basedOn w:val="Fontepargpadro"/>
    <w:link w:val="Textodecomentrio"/>
    <w:uiPriority w:val="99"/>
    <w:semiHidden/>
    <w:locked/>
    <w:rsid w:val="00E5028C"/>
    <w:rPr>
      <w:rFonts w:cs="Times New Roman"/>
    </w:rPr>
  </w:style>
  <w:style w:type="character" w:styleId="Refdecomentrio">
    <w:name w:val="annotation reference"/>
    <w:basedOn w:val="Fontepargpadro"/>
    <w:uiPriority w:val="99"/>
    <w:semiHidden/>
    <w:rsid w:val="00E5028C"/>
    <w:rPr>
      <w:rFonts w:cs="Times New Roman"/>
      <w:sz w:val="16"/>
      <w:szCs w:val="16"/>
    </w:rPr>
  </w:style>
  <w:style w:type="paragraph" w:styleId="Textodebalo">
    <w:name w:val="Balloon Text"/>
    <w:basedOn w:val="Normal"/>
    <w:link w:val="TextodebaloChar"/>
    <w:uiPriority w:val="99"/>
    <w:semiHidden/>
    <w:rsid w:val="00F92251"/>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F92251"/>
    <w:rPr>
      <w:rFonts w:ascii="Segoe UI" w:hAnsi="Segoe UI" w:cs="Segoe UI"/>
      <w:sz w:val="18"/>
      <w:szCs w:val="18"/>
    </w:rPr>
  </w:style>
  <w:style w:type="character" w:styleId="Hyperlink">
    <w:name w:val="Hyperlink"/>
    <w:basedOn w:val="Fontepargpadro"/>
    <w:uiPriority w:val="99"/>
    <w:rsid w:val="0089136C"/>
    <w:rPr>
      <w:rFonts w:cs="Times New Roman"/>
      <w:color w:val="0000FF"/>
      <w:u w:val="single"/>
    </w:rPr>
  </w:style>
  <w:style w:type="character" w:customStyle="1" w:styleId="MenoPendente1">
    <w:name w:val="Menção Pendente1"/>
    <w:basedOn w:val="Fontepargpadro"/>
    <w:uiPriority w:val="99"/>
    <w:semiHidden/>
    <w:rsid w:val="0089136C"/>
    <w:rPr>
      <w:rFonts w:cs="Times New Roman"/>
      <w:color w:val="808080"/>
      <w:shd w:val="clear" w:color="auto" w:fill="E6E6E6"/>
    </w:rPr>
  </w:style>
  <w:style w:type="paragraph" w:customStyle="1" w:styleId="Default">
    <w:name w:val="Default"/>
    <w:uiPriority w:val="99"/>
    <w:rsid w:val="002E728F"/>
    <w:pPr>
      <w:autoSpaceDE w:val="0"/>
      <w:autoSpaceDN w:val="0"/>
      <w:adjustRightInd w:val="0"/>
    </w:pPr>
    <w:rPr>
      <w:color w:val="000000"/>
      <w:sz w:val="24"/>
      <w:szCs w:val="24"/>
      <w:lang w:eastAsia="en-US"/>
    </w:rPr>
  </w:style>
  <w:style w:type="table" w:styleId="Tabelacomgrade">
    <w:name w:val="Table Grid"/>
    <w:basedOn w:val="Tabelanormal"/>
    <w:uiPriority w:val="99"/>
    <w:rsid w:val="00F23A5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DF3931"/>
    <w:pPr>
      <w:ind w:left="720"/>
      <w:contextualSpacing/>
    </w:pPr>
  </w:style>
  <w:style w:type="paragraph" w:styleId="Assuntodocomentrio">
    <w:name w:val="annotation subject"/>
    <w:basedOn w:val="Textodecomentrio"/>
    <w:next w:val="Textodecomentrio"/>
    <w:link w:val="AssuntodocomentrioChar"/>
    <w:uiPriority w:val="99"/>
    <w:semiHidden/>
    <w:rsid w:val="00462D38"/>
    <w:rPr>
      <w:b/>
      <w:bCs/>
    </w:rPr>
  </w:style>
  <w:style w:type="character" w:customStyle="1" w:styleId="AssuntodocomentrioChar">
    <w:name w:val="Assunto do comentário Char"/>
    <w:basedOn w:val="TextodecomentrioChar"/>
    <w:link w:val="Assuntodocomentrio"/>
    <w:uiPriority w:val="99"/>
    <w:semiHidden/>
    <w:locked/>
    <w:rsid w:val="00462D38"/>
    <w:rPr>
      <w:rFonts w:cs="Times New Roman"/>
      <w:b/>
      <w:bCs/>
    </w:rPr>
  </w:style>
  <w:style w:type="character" w:customStyle="1" w:styleId="MenoPendente2">
    <w:name w:val="Menção Pendente2"/>
    <w:basedOn w:val="Fontepargpadro"/>
    <w:uiPriority w:val="99"/>
    <w:semiHidden/>
    <w:rsid w:val="004A216A"/>
    <w:rPr>
      <w:rFonts w:cs="Times New Roman"/>
      <w:color w:val="808080"/>
      <w:shd w:val="clear" w:color="auto" w:fill="E6E6E6"/>
    </w:rPr>
  </w:style>
  <w:style w:type="paragraph" w:styleId="Reviso">
    <w:name w:val="Revision"/>
    <w:hidden/>
    <w:uiPriority w:val="99"/>
    <w:semiHidden/>
    <w:rsid w:val="00015625"/>
    <w:rPr>
      <w:color w:val="000000"/>
      <w:sz w:val="20"/>
      <w:szCs w:val="20"/>
    </w:rPr>
  </w:style>
  <w:style w:type="paragraph" w:styleId="Cabealho">
    <w:name w:val="header"/>
    <w:basedOn w:val="Normal"/>
    <w:link w:val="CabealhoChar"/>
    <w:uiPriority w:val="99"/>
    <w:rsid w:val="00D3560F"/>
    <w:pPr>
      <w:tabs>
        <w:tab w:val="center" w:pos="4252"/>
        <w:tab w:val="right" w:pos="8504"/>
      </w:tabs>
    </w:pPr>
  </w:style>
  <w:style w:type="character" w:customStyle="1" w:styleId="CabealhoChar">
    <w:name w:val="Cabeçalho Char"/>
    <w:basedOn w:val="Fontepargpadro"/>
    <w:link w:val="Cabealho"/>
    <w:uiPriority w:val="99"/>
    <w:locked/>
    <w:rsid w:val="00D3560F"/>
    <w:rPr>
      <w:rFonts w:cs="Times New Roman"/>
    </w:rPr>
  </w:style>
  <w:style w:type="paragraph" w:styleId="Rodap">
    <w:name w:val="footer"/>
    <w:basedOn w:val="Normal"/>
    <w:link w:val="RodapChar"/>
    <w:uiPriority w:val="99"/>
    <w:rsid w:val="00D3560F"/>
    <w:pPr>
      <w:tabs>
        <w:tab w:val="center" w:pos="4252"/>
        <w:tab w:val="right" w:pos="8504"/>
      </w:tabs>
    </w:pPr>
  </w:style>
  <w:style w:type="character" w:customStyle="1" w:styleId="RodapChar">
    <w:name w:val="Rodapé Char"/>
    <w:basedOn w:val="Fontepargpadro"/>
    <w:link w:val="Rodap"/>
    <w:uiPriority w:val="99"/>
    <w:locked/>
    <w:rsid w:val="00D3560F"/>
    <w:rPr>
      <w:rFonts w:cs="Times New Roman"/>
    </w:rPr>
  </w:style>
  <w:style w:type="character" w:customStyle="1" w:styleId="MenoPendente3">
    <w:name w:val="Menção Pendente3"/>
    <w:basedOn w:val="Fontepargpadro"/>
    <w:uiPriority w:val="99"/>
    <w:semiHidden/>
    <w:rsid w:val="00877878"/>
    <w:rPr>
      <w:rFonts w:cs="Times New Roman"/>
      <w:color w:val="808080"/>
      <w:shd w:val="clear" w:color="auto" w:fill="E6E6E6"/>
    </w:rPr>
  </w:style>
  <w:style w:type="character" w:customStyle="1" w:styleId="MenoPendente4">
    <w:name w:val="Menção Pendente4"/>
    <w:basedOn w:val="Fontepargpadro"/>
    <w:uiPriority w:val="99"/>
    <w:semiHidden/>
    <w:rsid w:val="008B4BC8"/>
    <w:rPr>
      <w:rFonts w:cs="Times New Roman"/>
      <w:color w:val="808080"/>
      <w:shd w:val="clear" w:color="auto" w:fill="E6E6E6"/>
    </w:rPr>
  </w:style>
  <w:style w:type="character" w:styleId="Forte">
    <w:name w:val="Strong"/>
    <w:basedOn w:val="Fontepargpadro"/>
    <w:uiPriority w:val="99"/>
    <w:qFormat/>
    <w:rsid w:val="00DC098E"/>
    <w:rPr>
      <w:rFonts w:cs="Times New Roman"/>
      <w:b/>
    </w:rPr>
  </w:style>
  <w:style w:type="character" w:customStyle="1" w:styleId="apple-converted-space">
    <w:name w:val="apple-converted-space"/>
    <w:uiPriority w:val="99"/>
    <w:rsid w:val="00DC098E"/>
  </w:style>
  <w:style w:type="paragraph" w:styleId="Corpodetexto">
    <w:name w:val="Body Text"/>
    <w:basedOn w:val="Normal"/>
    <w:link w:val="CorpodetextoChar"/>
    <w:uiPriority w:val="99"/>
    <w:rsid w:val="00DC098E"/>
    <w:pPr>
      <w:widowControl w:val="0"/>
      <w:suppressLineNumbers/>
      <w:suppressAutoHyphens/>
      <w:spacing w:after="120"/>
      <w:ind w:firstLine="709"/>
      <w:jc w:val="both"/>
    </w:pPr>
    <w:rPr>
      <w:color w:val="auto"/>
      <w:sz w:val="24"/>
    </w:rPr>
  </w:style>
  <w:style w:type="character" w:customStyle="1" w:styleId="CorpodetextoChar">
    <w:name w:val="Corpo de texto Char"/>
    <w:basedOn w:val="Fontepargpadro"/>
    <w:link w:val="Corpodetexto"/>
    <w:uiPriority w:val="99"/>
    <w:locked/>
    <w:rsid w:val="00DC098E"/>
    <w:rPr>
      <w:rFonts w:cs="Times New Roman"/>
      <w:color w:val="auto"/>
      <w:sz w:val="24"/>
    </w:rPr>
  </w:style>
  <w:style w:type="character" w:styleId="MenoPendente">
    <w:name w:val="Unresolved Mention"/>
    <w:basedOn w:val="Fontepargpadro"/>
    <w:uiPriority w:val="99"/>
    <w:semiHidden/>
    <w:unhideWhenUsed/>
    <w:rsid w:val="007926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364607">
      <w:bodyDiv w:val="1"/>
      <w:marLeft w:val="0"/>
      <w:marRight w:val="0"/>
      <w:marTop w:val="0"/>
      <w:marBottom w:val="0"/>
      <w:divBdr>
        <w:top w:val="none" w:sz="0" w:space="0" w:color="auto"/>
        <w:left w:val="none" w:sz="0" w:space="0" w:color="auto"/>
        <w:bottom w:val="none" w:sz="0" w:space="0" w:color="auto"/>
        <w:right w:val="none" w:sz="0" w:space="0" w:color="auto"/>
      </w:divBdr>
    </w:div>
    <w:div w:id="2070421669">
      <w:marLeft w:val="0"/>
      <w:marRight w:val="0"/>
      <w:marTop w:val="0"/>
      <w:marBottom w:val="0"/>
      <w:divBdr>
        <w:top w:val="none" w:sz="0" w:space="0" w:color="auto"/>
        <w:left w:val="none" w:sz="0" w:space="0" w:color="auto"/>
        <w:bottom w:val="none" w:sz="0" w:space="0" w:color="auto"/>
        <w:right w:val="none" w:sz="0" w:space="0" w:color="auto"/>
      </w:divBdr>
      <w:divsChild>
        <w:div w:id="2070421748">
          <w:marLeft w:val="0"/>
          <w:marRight w:val="0"/>
          <w:marTop w:val="15"/>
          <w:marBottom w:val="0"/>
          <w:divBdr>
            <w:top w:val="none" w:sz="0" w:space="0" w:color="auto"/>
            <w:left w:val="none" w:sz="0" w:space="0" w:color="auto"/>
            <w:bottom w:val="none" w:sz="0" w:space="0" w:color="auto"/>
            <w:right w:val="none" w:sz="0" w:space="0" w:color="auto"/>
          </w:divBdr>
          <w:divsChild>
            <w:div w:id="2070421746">
              <w:marLeft w:val="0"/>
              <w:marRight w:val="0"/>
              <w:marTop w:val="0"/>
              <w:marBottom w:val="0"/>
              <w:divBdr>
                <w:top w:val="none" w:sz="0" w:space="0" w:color="auto"/>
                <w:left w:val="none" w:sz="0" w:space="0" w:color="auto"/>
                <w:bottom w:val="none" w:sz="0" w:space="0" w:color="auto"/>
                <w:right w:val="none" w:sz="0" w:space="0" w:color="auto"/>
              </w:divBdr>
              <w:divsChild>
                <w:div w:id="2070421649">
                  <w:marLeft w:val="0"/>
                  <w:marRight w:val="0"/>
                  <w:marTop w:val="0"/>
                  <w:marBottom w:val="0"/>
                  <w:divBdr>
                    <w:top w:val="none" w:sz="0" w:space="0" w:color="auto"/>
                    <w:left w:val="none" w:sz="0" w:space="0" w:color="auto"/>
                    <w:bottom w:val="none" w:sz="0" w:space="0" w:color="auto"/>
                    <w:right w:val="none" w:sz="0" w:space="0" w:color="auto"/>
                  </w:divBdr>
                </w:div>
                <w:div w:id="2070421650">
                  <w:marLeft w:val="0"/>
                  <w:marRight w:val="0"/>
                  <w:marTop w:val="0"/>
                  <w:marBottom w:val="0"/>
                  <w:divBdr>
                    <w:top w:val="none" w:sz="0" w:space="0" w:color="auto"/>
                    <w:left w:val="none" w:sz="0" w:space="0" w:color="auto"/>
                    <w:bottom w:val="none" w:sz="0" w:space="0" w:color="auto"/>
                    <w:right w:val="none" w:sz="0" w:space="0" w:color="auto"/>
                  </w:divBdr>
                </w:div>
                <w:div w:id="2070421652">
                  <w:marLeft w:val="0"/>
                  <w:marRight w:val="0"/>
                  <w:marTop w:val="0"/>
                  <w:marBottom w:val="0"/>
                  <w:divBdr>
                    <w:top w:val="none" w:sz="0" w:space="0" w:color="auto"/>
                    <w:left w:val="none" w:sz="0" w:space="0" w:color="auto"/>
                    <w:bottom w:val="none" w:sz="0" w:space="0" w:color="auto"/>
                    <w:right w:val="none" w:sz="0" w:space="0" w:color="auto"/>
                  </w:divBdr>
                </w:div>
                <w:div w:id="2070421657">
                  <w:marLeft w:val="0"/>
                  <w:marRight w:val="0"/>
                  <w:marTop w:val="0"/>
                  <w:marBottom w:val="0"/>
                  <w:divBdr>
                    <w:top w:val="none" w:sz="0" w:space="0" w:color="auto"/>
                    <w:left w:val="none" w:sz="0" w:space="0" w:color="auto"/>
                    <w:bottom w:val="none" w:sz="0" w:space="0" w:color="auto"/>
                    <w:right w:val="none" w:sz="0" w:space="0" w:color="auto"/>
                  </w:divBdr>
                </w:div>
                <w:div w:id="2070421664">
                  <w:marLeft w:val="0"/>
                  <w:marRight w:val="0"/>
                  <w:marTop w:val="0"/>
                  <w:marBottom w:val="0"/>
                  <w:divBdr>
                    <w:top w:val="none" w:sz="0" w:space="0" w:color="auto"/>
                    <w:left w:val="none" w:sz="0" w:space="0" w:color="auto"/>
                    <w:bottom w:val="none" w:sz="0" w:space="0" w:color="auto"/>
                    <w:right w:val="none" w:sz="0" w:space="0" w:color="auto"/>
                  </w:divBdr>
                </w:div>
                <w:div w:id="2070421665">
                  <w:marLeft w:val="0"/>
                  <w:marRight w:val="0"/>
                  <w:marTop w:val="0"/>
                  <w:marBottom w:val="0"/>
                  <w:divBdr>
                    <w:top w:val="none" w:sz="0" w:space="0" w:color="auto"/>
                    <w:left w:val="none" w:sz="0" w:space="0" w:color="auto"/>
                    <w:bottom w:val="none" w:sz="0" w:space="0" w:color="auto"/>
                    <w:right w:val="none" w:sz="0" w:space="0" w:color="auto"/>
                  </w:divBdr>
                </w:div>
                <w:div w:id="2070421668">
                  <w:marLeft w:val="0"/>
                  <w:marRight w:val="0"/>
                  <w:marTop w:val="0"/>
                  <w:marBottom w:val="0"/>
                  <w:divBdr>
                    <w:top w:val="none" w:sz="0" w:space="0" w:color="auto"/>
                    <w:left w:val="none" w:sz="0" w:space="0" w:color="auto"/>
                    <w:bottom w:val="none" w:sz="0" w:space="0" w:color="auto"/>
                    <w:right w:val="none" w:sz="0" w:space="0" w:color="auto"/>
                  </w:divBdr>
                </w:div>
                <w:div w:id="2070421675">
                  <w:marLeft w:val="0"/>
                  <w:marRight w:val="0"/>
                  <w:marTop w:val="0"/>
                  <w:marBottom w:val="0"/>
                  <w:divBdr>
                    <w:top w:val="none" w:sz="0" w:space="0" w:color="auto"/>
                    <w:left w:val="none" w:sz="0" w:space="0" w:color="auto"/>
                    <w:bottom w:val="none" w:sz="0" w:space="0" w:color="auto"/>
                    <w:right w:val="none" w:sz="0" w:space="0" w:color="auto"/>
                  </w:divBdr>
                </w:div>
                <w:div w:id="2070421677">
                  <w:marLeft w:val="0"/>
                  <w:marRight w:val="0"/>
                  <w:marTop w:val="0"/>
                  <w:marBottom w:val="0"/>
                  <w:divBdr>
                    <w:top w:val="none" w:sz="0" w:space="0" w:color="auto"/>
                    <w:left w:val="none" w:sz="0" w:space="0" w:color="auto"/>
                    <w:bottom w:val="none" w:sz="0" w:space="0" w:color="auto"/>
                    <w:right w:val="none" w:sz="0" w:space="0" w:color="auto"/>
                  </w:divBdr>
                </w:div>
                <w:div w:id="2070421678">
                  <w:marLeft w:val="0"/>
                  <w:marRight w:val="0"/>
                  <w:marTop w:val="0"/>
                  <w:marBottom w:val="0"/>
                  <w:divBdr>
                    <w:top w:val="none" w:sz="0" w:space="0" w:color="auto"/>
                    <w:left w:val="none" w:sz="0" w:space="0" w:color="auto"/>
                    <w:bottom w:val="none" w:sz="0" w:space="0" w:color="auto"/>
                    <w:right w:val="none" w:sz="0" w:space="0" w:color="auto"/>
                  </w:divBdr>
                </w:div>
                <w:div w:id="2070421686">
                  <w:marLeft w:val="0"/>
                  <w:marRight w:val="0"/>
                  <w:marTop w:val="0"/>
                  <w:marBottom w:val="0"/>
                  <w:divBdr>
                    <w:top w:val="none" w:sz="0" w:space="0" w:color="auto"/>
                    <w:left w:val="none" w:sz="0" w:space="0" w:color="auto"/>
                    <w:bottom w:val="none" w:sz="0" w:space="0" w:color="auto"/>
                    <w:right w:val="none" w:sz="0" w:space="0" w:color="auto"/>
                  </w:divBdr>
                </w:div>
                <w:div w:id="2070421690">
                  <w:marLeft w:val="0"/>
                  <w:marRight w:val="0"/>
                  <w:marTop w:val="0"/>
                  <w:marBottom w:val="0"/>
                  <w:divBdr>
                    <w:top w:val="none" w:sz="0" w:space="0" w:color="auto"/>
                    <w:left w:val="none" w:sz="0" w:space="0" w:color="auto"/>
                    <w:bottom w:val="none" w:sz="0" w:space="0" w:color="auto"/>
                    <w:right w:val="none" w:sz="0" w:space="0" w:color="auto"/>
                  </w:divBdr>
                </w:div>
                <w:div w:id="2070421692">
                  <w:marLeft w:val="0"/>
                  <w:marRight w:val="0"/>
                  <w:marTop w:val="0"/>
                  <w:marBottom w:val="0"/>
                  <w:divBdr>
                    <w:top w:val="none" w:sz="0" w:space="0" w:color="auto"/>
                    <w:left w:val="none" w:sz="0" w:space="0" w:color="auto"/>
                    <w:bottom w:val="none" w:sz="0" w:space="0" w:color="auto"/>
                    <w:right w:val="none" w:sz="0" w:space="0" w:color="auto"/>
                  </w:divBdr>
                </w:div>
                <w:div w:id="2070421695">
                  <w:marLeft w:val="0"/>
                  <w:marRight w:val="0"/>
                  <w:marTop w:val="0"/>
                  <w:marBottom w:val="0"/>
                  <w:divBdr>
                    <w:top w:val="none" w:sz="0" w:space="0" w:color="auto"/>
                    <w:left w:val="none" w:sz="0" w:space="0" w:color="auto"/>
                    <w:bottom w:val="none" w:sz="0" w:space="0" w:color="auto"/>
                    <w:right w:val="none" w:sz="0" w:space="0" w:color="auto"/>
                  </w:divBdr>
                </w:div>
                <w:div w:id="2070421696">
                  <w:marLeft w:val="0"/>
                  <w:marRight w:val="0"/>
                  <w:marTop w:val="0"/>
                  <w:marBottom w:val="0"/>
                  <w:divBdr>
                    <w:top w:val="none" w:sz="0" w:space="0" w:color="auto"/>
                    <w:left w:val="none" w:sz="0" w:space="0" w:color="auto"/>
                    <w:bottom w:val="none" w:sz="0" w:space="0" w:color="auto"/>
                    <w:right w:val="none" w:sz="0" w:space="0" w:color="auto"/>
                  </w:divBdr>
                </w:div>
                <w:div w:id="2070421702">
                  <w:marLeft w:val="0"/>
                  <w:marRight w:val="0"/>
                  <w:marTop w:val="0"/>
                  <w:marBottom w:val="0"/>
                  <w:divBdr>
                    <w:top w:val="none" w:sz="0" w:space="0" w:color="auto"/>
                    <w:left w:val="none" w:sz="0" w:space="0" w:color="auto"/>
                    <w:bottom w:val="none" w:sz="0" w:space="0" w:color="auto"/>
                    <w:right w:val="none" w:sz="0" w:space="0" w:color="auto"/>
                  </w:divBdr>
                </w:div>
                <w:div w:id="2070421713">
                  <w:marLeft w:val="0"/>
                  <w:marRight w:val="0"/>
                  <w:marTop w:val="0"/>
                  <w:marBottom w:val="0"/>
                  <w:divBdr>
                    <w:top w:val="none" w:sz="0" w:space="0" w:color="auto"/>
                    <w:left w:val="none" w:sz="0" w:space="0" w:color="auto"/>
                    <w:bottom w:val="none" w:sz="0" w:space="0" w:color="auto"/>
                    <w:right w:val="none" w:sz="0" w:space="0" w:color="auto"/>
                  </w:divBdr>
                </w:div>
                <w:div w:id="2070421714">
                  <w:marLeft w:val="0"/>
                  <w:marRight w:val="0"/>
                  <w:marTop w:val="0"/>
                  <w:marBottom w:val="0"/>
                  <w:divBdr>
                    <w:top w:val="none" w:sz="0" w:space="0" w:color="auto"/>
                    <w:left w:val="none" w:sz="0" w:space="0" w:color="auto"/>
                    <w:bottom w:val="none" w:sz="0" w:space="0" w:color="auto"/>
                    <w:right w:val="none" w:sz="0" w:space="0" w:color="auto"/>
                  </w:divBdr>
                </w:div>
                <w:div w:id="2070421729">
                  <w:marLeft w:val="0"/>
                  <w:marRight w:val="0"/>
                  <w:marTop w:val="0"/>
                  <w:marBottom w:val="0"/>
                  <w:divBdr>
                    <w:top w:val="none" w:sz="0" w:space="0" w:color="auto"/>
                    <w:left w:val="none" w:sz="0" w:space="0" w:color="auto"/>
                    <w:bottom w:val="none" w:sz="0" w:space="0" w:color="auto"/>
                    <w:right w:val="none" w:sz="0" w:space="0" w:color="auto"/>
                  </w:divBdr>
                </w:div>
                <w:div w:id="2070421730">
                  <w:marLeft w:val="0"/>
                  <w:marRight w:val="0"/>
                  <w:marTop w:val="0"/>
                  <w:marBottom w:val="0"/>
                  <w:divBdr>
                    <w:top w:val="none" w:sz="0" w:space="0" w:color="auto"/>
                    <w:left w:val="none" w:sz="0" w:space="0" w:color="auto"/>
                    <w:bottom w:val="none" w:sz="0" w:space="0" w:color="auto"/>
                    <w:right w:val="none" w:sz="0" w:space="0" w:color="auto"/>
                  </w:divBdr>
                </w:div>
                <w:div w:id="2070421732">
                  <w:marLeft w:val="0"/>
                  <w:marRight w:val="0"/>
                  <w:marTop w:val="0"/>
                  <w:marBottom w:val="0"/>
                  <w:divBdr>
                    <w:top w:val="none" w:sz="0" w:space="0" w:color="auto"/>
                    <w:left w:val="none" w:sz="0" w:space="0" w:color="auto"/>
                    <w:bottom w:val="none" w:sz="0" w:space="0" w:color="auto"/>
                    <w:right w:val="none" w:sz="0" w:space="0" w:color="auto"/>
                  </w:divBdr>
                </w:div>
                <w:div w:id="2070421734">
                  <w:marLeft w:val="0"/>
                  <w:marRight w:val="0"/>
                  <w:marTop w:val="0"/>
                  <w:marBottom w:val="0"/>
                  <w:divBdr>
                    <w:top w:val="none" w:sz="0" w:space="0" w:color="auto"/>
                    <w:left w:val="none" w:sz="0" w:space="0" w:color="auto"/>
                    <w:bottom w:val="none" w:sz="0" w:space="0" w:color="auto"/>
                    <w:right w:val="none" w:sz="0" w:space="0" w:color="auto"/>
                  </w:divBdr>
                </w:div>
                <w:div w:id="2070421736">
                  <w:marLeft w:val="0"/>
                  <w:marRight w:val="0"/>
                  <w:marTop w:val="0"/>
                  <w:marBottom w:val="0"/>
                  <w:divBdr>
                    <w:top w:val="none" w:sz="0" w:space="0" w:color="auto"/>
                    <w:left w:val="none" w:sz="0" w:space="0" w:color="auto"/>
                    <w:bottom w:val="none" w:sz="0" w:space="0" w:color="auto"/>
                    <w:right w:val="none" w:sz="0" w:space="0" w:color="auto"/>
                  </w:divBdr>
                </w:div>
                <w:div w:id="2070421741">
                  <w:marLeft w:val="0"/>
                  <w:marRight w:val="0"/>
                  <w:marTop w:val="0"/>
                  <w:marBottom w:val="0"/>
                  <w:divBdr>
                    <w:top w:val="none" w:sz="0" w:space="0" w:color="auto"/>
                    <w:left w:val="none" w:sz="0" w:space="0" w:color="auto"/>
                    <w:bottom w:val="none" w:sz="0" w:space="0" w:color="auto"/>
                    <w:right w:val="none" w:sz="0" w:space="0" w:color="auto"/>
                  </w:divBdr>
                </w:div>
                <w:div w:id="2070421742">
                  <w:marLeft w:val="0"/>
                  <w:marRight w:val="0"/>
                  <w:marTop w:val="0"/>
                  <w:marBottom w:val="0"/>
                  <w:divBdr>
                    <w:top w:val="none" w:sz="0" w:space="0" w:color="auto"/>
                    <w:left w:val="none" w:sz="0" w:space="0" w:color="auto"/>
                    <w:bottom w:val="none" w:sz="0" w:space="0" w:color="auto"/>
                    <w:right w:val="none" w:sz="0" w:space="0" w:color="auto"/>
                  </w:divBdr>
                </w:div>
                <w:div w:id="2070421744">
                  <w:marLeft w:val="0"/>
                  <w:marRight w:val="0"/>
                  <w:marTop w:val="0"/>
                  <w:marBottom w:val="0"/>
                  <w:divBdr>
                    <w:top w:val="none" w:sz="0" w:space="0" w:color="auto"/>
                    <w:left w:val="none" w:sz="0" w:space="0" w:color="auto"/>
                    <w:bottom w:val="none" w:sz="0" w:space="0" w:color="auto"/>
                    <w:right w:val="none" w:sz="0" w:space="0" w:color="auto"/>
                  </w:divBdr>
                </w:div>
                <w:div w:id="2070421750">
                  <w:marLeft w:val="0"/>
                  <w:marRight w:val="0"/>
                  <w:marTop w:val="0"/>
                  <w:marBottom w:val="0"/>
                  <w:divBdr>
                    <w:top w:val="none" w:sz="0" w:space="0" w:color="auto"/>
                    <w:left w:val="none" w:sz="0" w:space="0" w:color="auto"/>
                    <w:bottom w:val="none" w:sz="0" w:space="0" w:color="auto"/>
                    <w:right w:val="none" w:sz="0" w:space="0" w:color="auto"/>
                  </w:divBdr>
                </w:div>
                <w:div w:id="207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679">
      <w:marLeft w:val="0"/>
      <w:marRight w:val="0"/>
      <w:marTop w:val="0"/>
      <w:marBottom w:val="0"/>
      <w:divBdr>
        <w:top w:val="none" w:sz="0" w:space="0" w:color="auto"/>
        <w:left w:val="none" w:sz="0" w:space="0" w:color="auto"/>
        <w:bottom w:val="none" w:sz="0" w:space="0" w:color="auto"/>
        <w:right w:val="none" w:sz="0" w:space="0" w:color="auto"/>
      </w:divBdr>
    </w:div>
    <w:div w:id="2070421680">
      <w:marLeft w:val="0"/>
      <w:marRight w:val="0"/>
      <w:marTop w:val="0"/>
      <w:marBottom w:val="0"/>
      <w:divBdr>
        <w:top w:val="none" w:sz="0" w:space="0" w:color="auto"/>
        <w:left w:val="none" w:sz="0" w:space="0" w:color="auto"/>
        <w:bottom w:val="none" w:sz="0" w:space="0" w:color="auto"/>
        <w:right w:val="none" w:sz="0" w:space="0" w:color="auto"/>
      </w:divBdr>
    </w:div>
    <w:div w:id="2070421681">
      <w:marLeft w:val="0"/>
      <w:marRight w:val="0"/>
      <w:marTop w:val="0"/>
      <w:marBottom w:val="0"/>
      <w:divBdr>
        <w:top w:val="none" w:sz="0" w:space="0" w:color="auto"/>
        <w:left w:val="none" w:sz="0" w:space="0" w:color="auto"/>
        <w:bottom w:val="none" w:sz="0" w:space="0" w:color="auto"/>
        <w:right w:val="none" w:sz="0" w:space="0" w:color="auto"/>
      </w:divBdr>
      <w:divsChild>
        <w:div w:id="2070421698">
          <w:marLeft w:val="0"/>
          <w:marRight w:val="0"/>
          <w:marTop w:val="15"/>
          <w:marBottom w:val="0"/>
          <w:divBdr>
            <w:top w:val="none" w:sz="0" w:space="0" w:color="auto"/>
            <w:left w:val="none" w:sz="0" w:space="0" w:color="auto"/>
            <w:bottom w:val="none" w:sz="0" w:space="0" w:color="auto"/>
            <w:right w:val="none" w:sz="0" w:space="0" w:color="auto"/>
          </w:divBdr>
          <w:divsChild>
            <w:div w:id="2070421743">
              <w:marLeft w:val="0"/>
              <w:marRight w:val="0"/>
              <w:marTop w:val="0"/>
              <w:marBottom w:val="0"/>
              <w:divBdr>
                <w:top w:val="none" w:sz="0" w:space="0" w:color="auto"/>
                <w:left w:val="none" w:sz="0" w:space="0" w:color="auto"/>
                <w:bottom w:val="none" w:sz="0" w:space="0" w:color="auto"/>
                <w:right w:val="none" w:sz="0" w:space="0" w:color="auto"/>
              </w:divBdr>
              <w:divsChild>
                <w:div w:id="2070421653">
                  <w:marLeft w:val="0"/>
                  <w:marRight w:val="0"/>
                  <w:marTop w:val="0"/>
                  <w:marBottom w:val="0"/>
                  <w:divBdr>
                    <w:top w:val="none" w:sz="0" w:space="0" w:color="auto"/>
                    <w:left w:val="none" w:sz="0" w:space="0" w:color="auto"/>
                    <w:bottom w:val="none" w:sz="0" w:space="0" w:color="auto"/>
                    <w:right w:val="none" w:sz="0" w:space="0" w:color="auto"/>
                  </w:divBdr>
                </w:div>
                <w:div w:id="2070421658">
                  <w:marLeft w:val="0"/>
                  <w:marRight w:val="0"/>
                  <w:marTop w:val="0"/>
                  <w:marBottom w:val="0"/>
                  <w:divBdr>
                    <w:top w:val="none" w:sz="0" w:space="0" w:color="auto"/>
                    <w:left w:val="none" w:sz="0" w:space="0" w:color="auto"/>
                    <w:bottom w:val="none" w:sz="0" w:space="0" w:color="auto"/>
                    <w:right w:val="none" w:sz="0" w:space="0" w:color="auto"/>
                  </w:divBdr>
                </w:div>
                <w:div w:id="2070421673">
                  <w:marLeft w:val="0"/>
                  <w:marRight w:val="0"/>
                  <w:marTop w:val="0"/>
                  <w:marBottom w:val="0"/>
                  <w:divBdr>
                    <w:top w:val="none" w:sz="0" w:space="0" w:color="auto"/>
                    <w:left w:val="none" w:sz="0" w:space="0" w:color="auto"/>
                    <w:bottom w:val="none" w:sz="0" w:space="0" w:color="auto"/>
                    <w:right w:val="none" w:sz="0" w:space="0" w:color="auto"/>
                  </w:divBdr>
                </w:div>
                <w:div w:id="2070421683">
                  <w:marLeft w:val="0"/>
                  <w:marRight w:val="0"/>
                  <w:marTop w:val="0"/>
                  <w:marBottom w:val="0"/>
                  <w:divBdr>
                    <w:top w:val="none" w:sz="0" w:space="0" w:color="auto"/>
                    <w:left w:val="none" w:sz="0" w:space="0" w:color="auto"/>
                    <w:bottom w:val="none" w:sz="0" w:space="0" w:color="auto"/>
                    <w:right w:val="none" w:sz="0" w:space="0" w:color="auto"/>
                  </w:divBdr>
                </w:div>
                <w:div w:id="2070421687">
                  <w:marLeft w:val="0"/>
                  <w:marRight w:val="0"/>
                  <w:marTop w:val="0"/>
                  <w:marBottom w:val="0"/>
                  <w:divBdr>
                    <w:top w:val="none" w:sz="0" w:space="0" w:color="auto"/>
                    <w:left w:val="none" w:sz="0" w:space="0" w:color="auto"/>
                    <w:bottom w:val="none" w:sz="0" w:space="0" w:color="auto"/>
                    <w:right w:val="none" w:sz="0" w:space="0" w:color="auto"/>
                  </w:divBdr>
                </w:div>
                <w:div w:id="2070421689">
                  <w:marLeft w:val="0"/>
                  <w:marRight w:val="0"/>
                  <w:marTop w:val="0"/>
                  <w:marBottom w:val="0"/>
                  <w:divBdr>
                    <w:top w:val="none" w:sz="0" w:space="0" w:color="auto"/>
                    <w:left w:val="none" w:sz="0" w:space="0" w:color="auto"/>
                    <w:bottom w:val="none" w:sz="0" w:space="0" w:color="auto"/>
                    <w:right w:val="none" w:sz="0" w:space="0" w:color="auto"/>
                  </w:divBdr>
                </w:div>
                <w:div w:id="2070421697">
                  <w:marLeft w:val="0"/>
                  <w:marRight w:val="0"/>
                  <w:marTop w:val="0"/>
                  <w:marBottom w:val="0"/>
                  <w:divBdr>
                    <w:top w:val="none" w:sz="0" w:space="0" w:color="auto"/>
                    <w:left w:val="none" w:sz="0" w:space="0" w:color="auto"/>
                    <w:bottom w:val="none" w:sz="0" w:space="0" w:color="auto"/>
                    <w:right w:val="none" w:sz="0" w:space="0" w:color="auto"/>
                  </w:divBdr>
                </w:div>
                <w:div w:id="2070421699">
                  <w:marLeft w:val="0"/>
                  <w:marRight w:val="0"/>
                  <w:marTop w:val="0"/>
                  <w:marBottom w:val="0"/>
                  <w:divBdr>
                    <w:top w:val="none" w:sz="0" w:space="0" w:color="auto"/>
                    <w:left w:val="none" w:sz="0" w:space="0" w:color="auto"/>
                    <w:bottom w:val="none" w:sz="0" w:space="0" w:color="auto"/>
                    <w:right w:val="none" w:sz="0" w:space="0" w:color="auto"/>
                  </w:divBdr>
                </w:div>
                <w:div w:id="2070421707">
                  <w:marLeft w:val="0"/>
                  <w:marRight w:val="0"/>
                  <w:marTop w:val="0"/>
                  <w:marBottom w:val="0"/>
                  <w:divBdr>
                    <w:top w:val="none" w:sz="0" w:space="0" w:color="auto"/>
                    <w:left w:val="none" w:sz="0" w:space="0" w:color="auto"/>
                    <w:bottom w:val="none" w:sz="0" w:space="0" w:color="auto"/>
                    <w:right w:val="none" w:sz="0" w:space="0" w:color="auto"/>
                  </w:divBdr>
                </w:div>
                <w:div w:id="2070421712">
                  <w:marLeft w:val="0"/>
                  <w:marRight w:val="0"/>
                  <w:marTop w:val="0"/>
                  <w:marBottom w:val="0"/>
                  <w:divBdr>
                    <w:top w:val="none" w:sz="0" w:space="0" w:color="auto"/>
                    <w:left w:val="none" w:sz="0" w:space="0" w:color="auto"/>
                    <w:bottom w:val="none" w:sz="0" w:space="0" w:color="auto"/>
                    <w:right w:val="none" w:sz="0" w:space="0" w:color="auto"/>
                  </w:divBdr>
                </w:div>
                <w:div w:id="2070421716">
                  <w:marLeft w:val="0"/>
                  <w:marRight w:val="0"/>
                  <w:marTop w:val="0"/>
                  <w:marBottom w:val="0"/>
                  <w:divBdr>
                    <w:top w:val="none" w:sz="0" w:space="0" w:color="auto"/>
                    <w:left w:val="none" w:sz="0" w:space="0" w:color="auto"/>
                    <w:bottom w:val="none" w:sz="0" w:space="0" w:color="auto"/>
                    <w:right w:val="none" w:sz="0" w:space="0" w:color="auto"/>
                  </w:divBdr>
                </w:div>
                <w:div w:id="2070421720">
                  <w:marLeft w:val="0"/>
                  <w:marRight w:val="0"/>
                  <w:marTop w:val="0"/>
                  <w:marBottom w:val="0"/>
                  <w:divBdr>
                    <w:top w:val="none" w:sz="0" w:space="0" w:color="auto"/>
                    <w:left w:val="none" w:sz="0" w:space="0" w:color="auto"/>
                    <w:bottom w:val="none" w:sz="0" w:space="0" w:color="auto"/>
                    <w:right w:val="none" w:sz="0" w:space="0" w:color="auto"/>
                  </w:divBdr>
                </w:div>
                <w:div w:id="2070421724">
                  <w:marLeft w:val="0"/>
                  <w:marRight w:val="0"/>
                  <w:marTop w:val="0"/>
                  <w:marBottom w:val="0"/>
                  <w:divBdr>
                    <w:top w:val="none" w:sz="0" w:space="0" w:color="auto"/>
                    <w:left w:val="none" w:sz="0" w:space="0" w:color="auto"/>
                    <w:bottom w:val="none" w:sz="0" w:space="0" w:color="auto"/>
                    <w:right w:val="none" w:sz="0" w:space="0" w:color="auto"/>
                  </w:divBdr>
                </w:div>
                <w:div w:id="2070421726">
                  <w:marLeft w:val="0"/>
                  <w:marRight w:val="0"/>
                  <w:marTop w:val="0"/>
                  <w:marBottom w:val="0"/>
                  <w:divBdr>
                    <w:top w:val="none" w:sz="0" w:space="0" w:color="auto"/>
                    <w:left w:val="none" w:sz="0" w:space="0" w:color="auto"/>
                    <w:bottom w:val="none" w:sz="0" w:space="0" w:color="auto"/>
                    <w:right w:val="none" w:sz="0" w:space="0" w:color="auto"/>
                  </w:divBdr>
                </w:div>
                <w:div w:id="2070421735">
                  <w:marLeft w:val="0"/>
                  <w:marRight w:val="0"/>
                  <w:marTop w:val="0"/>
                  <w:marBottom w:val="0"/>
                  <w:divBdr>
                    <w:top w:val="none" w:sz="0" w:space="0" w:color="auto"/>
                    <w:left w:val="none" w:sz="0" w:space="0" w:color="auto"/>
                    <w:bottom w:val="none" w:sz="0" w:space="0" w:color="auto"/>
                    <w:right w:val="none" w:sz="0" w:space="0" w:color="auto"/>
                  </w:divBdr>
                </w:div>
                <w:div w:id="2070421737">
                  <w:marLeft w:val="0"/>
                  <w:marRight w:val="0"/>
                  <w:marTop w:val="0"/>
                  <w:marBottom w:val="0"/>
                  <w:divBdr>
                    <w:top w:val="none" w:sz="0" w:space="0" w:color="auto"/>
                    <w:left w:val="none" w:sz="0" w:space="0" w:color="auto"/>
                    <w:bottom w:val="none" w:sz="0" w:space="0" w:color="auto"/>
                    <w:right w:val="none" w:sz="0" w:space="0" w:color="auto"/>
                  </w:divBdr>
                </w:div>
                <w:div w:id="20704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682">
      <w:marLeft w:val="0"/>
      <w:marRight w:val="0"/>
      <w:marTop w:val="0"/>
      <w:marBottom w:val="0"/>
      <w:divBdr>
        <w:top w:val="none" w:sz="0" w:space="0" w:color="auto"/>
        <w:left w:val="none" w:sz="0" w:space="0" w:color="auto"/>
        <w:bottom w:val="none" w:sz="0" w:space="0" w:color="auto"/>
        <w:right w:val="none" w:sz="0" w:space="0" w:color="auto"/>
      </w:divBdr>
    </w:div>
    <w:div w:id="2070421688">
      <w:marLeft w:val="0"/>
      <w:marRight w:val="0"/>
      <w:marTop w:val="0"/>
      <w:marBottom w:val="0"/>
      <w:divBdr>
        <w:top w:val="none" w:sz="0" w:space="0" w:color="auto"/>
        <w:left w:val="none" w:sz="0" w:space="0" w:color="auto"/>
        <w:bottom w:val="none" w:sz="0" w:space="0" w:color="auto"/>
        <w:right w:val="none" w:sz="0" w:space="0" w:color="auto"/>
      </w:divBdr>
      <w:divsChild>
        <w:div w:id="2070421671">
          <w:marLeft w:val="0"/>
          <w:marRight w:val="0"/>
          <w:marTop w:val="0"/>
          <w:marBottom w:val="0"/>
          <w:divBdr>
            <w:top w:val="none" w:sz="0" w:space="0" w:color="auto"/>
            <w:left w:val="none" w:sz="0" w:space="0" w:color="auto"/>
            <w:bottom w:val="none" w:sz="0" w:space="0" w:color="auto"/>
            <w:right w:val="none" w:sz="0" w:space="0" w:color="auto"/>
          </w:divBdr>
        </w:div>
        <w:div w:id="2070421672">
          <w:marLeft w:val="0"/>
          <w:marRight w:val="0"/>
          <w:marTop w:val="0"/>
          <w:marBottom w:val="0"/>
          <w:divBdr>
            <w:top w:val="none" w:sz="0" w:space="0" w:color="auto"/>
            <w:left w:val="none" w:sz="0" w:space="0" w:color="auto"/>
            <w:bottom w:val="none" w:sz="0" w:space="0" w:color="auto"/>
            <w:right w:val="none" w:sz="0" w:space="0" w:color="auto"/>
          </w:divBdr>
        </w:div>
        <w:div w:id="2070421676">
          <w:marLeft w:val="0"/>
          <w:marRight w:val="0"/>
          <w:marTop w:val="0"/>
          <w:marBottom w:val="0"/>
          <w:divBdr>
            <w:top w:val="none" w:sz="0" w:space="0" w:color="auto"/>
            <w:left w:val="none" w:sz="0" w:space="0" w:color="auto"/>
            <w:bottom w:val="none" w:sz="0" w:space="0" w:color="auto"/>
            <w:right w:val="none" w:sz="0" w:space="0" w:color="auto"/>
          </w:divBdr>
        </w:div>
        <w:div w:id="2070421685">
          <w:marLeft w:val="0"/>
          <w:marRight w:val="0"/>
          <w:marTop w:val="0"/>
          <w:marBottom w:val="0"/>
          <w:divBdr>
            <w:top w:val="none" w:sz="0" w:space="0" w:color="auto"/>
            <w:left w:val="none" w:sz="0" w:space="0" w:color="auto"/>
            <w:bottom w:val="none" w:sz="0" w:space="0" w:color="auto"/>
            <w:right w:val="none" w:sz="0" w:space="0" w:color="auto"/>
          </w:divBdr>
        </w:div>
        <w:div w:id="2070421700">
          <w:marLeft w:val="0"/>
          <w:marRight w:val="0"/>
          <w:marTop w:val="0"/>
          <w:marBottom w:val="0"/>
          <w:divBdr>
            <w:top w:val="none" w:sz="0" w:space="0" w:color="auto"/>
            <w:left w:val="none" w:sz="0" w:space="0" w:color="auto"/>
            <w:bottom w:val="none" w:sz="0" w:space="0" w:color="auto"/>
            <w:right w:val="none" w:sz="0" w:space="0" w:color="auto"/>
          </w:divBdr>
        </w:div>
        <w:div w:id="2070421704">
          <w:marLeft w:val="0"/>
          <w:marRight w:val="0"/>
          <w:marTop w:val="0"/>
          <w:marBottom w:val="0"/>
          <w:divBdr>
            <w:top w:val="none" w:sz="0" w:space="0" w:color="auto"/>
            <w:left w:val="none" w:sz="0" w:space="0" w:color="auto"/>
            <w:bottom w:val="none" w:sz="0" w:space="0" w:color="auto"/>
            <w:right w:val="none" w:sz="0" w:space="0" w:color="auto"/>
          </w:divBdr>
        </w:div>
        <w:div w:id="2070421709">
          <w:marLeft w:val="0"/>
          <w:marRight w:val="0"/>
          <w:marTop w:val="0"/>
          <w:marBottom w:val="0"/>
          <w:divBdr>
            <w:top w:val="none" w:sz="0" w:space="0" w:color="auto"/>
            <w:left w:val="none" w:sz="0" w:space="0" w:color="auto"/>
            <w:bottom w:val="none" w:sz="0" w:space="0" w:color="auto"/>
            <w:right w:val="none" w:sz="0" w:space="0" w:color="auto"/>
          </w:divBdr>
        </w:div>
        <w:div w:id="2070421752">
          <w:marLeft w:val="0"/>
          <w:marRight w:val="0"/>
          <w:marTop w:val="0"/>
          <w:marBottom w:val="0"/>
          <w:divBdr>
            <w:top w:val="none" w:sz="0" w:space="0" w:color="auto"/>
            <w:left w:val="none" w:sz="0" w:space="0" w:color="auto"/>
            <w:bottom w:val="none" w:sz="0" w:space="0" w:color="auto"/>
            <w:right w:val="none" w:sz="0" w:space="0" w:color="auto"/>
          </w:divBdr>
        </w:div>
      </w:divsChild>
    </w:div>
    <w:div w:id="2070421701">
      <w:marLeft w:val="0"/>
      <w:marRight w:val="0"/>
      <w:marTop w:val="0"/>
      <w:marBottom w:val="0"/>
      <w:divBdr>
        <w:top w:val="none" w:sz="0" w:space="0" w:color="auto"/>
        <w:left w:val="none" w:sz="0" w:space="0" w:color="auto"/>
        <w:bottom w:val="none" w:sz="0" w:space="0" w:color="auto"/>
        <w:right w:val="none" w:sz="0" w:space="0" w:color="auto"/>
      </w:divBdr>
      <w:divsChild>
        <w:div w:id="2070421651">
          <w:marLeft w:val="0"/>
          <w:marRight w:val="0"/>
          <w:marTop w:val="0"/>
          <w:marBottom w:val="0"/>
          <w:divBdr>
            <w:top w:val="none" w:sz="0" w:space="0" w:color="auto"/>
            <w:left w:val="none" w:sz="0" w:space="0" w:color="auto"/>
            <w:bottom w:val="none" w:sz="0" w:space="0" w:color="auto"/>
            <w:right w:val="none" w:sz="0" w:space="0" w:color="auto"/>
          </w:divBdr>
        </w:div>
        <w:div w:id="2070421725">
          <w:marLeft w:val="0"/>
          <w:marRight w:val="0"/>
          <w:marTop w:val="0"/>
          <w:marBottom w:val="0"/>
          <w:divBdr>
            <w:top w:val="none" w:sz="0" w:space="0" w:color="auto"/>
            <w:left w:val="none" w:sz="0" w:space="0" w:color="auto"/>
            <w:bottom w:val="none" w:sz="0" w:space="0" w:color="auto"/>
            <w:right w:val="none" w:sz="0" w:space="0" w:color="auto"/>
          </w:divBdr>
        </w:div>
        <w:div w:id="2070421727">
          <w:marLeft w:val="0"/>
          <w:marRight w:val="0"/>
          <w:marTop w:val="0"/>
          <w:marBottom w:val="0"/>
          <w:divBdr>
            <w:top w:val="none" w:sz="0" w:space="0" w:color="auto"/>
            <w:left w:val="none" w:sz="0" w:space="0" w:color="auto"/>
            <w:bottom w:val="none" w:sz="0" w:space="0" w:color="auto"/>
            <w:right w:val="none" w:sz="0" w:space="0" w:color="auto"/>
          </w:divBdr>
        </w:div>
      </w:divsChild>
    </w:div>
    <w:div w:id="2070421710">
      <w:marLeft w:val="0"/>
      <w:marRight w:val="0"/>
      <w:marTop w:val="0"/>
      <w:marBottom w:val="0"/>
      <w:divBdr>
        <w:top w:val="none" w:sz="0" w:space="0" w:color="auto"/>
        <w:left w:val="none" w:sz="0" w:space="0" w:color="auto"/>
        <w:bottom w:val="none" w:sz="0" w:space="0" w:color="auto"/>
        <w:right w:val="none" w:sz="0" w:space="0" w:color="auto"/>
      </w:divBdr>
      <w:divsChild>
        <w:div w:id="2070421654">
          <w:marLeft w:val="0"/>
          <w:marRight w:val="0"/>
          <w:marTop w:val="0"/>
          <w:marBottom w:val="0"/>
          <w:divBdr>
            <w:top w:val="none" w:sz="0" w:space="0" w:color="auto"/>
            <w:left w:val="none" w:sz="0" w:space="0" w:color="auto"/>
            <w:bottom w:val="none" w:sz="0" w:space="0" w:color="auto"/>
            <w:right w:val="none" w:sz="0" w:space="0" w:color="auto"/>
          </w:divBdr>
        </w:div>
        <w:div w:id="2070421656">
          <w:marLeft w:val="0"/>
          <w:marRight w:val="0"/>
          <w:marTop w:val="0"/>
          <w:marBottom w:val="0"/>
          <w:divBdr>
            <w:top w:val="none" w:sz="0" w:space="0" w:color="auto"/>
            <w:left w:val="none" w:sz="0" w:space="0" w:color="auto"/>
            <w:bottom w:val="none" w:sz="0" w:space="0" w:color="auto"/>
            <w:right w:val="none" w:sz="0" w:space="0" w:color="auto"/>
          </w:divBdr>
        </w:div>
        <w:div w:id="2070421659">
          <w:marLeft w:val="0"/>
          <w:marRight w:val="0"/>
          <w:marTop w:val="0"/>
          <w:marBottom w:val="0"/>
          <w:divBdr>
            <w:top w:val="none" w:sz="0" w:space="0" w:color="auto"/>
            <w:left w:val="none" w:sz="0" w:space="0" w:color="auto"/>
            <w:bottom w:val="none" w:sz="0" w:space="0" w:color="auto"/>
            <w:right w:val="none" w:sz="0" w:space="0" w:color="auto"/>
          </w:divBdr>
        </w:div>
        <w:div w:id="2070421660">
          <w:marLeft w:val="0"/>
          <w:marRight w:val="0"/>
          <w:marTop w:val="0"/>
          <w:marBottom w:val="0"/>
          <w:divBdr>
            <w:top w:val="none" w:sz="0" w:space="0" w:color="auto"/>
            <w:left w:val="none" w:sz="0" w:space="0" w:color="auto"/>
            <w:bottom w:val="none" w:sz="0" w:space="0" w:color="auto"/>
            <w:right w:val="none" w:sz="0" w:space="0" w:color="auto"/>
          </w:divBdr>
        </w:div>
        <w:div w:id="2070421666">
          <w:marLeft w:val="0"/>
          <w:marRight w:val="0"/>
          <w:marTop w:val="0"/>
          <w:marBottom w:val="0"/>
          <w:divBdr>
            <w:top w:val="none" w:sz="0" w:space="0" w:color="auto"/>
            <w:left w:val="none" w:sz="0" w:space="0" w:color="auto"/>
            <w:bottom w:val="none" w:sz="0" w:space="0" w:color="auto"/>
            <w:right w:val="none" w:sz="0" w:space="0" w:color="auto"/>
          </w:divBdr>
        </w:div>
        <w:div w:id="2070421667">
          <w:marLeft w:val="0"/>
          <w:marRight w:val="0"/>
          <w:marTop w:val="0"/>
          <w:marBottom w:val="0"/>
          <w:divBdr>
            <w:top w:val="none" w:sz="0" w:space="0" w:color="auto"/>
            <w:left w:val="none" w:sz="0" w:space="0" w:color="auto"/>
            <w:bottom w:val="none" w:sz="0" w:space="0" w:color="auto"/>
            <w:right w:val="none" w:sz="0" w:space="0" w:color="auto"/>
          </w:divBdr>
        </w:div>
        <w:div w:id="2070421670">
          <w:marLeft w:val="0"/>
          <w:marRight w:val="0"/>
          <w:marTop w:val="0"/>
          <w:marBottom w:val="0"/>
          <w:divBdr>
            <w:top w:val="none" w:sz="0" w:space="0" w:color="auto"/>
            <w:left w:val="none" w:sz="0" w:space="0" w:color="auto"/>
            <w:bottom w:val="none" w:sz="0" w:space="0" w:color="auto"/>
            <w:right w:val="none" w:sz="0" w:space="0" w:color="auto"/>
          </w:divBdr>
        </w:div>
        <w:div w:id="2070421684">
          <w:marLeft w:val="0"/>
          <w:marRight w:val="0"/>
          <w:marTop w:val="0"/>
          <w:marBottom w:val="0"/>
          <w:divBdr>
            <w:top w:val="none" w:sz="0" w:space="0" w:color="auto"/>
            <w:left w:val="none" w:sz="0" w:space="0" w:color="auto"/>
            <w:bottom w:val="none" w:sz="0" w:space="0" w:color="auto"/>
            <w:right w:val="none" w:sz="0" w:space="0" w:color="auto"/>
          </w:divBdr>
        </w:div>
        <w:div w:id="2070421694">
          <w:marLeft w:val="0"/>
          <w:marRight w:val="0"/>
          <w:marTop w:val="0"/>
          <w:marBottom w:val="0"/>
          <w:divBdr>
            <w:top w:val="none" w:sz="0" w:space="0" w:color="auto"/>
            <w:left w:val="none" w:sz="0" w:space="0" w:color="auto"/>
            <w:bottom w:val="none" w:sz="0" w:space="0" w:color="auto"/>
            <w:right w:val="none" w:sz="0" w:space="0" w:color="auto"/>
          </w:divBdr>
        </w:div>
        <w:div w:id="2070421705">
          <w:marLeft w:val="0"/>
          <w:marRight w:val="0"/>
          <w:marTop w:val="0"/>
          <w:marBottom w:val="0"/>
          <w:divBdr>
            <w:top w:val="none" w:sz="0" w:space="0" w:color="auto"/>
            <w:left w:val="none" w:sz="0" w:space="0" w:color="auto"/>
            <w:bottom w:val="none" w:sz="0" w:space="0" w:color="auto"/>
            <w:right w:val="none" w:sz="0" w:space="0" w:color="auto"/>
          </w:divBdr>
        </w:div>
        <w:div w:id="2070421706">
          <w:marLeft w:val="0"/>
          <w:marRight w:val="0"/>
          <w:marTop w:val="0"/>
          <w:marBottom w:val="0"/>
          <w:divBdr>
            <w:top w:val="none" w:sz="0" w:space="0" w:color="auto"/>
            <w:left w:val="none" w:sz="0" w:space="0" w:color="auto"/>
            <w:bottom w:val="none" w:sz="0" w:space="0" w:color="auto"/>
            <w:right w:val="none" w:sz="0" w:space="0" w:color="auto"/>
          </w:divBdr>
        </w:div>
        <w:div w:id="2070421718">
          <w:marLeft w:val="0"/>
          <w:marRight w:val="0"/>
          <w:marTop w:val="0"/>
          <w:marBottom w:val="0"/>
          <w:divBdr>
            <w:top w:val="none" w:sz="0" w:space="0" w:color="auto"/>
            <w:left w:val="none" w:sz="0" w:space="0" w:color="auto"/>
            <w:bottom w:val="none" w:sz="0" w:space="0" w:color="auto"/>
            <w:right w:val="none" w:sz="0" w:space="0" w:color="auto"/>
          </w:divBdr>
        </w:div>
        <w:div w:id="2070421721">
          <w:marLeft w:val="0"/>
          <w:marRight w:val="0"/>
          <w:marTop w:val="0"/>
          <w:marBottom w:val="0"/>
          <w:divBdr>
            <w:top w:val="none" w:sz="0" w:space="0" w:color="auto"/>
            <w:left w:val="none" w:sz="0" w:space="0" w:color="auto"/>
            <w:bottom w:val="none" w:sz="0" w:space="0" w:color="auto"/>
            <w:right w:val="none" w:sz="0" w:space="0" w:color="auto"/>
          </w:divBdr>
        </w:div>
        <w:div w:id="2070421722">
          <w:marLeft w:val="0"/>
          <w:marRight w:val="0"/>
          <w:marTop w:val="0"/>
          <w:marBottom w:val="0"/>
          <w:divBdr>
            <w:top w:val="none" w:sz="0" w:space="0" w:color="auto"/>
            <w:left w:val="none" w:sz="0" w:space="0" w:color="auto"/>
            <w:bottom w:val="none" w:sz="0" w:space="0" w:color="auto"/>
            <w:right w:val="none" w:sz="0" w:space="0" w:color="auto"/>
          </w:divBdr>
        </w:div>
        <w:div w:id="2070421723">
          <w:marLeft w:val="0"/>
          <w:marRight w:val="0"/>
          <w:marTop w:val="0"/>
          <w:marBottom w:val="0"/>
          <w:divBdr>
            <w:top w:val="none" w:sz="0" w:space="0" w:color="auto"/>
            <w:left w:val="none" w:sz="0" w:space="0" w:color="auto"/>
            <w:bottom w:val="none" w:sz="0" w:space="0" w:color="auto"/>
            <w:right w:val="none" w:sz="0" w:space="0" w:color="auto"/>
          </w:divBdr>
        </w:div>
        <w:div w:id="2070421731">
          <w:marLeft w:val="0"/>
          <w:marRight w:val="0"/>
          <w:marTop w:val="0"/>
          <w:marBottom w:val="0"/>
          <w:divBdr>
            <w:top w:val="none" w:sz="0" w:space="0" w:color="auto"/>
            <w:left w:val="none" w:sz="0" w:space="0" w:color="auto"/>
            <w:bottom w:val="none" w:sz="0" w:space="0" w:color="auto"/>
            <w:right w:val="none" w:sz="0" w:space="0" w:color="auto"/>
          </w:divBdr>
        </w:div>
        <w:div w:id="2070421745">
          <w:marLeft w:val="0"/>
          <w:marRight w:val="0"/>
          <w:marTop w:val="0"/>
          <w:marBottom w:val="0"/>
          <w:divBdr>
            <w:top w:val="none" w:sz="0" w:space="0" w:color="auto"/>
            <w:left w:val="none" w:sz="0" w:space="0" w:color="auto"/>
            <w:bottom w:val="none" w:sz="0" w:space="0" w:color="auto"/>
            <w:right w:val="none" w:sz="0" w:space="0" w:color="auto"/>
          </w:divBdr>
        </w:div>
        <w:div w:id="2070421751">
          <w:marLeft w:val="0"/>
          <w:marRight w:val="0"/>
          <w:marTop w:val="0"/>
          <w:marBottom w:val="0"/>
          <w:divBdr>
            <w:top w:val="none" w:sz="0" w:space="0" w:color="auto"/>
            <w:left w:val="none" w:sz="0" w:space="0" w:color="auto"/>
            <w:bottom w:val="none" w:sz="0" w:space="0" w:color="auto"/>
            <w:right w:val="none" w:sz="0" w:space="0" w:color="auto"/>
          </w:divBdr>
        </w:div>
        <w:div w:id="2070421754">
          <w:marLeft w:val="0"/>
          <w:marRight w:val="0"/>
          <w:marTop w:val="0"/>
          <w:marBottom w:val="0"/>
          <w:divBdr>
            <w:top w:val="none" w:sz="0" w:space="0" w:color="auto"/>
            <w:left w:val="none" w:sz="0" w:space="0" w:color="auto"/>
            <w:bottom w:val="none" w:sz="0" w:space="0" w:color="auto"/>
            <w:right w:val="none" w:sz="0" w:space="0" w:color="auto"/>
          </w:divBdr>
        </w:div>
      </w:divsChild>
    </w:div>
    <w:div w:id="2070421717">
      <w:marLeft w:val="0"/>
      <w:marRight w:val="0"/>
      <w:marTop w:val="0"/>
      <w:marBottom w:val="0"/>
      <w:divBdr>
        <w:top w:val="none" w:sz="0" w:space="0" w:color="auto"/>
        <w:left w:val="none" w:sz="0" w:space="0" w:color="auto"/>
        <w:bottom w:val="none" w:sz="0" w:space="0" w:color="auto"/>
        <w:right w:val="none" w:sz="0" w:space="0" w:color="auto"/>
      </w:divBdr>
    </w:div>
    <w:div w:id="2070421719">
      <w:marLeft w:val="0"/>
      <w:marRight w:val="0"/>
      <w:marTop w:val="0"/>
      <w:marBottom w:val="0"/>
      <w:divBdr>
        <w:top w:val="none" w:sz="0" w:space="0" w:color="auto"/>
        <w:left w:val="none" w:sz="0" w:space="0" w:color="auto"/>
        <w:bottom w:val="none" w:sz="0" w:space="0" w:color="auto"/>
        <w:right w:val="none" w:sz="0" w:space="0" w:color="auto"/>
      </w:divBdr>
    </w:div>
    <w:div w:id="2070421728">
      <w:marLeft w:val="0"/>
      <w:marRight w:val="0"/>
      <w:marTop w:val="0"/>
      <w:marBottom w:val="0"/>
      <w:divBdr>
        <w:top w:val="none" w:sz="0" w:space="0" w:color="auto"/>
        <w:left w:val="none" w:sz="0" w:space="0" w:color="auto"/>
        <w:bottom w:val="none" w:sz="0" w:space="0" w:color="auto"/>
        <w:right w:val="none" w:sz="0" w:space="0" w:color="auto"/>
      </w:divBdr>
    </w:div>
    <w:div w:id="2070421739">
      <w:marLeft w:val="0"/>
      <w:marRight w:val="0"/>
      <w:marTop w:val="0"/>
      <w:marBottom w:val="0"/>
      <w:divBdr>
        <w:top w:val="none" w:sz="0" w:space="0" w:color="auto"/>
        <w:left w:val="none" w:sz="0" w:space="0" w:color="auto"/>
        <w:bottom w:val="none" w:sz="0" w:space="0" w:color="auto"/>
        <w:right w:val="none" w:sz="0" w:space="0" w:color="auto"/>
      </w:divBdr>
      <w:divsChild>
        <w:div w:id="2070421655">
          <w:marLeft w:val="0"/>
          <w:marRight w:val="0"/>
          <w:marTop w:val="0"/>
          <w:marBottom w:val="0"/>
          <w:divBdr>
            <w:top w:val="none" w:sz="0" w:space="0" w:color="auto"/>
            <w:left w:val="none" w:sz="0" w:space="0" w:color="auto"/>
            <w:bottom w:val="none" w:sz="0" w:space="0" w:color="auto"/>
            <w:right w:val="none" w:sz="0" w:space="0" w:color="auto"/>
          </w:divBdr>
        </w:div>
        <w:div w:id="2070421661">
          <w:marLeft w:val="0"/>
          <w:marRight w:val="0"/>
          <w:marTop w:val="0"/>
          <w:marBottom w:val="0"/>
          <w:divBdr>
            <w:top w:val="none" w:sz="0" w:space="0" w:color="auto"/>
            <w:left w:val="none" w:sz="0" w:space="0" w:color="auto"/>
            <w:bottom w:val="none" w:sz="0" w:space="0" w:color="auto"/>
            <w:right w:val="none" w:sz="0" w:space="0" w:color="auto"/>
          </w:divBdr>
        </w:div>
        <w:div w:id="2070421662">
          <w:marLeft w:val="0"/>
          <w:marRight w:val="0"/>
          <w:marTop w:val="0"/>
          <w:marBottom w:val="0"/>
          <w:divBdr>
            <w:top w:val="none" w:sz="0" w:space="0" w:color="auto"/>
            <w:left w:val="none" w:sz="0" w:space="0" w:color="auto"/>
            <w:bottom w:val="none" w:sz="0" w:space="0" w:color="auto"/>
            <w:right w:val="none" w:sz="0" w:space="0" w:color="auto"/>
          </w:divBdr>
        </w:div>
        <w:div w:id="2070421663">
          <w:marLeft w:val="0"/>
          <w:marRight w:val="0"/>
          <w:marTop w:val="0"/>
          <w:marBottom w:val="0"/>
          <w:divBdr>
            <w:top w:val="none" w:sz="0" w:space="0" w:color="auto"/>
            <w:left w:val="none" w:sz="0" w:space="0" w:color="auto"/>
            <w:bottom w:val="none" w:sz="0" w:space="0" w:color="auto"/>
            <w:right w:val="none" w:sz="0" w:space="0" w:color="auto"/>
          </w:divBdr>
        </w:div>
        <w:div w:id="2070421674">
          <w:marLeft w:val="0"/>
          <w:marRight w:val="0"/>
          <w:marTop w:val="0"/>
          <w:marBottom w:val="0"/>
          <w:divBdr>
            <w:top w:val="none" w:sz="0" w:space="0" w:color="auto"/>
            <w:left w:val="none" w:sz="0" w:space="0" w:color="auto"/>
            <w:bottom w:val="none" w:sz="0" w:space="0" w:color="auto"/>
            <w:right w:val="none" w:sz="0" w:space="0" w:color="auto"/>
          </w:divBdr>
        </w:div>
        <w:div w:id="2070421691">
          <w:marLeft w:val="0"/>
          <w:marRight w:val="0"/>
          <w:marTop w:val="0"/>
          <w:marBottom w:val="0"/>
          <w:divBdr>
            <w:top w:val="none" w:sz="0" w:space="0" w:color="auto"/>
            <w:left w:val="none" w:sz="0" w:space="0" w:color="auto"/>
            <w:bottom w:val="none" w:sz="0" w:space="0" w:color="auto"/>
            <w:right w:val="none" w:sz="0" w:space="0" w:color="auto"/>
          </w:divBdr>
        </w:div>
        <w:div w:id="2070421693">
          <w:marLeft w:val="0"/>
          <w:marRight w:val="0"/>
          <w:marTop w:val="0"/>
          <w:marBottom w:val="0"/>
          <w:divBdr>
            <w:top w:val="none" w:sz="0" w:space="0" w:color="auto"/>
            <w:left w:val="none" w:sz="0" w:space="0" w:color="auto"/>
            <w:bottom w:val="none" w:sz="0" w:space="0" w:color="auto"/>
            <w:right w:val="none" w:sz="0" w:space="0" w:color="auto"/>
          </w:divBdr>
        </w:div>
        <w:div w:id="2070421703">
          <w:marLeft w:val="0"/>
          <w:marRight w:val="0"/>
          <w:marTop w:val="0"/>
          <w:marBottom w:val="0"/>
          <w:divBdr>
            <w:top w:val="none" w:sz="0" w:space="0" w:color="auto"/>
            <w:left w:val="none" w:sz="0" w:space="0" w:color="auto"/>
            <w:bottom w:val="none" w:sz="0" w:space="0" w:color="auto"/>
            <w:right w:val="none" w:sz="0" w:space="0" w:color="auto"/>
          </w:divBdr>
        </w:div>
        <w:div w:id="2070421708">
          <w:marLeft w:val="0"/>
          <w:marRight w:val="0"/>
          <w:marTop w:val="0"/>
          <w:marBottom w:val="0"/>
          <w:divBdr>
            <w:top w:val="none" w:sz="0" w:space="0" w:color="auto"/>
            <w:left w:val="none" w:sz="0" w:space="0" w:color="auto"/>
            <w:bottom w:val="none" w:sz="0" w:space="0" w:color="auto"/>
            <w:right w:val="none" w:sz="0" w:space="0" w:color="auto"/>
          </w:divBdr>
        </w:div>
        <w:div w:id="2070421711">
          <w:marLeft w:val="0"/>
          <w:marRight w:val="0"/>
          <w:marTop w:val="0"/>
          <w:marBottom w:val="0"/>
          <w:divBdr>
            <w:top w:val="none" w:sz="0" w:space="0" w:color="auto"/>
            <w:left w:val="none" w:sz="0" w:space="0" w:color="auto"/>
            <w:bottom w:val="none" w:sz="0" w:space="0" w:color="auto"/>
            <w:right w:val="none" w:sz="0" w:space="0" w:color="auto"/>
          </w:divBdr>
        </w:div>
        <w:div w:id="2070421715">
          <w:marLeft w:val="0"/>
          <w:marRight w:val="0"/>
          <w:marTop w:val="0"/>
          <w:marBottom w:val="0"/>
          <w:divBdr>
            <w:top w:val="none" w:sz="0" w:space="0" w:color="auto"/>
            <w:left w:val="none" w:sz="0" w:space="0" w:color="auto"/>
            <w:bottom w:val="none" w:sz="0" w:space="0" w:color="auto"/>
            <w:right w:val="none" w:sz="0" w:space="0" w:color="auto"/>
          </w:divBdr>
        </w:div>
        <w:div w:id="2070421733">
          <w:marLeft w:val="0"/>
          <w:marRight w:val="0"/>
          <w:marTop w:val="0"/>
          <w:marBottom w:val="0"/>
          <w:divBdr>
            <w:top w:val="none" w:sz="0" w:space="0" w:color="auto"/>
            <w:left w:val="none" w:sz="0" w:space="0" w:color="auto"/>
            <w:bottom w:val="none" w:sz="0" w:space="0" w:color="auto"/>
            <w:right w:val="none" w:sz="0" w:space="0" w:color="auto"/>
          </w:divBdr>
        </w:div>
        <w:div w:id="2070421738">
          <w:marLeft w:val="0"/>
          <w:marRight w:val="0"/>
          <w:marTop w:val="0"/>
          <w:marBottom w:val="0"/>
          <w:divBdr>
            <w:top w:val="none" w:sz="0" w:space="0" w:color="auto"/>
            <w:left w:val="none" w:sz="0" w:space="0" w:color="auto"/>
            <w:bottom w:val="none" w:sz="0" w:space="0" w:color="auto"/>
            <w:right w:val="none" w:sz="0" w:space="0" w:color="auto"/>
          </w:divBdr>
        </w:div>
        <w:div w:id="2070421747">
          <w:marLeft w:val="0"/>
          <w:marRight w:val="0"/>
          <w:marTop w:val="0"/>
          <w:marBottom w:val="0"/>
          <w:divBdr>
            <w:top w:val="none" w:sz="0" w:space="0" w:color="auto"/>
            <w:left w:val="none" w:sz="0" w:space="0" w:color="auto"/>
            <w:bottom w:val="none" w:sz="0" w:space="0" w:color="auto"/>
            <w:right w:val="none" w:sz="0" w:space="0" w:color="auto"/>
          </w:divBdr>
        </w:div>
      </w:divsChild>
    </w:div>
    <w:div w:id="20704217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10165.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pc.org.br/CPC/Documentos-Emitidos/Pronunciamentos/Pronunciamento?Id=56" TargetMode="External"/><Relationship Id="rId4" Type="http://schemas.openxmlformats.org/officeDocument/2006/relationships/webSettings" Target="webSettings.xml"/><Relationship Id="rId9" Type="http://schemas.openxmlformats.org/officeDocument/2006/relationships/hyperlink" Target="https://exame.abril.com.br/mundo/qual-e-a-importancia-dos-relatorios-de-sustentabilida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5712</Words>
  <Characters>30845</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Vitor</cp:lastModifiedBy>
  <cp:revision>3</cp:revision>
  <dcterms:created xsi:type="dcterms:W3CDTF">2018-05-08T00:12:00Z</dcterms:created>
  <dcterms:modified xsi:type="dcterms:W3CDTF">2018-05-08T00:16:00Z</dcterms:modified>
</cp:coreProperties>
</file>