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738FD" w14:textId="77777777" w:rsidR="000A2BFC" w:rsidRDefault="000A2BFC" w:rsidP="0036377D">
      <w:pPr>
        <w:jc w:val="center"/>
        <w:rPr>
          <w:b/>
          <w:sz w:val="24"/>
        </w:rPr>
      </w:pPr>
    </w:p>
    <w:p w14:paraId="7DD5F046" w14:textId="77777777" w:rsidR="009204DE" w:rsidRDefault="009204DE" w:rsidP="009204DE">
      <w:pPr>
        <w:jc w:val="center"/>
        <w:rPr>
          <w:b/>
          <w:sz w:val="24"/>
          <w:szCs w:val="24"/>
        </w:rPr>
      </w:pPr>
      <w:r>
        <w:rPr>
          <w:b/>
          <w:sz w:val="24"/>
          <w:szCs w:val="24"/>
        </w:rPr>
        <w:t>Análise dos Fatores que Influenciam n</w:t>
      </w:r>
      <w:r w:rsidRPr="00843BEB">
        <w:rPr>
          <w:b/>
          <w:sz w:val="24"/>
          <w:szCs w:val="24"/>
        </w:rPr>
        <w:t>a Evasão Escolar</w:t>
      </w:r>
      <w:r>
        <w:rPr>
          <w:b/>
          <w:sz w:val="24"/>
          <w:szCs w:val="24"/>
        </w:rPr>
        <w:t xml:space="preserve"> em Curso de Ciências Contábeis</w:t>
      </w:r>
    </w:p>
    <w:p w14:paraId="4D5072BA" w14:textId="480D5506" w:rsidR="00ED7047" w:rsidRDefault="00ED7047" w:rsidP="00890130">
      <w:pPr>
        <w:jc w:val="right"/>
        <w:rPr>
          <w:color w:val="999999"/>
        </w:rPr>
      </w:pPr>
      <w:r w:rsidRPr="00ED7047">
        <w:rPr>
          <w:color w:val="999999"/>
        </w:rPr>
        <w:t xml:space="preserve"> </w:t>
      </w:r>
    </w:p>
    <w:p w14:paraId="3831F24F" w14:textId="77777777" w:rsidR="00890130" w:rsidRPr="00111448" w:rsidRDefault="00890130" w:rsidP="00890130">
      <w:pPr>
        <w:jc w:val="right"/>
      </w:pPr>
      <w:r w:rsidRPr="00111448">
        <w:t>VANIA REGINA MORÁS</w:t>
      </w:r>
    </w:p>
    <w:p w14:paraId="6F299BA9" w14:textId="77777777" w:rsidR="00890130" w:rsidRPr="00111448" w:rsidRDefault="00890130" w:rsidP="00890130">
      <w:pPr>
        <w:jc w:val="right"/>
      </w:pPr>
      <w:r w:rsidRPr="00111448">
        <w:t>Universidade Regional de Blumenau - FURB</w:t>
      </w:r>
    </w:p>
    <w:p w14:paraId="2A458FDE" w14:textId="77777777" w:rsidR="00890130" w:rsidRDefault="00890130" w:rsidP="00890130">
      <w:pPr>
        <w:jc w:val="right"/>
        <w:rPr>
          <w:color w:val="999999"/>
        </w:rPr>
      </w:pPr>
      <w:hyperlink r:id="rId7" w:history="1">
        <w:r w:rsidRPr="00E35B09">
          <w:rPr>
            <w:rStyle w:val="Hyperlink"/>
          </w:rPr>
          <w:t>Vaniar.moras@gmail.com</w:t>
        </w:r>
      </w:hyperlink>
    </w:p>
    <w:p w14:paraId="49ACF9A9" w14:textId="77777777" w:rsidR="00890130" w:rsidRDefault="00890130" w:rsidP="00890130">
      <w:pPr>
        <w:jc w:val="right"/>
        <w:rPr>
          <w:color w:val="999999"/>
        </w:rPr>
      </w:pPr>
    </w:p>
    <w:p w14:paraId="0BF2A336" w14:textId="77777777" w:rsidR="00890130" w:rsidRPr="00111448" w:rsidRDefault="00890130" w:rsidP="00890130">
      <w:pPr>
        <w:jc w:val="right"/>
      </w:pPr>
      <w:r w:rsidRPr="00111448">
        <w:t>VINÍCIUS GIOVANI JACINTHO</w:t>
      </w:r>
    </w:p>
    <w:p w14:paraId="766C07C9" w14:textId="77777777" w:rsidR="00890130" w:rsidRPr="00111448" w:rsidRDefault="00890130" w:rsidP="00890130">
      <w:pPr>
        <w:jc w:val="right"/>
      </w:pPr>
      <w:r w:rsidRPr="00111448">
        <w:t>Universidade Regional de Blumenau - FURB</w:t>
      </w:r>
    </w:p>
    <w:p w14:paraId="29739A90" w14:textId="77777777" w:rsidR="00890130" w:rsidRDefault="00890130" w:rsidP="00890130">
      <w:pPr>
        <w:jc w:val="right"/>
        <w:rPr>
          <w:color w:val="999999"/>
        </w:rPr>
      </w:pPr>
      <w:hyperlink r:id="rId8" w:history="1">
        <w:r w:rsidRPr="00E35B09">
          <w:rPr>
            <w:rStyle w:val="Hyperlink"/>
          </w:rPr>
          <w:t>vinijw@hotmail.com</w:t>
        </w:r>
      </w:hyperlink>
    </w:p>
    <w:p w14:paraId="52FD598F" w14:textId="77777777" w:rsidR="00890130" w:rsidRDefault="00890130" w:rsidP="00890130">
      <w:pPr>
        <w:jc w:val="right"/>
        <w:rPr>
          <w:color w:val="999999"/>
        </w:rPr>
      </w:pPr>
    </w:p>
    <w:p w14:paraId="5C619538" w14:textId="77777777" w:rsidR="00890130" w:rsidRPr="00111448" w:rsidRDefault="00890130" w:rsidP="00890130">
      <w:pPr>
        <w:jc w:val="right"/>
      </w:pPr>
      <w:r w:rsidRPr="00111448">
        <w:t>ADRIANA KROENKE</w:t>
      </w:r>
    </w:p>
    <w:p w14:paraId="26A6701E" w14:textId="77777777" w:rsidR="00890130" w:rsidRPr="00111448" w:rsidRDefault="00890130" w:rsidP="00890130">
      <w:pPr>
        <w:jc w:val="right"/>
      </w:pPr>
      <w:r w:rsidRPr="00111448">
        <w:t>Universidade Regional de Blumenau - FURB</w:t>
      </w:r>
    </w:p>
    <w:p w14:paraId="5A280284" w14:textId="77777777" w:rsidR="00890130" w:rsidRDefault="00890130" w:rsidP="00890130">
      <w:pPr>
        <w:jc w:val="right"/>
        <w:rPr>
          <w:color w:val="999999"/>
        </w:rPr>
      </w:pPr>
      <w:hyperlink r:id="rId9" w:history="1">
        <w:r w:rsidRPr="00E35B09">
          <w:rPr>
            <w:rStyle w:val="Hyperlink"/>
          </w:rPr>
          <w:t>akroenke@furb.br</w:t>
        </w:r>
      </w:hyperlink>
    </w:p>
    <w:p w14:paraId="03D7E92B" w14:textId="77777777" w:rsidR="00B41AC1" w:rsidRDefault="00B41AC1" w:rsidP="00B41AC1">
      <w:pPr>
        <w:jc w:val="center"/>
        <w:rPr>
          <w:b/>
          <w:color w:val="999999"/>
        </w:rPr>
      </w:pPr>
    </w:p>
    <w:p w14:paraId="116133D5" w14:textId="77777777" w:rsidR="00524B6A" w:rsidRDefault="00524B6A" w:rsidP="00B41AC1">
      <w:pPr>
        <w:jc w:val="center"/>
        <w:rPr>
          <w:b/>
          <w:color w:val="999999"/>
        </w:rPr>
      </w:pPr>
    </w:p>
    <w:p w14:paraId="28814EA9" w14:textId="77777777" w:rsidR="009204DE" w:rsidRDefault="00B41AC1" w:rsidP="00B41AC1">
      <w:pPr>
        <w:jc w:val="both"/>
        <w:rPr>
          <w:b/>
          <w:sz w:val="24"/>
          <w:szCs w:val="24"/>
        </w:rPr>
      </w:pPr>
      <w:r>
        <w:rPr>
          <w:b/>
          <w:sz w:val="24"/>
          <w:szCs w:val="24"/>
        </w:rPr>
        <w:t xml:space="preserve">Resumo: </w:t>
      </w:r>
    </w:p>
    <w:p w14:paraId="17B032A1" w14:textId="2DB6DC5E" w:rsidR="009204DE" w:rsidRDefault="009204DE" w:rsidP="009204DE">
      <w:pPr>
        <w:jc w:val="both"/>
        <w:rPr>
          <w:sz w:val="24"/>
          <w:szCs w:val="24"/>
        </w:rPr>
      </w:pPr>
      <w:r w:rsidRPr="003D70EF">
        <w:rPr>
          <w:sz w:val="24"/>
          <w:szCs w:val="24"/>
        </w:rPr>
        <w:t>No contexto acadêmico a evasão escolar pode ser entendida como um fenômeno complexo que gera consequências negativas nos indivíduos e na sociedade. Deste modo, o presente estudo tem como objetivo analisar os fatores que influenciam na evasão escolar em curso de ciências contábeis. O estudo caracteriza-se como descritivo, de levantamento e quantitativo. A amostra foi composta por estudantes do 1º ao 6º semestre do curso de Ciências Contábeis de uma instituição do Estado de Santa Catarina. Utilizou-se um questionário aplicado em 2017/2 para coletar as características dos acadêmicos, os fatores que os fizeram escolher pelo curso e os fatores que os faria</w:t>
      </w:r>
      <w:r>
        <w:rPr>
          <w:sz w:val="24"/>
          <w:szCs w:val="24"/>
        </w:rPr>
        <w:t>m</w:t>
      </w:r>
      <w:r w:rsidRPr="003D70EF">
        <w:rPr>
          <w:sz w:val="24"/>
          <w:szCs w:val="24"/>
        </w:rPr>
        <w:t xml:space="preserve"> abandonar o curso, contando com um</w:t>
      </w:r>
      <w:r>
        <w:rPr>
          <w:sz w:val="24"/>
          <w:szCs w:val="24"/>
        </w:rPr>
        <w:t>a amostra</w:t>
      </w:r>
      <w:r w:rsidRPr="003D70EF">
        <w:rPr>
          <w:sz w:val="24"/>
          <w:szCs w:val="24"/>
        </w:rPr>
        <w:t xml:space="preserve"> total de 101 respondentes. Para o tratamento dos dados utilizou-se Estatística Descritiva e Análise Fatorial </w:t>
      </w:r>
      <w:r>
        <w:rPr>
          <w:sz w:val="24"/>
          <w:szCs w:val="24"/>
        </w:rPr>
        <w:t xml:space="preserve">por Componentes Principais. </w:t>
      </w:r>
      <w:r w:rsidRPr="003D70EF">
        <w:rPr>
          <w:sz w:val="24"/>
          <w:szCs w:val="24"/>
        </w:rPr>
        <w:t xml:space="preserve">Os resultados indicam que </w:t>
      </w:r>
      <w:r>
        <w:rPr>
          <w:sz w:val="24"/>
          <w:szCs w:val="24"/>
        </w:rPr>
        <w:t>o</w:t>
      </w:r>
      <w:r w:rsidRPr="003D70EF">
        <w:rPr>
          <w:sz w:val="24"/>
          <w:szCs w:val="24"/>
        </w:rPr>
        <w:t xml:space="preserve"> primeiro fator referente à </w:t>
      </w:r>
      <w:r>
        <w:rPr>
          <w:sz w:val="24"/>
          <w:szCs w:val="24"/>
        </w:rPr>
        <w:t>escolha do curso explica 27</w:t>
      </w:r>
      <w:r w:rsidRPr="003D70EF">
        <w:rPr>
          <w:sz w:val="24"/>
          <w:szCs w:val="24"/>
        </w:rPr>
        <w:t>%</w:t>
      </w:r>
      <w:r>
        <w:rPr>
          <w:sz w:val="24"/>
          <w:szCs w:val="24"/>
        </w:rPr>
        <w:t xml:space="preserve"> da variância </w:t>
      </w:r>
      <w:r w:rsidRPr="003D70EF">
        <w:rPr>
          <w:sz w:val="24"/>
          <w:szCs w:val="24"/>
        </w:rPr>
        <w:t>e foi formado pelas seguintes questões: atendimento das aptidões pessoais do acadêmico, o nível de exigência do curso e a condição que o curso permite de o acadêmico estudar e trabalhar simultaneamente. Enquanto, os fatores de evasão mais significativos</w:t>
      </w:r>
      <w:r>
        <w:rPr>
          <w:sz w:val="24"/>
          <w:szCs w:val="24"/>
        </w:rPr>
        <w:t>, com 25% de variância, foram: mudança de interesse, opção de vida e/ou indecisão profissional, problemas de saúde ou falecimento, mudança de residência/domicílio, por não atender minhas expectativas, reprovações constantes, desempenho acadêmico insuficiente e escolha equivocada do curso. Esses resultados permitem identificar os possíveis fatores de evasão escolar e assim criar estratégias e ações para mitigar os efeitos negativos desta no ambiente acadêmico.</w:t>
      </w:r>
    </w:p>
    <w:p w14:paraId="09E5E014" w14:textId="77777777" w:rsidR="00B41AC1" w:rsidRDefault="00B41AC1" w:rsidP="00B41AC1">
      <w:pPr>
        <w:rPr>
          <w:b/>
          <w:sz w:val="24"/>
          <w:szCs w:val="24"/>
        </w:rPr>
      </w:pPr>
    </w:p>
    <w:p w14:paraId="52D214C3" w14:textId="6067C27B" w:rsidR="00B41AC1" w:rsidRDefault="00B41AC1" w:rsidP="00B41AC1">
      <w:pPr>
        <w:rPr>
          <w:sz w:val="24"/>
          <w:szCs w:val="24"/>
        </w:rPr>
      </w:pPr>
      <w:r>
        <w:rPr>
          <w:b/>
          <w:sz w:val="24"/>
          <w:szCs w:val="24"/>
        </w:rPr>
        <w:t xml:space="preserve">Palavras-chave: </w:t>
      </w:r>
      <w:r w:rsidR="009204DE">
        <w:rPr>
          <w:sz w:val="24"/>
          <w:szCs w:val="24"/>
        </w:rPr>
        <w:t>Educação; Evasão escolar;</w:t>
      </w:r>
      <w:r w:rsidR="009204DE" w:rsidRPr="00EF4283">
        <w:rPr>
          <w:sz w:val="24"/>
          <w:szCs w:val="24"/>
        </w:rPr>
        <w:t xml:space="preserve"> </w:t>
      </w:r>
      <w:r w:rsidR="009204DE">
        <w:rPr>
          <w:sz w:val="24"/>
          <w:szCs w:val="24"/>
        </w:rPr>
        <w:t>Curso de Ciências Contábeis.</w:t>
      </w:r>
    </w:p>
    <w:p w14:paraId="60737134" w14:textId="77777777" w:rsidR="00B41AC1" w:rsidRDefault="00B41AC1" w:rsidP="00B41AC1">
      <w:pPr>
        <w:rPr>
          <w:sz w:val="24"/>
          <w:szCs w:val="24"/>
        </w:rPr>
      </w:pPr>
    </w:p>
    <w:p w14:paraId="47CAB51A" w14:textId="18BFD7C3" w:rsidR="00B41AC1" w:rsidRPr="009204DE" w:rsidRDefault="00B41AC1" w:rsidP="00B41AC1">
      <w:pPr>
        <w:rPr>
          <w:sz w:val="24"/>
          <w:szCs w:val="24"/>
        </w:rPr>
      </w:pPr>
      <w:r>
        <w:rPr>
          <w:b/>
          <w:sz w:val="24"/>
          <w:szCs w:val="24"/>
        </w:rPr>
        <w:t xml:space="preserve">Linha Temática: </w:t>
      </w:r>
      <w:r w:rsidR="002226E8">
        <w:rPr>
          <w:sz w:val="24"/>
          <w:szCs w:val="24"/>
        </w:rPr>
        <w:t>Outros temas relevantes em contabilidade.</w:t>
      </w:r>
    </w:p>
    <w:p w14:paraId="46927EC9" w14:textId="77777777" w:rsidR="00B41AC1" w:rsidRDefault="00B41AC1" w:rsidP="00B41AC1"/>
    <w:p w14:paraId="7D16C4C6" w14:textId="77777777" w:rsidR="00B41AC1" w:rsidRDefault="00B41AC1" w:rsidP="00B41AC1"/>
    <w:p w14:paraId="6D87E560" w14:textId="77777777" w:rsidR="00B41AC1" w:rsidRDefault="00B41AC1" w:rsidP="00B41AC1"/>
    <w:p w14:paraId="1177810C" w14:textId="77777777" w:rsidR="00B41AC1" w:rsidRDefault="00B41AC1" w:rsidP="00B41AC1"/>
    <w:p w14:paraId="309E75DD" w14:textId="77777777" w:rsidR="00B41AC1" w:rsidRDefault="00B41AC1" w:rsidP="00B41AC1"/>
    <w:p w14:paraId="4A1C6438" w14:textId="77777777" w:rsidR="00B41AC1" w:rsidRDefault="00B41AC1" w:rsidP="00B41AC1"/>
    <w:p w14:paraId="3E3D9661" w14:textId="77777777" w:rsidR="00B41AC1" w:rsidRDefault="00B41AC1" w:rsidP="00B41AC1"/>
    <w:p w14:paraId="5BBEDF81" w14:textId="77777777" w:rsidR="00B41AC1" w:rsidRDefault="00B41AC1" w:rsidP="00B41AC1"/>
    <w:p w14:paraId="449130A7" w14:textId="77777777" w:rsidR="00B41AC1" w:rsidRDefault="00B41AC1" w:rsidP="00B41AC1"/>
    <w:p w14:paraId="110459E0" w14:textId="77777777" w:rsidR="00B41AC1" w:rsidRDefault="00B41AC1" w:rsidP="00B41AC1"/>
    <w:p w14:paraId="6EF8ACBB" w14:textId="77777777" w:rsidR="00B41AC1" w:rsidRDefault="00B41AC1" w:rsidP="00B41AC1"/>
    <w:p w14:paraId="590E3FB4" w14:textId="77777777" w:rsidR="00524B6A" w:rsidRDefault="00524B6A" w:rsidP="00B41AC1"/>
    <w:p w14:paraId="12AEC79E" w14:textId="77777777" w:rsidR="00524B6A" w:rsidRDefault="00524B6A" w:rsidP="00B41AC1"/>
    <w:p w14:paraId="562CA91A" w14:textId="77777777" w:rsidR="00524B6A" w:rsidRDefault="00524B6A" w:rsidP="00B41AC1"/>
    <w:p w14:paraId="0A6026D6" w14:textId="77777777" w:rsidR="00524B6A" w:rsidRDefault="00524B6A" w:rsidP="00B41AC1"/>
    <w:p w14:paraId="1B68F4F0" w14:textId="77777777" w:rsidR="00246C6D" w:rsidRPr="00764030" w:rsidRDefault="00246C6D" w:rsidP="00246C6D">
      <w:pPr>
        <w:pStyle w:val="PargrafodaLista"/>
        <w:numPr>
          <w:ilvl w:val="0"/>
          <w:numId w:val="2"/>
        </w:numPr>
        <w:suppressAutoHyphens w:val="0"/>
        <w:ind w:left="284" w:hanging="284"/>
        <w:jc w:val="both"/>
        <w:rPr>
          <w:b/>
          <w:sz w:val="24"/>
          <w:szCs w:val="24"/>
        </w:rPr>
      </w:pPr>
      <w:bookmarkStart w:id="0" w:name="_GoBack"/>
      <w:bookmarkEnd w:id="0"/>
      <w:r w:rsidRPr="00764030">
        <w:rPr>
          <w:b/>
          <w:sz w:val="24"/>
          <w:szCs w:val="24"/>
        </w:rPr>
        <w:t>INTRODUÇÃO</w:t>
      </w:r>
    </w:p>
    <w:p w14:paraId="24895256" w14:textId="77777777" w:rsidR="00246C6D" w:rsidRPr="00584AC3" w:rsidRDefault="00246C6D" w:rsidP="00162746">
      <w:pPr>
        <w:ind w:firstLine="709"/>
        <w:jc w:val="both"/>
        <w:rPr>
          <w:bCs/>
          <w:spacing w:val="5"/>
          <w:sz w:val="24"/>
          <w:szCs w:val="24"/>
          <w:lang w:val="pt-PT"/>
        </w:rPr>
      </w:pPr>
      <w:r>
        <w:rPr>
          <w:sz w:val="24"/>
          <w:szCs w:val="24"/>
        </w:rPr>
        <w:t xml:space="preserve"> </w:t>
      </w:r>
      <w:r w:rsidRPr="00584AC3">
        <w:rPr>
          <w:sz w:val="24"/>
          <w:szCs w:val="24"/>
        </w:rPr>
        <w:t>A educação é vista como uma decisão de investimento, onde indivíduos escolhem seu nível ideal, considerando o custo benefício para obter um diploma. Assim, o esforço em se graduar aumenta</w:t>
      </w:r>
      <w:r>
        <w:rPr>
          <w:sz w:val="24"/>
          <w:szCs w:val="24"/>
        </w:rPr>
        <w:t xml:space="preserve"> as</w:t>
      </w:r>
      <w:r w:rsidRPr="00584AC3">
        <w:rPr>
          <w:sz w:val="24"/>
          <w:szCs w:val="24"/>
        </w:rPr>
        <w:t xml:space="preserve"> habilidades humanas que serão posteriormente utilizadas e consumidas no mercado de trabalho (</w:t>
      </w:r>
      <w:r>
        <w:rPr>
          <w:bCs/>
          <w:spacing w:val="5"/>
          <w:sz w:val="24"/>
          <w:szCs w:val="24"/>
          <w:lang w:val="pt-PT"/>
        </w:rPr>
        <w:t xml:space="preserve">Migali </w:t>
      </w:r>
      <w:r w:rsidRPr="00213074">
        <w:rPr>
          <w:bCs/>
          <w:spacing w:val="5"/>
          <w:sz w:val="24"/>
          <w:szCs w:val="24"/>
          <w:lang w:val="pt-PT"/>
        </w:rPr>
        <w:t>&amp;</w:t>
      </w:r>
      <w:r w:rsidRPr="00584AC3">
        <w:rPr>
          <w:bCs/>
          <w:spacing w:val="5"/>
          <w:sz w:val="24"/>
          <w:szCs w:val="24"/>
          <w:lang w:val="pt-PT"/>
        </w:rPr>
        <w:t xml:space="preserve"> Zucchelli, 2017).</w:t>
      </w:r>
    </w:p>
    <w:p w14:paraId="43287B18" w14:textId="08229F6B" w:rsidR="00246C6D" w:rsidRPr="00584AC3" w:rsidRDefault="00246C6D" w:rsidP="00162746">
      <w:pPr>
        <w:ind w:firstLine="709"/>
        <w:jc w:val="both"/>
        <w:rPr>
          <w:bCs/>
          <w:spacing w:val="5"/>
          <w:sz w:val="24"/>
          <w:szCs w:val="24"/>
          <w:lang w:val="pt-PT"/>
        </w:rPr>
      </w:pPr>
      <w:r w:rsidRPr="00584AC3">
        <w:rPr>
          <w:bCs/>
          <w:spacing w:val="5"/>
          <w:sz w:val="24"/>
          <w:szCs w:val="24"/>
          <w:lang w:val="pt-PT"/>
        </w:rPr>
        <w:t>O acesso a educação torna-se um diferencial essencial e importante na vida do ser humano. Assim, por meio da educa</w:t>
      </w:r>
      <w:r>
        <w:rPr>
          <w:bCs/>
          <w:spacing w:val="5"/>
          <w:sz w:val="24"/>
          <w:szCs w:val="24"/>
          <w:lang w:val="pt-PT"/>
        </w:rPr>
        <w:t>ção os individuos possuem maior</w:t>
      </w:r>
      <w:r w:rsidRPr="00584AC3">
        <w:rPr>
          <w:bCs/>
          <w:spacing w:val="5"/>
          <w:sz w:val="24"/>
          <w:szCs w:val="24"/>
          <w:lang w:val="pt-PT"/>
        </w:rPr>
        <w:t xml:space="preserve"> acesso ao mercado de trabalho, a saúde, e consequentemente adquirem uma vida mais ativa e soci</w:t>
      </w:r>
      <w:r>
        <w:rPr>
          <w:bCs/>
          <w:spacing w:val="5"/>
          <w:sz w:val="24"/>
          <w:szCs w:val="24"/>
          <w:lang w:val="pt-PT"/>
        </w:rPr>
        <w:t>á</w:t>
      </w:r>
      <w:r w:rsidRPr="00584AC3">
        <w:rPr>
          <w:bCs/>
          <w:spacing w:val="5"/>
          <w:sz w:val="24"/>
          <w:szCs w:val="24"/>
          <w:lang w:val="pt-PT"/>
        </w:rPr>
        <w:t xml:space="preserve">vel (Kuh et. </w:t>
      </w:r>
      <w:r w:rsidRPr="00334301">
        <w:rPr>
          <w:bCs/>
          <w:i/>
          <w:spacing w:val="5"/>
          <w:sz w:val="24"/>
          <w:szCs w:val="24"/>
          <w:lang w:val="pt-PT"/>
        </w:rPr>
        <w:t>al</w:t>
      </w:r>
      <w:r w:rsidRPr="00584AC3">
        <w:rPr>
          <w:bCs/>
          <w:spacing w:val="5"/>
          <w:sz w:val="24"/>
          <w:szCs w:val="24"/>
          <w:lang w:val="pt-PT"/>
        </w:rPr>
        <w:t>, 2008; Robison</w:t>
      </w:r>
      <w:r w:rsidR="00334301">
        <w:rPr>
          <w:bCs/>
          <w:spacing w:val="5"/>
          <w:sz w:val="24"/>
          <w:szCs w:val="24"/>
          <w:lang w:val="pt-PT"/>
        </w:rPr>
        <w:t xml:space="preserve"> et. </w:t>
      </w:r>
      <w:r w:rsidR="00334301" w:rsidRPr="00334301">
        <w:rPr>
          <w:bCs/>
          <w:i/>
          <w:spacing w:val="5"/>
          <w:sz w:val="24"/>
          <w:szCs w:val="24"/>
          <w:lang w:val="pt-PT"/>
        </w:rPr>
        <w:t>a</w:t>
      </w:r>
      <w:r w:rsidRPr="00334301">
        <w:rPr>
          <w:bCs/>
          <w:i/>
          <w:spacing w:val="5"/>
          <w:sz w:val="24"/>
          <w:szCs w:val="24"/>
          <w:lang w:val="pt-PT"/>
        </w:rPr>
        <w:t>l</w:t>
      </w:r>
      <w:r w:rsidRPr="00584AC3">
        <w:rPr>
          <w:bCs/>
          <w:spacing w:val="5"/>
          <w:sz w:val="24"/>
          <w:szCs w:val="24"/>
          <w:lang w:val="pt-PT"/>
        </w:rPr>
        <w:t>, 2017)</w:t>
      </w:r>
    </w:p>
    <w:p w14:paraId="030716FF" w14:textId="77777777" w:rsidR="00246C6D" w:rsidRPr="00584AC3" w:rsidRDefault="00246C6D" w:rsidP="00162746">
      <w:pPr>
        <w:ind w:firstLine="709"/>
        <w:jc w:val="both"/>
        <w:rPr>
          <w:sz w:val="24"/>
          <w:szCs w:val="24"/>
        </w:rPr>
      </w:pPr>
      <w:r>
        <w:rPr>
          <w:bCs/>
          <w:spacing w:val="5"/>
          <w:sz w:val="24"/>
          <w:szCs w:val="24"/>
          <w:lang w:val="pt-PT"/>
        </w:rPr>
        <w:t>A</w:t>
      </w:r>
      <w:r w:rsidRPr="00584AC3">
        <w:rPr>
          <w:bCs/>
          <w:spacing w:val="5"/>
          <w:sz w:val="24"/>
          <w:szCs w:val="24"/>
          <w:lang w:val="pt-PT"/>
        </w:rPr>
        <w:t xml:space="preserve"> educação aprimora o capital humano, deste modo</w:t>
      </w:r>
      <w:r>
        <w:rPr>
          <w:bCs/>
          <w:spacing w:val="5"/>
          <w:sz w:val="24"/>
          <w:szCs w:val="24"/>
          <w:lang w:val="pt-PT"/>
        </w:rPr>
        <w:t>,</w:t>
      </w:r>
      <w:r w:rsidRPr="00584AC3">
        <w:rPr>
          <w:bCs/>
          <w:spacing w:val="5"/>
          <w:sz w:val="24"/>
          <w:szCs w:val="24"/>
          <w:lang w:val="pt-PT"/>
        </w:rPr>
        <w:t xml:space="preserve"> as decisões de abandono escolar podem estar relacionadas aos baixos rendimentos futuros que pode ser gerados por meio da educação </w:t>
      </w:r>
      <w:r w:rsidRPr="00584AC3">
        <w:rPr>
          <w:sz w:val="24"/>
          <w:szCs w:val="24"/>
        </w:rPr>
        <w:t>(</w:t>
      </w:r>
      <w:r>
        <w:rPr>
          <w:sz w:val="24"/>
          <w:szCs w:val="24"/>
        </w:rPr>
        <w:t xml:space="preserve">Dias, </w:t>
      </w:r>
      <w:r w:rsidRPr="00213074">
        <w:rPr>
          <w:bCs/>
          <w:spacing w:val="5"/>
          <w:sz w:val="24"/>
          <w:szCs w:val="24"/>
          <w:lang w:val="pt-PT"/>
        </w:rPr>
        <w:t>Theóphilo &amp; Lopes, 2010</w:t>
      </w:r>
      <w:r>
        <w:rPr>
          <w:bCs/>
          <w:spacing w:val="5"/>
          <w:sz w:val="24"/>
          <w:szCs w:val="24"/>
          <w:lang w:val="pt-PT"/>
        </w:rPr>
        <w:t xml:space="preserve">; Migali </w:t>
      </w:r>
      <w:r w:rsidRPr="00213074">
        <w:rPr>
          <w:bCs/>
          <w:spacing w:val="5"/>
          <w:sz w:val="24"/>
          <w:szCs w:val="24"/>
          <w:lang w:val="pt-PT"/>
        </w:rPr>
        <w:t>&amp;</w:t>
      </w:r>
      <w:r w:rsidRPr="00584AC3">
        <w:rPr>
          <w:bCs/>
          <w:spacing w:val="5"/>
          <w:sz w:val="24"/>
          <w:szCs w:val="24"/>
          <w:lang w:val="pt-PT"/>
        </w:rPr>
        <w:t xml:space="preserve"> Zucchelli, 2017). </w:t>
      </w:r>
      <w:r>
        <w:rPr>
          <w:bCs/>
          <w:spacing w:val="5"/>
          <w:sz w:val="24"/>
          <w:szCs w:val="24"/>
          <w:lang w:val="pt-PT"/>
        </w:rPr>
        <w:t>De acordo com Oakland (1992), a</w:t>
      </w:r>
      <w:r w:rsidRPr="00584AC3">
        <w:rPr>
          <w:bCs/>
          <w:spacing w:val="5"/>
          <w:sz w:val="24"/>
          <w:szCs w:val="24"/>
          <w:lang w:val="pt-PT"/>
        </w:rPr>
        <w:t xml:space="preserve">s altas taxas de abandono escolar entre adolescentes são alarmantes e </w:t>
      </w:r>
      <w:r>
        <w:rPr>
          <w:bCs/>
          <w:spacing w:val="5"/>
          <w:sz w:val="24"/>
          <w:szCs w:val="24"/>
          <w:lang w:val="pt-PT"/>
        </w:rPr>
        <w:t>constituiram</w:t>
      </w:r>
      <w:r w:rsidRPr="00584AC3">
        <w:rPr>
          <w:bCs/>
          <w:spacing w:val="5"/>
          <w:sz w:val="24"/>
          <w:szCs w:val="24"/>
          <w:lang w:val="pt-PT"/>
        </w:rPr>
        <w:t xml:space="preserve"> uma preocupação nacional </w:t>
      </w:r>
      <w:r>
        <w:rPr>
          <w:bCs/>
          <w:spacing w:val="5"/>
          <w:sz w:val="24"/>
          <w:szCs w:val="24"/>
          <w:lang w:val="pt-PT"/>
        </w:rPr>
        <w:t>d</w:t>
      </w:r>
      <w:r w:rsidRPr="00584AC3">
        <w:rPr>
          <w:bCs/>
          <w:spacing w:val="5"/>
          <w:sz w:val="24"/>
          <w:szCs w:val="24"/>
          <w:lang w:val="pt-PT"/>
        </w:rPr>
        <w:t xml:space="preserve">os </w:t>
      </w:r>
      <w:r>
        <w:rPr>
          <w:bCs/>
          <w:spacing w:val="5"/>
          <w:sz w:val="24"/>
          <w:szCs w:val="24"/>
          <w:lang w:val="pt-PT"/>
        </w:rPr>
        <w:t>Estados Unidos na década de 90.</w:t>
      </w:r>
    </w:p>
    <w:p w14:paraId="4209EEDB" w14:textId="77777777" w:rsidR="00246C6D" w:rsidRPr="00584AC3" w:rsidRDefault="00246C6D" w:rsidP="00162746">
      <w:pPr>
        <w:ind w:firstLine="709"/>
        <w:jc w:val="both"/>
        <w:rPr>
          <w:sz w:val="24"/>
          <w:szCs w:val="24"/>
        </w:rPr>
      </w:pPr>
      <w:r w:rsidRPr="00584AC3">
        <w:rPr>
          <w:sz w:val="24"/>
          <w:szCs w:val="24"/>
        </w:rPr>
        <w:t xml:space="preserve">Deste modo, a evasão escolar é um dos principais problemas educacionais, que gera graves consequências acadêmicas, econômicas e sociais a ponto de comprometer o desenvolvimento do indivíduo e consequentemente da sociedade (Tinto, 1975; </w:t>
      </w:r>
      <w:proofErr w:type="spellStart"/>
      <w:r>
        <w:rPr>
          <w:sz w:val="24"/>
          <w:szCs w:val="24"/>
        </w:rPr>
        <w:t>Reason</w:t>
      </w:r>
      <w:proofErr w:type="spellEnd"/>
      <w:r>
        <w:rPr>
          <w:sz w:val="24"/>
          <w:szCs w:val="24"/>
        </w:rPr>
        <w:t>, 2003;</w:t>
      </w:r>
      <w:r w:rsidRPr="00584AC3">
        <w:rPr>
          <w:bCs/>
          <w:spacing w:val="5"/>
          <w:sz w:val="24"/>
          <w:szCs w:val="24"/>
          <w:lang w:val="pt-PT"/>
        </w:rPr>
        <w:t xml:space="preserve">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2017).</w:t>
      </w:r>
      <w:r w:rsidRPr="00584AC3">
        <w:rPr>
          <w:sz w:val="24"/>
          <w:szCs w:val="24"/>
        </w:rPr>
        <w:t xml:space="preserve"> </w:t>
      </w:r>
    </w:p>
    <w:p w14:paraId="121D2693" w14:textId="77777777" w:rsidR="00246C6D" w:rsidRPr="00584AC3" w:rsidRDefault="00246C6D" w:rsidP="00162746">
      <w:pPr>
        <w:ind w:firstLine="709"/>
        <w:jc w:val="both"/>
        <w:rPr>
          <w:sz w:val="24"/>
          <w:szCs w:val="24"/>
        </w:rPr>
      </w:pPr>
      <w:r w:rsidRPr="00584AC3">
        <w:rPr>
          <w:sz w:val="24"/>
          <w:szCs w:val="24"/>
        </w:rPr>
        <w:t>Oakland (1992) destaca que a preocupação com a evasão escolar assumiu dimensões internacionais. As nações em desenvolvimento reconhecem que o seu progresso cont</w:t>
      </w:r>
      <w:r>
        <w:rPr>
          <w:sz w:val="24"/>
          <w:szCs w:val="24"/>
        </w:rPr>
        <w:t>í</w:t>
      </w:r>
      <w:r w:rsidRPr="00584AC3">
        <w:rPr>
          <w:sz w:val="24"/>
          <w:szCs w:val="24"/>
        </w:rPr>
        <w:t>nuo depe</w:t>
      </w:r>
      <w:r>
        <w:rPr>
          <w:sz w:val="24"/>
          <w:szCs w:val="24"/>
        </w:rPr>
        <w:t xml:space="preserve">nde de </w:t>
      </w:r>
      <w:r w:rsidRPr="00584AC3">
        <w:rPr>
          <w:sz w:val="24"/>
          <w:szCs w:val="24"/>
        </w:rPr>
        <w:t>uma força de trabalho educada e produtiva. Segundo Oakland (1992), existem políticas públicas que oferecem orientações úteis para auxiliar educadores, especialistas em saúde mental, líderes comunitários e outros na formulação de programas de prevenção a evasão escolar.</w:t>
      </w:r>
    </w:p>
    <w:p w14:paraId="035D85CF" w14:textId="77777777" w:rsidR="00246C6D" w:rsidRPr="00584AC3" w:rsidRDefault="00246C6D" w:rsidP="00162746">
      <w:pPr>
        <w:ind w:firstLine="709"/>
        <w:jc w:val="both"/>
        <w:rPr>
          <w:bCs/>
          <w:spacing w:val="5"/>
          <w:sz w:val="24"/>
          <w:szCs w:val="24"/>
          <w:lang w:val="pt-PT"/>
        </w:rPr>
      </w:pPr>
      <w:r w:rsidRPr="00584AC3">
        <w:rPr>
          <w:sz w:val="24"/>
          <w:szCs w:val="24"/>
        </w:rPr>
        <w:t>A evasão escolar ainda é uma questão política que afeta mais de 20% dos jovens acadêmicos. O abandono escolar precoce consequentemente aumenta o risco de desemprego</w:t>
      </w:r>
      <w:r>
        <w:rPr>
          <w:sz w:val="24"/>
          <w:szCs w:val="24"/>
        </w:rPr>
        <w:t>, reduz o tempo de vida, gera</w:t>
      </w:r>
      <w:r w:rsidRPr="00584AC3">
        <w:rPr>
          <w:sz w:val="24"/>
          <w:szCs w:val="24"/>
        </w:rPr>
        <w:t xml:space="preserve"> um estado de saúde mais pobre e comportamento</w:t>
      </w:r>
      <w:r>
        <w:rPr>
          <w:sz w:val="24"/>
          <w:szCs w:val="24"/>
        </w:rPr>
        <w:t>s</w:t>
      </w:r>
      <w:r w:rsidRPr="00584AC3">
        <w:rPr>
          <w:sz w:val="24"/>
          <w:szCs w:val="24"/>
        </w:rPr>
        <w:t xml:space="preserve"> tais como violência e crime no decorrer do tempo (Oakland, 1992; </w:t>
      </w:r>
      <w:r>
        <w:rPr>
          <w:sz w:val="24"/>
          <w:szCs w:val="24"/>
        </w:rPr>
        <w:t xml:space="preserve">Dias, </w:t>
      </w:r>
      <w:r w:rsidRPr="00213074">
        <w:rPr>
          <w:bCs/>
          <w:spacing w:val="5"/>
          <w:sz w:val="24"/>
          <w:szCs w:val="24"/>
          <w:lang w:val="pt-PT"/>
        </w:rPr>
        <w:t>Theóphilo &amp; Lopes, 2010</w:t>
      </w:r>
      <w:r>
        <w:rPr>
          <w:bCs/>
          <w:spacing w:val="5"/>
          <w:sz w:val="24"/>
          <w:szCs w:val="24"/>
          <w:lang w:val="pt-PT"/>
        </w:rPr>
        <w:t xml:space="preserve">; </w:t>
      </w:r>
      <w:proofErr w:type="spellStart"/>
      <w:r>
        <w:rPr>
          <w:sz w:val="24"/>
          <w:szCs w:val="24"/>
        </w:rPr>
        <w:t>Baggi</w:t>
      </w:r>
      <w:proofErr w:type="spellEnd"/>
      <w:r>
        <w:rPr>
          <w:sz w:val="24"/>
          <w:szCs w:val="24"/>
        </w:rPr>
        <w:t xml:space="preserve"> &amp; Lopes, 2011</w:t>
      </w:r>
      <w:r w:rsidRPr="00584AC3">
        <w:rPr>
          <w:bCs/>
          <w:spacing w:val="5"/>
          <w:sz w:val="24"/>
          <w:szCs w:val="24"/>
          <w:lang w:val="pt-PT"/>
        </w:rPr>
        <w:t xml:space="preserve">). </w:t>
      </w:r>
    </w:p>
    <w:p w14:paraId="35E316B7" w14:textId="77777777" w:rsidR="00246C6D" w:rsidRPr="00584AC3" w:rsidRDefault="00246C6D" w:rsidP="00162746">
      <w:pPr>
        <w:pStyle w:val="PargrafodaLista"/>
        <w:tabs>
          <w:tab w:val="left" w:pos="284"/>
        </w:tabs>
        <w:ind w:left="0" w:firstLine="709"/>
        <w:jc w:val="both"/>
        <w:rPr>
          <w:sz w:val="24"/>
          <w:szCs w:val="24"/>
        </w:rPr>
      </w:pPr>
      <w:r w:rsidRPr="00584AC3">
        <w:rPr>
          <w:sz w:val="24"/>
          <w:szCs w:val="24"/>
        </w:rPr>
        <w:t>Oakland (1992) retrata o baixo desempenho acadêmico como uma característica ge</w:t>
      </w:r>
      <w:r>
        <w:rPr>
          <w:sz w:val="24"/>
          <w:szCs w:val="24"/>
        </w:rPr>
        <w:t xml:space="preserve">neralizada entre os desistentes. </w:t>
      </w:r>
      <w:r w:rsidRPr="00584AC3">
        <w:rPr>
          <w:sz w:val="24"/>
          <w:szCs w:val="24"/>
        </w:rPr>
        <w:t>Deste modo, o abandono escolar precoce, advém do baixo desemp</w:t>
      </w:r>
      <w:r>
        <w:rPr>
          <w:sz w:val="24"/>
          <w:szCs w:val="24"/>
        </w:rPr>
        <w:t>enho acadêmico, consequência de</w:t>
      </w:r>
      <w:r w:rsidRPr="00584AC3">
        <w:rPr>
          <w:sz w:val="24"/>
          <w:szCs w:val="24"/>
        </w:rPr>
        <w:t xml:space="preserve"> atitudes do acadêmico, falhas da instituição ou até mesmo da falta de comprometimento dos professores com o ensino.</w:t>
      </w:r>
      <w:r>
        <w:rPr>
          <w:sz w:val="24"/>
          <w:szCs w:val="24"/>
        </w:rPr>
        <w:t xml:space="preserve"> </w:t>
      </w:r>
      <w:r w:rsidRPr="00584AC3">
        <w:rPr>
          <w:sz w:val="24"/>
          <w:szCs w:val="24"/>
        </w:rPr>
        <w:t>A evasão pode ser vista como um indicativo, onde ocorre falhas no processo de ensino e aprendizagem escolar, nos serviços prestados pelas instituições e no aumento do dispêndio financeiro (Assis, 2013).</w:t>
      </w:r>
    </w:p>
    <w:p w14:paraId="63EB2D04" w14:textId="77777777" w:rsidR="00246C6D" w:rsidRPr="00584AC3" w:rsidRDefault="00246C6D" w:rsidP="00162746">
      <w:pPr>
        <w:ind w:firstLine="709"/>
        <w:jc w:val="both"/>
        <w:rPr>
          <w:sz w:val="24"/>
          <w:szCs w:val="24"/>
        </w:rPr>
      </w:pPr>
      <w:r w:rsidRPr="00584AC3">
        <w:rPr>
          <w:sz w:val="24"/>
          <w:szCs w:val="24"/>
        </w:rPr>
        <w:t xml:space="preserve">Diante das adversidades e consequências negativas ocasionadas pela evasão escolar aos indivíduos e </w:t>
      </w:r>
      <w:r>
        <w:rPr>
          <w:sz w:val="24"/>
          <w:szCs w:val="24"/>
        </w:rPr>
        <w:t>à</w:t>
      </w:r>
      <w:r w:rsidRPr="00584AC3">
        <w:rPr>
          <w:sz w:val="24"/>
          <w:szCs w:val="24"/>
        </w:rPr>
        <w:t xml:space="preserve"> sociedade, e na busca de identificar os fatores que influenciam na evasão, desenvolveu-se a questão problema desta pesquisa: </w:t>
      </w:r>
      <w:r w:rsidRPr="00584AC3">
        <w:rPr>
          <w:b/>
          <w:sz w:val="24"/>
          <w:szCs w:val="24"/>
        </w:rPr>
        <w:t xml:space="preserve">quais são os fatores que influenciam na evasão escolar em curso de ciências contábeis? </w:t>
      </w:r>
      <w:r w:rsidRPr="00584AC3">
        <w:rPr>
          <w:sz w:val="24"/>
          <w:szCs w:val="24"/>
        </w:rPr>
        <w:t>Deste modo o objetivo proposto é analisar os fatores que influenciam na evasão escolar em curso de ciências contábeis.</w:t>
      </w:r>
    </w:p>
    <w:p w14:paraId="502AD7AE" w14:textId="77777777" w:rsidR="00246C6D" w:rsidRPr="00584AC3" w:rsidRDefault="00246C6D" w:rsidP="00162746">
      <w:pPr>
        <w:ind w:firstLine="709"/>
        <w:jc w:val="both"/>
        <w:rPr>
          <w:sz w:val="24"/>
          <w:szCs w:val="24"/>
        </w:rPr>
      </w:pPr>
      <w:r w:rsidRPr="00584AC3">
        <w:rPr>
          <w:sz w:val="24"/>
          <w:szCs w:val="24"/>
        </w:rPr>
        <w:t>A pesquisa justifica-se devido à necessidade de analisar os fatores que influenciam na evasão escolar</w:t>
      </w:r>
      <w:r>
        <w:rPr>
          <w:sz w:val="24"/>
          <w:szCs w:val="24"/>
        </w:rPr>
        <w:t xml:space="preserve"> no contexto acadêmico</w:t>
      </w:r>
      <w:r w:rsidRPr="00584AC3">
        <w:rPr>
          <w:sz w:val="24"/>
          <w:szCs w:val="24"/>
        </w:rPr>
        <w:t xml:space="preserve">. Deste modo, a evasão escolar no ensino superior tem sido discutida em âmbito nacional e internacional e apresenta severos impactos econômicos e sociais. Segundo </w:t>
      </w:r>
      <w:proofErr w:type="spellStart"/>
      <w:r w:rsidRPr="00584AC3">
        <w:rPr>
          <w:sz w:val="24"/>
          <w:szCs w:val="24"/>
        </w:rPr>
        <w:t>Vitelli</w:t>
      </w:r>
      <w:proofErr w:type="spellEnd"/>
      <w:r w:rsidRPr="00584AC3">
        <w:rPr>
          <w:sz w:val="24"/>
          <w:szCs w:val="24"/>
        </w:rPr>
        <w:t xml:space="preserve"> (2017), é um desperdício tanto social quanto econômico. Existe um consenso entre diversos autores que a evasão escolar é um grave problema no cenário brasileiro (Assis, 2013; Fritsch et </w:t>
      </w:r>
      <w:r w:rsidRPr="00334301">
        <w:rPr>
          <w:i/>
          <w:sz w:val="24"/>
          <w:szCs w:val="24"/>
        </w:rPr>
        <w:t>al</w:t>
      </w:r>
      <w:r w:rsidRPr="00584AC3">
        <w:rPr>
          <w:sz w:val="24"/>
          <w:szCs w:val="24"/>
        </w:rPr>
        <w:t xml:space="preserve">. (2015); Silva Filho (2007) que atinge instituições públicas e privadas e se dá por diferentes motivos, o mesmo foi constatado no cenário internacional por Tinto (1975), Oakland (1992), Chuang (1997) </w:t>
      </w:r>
      <w:proofErr w:type="spellStart"/>
      <w:r w:rsidRPr="00584AC3">
        <w:rPr>
          <w:sz w:val="24"/>
          <w:szCs w:val="24"/>
        </w:rPr>
        <w:t>Reason</w:t>
      </w:r>
      <w:proofErr w:type="spellEnd"/>
      <w:r w:rsidRPr="00584AC3">
        <w:rPr>
          <w:sz w:val="24"/>
          <w:szCs w:val="24"/>
        </w:rPr>
        <w:t xml:space="preserve"> (2003), </w:t>
      </w:r>
      <w:r w:rsidRPr="00584AC3">
        <w:rPr>
          <w:bCs/>
          <w:spacing w:val="5"/>
          <w:sz w:val="24"/>
          <w:szCs w:val="24"/>
          <w:lang w:val="pt-PT"/>
        </w:rPr>
        <w:t xml:space="preserve">Migali e Zucchelli (2017),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 </w:t>
      </w:r>
      <w:proofErr w:type="spellStart"/>
      <w:r w:rsidRPr="00911C86">
        <w:rPr>
          <w:color w:val="000000"/>
          <w:sz w:val="24"/>
          <w:szCs w:val="24"/>
        </w:rPr>
        <w:t>Pagani</w:t>
      </w:r>
      <w:proofErr w:type="spellEnd"/>
      <w:r w:rsidRPr="00911C86">
        <w:rPr>
          <w:color w:val="000000"/>
          <w:sz w:val="24"/>
          <w:szCs w:val="24"/>
        </w:rPr>
        <w:t xml:space="preserve">, </w:t>
      </w:r>
      <w:r w:rsidRPr="00911C86">
        <w:rPr>
          <w:bCs/>
          <w:color w:val="000000"/>
          <w:spacing w:val="4"/>
          <w:sz w:val="24"/>
          <w:szCs w:val="24"/>
          <w:lang w:val="pt-PT"/>
        </w:rPr>
        <w:t xml:space="preserve">Brière </w:t>
      </w:r>
      <w:r>
        <w:rPr>
          <w:bCs/>
          <w:spacing w:val="5"/>
          <w:sz w:val="24"/>
          <w:szCs w:val="24"/>
          <w:lang w:val="pt-PT"/>
        </w:rPr>
        <w:t>e</w:t>
      </w:r>
      <w:r w:rsidRPr="00911C86">
        <w:rPr>
          <w:bCs/>
          <w:color w:val="000000"/>
          <w:spacing w:val="4"/>
          <w:sz w:val="24"/>
          <w:szCs w:val="24"/>
          <w:lang w:val="pt-PT"/>
        </w:rPr>
        <w:t xml:space="preserve"> Janosz</w:t>
      </w:r>
      <w:r w:rsidRPr="00911C86">
        <w:rPr>
          <w:color w:val="000000"/>
          <w:sz w:val="24"/>
          <w:szCs w:val="24"/>
        </w:rPr>
        <w:t xml:space="preserve"> (2017),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w:t>
      </w:r>
    </w:p>
    <w:p w14:paraId="16A11743" w14:textId="77777777" w:rsidR="00246C6D" w:rsidRPr="00584AC3" w:rsidRDefault="00246C6D" w:rsidP="00162746">
      <w:pPr>
        <w:ind w:firstLine="709"/>
        <w:jc w:val="both"/>
        <w:rPr>
          <w:sz w:val="24"/>
          <w:szCs w:val="24"/>
        </w:rPr>
      </w:pPr>
      <w:r w:rsidRPr="00584AC3">
        <w:rPr>
          <w:sz w:val="24"/>
          <w:szCs w:val="24"/>
        </w:rPr>
        <w:lastRenderedPageBreak/>
        <w:t>Segundo Silva Filho (2007) nas instituições públicas a evasão implica em recursos públicos sem retorno, além do desperdício de vagas. Nas instituições privadas, os alunos são fonte de receitas, e a su</w:t>
      </w:r>
      <w:r>
        <w:rPr>
          <w:sz w:val="24"/>
          <w:szCs w:val="24"/>
        </w:rPr>
        <w:t>a evasão acaba comprome</w:t>
      </w:r>
      <w:r w:rsidRPr="00584AC3">
        <w:rPr>
          <w:sz w:val="24"/>
          <w:szCs w:val="24"/>
        </w:rPr>
        <w:t>tendo e colocando em risco o seu funcionamento. Enquanto a receita diminui, os custos operacionais sem mantém estáveis (Assis, 2013) acarretando em ociosidade de professores, funcionários, equipamentos e espaço físico (Silva Filho, 2007). Diante deste cenário, compreender os fatores que impulsionam a evasão nas instituiçõe</w:t>
      </w:r>
      <w:r>
        <w:rPr>
          <w:sz w:val="24"/>
          <w:szCs w:val="24"/>
        </w:rPr>
        <w:t>s contribui para reflexão e</w:t>
      </w:r>
      <w:r w:rsidRPr="00584AC3">
        <w:rPr>
          <w:sz w:val="24"/>
          <w:szCs w:val="24"/>
        </w:rPr>
        <w:t xml:space="preserve"> desenvolvimento de ações por parte dos gestores para reduzir este fenômeno. </w:t>
      </w:r>
    </w:p>
    <w:p w14:paraId="3D063224" w14:textId="77777777" w:rsidR="00246C6D" w:rsidRPr="00911C86" w:rsidRDefault="00246C6D" w:rsidP="00162746">
      <w:pPr>
        <w:ind w:firstLine="709"/>
        <w:jc w:val="both"/>
        <w:rPr>
          <w:color w:val="000000"/>
          <w:sz w:val="24"/>
          <w:szCs w:val="24"/>
        </w:rPr>
      </w:pPr>
      <w:r w:rsidRPr="00911C86">
        <w:rPr>
          <w:color w:val="000000"/>
          <w:sz w:val="24"/>
          <w:szCs w:val="24"/>
        </w:rPr>
        <w:t>Inicialmente entende-se que se trata de um fenômeno presente em qualquer instituição de ensino, e em qualquer nível educacional. As definições pertinentes a este estudo limitam-se a educação superior, pois não sendo obrigatória, possui características diferentes em relação a demais contextos educacionais.</w:t>
      </w:r>
    </w:p>
    <w:p w14:paraId="31BE6FE3" w14:textId="77777777" w:rsidR="00246C6D" w:rsidRDefault="00246C6D" w:rsidP="00246C6D">
      <w:pPr>
        <w:rPr>
          <w:sz w:val="24"/>
          <w:szCs w:val="24"/>
        </w:rPr>
      </w:pPr>
    </w:p>
    <w:p w14:paraId="71D72503" w14:textId="77777777" w:rsidR="00246C6D" w:rsidRPr="00764030" w:rsidRDefault="00246C6D" w:rsidP="00246C6D">
      <w:pPr>
        <w:pStyle w:val="PargrafodaLista"/>
        <w:numPr>
          <w:ilvl w:val="0"/>
          <w:numId w:val="2"/>
        </w:numPr>
        <w:tabs>
          <w:tab w:val="left" w:pos="284"/>
        </w:tabs>
        <w:suppressAutoHyphens w:val="0"/>
        <w:ind w:left="0" w:firstLine="0"/>
        <w:rPr>
          <w:b/>
          <w:sz w:val="24"/>
          <w:szCs w:val="24"/>
        </w:rPr>
      </w:pPr>
      <w:r>
        <w:rPr>
          <w:b/>
          <w:sz w:val="24"/>
          <w:szCs w:val="24"/>
        </w:rPr>
        <w:t xml:space="preserve">EVASÃO ESCOLAR </w:t>
      </w:r>
    </w:p>
    <w:p w14:paraId="65B3E437" w14:textId="77777777" w:rsidR="00246C6D" w:rsidRDefault="00246C6D" w:rsidP="00162746">
      <w:pPr>
        <w:tabs>
          <w:tab w:val="left" w:pos="284"/>
        </w:tabs>
        <w:ind w:firstLine="709"/>
        <w:jc w:val="both"/>
        <w:rPr>
          <w:bCs/>
          <w:spacing w:val="5"/>
          <w:sz w:val="24"/>
          <w:szCs w:val="24"/>
          <w:lang w:val="pt-PT"/>
        </w:rPr>
      </w:pPr>
      <w:r>
        <w:rPr>
          <w:bCs/>
          <w:spacing w:val="5"/>
          <w:sz w:val="24"/>
          <w:szCs w:val="24"/>
          <w:lang w:val="pt-PT"/>
        </w:rPr>
        <w:t>A</w:t>
      </w:r>
      <w:r w:rsidRPr="00DC5C19">
        <w:rPr>
          <w:bCs/>
          <w:spacing w:val="5"/>
          <w:sz w:val="24"/>
          <w:szCs w:val="24"/>
          <w:lang w:val="pt-PT"/>
        </w:rPr>
        <w:t xml:space="preserve"> educação é primordial no desenvolvimento de cada individuo e no contexto economico, financeiro e social. Os individous buscam maximiz</w:t>
      </w:r>
      <w:r>
        <w:rPr>
          <w:bCs/>
          <w:spacing w:val="5"/>
          <w:sz w:val="24"/>
          <w:szCs w:val="24"/>
          <w:lang w:val="pt-PT"/>
        </w:rPr>
        <w:t>ar suas rendas por meio da aquisição</w:t>
      </w:r>
      <w:r w:rsidRPr="00DC5C19">
        <w:rPr>
          <w:bCs/>
          <w:spacing w:val="5"/>
          <w:sz w:val="24"/>
          <w:szCs w:val="24"/>
          <w:lang w:val="pt-PT"/>
        </w:rPr>
        <w:t xml:space="preserve"> </w:t>
      </w:r>
      <w:r>
        <w:rPr>
          <w:bCs/>
          <w:spacing w:val="5"/>
          <w:sz w:val="24"/>
          <w:szCs w:val="24"/>
          <w:lang w:val="pt-PT"/>
        </w:rPr>
        <w:t>de</w:t>
      </w:r>
      <w:r w:rsidRPr="00DC5C19">
        <w:rPr>
          <w:bCs/>
          <w:spacing w:val="5"/>
          <w:sz w:val="24"/>
          <w:szCs w:val="24"/>
          <w:lang w:val="pt-PT"/>
        </w:rPr>
        <w:t xml:space="preserve"> um diploma e pela busca do conhecimento, para após ofertar serviços qualificados ao mercado</w:t>
      </w:r>
      <w:r>
        <w:rPr>
          <w:bCs/>
          <w:spacing w:val="5"/>
          <w:sz w:val="24"/>
          <w:szCs w:val="24"/>
          <w:lang w:val="pt-PT"/>
        </w:rPr>
        <w:t xml:space="preserve"> de trabalho (</w:t>
      </w:r>
      <w:r>
        <w:rPr>
          <w:sz w:val="24"/>
          <w:szCs w:val="24"/>
        </w:rPr>
        <w:t>Tinto, 1975; Oakland, 1992;</w:t>
      </w:r>
      <w:r w:rsidRPr="00DC5C19">
        <w:rPr>
          <w:sz w:val="24"/>
          <w:szCs w:val="24"/>
        </w:rPr>
        <w:t xml:space="preserve"> Chuang</w:t>
      </w:r>
      <w:r>
        <w:rPr>
          <w:bCs/>
          <w:smallCaps/>
          <w:color w:val="000000"/>
          <w:spacing w:val="-1"/>
          <w:sz w:val="24"/>
          <w:szCs w:val="24"/>
          <w:lang w:val="pt-PT"/>
        </w:rPr>
        <w:t>, 1997;</w:t>
      </w:r>
      <w:r w:rsidRPr="00DC5C19">
        <w:rPr>
          <w:bCs/>
          <w:smallCaps/>
          <w:color w:val="000000"/>
          <w:spacing w:val="-1"/>
          <w:sz w:val="24"/>
          <w:szCs w:val="24"/>
          <w:lang w:val="pt-PT"/>
        </w:rPr>
        <w:t xml:space="preserve"> </w:t>
      </w:r>
      <w:proofErr w:type="spellStart"/>
      <w:r w:rsidRPr="00DC5C19">
        <w:rPr>
          <w:sz w:val="24"/>
          <w:szCs w:val="24"/>
        </w:rPr>
        <w:t>Reason</w:t>
      </w:r>
      <w:proofErr w:type="spellEnd"/>
      <w:r>
        <w:rPr>
          <w:sz w:val="24"/>
          <w:szCs w:val="24"/>
        </w:rPr>
        <w:t xml:space="preserve">, 2003; </w:t>
      </w:r>
      <w:proofErr w:type="spellStart"/>
      <w:r>
        <w:rPr>
          <w:sz w:val="24"/>
          <w:szCs w:val="24"/>
        </w:rPr>
        <w:t>Kuh</w:t>
      </w:r>
      <w:proofErr w:type="spellEnd"/>
      <w:r w:rsidRPr="00DC5C19">
        <w:rPr>
          <w:sz w:val="24"/>
          <w:szCs w:val="24"/>
        </w:rPr>
        <w:t xml:space="preserve"> et. </w:t>
      </w:r>
      <w:proofErr w:type="gramStart"/>
      <w:r w:rsidRPr="00334301">
        <w:rPr>
          <w:i/>
          <w:sz w:val="24"/>
          <w:szCs w:val="24"/>
        </w:rPr>
        <w:t>al</w:t>
      </w:r>
      <w:proofErr w:type="gramEnd"/>
      <w:r>
        <w:rPr>
          <w:sz w:val="24"/>
          <w:szCs w:val="24"/>
        </w:rPr>
        <w:t>,</w:t>
      </w:r>
      <w:r w:rsidRPr="00DC5C19">
        <w:rPr>
          <w:sz w:val="24"/>
          <w:szCs w:val="24"/>
        </w:rPr>
        <w:t xml:space="preserve"> </w:t>
      </w:r>
      <w:r>
        <w:rPr>
          <w:sz w:val="24"/>
          <w:szCs w:val="24"/>
        </w:rPr>
        <w:t xml:space="preserve">2008; </w:t>
      </w:r>
      <w:r>
        <w:rPr>
          <w:bCs/>
          <w:spacing w:val="5"/>
          <w:sz w:val="24"/>
          <w:szCs w:val="24"/>
          <w:lang w:val="pt-PT"/>
        </w:rPr>
        <w:t>Migali &amp; Zucchelli, 2017)</w:t>
      </w:r>
      <w:r w:rsidRPr="00DC5C19">
        <w:rPr>
          <w:bCs/>
          <w:spacing w:val="5"/>
          <w:sz w:val="24"/>
          <w:szCs w:val="24"/>
          <w:lang w:val="pt-PT"/>
        </w:rPr>
        <w:t xml:space="preserve">. </w:t>
      </w:r>
      <w:r>
        <w:rPr>
          <w:bCs/>
          <w:spacing w:val="5"/>
          <w:sz w:val="24"/>
          <w:szCs w:val="24"/>
          <w:lang w:val="pt-PT"/>
        </w:rPr>
        <w:t>Porém, fatores como raça, gê</w:t>
      </w:r>
      <w:r w:rsidRPr="00DC5C19">
        <w:rPr>
          <w:bCs/>
          <w:spacing w:val="5"/>
          <w:sz w:val="24"/>
          <w:szCs w:val="24"/>
          <w:lang w:val="pt-PT"/>
        </w:rPr>
        <w:t>nero, classe social, aspectos familiares entre outros</w:t>
      </w:r>
      <w:r>
        <w:rPr>
          <w:bCs/>
          <w:spacing w:val="5"/>
          <w:sz w:val="24"/>
          <w:szCs w:val="24"/>
          <w:lang w:val="pt-PT"/>
        </w:rPr>
        <w:t xml:space="preserve">, podem ocasionar </w:t>
      </w:r>
      <w:r w:rsidRPr="00DC5C19">
        <w:rPr>
          <w:bCs/>
          <w:spacing w:val="5"/>
          <w:sz w:val="24"/>
          <w:szCs w:val="24"/>
          <w:lang w:val="pt-PT"/>
        </w:rPr>
        <w:t>a</w:t>
      </w:r>
      <w:r>
        <w:rPr>
          <w:bCs/>
          <w:spacing w:val="5"/>
          <w:sz w:val="24"/>
          <w:szCs w:val="24"/>
          <w:lang w:val="pt-PT"/>
        </w:rPr>
        <w:t xml:space="preserve"> evasão </w:t>
      </w:r>
      <w:r w:rsidRPr="00DC5C19">
        <w:rPr>
          <w:bCs/>
          <w:spacing w:val="5"/>
          <w:sz w:val="24"/>
          <w:szCs w:val="24"/>
          <w:lang w:val="pt-PT"/>
        </w:rPr>
        <w:t>escolar (</w:t>
      </w:r>
      <w:r w:rsidRPr="00DC5C19">
        <w:rPr>
          <w:sz w:val="24"/>
          <w:szCs w:val="24"/>
        </w:rPr>
        <w:t xml:space="preserve">Oakland, </w:t>
      </w:r>
      <w:r>
        <w:rPr>
          <w:sz w:val="24"/>
          <w:szCs w:val="24"/>
        </w:rPr>
        <w:t>1992;</w:t>
      </w:r>
      <w:r w:rsidRPr="00DC5C19">
        <w:rPr>
          <w:sz w:val="24"/>
          <w:szCs w:val="24"/>
        </w:rPr>
        <w:t xml:space="preserve"> </w:t>
      </w:r>
      <w:r>
        <w:rPr>
          <w:bCs/>
          <w:spacing w:val="5"/>
          <w:sz w:val="24"/>
          <w:szCs w:val="24"/>
          <w:lang w:val="pt-PT"/>
        </w:rPr>
        <w:t xml:space="preserve">Migali </w:t>
      </w:r>
      <w:r w:rsidRPr="00213074">
        <w:rPr>
          <w:bCs/>
          <w:spacing w:val="5"/>
          <w:sz w:val="24"/>
          <w:szCs w:val="24"/>
          <w:lang w:val="pt-PT"/>
        </w:rPr>
        <w:t>&amp;</w:t>
      </w:r>
      <w:r>
        <w:rPr>
          <w:bCs/>
          <w:spacing w:val="5"/>
          <w:sz w:val="24"/>
          <w:szCs w:val="24"/>
          <w:lang w:val="pt-PT"/>
        </w:rPr>
        <w:t xml:space="preserve"> </w:t>
      </w:r>
      <w:r w:rsidRPr="00DC5C19">
        <w:rPr>
          <w:bCs/>
          <w:spacing w:val="5"/>
          <w:sz w:val="24"/>
          <w:szCs w:val="24"/>
          <w:lang w:val="pt-PT"/>
        </w:rPr>
        <w:t>Zucchelli, 2017).</w:t>
      </w:r>
    </w:p>
    <w:p w14:paraId="41470333" w14:textId="77777777" w:rsidR="00246C6D" w:rsidRPr="004E5D5C" w:rsidRDefault="00246C6D" w:rsidP="00162746">
      <w:pPr>
        <w:tabs>
          <w:tab w:val="left" w:pos="284"/>
        </w:tabs>
        <w:ind w:firstLine="709"/>
        <w:jc w:val="both"/>
        <w:rPr>
          <w:b/>
          <w:sz w:val="24"/>
          <w:szCs w:val="24"/>
        </w:rPr>
      </w:pPr>
      <w:r>
        <w:rPr>
          <w:bCs/>
          <w:spacing w:val="5"/>
          <w:sz w:val="24"/>
          <w:szCs w:val="24"/>
          <w:lang w:val="pt-PT"/>
        </w:rPr>
        <w:t>A evasão escolar é um evento que ocorre tanto em universidades públicas como em universidades privadas que, de forma direta ou indireta, gera impactos negativos na sociedade (</w:t>
      </w:r>
      <w:r w:rsidRPr="005554F4">
        <w:rPr>
          <w:bCs/>
          <w:spacing w:val="5"/>
          <w:sz w:val="24"/>
          <w:szCs w:val="24"/>
          <w:lang w:val="pt-PT"/>
        </w:rPr>
        <w:t>Cunha, Nascimento &amp; Durso,</w:t>
      </w:r>
      <w:r>
        <w:rPr>
          <w:bCs/>
          <w:spacing w:val="5"/>
          <w:sz w:val="24"/>
          <w:szCs w:val="24"/>
          <w:lang w:val="pt-PT"/>
        </w:rPr>
        <w:t xml:space="preserve"> 2016). Assim, torna-se imprescendivel abordar o tema em questão. Inicialmente é necessário caracterizar a evasão escolar, apresentar os conceitos, identificar os tipos de evasão e abordar as principais causas e consequências na sociedade .</w:t>
      </w:r>
    </w:p>
    <w:p w14:paraId="5C52809C" w14:textId="77777777" w:rsidR="00246C6D" w:rsidRPr="00C47EF3" w:rsidRDefault="00246C6D" w:rsidP="00162746">
      <w:pPr>
        <w:tabs>
          <w:tab w:val="left" w:pos="284"/>
        </w:tabs>
        <w:ind w:firstLine="709"/>
        <w:jc w:val="both"/>
        <w:rPr>
          <w:sz w:val="24"/>
          <w:szCs w:val="24"/>
        </w:rPr>
      </w:pPr>
      <w:r w:rsidRPr="00C47EF3">
        <w:rPr>
          <w:sz w:val="24"/>
          <w:szCs w:val="24"/>
        </w:rPr>
        <w:t>O conceito de evasão não tem sido trabalhado sob os mesmos critérios, e a utilização de metodologias imprecisas de pesquisa impossibilitam comparações entre diferentes instituições e generalização de resultados</w:t>
      </w:r>
      <w:r>
        <w:rPr>
          <w:sz w:val="24"/>
          <w:szCs w:val="24"/>
        </w:rPr>
        <w:t>, deste modo, é</w:t>
      </w:r>
      <w:r w:rsidRPr="00C47EF3">
        <w:rPr>
          <w:sz w:val="24"/>
          <w:szCs w:val="24"/>
        </w:rPr>
        <w:t xml:space="preserve"> possível encontrar uma gama de definições </w:t>
      </w:r>
      <w:r>
        <w:rPr>
          <w:sz w:val="24"/>
          <w:szCs w:val="24"/>
        </w:rPr>
        <w:t>para</w:t>
      </w:r>
      <w:r w:rsidRPr="00C47EF3">
        <w:rPr>
          <w:sz w:val="24"/>
          <w:szCs w:val="24"/>
        </w:rPr>
        <w:t xml:space="preserve"> evasão escolar na literatura (</w:t>
      </w:r>
      <w:proofErr w:type="spellStart"/>
      <w:r w:rsidRPr="00C47EF3">
        <w:rPr>
          <w:sz w:val="24"/>
          <w:szCs w:val="24"/>
        </w:rPr>
        <w:t>Polydoro</w:t>
      </w:r>
      <w:proofErr w:type="spellEnd"/>
      <w:r w:rsidRPr="00C47EF3">
        <w:rPr>
          <w:sz w:val="24"/>
          <w:szCs w:val="24"/>
        </w:rPr>
        <w:t>, 2000).</w:t>
      </w:r>
    </w:p>
    <w:p w14:paraId="641CCCA4" w14:textId="77777777" w:rsidR="00246C6D" w:rsidRPr="00C47EF3" w:rsidRDefault="00246C6D" w:rsidP="00162746">
      <w:pPr>
        <w:tabs>
          <w:tab w:val="left" w:pos="284"/>
        </w:tabs>
        <w:ind w:firstLine="709"/>
        <w:jc w:val="both"/>
        <w:rPr>
          <w:sz w:val="24"/>
          <w:szCs w:val="24"/>
        </w:rPr>
      </w:pPr>
      <w:proofErr w:type="spellStart"/>
      <w:r>
        <w:rPr>
          <w:sz w:val="24"/>
          <w:szCs w:val="24"/>
        </w:rPr>
        <w:t>Baggi</w:t>
      </w:r>
      <w:proofErr w:type="spellEnd"/>
      <w:r>
        <w:rPr>
          <w:sz w:val="24"/>
          <w:szCs w:val="24"/>
        </w:rPr>
        <w:t xml:space="preserve"> e Lopes (2011) e </w:t>
      </w:r>
      <w:r w:rsidRPr="00C47EF3">
        <w:rPr>
          <w:sz w:val="24"/>
          <w:szCs w:val="24"/>
        </w:rPr>
        <w:t>Assis (2013) compreende a evasão com</w:t>
      </w:r>
      <w:r>
        <w:rPr>
          <w:sz w:val="24"/>
          <w:szCs w:val="24"/>
        </w:rPr>
        <w:t>o</w:t>
      </w:r>
      <w:r w:rsidRPr="00C47EF3">
        <w:rPr>
          <w:sz w:val="24"/>
          <w:szCs w:val="24"/>
        </w:rPr>
        <w:t xml:space="preserve"> a saída do aluno do seu curso de origem, não importa</w:t>
      </w:r>
      <w:r>
        <w:rPr>
          <w:sz w:val="24"/>
          <w:szCs w:val="24"/>
        </w:rPr>
        <w:t>ndo</w:t>
      </w:r>
      <w:r w:rsidRPr="00C47EF3">
        <w:rPr>
          <w:sz w:val="24"/>
          <w:szCs w:val="24"/>
        </w:rPr>
        <w:t xml:space="preserve"> o período ou o motivo, exceto pela diplomação. Esta definição é a mais restrita, por caracterizar evasão de forma mais micro, pois sair do curso não significa desligar-se da universidade.</w:t>
      </w:r>
      <w:r>
        <w:rPr>
          <w:sz w:val="24"/>
          <w:szCs w:val="24"/>
        </w:rPr>
        <w:t xml:space="preserve"> Tal definição é exposta pela</w:t>
      </w:r>
      <w:r w:rsidRPr="008F5C87">
        <w:rPr>
          <w:sz w:val="24"/>
          <w:szCs w:val="24"/>
        </w:rPr>
        <w:t xml:space="preserve"> comissão Esp</w:t>
      </w:r>
      <w:r>
        <w:rPr>
          <w:sz w:val="24"/>
          <w:szCs w:val="24"/>
        </w:rPr>
        <w:t xml:space="preserve">ecial do Ministério da Educação – MEC </w:t>
      </w:r>
      <w:r w:rsidRPr="008F5C87">
        <w:rPr>
          <w:sz w:val="24"/>
          <w:szCs w:val="24"/>
        </w:rPr>
        <w:t>como: “a saída definitiva do aluno de seu curso de origem, sem conc</w:t>
      </w:r>
      <w:r>
        <w:rPr>
          <w:sz w:val="24"/>
          <w:szCs w:val="24"/>
        </w:rPr>
        <w:t>luí-lo” (Brasil/MEC, 1996</w:t>
      </w:r>
      <w:r w:rsidRPr="008F5C87">
        <w:rPr>
          <w:sz w:val="24"/>
          <w:szCs w:val="24"/>
        </w:rPr>
        <w:t>).</w:t>
      </w:r>
    </w:p>
    <w:p w14:paraId="3FE3A5F7" w14:textId="77777777" w:rsidR="00246C6D" w:rsidRPr="00C47EF3" w:rsidRDefault="00246C6D" w:rsidP="00162746">
      <w:pPr>
        <w:tabs>
          <w:tab w:val="left" w:pos="284"/>
        </w:tabs>
        <w:ind w:firstLine="709"/>
        <w:jc w:val="both"/>
        <w:rPr>
          <w:sz w:val="24"/>
          <w:szCs w:val="24"/>
        </w:rPr>
      </w:pPr>
      <w:r w:rsidRPr="00C47EF3">
        <w:rPr>
          <w:sz w:val="24"/>
          <w:szCs w:val="24"/>
        </w:rPr>
        <w:t xml:space="preserve">Fritsch et </w:t>
      </w:r>
      <w:r w:rsidRPr="00334301">
        <w:rPr>
          <w:i/>
          <w:sz w:val="24"/>
          <w:szCs w:val="24"/>
        </w:rPr>
        <w:t>al</w:t>
      </w:r>
      <w:r w:rsidRPr="00C47EF3">
        <w:rPr>
          <w:sz w:val="24"/>
          <w:szCs w:val="24"/>
        </w:rPr>
        <w:t xml:space="preserve">. (2015) </w:t>
      </w:r>
      <w:r>
        <w:rPr>
          <w:sz w:val="24"/>
          <w:szCs w:val="24"/>
        </w:rPr>
        <w:t>considera a</w:t>
      </w:r>
      <w:r w:rsidRPr="00C47EF3">
        <w:rPr>
          <w:sz w:val="24"/>
          <w:szCs w:val="24"/>
        </w:rPr>
        <w:t xml:space="preserve"> evasão como o ato de desistência, independente do motivo, exceto conclusão ou diplomação. </w:t>
      </w:r>
      <w:r>
        <w:rPr>
          <w:sz w:val="24"/>
          <w:szCs w:val="24"/>
        </w:rPr>
        <w:t xml:space="preserve">Deste modo, </w:t>
      </w:r>
      <w:r w:rsidRPr="00C47EF3">
        <w:rPr>
          <w:sz w:val="24"/>
          <w:szCs w:val="24"/>
        </w:rPr>
        <w:t>sob uma perspectiv</w:t>
      </w:r>
      <w:r>
        <w:rPr>
          <w:sz w:val="24"/>
          <w:szCs w:val="24"/>
        </w:rPr>
        <w:t xml:space="preserve">a mais gerencial, a evasão </w:t>
      </w:r>
      <w:r w:rsidRPr="00C47EF3">
        <w:rPr>
          <w:sz w:val="24"/>
          <w:szCs w:val="24"/>
        </w:rPr>
        <w:t>é vista com</w:t>
      </w:r>
      <w:r>
        <w:rPr>
          <w:sz w:val="24"/>
          <w:szCs w:val="24"/>
        </w:rPr>
        <w:t>o</w:t>
      </w:r>
      <w:r w:rsidRPr="00C47EF3">
        <w:rPr>
          <w:sz w:val="24"/>
          <w:szCs w:val="24"/>
        </w:rPr>
        <w:t xml:space="preserve"> um indicador de fluxo escolar capaz de avaliar o desempenho dos sistemas de ensino. De acordo com Silva Filho (2007) a evasão é compreendida sob dois aspectos: a evasão anual média e a evasão total. A primeira, mede em porcentagem, o número de alunos que matriculados não se matricularam no semestre seguinte. Enquanto que a segunda mede o número de alunos que não </w:t>
      </w:r>
      <w:proofErr w:type="spellStart"/>
      <w:r w:rsidRPr="00C47EF3">
        <w:rPr>
          <w:sz w:val="24"/>
          <w:szCs w:val="24"/>
        </w:rPr>
        <w:t>obteviveram</w:t>
      </w:r>
      <w:proofErr w:type="spellEnd"/>
      <w:r w:rsidRPr="00C47EF3">
        <w:rPr>
          <w:sz w:val="24"/>
          <w:szCs w:val="24"/>
        </w:rPr>
        <w:t xml:space="preserve"> o diploma após um </w:t>
      </w:r>
      <w:r>
        <w:rPr>
          <w:sz w:val="24"/>
          <w:szCs w:val="24"/>
        </w:rPr>
        <w:t>determinado período de tempo.</w:t>
      </w:r>
      <w:r w:rsidRPr="00C47EF3">
        <w:rPr>
          <w:sz w:val="24"/>
          <w:szCs w:val="24"/>
        </w:rPr>
        <w:t xml:space="preserve"> </w:t>
      </w:r>
    </w:p>
    <w:p w14:paraId="1B62CE46" w14:textId="77777777" w:rsidR="00246C6D" w:rsidRPr="00C47EF3" w:rsidRDefault="00246C6D" w:rsidP="00162746">
      <w:pPr>
        <w:tabs>
          <w:tab w:val="left" w:pos="284"/>
        </w:tabs>
        <w:ind w:firstLine="709"/>
        <w:jc w:val="both"/>
        <w:rPr>
          <w:sz w:val="24"/>
          <w:szCs w:val="24"/>
        </w:rPr>
      </w:pPr>
      <w:r w:rsidRPr="008E0F7B">
        <w:rPr>
          <w:sz w:val="24"/>
          <w:szCs w:val="24"/>
        </w:rPr>
        <w:t xml:space="preserve">O conceito mais amplo é o utilizado pela comissão Especial do Ministério da Educação – MEC, sobre a evasão nas universidades públicas brasileiras, que considera a evasão em três esferas diferentes: a primeira é semelhante às definições já apresentadas, a evasão de curso, em que o aluno sai do seu curso de origem; o segundo caso é aquele que o aluno se desliga da sua instituição, denominada evasão da instituição, ou seja, abandonar sua instituição não significa necessariamente que este aluno não prosseguirá com seus estudos, pode caracterizar apenas </w:t>
      </w:r>
      <w:r w:rsidRPr="008E0F7B">
        <w:rPr>
          <w:sz w:val="24"/>
          <w:szCs w:val="24"/>
        </w:rPr>
        <w:lastRenderedPageBreak/>
        <w:t xml:space="preserve">uma troca de instituição; e por fim, a terceira esfera </w:t>
      </w:r>
      <w:r>
        <w:rPr>
          <w:sz w:val="24"/>
          <w:szCs w:val="24"/>
        </w:rPr>
        <w:t>refere-se à</w:t>
      </w:r>
      <w:r w:rsidRPr="008E0F7B">
        <w:rPr>
          <w:sz w:val="24"/>
          <w:szCs w:val="24"/>
        </w:rPr>
        <w:t xml:space="preserve"> evasão do sistema onde indica que o aluno abandonou completamente os seus estudos em nível superio</w:t>
      </w:r>
      <w:r>
        <w:rPr>
          <w:sz w:val="24"/>
          <w:szCs w:val="24"/>
        </w:rPr>
        <w:t>r, ou seja, abandonou o sistema (Brasil/MEC, 1996</w:t>
      </w:r>
      <w:r w:rsidRPr="008F5C87">
        <w:rPr>
          <w:sz w:val="24"/>
          <w:szCs w:val="24"/>
        </w:rPr>
        <w:t>).</w:t>
      </w:r>
    </w:p>
    <w:p w14:paraId="3890093B" w14:textId="77777777" w:rsidR="00246C6D" w:rsidRPr="00911C86" w:rsidRDefault="00246C6D" w:rsidP="00162746">
      <w:pPr>
        <w:pStyle w:val="PargrafodaLista"/>
        <w:tabs>
          <w:tab w:val="left" w:pos="284"/>
        </w:tabs>
        <w:ind w:left="0" w:firstLine="709"/>
        <w:jc w:val="both"/>
        <w:rPr>
          <w:color w:val="000000"/>
          <w:sz w:val="24"/>
          <w:szCs w:val="24"/>
        </w:rPr>
      </w:pPr>
      <w:proofErr w:type="spellStart"/>
      <w:r w:rsidRPr="00911C86">
        <w:rPr>
          <w:color w:val="000000"/>
          <w:sz w:val="24"/>
          <w:szCs w:val="24"/>
        </w:rPr>
        <w:t>Pagani</w:t>
      </w:r>
      <w:proofErr w:type="spellEnd"/>
      <w:r w:rsidRPr="00911C86">
        <w:rPr>
          <w:color w:val="000000"/>
          <w:sz w:val="24"/>
          <w:szCs w:val="24"/>
        </w:rPr>
        <w:t xml:space="preserve">, </w:t>
      </w:r>
      <w:r w:rsidRPr="00911C86">
        <w:rPr>
          <w:bCs/>
          <w:color w:val="000000"/>
          <w:spacing w:val="4"/>
          <w:sz w:val="24"/>
          <w:szCs w:val="24"/>
          <w:lang w:val="pt-PT"/>
        </w:rPr>
        <w:t>Brière e Janosz</w:t>
      </w:r>
      <w:r w:rsidRPr="00911C86">
        <w:rPr>
          <w:color w:val="000000"/>
          <w:sz w:val="24"/>
          <w:szCs w:val="24"/>
        </w:rPr>
        <w:t xml:space="preserve"> (2017) destacam que o contexto econômico e social onde o acadêmico está inserido torna-se propício para evasão escolar. De acordo com Tinto (1975) e </w:t>
      </w:r>
      <w:proofErr w:type="spellStart"/>
      <w:r w:rsidRPr="00911C86">
        <w:rPr>
          <w:color w:val="000000"/>
          <w:sz w:val="24"/>
          <w:szCs w:val="24"/>
        </w:rPr>
        <w:t>Pagani</w:t>
      </w:r>
      <w:proofErr w:type="spellEnd"/>
      <w:r w:rsidRPr="00911C86">
        <w:rPr>
          <w:color w:val="000000"/>
          <w:sz w:val="24"/>
          <w:szCs w:val="24"/>
        </w:rPr>
        <w:t xml:space="preserve">, </w:t>
      </w:r>
      <w:r w:rsidRPr="00911C86">
        <w:rPr>
          <w:bCs/>
          <w:color w:val="000000"/>
          <w:spacing w:val="4"/>
          <w:sz w:val="24"/>
          <w:szCs w:val="24"/>
          <w:lang w:val="pt-PT"/>
        </w:rPr>
        <w:t>Brière e Janosz</w:t>
      </w:r>
      <w:r w:rsidRPr="00911C86">
        <w:rPr>
          <w:color w:val="000000"/>
          <w:sz w:val="24"/>
          <w:szCs w:val="24"/>
        </w:rPr>
        <w:t xml:space="preserve"> (2017), são vários os motivos que podem levar os acadêmicos a evasão escolar sendo por meio da retirada voluntária ou por meio da retirada forçada, onde o acadêmico não se integra com o sistema social escolar, devido ao seu desempenho ser insuficiente, ou até mesmo por meio de suas atitudes contra o sistema escolar. As características individuais, os atributos psicológicos ou as condições financeiras insuficientes em pagar uma faculdade também podem favorecer o acadêmico a tomar uma decisão evasiva (Tinto, 1975; Chuang, 1997;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 </w:t>
      </w:r>
      <w:proofErr w:type="spellStart"/>
      <w:r w:rsidRPr="00911C86">
        <w:rPr>
          <w:color w:val="000000"/>
          <w:sz w:val="24"/>
          <w:szCs w:val="24"/>
        </w:rPr>
        <w:t>Baggi</w:t>
      </w:r>
      <w:proofErr w:type="spellEnd"/>
      <w:r w:rsidRPr="00911C86">
        <w:rPr>
          <w:color w:val="000000"/>
          <w:sz w:val="24"/>
          <w:szCs w:val="24"/>
        </w:rPr>
        <w:t xml:space="preserve"> &amp; Lopes, 2011; </w:t>
      </w:r>
      <w:proofErr w:type="spellStart"/>
      <w:r w:rsidRPr="00911C86">
        <w:rPr>
          <w:color w:val="000000"/>
          <w:sz w:val="24"/>
          <w:szCs w:val="24"/>
        </w:rPr>
        <w:t>Prakash</w:t>
      </w:r>
      <w:proofErr w:type="spellEnd"/>
      <w:r w:rsidRPr="00911C86">
        <w:rPr>
          <w:color w:val="000000"/>
          <w:sz w:val="24"/>
          <w:szCs w:val="24"/>
        </w:rPr>
        <w:t xml:space="preserve"> et</w:t>
      </w:r>
      <w:r w:rsidRPr="00334301">
        <w:rPr>
          <w:i/>
          <w:color w:val="000000"/>
          <w:sz w:val="24"/>
          <w:szCs w:val="24"/>
        </w:rPr>
        <w:t xml:space="preserve">. </w:t>
      </w:r>
      <w:proofErr w:type="gramStart"/>
      <w:r w:rsidRPr="00334301">
        <w:rPr>
          <w:i/>
          <w:color w:val="000000"/>
          <w:sz w:val="24"/>
          <w:szCs w:val="24"/>
        </w:rPr>
        <w:t>al</w:t>
      </w:r>
      <w:proofErr w:type="gramEnd"/>
      <w:r w:rsidRPr="00911C86">
        <w:rPr>
          <w:color w:val="000000"/>
          <w:sz w:val="24"/>
          <w:szCs w:val="24"/>
        </w:rPr>
        <w:t xml:space="preserve">, 2017). </w:t>
      </w:r>
    </w:p>
    <w:p w14:paraId="08BEDFF3" w14:textId="77777777" w:rsidR="00246C6D" w:rsidRPr="00BA6153" w:rsidRDefault="00246C6D" w:rsidP="00162746">
      <w:pPr>
        <w:tabs>
          <w:tab w:val="left" w:pos="284"/>
        </w:tabs>
        <w:ind w:firstLine="709"/>
        <w:jc w:val="both"/>
        <w:rPr>
          <w:sz w:val="24"/>
          <w:szCs w:val="24"/>
        </w:rPr>
      </w:pPr>
      <w:r w:rsidRPr="00BA6153">
        <w:rPr>
          <w:bCs/>
          <w:spacing w:val="5"/>
          <w:sz w:val="24"/>
          <w:szCs w:val="24"/>
          <w:lang w:val="pt-PT"/>
        </w:rPr>
        <w:t>Migali e Zucchelli (2017) argumenta</w:t>
      </w:r>
      <w:r>
        <w:rPr>
          <w:bCs/>
          <w:spacing w:val="5"/>
          <w:sz w:val="24"/>
          <w:szCs w:val="24"/>
          <w:lang w:val="pt-PT"/>
        </w:rPr>
        <w:t>m</w:t>
      </w:r>
      <w:r w:rsidRPr="00BA6153">
        <w:rPr>
          <w:bCs/>
          <w:spacing w:val="5"/>
          <w:sz w:val="24"/>
          <w:szCs w:val="24"/>
          <w:lang w:val="pt-PT"/>
        </w:rPr>
        <w:t xml:space="preserve"> que os traços de personalidade do acadêmico, como saúde, conscietização e disposição são fatores influentes no abandono escolar. Caracteristicas demográficas tais como etnia, gênero, </w:t>
      </w:r>
      <w:r>
        <w:rPr>
          <w:bCs/>
          <w:spacing w:val="5"/>
          <w:sz w:val="24"/>
          <w:szCs w:val="24"/>
          <w:lang w:val="pt-PT"/>
        </w:rPr>
        <w:t xml:space="preserve">influências </w:t>
      </w:r>
      <w:r w:rsidRPr="00BA6153">
        <w:rPr>
          <w:bCs/>
          <w:spacing w:val="5"/>
          <w:sz w:val="24"/>
          <w:szCs w:val="24"/>
          <w:lang w:val="pt-PT"/>
        </w:rPr>
        <w:t xml:space="preserve">familiares, </w:t>
      </w:r>
      <w:r>
        <w:rPr>
          <w:bCs/>
          <w:spacing w:val="5"/>
          <w:sz w:val="24"/>
          <w:szCs w:val="24"/>
          <w:lang w:val="pt-PT"/>
        </w:rPr>
        <w:t>habilidades cognitivas e preferê</w:t>
      </w:r>
      <w:r w:rsidRPr="00BA6153">
        <w:rPr>
          <w:bCs/>
          <w:spacing w:val="5"/>
          <w:sz w:val="24"/>
          <w:szCs w:val="24"/>
          <w:lang w:val="pt-PT"/>
        </w:rPr>
        <w:t>ncias individuais ocasio</w:t>
      </w:r>
      <w:r>
        <w:rPr>
          <w:bCs/>
          <w:spacing w:val="5"/>
          <w:sz w:val="24"/>
          <w:szCs w:val="24"/>
          <w:lang w:val="pt-PT"/>
        </w:rPr>
        <w:t xml:space="preserve">nam o abandono escolar (Migali </w:t>
      </w:r>
      <w:r w:rsidRPr="00213074">
        <w:rPr>
          <w:bCs/>
          <w:spacing w:val="5"/>
          <w:sz w:val="24"/>
          <w:szCs w:val="24"/>
          <w:lang w:val="pt-PT"/>
        </w:rPr>
        <w:t>&amp;</w:t>
      </w:r>
      <w:r>
        <w:rPr>
          <w:bCs/>
          <w:spacing w:val="5"/>
          <w:sz w:val="24"/>
          <w:szCs w:val="24"/>
          <w:lang w:val="pt-PT"/>
        </w:rPr>
        <w:t xml:space="preserve"> </w:t>
      </w:r>
      <w:r w:rsidRPr="00BA6153">
        <w:rPr>
          <w:bCs/>
          <w:spacing w:val="5"/>
          <w:sz w:val="24"/>
          <w:szCs w:val="24"/>
          <w:lang w:val="pt-PT"/>
        </w:rPr>
        <w:t xml:space="preserve">Zucchelli, 2017; </w:t>
      </w:r>
      <w:proofErr w:type="spellStart"/>
      <w:r w:rsidRPr="00BA6153">
        <w:rPr>
          <w:sz w:val="24"/>
          <w:szCs w:val="24"/>
        </w:rPr>
        <w:t>Pagani</w:t>
      </w:r>
      <w:proofErr w:type="spellEnd"/>
      <w:r w:rsidRPr="00BA6153">
        <w:rPr>
          <w:sz w:val="24"/>
          <w:szCs w:val="24"/>
        </w:rPr>
        <w:t xml:space="preserve">; </w:t>
      </w:r>
      <w:r>
        <w:rPr>
          <w:bCs/>
          <w:color w:val="000000"/>
          <w:spacing w:val="4"/>
          <w:sz w:val="24"/>
          <w:szCs w:val="24"/>
          <w:lang w:val="pt-PT"/>
        </w:rPr>
        <w:t xml:space="preserve">Brière </w:t>
      </w:r>
      <w:r w:rsidRPr="00213074">
        <w:rPr>
          <w:bCs/>
          <w:spacing w:val="5"/>
          <w:sz w:val="24"/>
          <w:szCs w:val="24"/>
          <w:lang w:val="pt-PT"/>
        </w:rPr>
        <w:t>&amp;</w:t>
      </w:r>
      <w:r w:rsidRPr="00BA6153">
        <w:rPr>
          <w:bCs/>
          <w:color w:val="000000"/>
          <w:spacing w:val="4"/>
          <w:sz w:val="24"/>
          <w:szCs w:val="24"/>
          <w:lang w:val="pt-PT"/>
        </w:rPr>
        <w:t xml:space="preserve"> Janosz, </w:t>
      </w:r>
      <w:r w:rsidRPr="00BA6153">
        <w:rPr>
          <w:sz w:val="24"/>
          <w:szCs w:val="24"/>
        </w:rPr>
        <w:t xml:space="preserve">2017). </w:t>
      </w:r>
      <w:proofErr w:type="spellStart"/>
      <w:r w:rsidRPr="00BA6153">
        <w:rPr>
          <w:sz w:val="24"/>
          <w:szCs w:val="24"/>
        </w:rPr>
        <w:t>Robison</w:t>
      </w:r>
      <w:proofErr w:type="spellEnd"/>
      <w:r w:rsidRPr="00BA6153">
        <w:rPr>
          <w:sz w:val="24"/>
          <w:szCs w:val="24"/>
        </w:rPr>
        <w:t xml:space="preserve">, et. </w:t>
      </w:r>
      <w:proofErr w:type="gramStart"/>
      <w:r w:rsidRPr="00334301">
        <w:rPr>
          <w:i/>
          <w:sz w:val="24"/>
          <w:szCs w:val="24"/>
        </w:rPr>
        <w:t>al</w:t>
      </w:r>
      <w:proofErr w:type="gramEnd"/>
      <w:r w:rsidRPr="00BA6153">
        <w:rPr>
          <w:sz w:val="24"/>
          <w:szCs w:val="24"/>
        </w:rPr>
        <w:t xml:space="preserve"> (2017) determina que o abandono escolar é impulsionando pela interação entre fatores individuais, características comportamentais e características ambientais.</w:t>
      </w:r>
    </w:p>
    <w:p w14:paraId="1DA213A5" w14:textId="77777777" w:rsidR="00246C6D" w:rsidRPr="00BA6153" w:rsidRDefault="00246C6D" w:rsidP="00162746">
      <w:pPr>
        <w:ind w:firstLine="709"/>
        <w:jc w:val="both"/>
        <w:rPr>
          <w:sz w:val="24"/>
          <w:szCs w:val="24"/>
        </w:rPr>
      </w:pPr>
      <w:r w:rsidRPr="00BA6153">
        <w:rPr>
          <w:sz w:val="24"/>
          <w:szCs w:val="24"/>
        </w:rPr>
        <w:t xml:space="preserve">Oakland (1992) e </w:t>
      </w:r>
      <w:proofErr w:type="spellStart"/>
      <w:r w:rsidRPr="00BA6153">
        <w:rPr>
          <w:sz w:val="24"/>
          <w:szCs w:val="24"/>
        </w:rPr>
        <w:t>Prakash</w:t>
      </w:r>
      <w:proofErr w:type="spellEnd"/>
      <w:r w:rsidRPr="00BA6153">
        <w:rPr>
          <w:sz w:val="24"/>
          <w:szCs w:val="24"/>
        </w:rPr>
        <w:t xml:space="preserve">, et. </w:t>
      </w:r>
      <w:proofErr w:type="gramStart"/>
      <w:r w:rsidRPr="00334301">
        <w:rPr>
          <w:i/>
          <w:sz w:val="24"/>
          <w:szCs w:val="24"/>
        </w:rPr>
        <w:t>al</w:t>
      </w:r>
      <w:proofErr w:type="gramEnd"/>
      <w:r w:rsidRPr="00BA6153">
        <w:rPr>
          <w:sz w:val="24"/>
          <w:szCs w:val="24"/>
        </w:rPr>
        <w:t xml:space="preserve"> (2017) argumenta que a evasão escolar geralmente ocorre em muitos países de renda médi</w:t>
      </w:r>
      <w:r>
        <w:rPr>
          <w:sz w:val="24"/>
          <w:szCs w:val="24"/>
        </w:rPr>
        <w:t>a</w:t>
      </w:r>
      <w:r w:rsidRPr="00BA6153">
        <w:rPr>
          <w:sz w:val="24"/>
          <w:szCs w:val="24"/>
        </w:rPr>
        <w:t xml:space="preserve"> e baixa. Deste modo, o grau de escolaridade nesses países associa-se a pobreza extrema e a fome, onde fatores econômicos, em especial a riqueza da família, é</w:t>
      </w:r>
      <w:r>
        <w:rPr>
          <w:sz w:val="24"/>
          <w:szCs w:val="24"/>
        </w:rPr>
        <w:t xml:space="preserve"> importante</w:t>
      </w:r>
      <w:r w:rsidRPr="00BA6153">
        <w:rPr>
          <w:sz w:val="24"/>
          <w:szCs w:val="24"/>
        </w:rPr>
        <w:t xml:space="preserve"> para explicar a evasão escolar. Assim, a pobreza é um fator determinante no desempenho escolar do acadêmico (Chuang, 1997; </w:t>
      </w:r>
      <w:proofErr w:type="spellStart"/>
      <w:r w:rsidRPr="00BA6153">
        <w:rPr>
          <w:sz w:val="24"/>
          <w:szCs w:val="24"/>
        </w:rPr>
        <w:t>Robison</w:t>
      </w:r>
      <w:proofErr w:type="spellEnd"/>
      <w:r w:rsidRPr="00BA6153">
        <w:rPr>
          <w:sz w:val="24"/>
          <w:szCs w:val="24"/>
        </w:rPr>
        <w:t xml:space="preserve"> </w:t>
      </w:r>
      <w:r>
        <w:rPr>
          <w:sz w:val="24"/>
          <w:szCs w:val="24"/>
        </w:rPr>
        <w:t xml:space="preserve">et. </w:t>
      </w:r>
      <w:proofErr w:type="gramStart"/>
      <w:r w:rsidRPr="00334301">
        <w:rPr>
          <w:i/>
          <w:sz w:val="24"/>
          <w:szCs w:val="24"/>
        </w:rPr>
        <w:t>al</w:t>
      </w:r>
      <w:proofErr w:type="gramEnd"/>
      <w:r w:rsidRPr="00BA6153">
        <w:rPr>
          <w:sz w:val="24"/>
          <w:szCs w:val="24"/>
        </w:rPr>
        <w:t>, 2017).</w:t>
      </w:r>
      <w:r>
        <w:rPr>
          <w:sz w:val="24"/>
          <w:szCs w:val="24"/>
        </w:rPr>
        <w:t xml:space="preserve"> O</w:t>
      </w:r>
      <w:r w:rsidRPr="00BA6153">
        <w:rPr>
          <w:sz w:val="24"/>
          <w:szCs w:val="24"/>
        </w:rPr>
        <w:t xml:space="preserve"> impacto de viver em famíli</w:t>
      </w:r>
      <w:r>
        <w:rPr>
          <w:sz w:val="24"/>
          <w:szCs w:val="24"/>
        </w:rPr>
        <w:t>as com dificuldades financeiras</w:t>
      </w:r>
      <w:r w:rsidRPr="00BA6153">
        <w:rPr>
          <w:sz w:val="24"/>
          <w:szCs w:val="24"/>
        </w:rPr>
        <w:t xml:space="preserve">, com baixa educação relacionada aos antecedentes familiares e consequentemente com um emprego pouco rentável, propicia a saída do aluno da escola (Oakland, 1992). </w:t>
      </w:r>
    </w:p>
    <w:p w14:paraId="6DD8546A" w14:textId="77777777" w:rsidR="00246C6D" w:rsidRPr="00911C86" w:rsidRDefault="00246C6D" w:rsidP="00162746">
      <w:pPr>
        <w:pStyle w:val="PargrafodaLista"/>
        <w:tabs>
          <w:tab w:val="left" w:pos="284"/>
        </w:tabs>
        <w:ind w:left="0" w:firstLine="709"/>
        <w:jc w:val="both"/>
        <w:rPr>
          <w:color w:val="000000"/>
          <w:sz w:val="24"/>
          <w:szCs w:val="24"/>
        </w:rPr>
      </w:pPr>
      <w:r w:rsidRPr="00911C86">
        <w:rPr>
          <w:color w:val="000000"/>
          <w:sz w:val="24"/>
          <w:szCs w:val="24"/>
        </w:rPr>
        <w:t xml:space="preserve">Outro fator preditivo que pode dizer se o acadêmico vai ou não abandonar os estudos concentram-se no seu compromisso individual e metas para finalizar o curso e o seu comprometimento com a instituição. Porém, a evasão escolar também pode ocorrer por influência de fatores externos à instituição, ou seja, à medida que o acadêmico passa a analisar o custo benefício de investir em uma faculdade em relação ao seu retorno no mercado de trabalho (Tinto, 1975; </w:t>
      </w:r>
      <w:proofErr w:type="spellStart"/>
      <w:r w:rsidRPr="00911C86">
        <w:rPr>
          <w:color w:val="000000"/>
          <w:sz w:val="24"/>
          <w:szCs w:val="24"/>
        </w:rPr>
        <w:t>Baggi</w:t>
      </w:r>
      <w:proofErr w:type="spellEnd"/>
      <w:r w:rsidRPr="00911C86">
        <w:rPr>
          <w:color w:val="000000"/>
          <w:sz w:val="24"/>
          <w:szCs w:val="24"/>
        </w:rPr>
        <w:t xml:space="preserve"> &amp; Lopes, 2011; </w:t>
      </w:r>
      <w:r w:rsidRPr="00911C86">
        <w:rPr>
          <w:bCs/>
          <w:color w:val="000000"/>
          <w:spacing w:val="5"/>
          <w:sz w:val="24"/>
          <w:szCs w:val="24"/>
          <w:lang w:val="pt-PT"/>
        </w:rPr>
        <w:t xml:space="preserve">Migali </w:t>
      </w:r>
      <w:r w:rsidRPr="00213074">
        <w:rPr>
          <w:bCs/>
          <w:spacing w:val="5"/>
          <w:sz w:val="24"/>
          <w:szCs w:val="24"/>
          <w:lang w:val="pt-PT"/>
        </w:rPr>
        <w:t>&amp;</w:t>
      </w:r>
      <w:r w:rsidRPr="00911C86">
        <w:rPr>
          <w:bCs/>
          <w:color w:val="000000"/>
          <w:spacing w:val="5"/>
          <w:sz w:val="24"/>
          <w:szCs w:val="24"/>
          <w:lang w:val="pt-PT"/>
        </w:rPr>
        <w:t xml:space="preserve"> Zucchelli, 2017</w:t>
      </w:r>
      <w:r w:rsidRPr="00911C86">
        <w:rPr>
          <w:color w:val="000000"/>
          <w:sz w:val="24"/>
          <w:szCs w:val="24"/>
        </w:rPr>
        <w:t xml:space="preserve">). </w:t>
      </w:r>
    </w:p>
    <w:p w14:paraId="1F2B5E8C" w14:textId="77777777" w:rsidR="00246C6D" w:rsidRPr="00911C86" w:rsidRDefault="00246C6D" w:rsidP="00162746">
      <w:pPr>
        <w:pStyle w:val="PargrafodaLista"/>
        <w:tabs>
          <w:tab w:val="left" w:pos="284"/>
        </w:tabs>
        <w:ind w:left="0" w:firstLine="709"/>
        <w:jc w:val="both"/>
        <w:rPr>
          <w:color w:val="000000"/>
          <w:spacing w:val="5"/>
          <w:sz w:val="24"/>
          <w:szCs w:val="24"/>
        </w:rPr>
      </w:pPr>
      <w:r w:rsidRPr="00911C86">
        <w:rPr>
          <w:color w:val="000000"/>
          <w:sz w:val="24"/>
          <w:szCs w:val="24"/>
        </w:rPr>
        <w:t xml:space="preserve">Fatores relacionados aos antecedentes familiares dos acadêmicos também são importantes para </w:t>
      </w:r>
      <w:r w:rsidRPr="00911C86">
        <w:rPr>
          <w:color w:val="000000"/>
          <w:spacing w:val="5"/>
          <w:sz w:val="24"/>
          <w:szCs w:val="24"/>
          <w:lang w:val="pt-PT"/>
        </w:rPr>
        <w:t xml:space="preserve">o sucesso escolar e o desempenho na faculdade. Dentre eles está as relações nas famílias e as expectativas que os pais tem com a educação dos seus filhos. Experiênciais educacionais passadas, também afetam na evasão escolar, como desempenho do acadêmico no ensino médio, formação dos docentes e instalações escolares </w:t>
      </w:r>
      <w:r w:rsidRPr="00911C86">
        <w:rPr>
          <w:color w:val="000000"/>
          <w:sz w:val="24"/>
          <w:szCs w:val="24"/>
        </w:rPr>
        <w:t xml:space="preserve">(Oakland, 1992; Tinto, 1975; Chuang, 1997;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2017).</w:t>
      </w:r>
    </w:p>
    <w:p w14:paraId="5DD6D409" w14:textId="77777777" w:rsidR="00246C6D" w:rsidRPr="00911C86" w:rsidRDefault="00246C6D" w:rsidP="00162746">
      <w:pPr>
        <w:pStyle w:val="PargrafodaLista"/>
        <w:tabs>
          <w:tab w:val="left" w:pos="284"/>
        </w:tabs>
        <w:ind w:left="0" w:firstLine="709"/>
        <w:jc w:val="both"/>
        <w:rPr>
          <w:color w:val="000000"/>
          <w:sz w:val="24"/>
          <w:szCs w:val="24"/>
        </w:rPr>
      </w:pPr>
      <w:r w:rsidRPr="00911C86">
        <w:rPr>
          <w:color w:val="000000"/>
          <w:sz w:val="24"/>
          <w:szCs w:val="24"/>
        </w:rPr>
        <w:t xml:space="preserve">De acordo com Tinto (1975), deve-se analisar corretamente e distinguir cuidadosamente os desistentes devido ao fracasso escolar e aqueles que se retiraram voluntariamente. Por outro lado, uma faculdade renomada com prestigio pode fortalecer a permanência do acadêmico na instituição.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334301">
        <w:rPr>
          <w:i/>
          <w:color w:val="000000"/>
          <w:sz w:val="24"/>
          <w:szCs w:val="24"/>
        </w:rPr>
        <w:t xml:space="preserve"> </w:t>
      </w:r>
      <w:r w:rsidRPr="00911C86">
        <w:rPr>
          <w:color w:val="000000"/>
          <w:sz w:val="24"/>
          <w:szCs w:val="24"/>
        </w:rPr>
        <w:t>(2017) descreve que o esforço das faculdades em maximizar sua interação com os acadêmicos pode auxiliar na diminuição da evasão escolar.</w:t>
      </w:r>
    </w:p>
    <w:p w14:paraId="1591396F" w14:textId="77777777" w:rsidR="00246C6D" w:rsidRPr="00BA6153" w:rsidRDefault="00246C6D" w:rsidP="00162746">
      <w:pPr>
        <w:pStyle w:val="PargrafodaLista"/>
        <w:tabs>
          <w:tab w:val="left" w:pos="284"/>
        </w:tabs>
        <w:ind w:left="0" w:firstLine="709"/>
        <w:jc w:val="both"/>
        <w:rPr>
          <w:sz w:val="24"/>
          <w:szCs w:val="24"/>
        </w:rPr>
      </w:pPr>
      <w:r w:rsidRPr="00BA6153">
        <w:rPr>
          <w:sz w:val="24"/>
          <w:szCs w:val="24"/>
        </w:rPr>
        <w:t>De acordo com Oakland (1992) e Chuang</w:t>
      </w:r>
      <w:r w:rsidRPr="00BA6153">
        <w:rPr>
          <w:bCs/>
          <w:smallCaps/>
          <w:color w:val="000000"/>
          <w:spacing w:val="-1"/>
          <w:sz w:val="24"/>
          <w:szCs w:val="24"/>
          <w:lang w:val="pt-PT"/>
        </w:rPr>
        <w:t xml:space="preserve"> (1997)</w:t>
      </w:r>
      <w:r w:rsidRPr="00BA6153">
        <w:rPr>
          <w:sz w:val="24"/>
          <w:szCs w:val="24"/>
        </w:rPr>
        <w:t xml:space="preserve">, a qualidade das instituições também pode influenciar nas taxas de abandono escolar. Dentre esses fatores encontram-se a liderança administrativa, padrões de conduta, instalações físicas e desempenho do professor. Deste modo, a forte liderança administrativa e institucional aumenta a eficácia escolar, no sentido de que o diretor poderá alocar o professor de forma eficaz na instituição e consequentemente manter a comunicação entre professor e aluno. </w:t>
      </w:r>
    </w:p>
    <w:p w14:paraId="7F551AD5" w14:textId="77777777" w:rsidR="00246C6D" w:rsidRDefault="00246C6D" w:rsidP="00162746">
      <w:pPr>
        <w:pStyle w:val="PargrafodaLista"/>
        <w:tabs>
          <w:tab w:val="left" w:pos="284"/>
        </w:tabs>
        <w:ind w:left="0" w:firstLine="709"/>
        <w:jc w:val="both"/>
        <w:rPr>
          <w:sz w:val="24"/>
          <w:szCs w:val="24"/>
        </w:rPr>
      </w:pPr>
      <w:r w:rsidRPr="00BA6153">
        <w:rPr>
          <w:sz w:val="24"/>
          <w:szCs w:val="24"/>
        </w:rPr>
        <w:lastRenderedPageBreak/>
        <w:t xml:space="preserve">A comunicação dos acadêmicos entre si, com professores e diretores influenciam positivamente no comportamento do acadêmico, instalações de qualidade, bibliotecas e laboratórios adequados, e outras características físicas que </w:t>
      </w:r>
      <w:r>
        <w:rPr>
          <w:sz w:val="24"/>
          <w:szCs w:val="24"/>
        </w:rPr>
        <w:t xml:space="preserve">também </w:t>
      </w:r>
      <w:r w:rsidRPr="00BA6153">
        <w:rPr>
          <w:sz w:val="24"/>
          <w:szCs w:val="24"/>
        </w:rPr>
        <w:t>contribuem para um clima positivo e d</w:t>
      </w:r>
      <w:r>
        <w:rPr>
          <w:sz w:val="24"/>
          <w:szCs w:val="24"/>
        </w:rPr>
        <w:t>e bem-estar</w:t>
      </w:r>
      <w:r w:rsidRPr="00BA6153">
        <w:rPr>
          <w:sz w:val="24"/>
          <w:szCs w:val="24"/>
        </w:rPr>
        <w:t xml:space="preserve"> social, tendem a apresentar menores taxas de abandono escolar (Oakland, 1992</w:t>
      </w:r>
      <w:r>
        <w:rPr>
          <w:sz w:val="24"/>
          <w:szCs w:val="24"/>
        </w:rPr>
        <w:t>; Chuang</w:t>
      </w:r>
      <w:r w:rsidRPr="00BA6153">
        <w:rPr>
          <w:bCs/>
          <w:smallCaps/>
          <w:color w:val="000000"/>
          <w:spacing w:val="-1"/>
          <w:sz w:val="24"/>
          <w:szCs w:val="24"/>
          <w:lang w:val="pt-PT"/>
        </w:rPr>
        <w:t>, 1997</w:t>
      </w:r>
      <w:r>
        <w:rPr>
          <w:sz w:val="24"/>
          <w:szCs w:val="24"/>
        </w:rPr>
        <w:t>).</w:t>
      </w:r>
    </w:p>
    <w:p w14:paraId="7EF35077" w14:textId="77777777" w:rsidR="00246C6D" w:rsidRDefault="00246C6D" w:rsidP="00162746">
      <w:pPr>
        <w:pStyle w:val="PargrafodaLista"/>
        <w:tabs>
          <w:tab w:val="left" w:pos="284"/>
        </w:tabs>
        <w:ind w:left="0" w:firstLine="709"/>
        <w:jc w:val="both"/>
        <w:rPr>
          <w:sz w:val="24"/>
          <w:szCs w:val="24"/>
        </w:rPr>
      </w:pPr>
      <w:r>
        <w:rPr>
          <w:sz w:val="24"/>
          <w:szCs w:val="24"/>
        </w:rPr>
        <w:t xml:space="preserve">Dentre os diversos estudos em âmbito nacional e internacional sobre evasão escolar destacam-se Dias, </w:t>
      </w:r>
      <w:proofErr w:type="spellStart"/>
      <w:r>
        <w:rPr>
          <w:sz w:val="24"/>
          <w:szCs w:val="24"/>
        </w:rPr>
        <w:t>Theóphilo</w:t>
      </w:r>
      <w:proofErr w:type="spellEnd"/>
      <w:r>
        <w:rPr>
          <w:sz w:val="24"/>
          <w:szCs w:val="24"/>
        </w:rPr>
        <w:t xml:space="preserve"> e Lopes (2010) que analisaram a evasão escolar com alunos do curso de Ciências Contábeis, onde evidenciaram que um número representativo de acadêmicos errou na escolha do curso. Também se observou que os acadêmicos apresentavam dificuldades no processo de adaptação à realidade acadêmica, como moradia em outra cidade, distância entre a universidade e sua residência, necessidade de sustentar a família, questões de saúde, questões relacionadas ao emprego e dificuldades no ensino.</w:t>
      </w:r>
    </w:p>
    <w:p w14:paraId="5762E56F" w14:textId="77777777" w:rsidR="00246C6D" w:rsidRDefault="00246C6D" w:rsidP="00162746">
      <w:pPr>
        <w:pStyle w:val="PargrafodaLista"/>
        <w:tabs>
          <w:tab w:val="left" w:pos="284"/>
        </w:tabs>
        <w:ind w:left="0" w:firstLine="709"/>
        <w:jc w:val="both"/>
        <w:rPr>
          <w:bCs/>
          <w:spacing w:val="5"/>
          <w:sz w:val="24"/>
          <w:szCs w:val="24"/>
          <w:lang w:val="pt-PT"/>
        </w:rPr>
      </w:pPr>
      <w:r>
        <w:rPr>
          <w:sz w:val="24"/>
          <w:szCs w:val="24"/>
        </w:rPr>
        <w:t xml:space="preserve">Silva (2012) buscou identificar em </w:t>
      </w:r>
      <w:r w:rsidRPr="00C47EF3">
        <w:rPr>
          <w:sz w:val="24"/>
          <w:szCs w:val="24"/>
        </w:rPr>
        <w:t xml:space="preserve">um conjunto de 16 variáveis </w:t>
      </w:r>
      <w:r>
        <w:rPr>
          <w:sz w:val="24"/>
          <w:szCs w:val="24"/>
        </w:rPr>
        <w:t>que</w:t>
      </w:r>
      <w:r w:rsidRPr="00C47EF3">
        <w:rPr>
          <w:sz w:val="24"/>
          <w:szCs w:val="24"/>
        </w:rPr>
        <w:t xml:space="preserve"> </w:t>
      </w:r>
      <w:r>
        <w:rPr>
          <w:sz w:val="24"/>
          <w:szCs w:val="24"/>
        </w:rPr>
        <w:t>influenciam no aumento ou na diminuição</w:t>
      </w:r>
      <w:r w:rsidRPr="00C47EF3">
        <w:rPr>
          <w:sz w:val="24"/>
          <w:szCs w:val="24"/>
        </w:rPr>
        <w:t xml:space="preserve"> </w:t>
      </w:r>
      <w:r>
        <w:rPr>
          <w:sz w:val="24"/>
          <w:szCs w:val="24"/>
        </w:rPr>
        <w:t>da</w:t>
      </w:r>
      <w:r w:rsidRPr="00C47EF3">
        <w:rPr>
          <w:sz w:val="24"/>
          <w:szCs w:val="24"/>
        </w:rPr>
        <w:t xml:space="preserve"> evasão </w:t>
      </w:r>
      <w:r>
        <w:rPr>
          <w:sz w:val="24"/>
          <w:szCs w:val="24"/>
        </w:rPr>
        <w:t xml:space="preserve">escolar </w:t>
      </w:r>
      <w:r w:rsidRPr="00C47EF3">
        <w:rPr>
          <w:sz w:val="24"/>
          <w:szCs w:val="24"/>
        </w:rPr>
        <w:t>em uma i</w:t>
      </w:r>
      <w:r>
        <w:rPr>
          <w:sz w:val="24"/>
          <w:szCs w:val="24"/>
        </w:rPr>
        <w:t>nstituição privada utilizando o</w:t>
      </w:r>
      <w:r w:rsidRPr="00C47EF3">
        <w:rPr>
          <w:sz w:val="24"/>
          <w:szCs w:val="24"/>
        </w:rPr>
        <w:t xml:space="preserve"> modelo </w:t>
      </w:r>
      <w:proofErr w:type="spellStart"/>
      <w:r w:rsidRPr="00C47EF3">
        <w:rPr>
          <w:i/>
          <w:sz w:val="24"/>
          <w:szCs w:val="24"/>
        </w:rPr>
        <w:t>Duration</w:t>
      </w:r>
      <w:proofErr w:type="spellEnd"/>
      <w:r w:rsidRPr="00C47EF3">
        <w:rPr>
          <w:sz w:val="24"/>
          <w:szCs w:val="24"/>
        </w:rPr>
        <w:t xml:space="preserve">. As variáveis que </w:t>
      </w:r>
      <w:r>
        <w:rPr>
          <w:sz w:val="24"/>
          <w:szCs w:val="24"/>
        </w:rPr>
        <w:t>influenciam no aumento são representadas pela</w:t>
      </w:r>
      <w:r w:rsidRPr="00C47EF3">
        <w:rPr>
          <w:sz w:val="24"/>
          <w:szCs w:val="24"/>
        </w:rPr>
        <w:t xml:space="preserve"> reprovação, dificuldade financeira e mudança</w:t>
      </w:r>
      <w:r>
        <w:rPr>
          <w:sz w:val="24"/>
          <w:szCs w:val="24"/>
        </w:rPr>
        <w:t>s</w:t>
      </w:r>
      <w:r w:rsidRPr="00C47EF3">
        <w:rPr>
          <w:sz w:val="24"/>
          <w:szCs w:val="24"/>
        </w:rPr>
        <w:t xml:space="preserve"> na mensalidade. As variáveis relacionadas com desempenho</w:t>
      </w:r>
      <w:r>
        <w:rPr>
          <w:sz w:val="24"/>
          <w:szCs w:val="24"/>
        </w:rPr>
        <w:t xml:space="preserve">, como </w:t>
      </w:r>
      <w:r w:rsidRPr="00C47EF3">
        <w:rPr>
          <w:sz w:val="24"/>
          <w:szCs w:val="24"/>
        </w:rPr>
        <w:t>adiantamento no curso, ser ou não bolsista do PROUNI, boas n</w:t>
      </w:r>
      <w:r>
        <w:rPr>
          <w:sz w:val="24"/>
          <w:szCs w:val="24"/>
        </w:rPr>
        <w:t>otas e frequentar o nivelamento,</w:t>
      </w:r>
      <w:r w:rsidRPr="00C47EF3">
        <w:rPr>
          <w:sz w:val="24"/>
          <w:szCs w:val="24"/>
        </w:rPr>
        <w:t xml:space="preserve"> estão associadas com baixa chance de evasão. Estes resultados permitem elaboração de estratégias por parte da instituição para combater a evasão. </w:t>
      </w:r>
    </w:p>
    <w:p w14:paraId="0808A513" w14:textId="77777777" w:rsidR="00246C6D" w:rsidRDefault="00246C6D" w:rsidP="00162746">
      <w:pPr>
        <w:tabs>
          <w:tab w:val="left" w:pos="284"/>
        </w:tabs>
        <w:ind w:firstLine="709"/>
        <w:jc w:val="both"/>
        <w:rPr>
          <w:b/>
          <w:sz w:val="24"/>
          <w:szCs w:val="24"/>
        </w:rPr>
      </w:pPr>
      <w:r w:rsidRPr="00BA6153">
        <w:rPr>
          <w:bCs/>
          <w:spacing w:val="5"/>
          <w:sz w:val="24"/>
          <w:szCs w:val="24"/>
          <w:lang w:val="pt-PT"/>
        </w:rPr>
        <w:t>Migali e Zucchelli (2017)</w:t>
      </w:r>
      <w:r>
        <w:rPr>
          <w:bCs/>
          <w:spacing w:val="5"/>
          <w:sz w:val="24"/>
          <w:szCs w:val="24"/>
          <w:lang w:val="pt-PT"/>
        </w:rPr>
        <w:t xml:space="preserve"> analisaram se os traços de personalidade do individuo podem afetar no elevado abandono escolar em adolescentes dos Estados Unidos. Os achados demonstram que os traços de personalidade do individuo estão diretamente relacionados com o abandono escolar, principlamente quando considera-se a variável saúde e renda familiar. Já </w:t>
      </w:r>
      <w:proofErr w:type="spellStart"/>
      <w:r>
        <w:rPr>
          <w:sz w:val="24"/>
          <w:szCs w:val="24"/>
        </w:rPr>
        <w:t>Robison</w:t>
      </w:r>
      <w:proofErr w:type="spellEnd"/>
      <w:r>
        <w:rPr>
          <w:sz w:val="24"/>
          <w:szCs w:val="24"/>
        </w:rPr>
        <w:t xml:space="preserve">, et. </w:t>
      </w:r>
      <w:proofErr w:type="gramStart"/>
      <w:r w:rsidRPr="00334301">
        <w:rPr>
          <w:i/>
          <w:sz w:val="24"/>
          <w:szCs w:val="24"/>
        </w:rPr>
        <w:t>al</w:t>
      </w:r>
      <w:proofErr w:type="gramEnd"/>
      <w:r>
        <w:rPr>
          <w:sz w:val="24"/>
          <w:szCs w:val="24"/>
        </w:rPr>
        <w:t xml:space="preserve"> (2017) analisaram os fatores que levam os indivíduos a evasão escolar no ensino fundamental, ensino médio e anos iniciais da graduação. Os achados demonstram que fatores relacionados a instituição, ao comportamento do indivíduo e fatores relacionados a família sustentam a evasão escolar. </w:t>
      </w:r>
    </w:p>
    <w:p w14:paraId="4EB183E5" w14:textId="77777777" w:rsidR="00246C6D" w:rsidRPr="00EF4283" w:rsidRDefault="00246C6D" w:rsidP="00246C6D">
      <w:pPr>
        <w:pStyle w:val="PargrafodaLista"/>
        <w:tabs>
          <w:tab w:val="left" w:pos="284"/>
        </w:tabs>
        <w:ind w:left="0"/>
        <w:rPr>
          <w:b/>
          <w:sz w:val="24"/>
          <w:szCs w:val="24"/>
        </w:rPr>
      </w:pPr>
    </w:p>
    <w:p w14:paraId="0B1DD8AA" w14:textId="77777777" w:rsidR="00246C6D" w:rsidRPr="00FD1E88" w:rsidRDefault="00246C6D" w:rsidP="00246C6D">
      <w:pPr>
        <w:pStyle w:val="PargrafodaLista"/>
        <w:numPr>
          <w:ilvl w:val="0"/>
          <w:numId w:val="2"/>
        </w:numPr>
        <w:tabs>
          <w:tab w:val="left" w:pos="284"/>
        </w:tabs>
        <w:suppressAutoHyphens w:val="0"/>
        <w:ind w:left="0" w:firstLine="0"/>
        <w:rPr>
          <w:b/>
          <w:sz w:val="24"/>
          <w:szCs w:val="24"/>
        </w:rPr>
      </w:pPr>
      <w:r w:rsidRPr="00FD1E88">
        <w:rPr>
          <w:b/>
          <w:sz w:val="24"/>
          <w:szCs w:val="24"/>
        </w:rPr>
        <w:t>ASPECTOS METODOLÓGICOS</w:t>
      </w:r>
    </w:p>
    <w:p w14:paraId="130D9786" w14:textId="77777777" w:rsidR="00246C6D" w:rsidRDefault="00246C6D" w:rsidP="00162746">
      <w:pPr>
        <w:pStyle w:val="PargrafodaLista"/>
        <w:tabs>
          <w:tab w:val="left" w:pos="284"/>
        </w:tabs>
        <w:ind w:left="0" w:firstLine="709"/>
        <w:jc w:val="both"/>
        <w:rPr>
          <w:sz w:val="24"/>
          <w:szCs w:val="24"/>
        </w:rPr>
      </w:pPr>
      <w:r w:rsidRPr="00960B4A">
        <w:rPr>
          <w:sz w:val="24"/>
          <w:szCs w:val="24"/>
        </w:rPr>
        <w:t>O presente estudo</w:t>
      </w:r>
      <w:r>
        <w:rPr>
          <w:sz w:val="24"/>
          <w:szCs w:val="24"/>
        </w:rPr>
        <w:t>,</w:t>
      </w:r>
      <w:r w:rsidRPr="00960B4A">
        <w:rPr>
          <w:sz w:val="24"/>
          <w:szCs w:val="24"/>
        </w:rPr>
        <w:t xml:space="preserve"> quanto ao seu objetivo</w:t>
      </w:r>
      <w:r>
        <w:rPr>
          <w:sz w:val="24"/>
          <w:szCs w:val="24"/>
        </w:rPr>
        <w:t>,</w:t>
      </w:r>
      <w:r w:rsidRPr="00960B4A">
        <w:rPr>
          <w:sz w:val="24"/>
          <w:szCs w:val="24"/>
        </w:rPr>
        <w:t xml:space="preserve"> caracteriza-se como descritivo</w:t>
      </w:r>
      <w:r>
        <w:rPr>
          <w:sz w:val="24"/>
          <w:szCs w:val="24"/>
        </w:rPr>
        <w:t xml:space="preserve">, </w:t>
      </w:r>
      <w:r w:rsidRPr="00960B4A">
        <w:rPr>
          <w:sz w:val="24"/>
          <w:szCs w:val="24"/>
        </w:rPr>
        <w:t>pois</w:t>
      </w:r>
      <w:r>
        <w:rPr>
          <w:sz w:val="24"/>
          <w:szCs w:val="24"/>
        </w:rPr>
        <w:t xml:space="preserve"> </w:t>
      </w:r>
      <w:r w:rsidRPr="00960B4A">
        <w:rPr>
          <w:sz w:val="24"/>
          <w:szCs w:val="24"/>
        </w:rPr>
        <w:t xml:space="preserve">descreve as características dos respondentes e dos </w:t>
      </w:r>
      <w:r>
        <w:rPr>
          <w:sz w:val="24"/>
          <w:szCs w:val="24"/>
        </w:rPr>
        <w:t>respectivos fatores de opção de curso e os fatores que levariam a evasão escolar.</w:t>
      </w:r>
      <w:r w:rsidRPr="00960B4A">
        <w:rPr>
          <w:sz w:val="24"/>
          <w:szCs w:val="24"/>
        </w:rPr>
        <w:t xml:space="preserve"> Em relação ao procedimento para a coleta dos dados, o estudo </w:t>
      </w:r>
      <w:r>
        <w:rPr>
          <w:sz w:val="24"/>
          <w:szCs w:val="24"/>
        </w:rPr>
        <w:t xml:space="preserve">caracteriza-se como de </w:t>
      </w:r>
      <w:r w:rsidRPr="00960B4A">
        <w:rPr>
          <w:sz w:val="24"/>
          <w:szCs w:val="24"/>
        </w:rPr>
        <w:t xml:space="preserve">levantamento. </w:t>
      </w:r>
      <w:r>
        <w:rPr>
          <w:sz w:val="24"/>
          <w:szCs w:val="24"/>
        </w:rPr>
        <w:t>Deste modo</w:t>
      </w:r>
      <w:r w:rsidRPr="002063EA">
        <w:rPr>
          <w:sz w:val="24"/>
          <w:szCs w:val="24"/>
        </w:rPr>
        <w:t xml:space="preserve">, os dados necessários advêm das informações coletadas por meio da </w:t>
      </w:r>
      <w:r w:rsidRPr="00960B4A">
        <w:rPr>
          <w:sz w:val="24"/>
          <w:szCs w:val="24"/>
        </w:rPr>
        <w:t xml:space="preserve">aplicação de questionários aos </w:t>
      </w:r>
      <w:r>
        <w:rPr>
          <w:sz w:val="24"/>
          <w:szCs w:val="24"/>
        </w:rPr>
        <w:t xml:space="preserve">acadêmicos do curso de Ciências Contábeis em uma instituição pública de ensino superior no estado de Santa Catarina. </w:t>
      </w:r>
      <w:r w:rsidRPr="00960B4A">
        <w:rPr>
          <w:sz w:val="24"/>
          <w:szCs w:val="24"/>
        </w:rPr>
        <w:t>Quanto à análise dos dados, a pesquisa apre</w:t>
      </w:r>
      <w:r>
        <w:rPr>
          <w:sz w:val="24"/>
          <w:szCs w:val="24"/>
        </w:rPr>
        <w:t>senta uma abordagem de natureza quantitativa, que</w:t>
      </w:r>
      <w:r w:rsidRPr="00960B4A">
        <w:rPr>
          <w:sz w:val="24"/>
          <w:szCs w:val="24"/>
        </w:rPr>
        <w:t xml:space="preserve"> se caracteriza pelo emprego de diversas </w:t>
      </w:r>
      <w:r>
        <w:rPr>
          <w:sz w:val="24"/>
          <w:szCs w:val="24"/>
        </w:rPr>
        <w:t>técnicas estatísticas, das mais s</w:t>
      </w:r>
      <w:r w:rsidRPr="00960B4A">
        <w:rPr>
          <w:sz w:val="24"/>
          <w:szCs w:val="24"/>
        </w:rPr>
        <w:t xml:space="preserve">imples, como estatística descritiva, até as mais avançadas, como </w:t>
      </w:r>
      <w:r>
        <w:rPr>
          <w:sz w:val="24"/>
          <w:szCs w:val="24"/>
        </w:rPr>
        <w:t>analise fatorial,</w:t>
      </w:r>
      <w:r w:rsidRPr="00960B4A">
        <w:rPr>
          <w:sz w:val="24"/>
          <w:szCs w:val="24"/>
        </w:rPr>
        <w:t xml:space="preserve"> desde o momento da coleta até o tratamento dos dados (</w:t>
      </w:r>
      <w:r>
        <w:rPr>
          <w:sz w:val="24"/>
          <w:szCs w:val="24"/>
        </w:rPr>
        <w:t xml:space="preserve">Martins </w:t>
      </w:r>
      <w:r w:rsidRPr="00213074">
        <w:rPr>
          <w:bCs/>
          <w:spacing w:val="5"/>
          <w:sz w:val="24"/>
          <w:szCs w:val="24"/>
          <w:lang w:val="pt-PT"/>
        </w:rPr>
        <w:t>&amp;</w:t>
      </w:r>
      <w:r w:rsidRPr="00960B4A">
        <w:rPr>
          <w:sz w:val="24"/>
          <w:szCs w:val="24"/>
        </w:rPr>
        <w:t xml:space="preserve"> </w:t>
      </w:r>
      <w:proofErr w:type="spellStart"/>
      <w:r w:rsidRPr="00960B4A">
        <w:rPr>
          <w:sz w:val="24"/>
          <w:szCs w:val="24"/>
        </w:rPr>
        <w:t>Theóphilo</w:t>
      </w:r>
      <w:proofErr w:type="spellEnd"/>
      <w:r>
        <w:rPr>
          <w:sz w:val="24"/>
          <w:szCs w:val="24"/>
        </w:rPr>
        <w:t>, 2007</w:t>
      </w:r>
      <w:r w:rsidRPr="00960B4A">
        <w:rPr>
          <w:sz w:val="24"/>
          <w:szCs w:val="24"/>
        </w:rPr>
        <w:t xml:space="preserve">). </w:t>
      </w:r>
    </w:p>
    <w:p w14:paraId="0B7AB824" w14:textId="77777777" w:rsidR="00246C6D" w:rsidRPr="002063EA" w:rsidRDefault="00246C6D" w:rsidP="00162746">
      <w:pPr>
        <w:pStyle w:val="PargrafodaLista"/>
        <w:tabs>
          <w:tab w:val="left" w:pos="284"/>
        </w:tabs>
        <w:ind w:left="0" w:firstLine="709"/>
        <w:jc w:val="both"/>
        <w:rPr>
          <w:sz w:val="24"/>
          <w:szCs w:val="24"/>
        </w:rPr>
      </w:pPr>
      <w:r>
        <w:rPr>
          <w:sz w:val="24"/>
          <w:szCs w:val="24"/>
        </w:rPr>
        <w:t>A população compreende os acadêmicos</w:t>
      </w:r>
      <w:r w:rsidRPr="002063EA">
        <w:rPr>
          <w:sz w:val="24"/>
          <w:szCs w:val="24"/>
        </w:rPr>
        <w:t xml:space="preserve"> do curso de Ciências Contábeis em uma </w:t>
      </w:r>
      <w:r w:rsidRPr="0005313A">
        <w:rPr>
          <w:sz w:val="24"/>
          <w:szCs w:val="24"/>
        </w:rPr>
        <w:t>instituição pública de ensino superior no estado de Santa Catarina. A amostra foi por acessibilidade,</w:t>
      </w:r>
      <w:r>
        <w:rPr>
          <w:sz w:val="24"/>
          <w:szCs w:val="24"/>
        </w:rPr>
        <w:t xml:space="preserve"> resultando em 12</w:t>
      </w:r>
      <w:r w:rsidRPr="0005313A">
        <w:rPr>
          <w:sz w:val="24"/>
          <w:szCs w:val="24"/>
        </w:rPr>
        <w:t>0 respondentes, compreendendo os acadêmicos do 1º ao 6º semestre. Foram desconsiderados 19 questionários que estavam incompletos e/ou foram respondidos por acadêmicos do 7º e 8º semestres com disciplinas pendentes em semestres anteriores, totalizando uma amostra de 101 respondentes.  Entende-se que acadêmicos que já estão cursando o 7º e 8º semestres estão menos propensos a desistir</w:t>
      </w:r>
      <w:r>
        <w:rPr>
          <w:sz w:val="24"/>
          <w:szCs w:val="24"/>
        </w:rPr>
        <w:t>, pois estão na fase final do curso.</w:t>
      </w:r>
    </w:p>
    <w:p w14:paraId="7DF6E2FD" w14:textId="77777777" w:rsidR="00246C6D" w:rsidRDefault="00246C6D" w:rsidP="00162746">
      <w:pPr>
        <w:pStyle w:val="PargrafodaLista"/>
        <w:tabs>
          <w:tab w:val="left" w:pos="284"/>
        </w:tabs>
        <w:ind w:left="0" w:firstLine="709"/>
        <w:jc w:val="both"/>
        <w:rPr>
          <w:sz w:val="24"/>
          <w:szCs w:val="24"/>
        </w:rPr>
      </w:pPr>
      <w:r>
        <w:rPr>
          <w:sz w:val="24"/>
          <w:szCs w:val="24"/>
        </w:rPr>
        <w:t>A coleta dos dados se deu por meio da a</w:t>
      </w:r>
      <w:r w:rsidRPr="002063EA">
        <w:rPr>
          <w:sz w:val="24"/>
          <w:szCs w:val="24"/>
        </w:rPr>
        <w:t>plicação de um questionário</w:t>
      </w:r>
      <w:r>
        <w:rPr>
          <w:sz w:val="24"/>
          <w:szCs w:val="24"/>
        </w:rPr>
        <w:t xml:space="preserve"> aos a</w:t>
      </w:r>
      <w:r w:rsidRPr="002063EA">
        <w:rPr>
          <w:sz w:val="24"/>
          <w:szCs w:val="24"/>
        </w:rPr>
        <w:t>cadêmicos do curso de Ciências Contábeis</w:t>
      </w:r>
      <w:r>
        <w:rPr>
          <w:sz w:val="24"/>
          <w:szCs w:val="24"/>
        </w:rPr>
        <w:t xml:space="preserve"> </w:t>
      </w:r>
      <w:r w:rsidRPr="002063EA">
        <w:rPr>
          <w:sz w:val="24"/>
          <w:szCs w:val="24"/>
        </w:rPr>
        <w:t xml:space="preserve">em uma </w:t>
      </w:r>
      <w:r>
        <w:rPr>
          <w:sz w:val="24"/>
          <w:szCs w:val="24"/>
        </w:rPr>
        <w:t>instituição pública de ensino superior no estado de Santa Catarina por acessibilidade</w:t>
      </w:r>
      <w:r w:rsidRPr="0005313A">
        <w:rPr>
          <w:sz w:val="24"/>
          <w:szCs w:val="24"/>
        </w:rPr>
        <w:t>, nos meses de outubro e novembro de 2017.</w:t>
      </w:r>
      <w:r>
        <w:rPr>
          <w:sz w:val="24"/>
          <w:szCs w:val="24"/>
        </w:rPr>
        <w:t xml:space="preserve"> O questionário </w:t>
      </w:r>
      <w:r w:rsidRPr="0005313A">
        <w:rPr>
          <w:sz w:val="24"/>
          <w:szCs w:val="24"/>
        </w:rPr>
        <w:t xml:space="preserve">foi </w:t>
      </w:r>
      <w:r w:rsidRPr="0005313A">
        <w:rPr>
          <w:sz w:val="24"/>
          <w:szCs w:val="24"/>
        </w:rPr>
        <w:lastRenderedPageBreak/>
        <w:t>adaptado do estudo de Assis (2013), que investigou os fatores que influenciam a evasão de alunos dos cursos superiores de tecnologia em uma instituição de ensino superior. O mesmo está divido em três partes: a parte I descreve as características dos respondentes, a parte II destaca os fatores que levaram o acadêmico a optar pelo curso, e a parte III descreve os fatores que levariam o acadêmico a optar pelo abandono do curso. O instrumento foi v</w:t>
      </w:r>
      <w:r>
        <w:rPr>
          <w:sz w:val="24"/>
          <w:szCs w:val="24"/>
        </w:rPr>
        <w:t>alidado por Assis (2013) por meio</w:t>
      </w:r>
      <w:r w:rsidRPr="0005313A">
        <w:rPr>
          <w:sz w:val="24"/>
          <w:szCs w:val="24"/>
        </w:rPr>
        <w:t xml:space="preserve"> do alfa de </w:t>
      </w:r>
      <w:proofErr w:type="spellStart"/>
      <w:r w:rsidRPr="00D25861">
        <w:rPr>
          <w:i/>
          <w:sz w:val="24"/>
          <w:szCs w:val="24"/>
        </w:rPr>
        <w:t>Cronbach</w:t>
      </w:r>
      <w:proofErr w:type="spellEnd"/>
      <w:r w:rsidRPr="0005313A">
        <w:rPr>
          <w:sz w:val="24"/>
          <w:szCs w:val="24"/>
        </w:rPr>
        <w:t>, sendo obtido os valores 0,754 e 0,901 para as partes II e III, respectivamente.</w:t>
      </w:r>
      <w:r>
        <w:rPr>
          <w:sz w:val="24"/>
          <w:szCs w:val="24"/>
        </w:rPr>
        <w:t xml:space="preserve"> </w:t>
      </w:r>
    </w:p>
    <w:p w14:paraId="036F00AB" w14:textId="77777777" w:rsidR="00246C6D" w:rsidRDefault="00246C6D" w:rsidP="00162746">
      <w:pPr>
        <w:ind w:firstLine="709"/>
        <w:jc w:val="both"/>
        <w:rPr>
          <w:sz w:val="24"/>
          <w:szCs w:val="24"/>
        </w:rPr>
      </w:pPr>
      <w:r>
        <w:rPr>
          <w:sz w:val="24"/>
          <w:szCs w:val="24"/>
        </w:rPr>
        <w:t xml:space="preserve">Os dados coletados serão analisados por meio da aplicação de estatística descritiva, com o objetivo de analisar as características dos respondentes. Será utilizado </w:t>
      </w:r>
      <w:r w:rsidRPr="00D25861">
        <w:rPr>
          <w:sz w:val="24"/>
          <w:szCs w:val="24"/>
        </w:rPr>
        <w:t>Análise Fatorial por Componentes Principais</w:t>
      </w:r>
      <w:r>
        <w:rPr>
          <w:b/>
          <w:sz w:val="24"/>
          <w:szCs w:val="24"/>
        </w:rPr>
        <w:t xml:space="preserve"> </w:t>
      </w:r>
      <w:r>
        <w:rPr>
          <w:sz w:val="24"/>
          <w:szCs w:val="24"/>
        </w:rPr>
        <w:t xml:space="preserve">com o intuito de verificar os maiores fatores que </w:t>
      </w:r>
      <w:r w:rsidRPr="0005313A">
        <w:rPr>
          <w:sz w:val="24"/>
          <w:szCs w:val="24"/>
        </w:rPr>
        <w:t>que levaram o acadêmico a optar pelo curso</w:t>
      </w:r>
      <w:r>
        <w:rPr>
          <w:sz w:val="24"/>
          <w:szCs w:val="24"/>
        </w:rPr>
        <w:t xml:space="preserve"> e os maiores fatores que influenciam na evasão escolar dos acadêmicos</w:t>
      </w:r>
      <w:r w:rsidRPr="002063EA">
        <w:rPr>
          <w:sz w:val="24"/>
          <w:szCs w:val="24"/>
        </w:rPr>
        <w:t xml:space="preserve"> do curso de Ciências Contábeis em uma </w:t>
      </w:r>
      <w:r>
        <w:rPr>
          <w:sz w:val="24"/>
          <w:szCs w:val="24"/>
        </w:rPr>
        <w:t>instituição pública de ensino superior no estado de Santa Catarina, conforme destacado no Tabela 1, a seguir:</w:t>
      </w:r>
    </w:p>
    <w:p w14:paraId="5479643B" w14:textId="77777777" w:rsidR="00246C6D" w:rsidRDefault="00246C6D" w:rsidP="00246C6D">
      <w:pPr>
        <w:ind w:firstLine="709"/>
        <w:jc w:val="both"/>
        <w:rPr>
          <w:sz w:val="24"/>
          <w:szCs w:val="24"/>
        </w:rPr>
      </w:pPr>
    </w:p>
    <w:p w14:paraId="5007098B" w14:textId="77777777" w:rsidR="00246C6D" w:rsidRPr="00D25861" w:rsidRDefault="00246C6D" w:rsidP="00246C6D">
      <w:pPr>
        <w:pStyle w:val="PargrafodaLista"/>
        <w:tabs>
          <w:tab w:val="left" w:pos="284"/>
        </w:tabs>
        <w:ind w:left="0"/>
        <w:jc w:val="both"/>
        <w:rPr>
          <w:b/>
        </w:rPr>
      </w:pPr>
      <w:r>
        <w:rPr>
          <w:b/>
        </w:rPr>
        <w:t>Tabela</w:t>
      </w:r>
      <w:r w:rsidRPr="007971B5">
        <w:rPr>
          <w:b/>
        </w:rPr>
        <w:t xml:space="preserve"> 1 – Técnica de análise dos dados.</w:t>
      </w:r>
    </w:p>
    <w:tbl>
      <w:tblPr>
        <w:tblW w:w="8926" w:type="dxa"/>
        <w:tblBorders>
          <w:top w:val="single" w:sz="4" w:space="0" w:color="auto"/>
          <w:bottom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
        <w:gridCol w:w="3260"/>
        <w:gridCol w:w="4820"/>
      </w:tblGrid>
      <w:tr w:rsidR="00246C6D" w:rsidRPr="00911C86" w14:paraId="1EBEBAE2" w14:textId="77777777" w:rsidTr="00747342">
        <w:tc>
          <w:tcPr>
            <w:tcW w:w="846" w:type="dxa"/>
            <w:shd w:val="clear" w:color="auto" w:fill="auto"/>
          </w:tcPr>
          <w:p w14:paraId="3905F8BB" w14:textId="77777777" w:rsidR="00246C6D" w:rsidRPr="00911C86" w:rsidRDefault="00246C6D" w:rsidP="00747342">
            <w:pPr>
              <w:pStyle w:val="PargrafodaLista"/>
              <w:tabs>
                <w:tab w:val="left" w:pos="284"/>
              </w:tabs>
              <w:ind w:left="0"/>
              <w:jc w:val="both"/>
            </w:pPr>
            <w:r w:rsidRPr="00911C86">
              <w:t>Parte I</w:t>
            </w:r>
          </w:p>
        </w:tc>
        <w:tc>
          <w:tcPr>
            <w:tcW w:w="3260" w:type="dxa"/>
            <w:shd w:val="clear" w:color="auto" w:fill="auto"/>
          </w:tcPr>
          <w:p w14:paraId="3523F29B" w14:textId="77777777" w:rsidR="00246C6D" w:rsidRPr="00911C86" w:rsidRDefault="00246C6D" w:rsidP="00747342">
            <w:pPr>
              <w:pStyle w:val="PargrafodaLista"/>
              <w:tabs>
                <w:tab w:val="left" w:pos="284"/>
              </w:tabs>
              <w:ind w:left="0"/>
              <w:jc w:val="both"/>
            </w:pPr>
            <w:r w:rsidRPr="00911C86">
              <w:t>Características dos respondentes.</w:t>
            </w:r>
          </w:p>
        </w:tc>
        <w:tc>
          <w:tcPr>
            <w:tcW w:w="4820" w:type="dxa"/>
            <w:shd w:val="clear" w:color="auto" w:fill="auto"/>
          </w:tcPr>
          <w:p w14:paraId="3F1EE187" w14:textId="77777777" w:rsidR="00246C6D" w:rsidRPr="00911C86" w:rsidRDefault="00246C6D" w:rsidP="00747342">
            <w:pPr>
              <w:pStyle w:val="PargrafodaLista"/>
              <w:tabs>
                <w:tab w:val="left" w:pos="284"/>
              </w:tabs>
              <w:ind w:left="0"/>
              <w:jc w:val="both"/>
            </w:pPr>
            <w:r w:rsidRPr="00911C86">
              <w:t xml:space="preserve">Descritiva </w:t>
            </w:r>
          </w:p>
        </w:tc>
      </w:tr>
      <w:tr w:rsidR="00246C6D" w:rsidRPr="00911C86" w14:paraId="6AED4FEC" w14:textId="77777777" w:rsidTr="00747342">
        <w:tc>
          <w:tcPr>
            <w:tcW w:w="846" w:type="dxa"/>
            <w:shd w:val="clear" w:color="auto" w:fill="auto"/>
          </w:tcPr>
          <w:p w14:paraId="1614247B" w14:textId="77777777" w:rsidR="00246C6D" w:rsidRPr="00911C86" w:rsidRDefault="00246C6D" w:rsidP="00747342">
            <w:pPr>
              <w:pStyle w:val="PargrafodaLista"/>
              <w:tabs>
                <w:tab w:val="left" w:pos="284"/>
              </w:tabs>
              <w:ind w:left="0"/>
              <w:jc w:val="both"/>
            </w:pPr>
            <w:r w:rsidRPr="00911C86">
              <w:t>Parte II</w:t>
            </w:r>
          </w:p>
        </w:tc>
        <w:tc>
          <w:tcPr>
            <w:tcW w:w="3260" w:type="dxa"/>
            <w:shd w:val="clear" w:color="auto" w:fill="auto"/>
          </w:tcPr>
          <w:p w14:paraId="1DC834E3" w14:textId="77777777" w:rsidR="00246C6D" w:rsidRPr="00911C86" w:rsidRDefault="00246C6D" w:rsidP="00747342">
            <w:pPr>
              <w:pStyle w:val="PargrafodaLista"/>
              <w:tabs>
                <w:tab w:val="left" w:pos="284"/>
              </w:tabs>
              <w:ind w:left="0"/>
              <w:jc w:val="both"/>
            </w:pPr>
            <w:r w:rsidRPr="00911C86">
              <w:t>Fatores que levou a optar pelo curso.</w:t>
            </w:r>
          </w:p>
        </w:tc>
        <w:tc>
          <w:tcPr>
            <w:tcW w:w="4820" w:type="dxa"/>
            <w:shd w:val="clear" w:color="auto" w:fill="auto"/>
          </w:tcPr>
          <w:p w14:paraId="24A1B6C4" w14:textId="77777777" w:rsidR="00246C6D" w:rsidRPr="00911C86" w:rsidRDefault="00246C6D" w:rsidP="00747342">
            <w:pPr>
              <w:pStyle w:val="PargrafodaLista"/>
              <w:tabs>
                <w:tab w:val="left" w:pos="284"/>
              </w:tabs>
              <w:ind w:left="0"/>
              <w:jc w:val="both"/>
            </w:pPr>
            <w:r w:rsidRPr="00911C86">
              <w:t>Análise Fatorial por Componentes Principais.</w:t>
            </w:r>
          </w:p>
        </w:tc>
      </w:tr>
      <w:tr w:rsidR="00246C6D" w:rsidRPr="00911C86" w14:paraId="51944983" w14:textId="77777777" w:rsidTr="00747342">
        <w:tc>
          <w:tcPr>
            <w:tcW w:w="846" w:type="dxa"/>
            <w:shd w:val="clear" w:color="auto" w:fill="auto"/>
          </w:tcPr>
          <w:p w14:paraId="2D1FFEF5" w14:textId="77777777" w:rsidR="00246C6D" w:rsidRPr="00911C86" w:rsidRDefault="00246C6D" w:rsidP="00747342">
            <w:pPr>
              <w:pStyle w:val="PargrafodaLista"/>
              <w:tabs>
                <w:tab w:val="left" w:pos="284"/>
              </w:tabs>
              <w:ind w:left="0"/>
              <w:jc w:val="both"/>
            </w:pPr>
            <w:r w:rsidRPr="00911C86">
              <w:t>Parte III</w:t>
            </w:r>
          </w:p>
        </w:tc>
        <w:tc>
          <w:tcPr>
            <w:tcW w:w="3260" w:type="dxa"/>
            <w:shd w:val="clear" w:color="auto" w:fill="auto"/>
          </w:tcPr>
          <w:p w14:paraId="3F84B7F9" w14:textId="77777777" w:rsidR="00246C6D" w:rsidRPr="00911C86" w:rsidRDefault="00246C6D" w:rsidP="00747342">
            <w:pPr>
              <w:pStyle w:val="PargrafodaLista"/>
              <w:tabs>
                <w:tab w:val="left" w:pos="284"/>
              </w:tabs>
              <w:ind w:left="0"/>
              <w:jc w:val="both"/>
            </w:pPr>
            <w:r w:rsidRPr="00911C86">
              <w:t>Fatores que levariam a abandonar o curso.</w:t>
            </w:r>
          </w:p>
        </w:tc>
        <w:tc>
          <w:tcPr>
            <w:tcW w:w="4820" w:type="dxa"/>
            <w:shd w:val="clear" w:color="auto" w:fill="auto"/>
          </w:tcPr>
          <w:p w14:paraId="6192A36C" w14:textId="77777777" w:rsidR="00246C6D" w:rsidRPr="00911C86" w:rsidRDefault="00246C6D" w:rsidP="00747342">
            <w:pPr>
              <w:pStyle w:val="PargrafodaLista"/>
              <w:tabs>
                <w:tab w:val="left" w:pos="284"/>
              </w:tabs>
              <w:ind w:left="0"/>
              <w:jc w:val="both"/>
            </w:pPr>
            <w:r w:rsidRPr="00911C86">
              <w:t xml:space="preserve">Análise Fatorial de Segunda Ordem por Componentes Principais </w:t>
            </w:r>
          </w:p>
        </w:tc>
      </w:tr>
    </w:tbl>
    <w:p w14:paraId="40D51A48" w14:textId="77777777" w:rsidR="00246C6D" w:rsidRDefault="00246C6D" w:rsidP="00246C6D">
      <w:pPr>
        <w:pStyle w:val="PargrafodaLista"/>
        <w:tabs>
          <w:tab w:val="left" w:pos="284"/>
        </w:tabs>
        <w:ind w:left="0"/>
        <w:jc w:val="both"/>
      </w:pPr>
      <w:r w:rsidRPr="007971B5">
        <w:t>Fonte: Autores (2017).</w:t>
      </w:r>
    </w:p>
    <w:p w14:paraId="4A5E0104" w14:textId="77777777" w:rsidR="00246C6D" w:rsidRDefault="00246C6D" w:rsidP="00246C6D">
      <w:pPr>
        <w:pStyle w:val="PargrafodaLista"/>
        <w:tabs>
          <w:tab w:val="left" w:pos="284"/>
        </w:tabs>
        <w:ind w:left="0" w:firstLine="567"/>
        <w:jc w:val="both"/>
      </w:pPr>
    </w:p>
    <w:p w14:paraId="1359CD86" w14:textId="334A6FB0" w:rsidR="00246C6D" w:rsidRPr="00554BB4" w:rsidRDefault="00246C6D" w:rsidP="00162746">
      <w:pPr>
        <w:pStyle w:val="PargrafodaLista"/>
        <w:tabs>
          <w:tab w:val="left" w:pos="284"/>
        </w:tabs>
        <w:ind w:left="0" w:firstLine="709"/>
        <w:jc w:val="both"/>
        <w:rPr>
          <w:sz w:val="24"/>
          <w:szCs w:val="24"/>
        </w:rPr>
      </w:pPr>
      <w:r w:rsidRPr="00554BB4">
        <w:rPr>
          <w:sz w:val="24"/>
          <w:szCs w:val="24"/>
        </w:rPr>
        <w:t>A análise fatorial é uma técnica multivariada que permite identificar relações entre um conjunto de variáveis que estejam inter-relacionadas, permitindo construir fatores comuns que agrupem estas variáveis. (</w:t>
      </w:r>
      <w:proofErr w:type="spellStart"/>
      <w:r w:rsidRPr="00554BB4">
        <w:rPr>
          <w:sz w:val="24"/>
          <w:szCs w:val="24"/>
        </w:rPr>
        <w:t>Favero</w:t>
      </w:r>
      <w:proofErr w:type="spellEnd"/>
      <w:r w:rsidRPr="00554BB4">
        <w:rPr>
          <w:sz w:val="24"/>
          <w:szCs w:val="24"/>
        </w:rPr>
        <w:t xml:space="preserve"> et</w:t>
      </w:r>
      <w:r w:rsidR="00334301">
        <w:rPr>
          <w:sz w:val="24"/>
          <w:szCs w:val="24"/>
        </w:rPr>
        <w:t>.</w:t>
      </w:r>
      <w:r w:rsidRPr="00554BB4">
        <w:rPr>
          <w:sz w:val="24"/>
          <w:szCs w:val="24"/>
        </w:rPr>
        <w:t xml:space="preserve"> </w:t>
      </w:r>
      <w:proofErr w:type="gramStart"/>
      <w:r w:rsidRPr="00334301">
        <w:rPr>
          <w:i/>
          <w:sz w:val="24"/>
          <w:szCs w:val="24"/>
        </w:rPr>
        <w:t>al</w:t>
      </w:r>
      <w:proofErr w:type="gramEnd"/>
      <w:r w:rsidRPr="00554BB4">
        <w:rPr>
          <w:sz w:val="24"/>
          <w:szCs w:val="24"/>
        </w:rPr>
        <w:t>, 2009). Assim, é possível identificar os fatores mais relevantes dentro do conjunto de alternativas do questionário. Para a parte III do questionário foi aplicado Análise Fatorial de segunda ordem, devido à grande quantidade de questões e fatores formados.</w:t>
      </w:r>
    </w:p>
    <w:p w14:paraId="772E43B3" w14:textId="77777777" w:rsidR="00246C6D" w:rsidRPr="00EF4283" w:rsidRDefault="00246C6D" w:rsidP="00246C6D">
      <w:pPr>
        <w:pStyle w:val="PargrafodaLista"/>
        <w:tabs>
          <w:tab w:val="left" w:pos="284"/>
        </w:tabs>
        <w:ind w:left="0" w:firstLine="567"/>
        <w:jc w:val="both"/>
        <w:rPr>
          <w:b/>
          <w:sz w:val="24"/>
          <w:szCs w:val="24"/>
        </w:rPr>
      </w:pPr>
    </w:p>
    <w:p w14:paraId="44E828CE" w14:textId="77777777" w:rsidR="00246C6D" w:rsidRDefault="00246C6D" w:rsidP="00246C6D">
      <w:pPr>
        <w:pStyle w:val="PargrafodaLista"/>
        <w:numPr>
          <w:ilvl w:val="0"/>
          <w:numId w:val="2"/>
        </w:numPr>
        <w:tabs>
          <w:tab w:val="left" w:pos="284"/>
        </w:tabs>
        <w:suppressAutoHyphens w:val="0"/>
        <w:ind w:left="0" w:firstLine="0"/>
        <w:rPr>
          <w:b/>
          <w:sz w:val="24"/>
          <w:szCs w:val="24"/>
        </w:rPr>
      </w:pPr>
      <w:r>
        <w:rPr>
          <w:b/>
          <w:sz w:val="24"/>
          <w:szCs w:val="24"/>
        </w:rPr>
        <w:t xml:space="preserve">DESCRIÇÃO E </w:t>
      </w:r>
      <w:r w:rsidRPr="00EF4283">
        <w:rPr>
          <w:b/>
          <w:sz w:val="24"/>
          <w:szCs w:val="24"/>
        </w:rPr>
        <w:t>ANÁLISE DOS RESULTADOS</w:t>
      </w:r>
    </w:p>
    <w:p w14:paraId="19724D91" w14:textId="77777777" w:rsidR="00246C6D" w:rsidRDefault="00246C6D" w:rsidP="00162746">
      <w:pPr>
        <w:ind w:firstLine="709"/>
        <w:jc w:val="both"/>
        <w:rPr>
          <w:b/>
          <w:sz w:val="24"/>
          <w:szCs w:val="24"/>
        </w:rPr>
      </w:pPr>
      <w:r w:rsidRPr="00D25861">
        <w:rPr>
          <w:sz w:val="24"/>
          <w:szCs w:val="24"/>
        </w:rPr>
        <w:t>Neste capítulo apresenta-se a descrição e análise dos dados de acordo com os resultados obtidos por meio da aplicação da estatística descritiva e Análise Fatorial por Componentes Principais</w:t>
      </w:r>
      <w:r>
        <w:rPr>
          <w:b/>
          <w:sz w:val="24"/>
          <w:szCs w:val="24"/>
        </w:rPr>
        <w:t>.</w:t>
      </w:r>
    </w:p>
    <w:p w14:paraId="51166846" w14:textId="77777777" w:rsidR="00246C6D" w:rsidRDefault="00246C6D" w:rsidP="00246C6D">
      <w:pPr>
        <w:ind w:firstLine="709"/>
        <w:jc w:val="both"/>
        <w:rPr>
          <w:b/>
          <w:sz w:val="24"/>
          <w:szCs w:val="24"/>
        </w:rPr>
      </w:pPr>
    </w:p>
    <w:p w14:paraId="63AB32E6" w14:textId="77777777" w:rsidR="00246C6D" w:rsidRPr="00A8482E" w:rsidRDefault="00246C6D" w:rsidP="00246C6D">
      <w:pPr>
        <w:pStyle w:val="PargrafodaLista"/>
        <w:numPr>
          <w:ilvl w:val="1"/>
          <w:numId w:val="2"/>
        </w:numPr>
        <w:tabs>
          <w:tab w:val="left" w:pos="426"/>
        </w:tabs>
        <w:suppressAutoHyphens w:val="0"/>
        <w:ind w:left="0" w:firstLine="0"/>
        <w:jc w:val="both"/>
        <w:rPr>
          <w:b/>
          <w:sz w:val="24"/>
          <w:szCs w:val="24"/>
        </w:rPr>
      </w:pPr>
      <w:r w:rsidRPr="00A8482E">
        <w:rPr>
          <w:b/>
          <w:sz w:val="24"/>
          <w:szCs w:val="24"/>
        </w:rPr>
        <w:t>Caracterização dos respondentes</w:t>
      </w:r>
    </w:p>
    <w:p w14:paraId="39CC89DB" w14:textId="77777777" w:rsidR="00246C6D" w:rsidRDefault="00246C6D" w:rsidP="00162746">
      <w:pPr>
        <w:ind w:firstLine="709"/>
        <w:jc w:val="both"/>
        <w:rPr>
          <w:sz w:val="24"/>
          <w:szCs w:val="24"/>
        </w:rPr>
      </w:pPr>
      <w:r w:rsidRPr="003A56B5">
        <w:rPr>
          <w:sz w:val="24"/>
          <w:szCs w:val="24"/>
        </w:rPr>
        <w:t>Nest</w:t>
      </w:r>
      <w:r>
        <w:rPr>
          <w:sz w:val="24"/>
          <w:szCs w:val="24"/>
        </w:rPr>
        <w:t>a etapa busca-se identificar as características dos respondentes de acordo com o gênero, idade, estado civil, grau de escolaridade, renda familiar, trabalho, ingresso no curso e ano de ingresso, semestre atual e reprovações. O gênero dos respondentes ficou bem distribuído, sendo que 46 são homens e 55 mulheres. Dos 101 respondentes, 92 são solteiros. O setor de atuação privado teve 85 respondentes, sendo que 11 estão desempregados, 3 trabalham no setor público e 2 são autônomos.</w:t>
      </w:r>
    </w:p>
    <w:p w14:paraId="76D16A66" w14:textId="77777777" w:rsidR="00246C6D" w:rsidRDefault="00246C6D" w:rsidP="00162746">
      <w:pPr>
        <w:ind w:firstLine="709"/>
        <w:jc w:val="both"/>
        <w:rPr>
          <w:sz w:val="24"/>
          <w:szCs w:val="24"/>
        </w:rPr>
      </w:pPr>
      <w:r>
        <w:rPr>
          <w:sz w:val="24"/>
          <w:szCs w:val="24"/>
        </w:rPr>
        <w:t xml:space="preserve">Na Tabela 2 é descrito a idade dos respondentes. A maior parte dos alunos, com 23 respondentes, possuem 19 anos. A concentração dos demais se encontra na faixa etária de 21 anos ou menos. </w:t>
      </w:r>
    </w:p>
    <w:p w14:paraId="5AEBD512" w14:textId="77777777" w:rsidR="00246C6D" w:rsidRDefault="00246C6D" w:rsidP="00246C6D">
      <w:pPr>
        <w:ind w:firstLine="709"/>
        <w:jc w:val="both"/>
        <w:rPr>
          <w:sz w:val="24"/>
          <w:szCs w:val="24"/>
        </w:rPr>
      </w:pPr>
    </w:p>
    <w:p w14:paraId="245A03DC" w14:textId="77777777" w:rsidR="00246C6D" w:rsidRPr="00081F77" w:rsidRDefault="00246C6D" w:rsidP="00246C6D">
      <w:pPr>
        <w:pStyle w:val="PargrafodaLista"/>
        <w:tabs>
          <w:tab w:val="left" w:pos="284"/>
        </w:tabs>
        <w:ind w:left="0"/>
        <w:rPr>
          <w:b/>
        </w:rPr>
      </w:pPr>
      <w:r>
        <w:rPr>
          <w:b/>
        </w:rPr>
        <w:t>Tabela 2</w:t>
      </w:r>
      <w:r w:rsidRPr="00081F77">
        <w:rPr>
          <w:b/>
        </w:rPr>
        <w:t xml:space="preserve"> - Caracterização da Idade.</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202"/>
        <w:gridCol w:w="1633"/>
        <w:gridCol w:w="1578"/>
        <w:gridCol w:w="1506"/>
        <w:gridCol w:w="1506"/>
        <w:gridCol w:w="1506"/>
      </w:tblGrid>
      <w:tr w:rsidR="00246C6D" w:rsidRPr="00911C86" w14:paraId="45703A4B" w14:textId="77777777" w:rsidTr="00747342">
        <w:tc>
          <w:tcPr>
            <w:tcW w:w="1202" w:type="dxa"/>
            <w:shd w:val="clear" w:color="auto" w:fill="D9D9D9"/>
          </w:tcPr>
          <w:p w14:paraId="2C52CD1D" w14:textId="77777777" w:rsidR="00246C6D" w:rsidRPr="00911C86" w:rsidRDefault="00246C6D" w:rsidP="00747342">
            <w:pPr>
              <w:autoSpaceDE w:val="0"/>
              <w:autoSpaceDN w:val="0"/>
              <w:adjustRightInd w:val="0"/>
              <w:ind w:left="-245" w:firstLine="245"/>
              <w:jc w:val="center"/>
              <w:rPr>
                <w:b/>
              </w:rPr>
            </w:pPr>
            <w:r w:rsidRPr="00911C86">
              <w:rPr>
                <w:b/>
              </w:rPr>
              <w:t>Idade</w:t>
            </w:r>
          </w:p>
        </w:tc>
        <w:tc>
          <w:tcPr>
            <w:tcW w:w="1633" w:type="dxa"/>
            <w:shd w:val="clear" w:color="auto" w:fill="D9D9D9"/>
          </w:tcPr>
          <w:p w14:paraId="7F93A23B" w14:textId="77777777" w:rsidR="00246C6D" w:rsidRPr="00911C86" w:rsidRDefault="00246C6D" w:rsidP="00747342">
            <w:pPr>
              <w:autoSpaceDE w:val="0"/>
              <w:autoSpaceDN w:val="0"/>
              <w:adjustRightInd w:val="0"/>
              <w:ind w:left="-245" w:firstLine="245"/>
              <w:jc w:val="center"/>
              <w:rPr>
                <w:b/>
              </w:rPr>
            </w:pPr>
            <w:r w:rsidRPr="00911C86">
              <w:rPr>
                <w:b/>
              </w:rPr>
              <w:t>Frequência</w:t>
            </w:r>
          </w:p>
        </w:tc>
        <w:tc>
          <w:tcPr>
            <w:tcW w:w="1578" w:type="dxa"/>
            <w:tcBorders>
              <w:top w:val="single" w:sz="12" w:space="0" w:color="auto"/>
              <w:bottom w:val="single" w:sz="4" w:space="0" w:color="auto"/>
              <w:right w:val="single" w:sz="18" w:space="0" w:color="auto"/>
            </w:tcBorders>
            <w:shd w:val="clear" w:color="auto" w:fill="D9D9D9"/>
          </w:tcPr>
          <w:p w14:paraId="5DC3A353" w14:textId="77777777" w:rsidR="00246C6D" w:rsidRPr="00911C86" w:rsidRDefault="00246C6D" w:rsidP="00747342">
            <w:pPr>
              <w:autoSpaceDE w:val="0"/>
              <w:autoSpaceDN w:val="0"/>
              <w:adjustRightInd w:val="0"/>
              <w:ind w:left="-245" w:firstLine="245"/>
              <w:jc w:val="center"/>
              <w:rPr>
                <w:b/>
              </w:rPr>
            </w:pPr>
            <w:r w:rsidRPr="00911C86">
              <w:rPr>
                <w:b/>
              </w:rPr>
              <w:t>%</w:t>
            </w:r>
          </w:p>
        </w:tc>
        <w:tc>
          <w:tcPr>
            <w:tcW w:w="1506" w:type="dxa"/>
            <w:tcBorders>
              <w:left w:val="single" w:sz="18" w:space="0" w:color="auto"/>
            </w:tcBorders>
            <w:shd w:val="clear" w:color="auto" w:fill="D9D9D9"/>
          </w:tcPr>
          <w:p w14:paraId="355D8497" w14:textId="77777777" w:rsidR="00246C6D" w:rsidRPr="00911C86" w:rsidRDefault="00246C6D" w:rsidP="00747342">
            <w:pPr>
              <w:autoSpaceDE w:val="0"/>
              <w:autoSpaceDN w:val="0"/>
              <w:adjustRightInd w:val="0"/>
              <w:ind w:left="-245" w:firstLine="245"/>
              <w:jc w:val="center"/>
              <w:rPr>
                <w:b/>
              </w:rPr>
            </w:pPr>
            <w:r w:rsidRPr="00911C86">
              <w:rPr>
                <w:b/>
              </w:rPr>
              <w:t>Idade</w:t>
            </w:r>
          </w:p>
        </w:tc>
        <w:tc>
          <w:tcPr>
            <w:tcW w:w="1506" w:type="dxa"/>
            <w:shd w:val="clear" w:color="auto" w:fill="D9D9D9"/>
          </w:tcPr>
          <w:p w14:paraId="5FB45BBC" w14:textId="77777777" w:rsidR="00246C6D" w:rsidRPr="00911C86" w:rsidRDefault="00246C6D" w:rsidP="00747342">
            <w:pPr>
              <w:autoSpaceDE w:val="0"/>
              <w:autoSpaceDN w:val="0"/>
              <w:adjustRightInd w:val="0"/>
              <w:ind w:left="-245" w:firstLine="245"/>
              <w:jc w:val="center"/>
              <w:rPr>
                <w:b/>
              </w:rPr>
            </w:pPr>
            <w:r w:rsidRPr="00911C86">
              <w:rPr>
                <w:b/>
              </w:rPr>
              <w:t>Frequência</w:t>
            </w:r>
          </w:p>
        </w:tc>
        <w:tc>
          <w:tcPr>
            <w:tcW w:w="1506" w:type="dxa"/>
            <w:shd w:val="clear" w:color="auto" w:fill="D9D9D9"/>
          </w:tcPr>
          <w:p w14:paraId="2530350F" w14:textId="77777777" w:rsidR="00246C6D" w:rsidRPr="00911C86" w:rsidRDefault="00246C6D" w:rsidP="00747342">
            <w:pPr>
              <w:autoSpaceDE w:val="0"/>
              <w:autoSpaceDN w:val="0"/>
              <w:adjustRightInd w:val="0"/>
              <w:ind w:left="-245" w:firstLine="245"/>
              <w:jc w:val="center"/>
              <w:rPr>
                <w:b/>
              </w:rPr>
            </w:pPr>
            <w:r w:rsidRPr="00911C86">
              <w:rPr>
                <w:b/>
              </w:rPr>
              <w:t>%</w:t>
            </w:r>
          </w:p>
        </w:tc>
      </w:tr>
      <w:tr w:rsidR="00246C6D" w:rsidRPr="00911C86" w14:paraId="1120AC0D" w14:textId="77777777" w:rsidTr="00747342">
        <w:tc>
          <w:tcPr>
            <w:tcW w:w="1202" w:type="dxa"/>
            <w:shd w:val="clear" w:color="auto" w:fill="auto"/>
            <w:vAlign w:val="center"/>
          </w:tcPr>
          <w:p w14:paraId="7D7931C6" w14:textId="77777777" w:rsidR="00246C6D" w:rsidRPr="00911C86" w:rsidRDefault="00246C6D" w:rsidP="00747342">
            <w:pPr>
              <w:autoSpaceDE w:val="0"/>
              <w:autoSpaceDN w:val="0"/>
              <w:adjustRightInd w:val="0"/>
              <w:ind w:left="-245" w:firstLine="245"/>
            </w:pPr>
            <w:r w:rsidRPr="00911C86">
              <w:t>17 anos</w:t>
            </w:r>
          </w:p>
        </w:tc>
        <w:tc>
          <w:tcPr>
            <w:tcW w:w="1633" w:type="dxa"/>
            <w:shd w:val="clear" w:color="auto" w:fill="auto"/>
          </w:tcPr>
          <w:p w14:paraId="2D7773AA" w14:textId="77777777" w:rsidR="00246C6D" w:rsidRPr="00911C86" w:rsidRDefault="00246C6D" w:rsidP="00747342">
            <w:pPr>
              <w:autoSpaceDE w:val="0"/>
              <w:autoSpaceDN w:val="0"/>
              <w:adjustRightInd w:val="0"/>
              <w:ind w:left="-245" w:firstLine="245"/>
              <w:jc w:val="center"/>
            </w:pPr>
            <w:r w:rsidRPr="00911C86">
              <w:t>5</w:t>
            </w:r>
          </w:p>
        </w:tc>
        <w:tc>
          <w:tcPr>
            <w:tcW w:w="1578" w:type="dxa"/>
            <w:tcBorders>
              <w:top w:val="single" w:sz="4" w:space="0" w:color="auto"/>
              <w:bottom w:val="single" w:sz="4" w:space="0" w:color="auto"/>
              <w:right w:val="single" w:sz="18" w:space="0" w:color="auto"/>
            </w:tcBorders>
            <w:shd w:val="clear" w:color="auto" w:fill="auto"/>
          </w:tcPr>
          <w:p w14:paraId="5A9D089D" w14:textId="77777777" w:rsidR="00246C6D" w:rsidRPr="00911C86" w:rsidRDefault="00246C6D" w:rsidP="00747342">
            <w:pPr>
              <w:autoSpaceDE w:val="0"/>
              <w:autoSpaceDN w:val="0"/>
              <w:adjustRightInd w:val="0"/>
              <w:ind w:left="-245" w:firstLine="245"/>
              <w:jc w:val="center"/>
            </w:pPr>
            <w:r w:rsidRPr="00911C86">
              <w:t>5,0</w:t>
            </w:r>
          </w:p>
        </w:tc>
        <w:tc>
          <w:tcPr>
            <w:tcW w:w="1506" w:type="dxa"/>
            <w:tcBorders>
              <w:left w:val="single" w:sz="18" w:space="0" w:color="auto"/>
            </w:tcBorders>
            <w:shd w:val="clear" w:color="auto" w:fill="auto"/>
          </w:tcPr>
          <w:p w14:paraId="5560504B" w14:textId="77777777" w:rsidR="00246C6D" w:rsidRPr="00911C86" w:rsidRDefault="00246C6D" w:rsidP="00747342">
            <w:pPr>
              <w:autoSpaceDE w:val="0"/>
              <w:autoSpaceDN w:val="0"/>
              <w:adjustRightInd w:val="0"/>
              <w:ind w:left="-245" w:firstLine="245"/>
              <w:jc w:val="center"/>
            </w:pPr>
            <w:r w:rsidRPr="00911C86">
              <w:t>24 anos</w:t>
            </w:r>
          </w:p>
        </w:tc>
        <w:tc>
          <w:tcPr>
            <w:tcW w:w="1506" w:type="dxa"/>
            <w:shd w:val="clear" w:color="auto" w:fill="auto"/>
          </w:tcPr>
          <w:p w14:paraId="6AF51E3E" w14:textId="77777777" w:rsidR="00246C6D" w:rsidRPr="00911C86" w:rsidRDefault="00246C6D" w:rsidP="00747342">
            <w:pPr>
              <w:autoSpaceDE w:val="0"/>
              <w:autoSpaceDN w:val="0"/>
              <w:adjustRightInd w:val="0"/>
              <w:ind w:left="-245" w:firstLine="245"/>
              <w:jc w:val="center"/>
            </w:pPr>
            <w:r w:rsidRPr="00911C86">
              <w:t>1</w:t>
            </w:r>
          </w:p>
        </w:tc>
        <w:tc>
          <w:tcPr>
            <w:tcW w:w="1506" w:type="dxa"/>
            <w:shd w:val="clear" w:color="auto" w:fill="auto"/>
          </w:tcPr>
          <w:p w14:paraId="589617EC" w14:textId="77777777" w:rsidR="00246C6D" w:rsidRPr="00911C86" w:rsidRDefault="00246C6D" w:rsidP="00747342">
            <w:pPr>
              <w:autoSpaceDE w:val="0"/>
              <w:autoSpaceDN w:val="0"/>
              <w:adjustRightInd w:val="0"/>
              <w:ind w:left="-245" w:firstLine="245"/>
              <w:jc w:val="center"/>
            </w:pPr>
            <w:r w:rsidRPr="00911C86">
              <w:t>1,0</w:t>
            </w:r>
          </w:p>
        </w:tc>
      </w:tr>
      <w:tr w:rsidR="00246C6D" w:rsidRPr="00911C86" w14:paraId="54293A52" w14:textId="77777777" w:rsidTr="00747342">
        <w:tc>
          <w:tcPr>
            <w:tcW w:w="1202" w:type="dxa"/>
            <w:shd w:val="clear" w:color="auto" w:fill="auto"/>
            <w:vAlign w:val="center"/>
          </w:tcPr>
          <w:p w14:paraId="2D75371B" w14:textId="77777777" w:rsidR="00246C6D" w:rsidRPr="00911C86" w:rsidRDefault="00246C6D" w:rsidP="00747342">
            <w:pPr>
              <w:autoSpaceDE w:val="0"/>
              <w:autoSpaceDN w:val="0"/>
              <w:adjustRightInd w:val="0"/>
              <w:ind w:left="-245" w:firstLine="245"/>
            </w:pPr>
            <w:r w:rsidRPr="00911C86">
              <w:t xml:space="preserve">18 anos </w:t>
            </w:r>
          </w:p>
        </w:tc>
        <w:tc>
          <w:tcPr>
            <w:tcW w:w="1633" w:type="dxa"/>
            <w:shd w:val="clear" w:color="auto" w:fill="auto"/>
          </w:tcPr>
          <w:p w14:paraId="04CFCC1F" w14:textId="77777777" w:rsidR="00246C6D" w:rsidRPr="00911C86" w:rsidRDefault="00246C6D" w:rsidP="00747342">
            <w:pPr>
              <w:autoSpaceDE w:val="0"/>
              <w:autoSpaceDN w:val="0"/>
              <w:adjustRightInd w:val="0"/>
              <w:ind w:left="-245" w:firstLine="245"/>
              <w:jc w:val="center"/>
            </w:pPr>
            <w:r w:rsidRPr="00911C86">
              <w:t>15</w:t>
            </w:r>
          </w:p>
        </w:tc>
        <w:tc>
          <w:tcPr>
            <w:tcW w:w="1578" w:type="dxa"/>
            <w:tcBorders>
              <w:top w:val="single" w:sz="4" w:space="0" w:color="auto"/>
              <w:bottom w:val="single" w:sz="4" w:space="0" w:color="auto"/>
              <w:right w:val="single" w:sz="18" w:space="0" w:color="auto"/>
            </w:tcBorders>
            <w:shd w:val="clear" w:color="auto" w:fill="auto"/>
          </w:tcPr>
          <w:p w14:paraId="32D6756A" w14:textId="77777777" w:rsidR="00246C6D" w:rsidRPr="00911C86" w:rsidRDefault="00246C6D" w:rsidP="00747342">
            <w:pPr>
              <w:autoSpaceDE w:val="0"/>
              <w:autoSpaceDN w:val="0"/>
              <w:adjustRightInd w:val="0"/>
              <w:ind w:left="-245" w:firstLine="245"/>
              <w:jc w:val="center"/>
            </w:pPr>
            <w:r w:rsidRPr="00911C86">
              <w:t>14,90</w:t>
            </w:r>
          </w:p>
        </w:tc>
        <w:tc>
          <w:tcPr>
            <w:tcW w:w="1506" w:type="dxa"/>
            <w:tcBorders>
              <w:left w:val="single" w:sz="18" w:space="0" w:color="auto"/>
            </w:tcBorders>
            <w:shd w:val="clear" w:color="auto" w:fill="auto"/>
          </w:tcPr>
          <w:p w14:paraId="6863272A" w14:textId="77777777" w:rsidR="00246C6D" w:rsidRPr="00911C86" w:rsidRDefault="00246C6D" w:rsidP="00747342">
            <w:pPr>
              <w:autoSpaceDE w:val="0"/>
              <w:autoSpaceDN w:val="0"/>
              <w:adjustRightInd w:val="0"/>
              <w:ind w:left="-245" w:firstLine="245"/>
              <w:jc w:val="center"/>
            </w:pPr>
            <w:r w:rsidRPr="00911C86">
              <w:t>25 anos</w:t>
            </w:r>
          </w:p>
        </w:tc>
        <w:tc>
          <w:tcPr>
            <w:tcW w:w="1506" w:type="dxa"/>
            <w:shd w:val="clear" w:color="auto" w:fill="auto"/>
          </w:tcPr>
          <w:p w14:paraId="3EE27749" w14:textId="77777777" w:rsidR="00246C6D" w:rsidRPr="00911C86" w:rsidRDefault="00246C6D" w:rsidP="00747342">
            <w:pPr>
              <w:autoSpaceDE w:val="0"/>
              <w:autoSpaceDN w:val="0"/>
              <w:adjustRightInd w:val="0"/>
              <w:ind w:left="-245" w:firstLine="245"/>
              <w:jc w:val="center"/>
            </w:pPr>
            <w:r w:rsidRPr="00911C86">
              <w:t>6</w:t>
            </w:r>
          </w:p>
        </w:tc>
        <w:tc>
          <w:tcPr>
            <w:tcW w:w="1506" w:type="dxa"/>
            <w:shd w:val="clear" w:color="auto" w:fill="auto"/>
          </w:tcPr>
          <w:p w14:paraId="1106FD1F" w14:textId="77777777" w:rsidR="00246C6D" w:rsidRPr="00911C86" w:rsidRDefault="00246C6D" w:rsidP="00747342">
            <w:pPr>
              <w:autoSpaceDE w:val="0"/>
              <w:autoSpaceDN w:val="0"/>
              <w:adjustRightInd w:val="0"/>
              <w:ind w:left="-245" w:firstLine="245"/>
              <w:jc w:val="center"/>
            </w:pPr>
            <w:r w:rsidRPr="00911C86">
              <w:t>5,8</w:t>
            </w:r>
          </w:p>
        </w:tc>
      </w:tr>
      <w:tr w:rsidR="00246C6D" w:rsidRPr="00911C86" w14:paraId="0A9EBF9F" w14:textId="77777777" w:rsidTr="00747342">
        <w:tc>
          <w:tcPr>
            <w:tcW w:w="1202" w:type="dxa"/>
            <w:shd w:val="clear" w:color="auto" w:fill="auto"/>
            <w:vAlign w:val="center"/>
          </w:tcPr>
          <w:p w14:paraId="4CAF2E23" w14:textId="77777777" w:rsidR="00246C6D" w:rsidRPr="00911C86" w:rsidRDefault="00246C6D" w:rsidP="00747342">
            <w:pPr>
              <w:autoSpaceDE w:val="0"/>
              <w:autoSpaceDN w:val="0"/>
              <w:adjustRightInd w:val="0"/>
              <w:ind w:left="-245" w:firstLine="245"/>
            </w:pPr>
            <w:r w:rsidRPr="00911C86">
              <w:t>19 anos</w:t>
            </w:r>
          </w:p>
        </w:tc>
        <w:tc>
          <w:tcPr>
            <w:tcW w:w="1633" w:type="dxa"/>
            <w:shd w:val="clear" w:color="auto" w:fill="auto"/>
          </w:tcPr>
          <w:p w14:paraId="7789C017" w14:textId="77777777" w:rsidR="00246C6D" w:rsidRPr="00911C86" w:rsidRDefault="00246C6D" w:rsidP="00747342">
            <w:pPr>
              <w:autoSpaceDE w:val="0"/>
              <w:autoSpaceDN w:val="0"/>
              <w:adjustRightInd w:val="0"/>
              <w:ind w:left="-245" w:firstLine="245"/>
              <w:jc w:val="center"/>
            </w:pPr>
            <w:r w:rsidRPr="00911C86">
              <w:t>23</w:t>
            </w:r>
          </w:p>
        </w:tc>
        <w:tc>
          <w:tcPr>
            <w:tcW w:w="1578" w:type="dxa"/>
            <w:tcBorders>
              <w:top w:val="single" w:sz="4" w:space="0" w:color="auto"/>
              <w:bottom w:val="single" w:sz="4" w:space="0" w:color="auto"/>
              <w:right w:val="single" w:sz="18" w:space="0" w:color="auto"/>
            </w:tcBorders>
            <w:shd w:val="clear" w:color="auto" w:fill="auto"/>
          </w:tcPr>
          <w:p w14:paraId="7A9B2837" w14:textId="77777777" w:rsidR="00246C6D" w:rsidRPr="00911C86" w:rsidRDefault="00246C6D" w:rsidP="00747342">
            <w:pPr>
              <w:autoSpaceDE w:val="0"/>
              <w:autoSpaceDN w:val="0"/>
              <w:adjustRightInd w:val="0"/>
              <w:ind w:left="-245" w:firstLine="245"/>
              <w:jc w:val="center"/>
            </w:pPr>
            <w:r w:rsidRPr="00911C86">
              <w:t>22,80</w:t>
            </w:r>
          </w:p>
        </w:tc>
        <w:tc>
          <w:tcPr>
            <w:tcW w:w="1506" w:type="dxa"/>
            <w:tcBorders>
              <w:left w:val="single" w:sz="18" w:space="0" w:color="auto"/>
            </w:tcBorders>
            <w:shd w:val="clear" w:color="auto" w:fill="auto"/>
          </w:tcPr>
          <w:p w14:paraId="2D62BB8B" w14:textId="77777777" w:rsidR="00246C6D" w:rsidRPr="00911C86" w:rsidRDefault="00246C6D" w:rsidP="00747342">
            <w:pPr>
              <w:autoSpaceDE w:val="0"/>
              <w:autoSpaceDN w:val="0"/>
              <w:adjustRightInd w:val="0"/>
              <w:ind w:left="-245" w:firstLine="245"/>
              <w:jc w:val="center"/>
            </w:pPr>
            <w:r w:rsidRPr="00911C86">
              <w:t>30 anos</w:t>
            </w:r>
          </w:p>
        </w:tc>
        <w:tc>
          <w:tcPr>
            <w:tcW w:w="1506" w:type="dxa"/>
            <w:shd w:val="clear" w:color="auto" w:fill="auto"/>
          </w:tcPr>
          <w:p w14:paraId="3FC19D30" w14:textId="77777777" w:rsidR="00246C6D" w:rsidRPr="00911C86" w:rsidRDefault="00246C6D" w:rsidP="00747342">
            <w:pPr>
              <w:autoSpaceDE w:val="0"/>
              <w:autoSpaceDN w:val="0"/>
              <w:adjustRightInd w:val="0"/>
              <w:ind w:left="-245" w:firstLine="245"/>
              <w:jc w:val="center"/>
            </w:pPr>
            <w:r w:rsidRPr="00911C86">
              <w:t>1</w:t>
            </w:r>
          </w:p>
        </w:tc>
        <w:tc>
          <w:tcPr>
            <w:tcW w:w="1506" w:type="dxa"/>
            <w:shd w:val="clear" w:color="auto" w:fill="auto"/>
          </w:tcPr>
          <w:p w14:paraId="01B7FE2D" w14:textId="77777777" w:rsidR="00246C6D" w:rsidRPr="00911C86" w:rsidRDefault="00246C6D" w:rsidP="00747342">
            <w:pPr>
              <w:autoSpaceDE w:val="0"/>
              <w:autoSpaceDN w:val="0"/>
              <w:adjustRightInd w:val="0"/>
              <w:ind w:left="-245" w:firstLine="245"/>
              <w:jc w:val="center"/>
            </w:pPr>
            <w:r w:rsidRPr="00911C86">
              <w:t>1,0</w:t>
            </w:r>
          </w:p>
        </w:tc>
      </w:tr>
      <w:tr w:rsidR="00246C6D" w:rsidRPr="00911C86" w14:paraId="608C9CA8" w14:textId="77777777" w:rsidTr="00747342">
        <w:tc>
          <w:tcPr>
            <w:tcW w:w="1202" w:type="dxa"/>
            <w:shd w:val="clear" w:color="auto" w:fill="auto"/>
            <w:vAlign w:val="center"/>
          </w:tcPr>
          <w:p w14:paraId="0729DDE1" w14:textId="77777777" w:rsidR="00246C6D" w:rsidRPr="00911C86" w:rsidRDefault="00246C6D" w:rsidP="00747342">
            <w:pPr>
              <w:autoSpaceDE w:val="0"/>
              <w:autoSpaceDN w:val="0"/>
              <w:adjustRightInd w:val="0"/>
              <w:ind w:left="-245" w:firstLine="245"/>
            </w:pPr>
            <w:r w:rsidRPr="00911C86">
              <w:t xml:space="preserve">20 anos </w:t>
            </w:r>
          </w:p>
        </w:tc>
        <w:tc>
          <w:tcPr>
            <w:tcW w:w="1633" w:type="dxa"/>
            <w:shd w:val="clear" w:color="auto" w:fill="auto"/>
          </w:tcPr>
          <w:p w14:paraId="6C31C429" w14:textId="77777777" w:rsidR="00246C6D" w:rsidRPr="00911C86" w:rsidRDefault="00246C6D" w:rsidP="00747342">
            <w:pPr>
              <w:autoSpaceDE w:val="0"/>
              <w:autoSpaceDN w:val="0"/>
              <w:adjustRightInd w:val="0"/>
              <w:ind w:left="-245" w:firstLine="245"/>
              <w:jc w:val="center"/>
            </w:pPr>
            <w:r w:rsidRPr="00911C86">
              <w:t>20</w:t>
            </w:r>
          </w:p>
        </w:tc>
        <w:tc>
          <w:tcPr>
            <w:tcW w:w="1578" w:type="dxa"/>
            <w:tcBorders>
              <w:top w:val="single" w:sz="4" w:space="0" w:color="auto"/>
              <w:bottom w:val="single" w:sz="4" w:space="0" w:color="auto"/>
              <w:right w:val="single" w:sz="18" w:space="0" w:color="auto"/>
            </w:tcBorders>
            <w:shd w:val="clear" w:color="auto" w:fill="auto"/>
          </w:tcPr>
          <w:p w14:paraId="4C3F5C1F" w14:textId="77777777" w:rsidR="00246C6D" w:rsidRPr="00911C86" w:rsidRDefault="00246C6D" w:rsidP="00747342">
            <w:pPr>
              <w:autoSpaceDE w:val="0"/>
              <w:autoSpaceDN w:val="0"/>
              <w:adjustRightInd w:val="0"/>
              <w:ind w:left="-245" w:firstLine="245"/>
              <w:jc w:val="center"/>
            </w:pPr>
            <w:r w:rsidRPr="00911C86">
              <w:t>19,80</w:t>
            </w:r>
          </w:p>
        </w:tc>
        <w:tc>
          <w:tcPr>
            <w:tcW w:w="1506" w:type="dxa"/>
            <w:tcBorders>
              <w:left w:val="single" w:sz="18" w:space="0" w:color="auto"/>
            </w:tcBorders>
            <w:shd w:val="clear" w:color="auto" w:fill="auto"/>
          </w:tcPr>
          <w:p w14:paraId="35BDF48B" w14:textId="77777777" w:rsidR="00246C6D" w:rsidRPr="00911C86" w:rsidRDefault="00246C6D" w:rsidP="00747342">
            <w:pPr>
              <w:autoSpaceDE w:val="0"/>
              <w:autoSpaceDN w:val="0"/>
              <w:adjustRightInd w:val="0"/>
              <w:ind w:left="-245" w:firstLine="245"/>
              <w:jc w:val="center"/>
            </w:pPr>
            <w:r w:rsidRPr="00911C86">
              <w:t>32 anos</w:t>
            </w:r>
          </w:p>
        </w:tc>
        <w:tc>
          <w:tcPr>
            <w:tcW w:w="1506" w:type="dxa"/>
            <w:shd w:val="clear" w:color="auto" w:fill="auto"/>
          </w:tcPr>
          <w:p w14:paraId="535B45D2" w14:textId="77777777" w:rsidR="00246C6D" w:rsidRPr="00911C86" w:rsidRDefault="00246C6D" w:rsidP="00747342">
            <w:pPr>
              <w:autoSpaceDE w:val="0"/>
              <w:autoSpaceDN w:val="0"/>
              <w:adjustRightInd w:val="0"/>
              <w:ind w:left="-245" w:firstLine="245"/>
              <w:jc w:val="center"/>
            </w:pPr>
            <w:r w:rsidRPr="00911C86">
              <w:t>1</w:t>
            </w:r>
          </w:p>
        </w:tc>
        <w:tc>
          <w:tcPr>
            <w:tcW w:w="1506" w:type="dxa"/>
            <w:shd w:val="clear" w:color="auto" w:fill="auto"/>
          </w:tcPr>
          <w:p w14:paraId="6F927482" w14:textId="77777777" w:rsidR="00246C6D" w:rsidRPr="00911C86" w:rsidRDefault="00246C6D" w:rsidP="00747342">
            <w:pPr>
              <w:autoSpaceDE w:val="0"/>
              <w:autoSpaceDN w:val="0"/>
              <w:adjustRightInd w:val="0"/>
              <w:ind w:left="-245" w:firstLine="245"/>
              <w:jc w:val="center"/>
            </w:pPr>
            <w:r w:rsidRPr="00911C86">
              <w:t>1,0</w:t>
            </w:r>
          </w:p>
        </w:tc>
      </w:tr>
      <w:tr w:rsidR="00246C6D" w:rsidRPr="00911C86" w14:paraId="1C91B596" w14:textId="77777777" w:rsidTr="00747342">
        <w:tc>
          <w:tcPr>
            <w:tcW w:w="1202" w:type="dxa"/>
            <w:shd w:val="clear" w:color="auto" w:fill="auto"/>
            <w:vAlign w:val="center"/>
          </w:tcPr>
          <w:p w14:paraId="0D62B592" w14:textId="77777777" w:rsidR="00246C6D" w:rsidRPr="00911C86" w:rsidRDefault="00246C6D" w:rsidP="00747342">
            <w:pPr>
              <w:autoSpaceDE w:val="0"/>
              <w:autoSpaceDN w:val="0"/>
              <w:adjustRightInd w:val="0"/>
              <w:ind w:left="-245" w:firstLine="245"/>
            </w:pPr>
            <w:r w:rsidRPr="00911C86">
              <w:t>21 anos</w:t>
            </w:r>
          </w:p>
        </w:tc>
        <w:tc>
          <w:tcPr>
            <w:tcW w:w="1633" w:type="dxa"/>
            <w:shd w:val="clear" w:color="auto" w:fill="auto"/>
          </w:tcPr>
          <w:p w14:paraId="1EDC6208" w14:textId="77777777" w:rsidR="00246C6D" w:rsidRPr="00911C86" w:rsidRDefault="00246C6D" w:rsidP="00747342">
            <w:pPr>
              <w:autoSpaceDE w:val="0"/>
              <w:autoSpaceDN w:val="0"/>
              <w:adjustRightInd w:val="0"/>
              <w:ind w:left="-245" w:firstLine="245"/>
              <w:jc w:val="center"/>
            </w:pPr>
            <w:r w:rsidRPr="00911C86">
              <w:t>16</w:t>
            </w:r>
          </w:p>
        </w:tc>
        <w:tc>
          <w:tcPr>
            <w:tcW w:w="1578" w:type="dxa"/>
            <w:tcBorders>
              <w:top w:val="single" w:sz="4" w:space="0" w:color="auto"/>
              <w:bottom w:val="single" w:sz="4" w:space="0" w:color="auto"/>
              <w:right w:val="single" w:sz="18" w:space="0" w:color="auto"/>
            </w:tcBorders>
            <w:shd w:val="clear" w:color="auto" w:fill="auto"/>
          </w:tcPr>
          <w:p w14:paraId="07A98508" w14:textId="77777777" w:rsidR="00246C6D" w:rsidRPr="00911C86" w:rsidRDefault="00246C6D" w:rsidP="00747342">
            <w:pPr>
              <w:autoSpaceDE w:val="0"/>
              <w:autoSpaceDN w:val="0"/>
              <w:adjustRightInd w:val="0"/>
              <w:ind w:left="-245" w:firstLine="245"/>
              <w:jc w:val="center"/>
            </w:pPr>
            <w:r w:rsidRPr="00911C86">
              <w:t>15,80</w:t>
            </w:r>
          </w:p>
        </w:tc>
        <w:tc>
          <w:tcPr>
            <w:tcW w:w="1506" w:type="dxa"/>
            <w:tcBorders>
              <w:left w:val="single" w:sz="18" w:space="0" w:color="auto"/>
            </w:tcBorders>
            <w:shd w:val="clear" w:color="auto" w:fill="auto"/>
          </w:tcPr>
          <w:p w14:paraId="0D613942" w14:textId="77777777" w:rsidR="00246C6D" w:rsidRPr="00911C86" w:rsidRDefault="00246C6D" w:rsidP="00747342">
            <w:pPr>
              <w:autoSpaceDE w:val="0"/>
              <w:autoSpaceDN w:val="0"/>
              <w:adjustRightInd w:val="0"/>
              <w:ind w:left="-245" w:firstLine="245"/>
              <w:jc w:val="center"/>
            </w:pPr>
            <w:r w:rsidRPr="00911C86">
              <w:t>33 anos</w:t>
            </w:r>
          </w:p>
        </w:tc>
        <w:tc>
          <w:tcPr>
            <w:tcW w:w="1506" w:type="dxa"/>
            <w:shd w:val="clear" w:color="auto" w:fill="auto"/>
          </w:tcPr>
          <w:p w14:paraId="65DE590A" w14:textId="77777777" w:rsidR="00246C6D" w:rsidRPr="00911C86" w:rsidRDefault="00246C6D" w:rsidP="00747342">
            <w:pPr>
              <w:autoSpaceDE w:val="0"/>
              <w:autoSpaceDN w:val="0"/>
              <w:adjustRightInd w:val="0"/>
              <w:ind w:left="-245" w:firstLine="245"/>
              <w:jc w:val="center"/>
            </w:pPr>
            <w:r w:rsidRPr="00911C86">
              <w:t>1</w:t>
            </w:r>
          </w:p>
        </w:tc>
        <w:tc>
          <w:tcPr>
            <w:tcW w:w="1506" w:type="dxa"/>
            <w:shd w:val="clear" w:color="auto" w:fill="auto"/>
          </w:tcPr>
          <w:p w14:paraId="1E0ABA17" w14:textId="77777777" w:rsidR="00246C6D" w:rsidRPr="00911C86" w:rsidRDefault="00246C6D" w:rsidP="00747342">
            <w:pPr>
              <w:autoSpaceDE w:val="0"/>
              <w:autoSpaceDN w:val="0"/>
              <w:adjustRightInd w:val="0"/>
              <w:ind w:left="-245" w:firstLine="245"/>
              <w:jc w:val="center"/>
            </w:pPr>
            <w:r w:rsidRPr="00911C86">
              <w:t>1,0</w:t>
            </w:r>
          </w:p>
        </w:tc>
      </w:tr>
      <w:tr w:rsidR="00246C6D" w:rsidRPr="00911C86" w14:paraId="6548B92F" w14:textId="77777777" w:rsidTr="00747342">
        <w:tc>
          <w:tcPr>
            <w:tcW w:w="1202" w:type="dxa"/>
            <w:shd w:val="clear" w:color="auto" w:fill="auto"/>
            <w:vAlign w:val="center"/>
          </w:tcPr>
          <w:p w14:paraId="1CEFFBEF" w14:textId="77777777" w:rsidR="00246C6D" w:rsidRPr="00911C86" w:rsidRDefault="00246C6D" w:rsidP="00747342">
            <w:pPr>
              <w:autoSpaceDE w:val="0"/>
              <w:autoSpaceDN w:val="0"/>
              <w:adjustRightInd w:val="0"/>
              <w:ind w:left="-245" w:firstLine="245"/>
            </w:pPr>
            <w:r w:rsidRPr="00911C86">
              <w:t>22 anos</w:t>
            </w:r>
          </w:p>
        </w:tc>
        <w:tc>
          <w:tcPr>
            <w:tcW w:w="1633" w:type="dxa"/>
            <w:shd w:val="clear" w:color="auto" w:fill="auto"/>
          </w:tcPr>
          <w:p w14:paraId="3DA0BB65" w14:textId="77777777" w:rsidR="00246C6D" w:rsidRPr="00911C86" w:rsidRDefault="00246C6D" w:rsidP="00747342">
            <w:pPr>
              <w:autoSpaceDE w:val="0"/>
              <w:autoSpaceDN w:val="0"/>
              <w:adjustRightInd w:val="0"/>
              <w:ind w:left="-245" w:firstLine="245"/>
              <w:jc w:val="center"/>
            </w:pPr>
            <w:r w:rsidRPr="00911C86">
              <w:t>7</w:t>
            </w:r>
          </w:p>
        </w:tc>
        <w:tc>
          <w:tcPr>
            <w:tcW w:w="1578" w:type="dxa"/>
            <w:tcBorders>
              <w:top w:val="single" w:sz="4" w:space="0" w:color="auto"/>
              <w:bottom w:val="single" w:sz="4" w:space="0" w:color="auto"/>
              <w:right w:val="single" w:sz="18" w:space="0" w:color="auto"/>
            </w:tcBorders>
            <w:shd w:val="clear" w:color="auto" w:fill="auto"/>
          </w:tcPr>
          <w:p w14:paraId="5A41D4AD" w14:textId="77777777" w:rsidR="00246C6D" w:rsidRPr="00911C86" w:rsidRDefault="00246C6D" w:rsidP="00747342">
            <w:pPr>
              <w:autoSpaceDE w:val="0"/>
              <w:autoSpaceDN w:val="0"/>
              <w:adjustRightInd w:val="0"/>
              <w:ind w:left="-245" w:firstLine="245"/>
              <w:jc w:val="center"/>
            </w:pPr>
            <w:r w:rsidRPr="00911C86">
              <w:t>6,90</w:t>
            </w:r>
          </w:p>
        </w:tc>
        <w:tc>
          <w:tcPr>
            <w:tcW w:w="1506" w:type="dxa"/>
            <w:tcBorders>
              <w:left w:val="single" w:sz="18" w:space="0" w:color="auto"/>
            </w:tcBorders>
            <w:shd w:val="clear" w:color="auto" w:fill="auto"/>
          </w:tcPr>
          <w:p w14:paraId="2A88D986" w14:textId="77777777" w:rsidR="00246C6D" w:rsidRPr="00911C86" w:rsidRDefault="00246C6D" w:rsidP="00747342">
            <w:pPr>
              <w:autoSpaceDE w:val="0"/>
              <w:autoSpaceDN w:val="0"/>
              <w:adjustRightInd w:val="0"/>
              <w:ind w:left="-245" w:firstLine="245"/>
              <w:jc w:val="center"/>
            </w:pPr>
            <w:r w:rsidRPr="00911C86">
              <w:t>38 anos</w:t>
            </w:r>
          </w:p>
        </w:tc>
        <w:tc>
          <w:tcPr>
            <w:tcW w:w="1506" w:type="dxa"/>
            <w:shd w:val="clear" w:color="auto" w:fill="auto"/>
          </w:tcPr>
          <w:p w14:paraId="5F0DBA00" w14:textId="77777777" w:rsidR="00246C6D" w:rsidRPr="00911C86" w:rsidRDefault="00246C6D" w:rsidP="00747342">
            <w:pPr>
              <w:autoSpaceDE w:val="0"/>
              <w:autoSpaceDN w:val="0"/>
              <w:adjustRightInd w:val="0"/>
              <w:ind w:left="-245" w:firstLine="245"/>
              <w:jc w:val="center"/>
            </w:pPr>
            <w:r w:rsidRPr="00911C86">
              <w:t>1</w:t>
            </w:r>
          </w:p>
        </w:tc>
        <w:tc>
          <w:tcPr>
            <w:tcW w:w="1506" w:type="dxa"/>
            <w:shd w:val="clear" w:color="auto" w:fill="auto"/>
          </w:tcPr>
          <w:p w14:paraId="2CA5876A" w14:textId="77777777" w:rsidR="00246C6D" w:rsidRPr="00911C86" w:rsidRDefault="00246C6D" w:rsidP="00747342">
            <w:pPr>
              <w:autoSpaceDE w:val="0"/>
              <w:autoSpaceDN w:val="0"/>
              <w:adjustRightInd w:val="0"/>
              <w:ind w:left="-245" w:firstLine="245"/>
              <w:jc w:val="center"/>
            </w:pPr>
            <w:r w:rsidRPr="00911C86">
              <w:t>1,0</w:t>
            </w:r>
          </w:p>
        </w:tc>
      </w:tr>
      <w:tr w:rsidR="00246C6D" w:rsidRPr="00911C86" w14:paraId="215A543E" w14:textId="77777777" w:rsidTr="00747342">
        <w:trPr>
          <w:trHeight w:val="156"/>
        </w:trPr>
        <w:tc>
          <w:tcPr>
            <w:tcW w:w="1202" w:type="dxa"/>
            <w:shd w:val="clear" w:color="auto" w:fill="auto"/>
            <w:vAlign w:val="center"/>
          </w:tcPr>
          <w:p w14:paraId="31F52B73" w14:textId="77777777" w:rsidR="00246C6D" w:rsidRPr="00911C86" w:rsidRDefault="00246C6D" w:rsidP="00747342">
            <w:pPr>
              <w:autoSpaceDE w:val="0"/>
              <w:autoSpaceDN w:val="0"/>
              <w:adjustRightInd w:val="0"/>
              <w:ind w:left="-245" w:firstLine="245"/>
            </w:pPr>
            <w:r w:rsidRPr="00911C86">
              <w:lastRenderedPageBreak/>
              <w:t>23 anos</w:t>
            </w:r>
          </w:p>
        </w:tc>
        <w:tc>
          <w:tcPr>
            <w:tcW w:w="1633" w:type="dxa"/>
            <w:shd w:val="clear" w:color="auto" w:fill="auto"/>
          </w:tcPr>
          <w:p w14:paraId="2590996B" w14:textId="77777777" w:rsidR="00246C6D" w:rsidRPr="00911C86" w:rsidRDefault="00246C6D" w:rsidP="00747342">
            <w:pPr>
              <w:autoSpaceDE w:val="0"/>
              <w:autoSpaceDN w:val="0"/>
              <w:adjustRightInd w:val="0"/>
              <w:ind w:left="-245" w:firstLine="245"/>
              <w:jc w:val="center"/>
            </w:pPr>
            <w:r w:rsidRPr="00911C86">
              <w:t>4</w:t>
            </w:r>
          </w:p>
        </w:tc>
        <w:tc>
          <w:tcPr>
            <w:tcW w:w="1578" w:type="dxa"/>
            <w:tcBorders>
              <w:top w:val="single" w:sz="4" w:space="0" w:color="auto"/>
              <w:bottom w:val="single" w:sz="12" w:space="0" w:color="auto"/>
              <w:right w:val="single" w:sz="18" w:space="0" w:color="auto"/>
            </w:tcBorders>
            <w:shd w:val="clear" w:color="auto" w:fill="auto"/>
          </w:tcPr>
          <w:p w14:paraId="375A7204" w14:textId="77777777" w:rsidR="00246C6D" w:rsidRPr="00911C86" w:rsidRDefault="00246C6D" w:rsidP="00747342">
            <w:pPr>
              <w:autoSpaceDE w:val="0"/>
              <w:autoSpaceDN w:val="0"/>
              <w:adjustRightInd w:val="0"/>
              <w:ind w:left="-245" w:firstLine="245"/>
              <w:jc w:val="center"/>
            </w:pPr>
            <w:r w:rsidRPr="00911C86">
              <w:t>4,0</w:t>
            </w:r>
          </w:p>
        </w:tc>
        <w:tc>
          <w:tcPr>
            <w:tcW w:w="1506" w:type="dxa"/>
            <w:tcBorders>
              <w:left w:val="single" w:sz="18" w:space="0" w:color="auto"/>
            </w:tcBorders>
            <w:shd w:val="clear" w:color="auto" w:fill="auto"/>
          </w:tcPr>
          <w:p w14:paraId="23D4DC9F" w14:textId="77777777" w:rsidR="00246C6D" w:rsidRPr="00911C86" w:rsidRDefault="00246C6D" w:rsidP="00747342">
            <w:pPr>
              <w:autoSpaceDE w:val="0"/>
              <w:autoSpaceDN w:val="0"/>
              <w:adjustRightInd w:val="0"/>
              <w:ind w:left="-245" w:firstLine="245"/>
              <w:jc w:val="center"/>
              <w:rPr>
                <w:b/>
              </w:rPr>
            </w:pPr>
            <w:r w:rsidRPr="00911C86">
              <w:rPr>
                <w:b/>
              </w:rPr>
              <w:t>Total</w:t>
            </w:r>
          </w:p>
        </w:tc>
        <w:tc>
          <w:tcPr>
            <w:tcW w:w="1506" w:type="dxa"/>
            <w:shd w:val="clear" w:color="auto" w:fill="auto"/>
          </w:tcPr>
          <w:p w14:paraId="38207915" w14:textId="77777777" w:rsidR="00246C6D" w:rsidRPr="00911C86" w:rsidRDefault="00246C6D" w:rsidP="00747342">
            <w:pPr>
              <w:autoSpaceDE w:val="0"/>
              <w:autoSpaceDN w:val="0"/>
              <w:adjustRightInd w:val="0"/>
              <w:ind w:left="-245" w:firstLine="245"/>
              <w:jc w:val="center"/>
              <w:rPr>
                <w:b/>
              </w:rPr>
            </w:pPr>
            <w:r w:rsidRPr="00911C86">
              <w:rPr>
                <w:b/>
              </w:rPr>
              <w:t>101</w:t>
            </w:r>
          </w:p>
        </w:tc>
        <w:tc>
          <w:tcPr>
            <w:tcW w:w="1506" w:type="dxa"/>
            <w:shd w:val="clear" w:color="auto" w:fill="auto"/>
          </w:tcPr>
          <w:p w14:paraId="50D1F2BE" w14:textId="77777777" w:rsidR="00246C6D" w:rsidRPr="00911C86" w:rsidRDefault="00246C6D" w:rsidP="00747342">
            <w:pPr>
              <w:autoSpaceDE w:val="0"/>
              <w:autoSpaceDN w:val="0"/>
              <w:adjustRightInd w:val="0"/>
              <w:ind w:left="-245" w:firstLine="245"/>
              <w:jc w:val="center"/>
              <w:rPr>
                <w:b/>
              </w:rPr>
            </w:pPr>
            <w:r w:rsidRPr="00911C86">
              <w:rPr>
                <w:b/>
              </w:rPr>
              <w:t>100,0</w:t>
            </w:r>
          </w:p>
        </w:tc>
      </w:tr>
    </w:tbl>
    <w:p w14:paraId="215E939C" w14:textId="77777777" w:rsidR="00246C6D" w:rsidRDefault="00246C6D" w:rsidP="00246C6D">
      <w:pPr>
        <w:autoSpaceDE w:val="0"/>
        <w:autoSpaceDN w:val="0"/>
        <w:adjustRightInd w:val="0"/>
      </w:pPr>
      <w:r w:rsidRPr="003625DC">
        <w:t>Fonte: Dados da pesquisa.</w:t>
      </w:r>
    </w:p>
    <w:p w14:paraId="789E64D7" w14:textId="77777777" w:rsidR="00840A4A" w:rsidRPr="00840A4A" w:rsidRDefault="00840A4A" w:rsidP="00246C6D">
      <w:pPr>
        <w:autoSpaceDE w:val="0"/>
        <w:autoSpaceDN w:val="0"/>
        <w:adjustRightInd w:val="0"/>
        <w:rPr>
          <w:sz w:val="24"/>
          <w:szCs w:val="24"/>
        </w:rPr>
      </w:pPr>
    </w:p>
    <w:p w14:paraId="44518D48" w14:textId="77777777" w:rsidR="00246C6D" w:rsidRDefault="00246C6D" w:rsidP="00162746">
      <w:pPr>
        <w:pStyle w:val="PargrafodaLista"/>
        <w:tabs>
          <w:tab w:val="left" w:pos="284"/>
        </w:tabs>
        <w:ind w:left="0" w:firstLine="709"/>
        <w:jc w:val="both"/>
        <w:rPr>
          <w:sz w:val="24"/>
          <w:szCs w:val="24"/>
        </w:rPr>
      </w:pPr>
      <w:r>
        <w:rPr>
          <w:sz w:val="24"/>
          <w:szCs w:val="24"/>
        </w:rPr>
        <w:t>Quanto ao maior grau de escolaridade na família destacou-se o superior completo, representando 23,80%, seguido do ensino médio completo representado por 19,80%. A Tabela 3 caracteriza a renda familiar, conforme segue:</w:t>
      </w:r>
    </w:p>
    <w:p w14:paraId="07A5D32F" w14:textId="77777777" w:rsidR="00246C6D" w:rsidRDefault="00246C6D" w:rsidP="00246C6D">
      <w:pPr>
        <w:tabs>
          <w:tab w:val="left" w:pos="284"/>
        </w:tabs>
        <w:rPr>
          <w:sz w:val="24"/>
          <w:szCs w:val="24"/>
        </w:rPr>
      </w:pPr>
      <w:r>
        <w:rPr>
          <w:sz w:val="24"/>
          <w:szCs w:val="24"/>
        </w:rPr>
        <w:tab/>
      </w:r>
    </w:p>
    <w:p w14:paraId="7FA3653F" w14:textId="77777777" w:rsidR="00246C6D" w:rsidRPr="00081F77" w:rsidRDefault="00246C6D" w:rsidP="00246C6D">
      <w:pPr>
        <w:tabs>
          <w:tab w:val="left" w:pos="284"/>
        </w:tabs>
        <w:rPr>
          <w:b/>
        </w:rPr>
      </w:pPr>
      <w:r>
        <w:rPr>
          <w:b/>
        </w:rPr>
        <w:t>Tabela 3</w:t>
      </w:r>
      <w:r w:rsidRPr="00081F77">
        <w:rPr>
          <w:b/>
        </w:rPr>
        <w:t xml:space="preserve"> - Caracterização da renda familiar.</w:t>
      </w:r>
    </w:p>
    <w:tbl>
      <w:tblPr>
        <w:tblW w:w="9072"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78"/>
        <w:gridCol w:w="2126"/>
        <w:gridCol w:w="2268"/>
      </w:tblGrid>
      <w:tr w:rsidR="00246C6D" w:rsidRPr="00911C86" w14:paraId="04BF6845" w14:textId="77777777" w:rsidTr="00747342">
        <w:tc>
          <w:tcPr>
            <w:tcW w:w="4678" w:type="dxa"/>
            <w:shd w:val="clear" w:color="auto" w:fill="D9D9D9"/>
          </w:tcPr>
          <w:p w14:paraId="3A70246A" w14:textId="77777777" w:rsidR="00246C6D" w:rsidRPr="00911C86" w:rsidRDefault="00246C6D" w:rsidP="00747342">
            <w:pPr>
              <w:autoSpaceDE w:val="0"/>
              <w:autoSpaceDN w:val="0"/>
              <w:adjustRightInd w:val="0"/>
              <w:jc w:val="center"/>
              <w:rPr>
                <w:b/>
              </w:rPr>
            </w:pPr>
            <w:r w:rsidRPr="00911C86">
              <w:rPr>
                <w:b/>
              </w:rPr>
              <w:t>Renda Familiar</w:t>
            </w:r>
          </w:p>
        </w:tc>
        <w:tc>
          <w:tcPr>
            <w:tcW w:w="2126" w:type="dxa"/>
            <w:shd w:val="clear" w:color="auto" w:fill="D9D9D9"/>
          </w:tcPr>
          <w:p w14:paraId="7B31BA2A"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3DBFDE49"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147931F6" w14:textId="77777777" w:rsidTr="00747342">
        <w:tc>
          <w:tcPr>
            <w:tcW w:w="4678" w:type="dxa"/>
            <w:shd w:val="clear" w:color="auto" w:fill="auto"/>
            <w:vAlign w:val="center"/>
          </w:tcPr>
          <w:p w14:paraId="3E0FD910" w14:textId="77777777" w:rsidR="00246C6D" w:rsidRPr="00911C86" w:rsidRDefault="00246C6D" w:rsidP="00747342">
            <w:pPr>
              <w:autoSpaceDE w:val="0"/>
              <w:autoSpaceDN w:val="0"/>
              <w:adjustRightInd w:val="0"/>
            </w:pPr>
            <w:r w:rsidRPr="00911C86">
              <w:t>Até 2 salários mínimos (R$ 1874,</w:t>
            </w:r>
            <w:proofErr w:type="gramStart"/>
            <w:r w:rsidRPr="00911C86">
              <w:t xml:space="preserve">00)   </w:t>
            </w:r>
            <w:proofErr w:type="gramEnd"/>
            <w:r w:rsidRPr="00911C86">
              <w:t xml:space="preserve">      </w:t>
            </w:r>
          </w:p>
        </w:tc>
        <w:tc>
          <w:tcPr>
            <w:tcW w:w="2126" w:type="dxa"/>
            <w:shd w:val="clear" w:color="auto" w:fill="auto"/>
          </w:tcPr>
          <w:p w14:paraId="010704EC" w14:textId="77777777" w:rsidR="00246C6D" w:rsidRPr="00911C86" w:rsidRDefault="00246C6D" w:rsidP="00747342">
            <w:pPr>
              <w:autoSpaceDE w:val="0"/>
              <w:autoSpaceDN w:val="0"/>
              <w:adjustRightInd w:val="0"/>
              <w:jc w:val="center"/>
            </w:pPr>
            <w:r w:rsidRPr="00911C86">
              <w:t>12</w:t>
            </w:r>
          </w:p>
        </w:tc>
        <w:tc>
          <w:tcPr>
            <w:tcW w:w="2268" w:type="dxa"/>
            <w:shd w:val="clear" w:color="auto" w:fill="auto"/>
          </w:tcPr>
          <w:p w14:paraId="05547781" w14:textId="77777777" w:rsidR="00246C6D" w:rsidRPr="00911C86" w:rsidRDefault="00246C6D" w:rsidP="00747342">
            <w:pPr>
              <w:autoSpaceDE w:val="0"/>
              <w:autoSpaceDN w:val="0"/>
              <w:adjustRightInd w:val="0"/>
              <w:jc w:val="center"/>
            </w:pPr>
            <w:r w:rsidRPr="00911C86">
              <w:t>11,90</w:t>
            </w:r>
          </w:p>
        </w:tc>
      </w:tr>
      <w:tr w:rsidR="00246C6D" w:rsidRPr="00911C86" w14:paraId="36FAD4DE" w14:textId="77777777" w:rsidTr="00747342">
        <w:tc>
          <w:tcPr>
            <w:tcW w:w="4678" w:type="dxa"/>
            <w:shd w:val="clear" w:color="auto" w:fill="auto"/>
            <w:vAlign w:val="center"/>
          </w:tcPr>
          <w:p w14:paraId="087E5BC8" w14:textId="77777777" w:rsidR="00246C6D" w:rsidRPr="00911C86" w:rsidRDefault="00246C6D" w:rsidP="00747342">
            <w:pPr>
              <w:autoSpaceDE w:val="0"/>
              <w:autoSpaceDN w:val="0"/>
              <w:adjustRightInd w:val="0"/>
            </w:pPr>
            <w:r w:rsidRPr="00911C86">
              <w:t>De 2 a 4 salários mínimos (R$ 1874,00 a R$3748,</w:t>
            </w:r>
            <w:proofErr w:type="gramStart"/>
            <w:r w:rsidRPr="00911C86">
              <w:t xml:space="preserve">00)   </w:t>
            </w:r>
            <w:proofErr w:type="gramEnd"/>
            <w:r w:rsidRPr="00911C86">
              <w:t xml:space="preserve">     </w:t>
            </w:r>
          </w:p>
        </w:tc>
        <w:tc>
          <w:tcPr>
            <w:tcW w:w="2126" w:type="dxa"/>
            <w:shd w:val="clear" w:color="auto" w:fill="auto"/>
          </w:tcPr>
          <w:p w14:paraId="7293BEB5" w14:textId="77777777" w:rsidR="00246C6D" w:rsidRPr="00911C86" w:rsidRDefault="00246C6D" w:rsidP="00747342">
            <w:pPr>
              <w:autoSpaceDE w:val="0"/>
              <w:autoSpaceDN w:val="0"/>
              <w:adjustRightInd w:val="0"/>
              <w:jc w:val="center"/>
            </w:pPr>
            <w:r w:rsidRPr="00911C86">
              <w:t>28</w:t>
            </w:r>
          </w:p>
        </w:tc>
        <w:tc>
          <w:tcPr>
            <w:tcW w:w="2268" w:type="dxa"/>
            <w:shd w:val="clear" w:color="auto" w:fill="auto"/>
          </w:tcPr>
          <w:p w14:paraId="29081ADA" w14:textId="77777777" w:rsidR="00246C6D" w:rsidRPr="00911C86" w:rsidRDefault="00246C6D" w:rsidP="00747342">
            <w:pPr>
              <w:autoSpaceDE w:val="0"/>
              <w:autoSpaceDN w:val="0"/>
              <w:adjustRightInd w:val="0"/>
              <w:jc w:val="center"/>
            </w:pPr>
            <w:r w:rsidRPr="00911C86">
              <w:t>27,70</w:t>
            </w:r>
          </w:p>
        </w:tc>
      </w:tr>
      <w:tr w:rsidR="00246C6D" w:rsidRPr="00911C86" w14:paraId="6BBCFBC8" w14:textId="77777777" w:rsidTr="00747342">
        <w:tc>
          <w:tcPr>
            <w:tcW w:w="4678" w:type="dxa"/>
            <w:shd w:val="clear" w:color="auto" w:fill="auto"/>
            <w:vAlign w:val="center"/>
          </w:tcPr>
          <w:p w14:paraId="4FC520EA" w14:textId="77777777" w:rsidR="00246C6D" w:rsidRPr="00911C86" w:rsidRDefault="00246C6D" w:rsidP="00747342">
            <w:pPr>
              <w:autoSpaceDE w:val="0"/>
              <w:autoSpaceDN w:val="0"/>
              <w:adjustRightInd w:val="0"/>
            </w:pPr>
            <w:r w:rsidRPr="00911C86">
              <w:t>De 4 a 6 salários mínimos (R$3748,00 a R$5622,</w:t>
            </w:r>
            <w:proofErr w:type="gramStart"/>
            <w:r w:rsidRPr="00911C86">
              <w:t xml:space="preserve">00)   </w:t>
            </w:r>
            <w:proofErr w:type="gramEnd"/>
            <w:r w:rsidRPr="00911C86">
              <w:t xml:space="preserve">      </w:t>
            </w:r>
          </w:p>
        </w:tc>
        <w:tc>
          <w:tcPr>
            <w:tcW w:w="2126" w:type="dxa"/>
            <w:shd w:val="clear" w:color="auto" w:fill="auto"/>
          </w:tcPr>
          <w:p w14:paraId="588C89CC" w14:textId="77777777" w:rsidR="00246C6D" w:rsidRPr="00911C86" w:rsidRDefault="00246C6D" w:rsidP="00747342">
            <w:pPr>
              <w:autoSpaceDE w:val="0"/>
              <w:autoSpaceDN w:val="0"/>
              <w:adjustRightInd w:val="0"/>
              <w:jc w:val="center"/>
            </w:pPr>
            <w:r w:rsidRPr="00911C86">
              <w:t>27</w:t>
            </w:r>
          </w:p>
        </w:tc>
        <w:tc>
          <w:tcPr>
            <w:tcW w:w="2268" w:type="dxa"/>
            <w:shd w:val="clear" w:color="auto" w:fill="auto"/>
          </w:tcPr>
          <w:p w14:paraId="228F3A51" w14:textId="77777777" w:rsidR="00246C6D" w:rsidRPr="00911C86" w:rsidRDefault="00246C6D" w:rsidP="00747342">
            <w:pPr>
              <w:autoSpaceDE w:val="0"/>
              <w:autoSpaceDN w:val="0"/>
              <w:adjustRightInd w:val="0"/>
              <w:jc w:val="center"/>
            </w:pPr>
            <w:r w:rsidRPr="00911C86">
              <w:t>26,70</w:t>
            </w:r>
          </w:p>
        </w:tc>
      </w:tr>
      <w:tr w:rsidR="00246C6D" w:rsidRPr="00911C86" w14:paraId="3284390F" w14:textId="77777777" w:rsidTr="00747342">
        <w:tc>
          <w:tcPr>
            <w:tcW w:w="4678" w:type="dxa"/>
            <w:shd w:val="clear" w:color="auto" w:fill="auto"/>
            <w:vAlign w:val="center"/>
          </w:tcPr>
          <w:p w14:paraId="4C141700" w14:textId="77777777" w:rsidR="00246C6D" w:rsidRPr="00911C86" w:rsidRDefault="00246C6D" w:rsidP="00747342">
            <w:pPr>
              <w:autoSpaceDE w:val="0"/>
              <w:autoSpaceDN w:val="0"/>
              <w:adjustRightInd w:val="0"/>
            </w:pPr>
            <w:r w:rsidRPr="00911C86">
              <w:t>Acima de 6 salários mínimos (R$ 5622,</w:t>
            </w:r>
            <w:proofErr w:type="gramStart"/>
            <w:r w:rsidRPr="00911C86">
              <w:t xml:space="preserve">00)   </w:t>
            </w:r>
            <w:proofErr w:type="gramEnd"/>
            <w:r w:rsidRPr="00911C86">
              <w:t xml:space="preserve">     </w:t>
            </w:r>
          </w:p>
        </w:tc>
        <w:tc>
          <w:tcPr>
            <w:tcW w:w="2126" w:type="dxa"/>
            <w:shd w:val="clear" w:color="auto" w:fill="auto"/>
          </w:tcPr>
          <w:p w14:paraId="39C331D8" w14:textId="77777777" w:rsidR="00246C6D" w:rsidRPr="00911C86" w:rsidRDefault="00246C6D" w:rsidP="00747342">
            <w:pPr>
              <w:autoSpaceDE w:val="0"/>
              <w:autoSpaceDN w:val="0"/>
              <w:adjustRightInd w:val="0"/>
              <w:jc w:val="center"/>
            </w:pPr>
            <w:r w:rsidRPr="00911C86">
              <w:t>34</w:t>
            </w:r>
          </w:p>
        </w:tc>
        <w:tc>
          <w:tcPr>
            <w:tcW w:w="2268" w:type="dxa"/>
            <w:shd w:val="clear" w:color="auto" w:fill="auto"/>
          </w:tcPr>
          <w:p w14:paraId="105BF2F4" w14:textId="77777777" w:rsidR="00246C6D" w:rsidRPr="00911C86" w:rsidRDefault="00246C6D" w:rsidP="00747342">
            <w:pPr>
              <w:autoSpaceDE w:val="0"/>
              <w:autoSpaceDN w:val="0"/>
              <w:adjustRightInd w:val="0"/>
              <w:jc w:val="center"/>
            </w:pPr>
            <w:r w:rsidRPr="00911C86">
              <w:t>33,70</w:t>
            </w:r>
          </w:p>
        </w:tc>
      </w:tr>
      <w:tr w:rsidR="00246C6D" w:rsidRPr="00911C86" w14:paraId="7746DB36" w14:textId="77777777" w:rsidTr="00747342">
        <w:tc>
          <w:tcPr>
            <w:tcW w:w="4678" w:type="dxa"/>
            <w:shd w:val="clear" w:color="auto" w:fill="auto"/>
            <w:vAlign w:val="center"/>
          </w:tcPr>
          <w:p w14:paraId="158DB3B1" w14:textId="77777777" w:rsidR="00246C6D" w:rsidRPr="00911C86" w:rsidRDefault="00246C6D" w:rsidP="00747342">
            <w:pPr>
              <w:autoSpaceDE w:val="0"/>
              <w:autoSpaceDN w:val="0"/>
              <w:adjustRightInd w:val="0"/>
              <w:rPr>
                <w:b/>
              </w:rPr>
            </w:pPr>
            <w:r w:rsidRPr="00911C86">
              <w:rPr>
                <w:b/>
              </w:rPr>
              <w:t>Total</w:t>
            </w:r>
          </w:p>
        </w:tc>
        <w:tc>
          <w:tcPr>
            <w:tcW w:w="2126" w:type="dxa"/>
            <w:shd w:val="clear" w:color="auto" w:fill="auto"/>
          </w:tcPr>
          <w:p w14:paraId="78334C76"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63094FCA" w14:textId="77777777" w:rsidR="00246C6D" w:rsidRPr="00911C86" w:rsidRDefault="00246C6D" w:rsidP="00747342">
            <w:pPr>
              <w:autoSpaceDE w:val="0"/>
              <w:autoSpaceDN w:val="0"/>
              <w:adjustRightInd w:val="0"/>
              <w:jc w:val="center"/>
              <w:rPr>
                <w:b/>
              </w:rPr>
            </w:pPr>
            <w:r w:rsidRPr="00911C86">
              <w:rPr>
                <w:b/>
              </w:rPr>
              <w:t>100,00</w:t>
            </w:r>
          </w:p>
        </w:tc>
      </w:tr>
    </w:tbl>
    <w:p w14:paraId="745496DB" w14:textId="77777777" w:rsidR="00246C6D" w:rsidRDefault="00246C6D" w:rsidP="00246C6D">
      <w:pPr>
        <w:autoSpaceDE w:val="0"/>
        <w:autoSpaceDN w:val="0"/>
        <w:adjustRightInd w:val="0"/>
      </w:pPr>
      <w:r w:rsidRPr="003625DC">
        <w:t>Fonte: Dados da pesquisa.</w:t>
      </w:r>
    </w:p>
    <w:p w14:paraId="6F8F7C6C" w14:textId="77777777" w:rsidR="00840A4A" w:rsidRPr="00840A4A" w:rsidRDefault="00840A4A" w:rsidP="00246C6D">
      <w:pPr>
        <w:autoSpaceDE w:val="0"/>
        <w:autoSpaceDN w:val="0"/>
        <w:adjustRightInd w:val="0"/>
        <w:rPr>
          <w:sz w:val="24"/>
          <w:szCs w:val="24"/>
        </w:rPr>
      </w:pPr>
    </w:p>
    <w:p w14:paraId="6C2C53A8" w14:textId="77777777" w:rsidR="00246C6D" w:rsidRPr="00926A50" w:rsidRDefault="00246C6D" w:rsidP="00162746">
      <w:pPr>
        <w:tabs>
          <w:tab w:val="left" w:pos="284"/>
        </w:tabs>
        <w:ind w:firstLine="709"/>
        <w:jc w:val="both"/>
        <w:rPr>
          <w:sz w:val="24"/>
          <w:szCs w:val="24"/>
        </w:rPr>
      </w:pPr>
      <w:r>
        <w:rPr>
          <w:sz w:val="24"/>
          <w:szCs w:val="24"/>
        </w:rPr>
        <w:t>Observa-se que a renda familiar dos respondentes é alta, sendo que 27% possuem renda familiar entre 4 e 6 salários mínimos, e 34% possuem renda maior que 6 salários mínimos. Aproximadamente 12% dos respondentes possuem renda familiar inferior a dois salários mínimos.</w:t>
      </w:r>
    </w:p>
    <w:p w14:paraId="7B9236DC" w14:textId="77777777" w:rsidR="00246C6D" w:rsidRDefault="00246C6D" w:rsidP="00246C6D">
      <w:pPr>
        <w:autoSpaceDE w:val="0"/>
        <w:autoSpaceDN w:val="0"/>
        <w:adjustRightInd w:val="0"/>
        <w:ind w:firstLine="709"/>
        <w:jc w:val="both"/>
        <w:rPr>
          <w:sz w:val="24"/>
          <w:szCs w:val="24"/>
        </w:rPr>
      </w:pPr>
    </w:p>
    <w:p w14:paraId="334F863E" w14:textId="77777777" w:rsidR="00246C6D" w:rsidRDefault="00246C6D" w:rsidP="00246C6D">
      <w:pPr>
        <w:autoSpaceDE w:val="0"/>
        <w:autoSpaceDN w:val="0"/>
        <w:adjustRightInd w:val="0"/>
        <w:jc w:val="both"/>
      </w:pPr>
      <w:r>
        <w:rPr>
          <w:b/>
        </w:rPr>
        <w:t>Tabela 4</w:t>
      </w:r>
      <w:r w:rsidRPr="00081F77">
        <w:rPr>
          <w:b/>
        </w:rPr>
        <w:t xml:space="preserve"> -</w:t>
      </w:r>
      <w:r>
        <w:rPr>
          <w:b/>
        </w:rPr>
        <w:t xml:space="preserve"> Maior Grau de Escolaridade na Família</w:t>
      </w:r>
    </w:p>
    <w:tbl>
      <w:tblPr>
        <w:tblW w:w="9072"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78"/>
        <w:gridCol w:w="2126"/>
        <w:gridCol w:w="2268"/>
      </w:tblGrid>
      <w:tr w:rsidR="00246C6D" w:rsidRPr="00911C86" w14:paraId="63CEB4CC" w14:textId="77777777" w:rsidTr="00747342">
        <w:tc>
          <w:tcPr>
            <w:tcW w:w="4678" w:type="dxa"/>
            <w:shd w:val="clear" w:color="auto" w:fill="D9D9D9"/>
          </w:tcPr>
          <w:p w14:paraId="0CDDB6CB" w14:textId="77777777" w:rsidR="00246C6D" w:rsidRPr="00911C86" w:rsidRDefault="00246C6D" w:rsidP="00747342">
            <w:pPr>
              <w:autoSpaceDE w:val="0"/>
              <w:autoSpaceDN w:val="0"/>
              <w:adjustRightInd w:val="0"/>
              <w:jc w:val="center"/>
              <w:rPr>
                <w:b/>
              </w:rPr>
            </w:pPr>
            <w:r w:rsidRPr="00911C86">
              <w:rPr>
                <w:b/>
              </w:rPr>
              <w:t>Maior Grau de Escolaridade na Família</w:t>
            </w:r>
          </w:p>
        </w:tc>
        <w:tc>
          <w:tcPr>
            <w:tcW w:w="2126" w:type="dxa"/>
            <w:shd w:val="clear" w:color="auto" w:fill="D9D9D9"/>
          </w:tcPr>
          <w:p w14:paraId="30BA3B0D"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73782920"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09048E56" w14:textId="77777777" w:rsidTr="00747342">
        <w:tc>
          <w:tcPr>
            <w:tcW w:w="4678" w:type="dxa"/>
            <w:shd w:val="clear" w:color="auto" w:fill="auto"/>
            <w:vAlign w:val="center"/>
          </w:tcPr>
          <w:p w14:paraId="0BFADFD6" w14:textId="77777777" w:rsidR="00246C6D" w:rsidRPr="00911C86" w:rsidRDefault="00246C6D" w:rsidP="00747342">
            <w:pPr>
              <w:autoSpaceDE w:val="0"/>
              <w:autoSpaceDN w:val="0"/>
              <w:adjustRightInd w:val="0"/>
            </w:pPr>
            <w:r w:rsidRPr="00911C86">
              <w:t>Nenhum</w:t>
            </w:r>
          </w:p>
        </w:tc>
        <w:tc>
          <w:tcPr>
            <w:tcW w:w="2126" w:type="dxa"/>
            <w:shd w:val="clear" w:color="auto" w:fill="auto"/>
          </w:tcPr>
          <w:p w14:paraId="3269D389" w14:textId="77777777" w:rsidR="00246C6D" w:rsidRPr="00911C86" w:rsidRDefault="00246C6D" w:rsidP="00747342">
            <w:pPr>
              <w:autoSpaceDE w:val="0"/>
              <w:autoSpaceDN w:val="0"/>
              <w:adjustRightInd w:val="0"/>
              <w:jc w:val="center"/>
            </w:pPr>
            <w:r w:rsidRPr="00911C86">
              <w:t>0</w:t>
            </w:r>
          </w:p>
        </w:tc>
        <w:tc>
          <w:tcPr>
            <w:tcW w:w="2268" w:type="dxa"/>
            <w:shd w:val="clear" w:color="auto" w:fill="auto"/>
          </w:tcPr>
          <w:p w14:paraId="20E4EA7D" w14:textId="77777777" w:rsidR="00246C6D" w:rsidRPr="00911C86" w:rsidRDefault="00246C6D" w:rsidP="00747342">
            <w:pPr>
              <w:autoSpaceDE w:val="0"/>
              <w:autoSpaceDN w:val="0"/>
              <w:adjustRightInd w:val="0"/>
              <w:jc w:val="center"/>
            </w:pPr>
            <w:r w:rsidRPr="00911C86">
              <w:t>0,0</w:t>
            </w:r>
          </w:p>
        </w:tc>
      </w:tr>
      <w:tr w:rsidR="00246C6D" w:rsidRPr="00911C86" w14:paraId="492A6D09" w14:textId="77777777" w:rsidTr="00747342">
        <w:tc>
          <w:tcPr>
            <w:tcW w:w="4678" w:type="dxa"/>
            <w:shd w:val="clear" w:color="auto" w:fill="auto"/>
            <w:vAlign w:val="center"/>
          </w:tcPr>
          <w:p w14:paraId="0ED53351" w14:textId="77777777" w:rsidR="00246C6D" w:rsidRPr="00911C86" w:rsidRDefault="00246C6D" w:rsidP="00747342">
            <w:pPr>
              <w:autoSpaceDE w:val="0"/>
              <w:autoSpaceDN w:val="0"/>
              <w:adjustRightInd w:val="0"/>
            </w:pPr>
            <w:r w:rsidRPr="00911C86">
              <w:t>Ensino Fundamental Incompleto</w:t>
            </w:r>
          </w:p>
        </w:tc>
        <w:tc>
          <w:tcPr>
            <w:tcW w:w="2126" w:type="dxa"/>
            <w:shd w:val="clear" w:color="auto" w:fill="auto"/>
          </w:tcPr>
          <w:p w14:paraId="241E5523" w14:textId="77777777" w:rsidR="00246C6D" w:rsidRPr="00911C86" w:rsidRDefault="00246C6D" w:rsidP="00747342">
            <w:pPr>
              <w:autoSpaceDE w:val="0"/>
              <w:autoSpaceDN w:val="0"/>
              <w:adjustRightInd w:val="0"/>
              <w:jc w:val="center"/>
            </w:pPr>
            <w:r w:rsidRPr="00911C86">
              <w:t>19</w:t>
            </w:r>
          </w:p>
        </w:tc>
        <w:tc>
          <w:tcPr>
            <w:tcW w:w="2268" w:type="dxa"/>
            <w:shd w:val="clear" w:color="auto" w:fill="auto"/>
          </w:tcPr>
          <w:p w14:paraId="3AB4E7B9" w14:textId="77777777" w:rsidR="00246C6D" w:rsidRPr="00911C86" w:rsidRDefault="00246C6D" w:rsidP="00747342">
            <w:pPr>
              <w:autoSpaceDE w:val="0"/>
              <w:autoSpaceDN w:val="0"/>
              <w:adjustRightInd w:val="0"/>
              <w:jc w:val="center"/>
            </w:pPr>
            <w:r w:rsidRPr="00911C86">
              <w:t>18,80</w:t>
            </w:r>
          </w:p>
        </w:tc>
      </w:tr>
      <w:tr w:rsidR="00246C6D" w:rsidRPr="00911C86" w14:paraId="7BA2D179" w14:textId="77777777" w:rsidTr="00747342">
        <w:tc>
          <w:tcPr>
            <w:tcW w:w="4678" w:type="dxa"/>
            <w:shd w:val="clear" w:color="auto" w:fill="auto"/>
            <w:vAlign w:val="center"/>
          </w:tcPr>
          <w:p w14:paraId="7BA5E163" w14:textId="77777777" w:rsidR="00246C6D" w:rsidRPr="00911C86" w:rsidRDefault="00246C6D" w:rsidP="00747342">
            <w:pPr>
              <w:autoSpaceDE w:val="0"/>
              <w:autoSpaceDN w:val="0"/>
              <w:adjustRightInd w:val="0"/>
            </w:pPr>
            <w:r w:rsidRPr="00911C86">
              <w:t>Ensino Fundamental Completo</w:t>
            </w:r>
          </w:p>
        </w:tc>
        <w:tc>
          <w:tcPr>
            <w:tcW w:w="2126" w:type="dxa"/>
            <w:shd w:val="clear" w:color="auto" w:fill="auto"/>
          </w:tcPr>
          <w:p w14:paraId="25C47B1E" w14:textId="77777777" w:rsidR="00246C6D" w:rsidRPr="00911C86" w:rsidRDefault="00246C6D" w:rsidP="00747342">
            <w:pPr>
              <w:autoSpaceDE w:val="0"/>
              <w:autoSpaceDN w:val="0"/>
              <w:adjustRightInd w:val="0"/>
              <w:jc w:val="center"/>
            </w:pPr>
            <w:r w:rsidRPr="00911C86">
              <w:t>13</w:t>
            </w:r>
          </w:p>
        </w:tc>
        <w:tc>
          <w:tcPr>
            <w:tcW w:w="2268" w:type="dxa"/>
            <w:shd w:val="clear" w:color="auto" w:fill="auto"/>
          </w:tcPr>
          <w:p w14:paraId="7DB3F3F4" w14:textId="77777777" w:rsidR="00246C6D" w:rsidRPr="00911C86" w:rsidRDefault="00246C6D" w:rsidP="00747342">
            <w:pPr>
              <w:autoSpaceDE w:val="0"/>
              <w:autoSpaceDN w:val="0"/>
              <w:adjustRightInd w:val="0"/>
              <w:jc w:val="center"/>
            </w:pPr>
            <w:r w:rsidRPr="00911C86">
              <w:t>12,90</w:t>
            </w:r>
          </w:p>
        </w:tc>
      </w:tr>
      <w:tr w:rsidR="00246C6D" w:rsidRPr="00911C86" w14:paraId="7D95F5F8" w14:textId="77777777" w:rsidTr="00747342">
        <w:tc>
          <w:tcPr>
            <w:tcW w:w="4678" w:type="dxa"/>
            <w:shd w:val="clear" w:color="auto" w:fill="auto"/>
            <w:vAlign w:val="center"/>
          </w:tcPr>
          <w:p w14:paraId="304AF649" w14:textId="77777777" w:rsidR="00246C6D" w:rsidRPr="00911C86" w:rsidRDefault="00246C6D" w:rsidP="00747342">
            <w:pPr>
              <w:autoSpaceDE w:val="0"/>
              <w:autoSpaceDN w:val="0"/>
              <w:adjustRightInd w:val="0"/>
            </w:pPr>
            <w:r w:rsidRPr="00911C86">
              <w:t>Ensino Médio Incompleto</w:t>
            </w:r>
          </w:p>
        </w:tc>
        <w:tc>
          <w:tcPr>
            <w:tcW w:w="2126" w:type="dxa"/>
            <w:shd w:val="clear" w:color="auto" w:fill="auto"/>
          </w:tcPr>
          <w:p w14:paraId="46D71494" w14:textId="77777777" w:rsidR="00246C6D" w:rsidRPr="00911C86" w:rsidRDefault="00246C6D" w:rsidP="00747342">
            <w:pPr>
              <w:autoSpaceDE w:val="0"/>
              <w:autoSpaceDN w:val="0"/>
              <w:adjustRightInd w:val="0"/>
              <w:jc w:val="center"/>
            </w:pPr>
            <w:r w:rsidRPr="00911C86">
              <w:t>5</w:t>
            </w:r>
          </w:p>
        </w:tc>
        <w:tc>
          <w:tcPr>
            <w:tcW w:w="2268" w:type="dxa"/>
            <w:shd w:val="clear" w:color="auto" w:fill="auto"/>
          </w:tcPr>
          <w:p w14:paraId="443D453C" w14:textId="77777777" w:rsidR="00246C6D" w:rsidRPr="00911C86" w:rsidRDefault="00246C6D" w:rsidP="00747342">
            <w:pPr>
              <w:autoSpaceDE w:val="0"/>
              <w:autoSpaceDN w:val="0"/>
              <w:adjustRightInd w:val="0"/>
              <w:jc w:val="center"/>
            </w:pPr>
            <w:r w:rsidRPr="00911C86">
              <w:t>5,0</w:t>
            </w:r>
          </w:p>
        </w:tc>
      </w:tr>
      <w:tr w:rsidR="00246C6D" w:rsidRPr="00911C86" w14:paraId="42097053" w14:textId="77777777" w:rsidTr="00747342">
        <w:tc>
          <w:tcPr>
            <w:tcW w:w="4678" w:type="dxa"/>
            <w:shd w:val="clear" w:color="auto" w:fill="auto"/>
            <w:vAlign w:val="center"/>
          </w:tcPr>
          <w:p w14:paraId="7D0A2FDD" w14:textId="77777777" w:rsidR="00246C6D" w:rsidRPr="00911C86" w:rsidRDefault="00246C6D" w:rsidP="00747342">
            <w:pPr>
              <w:autoSpaceDE w:val="0"/>
              <w:autoSpaceDN w:val="0"/>
              <w:adjustRightInd w:val="0"/>
            </w:pPr>
            <w:r w:rsidRPr="00911C86">
              <w:t>Ensino Médio Completo</w:t>
            </w:r>
          </w:p>
        </w:tc>
        <w:tc>
          <w:tcPr>
            <w:tcW w:w="2126" w:type="dxa"/>
            <w:shd w:val="clear" w:color="auto" w:fill="auto"/>
          </w:tcPr>
          <w:p w14:paraId="0ADB2C65" w14:textId="77777777" w:rsidR="00246C6D" w:rsidRPr="00911C86" w:rsidRDefault="00246C6D" w:rsidP="00747342">
            <w:pPr>
              <w:autoSpaceDE w:val="0"/>
              <w:autoSpaceDN w:val="0"/>
              <w:adjustRightInd w:val="0"/>
              <w:jc w:val="center"/>
            </w:pPr>
            <w:r w:rsidRPr="00911C86">
              <w:t>20</w:t>
            </w:r>
          </w:p>
        </w:tc>
        <w:tc>
          <w:tcPr>
            <w:tcW w:w="2268" w:type="dxa"/>
            <w:shd w:val="clear" w:color="auto" w:fill="auto"/>
          </w:tcPr>
          <w:p w14:paraId="1542E2F4" w14:textId="77777777" w:rsidR="00246C6D" w:rsidRPr="00911C86" w:rsidRDefault="00246C6D" w:rsidP="00747342">
            <w:pPr>
              <w:autoSpaceDE w:val="0"/>
              <w:autoSpaceDN w:val="0"/>
              <w:adjustRightInd w:val="0"/>
              <w:jc w:val="center"/>
            </w:pPr>
            <w:r w:rsidRPr="00911C86">
              <w:t>19,80</w:t>
            </w:r>
          </w:p>
        </w:tc>
      </w:tr>
      <w:tr w:rsidR="00246C6D" w:rsidRPr="00911C86" w14:paraId="3C44A5DB" w14:textId="77777777" w:rsidTr="00747342">
        <w:tc>
          <w:tcPr>
            <w:tcW w:w="4678" w:type="dxa"/>
            <w:shd w:val="clear" w:color="auto" w:fill="auto"/>
            <w:vAlign w:val="center"/>
          </w:tcPr>
          <w:p w14:paraId="7F26F724" w14:textId="77777777" w:rsidR="00246C6D" w:rsidRPr="00911C86" w:rsidRDefault="00246C6D" w:rsidP="00747342">
            <w:pPr>
              <w:autoSpaceDE w:val="0"/>
              <w:autoSpaceDN w:val="0"/>
              <w:adjustRightInd w:val="0"/>
            </w:pPr>
            <w:r w:rsidRPr="00911C86">
              <w:t>Superior Incompleto</w:t>
            </w:r>
          </w:p>
        </w:tc>
        <w:tc>
          <w:tcPr>
            <w:tcW w:w="2126" w:type="dxa"/>
            <w:shd w:val="clear" w:color="auto" w:fill="auto"/>
          </w:tcPr>
          <w:p w14:paraId="14E41BDD" w14:textId="77777777" w:rsidR="00246C6D" w:rsidRPr="00911C86" w:rsidRDefault="00246C6D" w:rsidP="00747342">
            <w:pPr>
              <w:autoSpaceDE w:val="0"/>
              <w:autoSpaceDN w:val="0"/>
              <w:adjustRightInd w:val="0"/>
              <w:jc w:val="center"/>
            </w:pPr>
            <w:r w:rsidRPr="00911C86">
              <w:t>8</w:t>
            </w:r>
          </w:p>
        </w:tc>
        <w:tc>
          <w:tcPr>
            <w:tcW w:w="2268" w:type="dxa"/>
            <w:shd w:val="clear" w:color="auto" w:fill="auto"/>
          </w:tcPr>
          <w:p w14:paraId="0E0DA376" w14:textId="77777777" w:rsidR="00246C6D" w:rsidRPr="00911C86" w:rsidRDefault="00246C6D" w:rsidP="00747342">
            <w:pPr>
              <w:autoSpaceDE w:val="0"/>
              <w:autoSpaceDN w:val="0"/>
              <w:adjustRightInd w:val="0"/>
              <w:jc w:val="center"/>
            </w:pPr>
            <w:r w:rsidRPr="00911C86">
              <w:t>7,90</w:t>
            </w:r>
          </w:p>
        </w:tc>
      </w:tr>
      <w:tr w:rsidR="00246C6D" w:rsidRPr="00911C86" w14:paraId="57F4662A" w14:textId="77777777" w:rsidTr="00747342">
        <w:tc>
          <w:tcPr>
            <w:tcW w:w="4678" w:type="dxa"/>
            <w:shd w:val="clear" w:color="auto" w:fill="auto"/>
            <w:vAlign w:val="center"/>
          </w:tcPr>
          <w:p w14:paraId="309BA10B" w14:textId="77777777" w:rsidR="00246C6D" w:rsidRPr="00911C86" w:rsidRDefault="00246C6D" w:rsidP="00747342">
            <w:pPr>
              <w:autoSpaceDE w:val="0"/>
              <w:autoSpaceDN w:val="0"/>
              <w:adjustRightInd w:val="0"/>
            </w:pPr>
            <w:r w:rsidRPr="00911C86">
              <w:t>Superior Completo</w:t>
            </w:r>
          </w:p>
        </w:tc>
        <w:tc>
          <w:tcPr>
            <w:tcW w:w="2126" w:type="dxa"/>
            <w:shd w:val="clear" w:color="auto" w:fill="auto"/>
          </w:tcPr>
          <w:p w14:paraId="5D7DFEB5" w14:textId="77777777" w:rsidR="00246C6D" w:rsidRPr="00911C86" w:rsidRDefault="00246C6D" w:rsidP="00747342">
            <w:pPr>
              <w:autoSpaceDE w:val="0"/>
              <w:autoSpaceDN w:val="0"/>
              <w:adjustRightInd w:val="0"/>
              <w:jc w:val="center"/>
            </w:pPr>
            <w:r w:rsidRPr="00911C86">
              <w:t>24</w:t>
            </w:r>
          </w:p>
        </w:tc>
        <w:tc>
          <w:tcPr>
            <w:tcW w:w="2268" w:type="dxa"/>
            <w:shd w:val="clear" w:color="auto" w:fill="auto"/>
          </w:tcPr>
          <w:p w14:paraId="45A14C2E" w14:textId="77777777" w:rsidR="00246C6D" w:rsidRPr="00911C86" w:rsidRDefault="00246C6D" w:rsidP="00747342">
            <w:pPr>
              <w:autoSpaceDE w:val="0"/>
              <w:autoSpaceDN w:val="0"/>
              <w:adjustRightInd w:val="0"/>
              <w:jc w:val="center"/>
            </w:pPr>
            <w:r w:rsidRPr="00911C86">
              <w:t>23,80</w:t>
            </w:r>
          </w:p>
        </w:tc>
      </w:tr>
      <w:tr w:rsidR="00246C6D" w:rsidRPr="00911C86" w14:paraId="12C35D02" w14:textId="77777777" w:rsidTr="00747342">
        <w:tc>
          <w:tcPr>
            <w:tcW w:w="4678" w:type="dxa"/>
            <w:shd w:val="clear" w:color="auto" w:fill="auto"/>
            <w:vAlign w:val="center"/>
          </w:tcPr>
          <w:p w14:paraId="560030D9" w14:textId="77777777" w:rsidR="00246C6D" w:rsidRPr="00911C86" w:rsidRDefault="00246C6D" w:rsidP="00747342">
            <w:pPr>
              <w:autoSpaceDE w:val="0"/>
              <w:autoSpaceDN w:val="0"/>
              <w:adjustRightInd w:val="0"/>
            </w:pPr>
            <w:r w:rsidRPr="00911C86">
              <w:t>Pós-graduação (especialização, mestrado ou doutorado)</w:t>
            </w:r>
          </w:p>
        </w:tc>
        <w:tc>
          <w:tcPr>
            <w:tcW w:w="2126" w:type="dxa"/>
            <w:shd w:val="clear" w:color="auto" w:fill="auto"/>
          </w:tcPr>
          <w:p w14:paraId="605EDBA2" w14:textId="77777777" w:rsidR="00246C6D" w:rsidRPr="00911C86" w:rsidRDefault="00246C6D" w:rsidP="00747342">
            <w:pPr>
              <w:autoSpaceDE w:val="0"/>
              <w:autoSpaceDN w:val="0"/>
              <w:adjustRightInd w:val="0"/>
              <w:jc w:val="center"/>
            </w:pPr>
            <w:r w:rsidRPr="00911C86">
              <w:t>12</w:t>
            </w:r>
          </w:p>
        </w:tc>
        <w:tc>
          <w:tcPr>
            <w:tcW w:w="2268" w:type="dxa"/>
            <w:shd w:val="clear" w:color="auto" w:fill="auto"/>
          </w:tcPr>
          <w:p w14:paraId="321CB7C9" w14:textId="77777777" w:rsidR="00246C6D" w:rsidRPr="00911C86" w:rsidRDefault="00246C6D" w:rsidP="00747342">
            <w:pPr>
              <w:autoSpaceDE w:val="0"/>
              <w:autoSpaceDN w:val="0"/>
              <w:adjustRightInd w:val="0"/>
              <w:jc w:val="center"/>
            </w:pPr>
            <w:r w:rsidRPr="00911C86">
              <w:t>11,90</w:t>
            </w:r>
          </w:p>
        </w:tc>
      </w:tr>
      <w:tr w:rsidR="00246C6D" w:rsidRPr="00911C86" w14:paraId="3962D1C4" w14:textId="77777777" w:rsidTr="00747342">
        <w:tc>
          <w:tcPr>
            <w:tcW w:w="4678" w:type="dxa"/>
            <w:shd w:val="clear" w:color="auto" w:fill="auto"/>
            <w:vAlign w:val="center"/>
          </w:tcPr>
          <w:p w14:paraId="6BD3D809" w14:textId="77777777" w:rsidR="00246C6D" w:rsidRPr="00911C86" w:rsidRDefault="00246C6D" w:rsidP="00747342">
            <w:pPr>
              <w:autoSpaceDE w:val="0"/>
              <w:autoSpaceDN w:val="0"/>
              <w:adjustRightInd w:val="0"/>
              <w:rPr>
                <w:b/>
              </w:rPr>
            </w:pPr>
            <w:r w:rsidRPr="00911C86">
              <w:rPr>
                <w:b/>
              </w:rPr>
              <w:t>Total</w:t>
            </w:r>
          </w:p>
        </w:tc>
        <w:tc>
          <w:tcPr>
            <w:tcW w:w="2126" w:type="dxa"/>
            <w:shd w:val="clear" w:color="auto" w:fill="auto"/>
          </w:tcPr>
          <w:p w14:paraId="3913C7F5"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46EAD10E" w14:textId="77777777" w:rsidR="00246C6D" w:rsidRPr="00911C86" w:rsidRDefault="00246C6D" w:rsidP="00747342">
            <w:pPr>
              <w:autoSpaceDE w:val="0"/>
              <w:autoSpaceDN w:val="0"/>
              <w:adjustRightInd w:val="0"/>
              <w:jc w:val="center"/>
              <w:rPr>
                <w:b/>
              </w:rPr>
            </w:pPr>
            <w:r w:rsidRPr="00911C86">
              <w:rPr>
                <w:b/>
              </w:rPr>
              <w:t>100,00</w:t>
            </w:r>
          </w:p>
        </w:tc>
      </w:tr>
    </w:tbl>
    <w:p w14:paraId="1F161137" w14:textId="77777777" w:rsidR="00246C6D" w:rsidRDefault="00246C6D" w:rsidP="00246C6D">
      <w:pPr>
        <w:autoSpaceDE w:val="0"/>
        <w:autoSpaceDN w:val="0"/>
        <w:adjustRightInd w:val="0"/>
      </w:pPr>
      <w:r w:rsidRPr="003625DC">
        <w:t>Fonte: Dados da pesquisa.</w:t>
      </w:r>
    </w:p>
    <w:p w14:paraId="6EA51FDC" w14:textId="77777777" w:rsidR="00840A4A" w:rsidRDefault="00840A4A" w:rsidP="00246C6D">
      <w:pPr>
        <w:tabs>
          <w:tab w:val="left" w:pos="284"/>
        </w:tabs>
        <w:ind w:firstLine="567"/>
        <w:jc w:val="both"/>
        <w:rPr>
          <w:sz w:val="24"/>
          <w:szCs w:val="24"/>
        </w:rPr>
      </w:pPr>
    </w:p>
    <w:p w14:paraId="2C9F299F" w14:textId="77777777" w:rsidR="00246C6D" w:rsidRDefault="00246C6D" w:rsidP="00162746">
      <w:pPr>
        <w:tabs>
          <w:tab w:val="left" w:pos="284"/>
        </w:tabs>
        <w:ind w:firstLine="709"/>
        <w:jc w:val="both"/>
        <w:rPr>
          <w:sz w:val="24"/>
          <w:szCs w:val="24"/>
        </w:rPr>
      </w:pPr>
      <w:r>
        <w:rPr>
          <w:sz w:val="24"/>
          <w:szCs w:val="24"/>
        </w:rPr>
        <w:t>De acordo com a Tabela 4, destaca-se como maior grau de escolaridade na família o superior completo, representando 23,80%, seguido do ensino médio completo representado por 19,80%. A Tabela 5, a seguir, demonstra o ano de ingresso no curso, sendo que as turmas iniciais são maiores, o que indica possíveis movimentações dos alunos.</w:t>
      </w:r>
    </w:p>
    <w:p w14:paraId="710C8CE7" w14:textId="77777777" w:rsidR="00246C6D" w:rsidRDefault="00246C6D" w:rsidP="00246C6D">
      <w:pPr>
        <w:tabs>
          <w:tab w:val="left" w:pos="284"/>
        </w:tabs>
        <w:ind w:firstLine="709"/>
        <w:jc w:val="both"/>
      </w:pPr>
    </w:p>
    <w:p w14:paraId="09867973" w14:textId="77777777" w:rsidR="00246C6D" w:rsidRPr="00081F77" w:rsidRDefault="00246C6D" w:rsidP="00246C6D">
      <w:pPr>
        <w:pStyle w:val="PargrafodaLista"/>
        <w:tabs>
          <w:tab w:val="left" w:pos="284"/>
        </w:tabs>
        <w:ind w:left="0"/>
        <w:rPr>
          <w:b/>
        </w:rPr>
      </w:pPr>
      <w:r>
        <w:rPr>
          <w:b/>
        </w:rPr>
        <w:t>Tabela 5</w:t>
      </w:r>
      <w:r w:rsidRPr="00081F77">
        <w:rPr>
          <w:b/>
        </w:rPr>
        <w:t xml:space="preserve"> - Caracterização do ano de ingresso no curso.</w:t>
      </w:r>
    </w:p>
    <w:tbl>
      <w:tblPr>
        <w:tblW w:w="8931"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111"/>
        <w:gridCol w:w="2552"/>
        <w:gridCol w:w="2268"/>
      </w:tblGrid>
      <w:tr w:rsidR="00246C6D" w:rsidRPr="00911C86" w14:paraId="0891892B" w14:textId="77777777" w:rsidTr="00747342">
        <w:tc>
          <w:tcPr>
            <w:tcW w:w="4111" w:type="dxa"/>
            <w:shd w:val="clear" w:color="auto" w:fill="D9D9D9"/>
          </w:tcPr>
          <w:p w14:paraId="06EDEA40" w14:textId="77777777" w:rsidR="00246C6D" w:rsidRPr="00911C86" w:rsidRDefault="00246C6D" w:rsidP="00747342">
            <w:pPr>
              <w:autoSpaceDE w:val="0"/>
              <w:autoSpaceDN w:val="0"/>
              <w:adjustRightInd w:val="0"/>
              <w:jc w:val="center"/>
              <w:rPr>
                <w:b/>
              </w:rPr>
            </w:pPr>
            <w:r w:rsidRPr="00911C86">
              <w:rPr>
                <w:b/>
              </w:rPr>
              <w:t>Ano de Ingresso no Curso</w:t>
            </w:r>
          </w:p>
        </w:tc>
        <w:tc>
          <w:tcPr>
            <w:tcW w:w="2552" w:type="dxa"/>
            <w:shd w:val="clear" w:color="auto" w:fill="D9D9D9"/>
          </w:tcPr>
          <w:p w14:paraId="704058F0"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6FA0D829"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5D372728" w14:textId="77777777" w:rsidTr="00747342">
        <w:tc>
          <w:tcPr>
            <w:tcW w:w="4111" w:type="dxa"/>
            <w:shd w:val="clear" w:color="auto" w:fill="auto"/>
            <w:vAlign w:val="center"/>
          </w:tcPr>
          <w:p w14:paraId="5247FC3B" w14:textId="77777777" w:rsidR="00246C6D" w:rsidRPr="00911C86" w:rsidRDefault="00246C6D" w:rsidP="00747342">
            <w:pPr>
              <w:autoSpaceDE w:val="0"/>
              <w:autoSpaceDN w:val="0"/>
              <w:adjustRightInd w:val="0"/>
              <w:jc w:val="center"/>
            </w:pPr>
            <w:r w:rsidRPr="00911C86">
              <w:t>2014</w:t>
            </w:r>
          </w:p>
        </w:tc>
        <w:tc>
          <w:tcPr>
            <w:tcW w:w="2552" w:type="dxa"/>
            <w:shd w:val="clear" w:color="auto" w:fill="auto"/>
          </w:tcPr>
          <w:p w14:paraId="2EA43375" w14:textId="77777777" w:rsidR="00246C6D" w:rsidRPr="00911C86" w:rsidRDefault="00246C6D" w:rsidP="00747342">
            <w:pPr>
              <w:autoSpaceDE w:val="0"/>
              <w:autoSpaceDN w:val="0"/>
              <w:adjustRightInd w:val="0"/>
              <w:jc w:val="center"/>
            </w:pPr>
            <w:r w:rsidRPr="00911C86">
              <w:t>5</w:t>
            </w:r>
          </w:p>
        </w:tc>
        <w:tc>
          <w:tcPr>
            <w:tcW w:w="2268" w:type="dxa"/>
            <w:shd w:val="clear" w:color="auto" w:fill="auto"/>
          </w:tcPr>
          <w:p w14:paraId="6C56E90A" w14:textId="77777777" w:rsidR="00246C6D" w:rsidRPr="00911C86" w:rsidRDefault="00246C6D" w:rsidP="00747342">
            <w:pPr>
              <w:autoSpaceDE w:val="0"/>
              <w:autoSpaceDN w:val="0"/>
              <w:adjustRightInd w:val="0"/>
              <w:jc w:val="center"/>
            </w:pPr>
            <w:r w:rsidRPr="00911C86">
              <w:t>5,0</w:t>
            </w:r>
          </w:p>
        </w:tc>
      </w:tr>
      <w:tr w:rsidR="00246C6D" w:rsidRPr="00911C86" w14:paraId="53FE3041" w14:textId="77777777" w:rsidTr="00747342">
        <w:tc>
          <w:tcPr>
            <w:tcW w:w="4111" w:type="dxa"/>
            <w:shd w:val="clear" w:color="auto" w:fill="auto"/>
            <w:vAlign w:val="center"/>
          </w:tcPr>
          <w:p w14:paraId="27E6138E" w14:textId="77777777" w:rsidR="00246C6D" w:rsidRPr="00911C86" w:rsidRDefault="00246C6D" w:rsidP="00747342">
            <w:pPr>
              <w:autoSpaceDE w:val="0"/>
              <w:autoSpaceDN w:val="0"/>
              <w:adjustRightInd w:val="0"/>
              <w:jc w:val="center"/>
            </w:pPr>
            <w:r w:rsidRPr="00911C86">
              <w:t>2015</w:t>
            </w:r>
          </w:p>
        </w:tc>
        <w:tc>
          <w:tcPr>
            <w:tcW w:w="2552" w:type="dxa"/>
            <w:shd w:val="clear" w:color="auto" w:fill="auto"/>
          </w:tcPr>
          <w:p w14:paraId="40890940" w14:textId="77777777" w:rsidR="00246C6D" w:rsidRPr="00911C86" w:rsidRDefault="00246C6D" w:rsidP="00747342">
            <w:pPr>
              <w:autoSpaceDE w:val="0"/>
              <w:autoSpaceDN w:val="0"/>
              <w:adjustRightInd w:val="0"/>
              <w:jc w:val="center"/>
            </w:pPr>
            <w:r w:rsidRPr="00911C86">
              <w:t>29</w:t>
            </w:r>
          </w:p>
        </w:tc>
        <w:tc>
          <w:tcPr>
            <w:tcW w:w="2268" w:type="dxa"/>
            <w:shd w:val="clear" w:color="auto" w:fill="auto"/>
          </w:tcPr>
          <w:p w14:paraId="6434ADD8" w14:textId="77777777" w:rsidR="00246C6D" w:rsidRPr="00911C86" w:rsidRDefault="00246C6D" w:rsidP="00747342">
            <w:pPr>
              <w:autoSpaceDE w:val="0"/>
              <w:autoSpaceDN w:val="0"/>
              <w:adjustRightInd w:val="0"/>
              <w:jc w:val="center"/>
            </w:pPr>
            <w:r w:rsidRPr="00911C86">
              <w:t>28,70</w:t>
            </w:r>
          </w:p>
        </w:tc>
      </w:tr>
      <w:tr w:rsidR="00246C6D" w:rsidRPr="00911C86" w14:paraId="5692AC97" w14:textId="77777777" w:rsidTr="00747342">
        <w:tc>
          <w:tcPr>
            <w:tcW w:w="4111" w:type="dxa"/>
            <w:shd w:val="clear" w:color="auto" w:fill="auto"/>
            <w:vAlign w:val="center"/>
          </w:tcPr>
          <w:p w14:paraId="598DFFF5" w14:textId="77777777" w:rsidR="00246C6D" w:rsidRPr="00911C86" w:rsidRDefault="00246C6D" w:rsidP="00747342">
            <w:pPr>
              <w:autoSpaceDE w:val="0"/>
              <w:autoSpaceDN w:val="0"/>
              <w:adjustRightInd w:val="0"/>
              <w:jc w:val="center"/>
            </w:pPr>
            <w:r w:rsidRPr="00911C86">
              <w:t>2016</w:t>
            </w:r>
          </w:p>
        </w:tc>
        <w:tc>
          <w:tcPr>
            <w:tcW w:w="2552" w:type="dxa"/>
            <w:shd w:val="clear" w:color="auto" w:fill="auto"/>
          </w:tcPr>
          <w:p w14:paraId="37A14BBF" w14:textId="77777777" w:rsidR="00246C6D" w:rsidRPr="00911C86" w:rsidRDefault="00246C6D" w:rsidP="00747342">
            <w:pPr>
              <w:autoSpaceDE w:val="0"/>
              <w:autoSpaceDN w:val="0"/>
              <w:adjustRightInd w:val="0"/>
              <w:jc w:val="center"/>
            </w:pPr>
            <w:r w:rsidRPr="00911C86">
              <w:t>33</w:t>
            </w:r>
          </w:p>
        </w:tc>
        <w:tc>
          <w:tcPr>
            <w:tcW w:w="2268" w:type="dxa"/>
            <w:shd w:val="clear" w:color="auto" w:fill="auto"/>
          </w:tcPr>
          <w:p w14:paraId="41E3ADE3" w14:textId="77777777" w:rsidR="00246C6D" w:rsidRPr="00911C86" w:rsidRDefault="00246C6D" w:rsidP="00747342">
            <w:pPr>
              <w:autoSpaceDE w:val="0"/>
              <w:autoSpaceDN w:val="0"/>
              <w:adjustRightInd w:val="0"/>
              <w:jc w:val="center"/>
            </w:pPr>
            <w:r w:rsidRPr="00911C86">
              <w:t>32,70</w:t>
            </w:r>
          </w:p>
        </w:tc>
      </w:tr>
      <w:tr w:rsidR="00246C6D" w:rsidRPr="00911C86" w14:paraId="02C4099D" w14:textId="77777777" w:rsidTr="00747342">
        <w:tc>
          <w:tcPr>
            <w:tcW w:w="4111" w:type="dxa"/>
            <w:shd w:val="clear" w:color="auto" w:fill="auto"/>
            <w:vAlign w:val="center"/>
          </w:tcPr>
          <w:p w14:paraId="53F3EF80" w14:textId="77777777" w:rsidR="00246C6D" w:rsidRPr="00911C86" w:rsidRDefault="00246C6D" w:rsidP="00747342">
            <w:pPr>
              <w:autoSpaceDE w:val="0"/>
              <w:autoSpaceDN w:val="0"/>
              <w:adjustRightInd w:val="0"/>
              <w:jc w:val="center"/>
            </w:pPr>
            <w:r w:rsidRPr="00911C86">
              <w:t>2017</w:t>
            </w:r>
          </w:p>
        </w:tc>
        <w:tc>
          <w:tcPr>
            <w:tcW w:w="2552" w:type="dxa"/>
            <w:shd w:val="clear" w:color="auto" w:fill="auto"/>
          </w:tcPr>
          <w:p w14:paraId="5037E8C0" w14:textId="77777777" w:rsidR="00246C6D" w:rsidRPr="00911C86" w:rsidRDefault="00246C6D" w:rsidP="00747342">
            <w:pPr>
              <w:autoSpaceDE w:val="0"/>
              <w:autoSpaceDN w:val="0"/>
              <w:adjustRightInd w:val="0"/>
              <w:jc w:val="center"/>
            </w:pPr>
            <w:r w:rsidRPr="00911C86">
              <w:t>34</w:t>
            </w:r>
          </w:p>
        </w:tc>
        <w:tc>
          <w:tcPr>
            <w:tcW w:w="2268" w:type="dxa"/>
            <w:shd w:val="clear" w:color="auto" w:fill="auto"/>
          </w:tcPr>
          <w:p w14:paraId="0BE8F322" w14:textId="77777777" w:rsidR="00246C6D" w:rsidRPr="00911C86" w:rsidRDefault="00246C6D" w:rsidP="00747342">
            <w:pPr>
              <w:autoSpaceDE w:val="0"/>
              <w:autoSpaceDN w:val="0"/>
              <w:adjustRightInd w:val="0"/>
              <w:jc w:val="center"/>
            </w:pPr>
            <w:r w:rsidRPr="00911C86">
              <w:t>33,70</w:t>
            </w:r>
          </w:p>
        </w:tc>
      </w:tr>
      <w:tr w:rsidR="00246C6D" w:rsidRPr="00911C86" w14:paraId="3EA5F7B0" w14:textId="77777777" w:rsidTr="00747342">
        <w:tc>
          <w:tcPr>
            <w:tcW w:w="4111" w:type="dxa"/>
            <w:shd w:val="clear" w:color="auto" w:fill="auto"/>
            <w:vAlign w:val="center"/>
          </w:tcPr>
          <w:p w14:paraId="35B19098" w14:textId="77777777" w:rsidR="00246C6D" w:rsidRPr="00911C86" w:rsidRDefault="00246C6D" w:rsidP="00747342">
            <w:pPr>
              <w:autoSpaceDE w:val="0"/>
              <w:autoSpaceDN w:val="0"/>
              <w:adjustRightInd w:val="0"/>
              <w:rPr>
                <w:b/>
              </w:rPr>
            </w:pPr>
            <w:r w:rsidRPr="00911C86">
              <w:rPr>
                <w:b/>
              </w:rPr>
              <w:t>Total</w:t>
            </w:r>
          </w:p>
        </w:tc>
        <w:tc>
          <w:tcPr>
            <w:tcW w:w="2552" w:type="dxa"/>
            <w:shd w:val="clear" w:color="auto" w:fill="auto"/>
          </w:tcPr>
          <w:p w14:paraId="7804F8C6"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71C8C7CD" w14:textId="77777777" w:rsidR="00246C6D" w:rsidRPr="00911C86" w:rsidRDefault="00246C6D" w:rsidP="00747342">
            <w:pPr>
              <w:autoSpaceDE w:val="0"/>
              <w:autoSpaceDN w:val="0"/>
              <w:adjustRightInd w:val="0"/>
              <w:jc w:val="center"/>
              <w:rPr>
                <w:b/>
              </w:rPr>
            </w:pPr>
            <w:r w:rsidRPr="00911C86">
              <w:rPr>
                <w:b/>
              </w:rPr>
              <w:t>100,00</w:t>
            </w:r>
          </w:p>
        </w:tc>
      </w:tr>
    </w:tbl>
    <w:p w14:paraId="001BEA4A" w14:textId="77777777" w:rsidR="00246C6D" w:rsidRDefault="00246C6D" w:rsidP="00246C6D">
      <w:pPr>
        <w:autoSpaceDE w:val="0"/>
        <w:autoSpaceDN w:val="0"/>
        <w:adjustRightInd w:val="0"/>
      </w:pPr>
      <w:r w:rsidRPr="003625DC">
        <w:t>Fonte: Dados da pesquisa.</w:t>
      </w:r>
    </w:p>
    <w:p w14:paraId="4FC43907" w14:textId="77777777" w:rsidR="00840A4A" w:rsidRDefault="00840A4A" w:rsidP="00246C6D">
      <w:pPr>
        <w:tabs>
          <w:tab w:val="left" w:pos="284"/>
        </w:tabs>
        <w:ind w:firstLine="567"/>
        <w:jc w:val="both"/>
        <w:rPr>
          <w:sz w:val="24"/>
          <w:szCs w:val="24"/>
        </w:rPr>
      </w:pPr>
    </w:p>
    <w:p w14:paraId="49F7DA12" w14:textId="77777777" w:rsidR="00246C6D" w:rsidRPr="000F15E0" w:rsidRDefault="00246C6D" w:rsidP="00162746">
      <w:pPr>
        <w:tabs>
          <w:tab w:val="left" w:pos="284"/>
        </w:tabs>
        <w:ind w:firstLine="709"/>
        <w:jc w:val="both"/>
        <w:rPr>
          <w:sz w:val="24"/>
          <w:szCs w:val="24"/>
        </w:rPr>
      </w:pPr>
      <w:r>
        <w:rPr>
          <w:sz w:val="24"/>
          <w:szCs w:val="24"/>
        </w:rPr>
        <w:t>Observa-se que o ano de 2017 registrou mais acadêmicos cursando, com aproximadamente 34%, enquanto que apenas 5 acadêmicos ingressaram em 2014. A Tabela 6 caracteriza a faixa etária, conforme segue:</w:t>
      </w:r>
    </w:p>
    <w:p w14:paraId="4475BF6E" w14:textId="77777777" w:rsidR="00246C6D" w:rsidRDefault="00246C6D" w:rsidP="00246C6D">
      <w:pPr>
        <w:pStyle w:val="PargrafodaLista"/>
        <w:tabs>
          <w:tab w:val="left" w:pos="284"/>
        </w:tabs>
        <w:ind w:left="0"/>
        <w:jc w:val="both"/>
        <w:rPr>
          <w:b/>
        </w:rPr>
      </w:pPr>
    </w:p>
    <w:p w14:paraId="3228DDF0" w14:textId="77777777" w:rsidR="00162746" w:rsidRDefault="00162746" w:rsidP="00246C6D">
      <w:pPr>
        <w:pStyle w:val="PargrafodaLista"/>
        <w:tabs>
          <w:tab w:val="left" w:pos="284"/>
        </w:tabs>
        <w:ind w:left="0"/>
        <w:jc w:val="both"/>
        <w:rPr>
          <w:b/>
        </w:rPr>
      </w:pPr>
    </w:p>
    <w:p w14:paraId="64D6FE4D" w14:textId="77777777" w:rsidR="00162746" w:rsidRDefault="00162746" w:rsidP="00246C6D">
      <w:pPr>
        <w:pStyle w:val="PargrafodaLista"/>
        <w:tabs>
          <w:tab w:val="left" w:pos="284"/>
        </w:tabs>
        <w:ind w:left="0"/>
        <w:jc w:val="both"/>
        <w:rPr>
          <w:b/>
        </w:rPr>
      </w:pPr>
    </w:p>
    <w:p w14:paraId="743DAD7C" w14:textId="77777777" w:rsidR="00246C6D" w:rsidRPr="00081F77" w:rsidRDefault="00246C6D" w:rsidP="00246C6D">
      <w:pPr>
        <w:pStyle w:val="PargrafodaLista"/>
        <w:tabs>
          <w:tab w:val="left" w:pos="284"/>
        </w:tabs>
        <w:ind w:left="0"/>
        <w:jc w:val="both"/>
        <w:rPr>
          <w:b/>
        </w:rPr>
      </w:pPr>
      <w:r>
        <w:rPr>
          <w:b/>
        </w:rPr>
        <w:lastRenderedPageBreak/>
        <w:t>Tabela 6</w:t>
      </w:r>
      <w:r w:rsidRPr="00081F77">
        <w:rPr>
          <w:b/>
        </w:rPr>
        <w:t xml:space="preserve"> - Caracterização da faixa etária de ingresso no curso.</w:t>
      </w:r>
    </w:p>
    <w:tbl>
      <w:tblPr>
        <w:tblW w:w="9072"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253"/>
        <w:gridCol w:w="2551"/>
        <w:gridCol w:w="2268"/>
      </w:tblGrid>
      <w:tr w:rsidR="00246C6D" w:rsidRPr="00911C86" w14:paraId="199CEA1C" w14:textId="77777777" w:rsidTr="00747342">
        <w:tc>
          <w:tcPr>
            <w:tcW w:w="4253" w:type="dxa"/>
            <w:shd w:val="clear" w:color="auto" w:fill="D9D9D9"/>
          </w:tcPr>
          <w:p w14:paraId="7D3555AB" w14:textId="77777777" w:rsidR="00246C6D" w:rsidRPr="00911C86" w:rsidRDefault="00246C6D" w:rsidP="00747342">
            <w:pPr>
              <w:autoSpaceDE w:val="0"/>
              <w:autoSpaceDN w:val="0"/>
              <w:adjustRightInd w:val="0"/>
              <w:jc w:val="center"/>
              <w:rPr>
                <w:b/>
              </w:rPr>
            </w:pPr>
            <w:r w:rsidRPr="00911C86">
              <w:rPr>
                <w:b/>
              </w:rPr>
              <w:t>Idade que Ingressou no Curso</w:t>
            </w:r>
          </w:p>
        </w:tc>
        <w:tc>
          <w:tcPr>
            <w:tcW w:w="2551" w:type="dxa"/>
            <w:shd w:val="clear" w:color="auto" w:fill="D9D9D9"/>
          </w:tcPr>
          <w:p w14:paraId="0224896B"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4EB890EE"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08419B57" w14:textId="77777777" w:rsidTr="00747342">
        <w:tc>
          <w:tcPr>
            <w:tcW w:w="4253" w:type="dxa"/>
            <w:shd w:val="clear" w:color="auto" w:fill="auto"/>
            <w:vAlign w:val="center"/>
          </w:tcPr>
          <w:p w14:paraId="33CDF104" w14:textId="77777777" w:rsidR="00246C6D" w:rsidRPr="00911C86" w:rsidRDefault="00246C6D" w:rsidP="00747342">
            <w:pPr>
              <w:autoSpaceDE w:val="0"/>
              <w:autoSpaceDN w:val="0"/>
              <w:adjustRightInd w:val="0"/>
            </w:pPr>
            <w:r w:rsidRPr="00911C86">
              <w:t xml:space="preserve">Menos de 18 anos           </w:t>
            </w:r>
          </w:p>
        </w:tc>
        <w:tc>
          <w:tcPr>
            <w:tcW w:w="2551" w:type="dxa"/>
            <w:shd w:val="clear" w:color="auto" w:fill="auto"/>
          </w:tcPr>
          <w:p w14:paraId="7EA3ECCF" w14:textId="77777777" w:rsidR="00246C6D" w:rsidRPr="00911C86" w:rsidRDefault="00246C6D" w:rsidP="00747342">
            <w:pPr>
              <w:autoSpaceDE w:val="0"/>
              <w:autoSpaceDN w:val="0"/>
              <w:adjustRightInd w:val="0"/>
              <w:jc w:val="center"/>
            </w:pPr>
            <w:r w:rsidRPr="00911C86">
              <w:t>41</w:t>
            </w:r>
          </w:p>
        </w:tc>
        <w:tc>
          <w:tcPr>
            <w:tcW w:w="2268" w:type="dxa"/>
            <w:shd w:val="clear" w:color="auto" w:fill="auto"/>
          </w:tcPr>
          <w:p w14:paraId="71C0B08A" w14:textId="77777777" w:rsidR="00246C6D" w:rsidRPr="00911C86" w:rsidRDefault="00246C6D" w:rsidP="00747342">
            <w:pPr>
              <w:autoSpaceDE w:val="0"/>
              <w:autoSpaceDN w:val="0"/>
              <w:adjustRightInd w:val="0"/>
              <w:jc w:val="center"/>
            </w:pPr>
            <w:r w:rsidRPr="00911C86">
              <w:t>40,60</w:t>
            </w:r>
          </w:p>
        </w:tc>
      </w:tr>
      <w:tr w:rsidR="00246C6D" w:rsidRPr="00911C86" w14:paraId="4485D65A" w14:textId="77777777" w:rsidTr="00747342">
        <w:tc>
          <w:tcPr>
            <w:tcW w:w="4253" w:type="dxa"/>
            <w:shd w:val="clear" w:color="auto" w:fill="auto"/>
            <w:vAlign w:val="center"/>
          </w:tcPr>
          <w:p w14:paraId="57F12029" w14:textId="77777777" w:rsidR="00246C6D" w:rsidRPr="00911C86" w:rsidRDefault="00246C6D" w:rsidP="00747342">
            <w:pPr>
              <w:autoSpaceDE w:val="0"/>
              <w:autoSpaceDN w:val="0"/>
              <w:adjustRightInd w:val="0"/>
            </w:pPr>
            <w:r w:rsidRPr="00911C86">
              <w:t xml:space="preserve">18 a 21 anos       </w:t>
            </w:r>
          </w:p>
        </w:tc>
        <w:tc>
          <w:tcPr>
            <w:tcW w:w="2551" w:type="dxa"/>
            <w:shd w:val="clear" w:color="auto" w:fill="auto"/>
          </w:tcPr>
          <w:p w14:paraId="586BB0A4" w14:textId="77777777" w:rsidR="00246C6D" w:rsidRPr="00911C86" w:rsidRDefault="00246C6D" w:rsidP="00747342">
            <w:pPr>
              <w:autoSpaceDE w:val="0"/>
              <w:autoSpaceDN w:val="0"/>
              <w:adjustRightInd w:val="0"/>
              <w:jc w:val="center"/>
            </w:pPr>
            <w:r w:rsidRPr="00911C86">
              <w:t>48</w:t>
            </w:r>
          </w:p>
        </w:tc>
        <w:tc>
          <w:tcPr>
            <w:tcW w:w="2268" w:type="dxa"/>
            <w:shd w:val="clear" w:color="auto" w:fill="auto"/>
          </w:tcPr>
          <w:p w14:paraId="36646510" w14:textId="77777777" w:rsidR="00246C6D" w:rsidRPr="00911C86" w:rsidRDefault="00246C6D" w:rsidP="00747342">
            <w:pPr>
              <w:autoSpaceDE w:val="0"/>
              <w:autoSpaceDN w:val="0"/>
              <w:adjustRightInd w:val="0"/>
              <w:jc w:val="center"/>
            </w:pPr>
            <w:r w:rsidRPr="00911C86">
              <w:t>47,50</w:t>
            </w:r>
          </w:p>
        </w:tc>
      </w:tr>
      <w:tr w:rsidR="00246C6D" w:rsidRPr="00911C86" w14:paraId="6F59AD85" w14:textId="77777777" w:rsidTr="00747342">
        <w:tc>
          <w:tcPr>
            <w:tcW w:w="4253" w:type="dxa"/>
            <w:shd w:val="clear" w:color="auto" w:fill="auto"/>
            <w:vAlign w:val="center"/>
          </w:tcPr>
          <w:p w14:paraId="5D7D15BB" w14:textId="77777777" w:rsidR="00246C6D" w:rsidRPr="00911C86" w:rsidRDefault="00246C6D" w:rsidP="00747342">
            <w:pPr>
              <w:autoSpaceDE w:val="0"/>
              <w:autoSpaceDN w:val="0"/>
              <w:adjustRightInd w:val="0"/>
            </w:pPr>
            <w:r w:rsidRPr="00911C86">
              <w:t xml:space="preserve">22 a 25 anos       </w:t>
            </w:r>
          </w:p>
        </w:tc>
        <w:tc>
          <w:tcPr>
            <w:tcW w:w="2551" w:type="dxa"/>
            <w:shd w:val="clear" w:color="auto" w:fill="auto"/>
          </w:tcPr>
          <w:p w14:paraId="22B79B60" w14:textId="77777777" w:rsidR="00246C6D" w:rsidRPr="00911C86" w:rsidRDefault="00246C6D" w:rsidP="00747342">
            <w:pPr>
              <w:autoSpaceDE w:val="0"/>
              <w:autoSpaceDN w:val="0"/>
              <w:adjustRightInd w:val="0"/>
              <w:jc w:val="center"/>
            </w:pPr>
            <w:r w:rsidRPr="00911C86">
              <w:t>7</w:t>
            </w:r>
          </w:p>
        </w:tc>
        <w:tc>
          <w:tcPr>
            <w:tcW w:w="2268" w:type="dxa"/>
            <w:shd w:val="clear" w:color="auto" w:fill="auto"/>
          </w:tcPr>
          <w:p w14:paraId="78D06FB0" w14:textId="77777777" w:rsidR="00246C6D" w:rsidRPr="00911C86" w:rsidRDefault="00246C6D" w:rsidP="00747342">
            <w:pPr>
              <w:autoSpaceDE w:val="0"/>
              <w:autoSpaceDN w:val="0"/>
              <w:adjustRightInd w:val="0"/>
              <w:jc w:val="center"/>
            </w:pPr>
            <w:r w:rsidRPr="00911C86">
              <w:t>6,90</w:t>
            </w:r>
          </w:p>
        </w:tc>
      </w:tr>
      <w:tr w:rsidR="00246C6D" w:rsidRPr="00911C86" w14:paraId="734A5C4D" w14:textId="77777777" w:rsidTr="00747342">
        <w:tc>
          <w:tcPr>
            <w:tcW w:w="4253" w:type="dxa"/>
            <w:shd w:val="clear" w:color="auto" w:fill="auto"/>
            <w:vAlign w:val="center"/>
          </w:tcPr>
          <w:p w14:paraId="5E62A773" w14:textId="77777777" w:rsidR="00246C6D" w:rsidRPr="00911C86" w:rsidRDefault="00246C6D" w:rsidP="00747342">
            <w:pPr>
              <w:autoSpaceDE w:val="0"/>
              <w:autoSpaceDN w:val="0"/>
              <w:adjustRightInd w:val="0"/>
            </w:pPr>
            <w:r w:rsidRPr="00911C86">
              <w:t xml:space="preserve">26 a 29 anos      </w:t>
            </w:r>
          </w:p>
        </w:tc>
        <w:tc>
          <w:tcPr>
            <w:tcW w:w="2551" w:type="dxa"/>
            <w:shd w:val="clear" w:color="auto" w:fill="auto"/>
          </w:tcPr>
          <w:p w14:paraId="09BEC26B" w14:textId="77777777" w:rsidR="00246C6D" w:rsidRPr="00911C86" w:rsidRDefault="00246C6D" w:rsidP="00747342">
            <w:pPr>
              <w:autoSpaceDE w:val="0"/>
              <w:autoSpaceDN w:val="0"/>
              <w:adjustRightInd w:val="0"/>
              <w:jc w:val="center"/>
            </w:pPr>
            <w:r w:rsidRPr="00911C86">
              <w:t>2</w:t>
            </w:r>
          </w:p>
        </w:tc>
        <w:tc>
          <w:tcPr>
            <w:tcW w:w="2268" w:type="dxa"/>
            <w:shd w:val="clear" w:color="auto" w:fill="auto"/>
          </w:tcPr>
          <w:p w14:paraId="76353BF7" w14:textId="77777777" w:rsidR="00246C6D" w:rsidRPr="00911C86" w:rsidRDefault="00246C6D" w:rsidP="00747342">
            <w:pPr>
              <w:autoSpaceDE w:val="0"/>
              <w:autoSpaceDN w:val="0"/>
              <w:adjustRightInd w:val="0"/>
              <w:jc w:val="center"/>
            </w:pPr>
            <w:r w:rsidRPr="00911C86">
              <w:t>2,0</w:t>
            </w:r>
          </w:p>
        </w:tc>
      </w:tr>
      <w:tr w:rsidR="00246C6D" w:rsidRPr="00911C86" w14:paraId="118EF57B" w14:textId="77777777" w:rsidTr="00747342">
        <w:tc>
          <w:tcPr>
            <w:tcW w:w="4253" w:type="dxa"/>
            <w:shd w:val="clear" w:color="auto" w:fill="auto"/>
            <w:vAlign w:val="center"/>
          </w:tcPr>
          <w:p w14:paraId="06C3F3A2" w14:textId="77777777" w:rsidR="00246C6D" w:rsidRPr="00911C86" w:rsidRDefault="00246C6D" w:rsidP="00747342">
            <w:pPr>
              <w:autoSpaceDE w:val="0"/>
              <w:autoSpaceDN w:val="0"/>
              <w:adjustRightInd w:val="0"/>
            </w:pPr>
            <w:r w:rsidRPr="00911C86">
              <w:t xml:space="preserve">Mais de 29 anos            </w:t>
            </w:r>
          </w:p>
        </w:tc>
        <w:tc>
          <w:tcPr>
            <w:tcW w:w="2551" w:type="dxa"/>
            <w:shd w:val="clear" w:color="auto" w:fill="auto"/>
          </w:tcPr>
          <w:p w14:paraId="2666327E" w14:textId="77777777" w:rsidR="00246C6D" w:rsidRPr="00911C86" w:rsidRDefault="00246C6D" w:rsidP="00747342">
            <w:pPr>
              <w:autoSpaceDE w:val="0"/>
              <w:autoSpaceDN w:val="0"/>
              <w:adjustRightInd w:val="0"/>
              <w:jc w:val="center"/>
            </w:pPr>
            <w:r w:rsidRPr="00911C86">
              <w:t>3</w:t>
            </w:r>
          </w:p>
        </w:tc>
        <w:tc>
          <w:tcPr>
            <w:tcW w:w="2268" w:type="dxa"/>
            <w:shd w:val="clear" w:color="auto" w:fill="auto"/>
          </w:tcPr>
          <w:p w14:paraId="39ABDECB" w14:textId="77777777" w:rsidR="00246C6D" w:rsidRPr="00911C86" w:rsidRDefault="00246C6D" w:rsidP="00747342">
            <w:pPr>
              <w:autoSpaceDE w:val="0"/>
              <w:autoSpaceDN w:val="0"/>
              <w:adjustRightInd w:val="0"/>
              <w:jc w:val="center"/>
            </w:pPr>
            <w:r w:rsidRPr="00911C86">
              <w:t>3,0</w:t>
            </w:r>
          </w:p>
        </w:tc>
      </w:tr>
      <w:tr w:rsidR="00246C6D" w:rsidRPr="00911C86" w14:paraId="2F7B0ADE" w14:textId="77777777" w:rsidTr="00747342">
        <w:tc>
          <w:tcPr>
            <w:tcW w:w="4253" w:type="dxa"/>
            <w:shd w:val="clear" w:color="auto" w:fill="auto"/>
            <w:vAlign w:val="center"/>
          </w:tcPr>
          <w:p w14:paraId="346C1A18" w14:textId="77777777" w:rsidR="00246C6D" w:rsidRPr="00911C86" w:rsidRDefault="00246C6D" w:rsidP="00747342">
            <w:pPr>
              <w:autoSpaceDE w:val="0"/>
              <w:autoSpaceDN w:val="0"/>
              <w:adjustRightInd w:val="0"/>
              <w:rPr>
                <w:b/>
              </w:rPr>
            </w:pPr>
            <w:r w:rsidRPr="00911C86">
              <w:rPr>
                <w:b/>
              </w:rPr>
              <w:t>Total</w:t>
            </w:r>
          </w:p>
        </w:tc>
        <w:tc>
          <w:tcPr>
            <w:tcW w:w="2551" w:type="dxa"/>
            <w:shd w:val="clear" w:color="auto" w:fill="auto"/>
          </w:tcPr>
          <w:p w14:paraId="3231DD37"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3E00604C" w14:textId="77777777" w:rsidR="00246C6D" w:rsidRPr="00911C86" w:rsidRDefault="00246C6D" w:rsidP="00747342">
            <w:pPr>
              <w:autoSpaceDE w:val="0"/>
              <w:autoSpaceDN w:val="0"/>
              <w:adjustRightInd w:val="0"/>
              <w:jc w:val="center"/>
              <w:rPr>
                <w:b/>
              </w:rPr>
            </w:pPr>
            <w:r w:rsidRPr="00911C86">
              <w:rPr>
                <w:b/>
              </w:rPr>
              <w:t>100,00</w:t>
            </w:r>
          </w:p>
        </w:tc>
      </w:tr>
    </w:tbl>
    <w:p w14:paraId="1E5CB686" w14:textId="77777777" w:rsidR="00246C6D" w:rsidRDefault="00246C6D" w:rsidP="00246C6D">
      <w:pPr>
        <w:autoSpaceDE w:val="0"/>
        <w:autoSpaceDN w:val="0"/>
        <w:adjustRightInd w:val="0"/>
      </w:pPr>
      <w:r w:rsidRPr="003625DC">
        <w:t>Fonte: Dados da pesquisa.</w:t>
      </w:r>
    </w:p>
    <w:p w14:paraId="35CC8FFE" w14:textId="77777777" w:rsidR="00840A4A" w:rsidRDefault="00840A4A" w:rsidP="00246C6D">
      <w:pPr>
        <w:pStyle w:val="PargrafodaLista"/>
        <w:tabs>
          <w:tab w:val="left" w:pos="284"/>
        </w:tabs>
        <w:ind w:left="0" w:firstLine="567"/>
        <w:jc w:val="both"/>
        <w:rPr>
          <w:sz w:val="24"/>
          <w:szCs w:val="24"/>
        </w:rPr>
      </w:pPr>
    </w:p>
    <w:p w14:paraId="65D2FE48" w14:textId="77777777" w:rsidR="00246C6D" w:rsidRDefault="00246C6D" w:rsidP="00162746">
      <w:pPr>
        <w:pStyle w:val="PargrafodaLista"/>
        <w:tabs>
          <w:tab w:val="left" w:pos="284"/>
        </w:tabs>
        <w:ind w:left="0" w:firstLine="709"/>
        <w:jc w:val="both"/>
        <w:rPr>
          <w:sz w:val="24"/>
          <w:szCs w:val="24"/>
        </w:rPr>
      </w:pPr>
      <w:r>
        <w:rPr>
          <w:sz w:val="24"/>
          <w:szCs w:val="24"/>
        </w:rPr>
        <w:t>A faixa etária ao ingressar no curso dos respondentes é apresentada na Tabela 6 com grande concentração nos dois primeiros intervalos. Aproximadamente 41% dos respondentes possuíam menos de 18 anos e 48% possuíam entre 18 e 21 anos. Estes dados indicam que a grande maioria dos respondentes deram continuidade aos estudos após sair do Ensino Médio. Os respondentes indicaram, além de seu ano de ingresso, o seu semestre atual, de acordo com a Tabela 7:</w:t>
      </w:r>
    </w:p>
    <w:p w14:paraId="6A71F48F" w14:textId="77777777" w:rsidR="00246C6D" w:rsidRDefault="00246C6D" w:rsidP="00246C6D">
      <w:pPr>
        <w:pStyle w:val="PargrafodaLista"/>
        <w:tabs>
          <w:tab w:val="left" w:pos="284"/>
        </w:tabs>
        <w:ind w:left="0"/>
        <w:rPr>
          <w:sz w:val="24"/>
          <w:szCs w:val="24"/>
        </w:rPr>
      </w:pPr>
    </w:p>
    <w:p w14:paraId="30BFFB13" w14:textId="77777777" w:rsidR="00246C6D" w:rsidRPr="00081F77" w:rsidRDefault="00246C6D" w:rsidP="00246C6D">
      <w:pPr>
        <w:pStyle w:val="PargrafodaLista"/>
        <w:tabs>
          <w:tab w:val="left" w:pos="284"/>
        </w:tabs>
        <w:ind w:left="0"/>
        <w:rPr>
          <w:b/>
        </w:rPr>
      </w:pPr>
      <w:r>
        <w:rPr>
          <w:b/>
        </w:rPr>
        <w:t>Tabela 7</w:t>
      </w:r>
      <w:r w:rsidRPr="00081F77">
        <w:rPr>
          <w:b/>
        </w:rPr>
        <w:t xml:space="preserve"> - Caracterização do semestre atual.</w:t>
      </w:r>
    </w:p>
    <w:tbl>
      <w:tblPr>
        <w:tblW w:w="9072"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253"/>
        <w:gridCol w:w="2551"/>
        <w:gridCol w:w="2268"/>
      </w:tblGrid>
      <w:tr w:rsidR="00246C6D" w:rsidRPr="00911C86" w14:paraId="3B4DB3E3" w14:textId="77777777" w:rsidTr="00747342">
        <w:tc>
          <w:tcPr>
            <w:tcW w:w="4253" w:type="dxa"/>
            <w:shd w:val="clear" w:color="auto" w:fill="D9D9D9"/>
          </w:tcPr>
          <w:p w14:paraId="500FDBAC" w14:textId="77777777" w:rsidR="00246C6D" w:rsidRPr="00911C86" w:rsidRDefault="00246C6D" w:rsidP="00747342">
            <w:pPr>
              <w:autoSpaceDE w:val="0"/>
              <w:autoSpaceDN w:val="0"/>
              <w:adjustRightInd w:val="0"/>
              <w:jc w:val="center"/>
              <w:rPr>
                <w:b/>
              </w:rPr>
            </w:pPr>
            <w:r w:rsidRPr="00911C86">
              <w:rPr>
                <w:b/>
              </w:rPr>
              <w:t>Semestre atual.</w:t>
            </w:r>
          </w:p>
        </w:tc>
        <w:tc>
          <w:tcPr>
            <w:tcW w:w="2551" w:type="dxa"/>
            <w:shd w:val="clear" w:color="auto" w:fill="D9D9D9"/>
          </w:tcPr>
          <w:p w14:paraId="0B6B322D"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2A708FE9"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5EF19D38" w14:textId="77777777" w:rsidTr="00747342">
        <w:tc>
          <w:tcPr>
            <w:tcW w:w="4253" w:type="dxa"/>
            <w:shd w:val="clear" w:color="auto" w:fill="auto"/>
            <w:vAlign w:val="center"/>
          </w:tcPr>
          <w:p w14:paraId="2EFAE7ED" w14:textId="77777777" w:rsidR="00246C6D" w:rsidRPr="00911C86" w:rsidRDefault="00246C6D" w:rsidP="00747342">
            <w:pPr>
              <w:autoSpaceDE w:val="0"/>
              <w:autoSpaceDN w:val="0"/>
              <w:adjustRightInd w:val="0"/>
            </w:pPr>
            <w:r w:rsidRPr="00911C86">
              <w:t xml:space="preserve">1º    </w:t>
            </w:r>
          </w:p>
        </w:tc>
        <w:tc>
          <w:tcPr>
            <w:tcW w:w="2551" w:type="dxa"/>
            <w:shd w:val="clear" w:color="auto" w:fill="auto"/>
          </w:tcPr>
          <w:p w14:paraId="6AA04E7B" w14:textId="77777777" w:rsidR="00246C6D" w:rsidRPr="00911C86" w:rsidRDefault="00246C6D" w:rsidP="00747342">
            <w:pPr>
              <w:autoSpaceDE w:val="0"/>
              <w:autoSpaceDN w:val="0"/>
              <w:adjustRightInd w:val="0"/>
              <w:jc w:val="center"/>
            </w:pPr>
            <w:r w:rsidRPr="00911C86">
              <w:t>9</w:t>
            </w:r>
          </w:p>
        </w:tc>
        <w:tc>
          <w:tcPr>
            <w:tcW w:w="2268" w:type="dxa"/>
            <w:shd w:val="clear" w:color="auto" w:fill="auto"/>
          </w:tcPr>
          <w:p w14:paraId="22EFA74B" w14:textId="77777777" w:rsidR="00246C6D" w:rsidRPr="00911C86" w:rsidRDefault="00246C6D" w:rsidP="00747342">
            <w:pPr>
              <w:autoSpaceDE w:val="0"/>
              <w:autoSpaceDN w:val="0"/>
              <w:adjustRightInd w:val="0"/>
              <w:jc w:val="center"/>
            </w:pPr>
            <w:r w:rsidRPr="00911C86">
              <w:t>8,90</w:t>
            </w:r>
          </w:p>
        </w:tc>
      </w:tr>
      <w:tr w:rsidR="00246C6D" w:rsidRPr="00911C86" w14:paraId="096F92FD" w14:textId="77777777" w:rsidTr="00747342">
        <w:tc>
          <w:tcPr>
            <w:tcW w:w="4253" w:type="dxa"/>
            <w:shd w:val="clear" w:color="auto" w:fill="auto"/>
            <w:vAlign w:val="center"/>
          </w:tcPr>
          <w:p w14:paraId="7629574A" w14:textId="77777777" w:rsidR="00246C6D" w:rsidRPr="00911C86" w:rsidRDefault="00246C6D" w:rsidP="00747342">
            <w:pPr>
              <w:autoSpaceDE w:val="0"/>
              <w:autoSpaceDN w:val="0"/>
              <w:adjustRightInd w:val="0"/>
            </w:pPr>
            <w:r w:rsidRPr="00911C86">
              <w:t xml:space="preserve">2º   </w:t>
            </w:r>
          </w:p>
        </w:tc>
        <w:tc>
          <w:tcPr>
            <w:tcW w:w="2551" w:type="dxa"/>
            <w:shd w:val="clear" w:color="auto" w:fill="auto"/>
          </w:tcPr>
          <w:p w14:paraId="2B06ABF1" w14:textId="77777777" w:rsidR="00246C6D" w:rsidRPr="00911C86" w:rsidRDefault="00246C6D" w:rsidP="00747342">
            <w:pPr>
              <w:autoSpaceDE w:val="0"/>
              <w:autoSpaceDN w:val="0"/>
              <w:adjustRightInd w:val="0"/>
              <w:jc w:val="center"/>
            </w:pPr>
            <w:r w:rsidRPr="00911C86">
              <w:t>26</w:t>
            </w:r>
          </w:p>
        </w:tc>
        <w:tc>
          <w:tcPr>
            <w:tcW w:w="2268" w:type="dxa"/>
            <w:shd w:val="clear" w:color="auto" w:fill="auto"/>
          </w:tcPr>
          <w:p w14:paraId="39FF1258" w14:textId="77777777" w:rsidR="00246C6D" w:rsidRPr="00911C86" w:rsidRDefault="00246C6D" w:rsidP="00747342">
            <w:pPr>
              <w:autoSpaceDE w:val="0"/>
              <w:autoSpaceDN w:val="0"/>
              <w:adjustRightInd w:val="0"/>
              <w:jc w:val="center"/>
            </w:pPr>
            <w:r w:rsidRPr="00911C86">
              <w:t>25,70</w:t>
            </w:r>
          </w:p>
        </w:tc>
      </w:tr>
      <w:tr w:rsidR="00246C6D" w:rsidRPr="00911C86" w14:paraId="395B02A3" w14:textId="77777777" w:rsidTr="00747342">
        <w:tc>
          <w:tcPr>
            <w:tcW w:w="4253" w:type="dxa"/>
            <w:shd w:val="clear" w:color="auto" w:fill="auto"/>
            <w:vAlign w:val="center"/>
          </w:tcPr>
          <w:p w14:paraId="18669F4C" w14:textId="77777777" w:rsidR="00246C6D" w:rsidRPr="00911C86" w:rsidRDefault="00246C6D" w:rsidP="00747342">
            <w:pPr>
              <w:autoSpaceDE w:val="0"/>
              <w:autoSpaceDN w:val="0"/>
              <w:adjustRightInd w:val="0"/>
            </w:pPr>
            <w:r w:rsidRPr="00911C86">
              <w:t>3º</w:t>
            </w:r>
          </w:p>
        </w:tc>
        <w:tc>
          <w:tcPr>
            <w:tcW w:w="2551" w:type="dxa"/>
            <w:shd w:val="clear" w:color="auto" w:fill="auto"/>
          </w:tcPr>
          <w:p w14:paraId="33F9E09B" w14:textId="77777777" w:rsidR="00246C6D" w:rsidRPr="00911C86" w:rsidRDefault="00246C6D" w:rsidP="00747342">
            <w:pPr>
              <w:autoSpaceDE w:val="0"/>
              <w:autoSpaceDN w:val="0"/>
              <w:adjustRightInd w:val="0"/>
              <w:jc w:val="center"/>
            </w:pPr>
            <w:r w:rsidRPr="00911C86">
              <w:t>9</w:t>
            </w:r>
          </w:p>
        </w:tc>
        <w:tc>
          <w:tcPr>
            <w:tcW w:w="2268" w:type="dxa"/>
            <w:shd w:val="clear" w:color="auto" w:fill="auto"/>
          </w:tcPr>
          <w:p w14:paraId="142A646A" w14:textId="77777777" w:rsidR="00246C6D" w:rsidRPr="00911C86" w:rsidRDefault="00246C6D" w:rsidP="00747342">
            <w:pPr>
              <w:autoSpaceDE w:val="0"/>
              <w:autoSpaceDN w:val="0"/>
              <w:adjustRightInd w:val="0"/>
              <w:jc w:val="center"/>
            </w:pPr>
            <w:r w:rsidRPr="00911C86">
              <w:t>8,90</w:t>
            </w:r>
          </w:p>
        </w:tc>
      </w:tr>
      <w:tr w:rsidR="00246C6D" w:rsidRPr="00911C86" w14:paraId="69EC4192" w14:textId="77777777" w:rsidTr="00747342">
        <w:tc>
          <w:tcPr>
            <w:tcW w:w="4253" w:type="dxa"/>
            <w:shd w:val="clear" w:color="auto" w:fill="auto"/>
            <w:vAlign w:val="center"/>
          </w:tcPr>
          <w:p w14:paraId="7380EFAB" w14:textId="77777777" w:rsidR="00246C6D" w:rsidRPr="00911C86" w:rsidRDefault="00246C6D" w:rsidP="00747342">
            <w:pPr>
              <w:autoSpaceDE w:val="0"/>
              <w:autoSpaceDN w:val="0"/>
              <w:adjustRightInd w:val="0"/>
            </w:pPr>
            <w:r w:rsidRPr="00911C86">
              <w:t xml:space="preserve">4º </w:t>
            </w:r>
          </w:p>
        </w:tc>
        <w:tc>
          <w:tcPr>
            <w:tcW w:w="2551" w:type="dxa"/>
            <w:shd w:val="clear" w:color="auto" w:fill="auto"/>
          </w:tcPr>
          <w:p w14:paraId="347765C3" w14:textId="77777777" w:rsidR="00246C6D" w:rsidRPr="00911C86" w:rsidRDefault="00246C6D" w:rsidP="00747342">
            <w:pPr>
              <w:autoSpaceDE w:val="0"/>
              <w:autoSpaceDN w:val="0"/>
              <w:adjustRightInd w:val="0"/>
              <w:jc w:val="center"/>
            </w:pPr>
            <w:r w:rsidRPr="00911C86">
              <w:t>26</w:t>
            </w:r>
          </w:p>
        </w:tc>
        <w:tc>
          <w:tcPr>
            <w:tcW w:w="2268" w:type="dxa"/>
            <w:shd w:val="clear" w:color="auto" w:fill="auto"/>
          </w:tcPr>
          <w:p w14:paraId="6387C061" w14:textId="77777777" w:rsidR="00246C6D" w:rsidRPr="00911C86" w:rsidRDefault="00246C6D" w:rsidP="00747342">
            <w:pPr>
              <w:autoSpaceDE w:val="0"/>
              <w:autoSpaceDN w:val="0"/>
              <w:adjustRightInd w:val="0"/>
              <w:jc w:val="center"/>
            </w:pPr>
            <w:r w:rsidRPr="00911C86">
              <w:t>25,70</w:t>
            </w:r>
          </w:p>
        </w:tc>
      </w:tr>
      <w:tr w:rsidR="00246C6D" w:rsidRPr="00911C86" w14:paraId="72706534" w14:textId="77777777" w:rsidTr="00747342">
        <w:tc>
          <w:tcPr>
            <w:tcW w:w="4253" w:type="dxa"/>
            <w:shd w:val="clear" w:color="auto" w:fill="auto"/>
            <w:vAlign w:val="center"/>
          </w:tcPr>
          <w:p w14:paraId="279C734E" w14:textId="77777777" w:rsidR="00246C6D" w:rsidRPr="00911C86" w:rsidRDefault="00246C6D" w:rsidP="00747342">
            <w:pPr>
              <w:autoSpaceDE w:val="0"/>
              <w:autoSpaceDN w:val="0"/>
              <w:adjustRightInd w:val="0"/>
            </w:pPr>
            <w:r w:rsidRPr="00911C86">
              <w:t>5º</w:t>
            </w:r>
          </w:p>
        </w:tc>
        <w:tc>
          <w:tcPr>
            <w:tcW w:w="2551" w:type="dxa"/>
            <w:shd w:val="clear" w:color="auto" w:fill="auto"/>
          </w:tcPr>
          <w:p w14:paraId="38003514" w14:textId="77777777" w:rsidR="00246C6D" w:rsidRPr="00911C86" w:rsidRDefault="00246C6D" w:rsidP="00747342">
            <w:pPr>
              <w:autoSpaceDE w:val="0"/>
              <w:autoSpaceDN w:val="0"/>
              <w:adjustRightInd w:val="0"/>
              <w:jc w:val="center"/>
            </w:pPr>
            <w:r w:rsidRPr="00911C86">
              <w:t>5</w:t>
            </w:r>
          </w:p>
        </w:tc>
        <w:tc>
          <w:tcPr>
            <w:tcW w:w="2268" w:type="dxa"/>
            <w:shd w:val="clear" w:color="auto" w:fill="auto"/>
          </w:tcPr>
          <w:p w14:paraId="7B010D83" w14:textId="77777777" w:rsidR="00246C6D" w:rsidRPr="00911C86" w:rsidRDefault="00246C6D" w:rsidP="00747342">
            <w:pPr>
              <w:autoSpaceDE w:val="0"/>
              <w:autoSpaceDN w:val="0"/>
              <w:adjustRightInd w:val="0"/>
              <w:jc w:val="center"/>
            </w:pPr>
            <w:r w:rsidRPr="00911C86">
              <w:t>5,0</w:t>
            </w:r>
          </w:p>
        </w:tc>
      </w:tr>
      <w:tr w:rsidR="00246C6D" w:rsidRPr="00911C86" w14:paraId="17AA1605" w14:textId="77777777" w:rsidTr="00747342">
        <w:tc>
          <w:tcPr>
            <w:tcW w:w="4253" w:type="dxa"/>
            <w:shd w:val="clear" w:color="auto" w:fill="auto"/>
            <w:vAlign w:val="center"/>
          </w:tcPr>
          <w:p w14:paraId="5CE77D97" w14:textId="77777777" w:rsidR="00246C6D" w:rsidRPr="00911C86" w:rsidRDefault="00246C6D" w:rsidP="00747342">
            <w:pPr>
              <w:autoSpaceDE w:val="0"/>
              <w:autoSpaceDN w:val="0"/>
              <w:adjustRightInd w:val="0"/>
            </w:pPr>
            <w:r w:rsidRPr="00911C86">
              <w:t xml:space="preserve">6º </w:t>
            </w:r>
          </w:p>
        </w:tc>
        <w:tc>
          <w:tcPr>
            <w:tcW w:w="2551" w:type="dxa"/>
            <w:shd w:val="clear" w:color="auto" w:fill="auto"/>
          </w:tcPr>
          <w:p w14:paraId="37C9F3E1" w14:textId="77777777" w:rsidR="00246C6D" w:rsidRPr="00911C86" w:rsidRDefault="00246C6D" w:rsidP="00747342">
            <w:pPr>
              <w:autoSpaceDE w:val="0"/>
              <w:autoSpaceDN w:val="0"/>
              <w:adjustRightInd w:val="0"/>
              <w:jc w:val="center"/>
            </w:pPr>
            <w:r w:rsidRPr="00911C86">
              <w:t>26</w:t>
            </w:r>
          </w:p>
        </w:tc>
        <w:tc>
          <w:tcPr>
            <w:tcW w:w="2268" w:type="dxa"/>
            <w:shd w:val="clear" w:color="auto" w:fill="auto"/>
          </w:tcPr>
          <w:p w14:paraId="599DD966" w14:textId="77777777" w:rsidR="00246C6D" w:rsidRPr="00911C86" w:rsidRDefault="00246C6D" w:rsidP="00747342">
            <w:pPr>
              <w:autoSpaceDE w:val="0"/>
              <w:autoSpaceDN w:val="0"/>
              <w:adjustRightInd w:val="0"/>
              <w:jc w:val="center"/>
            </w:pPr>
            <w:r w:rsidRPr="00911C86">
              <w:t>25,70</w:t>
            </w:r>
          </w:p>
        </w:tc>
      </w:tr>
      <w:tr w:rsidR="00246C6D" w:rsidRPr="00911C86" w14:paraId="2489E5F0" w14:textId="77777777" w:rsidTr="00747342">
        <w:tc>
          <w:tcPr>
            <w:tcW w:w="4253" w:type="dxa"/>
            <w:shd w:val="clear" w:color="auto" w:fill="auto"/>
            <w:vAlign w:val="center"/>
          </w:tcPr>
          <w:p w14:paraId="731B69DF" w14:textId="77777777" w:rsidR="00246C6D" w:rsidRPr="00911C86" w:rsidRDefault="00246C6D" w:rsidP="00747342">
            <w:pPr>
              <w:autoSpaceDE w:val="0"/>
              <w:autoSpaceDN w:val="0"/>
              <w:adjustRightInd w:val="0"/>
              <w:rPr>
                <w:b/>
              </w:rPr>
            </w:pPr>
            <w:r w:rsidRPr="00911C86">
              <w:rPr>
                <w:b/>
              </w:rPr>
              <w:t>Total</w:t>
            </w:r>
          </w:p>
        </w:tc>
        <w:tc>
          <w:tcPr>
            <w:tcW w:w="2551" w:type="dxa"/>
            <w:shd w:val="clear" w:color="auto" w:fill="auto"/>
          </w:tcPr>
          <w:p w14:paraId="7DB988B8"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51BEECA9" w14:textId="77777777" w:rsidR="00246C6D" w:rsidRPr="00911C86" w:rsidRDefault="00246C6D" w:rsidP="00747342">
            <w:pPr>
              <w:autoSpaceDE w:val="0"/>
              <w:autoSpaceDN w:val="0"/>
              <w:adjustRightInd w:val="0"/>
              <w:jc w:val="center"/>
              <w:rPr>
                <w:b/>
              </w:rPr>
            </w:pPr>
            <w:r w:rsidRPr="00911C86">
              <w:rPr>
                <w:b/>
              </w:rPr>
              <w:t>100,00</w:t>
            </w:r>
          </w:p>
        </w:tc>
      </w:tr>
    </w:tbl>
    <w:p w14:paraId="5946FA28" w14:textId="77777777" w:rsidR="00246C6D" w:rsidRDefault="00246C6D" w:rsidP="00246C6D">
      <w:pPr>
        <w:autoSpaceDE w:val="0"/>
        <w:autoSpaceDN w:val="0"/>
        <w:adjustRightInd w:val="0"/>
      </w:pPr>
      <w:r w:rsidRPr="003625DC">
        <w:t>Fonte: Dados da pesquisa.</w:t>
      </w:r>
    </w:p>
    <w:p w14:paraId="03BCE3EF" w14:textId="77777777" w:rsidR="00840A4A" w:rsidRDefault="00840A4A" w:rsidP="00246C6D">
      <w:pPr>
        <w:pStyle w:val="PargrafodaLista"/>
        <w:tabs>
          <w:tab w:val="left" w:pos="284"/>
        </w:tabs>
        <w:ind w:left="0" w:firstLine="567"/>
        <w:jc w:val="both"/>
        <w:rPr>
          <w:sz w:val="24"/>
          <w:szCs w:val="24"/>
        </w:rPr>
      </w:pPr>
    </w:p>
    <w:p w14:paraId="12F7C5CC" w14:textId="77777777" w:rsidR="00246C6D" w:rsidRDefault="00246C6D" w:rsidP="00162746">
      <w:pPr>
        <w:pStyle w:val="PargrafodaLista"/>
        <w:tabs>
          <w:tab w:val="left" w:pos="284"/>
        </w:tabs>
        <w:ind w:left="0" w:firstLine="709"/>
        <w:jc w:val="both"/>
        <w:rPr>
          <w:sz w:val="24"/>
          <w:szCs w:val="24"/>
        </w:rPr>
      </w:pPr>
      <w:r>
        <w:rPr>
          <w:sz w:val="24"/>
          <w:szCs w:val="24"/>
        </w:rPr>
        <w:t xml:space="preserve">Os valores da Tabela 7 demonstram que os acadêmicos estão mais distribuídos em relação ao seu semestre atual do que o ano de ingresso. Os semestres pares possuem maior número de estudantes, sendo 26% em cada. Estes resultados eram esperados pois o vestibular de verão possui maiores inscritos no vestibular pois se alinha com a formatura dos estudantes no Ensino Médio. </w:t>
      </w:r>
    </w:p>
    <w:p w14:paraId="466BE0DA" w14:textId="77777777" w:rsidR="00246C6D" w:rsidRDefault="00246C6D" w:rsidP="00246C6D">
      <w:pPr>
        <w:pStyle w:val="PargrafodaLista"/>
        <w:tabs>
          <w:tab w:val="left" w:pos="284"/>
        </w:tabs>
        <w:ind w:left="0"/>
        <w:rPr>
          <w:b/>
        </w:rPr>
      </w:pPr>
    </w:p>
    <w:p w14:paraId="339DD873" w14:textId="77777777" w:rsidR="00246C6D" w:rsidRPr="00081F77" w:rsidRDefault="00246C6D" w:rsidP="00246C6D">
      <w:pPr>
        <w:pStyle w:val="PargrafodaLista"/>
        <w:tabs>
          <w:tab w:val="left" w:pos="284"/>
        </w:tabs>
        <w:ind w:left="0"/>
        <w:rPr>
          <w:b/>
        </w:rPr>
      </w:pPr>
      <w:r>
        <w:rPr>
          <w:b/>
        </w:rPr>
        <w:t>Tabela 8</w:t>
      </w:r>
      <w:r w:rsidRPr="00081F77">
        <w:rPr>
          <w:b/>
        </w:rPr>
        <w:t xml:space="preserve"> – Caracterização reprovação nas disciplinas.</w:t>
      </w:r>
    </w:p>
    <w:tbl>
      <w:tblPr>
        <w:tblW w:w="9072"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78"/>
        <w:gridCol w:w="2126"/>
        <w:gridCol w:w="2268"/>
      </w:tblGrid>
      <w:tr w:rsidR="00246C6D" w:rsidRPr="00911C86" w14:paraId="6F75940D" w14:textId="77777777" w:rsidTr="00747342">
        <w:tc>
          <w:tcPr>
            <w:tcW w:w="4678" w:type="dxa"/>
            <w:shd w:val="clear" w:color="auto" w:fill="D9D9D9"/>
          </w:tcPr>
          <w:p w14:paraId="498571AB" w14:textId="77777777" w:rsidR="00246C6D" w:rsidRPr="00911C86" w:rsidRDefault="00246C6D" w:rsidP="00747342">
            <w:pPr>
              <w:autoSpaceDE w:val="0"/>
              <w:autoSpaceDN w:val="0"/>
              <w:adjustRightInd w:val="0"/>
              <w:jc w:val="center"/>
              <w:rPr>
                <w:b/>
              </w:rPr>
            </w:pPr>
            <w:r w:rsidRPr="00911C86">
              <w:rPr>
                <w:b/>
              </w:rPr>
              <w:t>Reprovação nas disciplinas</w:t>
            </w:r>
          </w:p>
        </w:tc>
        <w:tc>
          <w:tcPr>
            <w:tcW w:w="2126" w:type="dxa"/>
            <w:shd w:val="clear" w:color="auto" w:fill="D9D9D9"/>
          </w:tcPr>
          <w:p w14:paraId="1F668850" w14:textId="77777777" w:rsidR="00246C6D" w:rsidRPr="00911C86" w:rsidRDefault="00246C6D" w:rsidP="00747342">
            <w:pPr>
              <w:autoSpaceDE w:val="0"/>
              <w:autoSpaceDN w:val="0"/>
              <w:adjustRightInd w:val="0"/>
              <w:jc w:val="center"/>
              <w:rPr>
                <w:b/>
              </w:rPr>
            </w:pPr>
            <w:r w:rsidRPr="00911C86">
              <w:rPr>
                <w:b/>
              </w:rPr>
              <w:t>Frequência</w:t>
            </w:r>
          </w:p>
        </w:tc>
        <w:tc>
          <w:tcPr>
            <w:tcW w:w="2268" w:type="dxa"/>
            <w:shd w:val="clear" w:color="auto" w:fill="D9D9D9"/>
          </w:tcPr>
          <w:p w14:paraId="3B881AB6" w14:textId="77777777" w:rsidR="00246C6D" w:rsidRPr="00911C86" w:rsidRDefault="00246C6D" w:rsidP="00747342">
            <w:pPr>
              <w:autoSpaceDE w:val="0"/>
              <w:autoSpaceDN w:val="0"/>
              <w:adjustRightInd w:val="0"/>
              <w:jc w:val="center"/>
              <w:rPr>
                <w:b/>
              </w:rPr>
            </w:pPr>
            <w:r w:rsidRPr="00911C86">
              <w:rPr>
                <w:b/>
              </w:rPr>
              <w:t>%</w:t>
            </w:r>
          </w:p>
        </w:tc>
      </w:tr>
      <w:tr w:rsidR="00246C6D" w:rsidRPr="00911C86" w14:paraId="344E6CD5" w14:textId="77777777" w:rsidTr="00747342">
        <w:tc>
          <w:tcPr>
            <w:tcW w:w="4678" w:type="dxa"/>
            <w:shd w:val="clear" w:color="auto" w:fill="auto"/>
            <w:vAlign w:val="center"/>
          </w:tcPr>
          <w:p w14:paraId="0CBDB20F" w14:textId="77777777" w:rsidR="00246C6D" w:rsidRPr="00911C86" w:rsidRDefault="00246C6D" w:rsidP="00747342">
            <w:pPr>
              <w:autoSpaceDE w:val="0"/>
              <w:autoSpaceDN w:val="0"/>
              <w:adjustRightInd w:val="0"/>
            </w:pPr>
            <w:r w:rsidRPr="00911C86">
              <w:t xml:space="preserve">Nenhuma vez       </w:t>
            </w:r>
          </w:p>
        </w:tc>
        <w:tc>
          <w:tcPr>
            <w:tcW w:w="2126" w:type="dxa"/>
            <w:shd w:val="clear" w:color="auto" w:fill="auto"/>
          </w:tcPr>
          <w:p w14:paraId="64649C53" w14:textId="77777777" w:rsidR="00246C6D" w:rsidRPr="00911C86" w:rsidRDefault="00246C6D" w:rsidP="00747342">
            <w:pPr>
              <w:autoSpaceDE w:val="0"/>
              <w:autoSpaceDN w:val="0"/>
              <w:adjustRightInd w:val="0"/>
              <w:jc w:val="center"/>
            </w:pPr>
            <w:r w:rsidRPr="00911C86">
              <w:t>67</w:t>
            </w:r>
          </w:p>
        </w:tc>
        <w:tc>
          <w:tcPr>
            <w:tcW w:w="2268" w:type="dxa"/>
            <w:shd w:val="clear" w:color="auto" w:fill="auto"/>
          </w:tcPr>
          <w:p w14:paraId="02CE02CF" w14:textId="77777777" w:rsidR="00246C6D" w:rsidRPr="00911C86" w:rsidRDefault="00246C6D" w:rsidP="00747342">
            <w:pPr>
              <w:autoSpaceDE w:val="0"/>
              <w:autoSpaceDN w:val="0"/>
              <w:adjustRightInd w:val="0"/>
              <w:jc w:val="center"/>
            </w:pPr>
            <w:r w:rsidRPr="00911C86">
              <w:t>66,30</w:t>
            </w:r>
          </w:p>
        </w:tc>
      </w:tr>
      <w:tr w:rsidR="00246C6D" w:rsidRPr="00911C86" w14:paraId="0212E698" w14:textId="77777777" w:rsidTr="00747342">
        <w:tc>
          <w:tcPr>
            <w:tcW w:w="4678" w:type="dxa"/>
            <w:shd w:val="clear" w:color="auto" w:fill="auto"/>
            <w:vAlign w:val="center"/>
          </w:tcPr>
          <w:p w14:paraId="3FB1F29C" w14:textId="77777777" w:rsidR="00246C6D" w:rsidRPr="00911C86" w:rsidRDefault="00246C6D" w:rsidP="00747342">
            <w:pPr>
              <w:autoSpaceDE w:val="0"/>
              <w:autoSpaceDN w:val="0"/>
              <w:adjustRightInd w:val="0"/>
            </w:pPr>
            <w:r w:rsidRPr="00911C86">
              <w:t xml:space="preserve">Uma vez                </w:t>
            </w:r>
          </w:p>
        </w:tc>
        <w:tc>
          <w:tcPr>
            <w:tcW w:w="2126" w:type="dxa"/>
            <w:shd w:val="clear" w:color="auto" w:fill="auto"/>
          </w:tcPr>
          <w:p w14:paraId="28B5233D" w14:textId="77777777" w:rsidR="00246C6D" w:rsidRPr="00911C86" w:rsidRDefault="00246C6D" w:rsidP="00747342">
            <w:pPr>
              <w:autoSpaceDE w:val="0"/>
              <w:autoSpaceDN w:val="0"/>
              <w:adjustRightInd w:val="0"/>
              <w:jc w:val="center"/>
            </w:pPr>
            <w:r w:rsidRPr="00911C86">
              <w:t>24</w:t>
            </w:r>
          </w:p>
        </w:tc>
        <w:tc>
          <w:tcPr>
            <w:tcW w:w="2268" w:type="dxa"/>
            <w:shd w:val="clear" w:color="auto" w:fill="auto"/>
          </w:tcPr>
          <w:p w14:paraId="4815A976" w14:textId="77777777" w:rsidR="00246C6D" w:rsidRPr="00911C86" w:rsidRDefault="00246C6D" w:rsidP="00747342">
            <w:pPr>
              <w:autoSpaceDE w:val="0"/>
              <w:autoSpaceDN w:val="0"/>
              <w:adjustRightInd w:val="0"/>
              <w:jc w:val="center"/>
            </w:pPr>
            <w:r w:rsidRPr="00911C86">
              <w:t>23,80</w:t>
            </w:r>
          </w:p>
        </w:tc>
      </w:tr>
      <w:tr w:rsidR="00246C6D" w:rsidRPr="00911C86" w14:paraId="064EBEB7" w14:textId="77777777" w:rsidTr="00747342">
        <w:tc>
          <w:tcPr>
            <w:tcW w:w="4678" w:type="dxa"/>
            <w:shd w:val="clear" w:color="auto" w:fill="auto"/>
            <w:vAlign w:val="center"/>
          </w:tcPr>
          <w:p w14:paraId="2A24F6B7" w14:textId="77777777" w:rsidR="00246C6D" w:rsidRPr="00911C86" w:rsidRDefault="00246C6D" w:rsidP="00747342">
            <w:pPr>
              <w:autoSpaceDE w:val="0"/>
              <w:autoSpaceDN w:val="0"/>
              <w:adjustRightInd w:val="0"/>
            </w:pPr>
            <w:r w:rsidRPr="00911C86">
              <w:t xml:space="preserve">Duas vezes        </w:t>
            </w:r>
          </w:p>
        </w:tc>
        <w:tc>
          <w:tcPr>
            <w:tcW w:w="2126" w:type="dxa"/>
            <w:shd w:val="clear" w:color="auto" w:fill="auto"/>
          </w:tcPr>
          <w:p w14:paraId="67198560" w14:textId="77777777" w:rsidR="00246C6D" w:rsidRPr="00911C86" w:rsidRDefault="00246C6D" w:rsidP="00747342">
            <w:pPr>
              <w:autoSpaceDE w:val="0"/>
              <w:autoSpaceDN w:val="0"/>
              <w:adjustRightInd w:val="0"/>
              <w:jc w:val="center"/>
            </w:pPr>
            <w:r w:rsidRPr="00911C86">
              <w:t>8</w:t>
            </w:r>
          </w:p>
        </w:tc>
        <w:tc>
          <w:tcPr>
            <w:tcW w:w="2268" w:type="dxa"/>
            <w:shd w:val="clear" w:color="auto" w:fill="auto"/>
          </w:tcPr>
          <w:p w14:paraId="591E9BE0" w14:textId="77777777" w:rsidR="00246C6D" w:rsidRPr="00911C86" w:rsidRDefault="00246C6D" w:rsidP="00747342">
            <w:pPr>
              <w:autoSpaceDE w:val="0"/>
              <w:autoSpaceDN w:val="0"/>
              <w:adjustRightInd w:val="0"/>
              <w:jc w:val="center"/>
            </w:pPr>
            <w:r w:rsidRPr="00911C86">
              <w:t>7,90</w:t>
            </w:r>
          </w:p>
        </w:tc>
      </w:tr>
      <w:tr w:rsidR="00246C6D" w:rsidRPr="00911C86" w14:paraId="0B98F0BE" w14:textId="77777777" w:rsidTr="00747342">
        <w:tc>
          <w:tcPr>
            <w:tcW w:w="4678" w:type="dxa"/>
            <w:shd w:val="clear" w:color="auto" w:fill="auto"/>
            <w:vAlign w:val="center"/>
          </w:tcPr>
          <w:p w14:paraId="15F719E5" w14:textId="77777777" w:rsidR="00246C6D" w:rsidRPr="00911C86" w:rsidRDefault="00246C6D" w:rsidP="00747342">
            <w:pPr>
              <w:autoSpaceDE w:val="0"/>
              <w:autoSpaceDN w:val="0"/>
              <w:adjustRightInd w:val="0"/>
            </w:pPr>
            <w:r w:rsidRPr="00911C86">
              <w:t xml:space="preserve">Três vezes ou mais  </w:t>
            </w:r>
          </w:p>
        </w:tc>
        <w:tc>
          <w:tcPr>
            <w:tcW w:w="2126" w:type="dxa"/>
            <w:shd w:val="clear" w:color="auto" w:fill="auto"/>
          </w:tcPr>
          <w:p w14:paraId="43A92E7F" w14:textId="77777777" w:rsidR="00246C6D" w:rsidRPr="00911C86" w:rsidRDefault="00246C6D" w:rsidP="00747342">
            <w:pPr>
              <w:autoSpaceDE w:val="0"/>
              <w:autoSpaceDN w:val="0"/>
              <w:adjustRightInd w:val="0"/>
              <w:jc w:val="center"/>
            </w:pPr>
            <w:r w:rsidRPr="00911C86">
              <w:t>2</w:t>
            </w:r>
          </w:p>
        </w:tc>
        <w:tc>
          <w:tcPr>
            <w:tcW w:w="2268" w:type="dxa"/>
            <w:shd w:val="clear" w:color="auto" w:fill="auto"/>
          </w:tcPr>
          <w:p w14:paraId="4C69A2D7" w14:textId="77777777" w:rsidR="00246C6D" w:rsidRPr="00911C86" w:rsidRDefault="00246C6D" w:rsidP="00747342">
            <w:pPr>
              <w:autoSpaceDE w:val="0"/>
              <w:autoSpaceDN w:val="0"/>
              <w:adjustRightInd w:val="0"/>
              <w:jc w:val="center"/>
            </w:pPr>
            <w:r w:rsidRPr="00911C86">
              <w:t>2,0</w:t>
            </w:r>
          </w:p>
        </w:tc>
      </w:tr>
      <w:tr w:rsidR="00246C6D" w:rsidRPr="00911C86" w14:paraId="6E9124E2" w14:textId="77777777" w:rsidTr="00747342">
        <w:tc>
          <w:tcPr>
            <w:tcW w:w="4678" w:type="dxa"/>
            <w:shd w:val="clear" w:color="auto" w:fill="auto"/>
            <w:vAlign w:val="center"/>
          </w:tcPr>
          <w:p w14:paraId="05586C50" w14:textId="77777777" w:rsidR="00246C6D" w:rsidRPr="00911C86" w:rsidRDefault="00246C6D" w:rsidP="00747342">
            <w:pPr>
              <w:autoSpaceDE w:val="0"/>
              <w:autoSpaceDN w:val="0"/>
              <w:adjustRightInd w:val="0"/>
              <w:rPr>
                <w:b/>
              </w:rPr>
            </w:pPr>
            <w:r w:rsidRPr="00911C86">
              <w:rPr>
                <w:b/>
              </w:rPr>
              <w:t>Total</w:t>
            </w:r>
          </w:p>
        </w:tc>
        <w:tc>
          <w:tcPr>
            <w:tcW w:w="2126" w:type="dxa"/>
            <w:shd w:val="clear" w:color="auto" w:fill="auto"/>
          </w:tcPr>
          <w:p w14:paraId="2C3FF0E3" w14:textId="77777777" w:rsidR="00246C6D" w:rsidRPr="00911C86" w:rsidRDefault="00246C6D" w:rsidP="00747342">
            <w:pPr>
              <w:autoSpaceDE w:val="0"/>
              <w:autoSpaceDN w:val="0"/>
              <w:adjustRightInd w:val="0"/>
              <w:jc w:val="center"/>
              <w:rPr>
                <w:b/>
              </w:rPr>
            </w:pPr>
            <w:r w:rsidRPr="00911C86">
              <w:rPr>
                <w:b/>
              </w:rPr>
              <w:t>101</w:t>
            </w:r>
          </w:p>
        </w:tc>
        <w:tc>
          <w:tcPr>
            <w:tcW w:w="2268" w:type="dxa"/>
            <w:shd w:val="clear" w:color="auto" w:fill="auto"/>
          </w:tcPr>
          <w:p w14:paraId="2C08F44E" w14:textId="77777777" w:rsidR="00246C6D" w:rsidRPr="00911C86" w:rsidRDefault="00246C6D" w:rsidP="00747342">
            <w:pPr>
              <w:autoSpaceDE w:val="0"/>
              <w:autoSpaceDN w:val="0"/>
              <w:adjustRightInd w:val="0"/>
              <w:jc w:val="center"/>
              <w:rPr>
                <w:b/>
              </w:rPr>
            </w:pPr>
            <w:r w:rsidRPr="00911C86">
              <w:rPr>
                <w:b/>
              </w:rPr>
              <w:t>100,00</w:t>
            </w:r>
          </w:p>
        </w:tc>
      </w:tr>
    </w:tbl>
    <w:p w14:paraId="5140D60E" w14:textId="77777777" w:rsidR="00246C6D" w:rsidRDefault="00246C6D" w:rsidP="00246C6D">
      <w:pPr>
        <w:autoSpaceDE w:val="0"/>
        <w:autoSpaceDN w:val="0"/>
        <w:adjustRightInd w:val="0"/>
      </w:pPr>
      <w:r w:rsidRPr="003625DC">
        <w:t>Fonte: Dados da pesquisa.</w:t>
      </w:r>
    </w:p>
    <w:p w14:paraId="00810771" w14:textId="77777777" w:rsidR="00840A4A" w:rsidRDefault="00840A4A" w:rsidP="00246C6D">
      <w:pPr>
        <w:pStyle w:val="PargrafodaLista"/>
        <w:tabs>
          <w:tab w:val="left" w:pos="284"/>
        </w:tabs>
        <w:ind w:left="0" w:firstLine="567"/>
        <w:jc w:val="both"/>
        <w:rPr>
          <w:sz w:val="24"/>
          <w:szCs w:val="24"/>
        </w:rPr>
      </w:pPr>
    </w:p>
    <w:p w14:paraId="3F60BCEA" w14:textId="77777777" w:rsidR="00246C6D" w:rsidRPr="00911C86" w:rsidRDefault="00246C6D" w:rsidP="00162746">
      <w:pPr>
        <w:pStyle w:val="PargrafodaLista"/>
        <w:tabs>
          <w:tab w:val="left" w:pos="284"/>
        </w:tabs>
        <w:ind w:left="0" w:firstLine="709"/>
        <w:jc w:val="both"/>
        <w:rPr>
          <w:color w:val="000000"/>
          <w:sz w:val="24"/>
          <w:szCs w:val="24"/>
        </w:rPr>
      </w:pPr>
      <w:r>
        <w:rPr>
          <w:sz w:val="24"/>
          <w:szCs w:val="24"/>
        </w:rPr>
        <w:t xml:space="preserve">Na Tabela 8 é descrito o número de reprovações dos acadêmicos nas disciplinas. O número de acadêmicos que nunca reprovaram é alto, com 66%. Este número decresce conforme aumenta o número de reprovações. De modo geral, os resultados obtidos permitem indicar causas para a evasão escolar. A evasão está associada a fatores psicológicos do indivíduo, </w:t>
      </w:r>
      <w:r w:rsidRPr="00911C86">
        <w:rPr>
          <w:color w:val="000000"/>
          <w:sz w:val="24"/>
          <w:szCs w:val="24"/>
        </w:rPr>
        <w:t xml:space="preserve">sendo que acadêmicos mais novos podem enfrentar mais dificuldades quanto a escolha e permanência no curso. Os dados indicam que 62,5% possuem menos de 21 anos, sendo uma amostra jovem de estudantes que recentemente concluíram o ensino médio, tais resultados corroboram com estudos de Tinto, 1975; Chuang, 1997;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334301">
        <w:rPr>
          <w:i/>
          <w:color w:val="000000"/>
          <w:sz w:val="24"/>
          <w:szCs w:val="24"/>
        </w:rPr>
        <w:t>al</w:t>
      </w:r>
      <w:proofErr w:type="gramEnd"/>
      <w:r w:rsidRPr="00334301">
        <w:rPr>
          <w:i/>
          <w:color w:val="000000"/>
          <w:sz w:val="24"/>
          <w:szCs w:val="24"/>
        </w:rPr>
        <w:t>,</w:t>
      </w:r>
      <w:r w:rsidRPr="00911C86">
        <w:rPr>
          <w:color w:val="000000"/>
          <w:sz w:val="24"/>
          <w:szCs w:val="24"/>
        </w:rPr>
        <w:t xml:space="preserve"> 2017.</w:t>
      </w:r>
    </w:p>
    <w:p w14:paraId="7D3C3113" w14:textId="77777777" w:rsidR="00246C6D" w:rsidRPr="00911C86" w:rsidRDefault="00246C6D" w:rsidP="00162746">
      <w:pPr>
        <w:pStyle w:val="PargrafodaLista"/>
        <w:tabs>
          <w:tab w:val="left" w:pos="284"/>
        </w:tabs>
        <w:ind w:left="0" w:firstLine="709"/>
        <w:jc w:val="both"/>
        <w:rPr>
          <w:color w:val="000000"/>
          <w:sz w:val="24"/>
          <w:szCs w:val="24"/>
        </w:rPr>
      </w:pPr>
      <w:r w:rsidRPr="00911C86">
        <w:rPr>
          <w:color w:val="000000"/>
          <w:sz w:val="24"/>
          <w:szCs w:val="24"/>
        </w:rPr>
        <w:t xml:space="preserve">A renda familiar foi uma das causas da evasão identificadas na literatura (Oakland, 1992). Entretanto, a renda familiar da nossa amostra é alta, sendo que aproximadamente 60% </w:t>
      </w:r>
      <w:r w:rsidRPr="00911C86">
        <w:rPr>
          <w:color w:val="000000"/>
          <w:sz w:val="24"/>
          <w:szCs w:val="24"/>
        </w:rPr>
        <w:lastRenderedPageBreak/>
        <w:t xml:space="preserve">dos respondentes possuem renda familiar superior a 4 salários mínimos. A condição de trabalho do acadêmico também pode influenciar na sua permanência ou não na instituição (Oakland, 1992). Os dados indicam que 89% dos respondentes trabalham (no setor privado, público ou autônomo), tendo que administrar suas atividades profissionais com os estudos. </w:t>
      </w:r>
    </w:p>
    <w:p w14:paraId="09339E77" w14:textId="77777777" w:rsidR="00246C6D" w:rsidRDefault="00246C6D" w:rsidP="00162746">
      <w:pPr>
        <w:pStyle w:val="PargrafodaLista"/>
        <w:tabs>
          <w:tab w:val="left" w:pos="284"/>
        </w:tabs>
        <w:ind w:left="0" w:firstLine="709"/>
        <w:jc w:val="both"/>
        <w:rPr>
          <w:sz w:val="24"/>
          <w:szCs w:val="24"/>
        </w:rPr>
      </w:pPr>
      <w:r w:rsidRPr="00911C86">
        <w:rPr>
          <w:color w:val="000000"/>
          <w:sz w:val="24"/>
          <w:szCs w:val="24"/>
        </w:rPr>
        <w:t xml:space="preserve">O maior grau de escolaridade da família dos respondentes foi alto, sendo que aproximadamente 63% das famílias possuem Ensino Médio completo como maior grau. A literatura indicou este como um fator de risco para a evasão </w:t>
      </w:r>
      <w:r>
        <w:rPr>
          <w:sz w:val="24"/>
          <w:szCs w:val="24"/>
        </w:rPr>
        <w:t>(</w:t>
      </w:r>
      <w:r w:rsidRPr="00911C86">
        <w:rPr>
          <w:color w:val="000000"/>
          <w:sz w:val="24"/>
          <w:szCs w:val="24"/>
        </w:rPr>
        <w:t xml:space="preserve">Tinto, 1975; Chuang, 1997;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xml:space="preserve">, 2017;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334301">
        <w:rPr>
          <w:i/>
          <w:color w:val="000000"/>
          <w:sz w:val="24"/>
          <w:szCs w:val="24"/>
        </w:rPr>
        <w:t>al</w:t>
      </w:r>
      <w:proofErr w:type="gramEnd"/>
      <w:r w:rsidRPr="00911C86">
        <w:rPr>
          <w:color w:val="000000"/>
          <w:sz w:val="24"/>
          <w:szCs w:val="24"/>
        </w:rPr>
        <w:t>, 2017). Quanto a semestralidade dos respondentes identificou-se um grau considerável de reprovações e de distribuição de alunos em semestres anteriores. Segundo Silva (2012) este pode representar um risco para a evasão dos alunos.</w:t>
      </w:r>
    </w:p>
    <w:p w14:paraId="1C52F8C0" w14:textId="77777777" w:rsidR="00246C6D" w:rsidRDefault="00246C6D" w:rsidP="00246C6D">
      <w:pPr>
        <w:pStyle w:val="PargrafodaLista"/>
        <w:tabs>
          <w:tab w:val="left" w:pos="284"/>
        </w:tabs>
        <w:ind w:left="0" w:firstLine="709"/>
        <w:jc w:val="both"/>
        <w:rPr>
          <w:sz w:val="24"/>
          <w:szCs w:val="24"/>
        </w:rPr>
      </w:pPr>
    </w:p>
    <w:p w14:paraId="361D9619" w14:textId="77777777" w:rsidR="00246C6D" w:rsidRPr="004C043D" w:rsidRDefault="00246C6D" w:rsidP="00246C6D">
      <w:pPr>
        <w:pStyle w:val="PargrafodaLista"/>
        <w:numPr>
          <w:ilvl w:val="1"/>
          <w:numId w:val="2"/>
        </w:numPr>
        <w:tabs>
          <w:tab w:val="left" w:pos="284"/>
        </w:tabs>
        <w:suppressAutoHyphens w:val="0"/>
        <w:ind w:left="426" w:hanging="426"/>
        <w:rPr>
          <w:b/>
          <w:sz w:val="24"/>
          <w:szCs w:val="24"/>
        </w:rPr>
      </w:pPr>
      <w:r w:rsidRPr="004C043D">
        <w:rPr>
          <w:b/>
          <w:sz w:val="24"/>
          <w:szCs w:val="24"/>
        </w:rPr>
        <w:t>Análise Fatorial por Componentes Principais</w:t>
      </w:r>
    </w:p>
    <w:p w14:paraId="28140756" w14:textId="02E86AC8" w:rsidR="00246C6D" w:rsidRDefault="00246C6D" w:rsidP="00162746">
      <w:pPr>
        <w:tabs>
          <w:tab w:val="left" w:pos="284"/>
        </w:tabs>
        <w:ind w:firstLine="709"/>
        <w:jc w:val="both"/>
        <w:rPr>
          <w:sz w:val="24"/>
          <w:szCs w:val="24"/>
        </w:rPr>
      </w:pPr>
      <w:r>
        <w:rPr>
          <w:sz w:val="24"/>
          <w:szCs w:val="24"/>
        </w:rPr>
        <w:t>Neste estudo foi aplicado Análise Fatorial por Componentes P</w:t>
      </w:r>
      <w:r w:rsidRPr="0005313A">
        <w:rPr>
          <w:sz w:val="24"/>
          <w:szCs w:val="24"/>
        </w:rPr>
        <w:t xml:space="preserve">rincipais separadamente para as partes II e III do questionário. </w:t>
      </w:r>
    </w:p>
    <w:p w14:paraId="236A484F" w14:textId="77777777" w:rsidR="00246C6D" w:rsidRDefault="00246C6D" w:rsidP="00162746">
      <w:pPr>
        <w:tabs>
          <w:tab w:val="left" w:pos="284"/>
        </w:tabs>
        <w:ind w:firstLine="709"/>
        <w:jc w:val="both"/>
        <w:rPr>
          <w:sz w:val="24"/>
          <w:szCs w:val="24"/>
        </w:rPr>
      </w:pPr>
    </w:p>
    <w:p w14:paraId="3F64BEEA" w14:textId="77777777" w:rsidR="00246C6D" w:rsidRPr="004C043D" w:rsidRDefault="00246C6D" w:rsidP="00246C6D">
      <w:pPr>
        <w:tabs>
          <w:tab w:val="left" w:pos="284"/>
        </w:tabs>
        <w:rPr>
          <w:b/>
          <w:sz w:val="24"/>
          <w:szCs w:val="24"/>
        </w:rPr>
      </w:pPr>
      <w:r w:rsidRPr="004C043D">
        <w:rPr>
          <w:b/>
          <w:sz w:val="24"/>
          <w:szCs w:val="24"/>
        </w:rPr>
        <w:t>4.2.1 Análise dos fatores de opç</w:t>
      </w:r>
      <w:r>
        <w:rPr>
          <w:b/>
          <w:sz w:val="24"/>
          <w:szCs w:val="24"/>
        </w:rPr>
        <w:t>ão do curso</w:t>
      </w:r>
    </w:p>
    <w:p w14:paraId="16FCE409" w14:textId="52C24DE1" w:rsidR="00246C6D" w:rsidRDefault="00246C6D" w:rsidP="00524B6A">
      <w:pPr>
        <w:tabs>
          <w:tab w:val="left" w:pos="284"/>
          <w:tab w:val="left" w:pos="709"/>
          <w:tab w:val="left" w:pos="851"/>
        </w:tabs>
        <w:ind w:firstLine="709"/>
        <w:jc w:val="both"/>
        <w:rPr>
          <w:sz w:val="24"/>
          <w:szCs w:val="24"/>
        </w:rPr>
      </w:pPr>
      <w:r>
        <w:rPr>
          <w:sz w:val="24"/>
          <w:szCs w:val="24"/>
        </w:rPr>
        <w:t xml:space="preserve">Foi realizado o teste de </w:t>
      </w:r>
      <w:r w:rsidRPr="00963D63">
        <w:rPr>
          <w:i/>
          <w:sz w:val="24"/>
          <w:szCs w:val="24"/>
        </w:rPr>
        <w:t>Kaiser-Meyer-</w:t>
      </w:r>
      <w:proofErr w:type="spellStart"/>
      <w:r w:rsidRPr="00963D63">
        <w:rPr>
          <w:i/>
          <w:sz w:val="24"/>
          <w:szCs w:val="24"/>
        </w:rPr>
        <w:t>Olkin</w:t>
      </w:r>
      <w:proofErr w:type="spellEnd"/>
      <w:r w:rsidRPr="00963D63">
        <w:rPr>
          <w:i/>
          <w:sz w:val="24"/>
          <w:szCs w:val="24"/>
        </w:rPr>
        <w:t xml:space="preserve"> </w:t>
      </w:r>
      <w:r>
        <w:rPr>
          <w:sz w:val="24"/>
          <w:szCs w:val="24"/>
        </w:rPr>
        <w:t>(KMO) com resultado de 0,658 (superior a 0,6) o que indica um valor razoável que confirma a viabilidade de aplicar a análise fatorial aos dados (Fávero et.</w:t>
      </w:r>
      <w:r w:rsidRPr="00334301">
        <w:rPr>
          <w:i/>
          <w:sz w:val="24"/>
          <w:szCs w:val="24"/>
        </w:rPr>
        <w:t xml:space="preserve"> </w:t>
      </w:r>
      <w:proofErr w:type="gramStart"/>
      <w:r w:rsidRPr="00334301">
        <w:rPr>
          <w:i/>
          <w:sz w:val="24"/>
          <w:szCs w:val="24"/>
        </w:rPr>
        <w:t>al</w:t>
      </w:r>
      <w:proofErr w:type="gramEnd"/>
      <w:r>
        <w:rPr>
          <w:sz w:val="24"/>
          <w:szCs w:val="24"/>
        </w:rPr>
        <w:t xml:space="preserve">, 2009).  Quanto ao teste de esfericidade de </w:t>
      </w:r>
      <w:proofErr w:type="spellStart"/>
      <w:r w:rsidRPr="00963D63">
        <w:rPr>
          <w:i/>
          <w:sz w:val="24"/>
          <w:szCs w:val="24"/>
        </w:rPr>
        <w:t>Barlett</w:t>
      </w:r>
      <w:proofErr w:type="spellEnd"/>
      <w:r>
        <w:rPr>
          <w:sz w:val="24"/>
          <w:szCs w:val="24"/>
        </w:rPr>
        <w:t xml:space="preserve"> obteve-se significância de 0,000, ou seja, inferior ao 5% exigido. De modo geral, ambos os testes demonstram que os dados se adequam a Análise Fatorial. </w:t>
      </w:r>
    </w:p>
    <w:p w14:paraId="7EC4FC9D" w14:textId="03328EC7" w:rsidR="00246C6D" w:rsidRDefault="00246C6D" w:rsidP="00524B6A">
      <w:pPr>
        <w:tabs>
          <w:tab w:val="left" w:pos="284"/>
        </w:tabs>
        <w:ind w:firstLine="709"/>
        <w:jc w:val="both"/>
        <w:rPr>
          <w:sz w:val="24"/>
          <w:szCs w:val="24"/>
        </w:rPr>
      </w:pPr>
      <w:r>
        <w:rPr>
          <w:sz w:val="24"/>
          <w:szCs w:val="24"/>
        </w:rPr>
        <w:t xml:space="preserve">Conforme dito anteriormente, o método de extração foi componentes principais, foi utilizado a rotação </w:t>
      </w:r>
      <w:proofErr w:type="spellStart"/>
      <w:r w:rsidRPr="00BA1B67">
        <w:rPr>
          <w:i/>
          <w:sz w:val="24"/>
          <w:szCs w:val="24"/>
        </w:rPr>
        <w:t>Varimax</w:t>
      </w:r>
      <w:proofErr w:type="spellEnd"/>
      <w:r>
        <w:rPr>
          <w:sz w:val="24"/>
          <w:szCs w:val="24"/>
        </w:rPr>
        <w:t xml:space="preserve">. A escolha do número de fatores se deu pelo critério de Kaiser, em que se selecionou todos os autovalores superiores a 1. A carga fatorial utilizada foi de 0,55 que se adequa aos 101 respondentes, segundo Fávero, et. </w:t>
      </w:r>
      <w:proofErr w:type="gramStart"/>
      <w:r w:rsidRPr="00334301">
        <w:rPr>
          <w:i/>
          <w:sz w:val="24"/>
          <w:szCs w:val="24"/>
        </w:rPr>
        <w:t>al</w:t>
      </w:r>
      <w:proofErr w:type="gramEnd"/>
      <w:r>
        <w:rPr>
          <w:sz w:val="24"/>
          <w:szCs w:val="24"/>
        </w:rPr>
        <w:t xml:space="preserve"> (2009) e </w:t>
      </w:r>
      <w:proofErr w:type="spellStart"/>
      <w:r w:rsidRPr="00F423D8">
        <w:rPr>
          <w:sz w:val="24"/>
          <w:szCs w:val="24"/>
        </w:rPr>
        <w:t>Hair</w:t>
      </w:r>
      <w:proofErr w:type="spellEnd"/>
      <w:r>
        <w:rPr>
          <w:sz w:val="24"/>
          <w:szCs w:val="24"/>
        </w:rPr>
        <w:t xml:space="preserve">, et. </w:t>
      </w:r>
      <w:proofErr w:type="gramStart"/>
      <w:r w:rsidRPr="00334301">
        <w:rPr>
          <w:i/>
          <w:sz w:val="24"/>
          <w:szCs w:val="24"/>
        </w:rPr>
        <w:t>al</w:t>
      </w:r>
      <w:proofErr w:type="gramEnd"/>
      <w:r w:rsidRPr="00883623">
        <w:rPr>
          <w:sz w:val="24"/>
          <w:szCs w:val="24"/>
        </w:rPr>
        <w:t xml:space="preserve"> (2009).</w:t>
      </w:r>
      <w:r>
        <w:rPr>
          <w:sz w:val="24"/>
          <w:szCs w:val="24"/>
        </w:rPr>
        <w:t xml:space="preserve"> </w:t>
      </w:r>
    </w:p>
    <w:p w14:paraId="661C20F3" w14:textId="459C1A32" w:rsidR="00246C6D" w:rsidRDefault="00246C6D" w:rsidP="00524B6A">
      <w:pPr>
        <w:tabs>
          <w:tab w:val="left" w:pos="284"/>
        </w:tabs>
        <w:ind w:firstLine="709"/>
        <w:jc w:val="both"/>
        <w:rPr>
          <w:sz w:val="24"/>
          <w:szCs w:val="24"/>
        </w:rPr>
      </w:pPr>
      <w:r>
        <w:rPr>
          <w:sz w:val="24"/>
          <w:szCs w:val="24"/>
        </w:rPr>
        <w:t xml:space="preserve">Foi identificado quatro componentes com autovalores superiores a 1 (conforme a metodologia definida) e apresentados na Tabela 9, a seguir, com identificação das questões e suas respectivas cargas: </w:t>
      </w:r>
    </w:p>
    <w:p w14:paraId="6028E550" w14:textId="77777777" w:rsidR="00246C6D" w:rsidRDefault="00246C6D" w:rsidP="00524B6A">
      <w:pPr>
        <w:tabs>
          <w:tab w:val="left" w:pos="284"/>
        </w:tabs>
        <w:ind w:firstLine="709"/>
        <w:jc w:val="both"/>
        <w:rPr>
          <w:sz w:val="24"/>
          <w:szCs w:val="24"/>
        </w:rPr>
      </w:pPr>
    </w:p>
    <w:p w14:paraId="1BF22281" w14:textId="77777777" w:rsidR="00246C6D" w:rsidRPr="002E241E" w:rsidRDefault="00246C6D" w:rsidP="00246C6D">
      <w:pPr>
        <w:tabs>
          <w:tab w:val="left" w:pos="284"/>
        </w:tabs>
        <w:rPr>
          <w:b/>
        </w:rPr>
      </w:pPr>
      <w:r>
        <w:rPr>
          <w:b/>
        </w:rPr>
        <w:t>Tabela 9 - Fatores de opção pelo curso.</w:t>
      </w:r>
    </w:p>
    <w:tbl>
      <w:tblPr>
        <w:tblW w:w="9048" w:type="dxa"/>
        <w:jc w:val="center"/>
        <w:tblCellMar>
          <w:left w:w="70" w:type="dxa"/>
          <w:right w:w="70" w:type="dxa"/>
        </w:tblCellMar>
        <w:tblLook w:val="04A0" w:firstRow="1" w:lastRow="0" w:firstColumn="1" w:lastColumn="0" w:noHBand="0" w:noVBand="1"/>
      </w:tblPr>
      <w:tblGrid>
        <w:gridCol w:w="709"/>
        <w:gridCol w:w="2552"/>
        <w:gridCol w:w="4447"/>
        <w:gridCol w:w="1340"/>
      </w:tblGrid>
      <w:tr w:rsidR="00246C6D" w:rsidRPr="00911C86" w14:paraId="660BB1A5" w14:textId="77777777" w:rsidTr="00747342">
        <w:trPr>
          <w:trHeight w:val="447"/>
          <w:jc w:val="center"/>
        </w:trPr>
        <w:tc>
          <w:tcPr>
            <w:tcW w:w="709" w:type="dxa"/>
            <w:tcBorders>
              <w:top w:val="single" w:sz="4" w:space="0" w:color="auto"/>
              <w:left w:val="nil"/>
              <w:bottom w:val="single" w:sz="8" w:space="0" w:color="auto"/>
              <w:right w:val="single" w:sz="4" w:space="0" w:color="auto"/>
            </w:tcBorders>
            <w:shd w:val="clear" w:color="auto" w:fill="auto"/>
            <w:noWrap/>
            <w:vAlign w:val="center"/>
            <w:hideMark/>
          </w:tcPr>
          <w:p w14:paraId="33226CAE" w14:textId="77777777" w:rsidR="00246C6D" w:rsidRPr="00C52D23" w:rsidRDefault="00246C6D" w:rsidP="00747342">
            <w:pPr>
              <w:jc w:val="center"/>
              <w:rPr>
                <w:b/>
                <w:color w:val="000000"/>
              </w:rPr>
            </w:pPr>
            <w:r w:rsidRPr="00C52D23">
              <w:rPr>
                <w:b/>
                <w:color w:val="000000"/>
              </w:rPr>
              <w:t>Fator</w:t>
            </w:r>
          </w:p>
        </w:tc>
        <w:tc>
          <w:tcPr>
            <w:tcW w:w="2552" w:type="dxa"/>
            <w:tcBorders>
              <w:top w:val="single" w:sz="4" w:space="0" w:color="auto"/>
              <w:left w:val="nil"/>
              <w:bottom w:val="single" w:sz="8" w:space="0" w:color="auto"/>
              <w:right w:val="nil"/>
            </w:tcBorders>
            <w:shd w:val="clear" w:color="auto" w:fill="auto"/>
            <w:noWrap/>
            <w:vAlign w:val="center"/>
            <w:hideMark/>
          </w:tcPr>
          <w:p w14:paraId="4AB0236E" w14:textId="77777777" w:rsidR="00246C6D" w:rsidRPr="00C52D23" w:rsidRDefault="00246C6D" w:rsidP="00747342">
            <w:pPr>
              <w:jc w:val="center"/>
              <w:rPr>
                <w:b/>
                <w:color w:val="000000"/>
              </w:rPr>
            </w:pPr>
            <w:r w:rsidRPr="00C52D23">
              <w:rPr>
                <w:b/>
                <w:color w:val="000000"/>
              </w:rPr>
              <w:t>Variância explicada (em %)</w:t>
            </w:r>
          </w:p>
        </w:tc>
        <w:tc>
          <w:tcPr>
            <w:tcW w:w="4447" w:type="dxa"/>
            <w:tcBorders>
              <w:top w:val="single" w:sz="4" w:space="0" w:color="auto"/>
              <w:left w:val="nil"/>
              <w:bottom w:val="single" w:sz="8" w:space="0" w:color="auto"/>
              <w:right w:val="nil"/>
            </w:tcBorders>
            <w:shd w:val="clear" w:color="auto" w:fill="auto"/>
            <w:noWrap/>
            <w:vAlign w:val="center"/>
            <w:hideMark/>
          </w:tcPr>
          <w:p w14:paraId="624C1318" w14:textId="77777777" w:rsidR="00246C6D" w:rsidRPr="00C52D23" w:rsidRDefault="00246C6D" w:rsidP="00747342">
            <w:pPr>
              <w:jc w:val="center"/>
              <w:rPr>
                <w:b/>
                <w:color w:val="000000"/>
              </w:rPr>
            </w:pPr>
            <w:r w:rsidRPr="00C52D23">
              <w:rPr>
                <w:b/>
                <w:color w:val="000000"/>
              </w:rPr>
              <w:t>Questões</w:t>
            </w:r>
          </w:p>
        </w:tc>
        <w:tc>
          <w:tcPr>
            <w:tcW w:w="1340" w:type="dxa"/>
            <w:tcBorders>
              <w:top w:val="single" w:sz="4" w:space="0" w:color="auto"/>
              <w:left w:val="nil"/>
              <w:bottom w:val="single" w:sz="8" w:space="0" w:color="auto"/>
              <w:right w:val="nil"/>
            </w:tcBorders>
            <w:shd w:val="clear" w:color="auto" w:fill="auto"/>
            <w:noWrap/>
            <w:vAlign w:val="center"/>
            <w:hideMark/>
          </w:tcPr>
          <w:p w14:paraId="1B855B49" w14:textId="77777777" w:rsidR="00246C6D" w:rsidRPr="00C52D23" w:rsidRDefault="00246C6D" w:rsidP="00747342">
            <w:pPr>
              <w:jc w:val="center"/>
              <w:rPr>
                <w:b/>
                <w:color w:val="000000"/>
              </w:rPr>
            </w:pPr>
            <w:r w:rsidRPr="00C52D23">
              <w:rPr>
                <w:b/>
                <w:color w:val="000000"/>
              </w:rPr>
              <w:t>Carga fatorial</w:t>
            </w:r>
          </w:p>
        </w:tc>
      </w:tr>
      <w:tr w:rsidR="00246C6D" w:rsidRPr="00911C86" w14:paraId="3EC53AC3" w14:textId="77777777" w:rsidTr="00747342">
        <w:trPr>
          <w:trHeight w:val="300"/>
          <w:jc w:val="center"/>
        </w:trPr>
        <w:tc>
          <w:tcPr>
            <w:tcW w:w="709" w:type="dxa"/>
            <w:vMerge w:val="restart"/>
            <w:tcBorders>
              <w:top w:val="nil"/>
              <w:left w:val="nil"/>
              <w:bottom w:val="single" w:sz="4" w:space="0" w:color="000000"/>
              <w:right w:val="single" w:sz="4" w:space="0" w:color="auto"/>
            </w:tcBorders>
            <w:shd w:val="clear" w:color="auto" w:fill="D0CECE"/>
            <w:noWrap/>
            <w:vAlign w:val="center"/>
            <w:hideMark/>
          </w:tcPr>
          <w:p w14:paraId="69AAF4A2" w14:textId="77777777" w:rsidR="00246C6D" w:rsidRPr="00C52D23" w:rsidRDefault="00246C6D" w:rsidP="00747342">
            <w:pPr>
              <w:jc w:val="center"/>
              <w:rPr>
                <w:color w:val="000000"/>
              </w:rPr>
            </w:pPr>
            <w:r w:rsidRPr="00C52D23">
              <w:rPr>
                <w:color w:val="000000"/>
              </w:rPr>
              <w:t>1</w:t>
            </w:r>
          </w:p>
        </w:tc>
        <w:tc>
          <w:tcPr>
            <w:tcW w:w="2552" w:type="dxa"/>
            <w:vMerge w:val="restart"/>
            <w:tcBorders>
              <w:top w:val="nil"/>
              <w:left w:val="single" w:sz="4" w:space="0" w:color="auto"/>
              <w:bottom w:val="nil"/>
              <w:right w:val="nil"/>
            </w:tcBorders>
            <w:shd w:val="clear" w:color="auto" w:fill="D0CECE"/>
            <w:noWrap/>
            <w:vAlign w:val="center"/>
            <w:hideMark/>
          </w:tcPr>
          <w:p w14:paraId="5E77E80E" w14:textId="77777777" w:rsidR="00246C6D" w:rsidRPr="00C52D23" w:rsidRDefault="00246C6D" w:rsidP="00747342">
            <w:pPr>
              <w:jc w:val="center"/>
              <w:rPr>
                <w:color w:val="000000"/>
              </w:rPr>
            </w:pPr>
            <w:r w:rsidRPr="00C52D23">
              <w:rPr>
                <w:color w:val="000000"/>
              </w:rPr>
              <w:t>27.06</w:t>
            </w:r>
          </w:p>
        </w:tc>
        <w:tc>
          <w:tcPr>
            <w:tcW w:w="4447" w:type="dxa"/>
            <w:tcBorders>
              <w:top w:val="nil"/>
              <w:left w:val="nil"/>
              <w:bottom w:val="single" w:sz="4" w:space="0" w:color="auto"/>
              <w:right w:val="nil"/>
            </w:tcBorders>
            <w:shd w:val="clear" w:color="auto" w:fill="D0CECE"/>
            <w:noWrap/>
            <w:vAlign w:val="center"/>
            <w:hideMark/>
          </w:tcPr>
          <w:p w14:paraId="390E4EEE" w14:textId="77777777" w:rsidR="00246C6D" w:rsidRPr="00C52D23" w:rsidRDefault="00246C6D" w:rsidP="00747342">
            <w:pPr>
              <w:rPr>
                <w:color w:val="000000"/>
              </w:rPr>
            </w:pPr>
            <w:r w:rsidRPr="00C52D23">
              <w:rPr>
                <w:color w:val="000000"/>
              </w:rPr>
              <w:t>Q3: Atendimento de minhas aptidões pessoais</w:t>
            </w:r>
          </w:p>
        </w:tc>
        <w:tc>
          <w:tcPr>
            <w:tcW w:w="1340" w:type="dxa"/>
            <w:tcBorders>
              <w:top w:val="nil"/>
              <w:left w:val="nil"/>
              <w:bottom w:val="single" w:sz="4" w:space="0" w:color="auto"/>
              <w:right w:val="nil"/>
            </w:tcBorders>
            <w:shd w:val="clear" w:color="auto" w:fill="D0CECE"/>
            <w:noWrap/>
            <w:vAlign w:val="center"/>
            <w:hideMark/>
          </w:tcPr>
          <w:p w14:paraId="74F6E53D" w14:textId="77777777" w:rsidR="00246C6D" w:rsidRPr="00C52D23" w:rsidRDefault="00246C6D" w:rsidP="00747342">
            <w:pPr>
              <w:jc w:val="center"/>
              <w:rPr>
                <w:color w:val="000000"/>
              </w:rPr>
            </w:pPr>
            <w:r w:rsidRPr="00C52D23">
              <w:rPr>
                <w:color w:val="000000"/>
              </w:rPr>
              <w:t>0,789</w:t>
            </w:r>
          </w:p>
        </w:tc>
      </w:tr>
      <w:tr w:rsidR="00246C6D" w:rsidRPr="00911C86" w14:paraId="21238051" w14:textId="77777777" w:rsidTr="00747342">
        <w:trPr>
          <w:trHeight w:val="300"/>
          <w:jc w:val="center"/>
        </w:trPr>
        <w:tc>
          <w:tcPr>
            <w:tcW w:w="709" w:type="dxa"/>
            <w:vMerge/>
            <w:tcBorders>
              <w:top w:val="nil"/>
              <w:left w:val="nil"/>
              <w:bottom w:val="single" w:sz="4" w:space="0" w:color="000000"/>
              <w:right w:val="single" w:sz="4" w:space="0" w:color="auto"/>
            </w:tcBorders>
            <w:shd w:val="clear" w:color="auto" w:fill="D0CECE"/>
            <w:vAlign w:val="center"/>
            <w:hideMark/>
          </w:tcPr>
          <w:p w14:paraId="2F6C305E" w14:textId="77777777" w:rsidR="00246C6D" w:rsidRPr="00C52D23" w:rsidRDefault="00246C6D" w:rsidP="00747342">
            <w:pPr>
              <w:jc w:val="center"/>
              <w:rPr>
                <w:color w:val="000000"/>
              </w:rPr>
            </w:pPr>
          </w:p>
        </w:tc>
        <w:tc>
          <w:tcPr>
            <w:tcW w:w="2552" w:type="dxa"/>
            <w:vMerge/>
            <w:tcBorders>
              <w:top w:val="nil"/>
              <w:left w:val="single" w:sz="4" w:space="0" w:color="auto"/>
              <w:bottom w:val="nil"/>
              <w:right w:val="nil"/>
            </w:tcBorders>
            <w:shd w:val="clear" w:color="auto" w:fill="D0CECE"/>
            <w:vAlign w:val="center"/>
            <w:hideMark/>
          </w:tcPr>
          <w:p w14:paraId="648864B5" w14:textId="77777777" w:rsidR="00246C6D" w:rsidRPr="00C52D23" w:rsidRDefault="00246C6D" w:rsidP="00747342">
            <w:pPr>
              <w:jc w:val="center"/>
              <w:rPr>
                <w:color w:val="000000"/>
              </w:rPr>
            </w:pPr>
          </w:p>
        </w:tc>
        <w:tc>
          <w:tcPr>
            <w:tcW w:w="4447" w:type="dxa"/>
            <w:tcBorders>
              <w:top w:val="nil"/>
              <w:left w:val="nil"/>
              <w:bottom w:val="single" w:sz="4" w:space="0" w:color="auto"/>
              <w:right w:val="nil"/>
            </w:tcBorders>
            <w:shd w:val="clear" w:color="auto" w:fill="D0CECE"/>
            <w:noWrap/>
            <w:vAlign w:val="center"/>
            <w:hideMark/>
          </w:tcPr>
          <w:p w14:paraId="5F8C566F" w14:textId="77777777" w:rsidR="00246C6D" w:rsidRPr="00C52D23" w:rsidRDefault="00246C6D" w:rsidP="00747342">
            <w:pPr>
              <w:rPr>
                <w:color w:val="000000"/>
              </w:rPr>
            </w:pPr>
            <w:r w:rsidRPr="00C52D23">
              <w:rPr>
                <w:color w:val="000000"/>
              </w:rPr>
              <w:t>Q4: Bom nível de exigência do curso</w:t>
            </w:r>
          </w:p>
        </w:tc>
        <w:tc>
          <w:tcPr>
            <w:tcW w:w="1340" w:type="dxa"/>
            <w:tcBorders>
              <w:top w:val="nil"/>
              <w:left w:val="nil"/>
              <w:bottom w:val="single" w:sz="4" w:space="0" w:color="auto"/>
              <w:right w:val="nil"/>
            </w:tcBorders>
            <w:shd w:val="clear" w:color="auto" w:fill="D0CECE"/>
            <w:noWrap/>
            <w:vAlign w:val="center"/>
            <w:hideMark/>
          </w:tcPr>
          <w:p w14:paraId="25DCC2A2" w14:textId="77777777" w:rsidR="00246C6D" w:rsidRPr="00C52D23" w:rsidRDefault="00246C6D" w:rsidP="00747342">
            <w:pPr>
              <w:jc w:val="center"/>
              <w:rPr>
                <w:color w:val="000000"/>
              </w:rPr>
            </w:pPr>
            <w:r w:rsidRPr="00C52D23">
              <w:rPr>
                <w:color w:val="000000"/>
              </w:rPr>
              <w:t>0,803</w:t>
            </w:r>
          </w:p>
        </w:tc>
      </w:tr>
      <w:tr w:rsidR="00246C6D" w:rsidRPr="00911C86" w14:paraId="399E27CD" w14:textId="77777777" w:rsidTr="00747342">
        <w:trPr>
          <w:trHeight w:val="300"/>
          <w:jc w:val="center"/>
        </w:trPr>
        <w:tc>
          <w:tcPr>
            <w:tcW w:w="709" w:type="dxa"/>
            <w:vMerge/>
            <w:tcBorders>
              <w:top w:val="nil"/>
              <w:left w:val="nil"/>
              <w:bottom w:val="single" w:sz="4" w:space="0" w:color="000000"/>
              <w:right w:val="single" w:sz="4" w:space="0" w:color="auto"/>
            </w:tcBorders>
            <w:shd w:val="clear" w:color="auto" w:fill="D0CECE"/>
            <w:vAlign w:val="center"/>
            <w:hideMark/>
          </w:tcPr>
          <w:p w14:paraId="69FE777E" w14:textId="77777777" w:rsidR="00246C6D" w:rsidRPr="00C52D23" w:rsidRDefault="00246C6D" w:rsidP="00747342">
            <w:pPr>
              <w:jc w:val="center"/>
              <w:rPr>
                <w:color w:val="000000"/>
              </w:rPr>
            </w:pPr>
          </w:p>
        </w:tc>
        <w:tc>
          <w:tcPr>
            <w:tcW w:w="2552" w:type="dxa"/>
            <w:vMerge/>
            <w:tcBorders>
              <w:top w:val="nil"/>
              <w:left w:val="single" w:sz="4" w:space="0" w:color="auto"/>
              <w:bottom w:val="nil"/>
              <w:right w:val="nil"/>
            </w:tcBorders>
            <w:shd w:val="clear" w:color="auto" w:fill="D0CECE"/>
            <w:vAlign w:val="center"/>
            <w:hideMark/>
          </w:tcPr>
          <w:p w14:paraId="623B1555" w14:textId="77777777" w:rsidR="00246C6D" w:rsidRPr="00C52D23" w:rsidRDefault="00246C6D" w:rsidP="00747342">
            <w:pPr>
              <w:jc w:val="center"/>
              <w:rPr>
                <w:color w:val="000000"/>
              </w:rPr>
            </w:pPr>
          </w:p>
        </w:tc>
        <w:tc>
          <w:tcPr>
            <w:tcW w:w="4447" w:type="dxa"/>
            <w:tcBorders>
              <w:top w:val="nil"/>
              <w:left w:val="nil"/>
              <w:bottom w:val="single" w:sz="4" w:space="0" w:color="auto"/>
              <w:right w:val="nil"/>
            </w:tcBorders>
            <w:shd w:val="clear" w:color="auto" w:fill="D0CECE"/>
            <w:noWrap/>
            <w:vAlign w:val="center"/>
            <w:hideMark/>
          </w:tcPr>
          <w:p w14:paraId="0FAE41B0" w14:textId="77777777" w:rsidR="00246C6D" w:rsidRPr="00C52D23" w:rsidRDefault="00246C6D" w:rsidP="00747342">
            <w:pPr>
              <w:rPr>
                <w:color w:val="000000"/>
              </w:rPr>
            </w:pPr>
            <w:r w:rsidRPr="00C52D23">
              <w:rPr>
                <w:color w:val="000000"/>
              </w:rPr>
              <w:t>Q5: Condição de estudar e trabalhar ao mesmo tempo</w:t>
            </w:r>
          </w:p>
        </w:tc>
        <w:tc>
          <w:tcPr>
            <w:tcW w:w="1340" w:type="dxa"/>
            <w:tcBorders>
              <w:top w:val="nil"/>
              <w:left w:val="nil"/>
              <w:bottom w:val="single" w:sz="4" w:space="0" w:color="auto"/>
              <w:right w:val="nil"/>
            </w:tcBorders>
            <w:shd w:val="clear" w:color="auto" w:fill="D0CECE"/>
            <w:noWrap/>
            <w:vAlign w:val="center"/>
            <w:hideMark/>
          </w:tcPr>
          <w:p w14:paraId="2B1AAE51" w14:textId="77777777" w:rsidR="00246C6D" w:rsidRPr="00C52D23" w:rsidRDefault="00246C6D" w:rsidP="00747342">
            <w:pPr>
              <w:jc w:val="center"/>
              <w:rPr>
                <w:color w:val="000000"/>
              </w:rPr>
            </w:pPr>
            <w:r w:rsidRPr="00C52D23">
              <w:rPr>
                <w:color w:val="000000"/>
              </w:rPr>
              <w:t>0,688</w:t>
            </w:r>
          </w:p>
        </w:tc>
      </w:tr>
      <w:tr w:rsidR="00246C6D" w:rsidRPr="00911C86" w14:paraId="39915E46" w14:textId="77777777" w:rsidTr="00747342">
        <w:trPr>
          <w:trHeight w:val="300"/>
          <w:jc w:val="center"/>
        </w:trPr>
        <w:tc>
          <w:tcPr>
            <w:tcW w:w="709" w:type="dxa"/>
            <w:vMerge w:val="restart"/>
            <w:tcBorders>
              <w:top w:val="nil"/>
              <w:left w:val="nil"/>
              <w:bottom w:val="single" w:sz="4" w:space="0" w:color="000000"/>
              <w:right w:val="single" w:sz="4" w:space="0" w:color="auto"/>
            </w:tcBorders>
            <w:shd w:val="clear" w:color="auto" w:fill="auto"/>
            <w:noWrap/>
            <w:vAlign w:val="center"/>
            <w:hideMark/>
          </w:tcPr>
          <w:p w14:paraId="0369BD2A" w14:textId="77777777" w:rsidR="00246C6D" w:rsidRPr="00C52D23" w:rsidRDefault="00246C6D" w:rsidP="00747342">
            <w:pPr>
              <w:jc w:val="center"/>
              <w:rPr>
                <w:color w:val="000000"/>
              </w:rPr>
            </w:pPr>
            <w:r w:rsidRPr="00C52D23">
              <w:rPr>
                <w:color w:val="000000"/>
              </w:rPr>
              <w:t>2</w:t>
            </w:r>
          </w:p>
        </w:tc>
        <w:tc>
          <w:tcPr>
            <w:tcW w:w="2552"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0A8AB7FF" w14:textId="77777777" w:rsidR="00246C6D" w:rsidRPr="00C52D23" w:rsidRDefault="00246C6D" w:rsidP="00747342">
            <w:pPr>
              <w:jc w:val="center"/>
              <w:rPr>
                <w:color w:val="000000"/>
              </w:rPr>
            </w:pPr>
            <w:r w:rsidRPr="00C52D23">
              <w:rPr>
                <w:color w:val="000000"/>
              </w:rPr>
              <w:t>13,12</w:t>
            </w:r>
          </w:p>
        </w:tc>
        <w:tc>
          <w:tcPr>
            <w:tcW w:w="4447" w:type="dxa"/>
            <w:tcBorders>
              <w:top w:val="nil"/>
              <w:left w:val="nil"/>
              <w:bottom w:val="single" w:sz="4" w:space="0" w:color="auto"/>
              <w:right w:val="nil"/>
            </w:tcBorders>
            <w:shd w:val="clear" w:color="auto" w:fill="auto"/>
            <w:noWrap/>
            <w:vAlign w:val="center"/>
            <w:hideMark/>
          </w:tcPr>
          <w:p w14:paraId="06C16CE9" w14:textId="77777777" w:rsidR="00246C6D" w:rsidRPr="00C52D23" w:rsidRDefault="00246C6D" w:rsidP="00747342">
            <w:pPr>
              <w:rPr>
                <w:color w:val="000000"/>
              </w:rPr>
            </w:pPr>
            <w:r w:rsidRPr="00C52D23">
              <w:rPr>
                <w:color w:val="000000"/>
              </w:rPr>
              <w:t>Q7: Facilidade do mercado e trabalho</w:t>
            </w:r>
          </w:p>
        </w:tc>
        <w:tc>
          <w:tcPr>
            <w:tcW w:w="1340" w:type="dxa"/>
            <w:tcBorders>
              <w:top w:val="nil"/>
              <w:left w:val="nil"/>
              <w:bottom w:val="single" w:sz="4" w:space="0" w:color="auto"/>
              <w:right w:val="nil"/>
            </w:tcBorders>
            <w:shd w:val="clear" w:color="auto" w:fill="auto"/>
            <w:noWrap/>
            <w:vAlign w:val="center"/>
            <w:hideMark/>
          </w:tcPr>
          <w:p w14:paraId="457BCDC2" w14:textId="77777777" w:rsidR="00246C6D" w:rsidRPr="00C52D23" w:rsidRDefault="00246C6D" w:rsidP="00747342">
            <w:pPr>
              <w:jc w:val="center"/>
              <w:rPr>
                <w:color w:val="000000"/>
              </w:rPr>
            </w:pPr>
            <w:r w:rsidRPr="00C52D23">
              <w:rPr>
                <w:color w:val="000000"/>
              </w:rPr>
              <w:t>0,722</w:t>
            </w:r>
          </w:p>
        </w:tc>
      </w:tr>
      <w:tr w:rsidR="00246C6D" w:rsidRPr="00911C86" w14:paraId="47DFABCA" w14:textId="77777777" w:rsidTr="00747342">
        <w:trPr>
          <w:trHeight w:val="300"/>
          <w:jc w:val="center"/>
        </w:trPr>
        <w:tc>
          <w:tcPr>
            <w:tcW w:w="709" w:type="dxa"/>
            <w:vMerge/>
            <w:tcBorders>
              <w:top w:val="nil"/>
              <w:left w:val="nil"/>
              <w:bottom w:val="single" w:sz="4" w:space="0" w:color="000000"/>
              <w:right w:val="single" w:sz="4" w:space="0" w:color="auto"/>
            </w:tcBorders>
            <w:vAlign w:val="center"/>
            <w:hideMark/>
          </w:tcPr>
          <w:p w14:paraId="18DA7242" w14:textId="77777777" w:rsidR="00246C6D" w:rsidRPr="00C52D23" w:rsidRDefault="00246C6D" w:rsidP="00747342">
            <w:pPr>
              <w:jc w:val="center"/>
              <w:rPr>
                <w:color w:val="000000"/>
              </w:rPr>
            </w:pPr>
          </w:p>
        </w:tc>
        <w:tc>
          <w:tcPr>
            <w:tcW w:w="2552" w:type="dxa"/>
            <w:vMerge/>
            <w:tcBorders>
              <w:top w:val="single" w:sz="4" w:space="0" w:color="auto"/>
              <w:left w:val="single" w:sz="4" w:space="0" w:color="auto"/>
              <w:bottom w:val="single" w:sz="4" w:space="0" w:color="000000"/>
              <w:right w:val="nil"/>
            </w:tcBorders>
            <w:vAlign w:val="center"/>
            <w:hideMark/>
          </w:tcPr>
          <w:p w14:paraId="0F5E04C1" w14:textId="77777777" w:rsidR="00246C6D" w:rsidRPr="00C52D23" w:rsidRDefault="00246C6D" w:rsidP="00747342">
            <w:pPr>
              <w:jc w:val="center"/>
              <w:rPr>
                <w:color w:val="000000"/>
              </w:rPr>
            </w:pPr>
          </w:p>
        </w:tc>
        <w:tc>
          <w:tcPr>
            <w:tcW w:w="4447" w:type="dxa"/>
            <w:tcBorders>
              <w:top w:val="nil"/>
              <w:left w:val="nil"/>
              <w:bottom w:val="single" w:sz="4" w:space="0" w:color="auto"/>
              <w:right w:val="nil"/>
            </w:tcBorders>
            <w:shd w:val="clear" w:color="auto" w:fill="auto"/>
            <w:noWrap/>
            <w:vAlign w:val="center"/>
            <w:hideMark/>
          </w:tcPr>
          <w:p w14:paraId="24E90B20" w14:textId="77777777" w:rsidR="00246C6D" w:rsidRPr="00C52D23" w:rsidRDefault="00246C6D" w:rsidP="00747342">
            <w:pPr>
              <w:rPr>
                <w:color w:val="000000"/>
              </w:rPr>
            </w:pPr>
            <w:r w:rsidRPr="00C52D23">
              <w:rPr>
                <w:color w:val="000000"/>
              </w:rPr>
              <w:t>Q10: Possibilidade de ganho financeiro considerável</w:t>
            </w:r>
          </w:p>
        </w:tc>
        <w:tc>
          <w:tcPr>
            <w:tcW w:w="1340" w:type="dxa"/>
            <w:tcBorders>
              <w:top w:val="nil"/>
              <w:left w:val="nil"/>
              <w:bottom w:val="single" w:sz="4" w:space="0" w:color="auto"/>
              <w:right w:val="nil"/>
            </w:tcBorders>
            <w:shd w:val="clear" w:color="auto" w:fill="auto"/>
            <w:noWrap/>
            <w:vAlign w:val="center"/>
            <w:hideMark/>
          </w:tcPr>
          <w:p w14:paraId="1B5C8825" w14:textId="77777777" w:rsidR="00246C6D" w:rsidRPr="00C52D23" w:rsidRDefault="00246C6D" w:rsidP="00747342">
            <w:pPr>
              <w:jc w:val="center"/>
              <w:rPr>
                <w:color w:val="000000"/>
              </w:rPr>
            </w:pPr>
            <w:r w:rsidRPr="00C52D23">
              <w:rPr>
                <w:color w:val="000000"/>
              </w:rPr>
              <w:t>0,804</w:t>
            </w:r>
          </w:p>
        </w:tc>
      </w:tr>
      <w:tr w:rsidR="00246C6D" w:rsidRPr="00911C86" w14:paraId="033BF845" w14:textId="77777777" w:rsidTr="00747342">
        <w:trPr>
          <w:trHeight w:val="300"/>
          <w:jc w:val="center"/>
        </w:trPr>
        <w:tc>
          <w:tcPr>
            <w:tcW w:w="709" w:type="dxa"/>
            <w:vMerge/>
            <w:tcBorders>
              <w:top w:val="nil"/>
              <w:left w:val="nil"/>
              <w:bottom w:val="single" w:sz="4" w:space="0" w:color="000000"/>
              <w:right w:val="single" w:sz="4" w:space="0" w:color="auto"/>
            </w:tcBorders>
            <w:vAlign w:val="center"/>
            <w:hideMark/>
          </w:tcPr>
          <w:p w14:paraId="6ACE2EA2" w14:textId="77777777" w:rsidR="00246C6D" w:rsidRPr="00C52D23" w:rsidRDefault="00246C6D" w:rsidP="00747342">
            <w:pPr>
              <w:jc w:val="center"/>
              <w:rPr>
                <w:color w:val="000000"/>
              </w:rPr>
            </w:pPr>
          </w:p>
        </w:tc>
        <w:tc>
          <w:tcPr>
            <w:tcW w:w="2552" w:type="dxa"/>
            <w:vMerge/>
            <w:tcBorders>
              <w:top w:val="single" w:sz="4" w:space="0" w:color="auto"/>
              <w:left w:val="single" w:sz="4" w:space="0" w:color="auto"/>
              <w:bottom w:val="single" w:sz="4" w:space="0" w:color="000000"/>
              <w:right w:val="nil"/>
            </w:tcBorders>
            <w:vAlign w:val="center"/>
            <w:hideMark/>
          </w:tcPr>
          <w:p w14:paraId="02DFFD48" w14:textId="77777777" w:rsidR="00246C6D" w:rsidRPr="00C52D23" w:rsidRDefault="00246C6D" w:rsidP="00747342">
            <w:pPr>
              <w:jc w:val="center"/>
              <w:rPr>
                <w:color w:val="000000"/>
              </w:rPr>
            </w:pPr>
          </w:p>
        </w:tc>
        <w:tc>
          <w:tcPr>
            <w:tcW w:w="4447" w:type="dxa"/>
            <w:tcBorders>
              <w:top w:val="nil"/>
              <w:left w:val="nil"/>
              <w:bottom w:val="single" w:sz="4" w:space="0" w:color="auto"/>
              <w:right w:val="nil"/>
            </w:tcBorders>
            <w:shd w:val="clear" w:color="auto" w:fill="auto"/>
            <w:noWrap/>
            <w:vAlign w:val="center"/>
            <w:hideMark/>
          </w:tcPr>
          <w:p w14:paraId="66047385" w14:textId="77777777" w:rsidR="00246C6D" w:rsidRPr="00C52D23" w:rsidRDefault="00246C6D" w:rsidP="00747342">
            <w:pPr>
              <w:rPr>
                <w:color w:val="000000"/>
              </w:rPr>
            </w:pPr>
            <w:r w:rsidRPr="00C52D23">
              <w:rPr>
                <w:color w:val="000000"/>
              </w:rPr>
              <w:t xml:space="preserve">Q11: Prestígio social da profissão </w:t>
            </w:r>
          </w:p>
        </w:tc>
        <w:tc>
          <w:tcPr>
            <w:tcW w:w="1340" w:type="dxa"/>
            <w:tcBorders>
              <w:top w:val="nil"/>
              <w:left w:val="nil"/>
              <w:bottom w:val="single" w:sz="4" w:space="0" w:color="auto"/>
              <w:right w:val="nil"/>
            </w:tcBorders>
            <w:shd w:val="clear" w:color="auto" w:fill="auto"/>
            <w:noWrap/>
            <w:vAlign w:val="center"/>
            <w:hideMark/>
          </w:tcPr>
          <w:p w14:paraId="53D09048" w14:textId="77777777" w:rsidR="00246C6D" w:rsidRPr="00C52D23" w:rsidRDefault="00246C6D" w:rsidP="00747342">
            <w:pPr>
              <w:jc w:val="center"/>
              <w:rPr>
                <w:color w:val="000000"/>
              </w:rPr>
            </w:pPr>
            <w:r w:rsidRPr="00C52D23">
              <w:rPr>
                <w:color w:val="000000"/>
              </w:rPr>
              <w:t>0,783</w:t>
            </w:r>
          </w:p>
        </w:tc>
      </w:tr>
      <w:tr w:rsidR="00246C6D" w:rsidRPr="00911C86" w14:paraId="5693FE2E" w14:textId="77777777" w:rsidTr="00747342">
        <w:trPr>
          <w:trHeight w:val="300"/>
          <w:jc w:val="center"/>
        </w:trPr>
        <w:tc>
          <w:tcPr>
            <w:tcW w:w="709" w:type="dxa"/>
            <w:vMerge w:val="restart"/>
            <w:tcBorders>
              <w:top w:val="nil"/>
              <w:left w:val="nil"/>
              <w:bottom w:val="single" w:sz="4" w:space="0" w:color="000000"/>
              <w:right w:val="single" w:sz="4" w:space="0" w:color="auto"/>
            </w:tcBorders>
            <w:shd w:val="clear" w:color="auto" w:fill="D0CECE"/>
            <w:noWrap/>
            <w:vAlign w:val="center"/>
            <w:hideMark/>
          </w:tcPr>
          <w:p w14:paraId="2EB027F0" w14:textId="77777777" w:rsidR="00246C6D" w:rsidRPr="00C52D23" w:rsidRDefault="00246C6D" w:rsidP="00747342">
            <w:pPr>
              <w:jc w:val="center"/>
              <w:rPr>
                <w:color w:val="000000"/>
              </w:rPr>
            </w:pPr>
            <w:r w:rsidRPr="00C52D23">
              <w:rPr>
                <w:color w:val="000000"/>
              </w:rPr>
              <w:t>3</w:t>
            </w:r>
          </w:p>
        </w:tc>
        <w:tc>
          <w:tcPr>
            <w:tcW w:w="2552" w:type="dxa"/>
            <w:vMerge w:val="restart"/>
            <w:tcBorders>
              <w:top w:val="nil"/>
              <w:left w:val="single" w:sz="4" w:space="0" w:color="auto"/>
              <w:bottom w:val="nil"/>
              <w:right w:val="nil"/>
            </w:tcBorders>
            <w:shd w:val="clear" w:color="auto" w:fill="D0CECE"/>
            <w:noWrap/>
            <w:vAlign w:val="center"/>
            <w:hideMark/>
          </w:tcPr>
          <w:p w14:paraId="36F8F6DC" w14:textId="77777777" w:rsidR="00246C6D" w:rsidRPr="00C52D23" w:rsidRDefault="00246C6D" w:rsidP="00747342">
            <w:pPr>
              <w:jc w:val="center"/>
              <w:rPr>
                <w:color w:val="000000"/>
              </w:rPr>
            </w:pPr>
            <w:r w:rsidRPr="00C52D23">
              <w:rPr>
                <w:color w:val="000000"/>
              </w:rPr>
              <w:t>12,71</w:t>
            </w:r>
          </w:p>
        </w:tc>
        <w:tc>
          <w:tcPr>
            <w:tcW w:w="4447" w:type="dxa"/>
            <w:tcBorders>
              <w:top w:val="nil"/>
              <w:left w:val="nil"/>
              <w:bottom w:val="single" w:sz="4" w:space="0" w:color="auto"/>
              <w:right w:val="nil"/>
            </w:tcBorders>
            <w:shd w:val="clear" w:color="auto" w:fill="D0CECE"/>
            <w:noWrap/>
            <w:vAlign w:val="center"/>
            <w:hideMark/>
          </w:tcPr>
          <w:p w14:paraId="08232A25" w14:textId="77777777" w:rsidR="00246C6D" w:rsidRPr="00C52D23" w:rsidRDefault="00246C6D" w:rsidP="00747342">
            <w:pPr>
              <w:rPr>
                <w:color w:val="000000"/>
              </w:rPr>
            </w:pPr>
            <w:r w:rsidRPr="00C52D23">
              <w:rPr>
                <w:color w:val="000000"/>
              </w:rPr>
              <w:t>Q6: Dificuldade de ingresso nas universidades públicas</w:t>
            </w:r>
          </w:p>
        </w:tc>
        <w:tc>
          <w:tcPr>
            <w:tcW w:w="1340" w:type="dxa"/>
            <w:tcBorders>
              <w:top w:val="nil"/>
              <w:left w:val="nil"/>
              <w:bottom w:val="single" w:sz="4" w:space="0" w:color="auto"/>
              <w:right w:val="nil"/>
            </w:tcBorders>
            <w:shd w:val="clear" w:color="auto" w:fill="D0CECE"/>
            <w:noWrap/>
            <w:vAlign w:val="center"/>
            <w:hideMark/>
          </w:tcPr>
          <w:p w14:paraId="48148736" w14:textId="77777777" w:rsidR="00246C6D" w:rsidRPr="00C52D23" w:rsidRDefault="00246C6D" w:rsidP="00747342">
            <w:pPr>
              <w:jc w:val="center"/>
              <w:rPr>
                <w:color w:val="000000"/>
              </w:rPr>
            </w:pPr>
            <w:r w:rsidRPr="00C52D23">
              <w:rPr>
                <w:color w:val="000000"/>
              </w:rPr>
              <w:t>0,808</w:t>
            </w:r>
          </w:p>
        </w:tc>
      </w:tr>
      <w:tr w:rsidR="00246C6D" w:rsidRPr="00911C86" w14:paraId="7F789C2B" w14:textId="77777777" w:rsidTr="00747342">
        <w:trPr>
          <w:trHeight w:val="300"/>
          <w:jc w:val="center"/>
        </w:trPr>
        <w:tc>
          <w:tcPr>
            <w:tcW w:w="709" w:type="dxa"/>
            <w:vMerge/>
            <w:tcBorders>
              <w:top w:val="nil"/>
              <w:left w:val="nil"/>
              <w:bottom w:val="single" w:sz="4" w:space="0" w:color="000000"/>
              <w:right w:val="single" w:sz="4" w:space="0" w:color="auto"/>
            </w:tcBorders>
            <w:shd w:val="clear" w:color="auto" w:fill="D0CECE"/>
            <w:vAlign w:val="center"/>
            <w:hideMark/>
          </w:tcPr>
          <w:p w14:paraId="068B0335" w14:textId="77777777" w:rsidR="00246C6D" w:rsidRPr="00C52D23" w:rsidRDefault="00246C6D" w:rsidP="00747342">
            <w:pPr>
              <w:jc w:val="center"/>
              <w:rPr>
                <w:color w:val="000000"/>
              </w:rPr>
            </w:pPr>
          </w:p>
        </w:tc>
        <w:tc>
          <w:tcPr>
            <w:tcW w:w="2552" w:type="dxa"/>
            <w:vMerge/>
            <w:tcBorders>
              <w:top w:val="nil"/>
              <w:left w:val="single" w:sz="4" w:space="0" w:color="auto"/>
              <w:bottom w:val="nil"/>
              <w:right w:val="nil"/>
            </w:tcBorders>
            <w:shd w:val="clear" w:color="auto" w:fill="D0CECE"/>
            <w:vAlign w:val="center"/>
            <w:hideMark/>
          </w:tcPr>
          <w:p w14:paraId="1E06A93A" w14:textId="77777777" w:rsidR="00246C6D" w:rsidRPr="00C52D23" w:rsidRDefault="00246C6D" w:rsidP="00747342">
            <w:pPr>
              <w:jc w:val="center"/>
              <w:rPr>
                <w:color w:val="000000"/>
              </w:rPr>
            </w:pPr>
          </w:p>
        </w:tc>
        <w:tc>
          <w:tcPr>
            <w:tcW w:w="4447" w:type="dxa"/>
            <w:tcBorders>
              <w:top w:val="nil"/>
              <w:left w:val="nil"/>
              <w:bottom w:val="single" w:sz="4" w:space="0" w:color="auto"/>
              <w:right w:val="nil"/>
            </w:tcBorders>
            <w:shd w:val="clear" w:color="auto" w:fill="D0CECE"/>
            <w:noWrap/>
            <w:vAlign w:val="center"/>
            <w:hideMark/>
          </w:tcPr>
          <w:p w14:paraId="0096C68E" w14:textId="77777777" w:rsidR="00246C6D" w:rsidRPr="00C52D23" w:rsidRDefault="00246C6D" w:rsidP="00747342">
            <w:pPr>
              <w:rPr>
                <w:color w:val="000000"/>
              </w:rPr>
            </w:pPr>
            <w:r w:rsidRPr="00C52D23">
              <w:rPr>
                <w:color w:val="000000"/>
              </w:rPr>
              <w:t>Q9: Pequena concorrência às vagas</w:t>
            </w:r>
          </w:p>
        </w:tc>
        <w:tc>
          <w:tcPr>
            <w:tcW w:w="1340" w:type="dxa"/>
            <w:tcBorders>
              <w:top w:val="nil"/>
              <w:left w:val="nil"/>
              <w:bottom w:val="single" w:sz="4" w:space="0" w:color="auto"/>
              <w:right w:val="nil"/>
            </w:tcBorders>
            <w:shd w:val="clear" w:color="auto" w:fill="D0CECE"/>
            <w:noWrap/>
            <w:vAlign w:val="center"/>
            <w:hideMark/>
          </w:tcPr>
          <w:p w14:paraId="334BD6B5" w14:textId="77777777" w:rsidR="00246C6D" w:rsidRPr="00C52D23" w:rsidRDefault="00246C6D" w:rsidP="00747342">
            <w:pPr>
              <w:jc w:val="center"/>
              <w:rPr>
                <w:color w:val="000000"/>
              </w:rPr>
            </w:pPr>
            <w:r w:rsidRPr="00C52D23">
              <w:rPr>
                <w:color w:val="000000"/>
              </w:rPr>
              <w:t>0,696</w:t>
            </w:r>
          </w:p>
        </w:tc>
      </w:tr>
      <w:tr w:rsidR="00246C6D" w:rsidRPr="00911C86" w14:paraId="21253049" w14:textId="77777777" w:rsidTr="00747342">
        <w:trPr>
          <w:trHeight w:val="300"/>
          <w:jc w:val="center"/>
        </w:trPr>
        <w:tc>
          <w:tcPr>
            <w:tcW w:w="709" w:type="dxa"/>
            <w:vMerge w:val="restart"/>
            <w:tcBorders>
              <w:top w:val="nil"/>
              <w:left w:val="nil"/>
              <w:bottom w:val="single" w:sz="4" w:space="0" w:color="000000"/>
              <w:right w:val="single" w:sz="4" w:space="0" w:color="auto"/>
            </w:tcBorders>
            <w:shd w:val="clear" w:color="auto" w:fill="auto"/>
            <w:noWrap/>
            <w:vAlign w:val="center"/>
            <w:hideMark/>
          </w:tcPr>
          <w:p w14:paraId="510C0EBA" w14:textId="77777777" w:rsidR="00246C6D" w:rsidRPr="00C52D23" w:rsidRDefault="00246C6D" w:rsidP="00747342">
            <w:pPr>
              <w:jc w:val="center"/>
              <w:rPr>
                <w:color w:val="000000"/>
              </w:rPr>
            </w:pPr>
            <w:r w:rsidRPr="00C52D23">
              <w:rPr>
                <w:color w:val="000000"/>
              </w:rPr>
              <w:t>4</w:t>
            </w:r>
          </w:p>
        </w:tc>
        <w:tc>
          <w:tcPr>
            <w:tcW w:w="2552"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569DC36B" w14:textId="77777777" w:rsidR="00246C6D" w:rsidRPr="00C52D23" w:rsidRDefault="00246C6D" w:rsidP="00747342">
            <w:pPr>
              <w:jc w:val="center"/>
              <w:rPr>
                <w:color w:val="000000"/>
              </w:rPr>
            </w:pPr>
            <w:r w:rsidRPr="00C52D23">
              <w:rPr>
                <w:color w:val="000000"/>
              </w:rPr>
              <w:t>10,26</w:t>
            </w:r>
          </w:p>
        </w:tc>
        <w:tc>
          <w:tcPr>
            <w:tcW w:w="4447" w:type="dxa"/>
            <w:tcBorders>
              <w:top w:val="nil"/>
              <w:left w:val="nil"/>
              <w:bottom w:val="single" w:sz="4" w:space="0" w:color="auto"/>
              <w:right w:val="nil"/>
            </w:tcBorders>
            <w:shd w:val="clear" w:color="auto" w:fill="auto"/>
            <w:noWrap/>
            <w:vAlign w:val="center"/>
            <w:hideMark/>
          </w:tcPr>
          <w:p w14:paraId="7D5ED581" w14:textId="77777777" w:rsidR="00246C6D" w:rsidRPr="00C52D23" w:rsidRDefault="00246C6D" w:rsidP="00747342">
            <w:pPr>
              <w:rPr>
                <w:color w:val="000000"/>
              </w:rPr>
            </w:pPr>
            <w:r w:rsidRPr="00C52D23">
              <w:rPr>
                <w:color w:val="000000"/>
              </w:rPr>
              <w:t>Q1: Amigos parentes que estudam, indicaram o curso</w:t>
            </w:r>
          </w:p>
        </w:tc>
        <w:tc>
          <w:tcPr>
            <w:tcW w:w="1340" w:type="dxa"/>
            <w:tcBorders>
              <w:top w:val="nil"/>
              <w:left w:val="nil"/>
              <w:bottom w:val="single" w:sz="4" w:space="0" w:color="auto"/>
              <w:right w:val="nil"/>
            </w:tcBorders>
            <w:shd w:val="clear" w:color="auto" w:fill="auto"/>
            <w:noWrap/>
            <w:vAlign w:val="center"/>
            <w:hideMark/>
          </w:tcPr>
          <w:p w14:paraId="3A31BCCF" w14:textId="77777777" w:rsidR="00246C6D" w:rsidRPr="00C52D23" w:rsidRDefault="00246C6D" w:rsidP="00747342">
            <w:pPr>
              <w:jc w:val="center"/>
              <w:rPr>
                <w:color w:val="000000"/>
              </w:rPr>
            </w:pPr>
            <w:r w:rsidRPr="00C52D23">
              <w:rPr>
                <w:color w:val="000000"/>
              </w:rPr>
              <w:t>0,826</w:t>
            </w:r>
          </w:p>
        </w:tc>
      </w:tr>
      <w:tr w:rsidR="00246C6D" w:rsidRPr="00911C86" w14:paraId="6F2270B6" w14:textId="77777777" w:rsidTr="00747342">
        <w:trPr>
          <w:trHeight w:val="300"/>
          <w:jc w:val="center"/>
        </w:trPr>
        <w:tc>
          <w:tcPr>
            <w:tcW w:w="709" w:type="dxa"/>
            <w:vMerge/>
            <w:tcBorders>
              <w:top w:val="nil"/>
              <w:left w:val="nil"/>
              <w:bottom w:val="single" w:sz="4" w:space="0" w:color="000000"/>
              <w:right w:val="single" w:sz="4" w:space="0" w:color="auto"/>
            </w:tcBorders>
            <w:vAlign w:val="center"/>
            <w:hideMark/>
          </w:tcPr>
          <w:p w14:paraId="2ABA2741" w14:textId="77777777" w:rsidR="00246C6D" w:rsidRPr="00C52D23" w:rsidRDefault="00246C6D" w:rsidP="00747342">
            <w:pPr>
              <w:jc w:val="center"/>
              <w:rPr>
                <w:color w:val="000000"/>
              </w:rPr>
            </w:pPr>
          </w:p>
        </w:tc>
        <w:tc>
          <w:tcPr>
            <w:tcW w:w="2552" w:type="dxa"/>
            <w:vMerge/>
            <w:tcBorders>
              <w:top w:val="single" w:sz="4" w:space="0" w:color="auto"/>
              <w:left w:val="single" w:sz="4" w:space="0" w:color="auto"/>
              <w:bottom w:val="single" w:sz="4" w:space="0" w:color="000000"/>
              <w:right w:val="nil"/>
            </w:tcBorders>
            <w:vAlign w:val="center"/>
            <w:hideMark/>
          </w:tcPr>
          <w:p w14:paraId="4280AE12" w14:textId="77777777" w:rsidR="00246C6D" w:rsidRPr="00C52D23" w:rsidRDefault="00246C6D" w:rsidP="00747342">
            <w:pPr>
              <w:rPr>
                <w:color w:val="000000"/>
              </w:rPr>
            </w:pPr>
          </w:p>
        </w:tc>
        <w:tc>
          <w:tcPr>
            <w:tcW w:w="4447" w:type="dxa"/>
            <w:tcBorders>
              <w:top w:val="nil"/>
              <w:left w:val="nil"/>
              <w:bottom w:val="single" w:sz="4" w:space="0" w:color="auto"/>
              <w:right w:val="nil"/>
            </w:tcBorders>
            <w:shd w:val="clear" w:color="auto" w:fill="auto"/>
            <w:noWrap/>
            <w:vAlign w:val="center"/>
            <w:hideMark/>
          </w:tcPr>
          <w:p w14:paraId="5DA2D0FD" w14:textId="77777777" w:rsidR="00246C6D" w:rsidRPr="00C52D23" w:rsidRDefault="00246C6D" w:rsidP="00747342">
            <w:pPr>
              <w:rPr>
                <w:color w:val="000000"/>
              </w:rPr>
            </w:pPr>
            <w:r w:rsidRPr="00C52D23">
              <w:rPr>
                <w:color w:val="000000"/>
              </w:rPr>
              <w:t>Q8: Influência dos pais</w:t>
            </w:r>
          </w:p>
        </w:tc>
        <w:tc>
          <w:tcPr>
            <w:tcW w:w="1340" w:type="dxa"/>
            <w:tcBorders>
              <w:top w:val="nil"/>
              <w:left w:val="nil"/>
              <w:bottom w:val="single" w:sz="4" w:space="0" w:color="auto"/>
              <w:right w:val="nil"/>
            </w:tcBorders>
            <w:shd w:val="clear" w:color="auto" w:fill="auto"/>
            <w:noWrap/>
            <w:vAlign w:val="center"/>
            <w:hideMark/>
          </w:tcPr>
          <w:p w14:paraId="4A385BB1" w14:textId="77777777" w:rsidR="00246C6D" w:rsidRPr="00C52D23" w:rsidRDefault="00246C6D" w:rsidP="00747342">
            <w:pPr>
              <w:jc w:val="center"/>
              <w:rPr>
                <w:color w:val="000000"/>
              </w:rPr>
            </w:pPr>
            <w:r w:rsidRPr="00C52D23">
              <w:rPr>
                <w:color w:val="000000"/>
              </w:rPr>
              <w:t>0,631</w:t>
            </w:r>
          </w:p>
        </w:tc>
      </w:tr>
    </w:tbl>
    <w:p w14:paraId="174AE709" w14:textId="77777777" w:rsidR="00246C6D" w:rsidRPr="002E241E" w:rsidRDefault="00246C6D" w:rsidP="00246C6D">
      <w:pPr>
        <w:tabs>
          <w:tab w:val="left" w:pos="284"/>
        </w:tabs>
        <w:jc w:val="both"/>
      </w:pPr>
      <w:r w:rsidRPr="002E241E">
        <w:t>Fonte: Dados da pesquisa.</w:t>
      </w:r>
    </w:p>
    <w:p w14:paraId="2F8E13EB" w14:textId="77777777" w:rsidR="00246C6D" w:rsidRDefault="00246C6D" w:rsidP="00246C6D">
      <w:pPr>
        <w:tabs>
          <w:tab w:val="left" w:pos="284"/>
        </w:tabs>
        <w:jc w:val="both"/>
      </w:pPr>
    </w:p>
    <w:p w14:paraId="789EFB6E" w14:textId="15072931" w:rsidR="00246C6D" w:rsidRDefault="00246C6D" w:rsidP="00162746">
      <w:pPr>
        <w:tabs>
          <w:tab w:val="left" w:pos="284"/>
        </w:tabs>
        <w:ind w:firstLine="709"/>
        <w:jc w:val="both"/>
        <w:rPr>
          <w:sz w:val="24"/>
          <w:szCs w:val="24"/>
        </w:rPr>
      </w:pPr>
      <w:r>
        <w:rPr>
          <w:sz w:val="24"/>
          <w:szCs w:val="24"/>
        </w:rPr>
        <w:t>Com base na Tabela 9, nomeou-se os quatro fatores conforme segue:</w:t>
      </w:r>
    </w:p>
    <w:p w14:paraId="06209BBB" w14:textId="77777777" w:rsidR="00246C6D" w:rsidRPr="009725A9" w:rsidRDefault="00246C6D" w:rsidP="00505EC3">
      <w:pPr>
        <w:pStyle w:val="PargrafodaLista"/>
        <w:numPr>
          <w:ilvl w:val="0"/>
          <w:numId w:val="3"/>
        </w:numPr>
        <w:tabs>
          <w:tab w:val="left" w:pos="284"/>
          <w:tab w:val="left" w:pos="851"/>
        </w:tabs>
        <w:suppressAutoHyphens w:val="0"/>
        <w:ind w:left="0" w:firstLine="709"/>
        <w:jc w:val="both"/>
        <w:rPr>
          <w:sz w:val="24"/>
          <w:szCs w:val="24"/>
        </w:rPr>
      </w:pPr>
      <w:r w:rsidRPr="003960A4">
        <w:rPr>
          <w:b/>
          <w:sz w:val="24"/>
          <w:szCs w:val="24"/>
        </w:rPr>
        <w:t>Fator 1:</w:t>
      </w:r>
      <w:r w:rsidRPr="009725A9">
        <w:rPr>
          <w:sz w:val="24"/>
          <w:szCs w:val="24"/>
        </w:rPr>
        <w:t xml:space="preserve"> Denominado </w:t>
      </w:r>
      <w:r w:rsidRPr="009725A9">
        <w:rPr>
          <w:i/>
          <w:sz w:val="24"/>
          <w:szCs w:val="24"/>
        </w:rPr>
        <w:t>Viabilidade e adequação do curso</w:t>
      </w:r>
      <w:r w:rsidRPr="009725A9">
        <w:rPr>
          <w:sz w:val="24"/>
          <w:szCs w:val="24"/>
        </w:rPr>
        <w:t xml:space="preserve">, composto por questões que indicam que o curso se adequa aos interesses dos estudantes, tanto de sua vocação quanto as condições do curso. </w:t>
      </w:r>
    </w:p>
    <w:p w14:paraId="2C0316A6" w14:textId="77777777" w:rsidR="00246C6D" w:rsidRPr="009725A9" w:rsidRDefault="00246C6D" w:rsidP="00505EC3">
      <w:pPr>
        <w:pStyle w:val="PargrafodaLista"/>
        <w:numPr>
          <w:ilvl w:val="0"/>
          <w:numId w:val="3"/>
        </w:numPr>
        <w:tabs>
          <w:tab w:val="left" w:pos="284"/>
          <w:tab w:val="left" w:pos="851"/>
        </w:tabs>
        <w:suppressAutoHyphens w:val="0"/>
        <w:ind w:left="0" w:firstLine="709"/>
        <w:jc w:val="both"/>
        <w:rPr>
          <w:sz w:val="24"/>
          <w:szCs w:val="24"/>
        </w:rPr>
      </w:pPr>
      <w:r w:rsidRPr="003960A4">
        <w:rPr>
          <w:b/>
          <w:sz w:val="24"/>
          <w:szCs w:val="24"/>
        </w:rPr>
        <w:lastRenderedPageBreak/>
        <w:t>Fator 2:</w:t>
      </w:r>
      <w:r w:rsidRPr="009725A9">
        <w:rPr>
          <w:sz w:val="24"/>
          <w:szCs w:val="24"/>
        </w:rPr>
        <w:t xml:space="preserve"> Denominado </w:t>
      </w:r>
      <w:r w:rsidRPr="009725A9">
        <w:rPr>
          <w:i/>
          <w:sz w:val="24"/>
          <w:szCs w:val="24"/>
        </w:rPr>
        <w:t xml:space="preserve">Carreira profissional, </w:t>
      </w:r>
      <w:r w:rsidRPr="009725A9">
        <w:rPr>
          <w:sz w:val="24"/>
          <w:szCs w:val="24"/>
        </w:rPr>
        <w:t>formado por questões referentes as características da profissão</w:t>
      </w:r>
      <w:r>
        <w:rPr>
          <w:sz w:val="24"/>
          <w:szCs w:val="24"/>
        </w:rPr>
        <w:t xml:space="preserve">, como: </w:t>
      </w:r>
      <w:r w:rsidRPr="009725A9">
        <w:rPr>
          <w:sz w:val="24"/>
          <w:szCs w:val="24"/>
        </w:rPr>
        <w:t xml:space="preserve">a imagem que a profissão possui e suas possibilidades de remuneração. </w:t>
      </w:r>
    </w:p>
    <w:p w14:paraId="0D889D3F" w14:textId="77777777" w:rsidR="00246C6D" w:rsidRPr="009725A9" w:rsidRDefault="00246C6D" w:rsidP="00505EC3">
      <w:pPr>
        <w:pStyle w:val="PargrafodaLista"/>
        <w:numPr>
          <w:ilvl w:val="0"/>
          <w:numId w:val="3"/>
        </w:numPr>
        <w:tabs>
          <w:tab w:val="left" w:pos="284"/>
          <w:tab w:val="left" w:pos="851"/>
        </w:tabs>
        <w:suppressAutoHyphens w:val="0"/>
        <w:ind w:left="0" w:firstLine="709"/>
        <w:jc w:val="both"/>
        <w:rPr>
          <w:sz w:val="24"/>
          <w:szCs w:val="24"/>
        </w:rPr>
      </w:pPr>
      <w:r w:rsidRPr="003960A4">
        <w:rPr>
          <w:b/>
          <w:sz w:val="24"/>
          <w:szCs w:val="24"/>
        </w:rPr>
        <w:t>Fator 3:</w:t>
      </w:r>
      <w:r w:rsidRPr="009725A9">
        <w:rPr>
          <w:sz w:val="24"/>
          <w:szCs w:val="24"/>
        </w:rPr>
        <w:t xml:space="preserve"> Denominado </w:t>
      </w:r>
      <w:r w:rsidRPr="009725A9">
        <w:rPr>
          <w:i/>
          <w:sz w:val="24"/>
          <w:szCs w:val="24"/>
        </w:rPr>
        <w:t xml:space="preserve">Acesso, </w:t>
      </w:r>
      <w:r w:rsidRPr="009725A9">
        <w:rPr>
          <w:sz w:val="24"/>
          <w:szCs w:val="24"/>
        </w:rPr>
        <w:t>formado por questões referentes a entrada na instituição.</w:t>
      </w:r>
    </w:p>
    <w:p w14:paraId="4D05438A" w14:textId="77777777" w:rsidR="00246C6D" w:rsidRDefault="00246C6D" w:rsidP="00505EC3">
      <w:pPr>
        <w:pStyle w:val="PargrafodaLista"/>
        <w:numPr>
          <w:ilvl w:val="0"/>
          <w:numId w:val="3"/>
        </w:numPr>
        <w:tabs>
          <w:tab w:val="left" w:pos="284"/>
          <w:tab w:val="left" w:pos="851"/>
        </w:tabs>
        <w:suppressAutoHyphens w:val="0"/>
        <w:ind w:left="0" w:firstLine="709"/>
        <w:jc w:val="both"/>
        <w:rPr>
          <w:sz w:val="24"/>
          <w:szCs w:val="24"/>
        </w:rPr>
      </w:pPr>
      <w:r w:rsidRPr="003960A4">
        <w:rPr>
          <w:b/>
          <w:sz w:val="24"/>
          <w:szCs w:val="24"/>
        </w:rPr>
        <w:t>Fator 4:</w:t>
      </w:r>
      <w:r w:rsidRPr="009725A9">
        <w:rPr>
          <w:sz w:val="24"/>
          <w:szCs w:val="24"/>
        </w:rPr>
        <w:t xml:space="preserve"> Denominado </w:t>
      </w:r>
      <w:r w:rsidRPr="00BA1B67">
        <w:rPr>
          <w:i/>
          <w:sz w:val="24"/>
          <w:szCs w:val="24"/>
        </w:rPr>
        <w:t>Influência de terceiros</w:t>
      </w:r>
      <w:r w:rsidRPr="009725A9">
        <w:rPr>
          <w:sz w:val="24"/>
          <w:szCs w:val="24"/>
        </w:rPr>
        <w:t>, composto pelas questões que indicam que houve discussão e influência na escolha pelo</w:t>
      </w:r>
      <w:r>
        <w:rPr>
          <w:sz w:val="24"/>
          <w:szCs w:val="24"/>
        </w:rPr>
        <w:t xml:space="preserve"> curso, indiferente de quem influenciou.</w:t>
      </w:r>
    </w:p>
    <w:p w14:paraId="5DFCF42D" w14:textId="77777777" w:rsidR="00246C6D" w:rsidRDefault="00246C6D" w:rsidP="00246C6D">
      <w:pPr>
        <w:tabs>
          <w:tab w:val="left" w:pos="284"/>
        </w:tabs>
        <w:jc w:val="both"/>
        <w:rPr>
          <w:sz w:val="24"/>
          <w:szCs w:val="24"/>
        </w:rPr>
      </w:pPr>
    </w:p>
    <w:p w14:paraId="4C304387" w14:textId="77777777" w:rsidR="00246C6D" w:rsidRDefault="00246C6D" w:rsidP="00505EC3">
      <w:pPr>
        <w:tabs>
          <w:tab w:val="left" w:pos="284"/>
        </w:tabs>
        <w:ind w:firstLine="709"/>
        <w:jc w:val="both"/>
        <w:rPr>
          <w:sz w:val="24"/>
          <w:szCs w:val="24"/>
        </w:rPr>
      </w:pPr>
      <w:r>
        <w:rPr>
          <w:sz w:val="24"/>
          <w:szCs w:val="24"/>
        </w:rPr>
        <w:t xml:space="preserve">As questões que se destacam na escolha do curso de Ciências Contábeis desta instituição foram: </w:t>
      </w:r>
      <w:r w:rsidRPr="005955CE">
        <w:rPr>
          <w:b/>
          <w:sz w:val="24"/>
          <w:szCs w:val="24"/>
        </w:rPr>
        <w:t>Q3</w:t>
      </w:r>
      <w:r>
        <w:rPr>
          <w:sz w:val="24"/>
          <w:szCs w:val="24"/>
        </w:rPr>
        <w:t xml:space="preserve">: Atendimento de minhas aptidões pessoais; </w:t>
      </w:r>
      <w:r w:rsidRPr="005955CE">
        <w:rPr>
          <w:b/>
          <w:sz w:val="24"/>
          <w:szCs w:val="24"/>
        </w:rPr>
        <w:t>Q4</w:t>
      </w:r>
      <w:r>
        <w:rPr>
          <w:sz w:val="24"/>
          <w:szCs w:val="24"/>
        </w:rPr>
        <w:t xml:space="preserve">: Bom nível de exigência do curso; e </w:t>
      </w:r>
      <w:r w:rsidRPr="005955CE">
        <w:rPr>
          <w:b/>
          <w:sz w:val="24"/>
          <w:szCs w:val="24"/>
        </w:rPr>
        <w:t>Q5:</w:t>
      </w:r>
      <w:r>
        <w:rPr>
          <w:sz w:val="24"/>
          <w:szCs w:val="24"/>
        </w:rPr>
        <w:t xml:space="preserve"> Condição de estudar e trabalhar ao mesmo tempo com 27% da variância explicada, estas formaram o fator 1 - </w:t>
      </w:r>
      <w:r w:rsidRPr="008B039E">
        <w:rPr>
          <w:i/>
          <w:sz w:val="24"/>
          <w:szCs w:val="24"/>
        </w:rPr>
        <w:t>Viabilidade e adequação ao curso</w:t>
      </w:r>
      <w:r>
        <w:rPr>
          <w:sz w:val="24"/>
          <w:szCs w:val="24"/>
        </w:rPr>
        <w:t xml:space="preserve">. Apesar de </w:t>
      </w:r>
      <w:r w:rsidRPr="005955CE">
        <w:rPr>
          <w:b/>
          <w:sz w:val="24"/>
          <w:szCs w:val="24"/>
        </w:rPr>
        <w:t>Q3</w:t>
      </w:r>
      <w:r>
        <w:rPr>
          <w:sz w:val="24"/>
          <w:szCs w:val="24"/>
        </w:rPr>
        <w:t xml:space="preserve"> ser uma questão própria do acadêmico e independente de ações institucionais, o curso demonstra boa adequação a </w:t>
      </w:r>
      <w:r w:rsidRPr="005955CE">
        <w:rPr>
          <w:b/>
          <w:sz w:val="24"/>
          <w:szCs w:val="24"/>
        </w:rPr>
        <w:t xml:space="preserve">Q4 </w:t>
      </w:r>
      <w:r>
        <w:rPr>
          <w:sz w:val="24"/>
          <w:szCs w:val="24"/>
        </w:rPr>
        <w:t xml:space="preserve">e </w:t>
      </w:r>
      <w:r w:rsidRPr="005955CE">
        <w:rPr>
          <w:b/>
          <w:sz w:val="24"/>
          <w:szCs w:val="24"/>
        </w:rPr>
        <w:t>Q5</w:t>
      </w:r>
      <w:r>
        <w:rPr>
          <w:sz w:val="24"/>
          <w:szCs w:val="24"/>
        </w:rPr>
        <w:t xml:space="preserve">. O curso é ofertado no período noturno, enquadrando-se nas possibilidades dos estudantes. E quanto ao nível de exigência o curso vem mantendo bons resultados no ENADE, tendo obtido conceito 4 na avaliação de 2015. Está entre os 5 colocados em qualidade do ensino pelo </w:t>
      </w:r>
      <w:r w:rsidRPr="00A82C3E">
        <w:rPr>
          <w:i/>
          <w:sz w:val="24"/>
          <w:szCs w:val="24"/>
        </w:rPr>
        <w:t>Ranking</w:t>
      </w:r>
      <w:r>
        <w:rPr>
          <w:sz w:val="24"/>
          <w:szCs w:val="24"/>
        </w:rPr>
        <w:t xml:space="preserve"> Universitário Folha (RUF- 2017) e entre os 100 primeiros em avaliação de mercado. Sua posição geral está entre os 50 melhores curso de Ciências Contábeis do Brasil (as posições exatas não são indicadas para manter o anonimato da instituição). </w:t>
      </w:r>
    </w:p>
    <w:p w14:paraId="729B826F" w14:textId="77777777" w:rsidR="00246C6D" w:rsidRDefault="00246C6D" w:rsidP="00505EC3">
      <w:pPr>
        <w:tabs>
          <w:tab w:val="left" w:pos="284"/>
        </w:tabs>
        <w:ind w:firstLine="709"/>
        <w:jc w:val="both"/>
        <w:rPr>
          <w:sz w:val="24"/>
          <w:szCs w:val="24"/>
        </w:rPr>
      </w:pPr>
      <w:r>
        <w:rPr>
          <w:sz w:val="24"/>
          <w:szCs w:val="24"/>
        </w:rPr>
        <w:t xml:space="preserve">A alta explicação do fator </w:t>
      </w:r>
      <w:r w:rsidRPr="008B039E">
        <w:rPr>
          <w:i/>
          <w:sz w:val="24"/>
          <w:szCs w:val="24"/>
        </w:rPr>
        <w:t>Carreira profissional</w:t>
      </w:r>
      <w:r>
        <w:rPr>
          <w:sz w:val="24"/>
          <w:szCs w:val="24"/>
        </w:rPr>
        <w:t xml:space="preserve"> demonstra que os estudantes têm uma boa impressão da carreira de Contador, bem como suas amplas possibilidades de atuação e remuneração. Por fim, considera-se positivo o fator </w:t>
      </w:r>
      <w:r w:rsidRPr="008B039E">
        <w:rPr>
          <w:i/>
          <w:sz w:val="24"/>
          <w:szCs w:val="24"/>
        </w:rPr>
        <w:t>Influência de terceiros</w:t>
      </w:r>
      <w:r>
        <w:rPr>
          <w:i/>
          <w:sz w:val="24"/>
          <w:szCs w:val="24"/>
        </w:rPr>
        <w:t xml:space="preserve"> </w:t>
      </w:r>
      <w:r>
        <w:rPr>
          <w:sz w:val="24"/>
          <w:szCs w:val="24"/>
        </w:rPr>
        <w:t xml:space="preserve">ter sido o menos significativo, pois a chance de um aluno que ingressou por influência evadir é maior do que aquele que acredita ter as aptidões e se identificar com a carreira. No geral, os quatro fatores explicam aproximadamente 63% da variância. Os resultados obtidos corroboram com os achados de Assis (2013), entretanto, a sua variância de 59% foi explicada em três fatores. A distribuição dos fatores ocorreu de modo esperado, em que as questões semelhantes realmente formaram os fatores, sendo bem claro na matriz dos componentes. </w:t>
      </w:r>
    </w:p>
    <w:p w14:paraId="52E7C7D8" w14:textId="77777777" w:rsidR="00246C6D" w:rsidRDefault="00246C6D" w:rsidP="00246C6D">
      <w:pPr>
        <w:tabs>
          <w:tab w:val="left" w:pos="284"/>
        </w:tabs>
        <w:jc w:val="both"/>
        <w:rPr>
          <w:sz w:val="24"/>
          <w:szCs w:val="24"/>
        </w:rPr>
      </w:pPr>
    </w:p>
    <w:p w14:paraId="20EA9C7C" w14:textId="77777777" w:rsidR="00246C6D" w:rsidRPr="004C043D" w:rsidRDefault="00246C6D" w:rsidP="00246C6D">
      <w:pPr>
        <w:tabs>
          <w:tab w:val="left" w:pos="284"/>
        </w:tabs>
        <w:jc w:val="both"/>
        <w:rPr>
          <w:b/>
          <w:sz w:val="24"/>
          <w:szCs w:val="24"/>
        </w:rPr>
      </w:pPr>
      <w:r w:rsidRPr="004C043D">
        <w:rPr>
          <w:b/>
          <w:sz w:val="24"/>
          <w:szCs w:val="24"/>
        </w:rPr>
        <w:t>4.2.2 Fatores de abandono do curso</w:t>
      </w:r>
    </w:p>
    <w:p w14:paraId="638213EA" w14:textId="31E59AF2" w:rsidR="00246C6D" w:rsidRDefault="00246C6D" w:rsidP="00505EC3">
      <w:pPr>
        <w:tabs>
          <w:tab w:val="left" w:pos="284"/>
        </w:tabs>
        <w:ind w:firstLine="709"/>
        <w:jc w:val="both"/>
        <w:rPr>
          <w:sz w:val="24"/>
          <w:szCs w:val="24"/>
        </w:rPr>
      </w:pPr>
      <w:r>
        <w:rPr>
          <w:sz w:val="24"/>
          <w:szCs w:val="24"/>
        </w:rPr>
        <w:t xml:space="preserve">De modo análogo a análise anterior, foram realizados os testes KMO e esfericidade de </w:t>
      </w:r>
      <w:proofErr w:type="spellStart"/>
      <w:r>
        <w:rPr>
          <w:sz w:val="24"/>
          <w:szCs w:val="24"/>
        </w:rPr>
        <w:t>B</w:t>
      </w:r>
      <w:r w:rsidRPr="00BA1B67">
        <w:rPr>
          <w:i/>
          <w:sz w:val="24"/>
          <w:szCs w:val="24"/>
        </w:rPr>
        <w:t>arlett</w:t>
      </w:r>
      <w:proofErr w:type="spellEnd"/>
      <w:r>
        <w:rPr>
          <w:sz w:val="24"/>
          <w:szCs w:val="24"/>
        </w:rPr>
        <w:t>, obtendo-se respectivamente os valores 0,734 e 0,000. O valor do KMO obtido nessa análise foi superior na anterior, considerado médio segundo Fávero</w:t>
      </w:r>
      <w:r w:rsidR="00EB2F1D">
        <w:rPr>
          <w:sz w:val="24"/>
          <w:szCs w:val="24"/>
        </w:rPr>
        <w:t>,</w:t>
      </w:r>
      <w:r>
        <w:rPr>
          <w:sz w:val="24"/>
          <w:szCs w:val="24"/>
        </w:rPr>
        <w:t xml:space="preserve"> </w:t>
      </w:r>
      <w:r w:rsidR="00EB2F1D">
        <w:rPr>
          <w:sz w:val="24"/>
          <w:szCs w:val="24"/>
        </w:rPr>
        <w:t xml:space="preserve">et. </w:t>
      </w:r>
      <w:proofErr w:type="gramStart"/>
      <w:r w:rsidR="00EB2F1D" w:rsidRPr="00271D73">
        <w:rPr>
          <w:i/>
          <w:sz w:val="24"/>
          <w:szCs w:val="24"/>
        </w:rPr>
        <w:t>al</w:t>
      </w:r>
      <w:proofErr w:type="gramEnd"/>
      <w:r w:rsidR="00EB2F1D">
        <w:rPr>
          <w:sz w:val="24"/>
          <w:szCs w:val="24"/>
        </w:rPr>
        <w:t xml:space="preserve"> </w:t>
      </w:r>
      <w:r>
        <w:rPr>
          <w:sz w:val="24"/>
          <w:szCs w:val="24"/>
        </w:rPr>
        <w:t>(2009).</w:t>
      </w:r>
    </w:p>
    <w:p w14:paraId="1042F42B" w14:textId="77777777" w:rsidR="00246C6D" w:rsidRDefault="00246C6D" w:rsidP="00246C6D">
      <w:pPr>
        <w:tabs>
          <w:tab w:val="left" w:pos="284"/>
        </w:tabs>
        <w:jc w:val="both"/>
        <w:rPr>
          <w:sz w:val="24"/>
          <w:szCs w:val="24"/>
        </w:rPr>
      </w:pPr>
    </w:p>
    <w:p w14:paraId="739DC845" w14:textId="77777777" w:rsidR="00246C6D" w:rsidRPr="00C52D23" w:rsidRDefault="00246C6D" w:rsidP="00246C6D">
      <w:pPr>
        <w:tabs>
          <w:tab w:val="left" w:pos="284"/>
        </w:tabs>
      </w:pPr>
      <w:r w:rsidRPr="00C52D23">
        <w:rPr>
          <w:b/>
        </w:rPr>
        <w:t>Tabela 10 – Fatores de abandono do curso</w:t>
      </w:r>
    </w:p>
    <w:tbl>
      <w:tblPr>
        <w:tblW w:w="8887" w:type="dxa"/>
        <w:jc w:val="center"/>
        <w:tblCellMar>
          <w:left w:w="70" w:type="dxa"/>
          <w:right w:w="70" w:type="dxa"/>
        </w:tblCellMar>
        <w:tblLook w:val="04A0" w:firstRow="1" w:lastRow="0" w:firstColumn="1" w:lastColumn="0" w:noHBand="0" w:noVBand="1"/>
      </w:tblPr>
      <w:tblGrid>
        <w:gridCol w:w="618"/>
        <w:gridCol w:w="1083"/>
        <w:gridCol w:w="6193"/>
        <w:gridCol w:w="993"/>
      </w:tblGrid>
      <w:tr w:rsidR="00246C6D" w:rsidRPr="00911C86" w14:paraId="3502ED62" w14:textId="77777777" w:rsidTr="00747342">
        <w:trPr>
          <w:trHeight w:val="900"/>
          <w:jc w:val="center"/>
        </w:trPr>
        <w:tc>
          <w:tcPr>
            <w:tcW w:w="618" w:type="dxa"/>
            <w:tcBorders>
              <w:top w:val="single" w:sz="4" w:space="0" w:color="auto"/>
              <w:left w:val="nil"/>
              <w:bottom w:val="single" w:sz="4" w:space="0" w:color="auto"/>
              <w:right w:val="single" w:sz="4" w:space="0" w:color="auto"/>
            </w:tcBorders>
            <w:shd w:val="clear" w:color="000000" w:fill="FFFFFF"/>
            <w:noWrap/>
            <w:vAlign w:val="center"/>
            <w:hideMark/>
          </w:tcPr>
          <w:p w14:paraId="0718F72E" w14:textId="77777777" w:rsidR="00246C6D" w:rsidRPr="00C52D23" w:rsidRDefault="00246C6D" w:rsidP="00747342">
            <w:pPr>
              <w:jc w:val="center"/>
              <w:rPr>
                <w:b/>
                <w:color w:val="000000"/>
              </w:rPr>
            </w:pPr>
            <w:r w:rsidRPr="00C52D23">
              <w:rPr>
                <w:b/>
                <w:color w:val="000000"/>
              </w:rPr>
              <w:t>Fator</w:t>
            </w:r>
          </w:p>
        </w:tc>
        <w:tc>
          <w:tcPr>
            <w:tcW w:w="1083" w:type="dxa"/>
            <w:tcBorders>
              <w:top w:val="single" w:sz="4" w:space="0" w:color="auto"/>
              <w:left w:val="nil"/>
              <w:bottom w:val="single" w:sz="4" w:space="0" w:color="auto"/>
              <w:right w:val="nil"/>
            </w:tcBorders>
            <w:shd w:val="clear" w:color="000000" w:fill="FFFFFF"/>
            <w:vAlign w:val="center"/>
            <w:hideMark/>
          </w:tcPr>
          <w:p w14:paraId="63CF59C7" w14:textId="77777777" w:rsidR="00246C6D" w:rsidRPr="00C52D23" w:rsidRDefault="00246C6D" w:rsidP="00747342">
            <w:pPr>
              <w:jc w:val="center"/>
              <w:rPr>
                <w:b/>
                <w:color w:val="000000"/>
              </w:rPr>
            </w:pPr>
            <w:r w:rsidRPr="00C52D23">
              <w:rPr>
                <w:b/>
                <w:color w:val="000000"/>
              </w:rPr>
              <w:t>Variância explicada (%)</w:t>
            </w:r>
          </w:p>
        </w:tc>
        <w:tc>
          <w:tcPr>
            <w:tcW w:w="6193" w:type="dxa"/>
            <w:tcBorders>
              <w:top w:val="single" w:sz="4" w:space="0" w:color="auto"/>
              <w:left w:val="nil"/>
              <w:bottom w:val="single" w:sz="4" w:space="0" w:color="auto"/>
              <w:right w:val="nil"/>
            </w:tcBorders>
            <w:shd w:val="clear" w:color="000000" w:fill="FFFFFF"/>
            <w:noWrap/>
            <w:vAlign w:val="center"/>
            <w:hideMark/>
          </w:tcPr>
          <w:p w14:paraId="24B41EBB" w14:textId="77777777" w:rsidR="00246C6D" w:rsidRPr="00C52D23" w:rsidRDefault="00246C6D" w:rsidP="00747342">
            <w:pPr>
              <w:jc w:val="center"/>
              <w:rPr>
                <w:b/>
                <w:color w:val="000000"/>
              </w:rPr>
            </w:pPr>
            <w:r w:rsidRPr="00C52D23">
              <w:rPr>
                <w:b/>
                <w:color w:val="000000"/>
              </w:rPr>
              <w:t>Questão</w:t>
            </w:r>
          </w:p>
        </w:tc>
        <w:tc>
          <w:tcPr>
            <w:tcW w:w="993" w:type="dxa"/>
            <w:tcBorders>
              <w:top w:val="single" w:sz="4" w:space="0" w:color="auto"/>
              <w:left w:val="nil"/>
              <w:bottom w:val="single" w:sz="4" w:space="0" w:color="auto"/>
              <w:right w:val="nil"/>
            </w:tcBorders>
            <w:shd w:val="clear" w:color="000000" w:fill="FFFFFF"/>
            <w:noWrap/>
            <w:vAlign w:val="center"/>
            <w:hideMark/>
          </w:tcPr>
          <w:p w14:paraId="2D0BB3F1" w14:textId="77777777" w:rsidR="00246C6D" w:rsidRPr="00C52D23" w:rsidRDefault="00246C6D" w:rsidP="00747342">
            <w:pPr>
              <w:jc w:val="center"/>
              <w:rPr>
                <w:b/>
                <w:color w:val="000000"/>
              </w:rPr>
            </w:pPr>
            <w:r w:rsidRPr="00C52D23">
              <w:rPr>
                <w:b/>
                <w:color w:val="000000"/>
              </w:rPr>
              <w:t>Carga fatorial</w:t>
            </w:r>
          </w:p>
        </w:tc>
      </w:tr>
      <w:tr w:rsidR="00246C6D" w:rsidRPr="00911C86" w14:paraId="3D3D93D2" w14:textId="77777777" w:rsidTr="00747342">
        <w:trPr>
          <w:trHeight w:val="300"/>
          <w:jc w:val="center"/>
        </w:trPr>
        <w:tc>
          <w:tcPr>
            <w:tcW w:w="618" w:type="dxa"/>
            <w:vMerge w:val="restart"/>
            <w:tcBorders>
              <w:top w:val="nil"/>
              <w:left w:val="nil"/>
              <w:bottom w:val="single" w:sz="4" w:space="0" w:color="000000"/>
              <w:right w:val="single" w:sz="4" w:space="0" w:color="auto"/>
            </w:tcBorders>
            <w:shd w:val="clear" w:color="auto" w:fill="D0CECE"/>
            <w:noWrap/>
            <w:vAlign w:val="center"/>
            <w:hideMark/>
          </w:tcPr>
          <w:p w14:paraId="4C59915B" w14:textId="77777777" w:rsidR="00246C6D" w:rsidRPr="00C52D23" w:rsidRDefault="00246C6D" w:rsidP="00747342">
            <w:pPr>
              <w:jc w:val="center"/>
              <w:rPr>
                <w:color w:val="000000"/>
              </w:rPr>
            </w:pPr>
            <w:r w:rsidRPr="00C52D23">
              <w:rPr>
                <w:color w:val="000000"/>
              </w:rPr>
              <w:t>1</w:t>
            </w:r>
          </w:p>
        </w:tc>
        <w:tc>
          <w:tcPr>
            <w:tcW w:w="1083" w:type="dxa"/>
            <w:vMerge w:val="restart"/>
            <w:tcBorders>
              <w:top w:val="nil"/>
              <w:left w:val="nil"/>
              <w:bottom w:val="single" w:sz="4" w:space="0" w:color="000000"/>
              <w:right w:val="nil"/>
            </w:tcBorders>
            <w:shd w:val="clear" w:color="auto" w:fill="D0CECE"/>
            <w:noWrap/>
            <w:vAlign w:val="center"/>
            <w:hideMark/>
          </w:tcPr>
          <w:p w14:paraId="232A3836" w14:textId="77777777" w:rsidR="00246C6D" w:rsidRPr="00C52D23" w:rsidRDefault="00246C6D" w:rsidP="00747342">
            <w:pPr>
              <w:jc w:val="center"/>
              <w:rPr>
                <w:color w:val="000000"/>
              </w:rPr>
            </w:pPr>
            <w:r w:rsidRPr="00C52D23">
              <w:rPr>
                <w:color w:val="000000"/>
              </w:rPr>
              <w:t>24,6</w:t>
            </w:r>
          </w:p>
        </w:tc>
        <w:tc>
          <w:tcPr>
            <w:tcW w:w="6193" w:type="dxa"/>
            <w:tcBorders>
              <w:top w:val="nil"/>
              <w:left w:val="nil"/>
              <w:bottom w:val="single" w:sz="4" w:space="0" w:color="auto"/>
              <w:right w:val="nil"/>
            </w:tcBorders>
            <w:shd w:val="clear" w:color="auto" w:fill="D0CECE"/>
            <w:noWrap/>
            <w:vAlign w:val="center"/>
            <w:hideMark/>
          </w:tcPr>
          <w:p w14:paraId="25BB3587" w14:textId="77777777" w:rsidR="00246C6D" w:rsidRPr="00C52D23" w:rsidRDefault="00246C6D" w:rsidP="00747342">
            <w:pPr>
              <w:rPr>
                <w:color w:val="000000"/>
              </w:rPr>
            </w:pPr>
            <w:r w:rsidRPr="00C52D23">
              <w:rPr>
                <w:color w:val="000000"/>
              </w:rPr>
              <w:t>Q13: Mudança de interesse, opção de vida e/ou indecisão profissional</w:t>
            </w:r>
          </w:p>
        </w:tc>
        <w:tc>
          <w:tcPr>
            <w:tcW w:w="993" w:type="dxa"/>
            <w:tcBorders>
              <w:top w:val="nil"/>
              <w:left w:val="nil"/>
              <w:bottom w:val="single" w:sz="4" w:space="0" w:color="auto"/>
              <w:right w:val="nil"/>
            </w:tcBorders>
            <w:shd w:val="clear" w:color="auto" w:fill="D0CECE"/>
            <w:noWrap/>
            <w:vAlign w:val="center"/>
            <w:hideMark/>
          </w:tcPr>
          <w:p w14:paraId="1A014194" w14:textId="77777777" w:rsidR="00246C6D" w:rsidRPr="00C52D23" w:rsidRDefault="00246C6D" w:rsidP="00747342">
            <w:pPr>
              <w:jc w:val="center"/>
              <w:rPr>
                <w:color w:val="000000"/>
              </w:rPr>
            </w:pPr>
            <w:r w:rsidRPr="00C52D23">
              <w:rPr>
                <w:color w:val="000000"/>
              </w:rPr>
              <w:t>0,610</w:t>
            </w:r>
          </w:p>
        </w:tc>
      </w:tr>
      <w:tr w:rsidR="00246C6D" w:rsidRPr="00911C86" w14:paraId="25750B5A"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7E5CBCF2"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46C99210"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3DF55D48" w14:textId="77777777" w:rsidR="00246C6D" w:rsidRPr="00C52D23" w:rsidRDefault="00246C6D" w:rsidP="00747342">
            <w:pPr>
              <w:rPr>
                <w:color w:val="000000"/>
              </w:rPr>
            </w:pPr>
            <w:r w:rsidRPr="00C52D23">
              <w:rPr>
                <w:color w:val="000000"/>
              </w:rPr>
              <w:t>Q14: Problemas de saúde ou falecimento</w:t>
            </w:r>
          </w:p>
        </w:tc>
        <w:tc>
          <w:tcPr>
            <w:tcW w:w="993" w:type="dxa"/>
            <w:tcBorders>
              <w:top w:val="nil"/>
              <w:left w:val="nil"/>
              <w:bottom w:val="single" w:sz="4" w:space="0" w:color="auto"/>
              <w:right w:val="nil"/>
            </w:tcBorders>
            <w:shd w:val="clear" w:color="auto" w:fill="D0CECE"/>
            <w:noWrap/>
            <w:vAlign w:val="center"/>
            <w:hideMark/>
          </w:tcPr>
          <w:p w14:paraId="09087B76" w14:textId="77777777" w:rsidR="00246C6D" w:rsidRPr="00C52D23" w:rsidRDefault="00246C6D" w:rsidP="00747342">
            <w:pPr>
              <w:jc w:val="center"/>
              <w:rPr>
                <w:color w:val="000000"/>
              </w:rPr>
            </w:pPr>
            <w:r w:rsidRPr="00C52D23">
              <w:rPr>
                <w:color w:val="000000"/>
              </w:rPr>
              <w:t>0,681</w:t>
            </w:r>
          </w:p>
        </w:tc>
      </w:tr>
      <w:tr w:rsidR="00246C6D" w:rsidRPr="00911C86" w14:paraId="0554BAF6"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164138FD"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5F340BB7"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6AB24218" w14:textId="77777777" w:rsidR="00246C6D" w:rsidRPr="00C52D23" w:rsidRDefault="00246C6D" w:rsidP="00747342">
            <w:pPr>
              <w:rPr>
                <w:color w:val="000000"/>
              </w:rPr>
            </w:pPr>
            <w:r w:rsidRPr="00C52D23">
              <w:rPr>
                <w:color w:val="000000"/>
              </w:rPr>
              <w:t>Q17: Mudança de residência/domicílio</w:t>
            </w:r>
          </w:p>
        </w:tc>
        <w:tc>
          <w:tcPr>
            <w:tcW w:w="993" w:type="dxa"/>
            <w:tcBorders>
              <w:top w:val="nil"/>
              <w:left w:val="nil"/>
              <w:bottom w:val="single" w:sz="4" w:space="0" w:color="auto"/>
              <w:right w:val="nil"/>
            </w:tcBorders>
            <w:shd w:val="clear" w:color="auto" w:fill="D0CECE"/>
            <w:noWrap/>
            <w:vAlign w:val="center"/>
            <w:hideMark/>
          </w:tcPr>
          <w:p w14:paraId="539E9205" w14:textId="77777777" w:rsidR="00246C6D" w:rsidRPr="00C52D23" w:rsidRDefault="00246C6D" w:rsidP="00747342">
            <w:pPr>
              <w:jc w:val="center"/>
              <w:rPr>
                <w:color w:val="000000"/>
              </w:rPr>
            </w:pPr>
            <w:r w:rsidRPr="00C52D23">
              <w:rPr>
                <w:color w:val="000000"/>
              </w:rPr>
              <w:t>0,700</w:t>
            </w:r>
          </w:p>
        </w:tc>
      </w:tr>
      <w:tr w:rsidR="00246C6D" w:rsidRPr="00911C86" w14:paraId="4D521F70"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1E952D7C"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5BFEB7C6"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55DD1CF1" w14:textId="77777777" w:rsidR="00246C6D" w:rsidRPr="00C52D23" w:rsidRDefault="00246C6D" w:rsidP="00747342">
            <w:pPr>
              <w:rPr>
                <w:color w:val="000000"/>
              </w:rPr>
            </w:pPr>
            <w:r w:rsidRPr="00C52D23">
              <w:rPr>
                <w:color w:val="000000"/>
              </w:rPr>
              <w:t>Q19: Por não atender minhas expectativas</w:t>
            </w:r>
          </w:p>
        </w:tc>
        <w:tc>
          <w:tcPr>
            <w:tcW w:w="993" w:type="dxa"/>
            <w:tcBorders>
              <w:top w:val="nil"/>
              <w:left w:val="nil"/>
              <w:bottom w:val="single" w:sz="4" w:space="0" w:color="auto"/>
              <w:right w:val="nil"/>
            </w:tcBorders>
            <w:shd w:val="clear" w:color="auto" w:fill="D0CECE"/>
            <w:noWrap/>
            <w:vAlign w:val="center"/>
            <w:hideMark/>
          </w:tcPr>
          <w:p w14:paraId="1EAC269D" w14:textId="77777777" w:rsidR="00246C6D" w:rsidRPr="00C52D23" w:rsidRDefault="00246C6D" w:rsidP="00747342">
            <w:pPr>
              <w:jc w:val="center"/>
              <w:rPr>
                <w:color w:val="000000"/>
              </w:rPr>
            </w:pPr>
            <w:r w:rsidRPr="00C52D23">
              <w:rPr>
                <w:color w:val="000000"/>
              </w:rPr>
              <w:t>0,557</w:t>
            </w:r>
          </w:p>
        </w:tc>
      </w:tr>
      <w:tr w:rsidR="00246C6D" w:rsidRPr="00911C86" w14:paraId="46D403A7"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628CF3B0"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546D8545"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089E9C35" w14:textId="77777777" w:rsidR="00246C6D" w:rsidRPr="00C52D23" w:rsidRDefault="00246C6D" w:rsidP="00747342">
            <w:pPr>
              <w:rPr>
                <w:color w:val="000000"/>
              </w:rPr>
            </w:pPr>
            <w:r w:rsidRPr="00C52D23">
              <w:rPr>
                <w:color w:val="000000"/>
              </w:rPr>
              <w:t>Q34: Reprovações constantes</w:t>
            </w:r>
          </w:p>
        </w:tc>
        <w:tc>
          <w:tcPr>
            <w:tcW w:w="993" w:type="dxa"/>
            <w:tcBorders>
              <w:top w:val="nil"/>
              <w:left w:val="nil"/>
              <w:bottom w:val="single" w:sz="4" w:space="0" w:color="auto"/>
              <w:right w:val="nil"/>
            </w:tcBorders>
            <w:shd w:val="clear" w:color="auto" w:fill="D0CECE"/>
            <w:noWrap/>
            <w:vAlign w:val="center"/>
            <w:hideMark/>
          </w:tcPr>
          <w:p w14:paraId="47DB658F" w14:textId="77777777" w:rsidR="00246C6D" w:rsidRPr="00C52D23" w:rsidRDefault="00246C6D" w:rsidP="00747342">
            <w:pPr>
              <w:jc w:val="center"/>
              <w:rPr>
                <w:color w:val="000000"/>
              </w:rPr>
            </w:pPr>
            <w:r w:rsidRPr="00C52D23">
              <w:rPr>
                <w:color w:val="000000"/>
              </w:rPr>
              <w:t>0,623</w:t>
            </w:r>
          </w:p>
        </w:tc>
      </w:tr>
      <w:tr w:rsidR="00246C6D" w:rsidRPr="00911C86" w14:paraId="7F886550"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4E9CFC4D"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7787FF9E"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376654F3" w14:textId="77777777" w:rsidR="00246C6D" w:rsidRPr="00C52D23" w:rsidRDefault="00246C6D" w:rsidP="00747342">
            <w:pPr>
              <w:rPr>
                <w:color w:val="000000"/>
              </w:rPr>
            </w:pPr>
            <w:r w:rsidRPr="00C52D23">
              <w:rPr>
                <w:color w:val="000000"/>
              </w:rPr>
              <w:t>Q35: Desempenho acadêmico insuficiente</w:t>
            </w:r>
          </w:p>
        </w:tc>
        <w:tc>
          <w:tcPr>
            <w:tcW w:w="993" w:type="dxa"/>
            <w:tcBorders>
              <w:top w:val="nil"/>
              <w:left w:val="nil"/>
              <w:bottom w:val="single" w:sz="4" w:space="0" w:color="auto"/>
              <w:right w:val="nil"/>
            </w:tcBorders>
            <w:shd w:val="clear" w:color="auto" w:fill="D0CECE"/>
            <w:noWrap/>
            <w:vAlign w:val="center"/>
            <w:hideMark/>
          </w:tcPr>
          <w:p w14:paraId="6BD5AE30" w14:textId="77777777" w:rsidR="00246C6D" w:rsidRPr="00C52D23" w:rsidRDefault="00246C6D" w:rsidP="00747342">
            <w:pPr>
              <w:jc w:val="center"/>
              <w:rPr>
                <w:color w:val="000000"/>
              </w:rPr>
            </w:pPr>
            <w:r w:rsidRPr="00C52D23">
              <w:rPr>
                <w:color w:val="000000"/>
              </w:rPr>
              <w:t>0,603</w:t>
            </w:r>
          </w:p>
        </w:tc>
      </w:tr>
      <w:tr w:rsidR="00246C6D" w:rsidRPr="00911C86" w14:paraId="6F228DEF"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2EA3B443"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59472E1A"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1AC08B64" w14:textId="77777777" w:rsidR="00246C6D" w:rsidRPr="00C52D23" w:rsidRDefault="00246C6D" w:rsidP="00747342">
            <w:pPr>
              <w:rPr>
                <w:color w:val="000000"/>
              </w:rPr>
            </w:pPr>
            <w:r w:rsidRPr="00C52D23">
              <w:rPr>
                <w:color w:val="000000"/>
              </w:rPr>
              <w:t>Q36: Escolha equivocada do curso</w:t>
            </w:r>
          </w:p>
        </w:tc>
        <w:tc>
          <w:tcPr>
            <w:tcW w:w="993" w:type="dxa"/>
            <w:tcBorders>
              <w:top w:val="nil"/>
              <w:left w:val="nil"/>
              <w:bottom w:val="single" w:sz="4" w:space="0" w:color="auto"/>
              <w:right w:val="nil"/>
            </w:tcBorders>
            <w:shd w:val="clear" w:color="auto" w:fill="D0CECE"/>
            <w:noWrap/>
            <w:vAlign w:val="center"/>
            <w:hideMark/>
          </w:tcPr>
          <w:p w14:paraId="67B03D0A" w14:textId="77777777" w:rsidR="00246C6D" w:rsidRPr="00C52D23" w:rsidRDefault="00246C6D" w:rsidP="00747342">
            <w:pPr>
              <w:jc w:val="center"/>
              <w:rPr>
                <w:color w:val="000000"/>
              </w:rPr>
            </w:pPr>
            <w:r w:rsidRPr="00C52D23">
              <w:rPr>
                <w:color w:val="000000"/>
              </w:rPr>
              <w:t>0,667</w:t>
            </w:r>
          </w:p>
        </w:tc>
      </w:tr>
      <w:tr w:rsidR="00246C6D" w:rsidRPr="00911C86" w14:paraId="47C7E7EA" w14:textId="77777777" w:rsidTr="00747342">
        <w:trPr>
          <w:trHeight w:val="300"/>
          <w:jc w:val="center"/>
        </w:trPr>
        <w:tc>
          <w:tcPr>
            <w:tcW w:w="618" w:type="dxa"/>
            <w:vMerge w:val="restart"/>
            <w:tcBorders>
              <w:top w:val="nil"/>
              <w:left w:val="nil"/>
              <w:bottom w:val="single" w:sz="4" w:space="0" w:color="000000"/>
              <w:right w:val="single" w:sz="4" w:space="0" w:color="auto"/>
            </w:tcBorders>
            <w:shd w:val="clear" w:color="auto" w:fill="auto"/>
            <w:noWrap/>
            <w:vAlign w:val="center"/>
            <w:hideMark/>
          </w:tcPr>
          <w:p w14:paraId="1BABF9D8" w14:textId="77777777" w:rsidR="00246C6D" w:rsidRPr="00C52D23" w:rsidRDefault="00246C6D" w:rsidP="00747342">
            <w:pPr>
              <w:jc w:val="center"/>
              <w:rPr>
                <w:color w:val="000000"/>
              </w:rPr>
            </w:pPr>
            <w:r w:rsidRPr="00C52D23">
              <w:rPr>
                <w:color w:val="000000"/>
              </w:rPr>
              <w:t>2</w:t>
            </w:r>
          </w:p>
        </w:tc>
        <w:tc>
          <w:tcPr>
            <w:tcW w:w="1083" w:type="dxa"/>
            <w:vMerge w:val="restart"/>
            <w:tcBorders>
              <w:top w:val="nil"/>
              <w:left w:val="nil"/>
              <w:bottom w:val="single" w:sz="4" w:space="0" w:color="000000"/>
              <w:right w:val="nil"/>
            </w:tcBorders>
            <w:shd w:val="clear" w:color="auto" w:fill="auto"/>
            <w:noWrap/>
            <w:vAlign w:val="center"/>
            <w:hideMark/>
          </w:tcPr>
          <w:p w14:paraId="2F9C9C3A" w14:textId="77777777" w:rsidR="00246C6D" w:rsidRPr="00C52D23" w:rsidRDefault="00246C6D" w:rsidP="00747342">
            <w:pPr>
              <w:jc w:val="center"/>
              <w:rPr>
                <w:color w:val="000000"/>
              </w:rPr>
            </w:pPr>
            <w:r w:rsidRPr="00C52D23">
              <w:rPr>
                <w:color w:val="000000"/>
              </w:rPr>
              <w:t>10</w:t>
            </w:r>
          </w:p>
        </w:tc>
        <w:tc>
          <w:tcPr>
            <w:tcW w:w="6193" w:type="dxa"/>
            <w:tcBorders>
              <w:top w:val="nil"/>
              <w:left w:val="nil"/>
              <w:bottom w:val="single" w:sz="4" w:space="0" w:color="auto"/>
              <w:right w:val="nil"/>
            </w:tcBorders>
            <w:shd w:val="clear" w:color="auto" w:fill="auto"/>
            <w:noWrap/>
            <w:vAlign w:val="center"/>
            <w:hideMark/>
          </w:tcPr>
          <w:p w14:paraId="26221EDC" w14:textId="77777777" w:rsidR="00246C6D" w:rsidRPr="00C52D23" w:rsidRDefault="00246C6D" w:rsidP="00747342">
            <w:pPr>
              <w:rPr>
                <w:color w:val="000000"/>
              </w:rPr>
            </w:pPr>
            <w:r w:rsidRPr="00C52D23">
              <w:rPr>
                <w:color w:val="000000"/>
              </w:rPr>
              <w:t>Q25: Falta de respeito dos professores para com os alunos</w:t>
            </w:r>
          </w:p>
        </w:tc>
        <w:tc>
          <w:tcPr>
            <w:tcW w:w="993" w:type="dxa"/>
            <w:tcBorders>
              <w:top w:val="nil"/>
              <w:left w:val="nil"/>
              <w:bottom w:val="single" w:sz="4" w:space="0" w:color="auto"/>
              <w:right w:val="nil"/>
            </w:tcBorders>
            <w:shd w:val="clear" w:color="auto" w:fill="auto"/>
            <w:noWrap/>
            <w:vAlign w:val="center"/>
            <w:hideMark/>
          </w:tcPr>
          <w:p w14:paraId="0606A3D5" w14:textId="77777777" w:rsidR="00246C6D" w:rsidRPr="00C52D23" w:rsidRDefault="00246C6D" w:rsidP="00747342">
            <w:pPr>
              <w:jc w:val="center"/>
              <w:rPr>
                <w:color w:val="000000"/>
              </w:rPr>
            </w:pPr>
            <w:r w:rsidRPr="00C52D23">
              <w:rPr>
                <w:color w:val="000000"/>
              </w:rPr>
              <w:t>0,728</w:t>
            </w:r>
          </w:p>
        </w:tc>
      </w:tr>
      <w:tr w:rsidR="00246C6D" w:rsidRPr="00911C86" w14:paraId="3088C134" w14:textId="77777777" w:rsidTr="00747342">
        <w:trPr>
          <w:trHeight w:val="300"/>
          <w:jc w:val="center"/>
        </w:trPr>
        <w:tc>
          <w:tcPr>
            <w:tcW w:w="618" w:type="dxa"/>
            <w:vMerge/>
            <w:tcBorders>
              <w:top w:val="nil"/>
              <w:left w:val="nil"/>
              <w:bottom w:val="single" w:sz="4" w:space="0" w:color="000000"/>
              <w:right w:val="single" w:sz="4" w:space="0" w:color="auto"/>
            </w:tcBorders>
            <w:vAlign w:val="center"/>
            <w:hideMark/>
          </w:tcPr>
          <w:p w14:paraId="5B18C510"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vAlign w:val="center"/>
            <w:hideMark/>
          </w:tcPr>
          <w:p w14:paraId="604CD479"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auto"/>
            <w:noWrap/>
            <w:vAlign w:val="center"/>
            <w:hideMark/>
          </w:tcPr>
          <w:p w14:paraId="7E8001BE" w14:textId="77777777" w:rsidR="00246C6D" w:rsidRPr="00C52D23" w:rsidRDefault="00246C6D" w:rsidP="00747342">
            <w:pPr>
              <w:rPr>
                <w:color w:val="000000"/>
              </w:rPr>
            </w:pPr>
            <w:r w:rsidRPr="00C52D23">
              <w:rPr>
                <w:color w:val="000000"/>
              </w:rPr>
              <w:t>Q26: Horário de trabalho incompatível com o curso</w:t>
            </w:r>
          </w:p>
        </w:tc>
        <w:tc>
          <w:tcPr>
            <w:tcW w:w="993" w:type="dxa"/>
            <w:tcBorders>
              <w:top w:val="nil"/>
              <w:left w:val="nil"/>
              <w:bottom w:val="single" w:sz="4" w:space="0" w:color="auto"/>
              <w:right w:val="nil"/>
            </w:tcBorders>
            <w:shd w:val="clear" w:color="auto" w:fill="auto"/>
            <w:noWrap/>
            <w:vAlign w:val="center"/>
            <w:hideMark/>
          </w:tcPr>
          <w:p w14:paraId="0FCFC36C" w14:textId="77777777" w:rsidR="00246C6D" w:rsidRPr="00C52D23" w:rsidRDefault="00246C6D" w:rsidP="00747342">
            <w:pPr>
              <w:jc w:val="center"/>
              <w:rPr>
                <w:color w:val="000000"/>
              </w:rPr>
            </w:pPr>
            <w:r w:rsidRPr="00C52D23">
              <w:rPr>
                <w:color w:val="000000"/>
              </w:rPr>
              <w:t>0,652</w:t>
            </w:r>
          </w:p>
        </w:tc>
      </w:tr>
      <w:tr w:rsidR="00246C6D" w:rsidRPr="00911C86" w14:paraId="6BF7AD37" w14:textId="77777777" w:rsidTr="00747342">
        <w:trPr>
          <w:trHeight w:val="300"/>
          <w:jc w:val="center"/>
        </w:trPr>
        <w:tc>
          <w:tcPr>
            <w:tcW w:w="618" w:type="dxa"/>
            <w:vMerge/>
            <w:tcBorders>
              <w:top w:val="nil"/>
              <w:left w:val="nil"/>
              <w:bottom w:val="single" w:sz="4" w:space="0" w:color="000000"/>
              <w:right w:val="single" w:sz="4" w:space="0" w:color="auto"/>
            </w:tcBorders>
            <w:vAlign w:val="center"/>
            <w:hideMark/>
          </w:tcPr>
          <w:p w14:paraId="0968BFDC"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vAlign w:val="center"/>
            <w:hideMark/>
          </w:tcPr>
          <w:p w14:paraId="129517D7"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auto"/>
            <w:noWrap/>
            <w:vAlign w:val="center"/>
            <w:hideMark/>
          </w:tcPr>
          <w:p w14:paraId="7CC0606E" w14:textId="77777777" w:rsidR="00246C6D" w:rsidRPr="00C52D23" w:rsidRDefault="00246C6D" w:rsidP="00747342">
            <w:pPr>
              <w:rPr>
                <w:color w:val="000000"/>
              </w:rPr>
            </w:pPr>
            <w:r w:rsidRPr="00C52D23">
              <w:rPr>
                <w:color w:val="000000"/>
              </w:rPr>
              <w:t>Q27: Não consigo chegar às aulas no horário</w:t>
            </w:r>
          </w:p>
        </w:tc>
        <w:tc>
          <w:tcPr>
            <w:tcW w:w="993" w:type="dxa"/>
            <w:tcBorders>
              <w:top w:val="nil"/>
              <w:left w:val="nil"/>
              <w:bottom w:val="single" w:sz="4" w:space="0" w:color="auto"/>
              <w:right w:val="nil"/>
            </w:tcBorders>
            <w:shd w:val="clear" w:color="auto" w:fill="auto"/>
            <w:noWrap/>
            <w:vAlign w:val="center"/>
            <w:hideMark/>
          </w:tcPr>
          <w:p w14:paraId="7B40472E" w14:textId="77777777" w:rsidR="00246C6D" w:rsidRPr="00C52D23" w:rsidRDefault="00246C6D" w:rsidP="00747342">
            <w:pPr>
              <w:jc w:val="center"/>
              <w:rPr>
                <w:color w:val="000000"/>
              </w:rPr>
            </w:pPr>
            <w:r w:rsidRPr="00C52D23">
              <w:rPr>
                <w:color w:val="000000"/>
              </w:rPr>
              <w:t>0,696</w:t>
            </w:r>
          </w:p>
        </w:tc>
      </w:tr>
      <w:tr w:rsidR="00246C6D" w:rsidRPr="00911C86" w14:paraId="0D716795" w14:textId="77777777" w:rsidTr="00747342">
        <w:trPr>
          <w:trHeight w:val="300"/>
          <w:jc w:val="center"/>
        </w:trPr>
        <w:tc>
          <w:tcPr>
            <w:tcW w:w="618" w:type="dxa"/>
            <w:vMerge/>
            <w:tcBorders>
              <w:top w:val="nil"/>
              <w:left w:val="nil"/>
              <w:bottom w:val="single" w:sz="4" w:space="0" w:color="000000"/>
              <w:right w:val="single" w:sz="4" w:space="0" w:color="auto"/>
            </w:tcBorders>
            <w:vAlign w:val="center"/>
            <w:hideMark/>
          </w:tcPr>
          <w:p w14:paraId="17BCFA6A"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vAlign w:val="center"/>
            <w:hideMark/>
          </w:tcPr>
          <w:p w14:paraId="47DF697B"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auto"/>
            <w:noWrap/>
            <w:vAlign w:val="center"/>
            <w:hideMark/>
          </w:tcPr>
          <w:p w14:paraId="60DE7DA1" w14:textId="77777777" w:rsidR="00246C6D" w:rsidRPr="00C52D23" w:rsidRDefault="00246C6D" w:rsidP="00747342">
            <w:pPr>
              <w:rPr>
                <w:color w:val="000000"/>
              </w:rPr>
            </w:pPr>
            <w:r w:rsidRPr="00C52D23">
              <w:rPr>
                <w:color w:val="000000"/>
              </w:rPr>
              <w:t>Q28: Discriminação racial</w:t>
            </w:r>
          </w:p>
        </w:tc>
        <w:tc>
          <w:tcPr>
            <w:tcW w:w="993" w:type="dxa"/>
            <w:tcBorders>
              <w:top w:val="nil"/>
              <w:left w:val="nil"/>
              <w:bottom w:val="single" w:sz="4" w:space="0" w:color="auto"/>
              <w:right w:val="nil"/>
            </w:tcBorders>
            <w:shd w:val="clear" w:color="auto" w:fill="auto"/>
            <w:noWrap/>
            <w:vAlign w:val="center"/>
            <w:hideMark/>
          </w:tcPr>
          <w:p w14:paraId="5286838C" w14:textId="77777777" w:rsidR="00246C6D" w:rsidRPr="00C52D23" w:rsidRDefault="00246C6D" w:rsidP="00747342">
            <w:pPr>
              <w:jc w:val="center"/>
              <w:rPr>
                <w:color w:val="000000"/>
              </w:rPr>
            </w:pPr>
            <w:r w:rsidRPr="00C52D23">
              <w:rPr>
                <w:color w:val="000000"/>
              </w:rPr>
              <w:t>0,827</w:t>
            </w:r>
          </w:p>
        </w:tc>
      </w:tr>
      <w:tr w:rsidR="00246C6D" w:rsidRPr="00911C86" w14:paraId="3325BDDE" w14:textId="77777777" w:rsidTr="00747342">
        <w:trPr>
          <w:trHeight w:val="300"/>
          <w:jc w:val="center"/>
        </w:trPr>
        <w:tc>
          <w:tcPr>
            <w:tcW w:w="618" w:type="dxa"/>
            <w:vMerge w:val="restart"/>
            <w:tcBorders>
              <w:top w:val="nil"/>
              <w:left w:val="nil"/>
              <w:bottom w:val="single" w:sz="4" w:space="0" w:color="000000"/>
              <w:right w:val="single" w:sz="4" w:space="0" w:color="auto"/>
            </w:tcBorders>
            <w:shd w:val="clear" w:color="auto" w:fill="D0CECE"/>
            <w:noWrap/>
            <w:vAlign w:val="center"/>
            <w:hideMark/>
          </w:tcPr>
          <w:p w14:paraId="529F6AD0" w14:textId="77777777" w:rsidR="00246C6D" w:rsidRPr="00C52D23" w:rsidRDefault="00246C6D" w:rsidP="00747342">
            <w:pPr>
              <w:jc w:val="center"/>
              <w:rPr>
                <w:color w:val="000000"/>
              </w:rPr>
            </w:pPr>
            <w:r w:rsidRPr="00C52D23">
              <w:rPr>
                <w:color w:val="000000"/>
              </w:rPr>
              <w:t>3</w:t>
            </w:r>
          </w:p>
        </w:tc>
        <w:tc>
          <w:tcPr>
            <w:tcW w:w="1083" w:type="dxa"/>
            <w:vMerge w:val="restart"/>
            <w:tcBorders>
              <w:top w:val="nil"/>
              <w:left w:val="nil"/>
              <w:bottom w:val="single" w:sz="4" w:space="0" w:color="000000"/>
              <w:right w:val="nil"/>
            </w:tcBorders>
            <w:shd w:val="clear" w:color="auto" w:fill="D0CECE"/>
            <w:noWrap/>
            <w:vAlign w:val="center"/>
            <w:hideMark/>
          </w:tcPr>
          <w:p w14:paraId="48D1836E" w14:textId="77777777" w:rsidR="00246C6D" w:rsidRPr="00C52D23" w:rsidRDefault="00246C6D" w:rsidP="00747342">
            <w:pPr>
              <w:jc w:val="center"/>
              <w:rPr>
                <w:color w:val="000000"/>
              </w:rPr>
            </w:pPr>
            <w:r w:rsidRPr="00C52D23">
              <w:rPr>
                <w:color w:val="000000"/>
              </w:rPr>
              <w:t>6,8</w:t>
            </w:r>
          </w:p>
        </w:tc>
        <w:tc>
          <w:tcPr>
            <w:tcW w:w="6193" w:type="dxa"/>
            <w:tcBorders>
              <w:top w:val="nil"/>
              <w:left w:val="nil"/>
              <w:bottom w:val="single" w:sz="4" w:space="0" w:color="auto"/>
              <w:right w:val="nil"/>
            </w:tcBorders>
            <w:shd w:val="clear" w:color="auto" w:fill="D0CECE"/>
            <w:noWrap/>
            <w:vAlign w:val="center"/>
            <w:hideMark/>
          </w:tcPr>
          <w:p w14:paraId="28ABF2F2" w14:textId="77777777" w:rsidR="00246C6D" w:rsidRPr="00C52D23" w:rsidRDefault="00246C6D" w:rsidP="00747342">
            <w:pPr>
              <w:rPr>
                <w:color w:val="000000"/>
              </w:rPr>
            </w:pPr>
            <w:r w:rsidRPr="00C52D23">
              <w:rPr>
                <w:color w:val="000000"/>
              </w:rPr>
              <w:t>Q8: Cadeia rígida de pré-requisitos para os módulos/disciplinas</w:t>
            </w:r>
          </w:p>
        </w:tc>
        <w:tc>
          <w:tcPr>
            <w:tcW w:w="993" w:type="dxa"/>
            <w:tcBorders>
              <w:top w:val="nil"/>
              <w:left w:val="nil"/>
              <w:bottom w:val="single" w:sz="4" w:space="0" w:color="auto"/>
              <w:right w:val="nil"/>
            </w:tcBorders>
            <w:shd w:val="clear" w:color="auto" w:fill="D0CECE"/>
            <w:noWrap/>
            <w:vAlign w:val="center"/>
            <w:hideMark/>
          </w:tcPr>
          <w:p w14:paraId="6793FB8A" w14:textId="77777777" w:rsidR="00246C6D" w:rsidRPr="00C52D23" w:rsidRDefault="00246C6D" w:rsidP="00747342">
            <w:pPr>
              <w:jc w:val="center"/>
              <w:rPr>
                <w:color w:val="000000"/>
              </w:rPr>
            </w:pPr>
            <w:r w:rsidRPr="00C52D23">
              <w:rPr>
                <w:color w:val="000000"/>
              </w:rPr>
              <w:t>0,640</w:t>
            </w:r>
          </w:p>
        </w:tc>
      </w:tr>
      <w:tr w:rsidR="00246C6D" w:rsidRPr="00911C86" w14:paraId="04A340FF"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49F1B43B"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589C1951"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7784291D" w14:textId="77777777" w:rsidR="00246C6D" w:rsidRPr="00C52D23" w:rsidRDefault="00246C6D" w:rsidP="00747342">
            <w:pPr>
              <w:rPr>
                <w:color w:val="000000"/>
              </w:rPr>
            </w:pPr>
            <w:r w:rsidRPr="00C52D23">
              <w:rPr>
                <w:color w:val="000000"/>
              </w:rPr>
              <w:t>Q9: Sistema de avaliação da disciplina inadequado, ultrapassado ou injusto</w:t>
            </w:r>
          </w:p>
        </w:tc>
        <w:tc>
          <w:tcPr>
            <w:tcW w:w="993" w:type="dxa"/>
            <w:tcBorders>
              <w:top w:val="nil"/>
              <w:left w:val="nil"/>
              <w:bottom w:val="single" w:sz="4" w:space="0" w:color="auto"/>
              <w:right w:val="nil"/>
            </w:tcBorders>
            <w:shd w:val="clear" w:color="auto" w:fill="D0CECE"/>
            <w:noWrap/>
            <w:vAlign w:val="center"/>
            <w:hideMark/>
          </w:tcPr>
          <w:p w14:paraId="242A44EF" w14:textId="77777777" w:rsidR="00246C6D" w:rsidRPr="00C52D23" w:rsidRDefault="00246C6D" w:rsidP="00747342">
            <w:pPr>
              <w:jc w:val="center"/>
              <w:rPr>
                <w:color w:val="000000"/>
              </w:rPr>
            </w:pPr>
            <w:r w:rsidRPr="00C52D23">
              <w:rPr>
                <w:color w:val="000000"/>
              </w:rPr>
              <w:t>0,832</w:t>
            </w:r>
          </w:p>
        </w:tc>
      </w:tr>
      <w:tr w:rsidR="00246C6D" w:rsidRPr="00911C86" w14:paraId="257BF184"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060124A6"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74E795A5"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7364D49F" w14:textId="77777777" w:rsidR="00246C6D" w:rsidRPr="00C52D23" w:rsidRDefault="00246C6D" w:rsidP="00747342">
            <w:pPr>
              <w:rPr>
                <w:color w:val="000000"/>
              </w:rPr>
            </w:pPr>
            <w:r w:rsidRPr="00C52D23">
              <w:rPr>
                <w:color w:val="000000"/>
              </w:rPr>
              <w:t>Q10: Pouca ênfase nas disciplinas práticas e profissionalizantes</w:t>
            </w:r>
          </w:p>
        </w:tc>
        <w:tc>
          <w:tcPr>
            <w:tcW w:w="993" w:type="dxa"/>
            <w:tcBorders>
              <w:top w:val="nil"/>
              <w:left w:val="nil"/>
              <w:bottom w:val="single" w:sz="4" w:space="0" w:color="auto"/>
              <w:right w:val="nil"/>
            </w:tcBorders>
            <w:shd w:val="clear" w:color="auto" w:fill="D0CECE"/>
            <w:noWrap/>
            <w:vAlign w:val="center"/>
            <w:hideMark/>
          </w:tcPr>
          <w:p w14:paraId="7E3DD75C" w14:textId="77777777" w:rsidR="00246C6D" w:rsidRPr="00C52D23" w:rsidRDefault="00246C6D" w:rsidP="00747342">
            <w:pPr>
              <w:jc w:val="center"/>
              <w:rPr>
                <w:color w:val="000000"/>
              </w:rPr>
            </w:pPr>
            <w:r w:rsidRPr="00C52D23">
              <w:rPr>
                <w:color w:val="000000"/>
              </w:rPr>
              <w:t>0,632</w:t>
            </w:r>
          </w:p>
        </w:tc>
      </w:tr>
      <w:tr w:rsidR="00246C6D" w:rsidRPr="00911C86" w14:paraId="3D09E868"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1EED09A1"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06973391"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71A1FF7D" w14:textId="77777777" w:rsidR="00246C6D" w:rsidRPr="00C52D23" w:rsidRDefault="00246C6D" w:rsidP="00747342">
            <w:pPr>
              <w:rPr>
                <w:color w:val="000000"/>
              </w:rPr>
            </w:pPr>
            <w:r w:rsidRPr="00C52D23">
              <w:rPr>
                <w:color w:val="000000"/>
              </w:rPr>
              <w:t>Q12: Dificuldades no acompanhamento do curso (deficiência da educação básica)</w:t>
            </w:r>
          </w:p>
        </w:tc>
        <w:tc>
          <w:tcPr>
            <w:tcW w:w="993" w:type="dxa"/>
            <w:tcBorders>
              <w:top w:val="nil"/>
              <w:left w:val="nil"/>
              <w:bottom w:val="single" w:sz="4" w:space="0" w:color="auto"/>
              <w:right w:val="nil"/>
            </w:tcBorders>
            <w:shd w:val="clear" w:color="auto" w:fill="D0CECE"/>
            <w:noWrap/>
            <w:vAlign w:val="center"/>
            <w:hideMark/>
          </w:tcPr>
          <w:p w14:paraId="6ED358FE" w14:textId="77777777" w:rsidR="00246C6D" w:rsidRPr="00C52D23" w:rsidRDefault="00246C6D" w:rsidP="00747342">
            <w:pPr>
              <w:jc w:val="center"/>
              <w:rPr>
                <w:color w:val="000000"/>
              </w:rPr>
            </w:pPr>
            <w:r w:rsidRPr="00C52D23">
              <w:rPr>
                <w:color w:val="000000"/>
              </w:rPr>
              <w:t>0,679</w:t>
            </w:r>
          </w:p>
        </w:tc>
      </w:tr>
      <w:tr w:rsidR="00246C6D" w:rsidRPr="00911C86" w14:paraId="76747870" w14:textId="77777777" w:rsidTr="00747342">
        <w:trPr>
          <w:trHeight w:val="300"/>
          <w:jc w:val="center"/>
        </w:trPr>
        <w:tc>
          <w:tcPr>
            <w:tcW w:w="618" w:type="dxa"/>
            <w:vMerge w:val="restart"/>
            <w:tcBorders>
              <w:top w:val="nil"/>
              <w:left w:val="nil"/>
              <w:bottom w:val="single" w:sz="4" w:space="0" w:color="000000"/>
              <w:right w:val="single" w:sz="4" w:space="0" w:color="auto"/>
            </w:tcBorders>
            <w:shd w:val="clear" w:color="auto" w:fill="auto"/>
            <w:noWrap/>
            <w:vAlign w:val="center"/>
            <w:hideMark/>
          </w:tcPr>
          <w:p w14:paraId="4025B96B" w14:textId="77777777" w:rsidR="00246C6D" w:rsidRPr="00C52D23" w:rsidRDefault="00246C6D" w:rsidP="00747342">
            <w:pPr>
              <w:jc w:val="center"/>
              <w:rPr>
                <w:color w:val="000000"/>
              </w:rPr>
            </w:pPr>
            <w:r w:rsidRPr="00C52D23">
              <w:rPr>
                <w:color w:val="000000"/>
              </w:rPr>
              <w:t>4</w:t>
            </w:r>
          </w:p>
        </w:tc>
        <w:tc>
          <w:tcPr>
            <w:tcW w:w="1083" w:type="dxa"/>
            <w:vMerge w:val="restart"/>
            <w:tcBorders>
              <w:top w:val="nil"/>
              <w:left w:val="nil"/>
              <w:bottom w:val="single" w:sz="4" w:space="0" w:color="000000"/>
              <w:right w:val="nil"/>
            </w:tcBorders>
            <w:shd w:val="clear" w:color="auto" w:fill="auto"/>
            <w:noWrap/>
            <w:vAlign w:val="center"/>
            <w:hideMark/>
          </w:tcPr>
          <w:p w14:paraId="02471D55" w14:textId="77777777" w:rsidR="00246C6D" w:rsidRPr="00C52D23" w:rsidRDefault="00246C6D" w:rsidP="00747342">
            <w:pPr>
              <w:jc w:val="center"/>
              <w:rPr>
                <w:color w:val="000000"/>
              </w:rPr>
            </w:pPr>
            <w:r w:rsidRPr="00C52D23">
              <w:rPr>
                <w:color w:val="000000"/>
              </w:rPr>
              <w:t>6,2</w:t>
            </w:r>
          </w:p>
        </w:tc>
        <w:tc>
          <w:tcPr>
            <w:tcW w:w="6193" w:type="dxa"/>
            <w:tcBorders>
              <w:top w:val="nil"/>
              <w:left w:val="nil"/>
              <w:bottom w:val="single" w:sz="4" w:space="0" w:color="auto"/>
              <w:right w:val="nil"/>
            </w:tcBorders>
            <w:shd w:val="clear" w:color="auto" w:fill="auto"/>
            <w:noWrap/>
            <w:vAlign w:val="center"/>
            <w:hideMark/>
          </w:tcPr>
          <w:p w14:paraId="7D3D0916" w14:textId="77777777" w:rsidR="00246C6D" w:rsidRPr="00C52D23" w:rsidRDefault="00246C6D" w:rsidP="00747342">
            <w:pPr>
              <w:rPr>
                <w:color w:val="000000"/>
              </w:rPr>
            </w:pPr>
            <w:r w:rsidRPr="00C52D23">
              <w:rPr>
                <w:color w:val="000000"/>
              </w:rPr>
              <w:t>Q5: Biblioteca deficitária (considerando livros, periódico, revistas, etc.)</w:t>
            </w:r>
          </w:p>
        </w:tc>
        <w:tc>
          <w:tcPr>
            <w:tcW w:w="993" w:type="dxa"/>
            <w:tcBorders>
              <w:top w:val="nil"/>
              <w:left w:val="nil"/>
              <w:bottom w:val="single" w:sz="4" w:space="0" w:color="auto"/>
              <w:right w:val="nil"/>
            </w:tcBorders>
            <w:shd w:val="clear" w:color="auto" w:fill="auto"/>
            <w:noWrap/>
            <w:vAlign w:val="center"/>
            <w:hideMark/>
          </w:tcPr>
          <w:p w14:paraId="29928E93" w14:textId="77777777" w:rsidR="00246C6D" w:rsidRPr="00C52D23" w:rsidRDefault="00246C6D" w:rsidP="00747342">
            <w:pPr>
              <w:jc w:val="center"/>
              <w:rPr>
                <w:color w:val="000000"/>
              </w:rPr>
            </w:pPr>
            <w:r w:rsidRPr="00C52D23">
              <w:rPr>
                <w:color w:val="000000"/>
              </w:rPr>
              <w:t>0,665</w:t>
            </w:r>
          </w:p>
        </w:tc>
      </w:tr>
      <w:tr w:rsidR="00246C6D" w:rsidRPr="00911C86" w14:paraId="54271A34" w14:textId="77777777" w:rsidTr="00747342">
        <w:trPr>
          <w:trHeight w:val="300"/>
          <w:jc w:val="center"/>
        </w:trPr>
        <w:tc>
          <w:tcPr>
            <w:tcW w:w="618" w:type="dxa"/>
            <w:vMerge/>
            <w:tcBorders>
              <w:top w:val="nil"/>
              <w:left w:val="nil"/>
              <w:bottom w:val="single" w:sz="4" w:space="0" w:color="000000"/>
              <w:right w:val="single" w:sz="4" w:space="0" w:color="auto"/>
            </w:tcBorders>
            <w:vAlign w:val="center"/>
            <w:hideMark/>
          </w:tcPr>
          <w:p w14:paraId="6D3D5520"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vAlign w:val="center"/>
            <w:hideMark/>
          </w:tcPr>
          <w:p w14:paraId="64F790F4"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auto"/>
            <w:noWrap/>
            <w:vAlign w:val="center"/>
            <w:hideMark/>
          </w:tcPr>
          <w:p w14:paraId="0880C2E0" w14:textId="77777777" w:rsidR="00246C6D" w:rsidRPr="00C52D23" w:rsidRDefault="00246C6D" w:rsidP="00747342">
            <w:pPr>
              <w:rPr>
                <w:color w:val="000000"/>
              </w:rPr>
            </w:pPr>
            <w:r w:rsidRPr="00C52D23">
              <w:rPr>
                <w:color w:val="000000"/>
              </w:rPr>
              <w:t>Q40: Localização da instituição de Ensino Superior (IES)</w:t>
            </w:r>
          </w:p>
        </w:tc>
        <w:tc>
          <w:tcPr>
            <w:tcW w:w="993" w:type="dxa"/>
            <w:tcBorders>
              <w:top w:val="nil"/>
              <w:left w:val="nil"/>
              <w:bottom w:val="single" w:sz="4" w:space="0" w:color="auto"/>
              <w:right w:val="nil"/>
            </w:tcBorders>
            <w:shd w:val="clear" w:color="auto" w:fill="auto"/>
            <w:noWrap/>
            <w:vAlign w:val="center"/>
            <w:hideMark/>
          </w:tcPr>
          <w:p w14:paraId="4EC0C3DF" w14:textId="77777777" w:rsidR="00246C6D" w:rsidRPr="00C52D23" w:rsidRDefault="00246C6D" w:rsidP="00747342">
            <w:pPr>
              <w:jc w:val="center"/>
              <w:rPr>
                <w:color w:val="000000"/>
              </w:rPr>
            </w:pPr>
            <w:r w:rsidRPr="00C52D23">
              <w:rPr>
                <w:color w:val="000000"/>
              </w:rPr>
              <w:t>0,818</w:t>
            </w:r>
          </w:p>
        </w:tc>
      </w:tr>
      <w:tr w:rsidR="00246C6D" w:rsidRPr="00911C86" w14:paraId="7BAD7FEC" w14:textId="77777777" w:rsidTr="00747342">
        <w:trPr>
          <w:trHeight w:val="300"/>
          <w:jc w:val="center"/>
        </w:trPr>
        <w:tc>
          <w:tcPr>
            <w:tcW w:w="618" w:type="dxa"/>
            <w:vMerge/>
            <w:tcBorders>
              <w:top w:val="nil"/>
              <w:left w:val="nil"/>
              <w:bottom w:val="single" w:sz="4" w:space="0" w:color="000000"/>
              <w:right w:val="single" w:sz="4" w:space="0" w:color="auto"/>
            </w:tcBorders>
            <w:vAlign w:val="center"/>
            <w:hideMark/>
          </w:tcPr>
          <w:p w14:paraId="7B250EB6"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vAlign w:val="center"/>
            <w:hideMark/>
          </w:tcPr>
          <w:p w14:paraId="57B24371"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auto"/>
            <w:noWrap/>
            <w:vAlign w:val="center"/>
            <w:hideMark/>
          </w:tcPr>
          <w:p w14:paraId="6CD23278" w14:textId="77777777" w:rsidR="00246C6D" w:rsidRPr="00C52D23" w:rsidRDefault="00246C6D" w:rsidP="00747342">
            <w:pPr>
              <w:rPr>
                <w:color w:val="000000"/>
              </w:rPr>
            </w:pPr>
            <w:r w:rsidRPr="00C52D23">
              <w:rPr>
                <w:color w:val="000000"/>
              </w:rPr>
              <w:t>Q41: Instalações físicas e padrões de conduta da IES</w:t>
            </w:r>
          </w:p>
        </w:tc>
        <w:tc>
          <w:tcPr>
            <w:tcW w:w="993" w:type="dxa"/>
            <w:tcBorders>
              <w:top w:val="nil"/>
              <w:left w:val="nil"/>
              <w:bottom w:val="single" w:sz="4" w:space="0" w:color="auto"/>
              <w:right w:val="nil"/>
            </w:tcBorders>
            <w:shd w:val="clear" w:color="auto" w:fill="auto"/>
            <w:noWrap/>
            <w:vAlign w:val="center"/>
            <w:hideMark/>
          </w:tcPr>
          <w:p w14:paraId="56E71F6D" w14:textId="77777777" w:rsidR="00246C6D" w:rsidRPr="00C52D23" w:rsidRDefault="00246C6D" w:rsidP="00747342">
            <w:pPr>
              <w:jc w:val="center"/>
              <w:rPr>
                <w:color w:val="000000"/>
              </w:rPr>
            </w:pPr>
            <w:r w:rsidRPr="00C52D23">
              <w:rPr>
                <w:color w:val="000000"/>
              </w:rPr>
              <w:t>0,820</w:t>
            </w:r>
          </w:p>
        </w:tc>
      </w:tr>
      <w:tr w:rsidR="00246C6D" w:rsidRPr="00911C86" w14:paraId="6398D241" w14:textId="77777777" w:rsidTr="00747342">
        <w:trPr>
          <w:trHeight w:val="300"/>
          <w:jc w:val="center"/>
        </w:trPr>
        <w:tc>
          <w:tcPr>
            <w:tcW w:w="618" w:type="dxa"/>
            <w:vMerge w:val="restart"/>
            <w:tcBorders>
              <w:top w:val="nil"/>
              <w:left w:val="nil"/>
              <w:bottom w:val="single" w:sz="4" w:space="0" w:color="000000"/>
              <w:right w:val="single" w:sz="4" w:space="0" w:color="auto"/>
            </w:tcBorders>
            <w:shd w:val="clear" w:color="auto" w:fill="D0CECE"/>
            <w:noWrap/>
            <w:vAlign w:val="center"/>
            <w:hideMark/>
          </w:tcPr>
          <w:p w14:paraId="4A116D15" w14:textId="77777777" w:rsidR="00246C6D" w:rsidRPr="00C52D23" w:rsidRDefault="00246C6D" w:rsidP="00747342">
            <w:pPr>
              <w:jc w:val="center"/>
              <w:rPr>
                <w:color w:val="000000"/>
              </w:rPr>
            </w:pPr>
            <w:r w:rsidRPr="00C52D23">
              <w:rPr>
                <w:color w:val="000000"/>
              </w:rPr>
              <w:t>5</w:t>
            </w:r>
          </w:p>
        </w:tc>
        <w:tc>
          <w:tcPr>
            <w:tcW w:w="1083" w:type="dxa"/>
            <w:vMerge w:val="restart"/>
            <w:tcBorders>
              <w:top w:val="nil"/>
              <w:left w:val="nil"/>
              <w:bottom w:val="single" w:sz="4" w:space="0" w:color="000000"/>
              <w:right w:val="nil"/>
            </w:tcBorders>
            <w:shd w:val="clear" w:color="auto" w:fill="D0CECE"/>
            <w:noWrap/>
            <w:vAlign w:val="center"/>
            <w:hideMark/>
          </w:tcPr>
          <w:p w14:paraId="19928B49" w14:textId="77777777" w:rsidR="00246C6D" w:rsidRPr="00C52D23" w:rsidRDefault="00246C6D" w:rsidP="00747342">
            <w:pPr>
              <w:jc w:val="center"/>
              <w:rPr>
                <w:color w:val="000000"/>
              </w:rPr>
            </w:pPr>
            <w:r w:rsidRPr="00C52D23">
              <w:rPr>
                <w:color w:val="000000"/>
              </w:rPr>
              <w:t>5,27</w:t>
            </w:r>
          </w:p>
        </w:tc>
        <w:tc>
          <w:tcPr>
            <w:tcW w:w="6193" w:type="dxa"/>
            <w:tcBorders>
              <w:top w:val="nil"/>
              <w:left w:val="nil"/>
              <w:bottom w:val="single" w:sz="4" w:space="0" w:color="auto"/>
              <w:right w:val="nil"/>
            </w:tcBorders>
            <w:shd w:val="clear" w:color="auto" w:fill="D0CECE"/>
            <w:noWrap/>
            <w:vAlign w:val="center"/>
            <w:hideMark/>
          </w:tcPr>
          <w:p w14:paraId="25F61C07" w14:textId="77777777" w:rsidR="00246C6D" w:rsidRPr="00C52D23" w:rsidRDefault="00246C6D" w:rsidP="00747342">
            <w:pPr>
              <w:rPr>
                <w:color w:val="000000"/>
              </w:rPr>
            </w:pPr>
            <w:r w:rsidRPr="00C52D23">
              <w:rPr>
                <w:color w:val="000000"/>
              </w:rPr>
              <w:t xml:space="preserve">Q1: Impontualidade dos professores </w:t>
            </w:r>
          </w:p>
        </w:tc>
        <w:tc>
          <w:tcPr>
            <w:tcW w:w="993" w:type="dxa"/>
            <w:tcBorders>
              <w:top w:val="nil"/>
              <w:left w:val="nil"/>
              <w:bottom w:val="single" w:sz="4" w:space="0" w:color="auto"/>
              <w:right w:val="nil"/>
            </w:tcBorders>
            <w:shd w:val="clear" w:color="auto" w:fill="D0CECE"/>
            <w:noWrap/>
            <w:vAlign w:val="center"/>
            <w:hideMark/>
          </w:tcPr>
          <w:p w14:paraId="6D9E0E55" w14:textId="77777777" w:rsidR="00246C6D" w:rsidRPr="00C52D23" w:rsidRDefault="00246C6D" w:rsidP="00747342">
            <w:pPr>
              <w:jc w:val="center"/>
              <w:rPr>
                <w:color w:val="000000"/>
              </w:rPr>
            </w:pPr>
            <w:r w:rsidRPr="00C52D23">
              <w:rPr>
                <w:color w:val="000000"/>
              </w:rPr>
              <w:t>0,805</w:t>
            </w:r>
          </w:p>
        </w:tc>
      </w:tr>
      <w:tr w:rsidR="00246C6D" w:rsidRPr="00911C86" w14:paraId="5A48BF68"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78C6FFB8"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054D3C92"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7F1950ED" w14:textId="77777777" w:rsidR="00246C6D" w:rsidRPr="00C52D23" w:rsidRDefault="00246C6D" w:rsidP="00747342">
            <w:pPr>
              <w:rPr>
                <w:color w:val="000000"/>
              </w:rPr>
            </w:pPr>
            <w:r w:rsidRPr="00C52D23">
              <w:rPr>
                <w:color w:val="000000"/>
              </w:rPr>
              <w:t xml:space="preserve">Q2: Deficiência didático pedagógica </w:t>
            </w:r>
          </w:p>
        </w:tc>
        <w:tc>
          <w:tcPr>
            <w:tcW w:w="993" w:type="dxa"/>
            <w:tcBorders>
              <w:top w:val="nil"/>
              <w:left w:val="nil"/>
              <w:bottom w:val="single" w:sz="4" w:space="0" w:color="auto"/>
              <w:right w:val="nil"/>
            </w:tcBorders>
            <w:shd w:val="clear" w:color="auto" w:fill="D0CECE"/>
            <w:noWrap/>
            <w:vAlign w:val="center"/>
            <w:hideMark/>
          </w:tcPr>
          <w:p w14:paraId="09429487" w14:textId="77777777" w:rsidR="00246C6D" w:rsidRPr="00C52D23" w:rsidRDefault="00246C6D" w:rsidP="00747342">
            <w:pPr>
              <w:jc w:val="center"/>
              <w:rPr>
                <w:color w:val="000000"/>
              </w:rPr>
            </w:pPr>
            <w:r w:rsidRPr="00C52D23">
              <w:rPr>
                <w:color w:val="000000"/>
              </w:rPr>
              <w:t>0,738</w:t>
            </w:r>
          </w:p>
        </w:tc>
      </w:tr>
      <w:tr w:rsidR="00246C6D" w:rsidRPr="00911C86" w14:paraId="15DDDA1F" w14:textId="77777777" w:rsidTr="00747342">
        <w:trPr>
          <w:trHeight w:val="300"/>
          <w:jc w:val="center"/>
        </w:trPr>
        <w:tc>
          <w:tcPr>
            <w:tcW w:w="618" w:type="dxa"/>
            <w:vMerge/>
            <w:tcBorders>
              <w:top w:val="nil"/>
              <w:left w:val="nil"/>
              <w:bottom w:val="single" w:sz="4" w:space="0" w:color="000000"/>
              <w:right w:val="single" w:sz="4" w:space="0" w:color="auto"/>
            </w:tcBorders>
            <w:shd w:val="clear" w:color="auto" w:fill="D0CECE"/>
            <w:vAlign w:val="center"/>
            <w:hideMark/>
          </w:tcPr>
          <w:p w14:paraId="33E3D3BF" w14:textId="77777777" w:rsidR="00246C6D" w:rsidRPr="00C52D23" w:rsidRDefault="00246C6D" w:rsidP="00747342">
            <w:pPr>
              <w:rPr>
                <w:color w:val="000000"/>
              </w:rPr>
            </w:pPr>
          </w:p>
        </w:tc>
        <w:tc>
          <w:tcPr>
            <w:tcW w:w="1083" w:type="dxa"/>
            <w:vMerge/>
            <w:tcBorders>
              <w:top w:val="nil"/>
              <w:left w:val="nil"/>
              <w:bottom w:val="single" w:sz="4" w:space="0" w:color="000000"/>
              <w:right w:val="nil"/>
            </w:tcBorders>
            <w:shd w:val="clear" w:color="auto" w:fill="D0CECE"/>
            <w:vAlign w:val="center"/>
            <w:hideMark/>
          </w:tcPr>
          <w:p w14:paraId="463F0D7E" w14:textId="77777777" w:rsidR="00246C6D" w:rsidRPr="00C52D23" w:rsidRDefault="00246C6D" w:rsidP="00747342">
            <w:pPr>
              <w:rPr>
                <w:color w:val="000000"/>
              </w:rPr>
            </w:pPr>
          </w:p>
        </w:tc>
        <w:tc>
          <w:tcPr>
            <w:tcW w:w="6193" w:type="dxa"/>
            <w:tcBorders>
              <w:top w:val="nil"/>
              <w:left w:val="nil"/>
              <w:bottom w:val="single" w:sz="4" w:space="0" w:color="auto"/>
              <w:right w:val="nil"/>
            </w:tcBorders>
            <w:shd w:val="clear" w:color="auto" w:fill="D0CECE"/>
            <w:noWrap/>
            <w:vAlign w:val="center"/>
            <w:hideMark/>
          </w:tcPr>
          <w:p w14:paraId="7BF58312" w14:textId="77777777" w:rsidR="00246C6D" w:rsidRPr="00C52D23" w:rsidRDefault="00246C6D" w:rsidP="00747342">
            <w:pPr>
              <w:rPr>
                <w:color w:val="000000"/>
              </w:rPr>
            </w:pPr>
            <w:r w:rsidRPr="00C52D23">
              <w:rPr>
                <w:color w:val="000000"/>
              </w:rPr>
              <w:t>Q3: Orientação insuficiente da coordenação do curso</w:t>
            </w:r>
          </w:p>
        </w:tc>
        <w:tc>
          <w:tcPr>
            <w:tcW w:w="993" w:type="dxa"/>
            <w:tcBorders>
              <w:top w:val="nil"/>
              <w:left w:val="nil"/>
              <w:bottom w:val="single" w:sz="4" w:space="0" w:color="auto"/>
              <w:right w:val="nil"/>
            </w:tcBorders>
            <w:shd w:val="clear" w:color="auto" w:fill="D0CECE"/>
            <w:noWrap/>
            <w:vAlign w:val="center"/>
            <w:hideMark/>
          </w:tcPr>
          <w:p w14:paraId="14B243C0" w14:textId="77777777" w:rsidR="00246C6D" w:rsidRPr="00C52D23" w:rsidRDefault="00246C6D" w:rsidP="00747342">
            <w:pPr>
              <w:jc w:val="center"/>
              <w:rPr>
                <w:color w:val="000000"/>
              </w:rPr>
            </w:pPr>
            <w:r w:rsidRPr="00C52D23">
              <w:rPr>
                <w:color w:val="000000"/>
              </w:rPr>
              <w:t>0,798</w:t>
            </w:r>
          </w:p>
        </w:tc>
      </w:tr>
    </w:tbl>
    <w:p w14:paraId="7B0581AB" w14:textId="77777777" w:rsidR="00246C6D" w:rsidRDefault="00246C6D" w:rsidP="00246C6D">
      <w:pPr>
        <w:jc w:val="both"/>
      </w:pPr>
      <w:r w:rsidRPr="002E241E">
        <w:t>Fonte: Dados da pesquisa.</w:t>
      </w:r>
    </w:p>
    <w:p w14:paraId="1D4C75FC" w14:textId="77777777" w:rsidR="00246C6D" w:rsidRDefault="00246C6D" w:rsidP="00246C6D">
      <w:pPr>
        <w:ind w:firstLine="360"/>
        <w:jc w:val="both"/>
        <w:rPr>
          <w:sz w:val="24"/>
          <w:szCs w:val="24"/>
        </w:rPr>
      </w:pPr>
    </w:p>
    <w:p w14:paraId="1956F793" w14:textId="77777777" w:rsidR="00246C6D" w:rsidRDefault="00246C6D" w:rsidP="00EB2F1D">
      <w:pPr>
        <w:ind w:firstLine="709"/>
        <w:jc w:val="both"/>
        <w:rPr>
          <w:sz w:val="24"/>
          <w:szCs w:val="24"/>
        </w:rPr>
      </w:pPr>
      <w:r>
        <w:rPr>
          <w:sz w:val="24"/>
          <w:szCs w:val="24"/>
        </w:rPr>
        <w:t>A análise indicou 9 componentes com autovalor superior a 1, entretanto, optou-se por utilizar os fatores que somados explicassem 50% da variância total. Obteve-se, assim, cinco fatores que explicam 53% da variância total. Quanto a formação dos demais fatores, diferentemente do que ocorreu com a análise da parte II, as questões não ficaram bem distribuídas nos fatores. Assim, a aplicação novamente da análise fatorial contribuiu para organizar melhor os fatores. O primeiro fator possui um poder de explicação alto, principalmente ao se comparar com os demais.</w:t>
      </w:r>
    </w:p>
    <w:p w14:paraId="386490A1" w14:textId="77777777" w:rsidR="00246C6D" w:rsidRPr="0069728A" w:rsidRDefault="00246C6D" w:rsidP="00EB2F1D">
      <w:pPr>
        <w:ind w:firstLine="709"/>
        <w:jc w:val="both"/>
        <w:rPr>
          <w:color w:val="000000"/>
          <w:sz w:val="24"/>
          <w:szCs w:val="24"/>
        </w:rPr>
      </w:pPr>
      <w:r w:rsidRPr="0069728A">
        <w:rPr>
          <w:color w:val="000000"/>
          <w:sz w:val="24"/>
          <w:szCs w:val="24"/>
        </w:rPr>
        <w:t>Considera</w:t>
      </w:r>
      <w:r>
        <w:rPr>
          <w:color w:val="000000"/>
          <w:sz w:val="24"/>
          <w:szCs w:val="24"/>
        </w:rPr>
        <w:t>ndo-se os fatores indicados na T</w:t>
      </w:r>
      <w:r w:rsidRPr="0069728A">
        <w:rPr>
          <w:color w:val="000000"/>
          <w:sz w:val="24"/>
          <w:szCs w:val="24"/>
        </w:rPr>
        <w:t>abela 1</w:t>
      </w:r>
      <w:r>
        <w:rPr>
          <w:color w:val="000000"/>
          <w:sz w:val="24"/>
          <w:szCs w:val="24"/>
        </w:rPr>
        <w:t>0</w:t>
      </w:r>
      <w:r w:rsidRPr="0069728A">
        <w:rPr>
          <w:color w:val="000000"/>
          <w:sz w:val="24"/>
          <w:szCs w:val="24"/>
        </w:rPr>
        <w:t>, criou-se as seguintes denominações:</w:t>
      </w:r>
    </w:p>
    <w:p w14:paraId="050D3C3F" w14:textId="77777777" w:rsidR="00246C6D" w:rsidRPr="0069728A" w:rsidRDefault="00246C6D" w:rsidP="00EB2F1D">
      <w:pPr>
        <w:pStyle w:val="PargrafodaLista"/>
        <w:numPr>
          <w:ilvl w:val="0"/>
          <w:numId w:val="4"/>
        </w:numPr>
        <w:tabs>
          <w:tab w:val="left" w:pos="851"/>
        </w:tabs>
        <w:suppressAutoHyphens w:val="0"/>
        <w:ind w:left="0" w:firstLine="709"/>
        <w:jc w:val="both"/>
        <w:rPr>
          <w:color w:val="000000"/>
          <w:sz w:val="24"/>
          <w:szCs w:val="24"/>
        </w:rPr>
      </w:pPr>
      <w:r w:rsidRPr="0056145F">
        <w:rPr>
          <w:b/>
          <w:color w:val="000000"/>
          <w:sz w:val="24"/>
          <w:szCs w:val="24"/>
        </w:rPr>
        <w:t>Fator 1:</w:t>
      </w:r>
      <w:r w:rsidRPr="0069728A">
        <w:rPr>
          <w:color w:val="000000"/>
          <w:sz w:val="24"/>
          <w:szCs w:val="24"/>
        </w:rPr>
        <w:t xml:space="preserve"> Denominado </w:t>
      </w:r>
      <w:r w:rsidRPr="00F838CF">
        <w:rPr>
          <w:i/>
          <w:color w:val="000000"/>
          <w:sz w:val="24"/>
          <w:szCs w:val="24"/>
        </w:rPr>
        <w:t>Eventos circunstanciais</w:t>
      </w:r>
      <w:r>
        <w:rPr>
          <w:color w:val="000000"/>
          <w:sz w:val="24"/>
          <w:szCs w:val="24"/>
        </w:rPr>
        <w:t xml:space="preserve">, composto por questões que descrevem algum tipo de imprevisto na vida pessoal e/ou acadêmica do discente. </w:t>
      </w:r>
    </w:p>
    <w:p w14:paraId="67CCE280" w14:textId="77777777" w:rsidR="00246C6D" w:rsidRPr="0069728A" w:rsidRDefault="00246C6D" w:rsidP="00EB2F1D">
      <w:pPr>
        <w:pStyle w:val="PargrafodaLista"/>
        <w:numPr>
          <w:ilvl w:val="0"/>
          <w:numId w:val="4"/>
        </w:numPr>
        <w:tabs>
          <w:tab w:val="left" w:pos="851"/>
        </w:tabs>
        <w:suppressAutoHyphens w:val="0"/>
        <w:ind w:left="0" w:firstLine="709"/>
        <w:jc w:val="both"/>
        <w:rPr>
          <w:color w:val="000000"/>
          <w:sz w:val="24"/>
          <w:szCs w:val="24"/>
        </w:rPr>
      </w:pPr>
      <w:r w:rsidRPr="0056145F">
        <w:rPr>
          <w:b/>
          <w:color w:val="000000"/>
          <w:sz w:val="24"/>
          <w:szCs w:val="24"/>
        </w:rPr>
        <w:t>Fator 2:</w:t>
      </w:r>
      <w:r w:rsidRPr="0069728A">
        <w:rPr>
          <w:color w:val="000000"/>
          <w:sz w:val="24"/>
          <w:szCs w:val="24"/>
        </w:rPr>
        <w:t xml:space="preserve"> Denominado </w:t>
      </w:r>
      <w:r w:rsidRPr="00785EDD">
        <w:rPr>
          <w:i/>
          <w:color w:val="000000"/>
          <w:sz w:val="24"/>
          <w:szCs w:val="24"/>
        </w:rPr>
        <w:t>Aspectos relacionais</w:t>
      </w:r>
      <w:r w:rsidRPr="00785EDD">
        <w:rPr>
          <w:color w:val="000000"/>
          <w:sz w:val="24"/>
          <w:szCs w:val="24"/>
        </w:rPr>
        <w:t xml:space="preserve">, </w:t>
      </w:r>
      <w:r>
        <w:rPr>
          <w:color w:val="000000"/>
          <w:sz w:val="24"/>
          <w:szCs w:val="24"/>
        </w:rPr>
        <w:t>formado por questões referentes</w:t>
      </w:r>
      <w:r w:rsidRPr="00785EDD">
        <w:rPr>
          <w:color w:val="000000"/>
          <w:sz w:val="24"/>
          <w:szCs w:val="24"/>
        </w:rPr>
        <w:t xml:space="preserve"> aos relacionamentos dentro da instituição.</w:t>
      </w:r>
    </w:p>
    <w:p w14:paraId="3A1A2962" w14:textId="77777777" w:rsidR="00246C6D" w:rsidRPr="0069728A" w:rsidRDefault="00246C6D" w:rsidP="00EB2F1D">
      <w:pPr>
        <w:pStyle w:val="PargrafodaLista"/>
        <w:numPr>
          <w:ilvl w:val="0"/>
          <w:numId w:val="4"/>
        </w:numPr>
        <w:tabs>
          <w:tab w:val="left" w:pos="851"/>
        </w:tabs>
        <w:suppressAutoHyphens w:val="0"/>
        <w:ind w:left="0" w:firstLine="709"/>
        <w:jc w:val="both"/>
        <w:rPr>
          <w:color w:val="000000"/>
          <w:sz w:val="24"/>
          <w:szCs w:val="24"/>
        </w:rPr>
      </w:pPr>
      <w:r w:rsidRPr="0056145F">
        <w:rPr>
          <w:b/>
          <w:color w:val="000000"/>
          <w:sz w:val="24"/>
          <w:szCs w:val="24"/>
        </w:rPr>
        <w:t>Fator 3:</w:t>
      </w:r>
      <w:r w:rsidRPr="0069728A">
        <w:rPr>
          <w:color w:val="000000"/>
          <w:sz w:val="24"/>
          <w:szCs w:val="24"/>
        </w:rPr>
        <w:t xml:space="preserve"> Denominado </w:t>
      </w:r>
      <w:r w:rsidRPr="0069728A">
        <w:rPr>
          <w:i/>
          <w:color w:val="000000"/>
          <w:sz w:val="24"/>
          <w:szCs w:val="24"/>
        </w:rPr>
        <w:t>Estrutura do curso</w:t>
      </w:r>
      <w:r>
        <w:rPr>
          <w:color w:val="000000"/>
          <w:sz w:val="24"/>
          <w:szCs w:val="24"/>
        </w:rPr>
        <w:t xml:space="preserve">, que relaciona as questões referentes ao funcionamento do curso em si, ou seja, ligadas à operacionalização do curso. </w:t>
      </w:r>
    </w:p>
    <w:p w14:paraId="18B26920" w14:textId="77777777" w:rsidR="00246C6D" w:rsidRPr="0069728A" w:rsidRDefault="00246C6D" w:rsidP="00EB2F1D">
      <w:pPr>
        <w:pStyle w:val="PargrafodaLista"/>
        <w:numPr>
          <w:ilvl w:val="0"/>
          <w:numId w:val="4"/>
        </w:numPr>
        <w:tabs>
          <w:tab w:val="left" w:pos="851"/>
        </w:tabs>
        <w:suppressAutoHyphens w:val="0"/>
        <w:ind w:left="0" w:firstLine="709"/>
        <w:jc w:val="both"/>
        <w:rPr>
          <w:color w:val="000000"/>
          <w:sz w:val="24"/>
          <w:szCs w:val="24"/>
        </w:rPr>
      </w:pPr>
      <w:r w:rsidRPr="0056145F">
        <w:rPr>
          <w:b/>
          <w:color w:val="000000"/>
          <w:sz w:val="24"/>
          <w:szCs w:val="24"/>
        </w:rPr>
        <w:t>Fator 4:</w:t>
      </w:r>
      <w:r w:rsidRPr="0069728A">
        <w:rPr>
          <w:color w:val="000000"/>
          <w:sz w:val="24"/>
          <w:szCs w:val="24"/>
        </w:rPr>
        <w:t xml:space="preserve"> Denominado</w:t>
      </w:r>
      <w:r>
        <w:rPr>
          <w:color w:val="000000"/>
          <w:sz w:val="24"/>
          <w:szCs w:val="24"/>
        </w:rPr>
        <w:t xml:space="preserve"> </w:t>
      </w:r>
      <w:r w:rsidRPr="0069728A">
        <w:rPr>
          <w:i/>
          <w:color w:val="000000"/>
          <w:sz w:val="24"/>
          <w:szCs w:val="24"/>
        </w:rPr>
        <w:t>Estrutura da instituição</w:t>
      </w:r>
      <w:r>
        <w:rPr>
          <w:color w:val="000000"/>
          <w:sz w:val="24"/>
          <w:szCs w:val="24"/>
        </w:rPr>
        <w:t>, formado por questões relacionadas com as instalações oferecidas pela instituição.</w:t>
      </w:r>
    </w:p>
    <w:p w14:paraId="0F779FE8" w14:textId="77777777" w:rsidR="00246C6D" w:rsidRPr="0069728A" w:rsidRDefault="00246C6D" w:rsidP="00EB2F1D">
      <w:pPr>
        <w:pStyle w:val="PargrafodaLista"/>
        <w:numPr>
          <w:ilvl w:val="0"/>
          <w:numId w:val="4"/>
        </w:numPr>
        <w:tabs>
          <w:tab w:val="left" w:pos="851"/>
        </w:tabs>
        <w:suppressAutoHyphens w:val="0"/>
        <w:ind w:left="0" w:firstLine="709"/>
        <w:jc w:val="both"/>
        <w:rPr>
          <w:color w:val="000000"/>
          <w:sz w:val="24"/>
          <w:szCs w:val="24"/>
        </w:rPr>
      </w:pPr>
      <w:r w:rsidRPr="0056145F">
        <w:rPr>
          <w:b/>
          <w:color w:val="000000"/>
          <w:sz w:val="24"/>
          <w:szCs w:val="24"/>
        </w:rPr>
        <w:t>Fator 5:</w:t>
      </w:r>
      <w:r w:rsidRPr="0069728A">
        <w:rPr>
          <w:color w:val="000000"/>
          <w:sz w:val="24"/>
          <w:szCs w:val="24"/>
        </w:rPr>
        <w:t xml:space="preserve"> Denominado</w:t>
      </w:r>
      <w:r>
        <w:rPr>
          <w:color w:val="000000"/>
          <w:sz w:val="24"/>
          <w:szCs w:val="24"/>
        </w:rPr>
        <w:t xml:space="preserve"> </w:t>
      </w:r>
      <w:r w:rsidRPr="00E10682">
        <w:rPr>
          <w:i/>
          <w:color w:val="000000"/>
          <w:sz w:val="24"/>
          <w:szCs w:val="24"/>
        </w:rPr>
        <w:t>Atendimento aos discentes</w:t>
      </w:r>
      <w:r>
        <w:rPr>
          <w:color w:val="000000"/>
          <w:sz w:val="24"/>
          <w:szCs w:val="24"/>
        </w:rPr>
        <w:t xml:space="preserve">, composto por questões relacionadas com a forma como o curso, considerando docentes e coordenação, auxilia os discentes. </w:t>
      </w:r>
    </w:p>
    <w:p w14:paraId="7B3E525B" w14:textId="77777777" w:rsidR="00246C6D" w:rsidRDefault="00246C6D" w:rsidP="00246C6D">
      <w:pPr>
        <w:ind w:left="360"/>
        <w:jc w:val="both"/>
        <w:rPr>
          <w:sz w:val="24"/>
          <w:szCs w:val="24"/>
        </w:rPr>
      </w:pPr>
    </w:p>
    <w:p w14:paraId="20EA6D6A" w14:textId="77777777" w:rsidR="00246C6D" w:rsidRDefault="00246C6D" w:rsidP="00A447D9">
      <w:pPr>
        <w:ind w:firstLine="709"/>
        <w:jc w:val="both"/>
        <w:rPr>
          <w:sz w:val="24"/>
          <w:szCs w:val="24"/>
        </w:rPr>
      </w:pPr>
      <w:r w:rsidRPr="00756C63">
        <w:rPr>
          <w:sz w:val="24"/>
          <w:szCs w:val="24"/>
        </w:rPr>
        <w:t xml:space="preserve">O fator 1: </w:t>
      </w:r>
      <w:r w:rsidRPr="00756C63">
        <w:rPr>
          <w:i/>
          <w:color w:val="000000"/>
          <w:sz w:val="24"/>
          <w:szCs w:val="24"/>
        </w:rPr>
        <w:t>Eventos circunstanciais</w:t>
      </w:r>
      <w:r w:rsidRPr="00756C63">
        <w:rPr>
          <w:sz w:val="24"/>
          <w:szCs w:val="24"/>
        </w:rPr>
        <w:t xml:space="preserve"> foi formado pelas questões </w:t>
      </w:r>
      <w:r w:rsidRPr="00756C63">
        <w:rPr>
          <w:b/>
          <w:sz w:val="24"/>
          <w:szCs w:val="24"/>
        </w:rPr>
        <w:t>Q13:</w:t>
      </w:r>
      <w:r w:rsidRPr="00756C63">
        <w:rPr>
          <w:sz w:val="24"/>
          <w:szCs w:val="24"/>
        </w:rPr>
        <w:t xml:space="preserve"> Mudança de interesse, opção de vida e/ou indecisão profissional, </w:t>
      </w:r>
      <w:r w:rsidRPr="00756C63">
        <w:rPr>
          <w:b/>
          <w:sz w:val="24"/>
          <w:szCs w:val="24"/>
        </w:rPr>
        <w:t xml:space="preserve">Q14: </w:t>
      </w:r>
      <w:r w:rsidRPr="00756C63">
        <w:rPr>
          <w:sz w:val="24"/>
          <w:szCs w:val="24"/>
        </w:rPr>
        <w:t xml:space="preserve">Problemas de saúde ou falecimento, </w:t>
      </w:r>
      <w:r w:rsidRPr="00756C63">
        <w:rPr>
          <w:b/>
          <w:sz w:val="24"/>
          <w:szCs w:val="24"/>
        </w:rPr>
        <w:t>Q17:</w:t>
      </w:r>
      <w:r w:rsidRPr="00756C63">
        <w:rPr>
          <w:sz w:val="24"/>
          <w:szCs w:val="24"/>
        </w:rPr>
        <w:t xml:space="preserve"> Mudança de residência/domicílio, </w:t>
      </w:r>
      <w:r w:rsidRPr="00756C63">
        <w:rPr>
          <w:b/>
          <w:sz w:val="24"/>
          <w:szCs w:val="24"/>
        </w:rPr>
        <w:t>Q19:</w:t>
      </w:r>
      <w:r w:rsidRPr="00756C63">
        <w:rPr>
          <w:sz w:val="24"/>
          <w:szCs w:val="24"/>
        </w:rPr>
        <w:t xml:space="preserve"> Por não atender minhas expectativas, </w:t>
      </w:r>
      <w:r w:rsidRPr="00756C63">
        <w:rPr>
          <w:b/>
          <w:sz w:val="24"/>
          <w:szCs w:val="24"/>
        </w:rPr>
        <w:t>Q34:</w:t>
      </w:r>
      <w:r w:rsidRPr="00756C63">
        <w:rPr>
          <w:sz w:val="24"/>
          <w:szCs w:val="24"/>
        </w:rPr>
        <w:t xml:space="preserve"> Reprovações constantes, </w:t>
      </w:r>
      <w:r w:rsidRPr="00756C63">
        <w:rPr>
          <w:b/>
          <w:sz w:val="24"/>
          <w:szCs w:val="24"/>
        </w:rPr>
        <w:t>Q35:</w:t>
      </w:r>
      <w:r w:rsidRPr="00756C63">
        <w:rPr>
          <w:sz w:val="24"/>
          <w:szCs w:val="24"/>
        </w:rPr>
        <w:t xml:space="preserve"> Desempenho acadêmico insuficiente e </w:t>
      </w:r>
      <w:r w:rsidRPr="00756C63">
        <w:rPr>
          <w:b/>
          <w:sz w:val="24"/>
          <w:szCs w:val="24"/>
        </w:rPr>
        <w:t>Q36:</w:t>
      </w:r>
      <w:r>
        <w:rPr>
          <w:sz w:val="24"/>
          <w:szCs w:val="24"/>
        </w:rPr>
        <w:t xml:space="preserve"> Escolha equivocada do curso, representando 24,6% da carga fatorial, ou seja, indefere da postura da instituição. Estes resultados corroboram com os achados de </w:t>
      </w:r>
      <w:r w:rsidRPr="00BA6153">
        <w:rPr>
          <w:sz w:val="24"/>
          <w:szCs w:val="24"/>
        </w:rPr>
        <w:t>Oakland (1992) e Chuang</w:t>
      </w:r>
      <w:r w:rsidRPr="00BA6153">
        <w:rPr>
          <w:bCs/>
          <w:smallCaps/>
          <w:color w:val="000000"/>
          <w:spacing w:val="-1"/>
          <w:sz w:val="24"/>
          <w:szCs w:val="24"/>
          <w:lang w:val="pt-PT"/>
        </w:rPr>
        <w:t xml:space="preserve"> (1997)</w:t>
      </w:r>
      <w:r>
        <w:rPr>
          <w:bCs/>
          <w:smallCaps/>
          <w:color w:val="000000"/>
          <w:spacing w:val="-1"/>
          <w:sz w:val="24"/>
          <w:szCs w:val="24"/>
          <w:lang w:val="pt-PT"/>
        </w:rPr>
        <w:t xml:space="preserve">; </w:t>
      </w:r>
      <w:r>
        <w:rPr>
          <w:sz w:val="24"/>
          <w:szCs w:val="24"/>
        </w:rPr>
        <w:t xml:space="preserve">Dias, </w:t>
      </w:r>
      <w:proofErr w:type="spellStart"/>
      <w:r>
        <w:rPr>
          <w:sz w:val="24"/>
          <w:szCs w:val="24"/>
        </w:rPr>
        <w:t>Theóphilo</w:t>
      </w:r>
      <w:proofErr w:type="spellEnd"/>
      <w:r>
        <w:rPr>
          <w:sz w:val="24"/>
          <w:szCs w:val="24"/>
        </w:rPr>
        <w:t xml:space="preserve"> e Lopes (2010); Silva (2012) e </w:t>
      </w:r>
      <w:r w:rsidRPr="00BA6153">
        <w:rPr>
          <w:bCs/>
          <w:spacing w:val="5"/>
          <w:sz w:val="24"/>
          <w:szCs w:val="24"/>
          <w:lang w:val="pt-PT"/>
        </w:rPr>
        <w:t>Migali e Zucchelli (2017)</w:t>
      </w:r>
      <w:r>
        <w:rPr>
          <w:bCs/>
          <w:spacing w:val="5"/>
          <w:sz w:val="24"/>
          <w:szCs w:val="24"/>
          <w:lang w:val="pt-PT"/>
        </w:rPr>
        <w:t xml:space="preserve">. </w:t>
      </w:r>
    </w:p>
    <w:p w14:paraId="5C7434D4" w14:textId="77777777" w:rsidR="00246C6D" w:rsidRPr="00162CAD" w:rsidRDefault="00246C6D" w:rsidP="00A447D9">
      <w:pPr>
        <w:ind w:firstLine="709"/>
        <w:jc w:val="both"/>
        <w:rPr>
          <w:color w:val="000000"/>
          <w:sz w:val="24"/>
          <w:szCs w:val="24"/>
        </w:rPr>
      </w:pPr>
      <w:r w:rsidRPr="00756C63">
        <w:rPr>
          <w:sz w:val="24"/>
          <w:szCs w:val="24"/>
        </w:rPr>
        <w:t xml:space="preserve"> </w:t>
      </w:r>
      <w:r w:rsidRPr="00756C63">
        <w:rPr>
          <w:color w:val="000000"/>
          <w:sz w:val="24"/>
          <w:szCs w:val="24"/>
        </w:rPr>
        <w:t>O fator 2 está caracterizado de forma bipolar: as questões 28 e 25 formam as questões diretamente ligadas ao relacionamento, enquanto que as questões 26 e 27 indicam uma dificuldade que o discente encontra em adequar o seu horário. En</w:t>
      </w:r>
      <w:r>
        <w:rPr>
          <w:color w:val="000000"/>
          <w:sz w:val="24"/>
          <w:szCs w:val="24"/>
        </w:rPr>
        <w:t>tretanto, de forma indireta os a</w:t>
      </w:r>
      <w:r w:rsidRPr="00756C63">
        <w:rPr>
          <w:color w:val="000000"/>
          <w:sz w:val="24"/>
          <w:szCs w:val="24"/>
        </w:rPr>
        <w:t xml:space="preserve">spectos relacionais também influenciam estas questões, já que o aluno pode negociar o seu horário com o professor ou com a coordenação. Como mencionamos anteriormente, o curso opera no noturno buscando mitigar estes problemas. Os fatores </w:t>
      </w:r>
      <w:r w:rsidRPr="002C26FE">
        <w:rPr>
          <w:i/>
          <w:color w:val="000000"/>
          <w:sz w:val="24"/>
          <w:szCs w:val="24"/>
        </w:rPr>
        <w:t>Estrutura do curso</w:t>
      </w:r>
      <w:r w:rsidRPr="00756C63">
        <w:rPr>
          <w:color w:val="000000"/>
          <w:sz w:val="24"/>
          <w:szCs w:val="24"/>
        </w:rPr>
        <w:t xml:space="preserve"> e </w:t>
      </w:r>
      <w:r w:rsidRPr="002C26FE">
        <w:rPr>
          <w:i/>
          <w:color w:val="000000"/>
          <w:sz w:val="24"/>
          <w:szCs w:val="24"/>
        </w:rPr>
        <w:t>Estrutura da instituição</w:t>
      </w:r>
      <w:r w:rsidRPr="00756C63">
        <w:rPr>
          <w:color w:val="000000"/>
          <w:sz w:val="24"/>
          <w:szCs w:val="24"/>
        </w:rPr>
        <w:t xml:space="preserve"> tratam de questões envolvendo características tanto dos cursos quanto da estrutura da instituição. A presença de </w:t>
      </w:r>
      <w:r w:rsidRPr="00756C63">
        <w:rPr>
          <w:b/>
          <w:color w:val="000000"/>
          <w:sz w:val="24"/>
          <w:szCs w:val="24"/>
        </w:rPr>
        <w:t>Q10</w:t>
      </w:r>
      <w:r w:rsidRPr="00756C63">
        <w:rPr>
          <w:color w:val="000000"/>
          <w:sz w:val="24"/>
          <w:szCs w:val="24"/>
        </w:rPr>
        <w:t xml:space="preserve"> neste fator indica uma tendência nacional em que a procura por centros universitários, mais voltados para a formação profissional do que a reflexão </w:t>
      </w:r>
      <w:r w:rsidRPr="00756C63">
        <w:rPr>
          <w:color w:val="000000"/>
          <w:sz w:val="24"/>
          <w:szCs w:val="24"/>
        </w:rPr>
        <w:lastRenderedPageBreak/>
        <w:t>e pesquisa feita nas universidades, vêm crescendo cada vez</w:t>
      </w:r>
      <w:r>
        <w:rPr>
          <w:color w:val="000000"/>
          <w:sz w:val="24"/>
          <w:szCs w:val="24"/>
        </w:rPr>
        <w:t xml:space="preserve"> mais (FERNANDES e NUNES, 2013). Os </w:t>
      </w:r>
      <w:r>
        <w:rPr>
          <w:sz w:val="24"/>
          <w:szCs w:val="24"/>
        </w:rPr>
        <w:t xml:space="preserve">resultados corroboram com os achados de </w:t>
      </w:r>
      <w:r w:rsidRPr="00911C86">
        <w:rPr>
          <w:color w:val="000000"/>
          <w:sz w:val="24"/>
          <w:szCs w:val="24"/>
        </w:rPr>
        <w:t xml:space="preserve">Oakland, 1992; Tinto, 1975; Chuang, 1997; </w:t>
      </w:r>
      <w:r>
        <w:rPr>
          <w:sz w:val="24"/>
          <w:szCs w:val="24"/>
        </w:rPr>
        <w:t xml:space="preserve">Dias, </w:t>
      </w:r>
      <w:proofErr w:type="spellStart"/>
      <w:r>
        <w:rPr>
          <w:sz w:val="24"/>
          <w:szCs w:val="24"/>
        </w:rPr>
        <w:t>Theóphilo</w:t>
      </w:r>
      <w:proofErr w:type="spellEnd"/>
      <w:r>
        <w:rPr>
          <w:sz w:val="24"/>
          <w:szCs w:val="24"/>
        </w:rPr>
        <w:t xml:space="preserve"> e Lopes (2010); Silva (2012); </w:t>
      </w:r>
      <w:proofErr w:type="spellStart"/>
      <w:r>
        <w:rPr>
          <w:sz w:val="24"/>
          <w:szCs w:val="24"/>
        </w:rPr>
        <w:t>Robison</w:t>
      </w:r>
      <w:proofErr w:type="spellEnd"/>
      <w:r>
        <w:rPr>
          <w:sz w:val="24"/>
          <w:szCs w:val="24"/>
        </w:rPr>
        <w:t xml:space="preserve">, et. </w:t>
      </w:r>
      <w:proofErr w:type="gramStart"/>
      <w:r w:rsidRPr="00271D73">
        <w:rPr>
          <w:i/>
          <w:sz w:val="24"/>
          <w:szCs w:val="24"/>
        </w:rPr>
        <w:t>al</w:t>
      </w:r>
      <w:proofErr w:type="gramEnd"/>
      <w:r w:rsidRPr="00271D73">
        <w:rPr>
          <w:i/>
          <w:sz w:val="24"/>
          <w:szCs w:val="24"/>
        </w:rPr>
        <w:t xml:space="preserve"> </w:t>
      </w:r>
      <w:r>
        <w:rPr>
          <w:sz w:val="24"/>
          <w:szCs w:val="24"/>
        </w:rPr>
        <w:t xml:space="preserve">(2017) e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271D73">
        <w:rPr>
          <w:i/>
          <w:color w:val="000000"/>
          <w:sz w:val="24"/>
          <w:szCs w:val="24"/>
        </w:rPr>
        <w:t>al</w:t>
      </w:r>
      <w:proofErr w:type="gramEnd"/>
      <w:r w:rsidRPr="00911C86">
        <w:rPr>
          <w:color w:val="000000"/>
          <w:sz w:val="24"/>
          <w:szCs w:val="24"/>
        </w:rPr>
        <w:t xml:space="preserve"> (2017).</w:t>
      </w:r>
    </w:p>
    <w:p w14:paraId="711B8121" w14:textId="77777777" w:rsidR="00246C6D" w:rsidRPr="00162CAD" w:rsidRDefault="00246C6D" w:rsidP="00246C6D">
      <w:pPr>
        <w:tabs>
          <w:tab w:val="left" w:pos="284"/>
        </w:tabs>
        <w:jc w:val="both"/>
        <w:rPr>
          <w:b/>
          <w:sz w:val="24"/>
          <w:szCs w:val="24"/>
        </w:rPr>
      </w:pPr>
    </w:p>
    <w:p w14:paraId="4735C034" w14:textId="77777777" w:rsidR="00246C6D" w:rsidRDefault="00246C6D" w:rsidP="00246C6D">
      <w:pPr>
        <w:tabs>
          <w:tab w:val="left" w:pos="284"/>
        </w:tabs>
        <w:jc w:val="both"/>
        <w:rPr>
          <w:sz w:val="24"/>
          <w:szCs w:val="24"/>
        </w:rPr>
      </w:pPr>
      <w:r>
        <w:rPr>
          <w:b/>
          <w:sz w:val="24"/>
          <w:szCs w:val="24"/>
        </w:rPr>
        <w:t>CONSIDERAÇÕES F</w:t>
      </w:r>
      <w:r w:rsidRPr="004C36B6">
        <w:rPr>
          <w:b/>
          <w:sz w:val="24"/>
          <w:szCs w:val="24"/>
        </w:rPr>
        <w:t xml:space="preserve">INAIS </w:t>
      </w:r>
      <w:r>
        <w:rPr>
          <w:sz w:val="24"/>
          <w:szCs w:val="24"/>
        </w:rPr>
        <w:tab/>
      </w:r>
    </w:p>
    <w:p w14:paraId="741B7669" w14:textId="77777777" w:rsidR="00246C6D" w:rsidRDefault="00246C6D" w:rsidP="00A447D9">
      <w:pPr>
        <w:tabs>
          <w:tab w:val="left" w:pos="284"/>
        </w:tabs>
        <w:ind w:firstLine="709"/>
        <w:jc w:val="both"/>
        <w:rPr>
          <w:sz w:val="24"/>
          <w:szCs w:val="24"/>
        </w:rPr>
      </w:pPr>
      <w:r>
        <w:rPr>
          <w:sz w:val="24"/>
          <w:szCs w:val="24"/>
        </w:rPr>
        <w:t xml:space="preserve">Este estudo investigou </w:t>
      </w:r>
      <w:r w:rsidRPr="00190D64">
        <w:rPr>
          <w:sz w:val="24"/>
          <w:szCs w:val="24"/>
        </w:rPr>
        <w:t>os fatores que influenciam na evasão escolar em curso de ciências contábeis</w:t>
      </w:r>
      <w:r>
        <w:rPr>
          <w:sz w:val="24"/>
          <w:szCs w:val="24"/>
        </w:rPr>
        <w:t>. Para tanto realizou-se uma pesquisa descritiva, de levantamento e quantitativa. Os resultados fornecem evidências que permitem as instituições compreender melhor o fenômeno de evasão escolar, acarretando em desperdício de material financeiro e humano (Assis, 2013). Logo, conhecer tais fatores permite que as instituições criem ações que visam reduzir tal fenômeno (Silva Filho, 2017).</w:t>
      </w:r>
    </w:p>
    <w:p w14:paraId="5C9A8D15" w14:textId="77777777" w:rsidR="00246C6D" w:rsidRPr="00911C86" w:rsidRDefault="00246C6D" w:rsidP="00A447D9">
      <w:pPr>
        <w:tabs>
          <w:tab w:val="left" w:pos="284"/>
        </w:tabs>
        <w:ind w:firstLine="709"/>
        <w:jc w:val="both"/>
        <w:rPr>
          <w:color w:val="000000"/>
          <w:sz w:val="24"/>
          <w:szCs w:val="24"/>
        </w:rPr>
      </w:pPr>
      <w:r>
        <w:rPr>
          <w:sz w:val="24"/>
          <w:szCs w:val="24"/>
        </w:rPr>
        <w:t xml:space="preserve">Verificou-se que a maioria dos respondentes são jovens e possuem menos de 21 anos, representando 62,5% da amostra, isto é, recentemente formaram-se no ensino médio, fator que tende a ocasionar um elevado abandono escolar. Por outro lado, aproximadamente 60% dos respondentes, afirmam possuir renda familiar </w:t>
      </w:r>
      <w:r w:rsidRPr="00911C86">
        <w:rPr>
          <w:color w:val="000000"/>
          <w:sz w:val="24"/>
          <w:szCs w:val="24"/>
        </w:rPr>
        <w:t xml:space="preserve">superior a 4 salários mínimos. Deste modo, conclui-se que a renda não é um fator propicio a ocasionar a evasão escolar neste estudo. Tal resultado não corrobora com os achados de Tinto, 1975; Chuang, 1997; </w:t>
      </w:r>
      <w:proofErr w:type="spellStart"/>
      <w:r w:rsidRPr="00911C86">
        <w:rPr>
          <w:color w:val="000000"/>
          <w:sz w:val="24"/>
          <w:szCs w:val="24"/>
        </w:rPr>
        <w:t>Robison</w:t>
      </w:r>
      <w:proofErr w:type="spellEnd"/>
      <w:r w:rsidRPr="00911C86">
        <w:rPr>
          <w:color w:val="000000"/>
          <w:sz w:val="24"/>
          <w:szCs w:val="24"/>
        </w:rPr>
        <w:t xml:space="preserve"> et. </w:t>
      </w:r>
      <w:proofErr w:type="gramStart"/>
      <w:r w:rsidRPr="00271D73">
        <w:rPr>
          <w:i/>
          <w:color w:val="000000"/>
          <w:sz w:val="24"/>
          <w:szCs w:val="24"/>
        </w:rPr>
        <w:t>al</w:t>
      </w:r>
      <w:proofErr w:type="gramEnd"/>
      <w:r w:rsidRPr="00271D73">
        <w:rPr>
          <w:i/>
          <w:color w:val="000000"/>
          <w:sz w:val="24"/>
          <w:szCs w:val="24"/>
        </w:rPr>
        <w:t>,</w:t>
      </w:r>
      <w:r w:rsidRPr="00911C86">
        <w:rPr>
          <w:color w:val="000000"/>
          <w:sz w:val="24"/>
          <w:szCs w:val="24"/>
        </w:rPr>
        <w:t xml:space="preserve"> 2017 e </w:t>
      </w:r>
      <w:proofErr w:type="spellStart"/>
      <w:r w:rsidRPr="00911C86">
        <w:rPr>
          <w:color w:val="000000"/>
          <w:sz w:val="24"/>
          <w:szCs w:val="24"/>
        </w:rPr>
        <w:t>Prakash</w:t>
      </w:r>
      <w:proofErr w:type="spellEnd"/>
      <w:r w:rsidRPr="00911C86">
        <w:rPr>
          <w:color w:val="000000"/>
          <w:sz w:val="24"/>
          <w:szCs w:val="24"/>
        </w:rPr>
        <w:t xml:space="preserve"> et. </w:t>
      </w:r>
      <w:proofErr w:type="gramStart"/>
      <w:r w:rsidRPr="00271D73">
        <w:rPr>
          <w:i/>
          <w:color w:val="000000"/>
          <w:sz w:val="24"/>
          <w:szCs w:val="24"/>
        </w:rPr>
        <w:t>al</w:t>
      </w:r>
      <w:proofErr w:type="gramEnd"/>
      <w:r w:rsidRPr="00271D73">
        <w:rPr>
          <w:i/>
          <w:color w:val="000000"/>
          <w:sz w:val="24"/>
          <w:szCs w:val="24"/>
        </w:rPr>
        <w:t xml:space="preserve">, </w:t>
      </w:r>
      <w:r w:rsidRPr="00911C86">
        <w:rPr>
          <w:color w:val="000000"/>
          <w:sz w:val="24"/>
          <w:szCs w:val="24"/>
        </w:rPr>
        <w:t>2017. Quanto a semestralidade dos respondentes identificou-se um grau considerável de reprovações e de distribuição de alunos em semestres anteriores. Assim, conclui-se uma maior tendência a evasão escolar, que conforme Silva (2012) este pode representar um risco para a evasão dos alunos.</w:t>
      </w:r>
    </w:p>
    <w:p w14:paraId="3023510C" w14:textId="77777777" w:rsidR="00246C6D" w:rsidRDefault="00246C6D" w:rsidP="00A447D9">
      <w:pPr>
        <w:tabs>
          <w:tab w:val="left" w:pos="284"/>
        </w:tabs>
        <w:ind w:firstLine="709"/>
        <w:jc w:val="both"/>
        <w:rPr>
          <w:sz w:val="24"/>
          <w:szCs w:val="24"/>
        </w:rPr>
      </w:pPr>
      <w:r w:rsidRPr="00911C86">
        <w:rPr>
          <w:color w:val="000000"/>
          <w:sz w:val="24"/>
          <w:szCs w:val="24"/>
        </w:rPr>
        <w:t xml:space="preserve">Quanto a opção de escolha para o curso, os resultados apontaram as aptidões pessoais, o nível de exigência do curso e as condições de estudar e trabalhar ao mesmo tempo. Com relação aos fatores de abandono do curso </w:t>
      </w:r>
      <w:r>
        <w:rPr>
          <w:sz w:val="24"/>
          <w:szCs w:val="24"/>
        </w:rPr>
        <w:t xml:space="preserve">é constituído por questões que independem de ações da instituição, ter sido o mais significativo os demais fatores fornecem direções tanto para esta quanto para outras instituições. De modo geral, os relacionamentos tanto entre professor aluno quanto entre os próprios acadêmicos se destacaram nos resultados. Além disso, a estrutura física também se demonstrou importante. Fatores como reprovações constantes, desempenho acadêmico insuficiente e escolha equivocada do curso também se destacam entre os motivos que levariam os acadêmicos a evadirem-se, observa-se que esses resultados corroboram com os achados de </w:t>
      </w:r>
      <w:r w:rsidRPr="00BA6153">
        <w:rPr>
          <w:sz w:val="24"/>
          <w:szCs w:val="24"/>
        </w:rPr>
        <w:t>Oakland (1992) e Chuang</w:t>
      </w:r>
      <w:r w:rsidRPr="00BA6153">
        <w:rPr>
          <w:bCs/>
          <w:smallCaps/>
          <w:color w:val="000000"/>
          <w:spacing w:val="-1"/>
          <w:sz w:val="24"/>
          <w:szCs w:val="24"/>
          <w:lang w:val="pt-PT"/>
        </w:rPr>
        <w:t xml:space="preserve"> (1997)</w:t>
      </w:r>
      <w:r>
        <w:rPr>
          <w:bCs/>
          <w:smallCaps/>
          <w:color w:val="000000"/>
          <w:spacing w:val="-1"/>
          <w:sz w:val="24"/>
          <w:szCs w:val="24"/>
          <w:lang w:val="pt-PT"/>
        </w:rPr>
        <w:t xml:space="preserve">; </w:t>
      </w:r>
      <w:r>
        <w:rPr>
          <w:sz w:val="24"/>
          <w:szCs w:val="24"/>
        </w:rPr>
        <w:t xml:space="preserve">Dias, </w:t>
      </w:r>
      <w:proofErr w:type="spellStart"/>
      <w:r>
        <w:rPr>
          <w:sz w:val="24"/>
          <w:szCs w:val="24"/>
        </w:rPr>
        <w:t>Theóphilo</w:t>
      </w:r>
      <w:proofErr w:type="spellEnd"/>
      <w:r>
        <w:rPr>
          <w:sz w:val="24"/>
          <w:szCs w:val="24"/>
        </w:rPr>
        <w:t xml:space="preserve"> e Lopes (2010); Silva (2012) e </w:t>
      </w:r>
      <w:r w:rsidRPr="00BA6153">
        <w:rPr>
          <w:bCs/>
          <w:spacing w:val="5"/>
          <w:sz w:val="24"/>
          <w:szCs w:val="24"/>
          <w:lang w:val="pt-PT"/>
        </w:rPr>
        <w:t>Migali e Zucchelli (2017)</w:t>
      </w:r>
      <w:r>
        <w:rPr>
          <w:bCs/>
          <w:spacing w:val="5"/>
          <w:sz w:val="24"/>
          <w:szCs w:val="24"/>
          <w:lang w:val="pt-PT"/>
        </w:rPr>
        <w:t>.</w:t>
      </w:r>
    </w:p>
    <w:p w14:paraId="55E8FAD8" w14:textId="77777777" w:rsidR="00246C6D" w:rsidRDefault="00246C6D" w:rsidP="00A447D9">
      <w:pPr>
        <w:tabs>
          <w:tab w:val="left" w:pos="284"/>
        </w:tabs>
        <w:ind w:firstLine="709"/>
        <w:jc w:val="both"/>
        <w:rPr>
          <w:sz w:val="24"/>
          <w:szCs w:val="24"/>
        </w:rPr>
      </w:pPr>
      <w:r>
        <w:rPr>
          <w:sz w:val="24"/>
          <w:szCs w:val="24"/>
        </w:rPr>
        <w:t>Por fim, conclui-se que os resultados encontrados foram significativos e semelhantes ao trabalho de Assis (2013). Além disso, ao se questionar os alunos que ainda pertencem ao curso consegue-se reconhecer o perfil dos acadêmicos e criar estratégias e ações para evitar a evasão. Pois não necessariamente os alunos evadidos terão a mesma opinião dos demais acadêmicos. O presente estudo limita-se ao aplicar o questionário somente em acadêmicos do curso de Ciências Contábeis em andamento, e por não aplicar em acadêmicos que já evadiram do curso. Sugere-se a aplicação do presente estudo com acadêmicos que já evadiram do curso, em diferentes cursos e em mais de uma instituição.</w:t>
      </w:r>
    </w:p>
    <w:p w14:paraId="21E1A1B3" w14:textId="77777777" w:rsidR="00246C6D" w:rsidRDefault="00246C6D" w:rsidP="00246C6D">
      <w:pPr>
        <w:pStyle w:val="PargrafodaLista"/>
        <w:ind w:left="0"/>
        <w:rPr>
          <w:b/>
          <w:sz w:val="24"/>
          <w:szCs w:val="24"/>
        </w:rPr>
      </w:pPr>
    </w:p>
    <w:p w14:paraId="68051569" w14:textId="77777777" w:rsidR="00246C6D" w:rsidRDefault="00246C6D" w:rsidP="00246C6D">
      <w:pPr>
        <w:pStyle w:val="PargrafodaLista"/>
        <w:ind w:left="0"/>
        <w:rPr>
          <w:b/>
          <w:sz w:val="24"/>
          <w:szCs w:val="24"/>
        </w:rPr>
      </w:pPr>
      <w:r w:rsidRPr="00EF4283">
        <w:rPr>
          <w:b/>
          <w:sz w:val="24"/>
          <w:szCs w:val="24"/>
        </w:rPr>
        <w:t>REFERÊNCIAS</w:t>
      </w:r>
    </w:p>
    <w:p w14:paraId="081FE9AB" w14:textId="77777777" w:rsidR="00271D73" w:rsidRDefault="00271D73" w:rsidP="00246C6D">
      <w:pPr>
        <w:pStyle w:val="PargrafodaLista"/>
        <w:ind w:left="0"/>
        <w:rPr>
          <w:b/>
          <w:sz w:val="24"/>
          <w:szCs w:val="24"/>
        </w:rPr>
      </w:pPr>
    </w:p>
    <w:p w14:paraId="26133EA1" w14:textId="77777777" w:rsidR="00246C6D" w:rsidRPr="002D76EC" w:rsidRDefault="00246C6D" w:rsidP="00246C6D">
      <w:pPr>
        <w:jc w:val="both"/>
        <w:rPr>
          <w:sz w:val="24"/>
          <w:szCs w:val="24"/>
        </w:rPr>
      </w:pPr>
      <w:r w:rsidRPr="002D76EC">
        <w:rPr>
          <w:sz w:val="24"/>
          <w:szCs w:val="24"/>
        </w:rPr>
        <w:t xml:space="preserve">ASSIS, C. F. (2013). Estudo dos fatores que influenciam a evasão dos alunos nos Cursos Superiores de Tecnologia de uma Instituição de Ensino Superior Privada. 91p. (Dissertação Mestrado Profissional em Administração). Fundação Cultural Dr. Pedro Leopoldo – </w:t>
      </w:r>
      <w:proofErr w:type="gramStart"/>
      <w:r w:rsidRPr="002D76EC">
        <w:rPr>
          <w:sz w:val="24"/>
          <w:szCs w:val="24"/>
        </w:rPr>
        <w:t>FPL ,</w:t>
      </w:r>
      <w:proofErr w:type="gramEnd"/>
      <w:r w:rsidRPr="002D76EC">
        <w:rPr>
          <w:sz w:val="24"/>
          <w:szCs w:val="24"/>
        </w:rPr>
        <w:t xml:space="preserve"> Minas Gerais.</w:t>
      </w:r>
    </w:p>
    <w:p w14:paraId="4B566607" w14:textId="77777777" w:rsidR="00246C6D" w:rsidRPr="002D76EC" w:rsidRDefault="00246C6D" w:rsidP="00246C6D">
      <w:pPr>
        <w:jc w:val="both"/>
        <w:rPr>
          <w:sz w:val="24"/>
          <w:szCs w:val="24"/>
        </w:rPr>
      </w:pPr>
    </w:p>
    <w:p w14:paraId="4C94F595" w14:textId="77777777" w:rsidR="00246C6D" w:rsidRPr="002D76EC" w:rsidRDefault="00246C6D" w:rsidP="00246C6D">
      <w:pPr>
        <w:jc w:val="both"/>
        <w:rPr>
          <w:sz w:val="24"/>
          <w:szCs w:val="24"/>
        </w:rPr>
      </w:pPr>
      <w:proofErr w:type="spellStart"/>
      <w:r w:rsidRPr="002D76EC">
        <w:rPr>
          <w:sz w:val="24"/>
          <w:szCs w:val="24"/>
        </w:rPr>
        <w:lastRenderedPageBreak/>
        <w:t>Baggi</w:t>
      </w:r>
      <w:proofErr w:type="spellEnd"/>
      <w:r w:rsidRPr="002D76EC">
        <w:rPr>
          <w:sz w:val="24"/>
          <w:szCs w:val="24"/>
        </w:rPr>
        <w:t xml:space="preserve">, C. A. S., &amp; Lopes, D. A. L. (2011). Evasão e avaliação institucional no ensino superior: uma discussão bibliográfica. </w:t>
      </w:r>
      <w:r w:rsidRPr="002D76EC">
        <w:rPr>
          <w:i/>
          <w:sz w:val="24"/>
          <w:szCs w:val="24"/>
        </w:rPr>
        <w:t>Revista de Avaliação da Educação Superior</w:t>
      </w:r>
      <w:r w:rsidRPr="002D76EC">
        <w:rPr>
          <w:sz w:val="24"/>
          <w:szCs w:val="24"/>
        </w:rPr>
        <w:t>, 16(2), 355-374.</w:t>
      </w:r>
    </w:p>
    <w:p w14:paraId="099E2335" w14:textId="77777777" w:rsidR="00246C6D" w:rsidRPr="002D76EC" w:rsidRDefault="00246C6D" w:rsidP="00246C6D">
      <w:pPr>
        <w:jc w:val="both"/>
        <w:rPr>
          <w:sz w:val="24"/>
          <w:szCs w:val="24"/>
        </w:rPr>
      </w:pPr>
    </w:p>
    <w:p w14:paraId="12B96613" w14:textId="77777777" w:rsidR="00246C6D" w:rsidRPr="002D76EC" w:rsidRDefault="00246C6D" w:rsidP="00246C6D">
      <w:pPr>
        <w:jc w:val="both"/>
        <w:rPr>
          <w:sz w:val="24"/>
          <w:szCs w:val="24"/>
          <w:lang w:val="en-US"/>
        </w:rPr>
      </w:pPr>
      <w:r w:rsidRPr="002D76EC">
        <w:rPr>
          <w:sz w:val="24"/>
          <w:szCs w:val="24"/>
        </w:rPr>
        <w:t xml:space="preserve">Brasil/MEC/SESU (1996). Comissão especial de estudos sobre a evasão nas universidades públicas brasileiras. </w:t>
      </w:r>
      <w:r w:rsidRPr="002D76EC">
        <w:rPr>
          <w:sz w:val="24"/>
          <w:szCs w:val="24"/>
          <w:lang w:val="en-US"/>
        </w:rPr>
        <w:t xml:space="preserve">Brasília: ANDIFES/ABRUEM/SESU/MEC.  </w:t>
      </w:r>
    </w:p>
    <w:p w14:paraId="6D8D94C2" w14:textId="77777777" w:rsidR="00246C6D" w:rsidRPr="002D76EC" w:rsidRDefault="00246C6D" w:rsidP="00246C6D">
      <w:pPr>
        <w:jc w:val="both"/>
        <w:rPr>
          <w:sz w:val="24"/>
          <w:szCs w:val="24"/>
          <w:lang w:val="en-US"/>
        </w:rPr>
      </w:pPr>
    </w:p>
    <w:p w14:paraId="6B90B69B" w14:textId="77777777" w:rsidR="00246C6D" w:rsidRPr="002D76EC" w:rsidRDefault="00246C6D" w:rsidP="00246C6D">
      <w:pPr>
        <w:jc w:val="both"/>
        <w:rPr>
          <w:sz w:val="24"/>
          <w:szCs w:val="24"/>
          <w:shd w:val="clear" w:color="auto" w:fill="FFFFFF"/>
        </w:rPr>
      </w:pPr>
      <w:r w:rsidRPr="002D76EC">
        <w:rPr>
          <w:sz w:val="24"/>
          <w:szCs w:val="24"/>
          <w:shd w:val="clear" w:color="auto" w:fill="FFFFFF"/>
          <w:lang w:val="en-US"/>
        </w:rPr>
        <w:t>Chuang, H. L. (1997). High school youths' dropout and re-enrollment behavior. </w:t>
      </w:r>
      <w:proofErr w:type="spellStart"/>
      <w:r w:rsidRPr="002D76EC">
        <w:rPr>
          <w:i/>
          <w:iCs/>
          <w:sz w:val="24"/>
          <w:szCs w:val="24"/>
          <w:shd w:val="clear" w:color="auto" w:fill="FFFFFF"/>
        </w:rPr>
        <w:t>Economics</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of</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Education</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Review</w:t>
      </w:r>
      <w:proofErr w:type="spellEnd"/>
      <w:r w:rsidRPr="002D76EC">
        <w:rPr>
          <w:sz w:val="24"/>
          <w:szCs w:val="24"/>
          <w:shd w:val="clear" w:color="auto" w:fill="FFFFFF"/>
        </w:rPr>
        <w:t>, </w:t>
      </w:r>
      <w:r w:rsidRPr="002D76EC">
        <w:rPr>
          <w:i/>
          <w:iCs/>
          <w:sz w:val="24"/>
          <w:szCs w:val="24"/>
          <w:shd w:val="clear" w:color="auto" w:fill="FFFFFF"/>
        </w:rPr>
        <w:t>16</w:t>
      </w:r>
      <w:r w:rsidRPr="002D76EC">
        <w:rPr>
          <w:sz w:val="24"/>
          <w:szCs w:val="24"/>
          <w:shd w:val="clear" w:color="auto" w:fill="FFFFFF"/>
        </w:rPr>
        <w:t>(2), 171-186.</w:t>
      </w:r>
    </w:p>
    <w:p w14:paraId="29BA5A50" w14:textId="77777777" w:rsidR="00246C6D" w:rsidRPr="002D76EC" w:rsidRDefault="00246C6D" w:rsidP="00246C6D">
      <w:pPr>
        <w:jc w:val="both"/>
        <w:rPr>
          <w:sz w:val="24"/>
          <w:szCs w:val="24"/>
          <w:shd w:val="clear" w:color="auto" w:fill="FFFFFF"/>
        </w:rPr>
      </w:pPr>
    </w:p>
    <w:p w14:paraId="6D27683B" w14:textId="77777777" w:rsidR="00246C6D" w:rsidRPr="002D76EC" w:rsidRDefault="00246C6D" w:rsidP="00246C6D">
      <w:pPr>
        <w:jc w:val="both"/>
        <w:rPr>
          <w:sz w:val="24"/>
          <w:szCs w:val="24"/>
          <w:lang w:val="en-US"/>
        </w:rPr>
      </w:pPr>
      <w:r w:rsidRPr="002D76EC">
        <w:rPr>
          <w:sz w:val="24"/>
          <w:szCs w:val="24"/>
        </w:rPr>
        <w:t xml:space="preserve">Cunha, J. V. A., Nascimento, E. M., &amp; </w:t>
      </w:r>
      <w:proofErr w:type="spellStart"/>
      <w:r w:rsidRPr="002D76EC">
        <w:rPr>
          <w:sz w:val="24"/>
          <w:szCs w:val="24"/>
        </w:rPr>
        <w:t>Durso</w:t>
      </w:r>
      <w:proofErr w:type="spellEnd"/>
      <w:r w:rsidRPr="002D76EC">
        <w:rPr>
          <w:sz w:val="24"/>
          <w:szCs w:val="24"/>
        </w:rPr>
        <w:t xml:space="preserve">, S. O. (2016). Razões e influências para a evasão universitária: um estudo com estudantes ingressantes nos cursos de Ciências Contábeis de instituições públicas federais da região sudeste. </w:t>
      </w:r>
      <w:r w:rsidRPr="002D76EC">
        <w:rPr>
          <w:i/>
          <w:sz w:val="24"/>
          <w:szCs w:val="24"/>
          <w:lang w:val="en-US"/>
        </w:rPr>
        <w:t>Advances in Scientific and Applied Accounting</w:t>
      </w:r>
      <w:r w:rsidRPr="002D76EC">
        <w:rPr>
          <w:sz w:val="24"/>
          <w:szCs w:val="24"/>
          <w:lang w:val="en-US"/>
        </w:rPr>
        <w:t>, 9(2), 141-161.</w:t>
      </w:r>
    </w:p>
    <w:p w14:paraId="1BD68FFA" w14:textId="77777777" w:rsidR="00246C6D" w:rsidRPr="002D76EC" w:rsidRDefault="00246C6D" w:rsidP="00246C6D">
      <w:pPr>
        <w:jc w:val="both"/>
        <w:rPr>
          <w:sz w:val="24"/>
          <w:szCs w:val="24"/>
          <w:lang w:val="en-US"/>
        </w:rPr>
      </w:pPr>
    </w:p>
    <w:p w14:paraId="115E3D12" w14:textId="77777777" w:rsidR="00246C6D" w:rsidRPr="002D76EC" w:rsidRDefault="00246C6D" w:rsidP="00246C6D">
      <w:pPr>
        <w:jc w:val="both"/>
        <w:rPr>
          <w:sz w:val="24"/>
          <w:szCs w:val="24"/>
        </w:rPr>
      </w:pPr>
      <w:r w:rsidRPr="002D76EC">
        <w:rPr>
          <w:sz w:val="24"/>
          <w:szCs w:val="24"/>
          <w:lang w:val="en-US"/>
        </w:rPr>
        <w:t xml:space="preserve">Dias, E. C. M., </w:t>
      </w:r>
      <w:proofErr w:type="spellStart"/>
      <w:r w:rsidRPr="002D76EC">
        <w:rPr>
          <w:sz w:val="24"/>
          <w:szCs w:val="24"/>
          <w:lang w:val="en-US"/>
        </w:rPr>
        <w:t>Theóphilo</w:t>
      </w:r>
      <w:proofErr w:type="spellEnd"/>
      <w:r w:rsidRPr="002D76EC">
        <w:rPr>
          <w:sz w:val="24"/>
          <w:szCs w:val="24"/>
          <w:lang w:val="en-US"/>
        </w:rPr>
        <w:t xml:space="preserve">, C. R., &amp; Lopes, M. A. S. (2010). </w:t>
      </w:r>
      <w:r w:rsidRPr="002D76EC">
        <w:rPr>
          <w:i/>
          <w:sz w:val="24"/>
          <w:szCs w:val="24"/>
        </w:rPr>
        <w:t>Evasão no ensino superior</w:t>
      </w:r>
      <w:r w:rsidRPr="002D76EC">
        <w:rPr>
          <w:sz w:val="24"/>
          <w:szCs w:val="24"/>
        </w:rPr>
        <w:t>: estudo dos fatores causadores da evasão no curso de Ciências Contábeis da Universidade de Montes Claros – UNIMONTES – MG. In Congresso USP de Iniciação Científica em Contabilidade. São Paulo, SP, Brasil, 7.</w:t>
      </w:r>
    </w:p>
    <w:p w14:paraId="67598772" w14:textId="77777777" w:rsidR="00246C6D" w:rsidRPr="002D76EC" w:rsidRDefault="00246C6D" w:rsidP="00246C6D">
      <w:pPr>
        <w:jc w:val="both"/>
        <w:rPr>
          <w:sz w:val="24"/>
          <w:szCs w:val="24"/>
        </w:rPr>
      </w:pPr>
    </w:p>
    <w:p w14:paraId="70AE0B2F" w14:textId="77777777" w:rsidR="00246C6D" w:rsidRPr="002D76EC" w:rsidRDefault="00246C6D" w:rsidP="00246C6D">
      <w:pPr>
        <w:jc w:val="both"/>
        <w:rPr>
          <w:sz w:val="24"/>
          <w:szCs w:val="24"/>
          <w:shd w:val="clear" w:color="auto" w:fill="FFFFFF"/>
        </w:rPr>
      </w:pPr>
      <w:r w:rsidRPr="002D76EC">
        <w:rPr>
          <w:sz w:val="24"/>
          <w:szCs w:val="24"/>
          <w:shd w:val="clear" w:color="auto" w:fill="FFFFFF"/>
        </w:rPr>
        <w:t xml:space="preserve">Fávero, L. P., </w:t>
      </w:r>
      <w:proofErr w:type="spellStart"/>
      <w:r w:rsidRPr="002D76EC">
        <w:rPr>
          <w:sz w:val="24"/>
          <w:szCs w:val="24"/>
          <w:shd w:val="clear" w:color="auto" w:fill="FFFFFF"/>
        </w:rPr>
        <w:t>Belfiore</w:t>
      </w:r>
      <w:proofErr w:type="spellEnd"/>
      <w:r w:rsidRPr="002D76EC">
        <w:rPr>
          <w:sz w:val="24"/>
          <w:szCs w:val="24"/>
          <w:shd w:val="clear" w:color="auto" w:fill="FFFFFF"/>
        </w:rPr>
        <w:t xml:space="preserve">, P., Silva, F. D., &amp; Chan, B. L. (2009). Análise de dados: modelagem multivariada para tomada de decisões. Rio de Janeiro: </w:t>
      </w:r>
      <w:proofErr w:type="spellStart"/>
      <w:r w:rsidRPr="002D76EC">
        <w:rPr>
          <w:sz w:val="24"/>
          <w:szCs w:val="24"/>
          <w:shd w:val="clear" w:color="auto" w:fill="FFFFFF"/>
        </w:rPr>
        <w:t>Elsevier</w:t>
      </w:r>
      <w:proofErr w:type="spellEnd"/>
      <w:r w:rsidRPr="002D76EC">
        <w:rPr>
          <w:sz w:val="24"/>
          <w:szCs w:val="24"/>
          <w:shd w:val="clear" w:color="auto" w:fill="FFFFFF"/>
        </w:rPr>
        <w:t xml:space="preserve">. </w:t>
      </w:r>
    </w:p>
    <w:p w14:paraId="5FF0040E" w14:textId="77777777" w:rsidR="00246C6D" w:rsidRPr="002D76EC" w:rsidRDefault="00246C6D" w:rsidP="00246C6D">
      <w:pPr>
        <w:jc w:val="both"/>
        <w:rPr>
          <w:sz w:val="24"/>
          <w:szCs w:val="24"/>
          <w:shd w:val="clear" w:color="auto" w:fill="FFFFFF"/>
        </w:rPr>
      </w:pPr>
    </w:p>
    <w:p w14:paraId="15D88234" w14:textId="77777777" w:rsidR="00246C6D" w:rsidRPr="002D76EC" w:rsidRDefault="00246C6D" w:rsidP="00246C6D">
      <w:pPr>
        <w:jc w:val="both"/>
        <w:rPr>
          <w:sz w:val="24"/>
          <w:szCs w:val="24"/>
          <w:shd w:val="clear" w:color="auto" w:fill="FFFFFF"/>
        </w:rPr>
      </w:pPr>
      <w:r w:rsidRPr="002D76EC">
        <w:rPr>
          <w:sz w:val="24"/>
          <w:szCs w:val="24"/>
          <w:shd w:val="clear" w:color="auto" w:fill="FFFFFF"/>
        </w:rPr>
        <w:t xml:space="preserve">Fernandes, I. R., &amp; de Oliveira Nunes, E. (2013). Exercícios e discussões em torno da universidade brasileira: Dilemas classificatórios e regulatórios. </w:t>
      </w:r>
      <w:r w:rsidRPr="002D76EC">
        <w:rPr>
          <w:i/>
          <w:sz w:val="24"/>
          <w:szCs w:val="24"/>
          <w:shd w:val="clear" w:color="auto" w:fill="FFFFFF"/>
        </w:rPr>
        <w:t>Revista Universidade em Debate</w:t>
      </w:r>
      <w:r w:rsidRPr="002D76EC">
        <w:rPr>
          <w:sz w:val="24"/>
          <w:szCs w:val="24"/>
          <w:shd w:val="clear" w:color="auto" w:fill="FFFFFF"/>
        </w:rPr>
        <w:t xml:space="preserve">, </w:t>
      </w:r>
      <w:r w:rsidRPr="002D76EC">
        <w:rPr>
          <w:sz w:val="24"/>
          <w:szCs w:val="24"/>
        </w:rPr>
        <w:t>v.1, n. 1, 32-48</w:t>
      </w:r>
      <w:r w:rsidRPr="002D76EC">
        <w:rPr>
          <w:sz w:val="24"/>
          <w:szCs w:val="24"/>
          <w:shd w:val="clear" w:color="auto" w:fill="FFFFFF"/>
        </w:rPr>
        <w:t>.</w:t>
      </w:r>
    </w:p>
    <w:p w14:paraId="2E07B4B2" w14:textId="77777777" w:rsidR="00246C6D" w:rsidRPr="002D76EC" w:rsidRDefault="00246C6D" w:rsidP="00246C6D">
      <w:pPr>
        <w:jc w:val="both"/>
        <w:rPr>
          <w:sz w:val="24"/>
          <w:szCs w:val="24"/>
          <w:shd w:val="clear" w:color="auto" w:fill="FFFFFF"/>
        </w:rPr>
      </w:pPr>
      <w:r w:rsidRPr="002D76EC">
        <w:rPr>
          <w:sz w:val="24"/>
          <w:szCs w:val="24"/>
          <w:shd w:val="clear" w:color="auto" w:fill="FFFFFF"/>
        </w:rPr>
        <w:t xml:space="preserve"> </w:t>
      </w:r>
    </w:p>
    <w:p w14:paraId="78ABE627" w14:textId="77777777" w:rsidR="00246C6D" w:rsidRDefault="00246C6D" w:rsidP="00246C6D">
      <w:pPr>
        <w:jc w:val="both"/>
        <w:rPr>
          <w:sz w:val="24"/>
          <w:szCs w:val="24"/>
          <w:shd w:val="clear" w:color="auto" w:fill="FFFFFF"/>
        </w:rPr>
      </w:pPr>
      <w:r w:rsidRPr="002D76EC">
        <w:rPr>
          <w:sz w:val="24"/>
          <w:szCs w:val="24"/>
          <w:shd w:val="clear" w:color="auto" w:fill="FFFFFF"/>
        </w:rPr>
        <w:t xml:space="preserve">Fritsch, R., da Rocha, C. S., &amp; </w:t>
      </w:r>
      <w:proofErr w:type="spellStart"/>
      <w:r w:rsidRPr="002D76EC">
        <w:rPr>
          <w:sz w:val="24"/>
          <w:szCs w:val="24"/>
          <w:shd w:val="clear" w:color="auto" w:fill="FFFFFF"/>
        </w:rPr>
        <w:t>Vitelli</w:t>
      </w:r>
      <w:proofErr w:type="spellEnd"/>
      <w:r w:rsidRPr="002D76EC">
        <w:rPr>
          <w:sz w:val="24"/>
          <w:szCs w:val="24"/>
          <w:shd w:val="clear" w:color="auto" w:fill="FFFFFF"/>
        </w:rPr>
        <w:t>, R. F. (2015). A evasão nos cursos de graduação em uma instituição de ensino superior privada. </w:t>
      </w:r>
      <w:r w:rsidRPr="002D76EC">
        <w:rPr>
          <w:i/>
          <w:iCs/>
          <w:sz w:val="24"/>
          <w:szCs w:val="24"/>
          <w:shd w:val="clear" w:color="auto" w:fill="FFFFFF"/>
        </w:rPr>
        <w:t>Revista Educação em Questão</w:t>
      </w:r>
      <w:r w:rsidRPr="002D76EC">
        <w:rPr>
          <w:sz w:val="24"/>
          <w:szCs w:val="24"/>
          <w:shd w:val="clear" w:color="auto" w:fill="FFFFFF"/>
        </w:rPr>
        <w:t>, </w:t>
      </w:r>
      <w:r w:rsidRPr="002D76EC">
        <w:rPr>
          <w:i/>
          <w:iCs/>
          <w:sz w:val="24"/>
          <w:szCs w:val="24"/>
          <w:shd w:val="clear" w:color="auto" w:fill="FFFFFF"/>
        </w:rPr>
        <w:t>52</w:t>
      </w:r>
      <w:r w:rsidRPr="002D76EC">
        <w:rPr>
          <w:sz w:val="24"/>
          <w:szCs w:val="24"/>
          <w:shd w:val="clear" w:color="auto" w:fill="FFFFFF"/>
        </w:rPr>
        <w:t>(38), 81-108.</w:t>
      </w:r>
    </w:p>
    <w:p w14:paraId="4B540C9A" w14:textId="77777777" w:rsidR="00271D73" w:rsidRPr="002D76EC" w:rsidRDefault="00271D73" w:rsidP="00246C6D">
      <w:pPr>
        <w:jc w:val="both"/>
        <w:rPr>
          <w:sz w:val="24"/>
          <w:szCs w:val="24"/>
          <w:shd w:val="clear" w:color="auto" w:fill="FFFFFF"/>
        </w:rPr>
      </w:pPr>
    </w:p>
    <w:p w14:paraId="75A97008" w14:textId="77777777" w:rsidR="00246C6D" w:rsidRDefault="00246C6D" w:rsidP="00246C6D">
      <w:pPr>
        <w:jc w:val="both"/>
        <w:rPr>
          <w:sz w:val="24"/>
          <w:szCs w:val="24"/>
          <w:shd w:val="clear" w:color="auto" w:fill="FFFFFF"/>
        </w:rPr>
      </w:pPr>
      <w:proofErr w:type="spellStart"/>
      <w:r w:rsidRPr="002D76EC">
        <w:rPr>
          <w:sz w:val="24"/>
          <w:szCs w:val="24"/>
          <w:shd w:val="clear" w:color="auto" w:fill="FFFFFF"/>
        </w:rPr>
        <w:t>Hair</w:t>
      </w:r>
      <w:proofErr w:type="spellEnd"/>
      <w:r w:rsidRPr="002D76EC">
        <w:rPr>
          <w:sz w:val="24"/>
          <w:szCs w:val="24"/>
          <w:shd w:val="clear" w:color="auto" w:fill="FFFFFF"/>
        </w:rPr>
        <w:t xml:space="preserve">, J. F.; Black, W. C.; </w:t>
      </w:r>
      <w:proofErr w:type="spellStart"/>
      <w:r w:rsidRPr="002D76EC">
        <w:rPr>
          <w:sz w:val="24"/>
          <w:szCs w:val="24"/>
          <w:shd w:val="clear" w:color="auto" w:fill="FFFFFF"/>
        </w:rPr>
        <w:t>Babin</w:t>
      </w:r>
      <w:proofErr w:type="spellEnd"/>
      <w:r w:rsidRPr="002D76EC">
        <w:rPr>
          <w:sz w:val="24"/>
          <w:szCs w:val="24"/>
          <w:shd w:val="clear" w:color="auto" w:fill="FFFFFF"/>
        </w:rPr>
        <w:t>, B. J.; Anderson, R. E. (2009). </w:t>
      </w:r>
      <w:r w:rsidRPr="002D76EC">
        <w:rPr>
          <w:bCs/>
          <w:i/>
          <w:sz w:val="24"/>
          <w:szCs w:val="24"/>
          <w:shd w:val="clear" w:color="auto" w:fill="FFFFFF"/>
        </w:rPr>
        <w:t>Análise multivariada de dados</w:t>
      </w:r>
      <w:r w:rsidRPr="002D76EC">
        <w:rPr>
          <w:i/>
          <w:sz w:val="24"/>
          <w:szCs w:val="24"/>
          <w:shd w:val="clear" w:color="auto" w:fill="FFFFFF"/>
        </w:rPr>
        <w:t xml:space="preserve">. </w:t>
      </w:r>
      <w:proofErr w:type="spellStart"/>
      <w:r w:rsidRPr="002D76EC">
        <w:rPr>
          <w:sz w:val="24"/>
          <w:szCs w:val="24"/>
          <w:shd w:val="clear" w:color="auto" w:fill="FFFFFF"/>
        </w:rPr>
        <w:t>Bookman</w:t>
      </w:r>
      <w:proofErr w:type="spellEnd"/>
      <w:r w:rsidRPr="002D76EC">
        <w:rPr>
          <w:sz w:val="24"/>
          <w:szCs w:val="24"/>
          <w:shd w:val="clear" w:color="auto" w:fill="FFFFFF"/>
        </w:rPr>
        <w:t xml:space="preserve"> Editora.</w:t>
      </w:r>
    </w:p>
    <w:p w14:paraId="727454B9" w14:textId="77777777" w:rsidR="00271D73" w:rsidRPr="002D76EC" w:rsidRDefault="00271D73" w:rsidP="00246C6D">
      <w:pPr>
        <w:jc w:val="both"/>
        <w:rPr>
          <w:sz w:val="24"/>
          <w:szCs w:val="24"/>
          <w:shd w:val="clear" w:color="auto" w:fill="FFFFFF"/>
        </w:rPr>
      </w:pPr>
    </w:p>
    <w:p w14:paraId="003BEB81" w14:textId="77777777" w:rsidR="00246C6D" w:rsidRDefault="00246C6D" w:rsidP="00246C6D">
      <w:pPr>
        <w:jc w:val="both"/>
        <w:rPr>
          <w:sz w:val="24"/>
          <w:szCs w:val="24"/>
          <w:shd w:val="clear" w:color="auto" w:fill="FFFFFF"/>
          <w:lang w:val="en-US"/>
        </w:rPr>
      </w:pPr>
      <w:proofErr w:type="spellStart"/>
      <w:r w:rsidRPr="002D76EC">
        <w:rPr>
          <w:sz w:val="24"/>
          <w:szCs w:val="24"/>
          <w:shd w:val="clear" w:color="auto" w:fill="FFFFFF"/>
        </w:rPr>
        <w:t>Kuh</w:t>
      </w:r>
      <w:proofErr w:type="spellEnd"/>
      <w:r w:rsidRPr="002D76EC">
        <w:rPr>
          <w:sz w:val="24"/>
          <w:szCs w:val="24"/>
          <w:shd w:val="clear" w:color="auto" w:fill="FFFFFF"/>
        </w:rPr>
        <w:t xml:space="preserve">, G. D., </w:t>
      </w:r>
      <w:proofErr w:type="spellStart"/>
      <w:r w:rsidRPr="002D76EC">
        <w:rPr>
          <w:sz w:val="24"/>
          <w:szCs w:val="24"/>
          <w:shd w:val="clear" w:color="auto" w:fill="FFFFFF"/>
        </w:rPr>
        <w:t>Cruce</w:t>
      </w:r>
      <w:proofErr w:type="spellEnd"/>
      <w:r w:rsidRPr="002D76EC">
        <w:rPr>
          <w:sz w:val="24"/>
          <w:szCs w:val="24"/>
          <w:shd w:val="clear" w:color="auto" w:fill="FFFFFF"/>
        </w:rPr>
        <w:t xml:space="preserve">, T. M., </w:t>
      </w:r>
      <w:proofErr w:type="spellStart"/>
      <w:r w:rsidRPr="002D76EC">
        <w:rPr>
          <w:sz w:val="24"/>
          <w:szCs w:val="24"/>
          <w:shd w:val="clear" w:color="auto" w:fill="FFFFFF"/>
        </w:rPr>
        <w:t>Shoup</w:t>
      </w:r>
      <w:proofErr w:type="spellEnd"/>
      <w:r w:rsidRPr="002D76EC">
        <w:rPr>
          <w:sz w:val="24"/>
          <w:szCs w:val="24"/>
          <w:shd w:val="clear" w:color="auto" w:fill="FFFFFF"/>
        </w:rPr>
        <w:t xml:space="preserve">, R., </w:t>
      </w:r>
      <w:proofErr w:type="spellStart"/>
      <w:r w:rsidRPr="002D76EC">
        <w:rPr>
          <w:sz w:val="24"/>
          <w:szCs w:val="24"/>
          <w:shd w:val="clear" w:color="auto" w:fill="FFFFFF"/>
        </w:rPr>
        <w:t>Kinzie</w:t>
      </w:r>
      <w:proofErr w:type="spellEnd"/>
      <w:r w:rsidRPr="002D76EC">
        <w:rPr>
          <w:sz w:val="24"/>
          <w:szCs w:val="24"/>
          <w:shd w:val="clear" w:color="auto" w:fill="FFFFFF"/>
        </w:rPr>
        <w:t xml:space="preserve">, J., &amp; </w:t>
      </w:r>
      <w:proofErr w:type="spellStart"/>
      <w:r w:rsidRPr="002D76EC">
        <w:rPr>
          <w:sz w:val="24"/>
          <w:szCs w:val="24"/>
          <w:shd w:val="clear" w:color="auto" w:fill="FFFFFF"/>
        </w:rPr>
        <w:t>Gonyea</w:t>
      </w:r>
      <w:proofErr w:type="spellEnd"/>
      <w:r w:rsidRPr="002D76EC">
        <w:rPr>
          <w:sz w:val="24"/>
          <w:szCs w:val="24"/>
          <w:shd w:val="clear" w:color="auto" w:fill="FFFFFF"/>
        </w:rPr>
        <w:t xml:space="preserve">, R. M. (2008). </w:t>
      </w:r>
      <w:r w:rsidRPr="002D76EC">
        <w:rPr>
          <w:sz w:val="24"/>
          <w:szCs w:val="24"/>
          <w:shd w:val="clear" w:color="auto" w:fill="FFFFFF"/>
          <w:lang w:val="en-US"/>
        </w:rPr>
        <w:t>Unmasking the effects of student engagement on first-year college grades and persistence. </w:t>
      </w:r>
      <w:r w:rsidRPr="002D76EC">
        <w:rPr>
          <w:i/>
          <w:iCs/>
          <w:sz w:val="24"/>
          <w:szCs w:val="24"/>
          <w:shd w:val="clear" w:color="auto" w:fill="FFFFFF"/>
          <w:lang w:val="en-US"/>
        </w:rPr>
        <w:t>The journal of higher education</w:t>
      </w:r>
      <w:r w:rsidRPr="002D76EC">
        <w:rPr>
          <w:sz w:val="24"/>
          <w:szCs w:val="24"/>
          <w:shd w:val="clear" w:color="auto" w:fill="FFFFFF"/>
          <w:lang w:val="en-US"/>
        </w:rPr>
        <w:t>, </w:t>
      </w:r>
      <w:r w:rsidRPr="002D76EC">
        <w:rPr>
          <w:i/>
          <w:iCs/>
          <w:sz w:val="24"/>
          <w:szCs w:val="24"/>
          <w:shd w:val="clear" w:color="auto" w:fill="FFFFFF"/>
          <w:lang w:val="en-US"/>
        </w:rPr>
        <w:t>79</w:t>
      </w:r>
      <w:r w:rsidRPr="002D76EC">
        <w:rPr>
          <w:sz w:val="24"/>
          <w:szCs w:val="24"/>
          <w:shd w:val="clear" w:color="auto" w:fill="FFFFFF"/>
          <w:lang w:val="en-US"/>
        </w:rPr>
        <w:t>(5), 540-563.</w:t>
      </w:r>
    </w:p>
    <w:p w14:paraId="73E322CF" w14:textId="77777777" w:rsidR="00271D73" w:rsidRPr="002D76EC" w:rsidRDefault="00271D73" w:rsidP="00246C6D">
      <w:pPr>
        <w:jc w:val="both"/>
        <w:rPr>
          <w:sz w:val="24"/>
          <w:szCs w:val="24"/>
          <w:shd w:val="clear" w:color="auto" w:fill="FFFFFF"/>
          <w:lang w:val="en-US"/>
        </w:rPr>
      </w:pPr>
    </w:p>
    <w:p w14:paraId="15C66C70" w14:textId="77777777" w:rsidR="00246C6D" w:rsidRDefault="00246C6D" w:rsidP="00246C6D">
      <w:pPr>
        <w:jc w:val="both"/>
        <w:rPr>
          <w:sz w:val="24"/>
          <w:szCs w:val="24"/>
          <w:shd w:val="clear" w:color="auto" w:fill="FFFFFF"/>
          <w:lang w:val="en-US"/>
        </w:rPr>
      </w:pPr>
      <w:r w:rsidRPr="002D76EC">
        <w:rPr>
          <w:sz w:val="24"/>
          <w:szCs w:val="24"/>
          <w:shd w:val="clear" w:color="auto" w:fill="FFFFFF"/>
          <w:lang w:val="en-US"/>
        </w:rPr>
        <w:t xml:space="preserve">Martins, G. A. &amp; </w:t>
      </w:r>
      <w:proofErr w:type="spellStart"/>
      <w:r w:rsidRPr="002D76EC">
        <w:rPr>
          <w:sz w:val="24"/>
          <w:szCs w:val="24"/>
          <w:shd w:val="clear" w:color="auto" w:fill="FFFFFF"/>
          <w:lang w:val="en-US"/>
        </w:rPr>
        <w:t>Theóphilo</w:t>
      </w:r>
      <w:proofErr w:type="spellEnd"/>
      <w:r w:rsidRPr="002D76EC">
        <w:rPr>
          <w:sz w:val="24"/>
          <w:szCs w:val="24"/>
          <w:shd w:val="clear" w:color="auto" w:fill="FFFFFF"/>
          <w:lang w:val="en-US"/>
        </w:rPr>
        <w:t xml:space="preserve">, C. R. (2007). </w:t>
      </w:r>
      <w:r w:rsidRPr="002D76EC">
        <w:rPr>
          <w:sz w:val="24"/>
          <w:szCs w:val="24"/>
          <w:shd w:val="clear" w:color="auto" w:fill="FFFFFF"/>
        </w:rPr>
        <w:t xml:space="preserve">Metodologia da investigação científica para ciências sociais aplicadas. </w:t>
      </w:r>
      <w:r w:rsidRPr="002D76EC">
        <w:rPr>
          <w:sz w:val="24"/>
          <w:szCs w:val="24"/>
          <w:shd w:val="clear" w:color="auto" w:fill="FFFFFF"/>
          <w:lang w:val="en-US"/>
        </w:rPr>
        <w:t>São Paulo: Atlas.</w:t>
      </w:r>
    </w:p>
    <w:p w14:paraId="6BBB44BA" w14:textId="77777777" w:rsidR="00271D73" w:rsidRPr="002D76EC" w:rsidRDefault="00271D73" w:rsidP="00246C6D">
      <w:pPr>
        <w:jc w:val="both"/>
        <w:rPr>
          <w:sz w:val="24"/>
          <w:szCs w:val="24"/>
          <w:shd w:val="clear" w:color="auto" w:fill="FFFFFF"/>
          <w:lang w:val="en-US"/>
        </w:rPr>
      </w:pPr>
    </w:p>
    <w:p w14:paraId="783ABD7B" w14:textId="77777777" w:rsidR="00246C6D" w:rsidRDefault="00246C6D" w:rsidP="00246C6D">
      <w:pPr>
        <w:jc w:val="both"/>
        <w:rPr>
          <w:sz w:val="24"/>
          <w:szCs w:val="24"/>
          <w:shd w:val="clear" w:color="auto" w:fill="FFFFFF"/>
          <w:lang w:val="en-US"/>
        </w:rPr>
      </w:pPr>
      <w:proofErr w:type="spellStart"/>
      <w:r w:rsidRPr="002D76EC">
        <w:rPr>
          <w:sz w:val="24"/>
          <w:szCs w:val="24"/>
          <w:shd w:val="clear" w:color="auto" w:fill="FFFFFF"/>
          <w:lang w:val="en-US"/>
        </w:rPr>
        <w:t>Migali</w:t>
      </w:r>
      <w:proofErr w:type="spellEnd"/>
      <w:r w:rsidRPr="002D76EC">
        <w:rPr>
          <w:sz w:val="24"/>
          <w:szCs w:val="24"/>
          <w:shd w:val="clear" w:color="auto" w:fill="FFFFFF"/>
          <w:lang w:val="en-US"/>
        </w:rPr>
        <w:t xml:space="preserve">, G., &amp; </w:t>
      </w:r>
      <w:proofErr w:type="spellStart"/>
      <w:r w:rsidRPr="002D76EC">
        <w:rPr>
          <w:sz w:val="24"/>
          <w:szCs w:val="24"/>
          <w:shd w:val="clear" w:color="auto" w:fill="FFFFFF"/>
          <w:lang w:val="en-US"/>
        </w:rPr>
        <w:t>Zucchelli</w:t>
      </w:r>
      <w:proofErr w:type="spellEnd"/>
      <w:r w:rsidRPr="002D76EC">
        <w:rPr>
          <w:sz w:val="24"/>
          <w:szCs w:val="24"/>
          <w:shd w:val="clear" w:color="auto" w:fill="FFFFFF"/>
          <w:lang w:val="en-US"/>
        </w:rPr>
        <w:t>, E. (2017). Personality traits, forgone health care and high school dropout: Evidence from US adolescents. </w:t>
      </w:r>
      <w:r w:rsidRPr="002D76EC">
        <w:rPr>
          <w:i/>
          <w:iCs/>
          <w:sz w:val="24"/>
          <w:szCs w:val="24"/>
          <w:shd w:val="clear" w:color="auto" w:fill="FFFFFF"/>
          <w:lang w:val="en-US"/>
        </w:rPr>
        <w:t>Journal of Economic Psychology</w:t>
      </w:r>
      <w:r w:rsidRPr="002D76EC">
        <w:rPr>
          <w:sz w:val="24"/>
          <w:szCs w:val="24"/>
          <w:shd w:val="clear" w:color="auto" w:fill="FFFFFF"/>
          <w:lang w:val="en-US"/>
        </w:rPr>
        <w:t>, </w:t>
      </w:r>
      <w:r w:rsidRPr="002D76EC">
        <w:rPr>
          <w:i/>
          <w:iCs/>
          <w:sz w:val="24"/>
          <w:szCs w:val="24"/>
          <w:shd w:val="clear" w:color="auto" w:fill="FFFFFF"/>
          <w:lang w:val="en-US"/>
        </w:rPr>
        <w:t>62</w:t>
      </w:r>
      <w:r w:rsidRPr="002D76EC">
        <w:rPr>
          <w:sz w:val="24"/>
          <w:szCs w:val="24"/>
          <w:shd w:val="clear" w:color="auto" w:fill="FFFFFF"/>
          <w:lang w:val="en-US"/>
        </w:rPr>
        <w:t>, 98-119.</w:t>
      </w:r>
    </w:p>
    <w:p w14:paraId="0A487235" w14:textId="77777777" w:rsidR="00271D73" w:rsidRPr="002D76EC" w:rsidRDefault="00271D73" w:rsidP="00246C6D">
      <w:pPr>
        <w:jc w:val="both"/>
        <w:rPr>
          <w:sz w:val="24"/>
          <w:szCs w:val="24"/>
          <w:shd w:val="clear" w:color="auto" w:fill="FFFFFF"/>
          <w:lang w:val="en-US"/>
        </w:rPr>
      </w:pPr>
    </w:p>
    <w:p w14:paraId="00841A1F" w14:textId="77777777" w:rsidR="00246C6D" w:rsidRDefault="00246C6D" w:rsidP="00246C6D">
      <w:pPr>
        <w:jc w:val="both"/>
        <w:rPr>
          <w:sz w:val="24"/>
          <w:szCs w:val="24"/>
          <w:shd w:val="clear" w:color="auto" w:fill="FFFFFF"/>
          <w:lang w:val="en-US"/>
        </w:rPr>
      </w:pPr>
      <w:r w:rsidRPr="002D76EC">
        <w:rPr>
          <w:sz w:val="24"/>
          <w:szCs w:val="24"/>
          <w:shd w:val="clear" w:color="auto" w:fill="FFFFFF"/>
          <w:lang w:val="en-US"/>
        </w:rPr>
        <w:t>Oakland, T. (1992). School dropouts: Characteristics and prevention. </w:t>
      </w:r>
      <w:r w:rsidRPr="002D76EC">
        <w:rPr>
          <w:i/>
          <w:iCs/>
          <w:sz w:val="24"/>
          <w:szCs w:val="24"/>
          <w:shd w:val="clear" w:color="auto" w:fill="FFFFFF"/>
          <w:lang w:val="en-US"/>
        </w:rPr>
        <w:t>Applied and Preventive Psychology</w:t>
      </w:r>
      <w:r w:rsidRPr="002D76EC">
        <w:rPr>
          <w:sz w:val="24"/>
          <w:szCs w:val="24"/>
          <w:shd w:val="clear" w:color="auto" w:fill="FFFFFF"/>
          <w:lang w:val="en-US"/>
        </w:rPr>
        <w:t>, </w:t>
      </w:r>
      <w:r w:rsidRPr="002D76EC">
        <w:rPr>
          <w:i/>
          <w:iCs/>
          <w:sz w:val="24"/>
          <w:szCs w:val="24"/>
          <w:shd w:val="clear" w:color="auto" w:fill="FFFFFF"/>
          <w:lang w:val="en-US"/>
        </w:rPr>
        <w:t>1</w:t>
      </w:r>
      <w:r w:rsidRPr="002D76EC">
        <w:rPr>
          <w:sz w:val="24"/>
          <w:szCs w:val="24"/>
          <w:shd w:val="clear" w:color="auto" w:fill="FFFFFF"/>
          <w:lang w:val="en-US"/>
        </w:rPr>
        <w:t>(4), 201-208.</w:t>
      </w:r>
    </w:p>
    <w:p w14:paraId="18521E9E" w14:textId="77777777" w:rsidR="00271D73" w:rsidRPr="002D76EC" w:rsidRDefault="00271D73" w:rsidP="00246C6D">
      <w:pPr>
        <w:jc w:val="both"/>
        <w:rPr>
          <w:sz w:val="24"/>
          <w:szCs w:val="24"/>
          <w:shd w:val="clear" w:color="auto" w:fill="FFFFFF"/>
          <w:lang w:val="en-US"/>
        </w:rPr>
      </w:pPr>
    </w:p>
    <w:p w14:paraId="66EAB54E" w14:textId="77777777" w:rsidR="00246C6D" w:rsidRDefault="00246C6D" w:rsidP="00246C6D">
      <w:pPr>
        <w:jc w:val="both"/>
        <w:rPr>
          <w:sz w:val="24"/>
          <w:szCs w:val="24"/>
          <w:shd w:val="clear" w:color="auto" w:fill="FFFFFF"/>
          <w:lang w:val="en-US"/>
        </w:rPr>
      </w:pPr>
      <w:proofErr w:type="spellStart"/>
      <w:r w:rsidRPr="002D76EC">
        <w:rPr>
          <w:sz w:val="24"/>
          <w:szCs w:val="24"/>
          <w:shd w:val="clear" w:color="auto" w:fill="FFFFFF"/>
          <w:lang w:val="en-US"/>
        </w:rPr>
        <w:t>Pagani</w:t>
      </w:r>
      <w:proofErr w:type="spellEnd"/>
      <w:r w:rsidRPr="002D76EC">
        <w:rPr>
          <w:sz w:val="24"/>
          <w:szCs w:val="24"/>
          <w:shd w:val="clear" w:color="auto" w:fill="FFFFFF"/>
          <w:lang w:val="en-US"/>
        </w:rPr>
        <w:t xml:space="preserve">, L. S., </w:t>
      </w:r>
      <w:proofErr w:type="spellStart"/>
      <w:r w:rsidRPr="002D76EC">
        <w:rPr>
          <w:sz w:val="24"/>
          <w:szCs w:val="24"/>
          <w:shd w:val="clear" w:color="auto" w:fill="FFFFFF"/>
          <w:lang w:val="en-US"/>
        </w:rPr>
        <w:t>Brière</w:t>
      </w:r>
      <w:proofErr w:type="spellEnd"/>
      <w:r w:rsidRPr="002D76EC">
        <w:rPr>
          <w:sz w:val="24"/>
          <w:szCs w:val="24"/>
          <w:shd w:val="clear" w:color="auto" w:fill="FFFFFF"/>
          <w:lang w:val="en-US"/>
        </w:rPr>
        <w:t xml:space="preserve">, F. N., &amp; </w:t>
      </w:r>
      <w:proofErr w:type="spellStart"/>
      <w:r w:rsidRPr="002D76EC">
        <w:rPr>
          <w:sz w:val="24"/>
          <w:szCs w:val="24"/>
          <w:shd w:val="clear" w:color="auto" w:fill="FFFFFF"/>
          <w:lang w:val="en-US"/>
        </w:rPr>
        <w:t>Janosz</w:t>
      </w:r>
      <w:proofErr w:type="spellEnd"/>
      <w:r w:rsidRPr="002D76EC">
        <w:rPr>
          <w:sz w:val="24"/>
          <w:szCs w:val="24"/>
          <w:shd w:val="clear" w:color="auto" w:fill="FFFFFF"/>
          <w:lang w:val="en-US"/>
        </w:rPr>
        <w:t>, M. (2017). Fluid reasoning skills at the high school transition predict subsequent dropout. </w:t>
      </w:r>
      <w:r w:rsidRPr="00246C6D">
        <w:rPr>
          <w:i/>
          <w:iCs/>
          <w:sz w:val="24"/>
          <w:szCs w:val="24"/>
          <w:shd w:val="clear" w:color="auto" w:fill="FFFFFF"/>
          <w:lang w:val="en-US"/>
        </w:rPr>
        <w:t>Intelligence</w:t>
      </w:r>
      <w:r w:rsidRPr="00246C6D">
        <w:rPr>
          <w:sz w:val="24"/>
          <w:szCs w:val="24"/>
          <w:shd w:val="clear" w:color="auto" w:fill="FFFFFF"/>
          <w:lang w:val="en-US"/>
        </w:rPr>
        <w:t>, </w:t>
      </w:r>
      <w:r w:rsidRPr="00246C6D">
        <w:rPr>
          <w:i/>
          <w:iCs/>
          <w:sz w:val="24"/>
          <w:szCs w:val="24"/>
          <w:shd w:val="clear" w:color="auto" w:fill="FFFFFF"/>
          <w:lang w:val="en-US"/>
        </w:rPr>
        <w:t>62</w:t>
      </w:r>
      <w:r w:rsidRPr="00246C6D">
        <w:rPr>
          <w:sz w:val="24"/>
          <w:szCs w:val="24"/>
          <w:shd w:val="clear" w:color="auto" w:fill="FFFFFF"/>
          <w:lang w:val="en-US"/>
        </w:rPr>
        <w:t>, 48-53.</w:t>
      </w:r>
    </w:p>
    <w:p w14:paraId="216D5231" w14:textId="77777777" w:rsidR="00271D73" w:rsidRPr="00246C6D" w:rsidRDefault="00271D73" w:rsidP="00246C6D">
      <w:pPr>
        <w:jc w:val="both"/>
        <w:rPr>
          <w:sz w:val="24"/>
          <w:szCs w:val="24"/>
          <w:shd w:val="clear" w:color="auto" w:fill="FFFFFF"/>
          <w:lang w:val="en-US"/>
        </w:rPr>
      </w:pPr>
    </w:p>
    <w:p w14:paraId="553A6B52" w14:textId="725F7F53" w:rsidR="00246C6D" w:rsidRDefault="00246C6D" w:rsidP="00246C6D">
      <w:pPr>
        <w:jc w:val="both"/>
        <w:rPr>
          <w:sz w:val="24"/>
          <w:szCs w:val="24"/>
          <w:shd w:val="clear" w:color="auto" w:fill="FFFFFF"/>
        </w:rPr>
      </w:pPr>
      <w:r w:rsidRPr="00246C6D">
        <w:rPr>
          <w:sz w:val="24"/>
          <w:szCs w:val="24"/>
          <w:shd w:val="clear" w:color="auto" w:fill="FFFFFF"/>
          <w:lang w:val="en-US"/>
        </w:rPr>
        <w:t xml:space="preserve">Prakash, R., Beattie, T., </w:t>
      </w:r>
      <w:proofErr w:type="spellStart"/>
      <w:r w:rsidRPr="00246C6D">
        <w:rPr>
          <w:sz w:val="24"/>
          <w:szCs w:val="24"/>
          <w:shd w:val="clear" w:color="auto" w:fill="FFFFFF"/>
          <w:lang w:val="en-US"/>
        </w:rPr>
        <w:t>Javalkar</w:t>
      </w:r>
      <w:proofErr w:type="spellEnd"/>
      <w:r w:rsidRPr="00246C6D">
        <w:rPr>
          <w:sz w:val="24"/>
          <w:szCs w:val="24"/>
          <w:shd w:val="clear" w:color="auto" w:fill="FFFFFF"/>
          <w:lang w:val="en-US"/>
        </w:rPr>
        <w:t xml:space="preserve">, P., </w:t>
      </w:r>
      <w:proofErr w:type="spellStart"/>
      <w:r w:rsidRPr="00246C6D">
        <w:rPr>
          <w:sz w:val="24"/>
          <w:szCs w:val="24"/>
          <w:shd w:val="clear" w:color="auto" w:fill="FFFFFF"/>
          <w:lang w:val="en-US"/>
        </w:rPr>
        <w:t>Bhattacharjee</w:t>
      </w:r>
      <w:proofErr w:type="spellEnd"/>
      <w:r w:rsidRPr="00246C6D">
        <w:rPr>
          <w:sz w:val="24"/>
          <w:szCs w:val="24"/>
          <w:shd w:val="clear" w:color="auto" w:fill="FFFFFF"/>
          <w:lang w:val="en-US"/>
        </w:rPr>
        <w:t>, P.,</w:t>
      </w:r>
      <w:r w:rsidR="00162746">
        <w:rPr>
          <w:sz w:val="24"/>
          <w:szCs w:val="24"/>
          <w:shd w:val="clear" w:color="auto" w:fill="FFFFFF"/>
          <w:lang w:val="en-US"/>
        </w:rPr>
        <w:t xml:space="preserve"> </w:t>
      </w:r>
      <w:proofErr w:type="spellStart"/>
      <w:r w:rsidR="00162746">
        <w:rPr>
          <w:sz w:val="24"/>
          <w:szCs w:val="24"/>
          <w:shd w:val="clear" w:color="auto" w:fill="FFFFFF"/>
          <w:lang w:val="en-US"/>
        </w:rPr>
        <w:t>Ramanaik</w:t>
      </w:r>
      <w:proofErr w:type="spellEnd"/>
      <w:r w:rsidR="00162746">
        <w:rPr>
          <w:sz w:val="24"/>
          <w:szCs w:val="24"/>
          <w:shd w:val="clear" w:color="auto" w:fill="FFFFFF"/>
          <w:lang w:val="en-US"/>
        </w:rPr>
        <w:t xml:space="preserve">, S., </w:t>
      </w:r>
      <w:proofErr w:type="spellStart"/>
      <w:r w:rsidR="00162746">
        <w:rPr>
          <w:sz w:val="24"/>
          <w:szCs w:val="24"/>
          <w:shd w:val="clear" w:color="auto" w:fill="FFFFFF"/>
          <w:lang w:val="en-US"/>
        </w:rPr>
        <w:t>Thalinja</w:t>
      </w:r>
      <w:proofErr w:type="spellEnd"/>
      <w:r w:rsidR="00162746">
        <w:rPr>
          <w:sz w:val="24"/>
          <w:szCs w:val="24"/>
          <w:shd w:val="clear" w:color="auto" w:fill="FFFFFF"/>
          <w:lang w:val="en-US"/>
        </w:rPr>
        <w:t xml:space="preserve">, R., </w:t>
      </w:r>
      <w:r w:rsidRPr="00246C6D">
        <w:rPr>
          <w:sz w:val="24"/>
          <w:szCs w:val="24"/>
          <w:shd w:val="clear" w:color="auto" w:fill="FFFFFF"/>
          <w:lang w:val="en-US"/>
        </w:rPr>
        <w:t xml:space="preserve">&amp; </w:t>
      </w:r>
      <w:proofErr w:type="spellStart"/>
      <w:r w:rsidRPr="00246C6D">
        <w:rPr>
          <w:sz w:val="24"/>
          <w:szCs w:val="24"/>
          <w:shd w:val="clear" w:color="auto" w:fill="FFFFFF"/>
          <w:lang w:val="en-US"/>
        </w:rPr>
        <w:t>Collumbien</w:t>
      </w:r>
      <w:proofErr w:type="spellEnd"/>
      <w:r w:rsidRPr="00246C6D">
        <w:rPr>
          <w:sz w:val="24"/>
          <w:szCs w:val="24"/>
          <w:shd w:val="clear" w:color="auto" w:fill="FFFFFF"/>
          <w:lang w:val="en-US"/>
        </w:rPr>
        <w:t xml:space="preserve">, M. (2017). </w:t>
      </w:r>
      <w:r w:rsidRPr="002D76EC">
        <w:rPr>
          <w:sz w:val="24"/>
          <w:szCs w:val="24"/>
          <w:shd w:val="clear" w:color="auto" w:fill="FFFFFF"/>
          <w:lang w:val="en-US"/>
        </w:rPr>
        <w:t xml:space="preserve">Correlates of school dropout and absenteeism among adolescent girls </w:t>
      </w:r>
      <w:r w:rsidRPr="002D76EC">
        <w:rPr>
          <w:sz w:val="24"/>
          <w:szCs w:val="24"/>
          <w:shd w:val="clear" w:color="auto" w:fill="FFFFFF"/>
          <w:lang w:val="en-US"/>
        </w:rPr>
        <w:lastRenderedPageBreak/>
        <w:t>from marginalized community in north Karnataka, south India. </w:t>
      </w:r>
      <w:proofErr w:type="spellStart"/>
      <w:r w:rsidRPr="002D76EC">
        <w:rPr>
          <w:i/>
          <w:iCs/>
          <w:sz w:val="24"/>
          <w:szCs w:val="24"/>
          <w:shd w:val="clear" w:color="auto" w:fill="FFFFFF"/>
        </w:rPr>
        <w:t>Journal</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of</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adolescence</w:t>
      </w:r>
      <w:proofErr w:type="spellEnd"/>
      <w:r w:rsidRPr="002D76EC">
        <w:rPr>
          <w:sz w:val="24"/>
          <w:szCs w:val="24"/>
          <w:shd w:val="clear" w:color="auto" w:fill="FFFFFF"/>
        </w:rPr>
        <w:t>, </w:t>
      </w:r>
      <w:r w:rsidRPr="002D76EC">
        <w:rPr>
          <w:i/>
          <w:iCs/>
          <w:sz w:val="24"/>
          <w:szCs w:val="24"/>
          <w:shd w:val="clear" w:color="auto" w:fill="FFFFFF"/>
        </w:rPr>
        <w:t>61</w:t>
      </w:r>
      <w:r w:rsidRPr="002D76EC">
        <w:rPr>
          <w:sz w:val="24"/>
          <w:szCs w:val="24"/>
          <w:shd w:val="clear" w:color="auto" w:fill="FFFFFF"/>
        </w:rPr>
        <w:t>, 64-76.</w:t>
      </w:r>
    </w:p>
    <w:p w14:paraId="79F6DD84" w14:textId="77777777" w:rsidR="00271D73" w:rsidRPr="002D76EC" w:rsidRDefault="00271D73" w:rsidP="00246C6D">
      <w:pPr>
        <w:jc w:val="both"/>
        <w:rPr>
          <w:sz w:val="24"/>
          <w:szCs w:val="24"/>
          <w:shd w:val="clear" w:color="auto" w:fill="FFFFFF"/>
        </w:rPr>
      </w:pPr>
    </w:p>
    <w:p w14:paraId="3D340301" w14:textId="77777777" w:rsidR="00246C6D" w:rsidRDefault="00246C6D" w:rsidP="00246C6D">
      <w:pPr>
        <w:jc w:val="both"/>
        <w:rPr>
          <w:sz w:val="24"/>
          <w:szCs w:val="24"/>
          <w:shd w:val="clear" w:color="auto" w:fill="FFFFFF"/>
        </w:rPr>
      </w:pPr>
      <w:proofErr w:type="spellStart"/>
      <w:r w:rsidRPr="002D76EC">
        <w:rPr>
          <w:sz w:val="24"/>
          <w:szCs w:val="24"/>
          <w:shd w:val="clear" w:color="auto" w:fill="FFFFFF"/>
        </w:rPr>
        <w:t>Polydoro</w:t>
      </w:r>
      <w:proofErr w:type="spellEnd"/>
      <w:r w:rsidRPr="002D76EC">
        <w:rPr>
          <w:sz w:val="24"/>
          <w:szCs w:val="24"/>
          <w:shd w:val="clear" w:color="auto" w:fill="FFFFFF"/>
        </w:rPr>
        <w:t xml:space="preserve">, S. A. J. (2000). O trancamento de matrícula na trajetória acadêmica do universitário: concepções de saída e de retorno à instituição. Orientador: Dra. Elizabeth N. G. </w:t>
      </w:r>
      <w:proofErr w:type="spellStart"/>
      <w:r w:rsidRPr="002D76EC">
        <w:rPr>
          <w:sz w:val="24"/>
          <w:szCs w:val="24"/>
          <w:shd w:val="clear" w:color="auto" w:fill="FFFFFF"/>
        </w:rPr>
        <w:t>da</w:t>
      </w:r>
      <w:proofErr w:type="spellEnd"/>
      <w:r w:rsidRPr="002D76EC">
        <w:rPr>
          <w:sz w:val="24"/>
          <w:szCs w:val="24"/>
          <w:shd w:val="clear" w:color="auto" w:fill="FFFFFF"/>
        </w:rPr>
        <w:t xml:space="preserve"> S. </w:t>
      </w:r>
      <w:proofErr w:type="spellStart"/>
      <w:r w:rsidRPr="002D76EC">
        <w:rPr>
          <w:sz w:val="24"/>
          <w:szCs w:val="24"/>
          <w:shd w:val="clear" w:color="auto" w:fill="FFFFFF"/>
        </w:rPr>
        <w:t>Mercuri</w:t>
      </w:r>
      <w:proofErr w:type="spellEnd"/>
      <w:r w:rsidRPr="002D76EC">
        <w:rPr>
          <w:sz w:val="24"/>
          <w:szCs w:val="24"/>
          <w:shd w:val="clear" w:color="auto" w:fill="FFFFFF"/>
        </w:rPr>
        <w:t>. 175 f. Tese (Doutorado em Educação) - Faculdade de Educação, Universidade Estadual de Campinas, Campinas.</w:t>
      </w:r>
    </w:p>
    <w:p w14:paraId="0E9D083E" w14:textId="77777777" w:rsidR="00271D73" w:rsidRPr="002D76EC" w:rsidRDefault="00271D73" w:rsidP="00246C6D">
      <w:pPr>
        <w:jc w:val="both"/>
        <w:rPr>
          <w:sz w:val="24"/>
          <w:szCs w:val="24"/>
          <w:shd w:val="clear" w:color="auto" w:fill="FFFFFF"/>
        </w:rPr>
      </w:pPr>
    </w:p>
    <w:p w14:paraId="0F640B84" w14:textId="77777777" w:rsidR="00246C6D" w:rsidRDefault="00246C6D" w:rsidP="00246C6D">
      <w:pPr>
        <w:jc w:val="both"/>
        <w:rPr>
          <w:sz w:val="24"/>
          <w:szCs w:val="24"/>
          <w:shd w:val="clear" w:color="auto" w:fill="FFFFFF"/>
          <w:lang w:val="en-US"/>
        </w:rPr>
      </w:pPr>
      <w:r w:rsidRPr="002D76EC">
        <w:rPr>
          <w:sz w:val="24"/>
          <w:szCs w:val="24"/>
          <w:shd w:val="clear" w:color="auto" w:fill="FFFFFF"/>
        </w:rPr>
        <w:t>Ranking Universitário Folha. Disponível em:&lt;</w:t>
      </w:r>
      <w:r w:rsidRPr="002D76EC">
        <w:rPr>
          <w:sz w:val="24"/>
          <w:szCs w:val="24"/>
        </w:rPr>
        <w:t xml:space="preserve"> </w:t>
      </w:r>
      <w:hyperlink r:id="rId10" w:history="1">
        <w:r w:rsidRPr="002D76EC">
          <w:rPr>
            <w:rStyle w:val="Hyperlink"/>
            <w:sz w:val="24"/>
            <w:szCs w:val="24"/>
            <w:shd w:val="clear" w:color="auto" w:fill="FFFFFF"/>
          </w:rPr>
          <w:t>http://ruf.folha.uol.com.br/2017/</w:t>
        </w:r>
      </w:hyperlink>
      <w:r w:rsidRPr="002D76EC">
        <w:rPr>
          <w:sz w:val="24"/>
          <w:szCs w:val="24"/>
          <w:shd w:val="clear" w:color="auto" w:fill="FFFFFF"/>
        </w:rPr>
        <w:t xml:space="preserve">&gt;. </w:t>
      </w:r>
      <w:proofErr w:type="spellStart"/>
      <w:r w:rsidRPr="002D76EC">
        <w:rPr>
          <w:sz w:val="24"/>
          <w:szCs w:val="24"/>
          <w:shd w:val="clear" w:color="auto" w:fill="FFFFFF"/>
          <w:lang w:val="en-US"/>
        </w:rPr>
        <w:t>Acesso</w:t>
      </w:r>
      <w:proofErr w:type="spellEnd"/>
      <w:r w:rsidRPr="002D76EC">
        <w:rPr>
          <w:sz w:val="24"/>
          <w:szCs w:val="24"/>
          <w:shd w:val="clear" w:color="auto" w:fill="FFFFFF"/>
          <w:lang w:val="en-US"/>
        </w:rPr>
        <w:t xml:space="preserve"> </w:t>
      </w:r>
      <w:proofErr w:type="spellStart"/>
      <w:r w:rsidRPr="002D76EC">
        <w:rPr>
          <w:sz w:val="24"/>
          <w:szCs w:val="24"/>
          <w:shd w:val="clear" w:color="auto" w:fill="FFFFFF"/>
          <w:lang w:val="en-US"/>
        </w:rPr>
        <w:t>em</w:t>
      </w:r>
      <w:proofErr w:type="spellEnd"/>
      <w:r w:rsidRPr="002D76EC">
        <w:rPr>
          <w:sz w:val="24"/>
          <w:szCs w:val="24"/>
          <w:shd w:val="clear" w:color="auto" w:fill="FFFFFF"/>
          <w:lang w:val="en-US"/>
        </w:rPr>
        <w:t xml:space="preserve">: 01 </w:t>
      </w:r>
      <w:proofErr w:type="spellStart"/>
      <w:r w:rsidRPr="002D76EC">
        <w:rPr>
          <w:sz w:val="24"/>
          <w:szCs w:val="24"/>
          <w:shd w:val="clear" w:color="auto" w:fill="FFFFFF"/>
          <w:lang w:val="en-US"/>
        </w:rPr>
        <w:t>fev</w:t>
      </w:r>
      <w:proofErr w:type="spellEnd"/>
      <w:r w:rsidRPr="002D76EC">
        <w:rPr>
          <w:sz w:val="24"/>
          <w:szCs w:val="24"/>
          <w:shd w:val="clear" w:color="auto" w:fill="FFFFFF"/>
          <w:lang w:val="en-US"/>
        </w:rPr>
        <w:t>. 2018.</w:t>
      </w:r>
    </w:p>
    <w:p w14:paraId="3951EC98" w14:textId="77777777" w:rsidR="00271D73" w:rsidRPr="002D76EC" w:rsidRDefault="00271D73" w:rsidP="00246C6D">
      <w:pPr>
        <w:jc w:val="both"/>
        <w:rPr>
          <w:sz w:val="24"/>
          <w:szCs w:val="24"/>
          <w:shd w:val="clear" w:color="auto" w:fill="FFFFFF"/>
          <w:lang w:val="en-US"/>
        </w:rPr>
      </w:pPr>
    </w:p>
    <w:p w14:paraId="0C1A8BBE" w14:textId="77777777" w:rsidR="00246C6D" w:rsidRDefault="00246C6D" w:rsidP="00246C6D">
      <w:pPr>
        <w:jc w:val="both"/>
        <w:rPr>
          <w:sz w:val="24"/>
          <w:szCs w:val="24"/>
          <w:shd w:val="clear" w:color="auto" w:fill="FFFFFF"/>
          <w:lang w:val="en-US"/>
        </w:rPr>
      </w:pPr>
      <w:r w:rsidRPr="002D76EC">
        <w:rPr>
          <w:sz w:val="24"/>
          <w:szCs w:val="24"/>
          <w:shd w:val="clear" w:color="auto" w:fill="FFFFFF"/>
          <w:lang w:val="en-US"/>
        </w:rPr>
        <w:t>Reason, R. D. (2003). Student variables that predict retention: Recent research and new developments. </w:t>
      </w:r>
      <w:proofErr w:type="spellStart"/>
      <w:r w:rsidRPr="002D76EC">
        <w:rPr>
          <w:i/>
          <w:iCs/>
          <w:sz w:val="24"/>
          <w:szCs w:val="24"/>
          <w:shd w:val="clear" w:color="auto" w:fill="FFFFFF"/>
          <w:lang w:val="en-US"/>
        </w:rPr>
        <w:t>Naspa</w:t>
      </w:r>
      <w:proofErr w:type="spellEnd"/>
      <w:r w:rsidRPr="002D76EC">
        <w:rPr>
          <w:i/>
          <w:iCs/>
          <w:sz w:val="24"/>
          <w:szCs w:val="24"/>
          <w:shd w:val="clear" w:color="auto" w:fill="FFFFFF"/>
          <w:lang w:val="en-US"/>
        </w:rPr>
        <w:t xml:space="preserve"> Journal</w:t>
      </w:r>
      <w:r w:rsidRPr="002D76EC">
        <w:rPr>
          <w:sz w:val="24"/>
          <w:szCs w:val="24"/>
          <w:shd w:val="clear" w:color="auto" w:fill="FFFFFF"/>
          <w:lang w:val="en-US"/>
        </w:rPr>
        <w:t>, </w:t>
      </w:r>
      <w:r w:rsidRPr="002D76EC">
        <w:rPr>
          <w:i/>
          <w:iCs/>
          <w:sz w:val="24"/>
          <w:szCs w:val="24"/>
          <w:shd w:val="clear" w:color="auto" w:fill="FFFFFF"/>
          <w:lang w:val="en-US"/>
        </w:rPr>
        <w:t>40</w:t>
      </w:r>
      <w:r w:rsidRPr="002D76EC">
        <w:rPr>
          <w:sz w:val="24"/>
          <w:szCs w:val="24"/>
          <w:shd w:val="clear" w:color="auto" w:fill="FFFFFF"/>
          <w:lang w:val="en-US"/>
        </w:rPr>
        <w:t>(4), 172-191.</w:t>
      </w:r>
    </w:p>
    <w:p w14:paraId="16EE544B" w14:textId="77777777" w:rsidR="00271D73" w:rsidRPr="002D76EC" w:rsidRDefault="00271D73" w:rsidP="00246C6D">
      <w:pPr>
        <w:jc w:val="both"/>
        <w:rPr>
          <w:sz w:val="24"/>
          <w:szCs w:val="24"/>
          <w:shd w:val="clear" w:color="auto" w:fill="FFFFFF"/>
          <w:lang w:val="en-US"/>
        </w:rPr>
      </w:pPr>
    </w:p>
    <w:p w14:paraId="716FA1C1" w14:textId="77777777" w:rsidR="00246C6D" w:rsidRDefault="00246C6D" w:rsidP="00246C6D">
      <w:pPr>
        <w:jc w:val="both"/>
        <w:rPr>
          <w:sz w:val="24"/>
          <w:szCs w:val="24"/>
          <w:shd w:val="clear" w:color="auto" w:fill="FFFFFF"/>
        </w:rPr>
      </w:pPr>
      <w:r w:rsidRPr="002D76EC">
        <w:rPr>
          <w:sz w:val="24"/>
          <w:szCs w:val="24"/>
          <w:shd w:val="clear" w:color="auto" w:fill="FFFFFF"/>
          <w:lang w:val="en-US"/>
        </w:rPr>
        <w:t xml:space="preserve">Robison, S., </w:t>
      </w:r>
      <w:proofErr w:type="spellStart"/>
      <w:r w:rsidRPr="002D76EC">
        <w:rPr>
          <w:sz w:val="24"/>
          <w:szCs w:val="24"/>
          <w:shd w:val="clear" w:color="auto" w:fill="FFFFFF"/>
          <w:lang w:val="en-US"/>
        </w:rPr>
        <w:t>Jaggers</w:t>
      </w:r>
      <w:proofErr w:type="spellEnd"/>
      <w:r w:rsidRPr="002D76EC">
        <w:rPr>
          <w:sz w:val="24"/>
          <w:szCs w:val="24"/>
          <w:shd w:val="clear" w:color="auto" w:fill="FFFFFF"/>
          <w:lang w:val="en-US"/>
        </w:rPr>
        <w:t>, J., Rhodes, J., Blackmon, B. J., &amp; Church, W. (2017). Correlates of educational success: Predictors of school dropout and graduation for urban students in the Deep South. </w:t>
      </w:r>
      <w:proofErr w:type="spellStart"/>
      <w:r w:rsidRPr="002D76EC">
        <w:rPr>
          <w:i/>
          <w:iCs/>
          <w:sz w:val="24"/>
          <w:szCs w:val="24"/>
          <w:shd w:val="clear" w:color="auto" w:fill="FFFFFF"/>
        </w:rPr>
        <w:t>Children</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and</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Youth</w:t>
      </w:r>
      <w:proofErr w:type="spellEnd"/>
      <w:r w:rsidRPr="002D76EC">
        <w:rPr>
          <w:i/>
          <w:iCs/>
          <w:sz w:val="24"/>
          <w:szCs w:val="24"/>
          <w:shd w:val="clear" w:color="auto" w:fill="FFFFFF"/>
        </w:rPr>
        <w:t xml:space="preserve"> Services </w:t>
      </w:r>
      <w:proofErr w:type="spellStart"/>
      <w:r w:rsidRPr="002D76EC">
        <w:rPr>
          <w:i/>
          <w:iCs/>
          <w:sz w:val="24"/>
          <w:szCs w:val="24"/>
          <w:shd w:val="clear" w:color="auto" w:fill="FFFFFF"/>
        </w:rPr>
        <w:t>Review</w:t>
      </w:r>
      <w:proofErr w:type="spellEnd"/>
      <w:r w:rsidRPr="002D76EC">
        <w:rPr>
          <w:sz w:val="24"/>
          <w:szCs w:val="24"/>
          <w:shd w:val="clear" w:color="auto" w:fill="FFFFFF"/>
        </w:rPr>
        <w:t>, </w:t>
      </w:r>
      <w:r w:rsidRPr="002D76EC">
        <w:rPr>
          <w:i/>
          <w:iCs/>
          <w:sz w:val="24"/>
          <w:szCs w:val="24"/>
          <w:shd w:val="clear" w:color="auto" w:fill="FFFFFF"/>
        </w:rPr>
        <w:t>73</w:t>
      </w:r>
      <w:r w:rsidRPr="002D76EC">
        <w:rPr>
          <w:sz w:val="24"/>
          <w:szCs w:val="24"/>
          <w:shd w:val="clear" w:color="auto" w:fill="FFFFFF"/>
        </w:rPr>
        <w:t>, 37-46.</w:t>
      </w:r>
    </w:p>
    <w:p w14:paraId="50248940" w14:textId="77777777" w:rsidR="00271D73" w:rsidRPr="002D76EC" w:rsidRDefault="00271D73" w:rsidP="00246C6D">
      <w:pPr>
        <w:jc w:val="both"/>
        <w:rPr>
          <w:sz w:val="24"/>
          <w:szCs w:val="24"/>
          <w:shd w:val="clear" w:color="auto" w:fill="FFFFFF"/>
        </w:rPr>
      </w:pPr>
    </w:p>
    <w:p w14:paraId="629D6FFB" w14:textId="77777777" w:rsidR="00246C6D" w:rsidRDefault="00246C6D" w:rsidP="00246C6D">
      <w:pPr>
        <w:jc w:val="both"/>
        <w:rPr>
          <w:sz w:val="24"/>
          <w:szCs w:val="24"/>
          <w:shd w:val="clear" w:color="auto" w:fill="FFFFFF"/>
        </w:rPr>
      </w:pPr>
      <w:r w:rsidRPr="002D76EC">
        <w:rPr>
          <w:sz w:val="24"/>
          <w:szCs w:val="24"/>
          <w:shd w:val="clear" w:color="auto" w:fill="FFFFFF"/>
        </w:rPr>
        <w:t>Silva, G. P. (2013). Análise de evasão no ensino superior: uma proposta de diagnóstico de seus determinantes. </w:t>
      </w:r>
      <w:r w:rsidRPr="002D76EC">
        <w:rPr>
          <w:i/>
          <w:iCs/>
          <w:sz w:val="24"/>
          <w:szCs w:val="24"/>
          <w:shd w:val="clear" w:color="auto" w:fill="FFFFFF"/>
        </w:rPr>
        <w:t>Avaliação: Revista da Avaliação da Educação Superior</w:t>
      </w:r>
      <w:r w:rsidRPr="002D76EC">
        <w:rPr>
          <w:sz w:val="24"/>
          <w:szCs w:val="24"/>
          <w:shd w:val="clear" w:color="auto" w:fill="FFFFFF"/>
        </w:rPr>
        <w:t>, </w:t>
      </w:r>
      <w:r w:rsidRPr="002D76EC">
        <w:rPr>
          <w:i/>
          <w:iCs/>
          <w:sz w:val="24"/>
          <w:szCs w:val="24"/>
          <w:shd w:val="clear" w:color="auto" w:fill="FFFFFF"/>
        </w:rPr>
        <w:t>18</w:t>
      </w:r>
      <w:r w:rsidRPr="002D76EC">
        <w:rPr>
          <w:sz w:val="24"/>
          <w:szCs w:val="24"/>
          <w:shd w:val="clear" w:color="auto" w:fill="FFFFFF"/>
        </w:rPr>
        <w:t>(2).</w:t>
      </w:r>
    </w:p>
    <w:p w14:paraId="24B24B72" w14:textId="77777777" w:rsidR="00271D73" w:rsidRPr="002D76EC" w:rsidRDefault="00271D73" w:rsidP="00246C6D">
      <w:pPr>
        <w:jc w:val="both"/>
        <w:rPr>
          <w:sz w:val="24"/>
          <w:szCs w:val="24"/>
          <w:shd w:val="clear" w:color="auto" w:fill="FFFFFF"/>
        </w:rPr>
      </w:pPr>
    </w:p>
    <w:p w14:paraId="4CDDEE96" w14:textId="77777777" w:rsidR="00246C6D" w:rsidRDefault="00246C6D" w:rsidP="00246C6D">
      <w:pPr>
        <w:jc w:val="both"/>
        <w:rPr>
          <w:sz w:val="24"/>
          <w:szCs w:val="24"/>
          <w:shd w:val="clear" w:color="auto" w:fill="FFFFFF"/>
        </w:rPr>
      </w:pPr>
      <w:r w:rsidRPr="002D76EC">
        <w:rPr>
          <w:sz w:val="24"/>
          <w:szCs w:val="24"/>
          <w:shd w:val="clear" w:color="auto" w:fill="FFFFFF"/>
        </w:rPr>
        <w:t xml:space="preserve">Silva Filho, R. L. L., </w:t>
      </w:r>
      <w:proofErr w:type="spellStart"/>
      <w:r w:rsidRPr="002D76EC">
        <w:rPr>
          <w:sz w:val="24"/>
          <w:szCs w:val="24"/>
          <w:shd w:val="clear" w:color="auto" w:fill="FFFFFF"/>
        </w:rPr>
        <w:t>Motejunas</w:t>
      </w:r>
      <w:proofErr w:type="spellEnd"/>
      <w:r w:rsidRPr="002D76EC">
        <w:rPr>
          <w:sz w:val="24"/>
          <w:szCs w:val="24"/>
          <w:shd w:val="clear" w:color="auto" w:fill="FFFFFF"/>
        </w:rPr>
        <w:t>, P. R., Hipólito, O., &amp; Lobo, M. B. C. M. (2007). A evasão no ensino superior brasileiro. </w:t>
      </w:r>
      <w:r w:rsidRPr="002D76EC">
        <w:rPr>
          <w:i/>
          <w:iCs/>
          <w:sz w:val="24"/>
          <w:szCs w:val="24"/>
          <w:shd w:val="clear" w:color="auto" w:fill="FFFFFF"/>
        </w:rPr>
        <w:t>Cadernos de pesquisa</w:t>
      </w:r>
      <w:r w:rsidRPr="002D76EC">
        <w:rPr>
          <w:sz w:val="24"/>
          <w:szCs w:val="24"/>
          <w:shd w:val="clear" w:color="auto" w:fill="FFFFFF"/>
        </w:rPr>
        <w:t>, </w:t>
      </w:r>
      <w:r w:rsidRPr="002D76EC">
        <w:rPr>
          <w:i/>
          <w:iCs/>
          <w:sz w:val="24"/>
          <w:szCs w:val="24"/>
          <w:shd w:val="clear" w:color="auto" w:fill="FFFFFF"/>
        </w:rPr>
        <w:t>37</w:t>
      </w:r>
      <w:r w:rsidRPr="002D76EC">
        <w:rPr>
          <w:sz w:val="24"/>
          <w:szCs w:val="24"/>
          <w:shd w:val="clear" w:color="auto" w:fill="FFFFFF"/>
        </w:rPr>
        <w:t>(132), 641-659.</w:t>
      </w:r>
    </w:p>
    <w:p w14:paraId="67051D2B" w14:textId="77777777" w:rsidR="00271D73" w:rsidRPr="002D76EC" w:rsidRDefault="00271D73" w:rsidP="00246C6D">
      <w:pPr>
        <w:jc w:val="both"/>
        <w:rPr>
          <w:sz w:val="24"/>
          <w:szCs w:val="24"/>
          <w:shd w:val="clear" w:color="auto" w:fill="FFFFFF"/>
        </w:rPr>
      </w:pPr>
    </w:p>
    <w:p w14:paraId="7916DABD" w14:textId="77777777" w:rsidR="00246C6D" w:rsidRDefault="00246C6D" w:rsidP="00246C6D">
      <w:pPr>
        <w:jc w:val="both"/>
        <w:rPr>
          <w:sz w:val="24"/>
          <w:szCs w:val="24"/>
          <w:shd w:val="clear" w:color="auto" w:fill="FFFFFF"/>
        </w:rPr>
      </w:pPr>
      <w:r w:rsidRPr="00ED7047">
        <w:rPr>
          <w:sz w:val="24"/>
          <w:szCs w:val="24"/>
          <w:shd w:val="clear" w:color="auto" w:fill="FFFFFF"/>
        </w:rPr>
        <w:t xml:space="preserve">Tinto, V. (1975). </w:t>
      </w:r>
      <w:r w:rsidRPr="002D76EC">
        <w:rPr>
          <w:sz w:val="24"/>
          <w:szCs w:val="24"/>
          <w:shd w:val="clear" w:color="auto" w:fill="FFFFFF"/>
          <w:lang w:val="en-US"/>
        </w:rPr>
        <w:t>Dropout from higher education: A theoretical synthesis of recent research. </w:t>
      </w:r>
      <w:proofErr w:type="spellStart"/>
      <w:r w:rsidRPr="002D76EC">
        <w:rPr>
          <w:i/>
          <w:iCs/>
          <w:sz w:val="24"/>
          <w:szCs w:val="24"/>
          <w:shd w:val="clear" w:color="auto" w:fill="FFFFFF"/>
        </w:rPr>
        <w:t>Review</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of</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educational</w:t>
      </w:r>
      <w:proofErr w:type="spellEnd"/>
      <w:r w:rsidRPr="002D76EC">
        <w:rPr>
          <w:i/>
          <w:iCs/>
          <w:sz w:val="24"/>
          <w:szCs w:val="24"/>
          <w:shd w:val="clear" w:color="auto" w:fill="FFFFFF"/>
        </w:rPr>
        <w:t xml:space="preserve"> </w:t>
      </w:r>
      <w:proofErr w:type="spellStart"/>
      <w:r w:rsidRPr="002D76EC">
        <w:rPr>
          <w:i/>
          <w:iCs/>
          <w:sz w:val="24"/>
          <w:szCs w:val="24"/>
          <w:shd w:val="clear" w:color="auto" w:fill="FFFFFF"/>
        </w:rPr>
        <w:t>research</w:t>
      </w:r>
      <w:proofErr w:type="spellEnd"/>
      <w:r w:rsidRPr="002D76EC">
        <w:rPr>
          <w:sz w:val="24"/>
          <w:szCs w:val="24"/>
          <w:shd w:val="clear" w:color="auto" w:fill="FFFFFF"/>
        </w:rPr>
        <w:t>, </w:t>
      </w:r>
      <w:r w:rsidRPr="002D76EC">
        <w:rPr>
          <w:i/>
          <w:iCs/>
          <w:sz w:val="24"/>
          <w:szCs w:val="24"/>
          <w:shd w:val="clear" w:color="auto" w:fill="FFFFFF"/>
        </w:rPr>
        <w:t>45</w:t>
      </w:r>
      <w:r w:rsidRPr="002D76EC">
        <w:rPr>
          <w:sz w:val="24"/>
          <w:szCs w:val="24"/>
          <w:shd w:val="clear" w:color="auto" w:fill="FFFFFF"/>
        </w:rPr>
        <w:t>(1), 89-125.</w:t>
      </w:r>
    </w:p>
    <w:p w14:paraId="4A3CE2C5" w14:textId="77777777" w:rsidR="00271D73" w:rsidRPr="002D76EC" w:rsidRDefault="00271D73" w:rsidP="00246C6D">
      <w:pPr>
        <w:jc w:val="both"/>
        <w:rPr>
          <w:sz w:val="24"/>
          <w:szCs w:val="24"/>
          <w:shd w:val="clear" w:color="auto" w:fill="FFFFFF"/>
        </w:rPr>
      </w:pPr>
    </w:p>
    <w:p w14:paraId="7CD2743A" w14:textId="77777777" w:rsidR="00246C6D" w:rsidRPr="002D76EC" w:rsidRDefault="00246C6D" w:rsidP="00246C6D">
      <w:pPr>
        <w:jc w:val="both"/>
        <w:rPr>
          <w:sz w:val="24"/>
          <w:szCs w:val="24"/>
          <w:shd w:val="clear" w:color="auto" w:fill="FFFFFF"/>
        </w:rPr>
      </w:pPr>
      <w:proofErr w:type="spellStart"/>
      <w:r>
        <w:rPr>
          <w:sz w:val="24"/>
          <w:szCs w:val="24"/>
          <w:shd w:val="clear" w:color="auto" w:fill="FFFFFF"/>
        </w:rPr>
        <w:t>Vitelli</w:t>
      </w:r>
      <w:proofErr w:type="spellEnd"/>
      <w:r>
        <w:rPr>
          <w:sz w:val="24"/>
          <w:szCs w:val="24"/>
          <w:shd w:val="clear" w:color="auto" w:fill="FFFFFF"/>
        </w:rPr>
        <w:t>, R. F. (2017). Evasão</w:t>
      </w:r>
      <w:r w:rsidRPr="002D76EC">
        <w:rPr>
          <w:sz w:val="24"/>
          <w:szCs w:val="24"/>
          <w:shd w:val="clear" w:color="auto" w:fill="FFFFFF"/>
        </w:rPr>
        <w:t xml:space="preserve"> em cursos de Graduação: Fatores Intervenientes no Fenômeno. In </w:t>
      </w:r>
      <w:proofErr w:type="spellStart"/>
      <w:r w:rsidRPr="002D76EC">
        <w:rPr>
          <w:i/>
          <w:iCs/>
          <w:sz w:val="24"/>
          <w:szCs w:val="24"/>
          <w:shd w:val="clear" w:color="auto" w:fill="FFFFFF"/>
        </w:rPr>
        <w:t>Congre</w:t>
      </w:r>
      <w:r>
        <w:rPr>
          <w:i/>
          <w:iCs/>
          <w:sz w:val="24"/>
          <w:szCs w:val="24"/>
          <w:shd w:val="clear" w:color="auto" w:fill="FFFFFF"/>
        </w:rPr>
        <w:t>s</w:t>
      </w:r>
      <w:r w:rsidRPr="002D76EC">
        <w:rPr>
          <w:i/>
          <w:iCs/>
          <w:sz w:val="24"/>
          <w:szCs w:val="24"/>
          <w:shd w:val="clear" w:color="auto" w:fill="FFFFFF"/>
        </w:rPr>
        <w:t>os</w:t>
      </w:r>
      <w:proofErr w:type="spellEnd"/>
      <w:r w:rsidRPr="002D76EC">
        <w:rPr>
          <w:i/>
          <w:iCs/>
          <w:sz w:val="24"/>
          <w:szCs w:val="24"/>
          <w:shd w:val="clear" w:color="auto" w:fill="FFFFFF"/>
        </w:rPr>
        <w:t xml:space="preserve"> CLABES</w:t>
      </w:r>
      <w:r w:rsidRPr="002D76EC">
        <w:rPr>
          <w:sz w:val="24"/>
          <w:szCs w:val="24"/>
          <w:shd w:val="clear" w:color="auto" w:fill="FFFFFF"/>
        </w:rPr>
        <w:t>.</w:t>
      </w:r>
    </w:p>
    <w:p w14:paraId="30C1C0BE" w14:textId="77777777" w:rsidR="00246C6D" w:rsidRPr="002D76EC" w:rsidRDefault="00246C6D" w:rsidP="00246C6D">
      <w:pPr>
        <w:pStyle w:val="PargrafodaLista"/>
        <w:ind w:left="0"/>
        <w:rPr>
          <w:b/>
          <w:sz w:val="24"/>
          <w:szCs w:val="24"/>
        </w:rPr>
      </w:pPr>
    </w:p>
    <w:p w14:paraId="56B2E3D9" w14:textId="27845977" w:rsidR="00B41AC1" w:rsidRPr="004428A5" w:rsidRDefault="00B41AC1" w:rsidP="00B41AC1">
      <w:pPr>
        <w:rPr>
          <w:sz w:val="24"/>
          <w:szCs w:val="24"/>
        </w:rPr>
      </w:pPr>
    </w:p>
    <w:p w14:paraId="27DBD885" w14:textId="77777777" w:rsidR="00B41AC1" w:rsidRDefault="00B41AC1" w:rsidP="00B41AC1"/>
    <w:p w14:paraId="380E343E" w14:textId="77777777" w:rsidR="00B41AC1" w:rsidRDefault="00B41AC1" w:rsidP="00B41AC1"/>
    <w:p w14:paraId="13F704C5" w14:textId="77777777" w:rsidR="00B41AC1" w:rsidRDefault="00B41AC1" w:rsidP="00B41AC1"/>
    <w:p w14:paraId="067EAFAB" w14:textId="77777777" w:rsidR="00B41AC1" w:rsidRDefault="00B41AC1" w:rsidP="00B41AC1"/>
    <w:p w14:paraId="65C3912B" w14:textId="77777777" w:rsidR="00B41AC1" w:rsidRDefault="00B41AC1" w:rsidP="00B41AC1"/>
    <w:p w14:paraId="1AA51D2D" w14:textId="77777777" w:rsidR="00B41AC1" w:rsidRDefault="00B41AC1" w:rsidP="00B41AC1"/>
    <w:p w14:paraId="4B5D192B" w14:textId="77777777" w:rsidR="00B41AC1" w:rsidRDefault="00B41AC1" w:rsidP="00B41AC1"/>
    <w:p w14:paraId="4D9B6DF2" w14:textId="77777777" w:rsidR="00B41AC1" w:rsidRDefault="00B41AC1" w:rsidP="00B41AC1"/>
    <w:p w14:paraId="5ED5C942" w14:textId="77777777" w:rsidR="00B41AC1" w:rsidRDefault="00B41AC1" w:rsidP="00B41AC1"/>
    <w:p w14:paraId="4A96DBD7" w14:textId="77777777" w:rsidR="00B41AC1" w:rsidRDefault="00B41AC1" w:rsidP="00B41AC1"/>
    <w:p w14:paraId="187CB268" w14:textId="77777777" w:rsidR="00B41AC1" w:rsidRDefault="00B41AC1" w:rsidP="00B41AC1"/>
    <w:p w14:paraId="0B26F9FD" w14:textId="77777777" w:rsidR="00E6136F" w:rsidRDefault="00E6136F" w:rsidP="00271D73"/>
    <w:sectPr w:rsidR="00E6136F" w:rsidSect="00E361F4">
      <w:headerReference w:type="default" r:id="rId11"/>
      <w:footerReference w:type="default" r:id="rId12"/>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51034" w14:textId="77777777" w:rsidR="00243F4B" w:rsidRDefault="00243F4B" w:rsidP="008A5824">
      <w:r>
        <w:separator/>
      </w:r>
    </w:p>
  </w:endnote>
  <w:endnote w:type="continuationSeparator" w:id="0">
    <w:p w14:paraId="053F6455" w14:textId="77777777" w:rsidR="00243F4B" w:rsidRDefault="00243F4B"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991759"/>
      <w:docPartObj>
        <w:docPartGallery w:val="Page Numbers (Bottom of Page)"/>
        <w:docPartUnique/>
      </w:docPartObj>
    </w:sdtPr>
    <w:sdtEndPr/>
    <w:sdtContent>
      <w:p w14:paraId="123F9E26" w14:textId="587A450B" w:rsidR="00271D73" w:rsidRDefault="00271D73">
        <w:pPr>
          <w:pStyle w:val="Rodap"/>
          <w:jc w:val="right"/>
        </w:pPr>
        <w:r>
          <w:fldChar w:fldCharType="begin"/>
        </w:r>
        <w:r>
          <w:instrText>PAGE   \* MERGEFORMAT</w:instrText>
        </w:r>
        <w:r>
          <w:fldChar w:fldCharType="separate"/>
        </w:r>
        <w:r w:rsidR="00890130">
          <w:rPr>
            <w:noProof/>
          </w:rPr>
          <w:t>1</w:t>
        </w:r>
        <w:r>
          <w:fldChar w:fldCharType="end"/>
        </w:r>
      </w:p>
    </w:sdtContent>
  </w:sdt>
  <w:p w14:paraId="1DE39BEB" w14:textId="588570A7" w:rsidR="00E361F4" w:rsidRDefault="00E361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6274A" w14:textId="77777777" w:rsidR="00243F4B" w:rsidRDefault="00243F4B" w:rsidP="008A5824">
      <w:r>
        <w:separator/>
      </w:r>
    </w:p>
  </w:footnote>
  <w:footnote w:type="continuationSeparator" w:id="0">
    <w:p w14:paraId="5B768580" w14:textId="77777777" w:rsidR="00243F4B" w:rsidRDefault="00243F4B"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8A73AE"/>
    <w:multiLevelType w:val="hybridMultilevel"/>
    <w:tmpl w:val="261C4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A20348B"/>
    <w:multiLevelType w:val="multilevel"/>
    <w:tmpl w:val="9F724F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3EF6C30"/>
    <w:multiLevelType w:val="hybridMultilevel"/>
    <w:tmpl w:val="D9900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A2BFC"/>
    <w:rsid w:val="000A5658"/>
    <w:rsid w:val="00111448"/>
    <w:rsid w:val="0016220D"/>
    <w:rsid w:val="00162746"/>
    <w:rsid w:val="00194BA9"/>
    <w:rsid w:val="001A4423"/>
    <w:rsid w:val="001C328B"/>
    <w:rsid w:val="001D2157"/>
    <w:rsid w:val="001F6A6D"/>
    <w:rsid w:val="0022053E"/>
    <w:rsid w:val="002226E8"/>
    <w:rsid w:val="00243F4B"/>
    <w:rsid w:val="00246C6D"/>
    <w:rsid w:val="00271D73"/>
    <w:rsid w:val="002B0015"/>
    <w:rsid w:val="002B2B78"/>
    <w:rsid w:val="00334301"/>
    <w:rsid w:val="0036377D"/>
    <w:rsid w:val="0038579D"/>
    <w:rsid w:val="003D563E"/>
    <w:rsid w:val="004020EB"/>
    <w:rsid w:val="00473887"/>
    <w:rsid w:val="004809F2"/>
    <w:rsid w:val="00491708"/>
    <w:rsid w:val="00505EC3"/>
    <w:rsid w:val="00524B6A"/>
    <w:rsid w:val="00631DCF"/>
    <w:rsid w:val="00686527"/>
    <w:rsid w:val="006C5DAE"/>
    <w:rsid w:val="006F450D"/>
    <w:rsid w:val="0072578D"/>
    <w:rsid w:val="00756F24"/>
    <w:rsid w:val="00840A4A"/>
    <w:rsid w:val="00860B20"/>
    <w:rsid w:val="00890130"/>
    <w:rsid w:val="008A5824"/>
    <w:rsid w:val="008D4F05"/>
    <w:rsid w:val="009204DE"/>
    <w:rsid w:val="009833D5"/>
    <w:rsid w:val="00A447D9"/>
    <w:rsid w:val="00AD5176"/>
    <w:rsid w:val="00B32719"/>
    <w:rsid w:val="00B41AC1"/>
    <w:rsid w:val="00B41CAF"/>
    <w:rsid w:val="00BD0F13"/>
    <w:rsid w:val="00C30374"/>
    <w:rsid w:val="00C6638A"/>
    <w:rsid w:val="00CA2367"/>
    <w:rsid w:val="00CA25AA"/>
    <w:rsid w:val="00CA3F97"/>
    <w:rsid w:val="00CE5296"/>
    <w:rsid w:val="00CF645C"/>
    <w:rsid w:val="00D55D19"/>
    <w:rsid w:val="00E361F4"/>
    <w:rsid w:val="00E6136F"/>
    <w:rsid w:val="00EB2F1D"/>
    <w:rsid w:val="00ED7047"/>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D2FAC20-B88D-4C40-968A-F447CBB1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uiPriority w:val="99"/>
    <w:unhideWhenUsed/>
    <w:rsid w:val="00246C6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jw@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niar.moras@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ruf.folha.uol.com.br/2017/" TargetMode="External"/><Relationship Id="rId4" Type="http://schemas.openxmlformats.org/officeDocument/2006/relationships/webSettings" Target="webSettings.xml"/><Relationship Id="rId9" Type="http://schemas.openxmlformats.org/officeDocument/2006/relationships/hyperlink" Target="mailto:akroenke@furb.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6761</Words>
  <Characters>36511</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28</cp:revision>
  <dcterms:created xsi:type="dcterms:W3CDTF">2018-05-08T00:54:00Z</dcterms:created>
  <dcterms:modified xsi:type="dcterms:W3CDTF">2018-05-08T02:45:00Z</dcterms:modified>
</cp:coreProperties>
</file>