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8F2" w:rsidRDefault="002C51A6" w:rsidP="00EA12A7">
      <w:pPr>
        <w:jc w:val="center"/>
        <w:rPr>
          <w:b/>
          <w:sz w:val="23"/>
          <w:szCs w:val="23"/>
        </w:rPr>
      </w:pPr>
      <w:r w:rsidRPr="00EB3484">
        <w:rPr>
          <w:b/>
          <w:sz w:val="23"/>
          <w:szCs w:val="23"/>
        </w:rPr>
        <w:t>EFEITOS DA INTEGRAÇÃO ELETRÔNICA DOS SISTEMAS EXTERNOS DE INFORMAÇÃO NO DESENVOLVIMENTO DA CAPACIDADE ABSORTIVA E DA GESTÃO DE CUSTOS INTERORGANIZACIONAIS</w:t>
      </w:r>
    </w:p>
    <w:p w:rsidR="007312EC" w:rsidRDefault="007312EC" w:rsidP="0015672A">
      <w:pPr>
        <w:jc w:val="right"/>
        <w:rPr>
          <w:b/>
          <w:color w:val="555555"/>
          <w:szCs w:val="24"/>
          <w:shd w:val="clear" w:color="auto" w:fill="FFFFFF"/>
        </w:rPr>
      </w:pPr>
    </w:p>
    <w:p w:rsidR="00DC1132" w:rsidRPr="00931024" w:rsidRDefault="00D639A3" w:rsidP="00B957DF">
      <w:pPr>
        <w:rPr>
          <w:b/>
        </w:rPr>
      </w:pPr>
      <w:r w:rsidRPr="00EB3484">
        <w:rPr>
          <w:b/>
          <w:sz w:val="23"/>
          <w:szCs w:val="23"/>
        </w:rPr>
        <w:t>Resumo</w:t>
      </w:r>
      <w:r w:rsidR="00DC1132" w:rsidRPr="00931024">
        <w:rPr>
          <w:b/>
        </w:rPr>
        <w:t>:</w:t>
      </w:r>
    </w:p>
    <w:p w:rsidR="00FF7FCA" w:rsidRPr="00EB3484" w:rsidRDefault="00FF7FCA" w:rsidP="00EB3484">
      <w:pPr>
        <w:rPr>
          <w:sz w:val="23"/>
          <w:szCs w:val="23"/>
        </w:rPr>
      </w:pPr>
      <w:r w:rsidRPr="00FA58D7">
        <w:rPr>
          <w:szCs w:val="24"/>
        </w:rPr>
        <w:t xml:space="preserve">Esta pesquisa avalia os efeitos da integração eletrônica </w:t>
      </w:r>
      <w:r w:rsidR="008161C7" w:rsidRPr="00FA58D7">
        <w:rPr>
          <w:szCs w:val="24"/>
        </w:rPr>
        <w:t xml:space="preserve">externa </w:t>
      </w:r>
      <w:r w:rsidRPr="00FA58D7">
        <w:rPr>
          <w:szCs w:val="24"/>
        </w:rPr>
        <w:t xml:space="preserve">dos sistemas externos no desenvolvimento da capacidade absortiva e da gestão de custos interorganizacionais. </w:t>
      </w:r>
      <w:r w:rsidR="00BF6026" w:rsidRPr="00FA58D7">
        <w:rPr>
          <w:szCs w:val="24"/>
        </w:rPr>
        <w:t>A p</w:t>
      </w:r>
      <w:r w:rsidRPr="00FA58D7">
        <w:rPr>
          <w:szCs w:val="24"/>
        </w:rPr>
        <w:t xml:space="preserve">esquisa </w:t>
      </w:r>
      <w:r w:rsidR="00BF6026" w:rsidRPr="00FA58D7">
        <w:rPr>
          <w:szCs w:val="24"/>
        </w:rPr>
        <w:t xml:space="preserve">classificada como </w:t>
      </w:r>
      <w:r w:rsidRPr="00FA58D7">
        <w:rPr>
          <w:szCs w:val="24"/>
        </w:rPr>
        <w:t>descritiva foi realizada por meio de um levantamento e abordagem quantitativa dos dados com uma amostra de 100 gestores de organizações industriais brasileiras que possuem responsabilidade pelo setor de custos nas empresas pesquisadas. Para a análise dos dados foi utilizada a estatística descritiva e método multivariado da análise de trajetórias (</w:t>
      </w:r>
      <w:r w:rsidRPr="00FA58D7">
        <w:rPr>
          <w:i/>
          <w:szCs w:val="24"/>
        </w:rPr>
        <w:t xml:space="preserve">path </w:t>
      </w:r>
      <w:proofErr w:type="spellStart"/>
      <w:r w:rsidRPr="00FA58D7">
        <w:rPr>
          <w:i/>
          <w:szCs w:val="24"/>
        </w:rPr>
        <w:t>analysis</w:t>
      </w:r>
      <w:proofErr w:type="spellEnd"/>
      <w:r w:rsidRPr="00FA58D7">
        <w:rPr>
          <w:szCs w:val="24"/>
        </w:rPr>
        <w:t xml:space="preserve">). Os </w:t>
      </w:r>
      <w:r w:rsidR="00FD2C45" w:rsidRPr="00FA58D7">
        <w:rPr>
          <w:szCs w:val="24"/>
        </w:rPr>
        <w:t>achados</w:t>
      </w:r>
      <w:r w:rsidR="005401D2" w:rsidRPr="00FA58D7">
        <w:rPr>
          <w:szCs w:val="24"/>
        </w:rPr>
        <w:t xml:space="preserve"> indicam que </w:t>
      </w:r>
      <w:r w:rsidR="004E1A1F" w:rsidRPr="00FA58D7">
        <w:rPr>
          <w:szCs w:val="24"/>
        </w:rPr>
        <w:t>sistemas de informação externamente integrados i</w:t>
      </w:r>
      <w:r w:rsidRPr="00FA58D7">
        <w:rPr>
          <w:szCs w:val="24"/>
        </w:rPr>
        <w:t>nfluencia</w:t>
      </w:r>
      <w:r w:rsidR="00FA01B2" w:rsidRPr="00FA58D7">
        <w:rPr>
          <w:szCs w:val="24"/>
        </w:rPr>
        <w:t>m</w:t>
      </w:r>
      <w:r w:rsidRPr="00FA58D7">
        <w:rPr>
          <w:szCs w:val="24"/>
        </w:rPr>
        <w:t xml:space="preserve"> positivamente a capacidade absortiva destas empresas, em relação a gestão e uso de informações de custos em seus processos de gestão. Do mesmo modo, influencia positivamente a adoção de práticas de gestão externa de custos, denominadas de gestão de custos interorganizacionais, sendo esta influência de maneira direta e indireta (a partir do desenvolvimento da capacidade absortiva das empresas). Estes achados corroboram com as concepções teóricas preconizadas pela Visão da Firma Baseada em Recursos, que prescreve que o desenvolvimento de recursos estratégicos contribui para o desenvolvimento das capacidades organizacionais. Contudo, também revelam que nem todas as empresas conseguem desenvolver estes recursos, o que compromete o desenvolvimento de sua capacidade de gestão e a adoção de práticas de gestão de custos interorganizacionais. A partir destas evidências pode-se concluir que o desenvolvimento de tais recursos se constituem facilitadores da adoção de práticas de gestão de custos sob a perspectiva interorganizacional</w:t>
      </w:r>
      <w:r w:rsidRPr="00EB3484">
        <w:rPr>
          <w:sz w:val="23"/>
          <w:szCs w:val="23"/>
        </w:rPr>
        <w:t xml:space="preserve">. </w:t>
      </w:r>
    </w:p>
    <w:p w:rsidR="00026FFF" w:rsidRPr="00931024" w:rsidRDefault="00026FFF" w:rsidP="00FE3B6F">
      <w:pPr>
        <w:spacing w:line="200" w:lineRule="exact"/>
        <w:rPr>
          <w:szCs w:val="24"/>
        </w:rPr>
      </w:pPr>
    </w:p>
    <w:p w:rsidR="00DC1132" w:rsidRPr="00931024" w:rsidRDefault="00DC1132" w:rsidP="00FE3B6F">
      <w:pPr>
        <w:spacing w:line="220" w:lineRule="exact"/>
      </w:pPr>
      <w:r w:rsidRPr="00931024">
        <w:rPr>
          <w:b/>
        </w:rPr>
        <w:t>Palavras-chave</w:t>
      </w:r>
      <w:r w:rsidRPr="00931024">
        <w:t xml:space="preserve">: </w:t>
      </w:r>
      <w:r w:rsidR="00FF7FCA" w:rsidRPr="00931024">
        <w:rPr>
          <w:b/>
          <w:szCs w:val="24"/>
        </w:rPr>
        <w:t>Integração de sistemas de informação</w:t>
      </w:r>
      <w:r w:rsidR="004A40B6" w:rsidRPr="00931024">
        <w:rPr>
          <w:b/>
        </w:rPr>
        <w:t>;</w:t>
      </w:r>
      <w:r w:rsidR="00BD6DE3" w:rsidRPr="00931024">
        <w:rPr>
          <w:b/>
        </w:rPr>
        <w:t xml:space="preserve"> </w:t>
      </w:r>
      <w:r w:rsidR="00FF7FCA" w:rsidRPr="00931024">
        <w:rPr>
          <w:b/>
          <w:szCs w:val="24"/>
        </w:rPr>
        <w:t>Capacidade absortiva</w:t>
      </w:r>
      <w:r w:rsidR="004A40B6" w:rsidRPr="00931024">
        <w:rPr>
          <w:b/>
        </w:rPr>
        <w:t>;</w:t>
      </w:r>
      <w:r w:rsidR="00BD6DE3" w:rsidRPr="00931024">
        <w:rPr>
          <w:b/>
        </w:rPr>
        <w:t xml:space="preserve"> </w:t>
      </w:r>
      <w:r w:rsidR="00FF7FCA" w:rsidRPr="00931024">
        <w:rPr>
          <w:b/>
          <w:szCs w:val="24"/>
        </w:rPr>
        <w:t>Gestão de Custos Interorganizacionais</w:t>
      </w:r>
      <w:r w:rsidR="00BD6DE3" w:rsidRPr="00931024">
        <w:rPr>
          <w:b/>
        </w:rPr>
        <w:t>.</w:t>
      </w:r>
    </w:p>
    <w:p w:rsidR="00DC1132" w:rsidRDefault="00DC1132" w:rsidP="00FE3B6F">
      <w:pPr>
        <w:spacing w:line="200" w:lineRule="exact"/>
      </w:pPr>
    </w:p>
    <w:p w:rsidR="005F0047" w:rsidRPr="007312EC" w:rsidRDefault="005F0047" w:rsidP="005F0047">
      <w:pPr>
        <w:jc w:val="left"/>
        <w:rPr>
          <w:b/>
          <w:szCs w:val="24"/>
          <w:shd w:val="clear" w:color="auto" w:fill="FFFFFF"/>
        </w:rPr>
      </w:pPr>
      <w:r>
        <w:t xml:space="preserve">Linha Temática: </w:t>
      </w:r>
      <w:r w:rsidRPr="007312EC">
        <w:rPr>
          <w:b/>
          <w:szCs w:val="24"/>
          <w:shd w:val="clear" w:color="auto" w:fill="FFFFFF"/>
        </w:rPr>
        <w:t>Contabilidade Gerencial- Gestão de Custos</w:t>
      </w:r>
    </w:p>
    <w:p w:rsidR="005F0047" w:rsidRPr="00931024" w:rsidRDefault="005F0047" w:rsidP="00FE3B6F">
      <w:pPr>
        <w:spacing w:line="200" w:lineRule="exact"/>
      </w:pPr>
    </w:p>
    <w:p w:rsidR="00DC1132" w:rsidRPr="00931024" w:rsidRDefault="00F4611C" w:rsidP="00C652A5">
      <w:pPr>
        <w:pStyle w:val="Ttulo1"/>
        <w:rPr>
          <w:rFonts w:cs="Times New Roman"/>
        </w:rPr>
      </w:pPr>
      <w:r w:rsidRPr="00931024">
        <w:rPr>
          <w:rFonts w:cs="Times New Roman"/>
        </w:rPr>
        <w:t xml:space="preserve">1 </w:t>
      </w:r>
      <w:r w:rsidR="00DC1132" w:rsidRPr="00EB3484">
        <w:rPr>
          <w:rFonts w:cs="Times New Roman"/>
          <w:sz w:val="23"/>
          <w:szCs w:val="23"/>
        </w:rPr>
        <w:t>INTRODUÇÃO</w:t>
      </w:r>
    </w:p>
    <w:p w:rsidR="004F78CA" w:rsidRPr="00FA58D7" w:rsidRDefault="001C3B60" w:rsidP="004F78CA">
      <w:pPr>
        <w:autoSpaceDE w:val="0"/>
        <w:autoSpaceDN w:val="0"/>
        <w:adjustRightInd w:val="0"/>
        <w:ind w:firstLine="708"/>
        <w:rPr>
          <w:szCs w:val="24"/>
        </w:rPr>
      </w:pPr>
      <w:r w:rsidRPr="00FA58D7">
        <w:rPr>
          <w:szCs w:val="24"/>
        </w:rPr>
        <w:t xml:space="preserve">Para a subsistência </w:t>
      </w:r>
      <w:r w:rsidR="00A535F9" w:rsidRPr="00FA58D7">
        <w:rPr>
          <w:szCs w:val="24"/>
        </w:rPr>
        <w:t>em um ambiente competitivo</w:t>
      </w:r>
      <w:r w:rsidRPr="00FA58D7">
        <w:rPr>
          <w:szCs w:val="24"/>
        </w:rPr>
        <w:t>, a</w:t>
      </w:r>
      <w:r w:rsidR="00C65F0D" w:rsidRPr="00FA58D7">
        <w:rPr>
          <w:szCs w:val="24"/>
        </w:rPr>
        <w:t xml:space="preserve">s empresas precisam de recursos, visto que, </w:t>
      </w:r>
      <w:r w:rsidR="001D007F" w:rsidRPr="00FA58D7">
        <w:rPr>
          <w:szCs w:val="24"/>
        </w:rPr>
        <w:t xml:space="preserve">na sua essência, </w:t>
      </w:r>
      <w:r w:rsidR="00C65F0D" w:rsidRPr="00FA58D7">
        <w:rPr>
          <w:szCs w:val="24"/>
        </w:rPr>
        <w:t>as organizações, não são autossuficientes e nem independentes em recursos (</w:t>
      </w:r>
      <w:r w:rsidR="004B14D5" w:rsidRPr="00FA58D7">
        <w:rPr>
          <w:szCs w:val="24"/>
        </w:rPr>
        <w:t>Das &amp;</w:t>
      </w:r>
      <w:r w:rsidR="00C65F0D" w:rsidRPr="00FA58D7">
        <w:rPr>
          <w:szCs w:val="24"/>
        </w:rPr>
        <w:t xml:space="preserve"> </w:t>
      </w:r>
      <w:r w:rsidR="004B14D5" w:rsidRPr="00FA58D7">
        <w:rPr>
          <w:szCs w:val="24"/>
        </w:rPr>
        <w:t>Teng</w:t>
      </w:r>
      <w:r w:rsidR="00C65F0D" w:rsidRPr="00FA58D7">
        <w:rPr>
          <w:szCs w:val="24"/>
        </w:rPr>
        <w:t>, 2000</w:t>
      </w:r>
      <w:r w:rsidR="004F78CA" w:rsidRPr="00FA58D7">
        <w:rPr>
          <w:szCs w:val="24"/>
        </w:rPr>
        <w:t>; Lisboa, Coelho, Coelho &amp; Almeida</w:t>
      </w:r>
      <w:r w:rsidR="00566FD1" w:rsidRPr="00FA58D7">
        <w:rPr>
          <w:szCs w:val="24"/>
        </w:rPr>
        <w:t>, 2011).</w:t>
      </w:r>
    </w:p>
    <w:p w:rsidR="00CF3E6F" w:rsidRPr="00FA58D7" w:rsidRDefault="00B7790D" w:rsidP="00136DF6">
      <w:pPr>
        <w:ind w:firstLine="708"/>
        <w:rPr>
          <w:szCs w:val="24"/>
        </w:rPr>
      </w:pPr>
      <w:r w:rsidRPr="00FA58D7">
        <w:rPr>
          <w:szCs w:val="24"/>
        </w:rPr>
        <w:t xml:space="preserve">É oportuno destacar, que </w:t>
      </w:r>
      <w:r w:rsidR="003F0248" w:rsidRPr="00FA58D7">
        <w:rPr>
          <w:szCs w:val="24"/>
        </w:rPr>
        <w:t xml:space="preserve">os </w:t>
      </w:r>
      <w:r w:rsidR="00C00EA2" w:rsidRPr="00FA58D7">
        <w:rPr>
          <w:szCs w:val="24"/>
        </w:rPr>
        <w:t>recurso</w:t>
      </w:r>
      <w:r w:rsidR="00E26B80" w:rsidRPr="00FA58D7">
        <w:rPr>
          <w:szCs w:val="24"/>
        </w:rPr>
        <w:t xml:space="preserve">s </w:t>
      </w:r>
      <w:r w:rsidR="003F0248" w:rsidRPr="00FA58D7">
        <w:rPr>
          <w:szCs w:val="24"/>
        </w:rPr>
        <w:t>compreendem</w:t>
      </w:r>
      <w:r w:rsidR="00C00EA2" w:rsidRPr="00FA58D7">
        <w:rPr>
          <w:szCs w:val="24"/>
        </w:rPr>
        <w:t xml:space="preserve"> ativos, as capacidades, os processos organizacionais, os atributos empresariais e os</w:t>
      </w:r>
      <w:r w:rsidR="002F780D" w:rsidRPr="00FA58D7">
        <w:rPr>
          <w:szCs w:val="24"/>
        </w:rPr>
        <w:t xml:space="preserve"> </w:t>
      </w:r>
      <w:r w:rsidR="00C00EA2" w:rsidRPr="00FA58D7">
        <w:rPr>
          <w:szCs w:val="24"/>
        </w:rPr>
        <w:t>conhecimentos existentes em uma empresa (</w:t>
      </w:r>
      <w:r w:rsidR="00136DF6" w:rsidRPr="00FA58D7">
        <w:rPr>
          <w:szCs w:val="24"/>
        </w:rPr>
        <w:t>Barney</w:t>
      </w:r>
      <w:r w:rsidR="00C00EA2" w:rsidRPr="00FA58D7">
        <w:rPr>
          <w:szCs w:val="24"/>
        </w:rPr>
        <w:t xml:space="preserve">, 1991; </w:t>
      </w:r>
      <w:r w:rsidR="00136DF6" w:rsidRPr="00FA58D7">
        <w:rPr>
          <w:szCs w:val="24"/>
        </w:rPr>
        <w:t>Peteraf</w:t>
      </w:r>
      <w:r w:rsidR="00C00EA2" w:rsidRPr="00FA58D7">
        <w:rPr>
          <w:szCs w:val="24"/>
        </w:rPr>
        <w:t>, 1993).</w:t>
      </w:r>
      <w:r w:rsidR="00192480" w:rsidRPr="00FA58D7">
        <w:rPr>
          <w:szCs w:val="24"/>
        </w:rPr>
        <w:t xml:space="preserve"> </w:t>
      </w:r>
      <w:r w:rsidR="000B295A" w:rsidRPr="00FA58D7">
        <w:rPr>
          <w:szCs w:val="24"/>
        </w:rPr>
        <w:t xml:space="preserve">Assim sendo, buscam </w:t>
      </w:r>
      <w:r w:rsidR="001F422A" w:rsidRPr="00FA58D7">
        <w:rPr>
          <w:szCs w:val="24"/>
        </w:rPr>
        <w:t xml:space="preserve">nas </w:t>
      </w:r>
      <w:r w:rsidR="00EF3EBC" w:rsidRPr="00FA58D7">
        <w:rPr>
          <w:szCs w:val="24"/>
        </w:rPr>
        <w:t>parcerias, desenvolvendo</w:t>
      </w:r>
      <w:r w:rsidR="000B295A" w:rsidRPr="00FA58D7">
        <w:rPr>
          <w:szCs w:val="24"/>
        </w:rPr>
        <w:t xml:space="preserve"> relacionamentos interorganizacionais</w:t>
      </w:r>
      <w:r w:rsidR="00E26B80" w:rsidRPr="00FA58D7">
        <w:rPr>
          <w:szCs w:val="24"/>
        </w:rPr>
        <w:t xml:space="preserve">, a oportunidade de </w:t>
      </w:r>
      <w:r w:rsidR="0094244D" w:rsidRPr="00FA58D7">
        <w:rPr>
          <w:szCs w:val="24"/>
        </w:rPr>
        <w:t xml:space="preserve">complementar seus recursos, </w:t>
      </w:r>
      <w:r w:rsidR="001F422A" w:rsidRPr="00FA58D7">
        <w:rPr>
          <w:szCs w:val="24"/>
        </w:rPr>
        <w:t xml:space="preserve">possibilitando assim, o desenvolvimento da vantagem </w:t>
      </w:r>
      <w:r w:rsidR="007A6F75" w:rsidRPr="00FA58D7">
        <w:rPr>
          <w:szCs w:val="24"/>
        </w:rPr>
        <w:t>competitiva</w:t>
      </w:r>
      <w:r w:rsidR="001F422A" w:rsidRPr="00FA58D7">
        <w:rPr>
          <w:szCs w:val="24"/>
        </w:rPr>
        <w:t xml:space="preserve"> (</w:t>
      </w:r>
      <w:proofErr w:type="spellStart"/>
      <w:r w:rsidR="00136DF6" w:rsidRPr="00FA58D7">
        <w:rPr>
          <w:szCs w:val="24"/>
        </w:rPr>
        <w:t>Zancan</w:t>
      </w:r>
      <w:proofErr w:type="spellEnd"/>
      <w:r w:rsidR="00136DF6" w:rsidRPr="00FA58D7">
        <w:rPr>
          <w:szCs w:val="24"/>
        </w:rPr>
        <w:t>, Dos Santos, Costa</w:t>
      </w:r>
      <w:r w:rsidR="009C6B41" w:rsidRPr="00FA58D7">
        <w:rPr>
          <w:szCs w:val="24"/>
        </w:rPr>
        <w:t xml:space="preserve"> &amp;</w:t>
      </w:r>
      <w:r w:rsidR="00136DF6" w:rsidRPr="00FA58D7">
        <w:rPr>
          <w:szCs w:val="24"/>
        </w:rPr>
        <w:t xml:space="preserve"> Cruz, </w:t>
      </w:r>
      <w:r w:rsidR="00771465" w:rsidRPr="00FA58D7">
        <w:rPr>
          <w:szCs w:val="24"/>
        </w:rPr>
        <w:t xml:space="preserve">2013; </w:t>
      </w:r>
      <w:r w:rsidR="002412AB" w:rsidRPr="00FA58D7">
        <w:rPr>
          <w:szCs w:val="24"/>
        </w:rPr>
        <w:t xml:space="preserve">Zen, </w:t>
      </w:r>
      <w:proofErr w:type="spellStart"/>
      <w:r w:rsidR="002412AB" w:rsidRPr="00FA58D7">
        <w:rPr>
          <w:szCs w:val="24"/>
        </w:rPr>
        <w:t>Dalmoro</w:t>
      </w:r>
      <w:proofErr w:type="spellEnd"/>
      <w:r w:rsidR="002412AB" w:rsidRPr="00FA58D7">
        <w:rPr>
          <w:szCs w:val="24"/>
        </w:rPr>
        <w:t xml:space="preserve">, </w:t>
      </w:r>
      <w:proofErr w:type="spellStart"/>
      <w:r w:rsidR="002412AB" w:rsidRPr="00FA58D7">
        <w:rPr>
          <w:szCs w:val="24"/>
        </w:rPr>
        <w:t>Fensterseifer</w:t>
      </w:r>
      <w:proofErr w:type="spellEnd"/>
      <w:r w:rsidR="00771465" w:rsidRPr="00FA58D7">
        <w:rPr>
          <w:szCs w:val="24"/>
        </w:rPr>
        <w:t xml:space="preserve"> &amp; </w:t>
      </w:r>
      <w:r w:rsidR="002412AB" w:rsidRPr="00FA58D7">
        <w:rPr>
          <w:szCs w:val="24"/>
        </w:rPr>
        <w:t>Wegner</w:t>
      </w:r>
      <w:r w:rsidR="00771465" w:rsidRPr="00FA58D7">
        <w:rPr>
          <w:szCs w:val="24"/>
        </w:rPr>
        <w:t xml:space="preserve">, </w:t>
      </w:r>
      <w:r w:rsidR="001F422A" w:rsidRPr="00FA58D7">
        <w:rPr>
          <w:szCs w:val="24"/>
        </w:rPr>
        <w:t>2013),</w:t>
      </w:r>
      <w:r w:rsidR="007A6F75" w:rsidRPr="00FA58D7">
        <w:rPr>
          <w:szCs w:val="24"/>
        </w:rPr>
        <w:t xml:space="preserve"> aumentando seus retornos.</w:t>
      </w:r>
    </w:p>
    <w:p w:rsidR="00CF3E6F" w:rsidRPr="00FA58D7" w:rsidRDefault="00D763E5" w:rsidP="00CF3E6F">
      <w:pPr>
        <w:ind w:firstLine="708"/>
        <w:rPr>
          <w:szCs w:val="24"/>
        </w:rPr>
      </w:pPr>
      <w:r w:rsidRPr="00FA58D7">
        <w:rPr>
          <w:szCs w:val="24"/>
        </w:rPr>
        <w:t>Nesse sentido, a</w:t>
      </w:r>
      <w:r w:rsidR="00F4611C" w:rsidRPr="00FA58D7">
        <w:rPr>
          <w:szCs w:val="24"/>
        </w:rPr>
        <w:t>s alianças estratégicas são um tipo específico de relacionamento interorganizacional.</w:t>
      </w:r>
      <w:r w:rsidR="006C419F" w:rsidRPr="00FA58D7">
        <w:rPr>
          <w:szCs w:val="24"/>
        </w:rPr>
        <w:t xml:space="preserve"> </w:t>
      </w:r>
      <w:r w:rsidR="0099620B" w:rsidRPr="00FA58D7">
        <w:rPr>
          <w:szCs w:val="24"/>
        </w:rPr>
        <w:t xml:space="preserve"> </w:t>
      </w:r>
      <w:r w:rsidR="0060376C" w:rsidRPr="00FA58D7">
        <w:rPr>
          <w:szCs w:val="24"/>
        </w:rPr>
        <w:t xml:space="preserve">A formação deste modelo </w:t>
      </w:r>
      <w:r w:rsidR="0099620B" w:rsidRPr="00FA58D7">
        <w:rPr>
          <w:szCs w:val="24"/>
        </w:rPr>
        <w:t xml:space="preserve">de relacionamento </w:t>
      </w:r>
      <w:r w:rsidR="00F4611C" w:rsidRPr="00FA58D7">
        <w:rPr>
          <w:szCs w:val="24"/>
        </w:rPr>
        <w:t>é um processo dinâmico que envolve a dependência por recursos externos, fator esse que</w:t>
      </w:r>
      <w:r w:rsidR="0099620B" w:rsidRPr="00FA58D7">
        <w:rPr>
          <w:szCs w:val="24"/>
        </w:rPr>
        <w:t xml:space="preserve"> </w:t>
      </w:r>
      <w:r w:rsidR="00F4611C" w:rsidRPr="00FA58D7">
        <w:rPr>
          <w:szCs w:val="24"/>
        </w:rPr>
        <w:t xml:space="preserve">incentiva as entidades organizacionais a buscarem a cooperação com outras empresas, </w:t>
      </w:r>
      <w:r w:rsidR="006C25AC" w:rsidRPr="00FA58D7">
        <w:rPr>
          <w:szCs w:val="24"/>
        </w:rPr>
        <w:t>objetivando</w:t>
      </w:r>
      <w:r w:rsidR="00F4611C" w:rsidRPr="00FA58D7">
        <w:rPr>
          <w:szCs w:val="24"/>
        </w:rPr>
        <w:t xml:space="preserve"> </w:t>
      </w:r>
      <w:r w:rsidR="006C25AC" w:rsidRPr="00FA58D7">
        <w:rPr>
          <w:szCs w:val="24"/>
        </w:rPr>
        <w:t>o acesso aos</w:t>
      </w:r>
      <w:r w:rsidR="00F4611C" w:rsidRPr="00FA58D7">
        <w:rPr>
          <w:szCs w:val="24"/>
        </w:rPr>
        <w:t xml:space="preserve"> recursos necessários </w:t>
      </w:r>
      <w:r w:rsidR="00AD5D0C" w:rsidRPr="00FA58D7">
        <w:rPr>
          <w:szCs w:val="24"/>
        </w:rPr>
        <w:t>para dar</w:t>
      </w:r>
      <w:r w:rsidR="00F4611C" w:rsidRPr="00FA58D7">
        <w:rPr>
          <w:szCs w:val="24"/>
        </w:rPr>
        <w:t xml:space="preserve"> </w:t>
      </w:r>
      <w:r w:rsidR="00AD5D0C" w:rsidRPr="00FA58D7">
        <w:rPr>
          <w:szCs w:val="24"/>
        </w:rPr>
        <w:t>seguimento a</w:t>
      </w:r>
      <w:r w:rsidR="0099620B" w:rsidRPr="00FA58D7">
        <w:rPr>
          <w:szCs w:val="24"/>
        </w:rPr>
        <w:t xml:space="preserve"> suas atividades (</w:t>
      </w:r>
      <w:proofErr w:type="spellStart"/>
      <w:r w:rsidR="00DF7C17" w:rsidRPr="00FA58D7">
        <w:rPr>
          <w:szCs w:val="24"/>
        </w:rPr>
        <w:t>Gulati</w:t>
      </w:r>
      <w:proofErr w:type="spellEnd"/>
      <w:r w:rsidR="00BA01F4" w:rsidRPr="00FA58D7">
        <w:rPr>
          <w:szCs w:val="24"/>
        </w:rPr>
        <w:t xml:space="preserve"> &amp; </w:t>
      </w:r>
      <w:proofErr w:type="spellStart"/>
      <w:r w:rsidR="0099620B" w:rsidRPr="00FA58D7">
        <w:rPr>
          <w:szCs w:val="24"/>
        </w:rPr>
        <w:t>G</w:t>
      </w:r>
      <w:r w:rsidR="00DF7C17" w:rsidRPr="00FA58D7">
        <w:rPr>
          <w:szCs w:val="24"/>
        </w:rPr>
        <w:t>arguilo</w:t>
      </w:r>
      <w:proofErr w:type="spellEnd"/>
      <w:r w:rsidR="0099620B" w:rsidRPr="00FA58D7">
        <w:rPr>
          <w:szCs w:val="24"/>
        </w:rPr>
        <w:t>, 1999).</w:t>
      </w:r>
    </w:p>
    <w:p w:rsidR="006703A9" w:rsidRPr="00FA58D7" w:rsidRDefault="006703A9" w:rsidP="006703A9">
      <w:pPr>
        <w:autoSpaceDE w:val="0"/>
        <w:autoSpaceDN w:val="0"/>
        <w:adjustRightInd w:val="0"/>
        <w:ind w:firstLine="708"/>
        <w:rPr>
          <w:szCs w:val="24"/>
        </w:rPr>
      </w:pPr>
      <w:r w:rsidRPr="00FA58D7">
        <w:rPr>
          <w:szCs w:val="24"/>
        </w:rPr>
        <w:t xml:space="preserve">Uma relação considerada interorganizacional </w:t>
      </w:r>
      <w:r w:rsidR="00B32E2C" w:rsidRPr="00FA58D7">
        <w:rPr>
          <w:szCs w:val="24"/>
        </w:rPr>
        <w:t>manifesta-se</w:t>
      </w:r>
      <w:r w:rsidRPr="00FA58D7">
        <w:rPr>
          <w:szCs w:val="24"/>
        </w:rPr>
        <w:t xml:space="preserve"> quando duas ou mais organizações se unem (ou estabelecem aliança estratégica) na busca de soluções para problemas que lhe são comuns. Em busca de objetivos coletivos, as organizações trocam entre si recursos diversos, tais como bens, serviços, direitos, informações, etc. (</w:t>
      </w:r>
      <w:r w:rsidR="00423B05" w:rsidRPr="00FA58D7">
        <w:rPr>
          <w:szCs w:val="24"/>
        </w:rPr>
        <w:t>Camacho</w:t>
      </w:r>
      <w:r w:rsidRPr="00FA58D7">
        <w:rPr>
          <w:szCs w:val="24"/>
        </w:rPr>
        <w:t>, 2010), desenvolve</w:t>
      </w:r>
      <w:r w:rsidR="008D5AF7" w:rsidRPr="00FA58D7">
        <w:rPr>
          <w:szCs w:val="24"/>
        </w:rPr>
        <w:t xml:space="preserve">ndo </w:t>
      </w:r>
      <w:r w:rsidRPr="00FA58D7">
        <w:rPr>
          <w:szCs w:val="24"/>
        </w:rPr>
        <w:lastRenderedPageBreak/>
        <w:t>ações conjuntas, para fortalecer a cooperação estabelecida e alcançar ganhos mútuos (</w:t>
      </w:r>
      <w:proofErr w:type="spellStart"/>
      <w:r w:rsidR="00423B05" w:rsidRPr="00FA58D7">
        <w:rPr>
          <w:szCs w:val="24"/>
        </w:rPr>
        <w:t>Teece</w:t>
      </w:r>
      <w:proofErr w:type="spellEnd"/>
      <w:r w:rsidR="00423B05" w:rsidRPr="00FA58D7">
        <w:rPr>
          <w:szCs w:val="24"/>
        </w:rPr>
        <w:t xml:space="preserve">, </w:t>
      </w:r>
      <w:proofErr w:type="spellStart"/>
      <w:r w:rsidR="00423B05" w:rsidRPr="00FA58D7">
        <w:rPr>
          <w:szCs w:val="24"/>
        </w:rPr>
        <w:t>Pisano</w:t>
      </w:r>
      <w:proofErr w:type="spellEnd"/>
      <w:r w:rsidR="003D5DBB" w:rsidRPr="00FA58D7">
        <w:rPr>
          <w:szCs w:val="24"/>
        </w:rPr>
        <w:t xml:space="preserve"> &amp;</w:t>
      </w:r>
      <w:r w:rsidR="00423B05" w:rsidRPr="00FA58D7">
        <w:rPr>
          <w:szCs w:val="24"/>
        </w:rPr>
        <w:t xml:space="preserve"> </w:t>
      </w:r>
      <w:proofErr w:type="spellStart"/>
      <w:r w:rsidR="00423B05" w:rsidRPr="00FA58D7">
        <w:rPr>
          <w:szCs w:val="24"/>
        </w:rPr>
        <w:t>Shuen</w:t>
      </w:r>
      <w:proofErr w:type="spellEnd"/>
      <w:r w:rsidRPr="00FA58D7">
        <w:rPr>
          <w:szCs w:val="24"/>
        </w:rPr>
        <w:t xml:space="preserve">, 1997; </w:t>
      </w:r>
      <w:proofErr w:type="spellStart"/>
      <w:r w:rsidR="003D5DBB" w:rsidRPr="00FA58D7">
        <w:rPr>
          <w:szCs w:val="24"/>
        </w:rPr>
        <w:t>Balestrin</w:t>
      </w:r>
      <w:proofErr w:type="spellEnd"/>
      <w:r w:rsidR="003D5DBB" w:rsidRPr="00FA58D7">
        <w:rPr>
          <w:szCs w:val="24"/>
        </w:rPr>
        <w:t xml:space="preserve"> &amp;</w:t>
      </w:r>
      <w:proofErr w:type="spellStart"/>
      <w:r w:rsidR="003D5DBB" w:rsidRPr="00FA58D7">
        <w:rPr>
          <w:szCs w:val="24"/>
        </w:rPr>
        <w:t>Verschoore</w:t>
      </w:r>
      <w:proofErr w:type="spellEnd"/>
      <w:r w:rsidRPr="00FA58D7">
        <w:rPr>
          <w:szCs w:val="24"/>
        </w:rPr>
        <w:t>, 2008).</w:t>
      </w:r>
    </w:p>
    <w:p w:rsidR="005955A3" w:rsidRPr="00FA58D7" w:rsidRDefault="00CE7464" w:rsidP="00DB281C">
      <w:pPr>
        <w:ind w:firstLine="708"/>
        <w:rPr>
          <w:szCs w:val="24"/>
        </w:rPr>
      </w:pPr>
      <w:r w:rsidRPr="00FA58D7">
        <w:rPr>
          <w:szCs w:val="24"/>
        </w:rPr>
        <w:t>No que se refere</w:t>
      </w:r>
      <w:r w:rsidR="005955A3" w:rsidRPr="00FA58D7">
        <w:rPr>
          <w:szCs w:val="24"/>
        </w:rPr>
        <w:t xml:space="preserve"> ao desenvolvimento de novos recursos ou o acesso a recursos externos, o</w:t>
      </w:r>
      <w:r w:rsidR="00CF3E6F" w:rsidRPr="00FA58D7">
        <w:rPr>
          <w:szCs w:val="24"/>
        </w:rPr>
        <w:t xml:space="preserve"> </w:t>
      </w:r>
      <w:r w:rsidR="005955A3" w:rsidRPr="00FA58D7">
        <w:rPr>
          <w:szCs w:val="24"/>
        </w:rPr>
        <w:t>estabelecimento de alianças estratégicas favorece a socialização de informações e a troca de</w:t>
      </w:r>
      <w:r w:rsidR="00CF3E6F" w:rsidRPr="00FA58D7">
        <w:rPr>
          <w:szCs w:val="24"/>
        </w:rPr>
        <w:t xml:space="preserve"> </w:t>
      </w:r>
      <w:r w:rsidR="005955A3" w:rsidRPr="00FA58D7">
        <w:rPr>
          <w:szCs w:val="24"/>
        </w:rPr>
        <w:t>conhecimentos (</w:t>
      </w:r>
      <w:r w:rsidR="00373C12" w:rsidRPr="00FA58D7">
        <w:rPr>
          <w:szCs w:val="24"/>
        </w:rPr>
        <w:t>Barney</w:t>
      </w:r>
      <w:r w:rsidR="005955A3" w:rsidRPr="00FA58D7">
        <w:rPr>
          <w:szCs w:val="24"/>
        </w:rPr>
        <w:t xml:space="preserve">, 1991; </w:t>
      </w:r>
      <w:proofErr w:type="spellStart"/>
      <w:r w:rsidR="00BA01F4" w:rsidRPr="00FA58D7">
        <w:rPr>
          <w:szCs w:val="24"/>
        </w:rPr>
        <w:t>Teece</w:t>
      </w:r>
      <w:proofErr w:type="spellEnd"/>
      <w:r w:rsidR="00BA01F4" w:rsidRPr="00FA58D7">
        <w:rPr>
          <w:szCs w:val="24"/>
        </w:rPr>
        <w:t xml:space="preserve"> </w:t>
      </w:r>
      <w:r w:rsidR="005955A3" w:rsidRPr="00FA58D7">
        <w:rPr>
          <w:szCs w:val="24"/>
        </w:rPr>
        <w:t xml:space="preserve">et al., 1997; </w:t>
      </w:r>
      <w:proofErr w:type="spellStart"/>
      <w:r w:rsidR="00BA01F4" w:rsidRPr="00FA58D7">
        <w:rPr>
          <w:szCs w:val="24"/>
        </w:rPr>
        <w:t>Balestrin</w:t>
      </w:r>
      <w:proofErr w:type="spellEnd"/>
      <w:r w:rsidR="00BA01F4" w:rsidRPr="00FA58D7">
        <w:rPr>
          <w:szCs w:val="24"/>
        </w:rPr>
        <w:t xml:space="preserve"> &amp;</w:t>
      </w:r>
      <w:r w:rsidR="005955A3" w:rsidRPr="00FA58D7">
        <w:rPr>
          <w:szCs w:val="24"/>
        </w:rPr>
        <w:t xml:space="preserve"> </w:t>
      </w:r>
      <w:proofErr w:type="spellStart"/>
      <w:r w:rsidR="00BA01F4" w:rsidRPr="00FA58D7">
        <w:rPr>
          <w:szCs w:val="24"/>
        </w:rPr>
        <w:t>Verschoore</w:t>
      </w:r>
      <w:proofErr w:type="spellEnd"/>
      <w:r w:rsidR="005955A3" w:rsidRPr="00FA58D7">
        <w:rPr>
          <w:szCs w:val="24"/>
        </w:rPr>
        <w:t>,</w:t>
      </w:r>
      <w:r w:rsidR="00CF3E6F" w:rsidRPr="00FA58D7">
        <w:rPr>
          <w:szCs w:val="24"/>
        </w:rPr>
        <w:t xml:space="preserve"> </w:t>
      </w:r>
      <w:r w:rsidR="00DB281C" w:rsidRPr="00FA58D7">
        <w:rPr>
          <w:szCs w:val="24"/>
        </w:rPr>
        <w:t>2008).</w:t>
      </w:r>
    </w:p>
    <w:p w:rsidR="008C623E" w:rsidRPr="00FA58D7" w:rsidRDefault="00DB281C" w:rsidP="00373C12">
      <w:pPr>
        <w:ind w:firstLine="708"/>
        <w:rPr>
          <w:szCs w:val="24"/>
        </w:rPr>
      </w:pPr>
      <w:r w:rsidRPr="00FA58D7">
        <w:rPr>
          <w:szCs w:val="24"/>
        </w:rPr>
        <w:t xml:space="preserve">Inúmeros </w:t>
      </w:r>
      <w:r w:rsidR="00396AD3" w:rsidRPr="00FA58D7">
        <w:rPr>
          <w:szCs w:val="24"/>
        </w:rPr>
        <w:t>aspectos</w:t>
      </w:r>
      <w:r w:rsidR="004A73E4" w:rsidRPr="00FA58D7">
        <w:rPr>
          <w:szCs w:val="24"/>
        </w:rPr>
        <w:t xml:space="preserve"> podem</w:t>
      </w:r>
      <w:r w:rsidR="008C1D86" w:rsidRPr="00FA58D7">
        <w:rPr>
          <w:szCs w:val="24"/>
        </w:rPr>
        <w:t xml:space="preserve"> vir</w:t>
      </w:r>
      <w:r w:rsidR="002C3AEC" w:rsidRPr="00FA58D7">
        <w:rPr>
          <w:szCs w:val="24"/>
        </w:rPr>
        <w:t xml:space="preserve"> a</w:t>
      </w:r>
      <w:r w:rsidR="004A73E4" w:rsidRPr="00FA58D7">
        <w:rPr>
          <w:szCs w:val="24"/>
        </w:rPr>
        <w:t xml:space="preserve"> </w:t>
      </w:r>
      <w:r w:rsidR="008C623E" w:rsidRPr="00FA58D7">
        <w:rPr>
          <w:szCs w:val="24"/>
        </w:rPr>
        <w:t>influenciar a adoção ou não de</w:t>
      </w:r>
      <w:r w:rsidR="004A73E4" w:rsidRPr="00FA58D7">
        <w:rPr>
          <w:szCs w:val="24"/>
        </w:rPr>
        <w:t xml:space="preserve"> </w:t>
      </w:r>
      <w:r w:rsidR="00373C12" w:rsidRPr="00FA58D7">
        <w:rPr>
          <w:szCs w:val="24"/>
        </w:rPr>
        <w:t xml:space="preserve">tais práticas de gestão. </w:t>
      </w:r>
      <w:r w:rsidR="004A73E4" w:rsidRPr="00FA58D7">
        <w:rPr>
          <w:szCs w:val="24"/>
        </w:rPr>
        <w:t>Na concepção de</w:t>
      </w:r>
      <w:r w:rsidR="008C623E" w:rsidRPr="00FA58D7">
        <w:rPr>
          <w:szCs w:val="24"/>
        </w:rPr>
        <w:t xml:space="preserve"> </w:t>
      </w:r>
      <w:r w:rsidR="00373C12" w:rsidRPr="00FA58D7">
        <w:rPr>
          <w:szCs w:val="24"/>
        </w:rPr>
        <w:t xml:space="preserve">Fayard, Lee, </w:t>
      </w:r>
      <w:proofErr w:type="spellStart"/>
      <w:r w:rsidR="00373C12" w:rsidRPr="00FA58D7">
        <w:rPr>
          <w:szCs w:val="24"/>
        </w:rPr>
        <w:t>Leitch</w:t>
      </w:r>
      <w:proofErr w:type="spellEnd"/>
      <w:r w:rsidR="00373C12" w:rsidRPr="00FA58D7">
        <w:rPr>
          <w:szCs w:val="24"/>
        </w:rPr>
        <w:t xml:space="preserve"> &amp; </w:t>
      </w:r>
      <w:proofErr w:type="spellStart"/>
      <w:r w:rsidR="00373C12" w:rsidRPr="00FA58D7">
        <w:rPr>
          <w:szCs w:val="24"/>
        </w:rPr>
        <w:t>Kettinger</w:t>
      </w:r>
      <w:proofErr w:type="spellEnd"/>
      <w:r w:rsidR="00373C12" w:rsidRPr="00FA58D7">
        <w:rPr>
          <w:szCs w:val="24"/>
        </w:rPr>
        <w:t xml:space="preserve"> </w:t>
      </w:r>
      <w:r w:rsidR="008C623E" w:rsidRPr="00FA58D7">
        <w:rPr>
          <w:szCs w:val="24"/>
        </w:rPr>
        <w:t>(2012), os recursos de integração de sistemas de informação e capacidade absortiva são determinantes para a</w:t>
      </w:r>
      <w:r w:rsidR="00A45C9D" w:rsidRPr="00FA58D7">
        <w:rPr>
          <w:szCs w:val="24"/>
        </w:rPr>
        <w:t xml:space="preserve"> </w:t>
      </w:r>
      <w:r w:rsidR="008C623E" w:rsidRPr="00FA58D7">
        <w:rPr>
          <w:szCs w:val="24"/>
        </w:rPr>
        <w:t xml:space="preserve">adoção de práticas de gestão de custos interorganizacionais. </w:t>
      </w:r>
      <w:r w:rsidR="00A45C9D" w:rsidRPr="00FA58D7">
        <w:rPr>
          <w:szCs w:val="24"/>
        </w:rPr>
        <w:t xml:space="preserve">De acordo com </w:t>
      </w:r>
      <w:r w:rsidR="008C623E" w:rsidRPr="00FA58D7">
        <w:rPr>
          <w:szCs w:val="24"/>
        </w:rPr>
        <w:t>os autores,</w:t>
      </w:r>
      <w:r w:rsidR="00A45C9D" w:rsidRPr="00FA58D7">
        <w:rPr>
          <w:szCs w:val="24"/>
        </w:rPr>
        <w:t xml:space="preserve"> </w:t>
      </w:r>
      <w:r w:rsidR="008C623E" w:rsidRPr="00FA58D7">
        <w:rPr>
          <w:szCs w:val="24"/>
        </w:rPr>
        <w:t>são mais propensas a adoção de práticas de gestão de custos interorganizacionais aquelas</w:t>
      </w:r>
      <w:r w:rsidR="00A45C9D" w:rsidRPr="00FA58D7">
        <w:rPr>
          <w:szCs w:val="24"/>
        </w:rPr>
        <w:t xml:space="preserve"> </w:t>
      </w:r>
      <w:r w:rsidR="008C623E" w:rsidRPr="00FA58D7">
        <w:rPr>
          <w:szCs w:val="24"/>
        </w:rPr>
        <w:t>empresas que utilizam práticas formais de gestão interna de custos e adotam sistemas de</w:t>
      </w:r>
      <w:r w:rsidR="00A45C9D" w:rsidRPr="00FA58D7">
        <w:rPr>
          <w:szCs w:val="24"/>
        </w:rPr>
        <w:t xml:space="preserve"> </w:t>
      </w:r>
      <w:r w:rsidR="008C623E" w:rsidRPr="00FA58D7">
        <w:rPr>
          <w:szCs w:val="24"/>
        </w:rPr>
        <w:t>gestão integrados eletronicamente.</w:t>
      </w:r>
    </w:p>
    <w:p w:rsidR="008C623E" w:rsidRPr="00FA58D7" w:rsidRDefault="00E8702D" w:rsidP="00291DD4">
      <w:pPr>
        <w:ind w:firstLine="708"/>
        <w:rPr>
          <w:szCs w:val="24"/>
        </w:rPr>
      </w:pPr>
      <w:r w:rsidRPr="00FA58D7">
        <w:rPr>
          <w:szCs w:val="24"/>
        </w:rPr>
        <w:t xml:space="preserve">Desta forma, </w:t>
      </w:r>
      <w:r w:rsidR="008C623E" w:rsidRPr="00FA58D7">
        <w:rPr>
          <w:szCs w:val="24"/>
        </w:rPr>
        <w:t>a existência de tais</w:t>
      </w:r>
      <w:r w:rsidR="00A45C9D" w:rsidRPr="00FA58D7">
        <w:rPr>
          <w:szCs w:val="24"/>
        </w:rPr>
        <w:t xml:space="preserve"> </w:t>
      </w:r>
      <w:r w:rsidR="008C623E" w:rsidRPr="00FA58D7">
        <w:rPr>
          <w:szCs w:val="24"/>
        </w:rPr>
        <w:t>recursos favorece o desenvolvimento da capacidade</w:t>
      </w:r>
      <w:r w:rsidR="00291DD4" w:rsidRPr="00FA58D7">
        <w:rPr>
          <w:szCs w:val="24"/>
        </w:rPr>
        <w:t xml:space="preserve"> </w:t>
      </w:r>
      <w:r w:rsidR="008C623E" w:rsidRPr="00FA58D7">
        <w:rPr>
          <w:szCs w:val="24"/>
        </w:rPr>
        <w:t>absortiva das empresas que estabelecem relações interorganizacionais, o que facilita o</w:t>
      </w:r>
      <w:r w:rsidR="00291DD4" w:rsidRPr="00FA58D7">
        <w:rPr>
          <w:szCs w:val="24"/>
        </w:rPr>
        <w:t xml:space="preserve"> </w:t>
      </w:r>
      <w:r w:rsidR="008C623E" w:rsidRPr="00FA58D7">
        <w:rPr>
          <w:szCs w:val="24"/>
        </w:rPr>
        <w:t>compartilhamento de informações, o desenvolvimento de ações conjuntas e a aquisição de</w:t>
      </w:r>
      <w:r w:rsidR="00291DD4" w:rsidRPr="00FA58D7">
        <w:rPr>
          <w:szCs w:val="24"/>
        </w:rPr>
        <w:t xml:space="preserve"> </w:t>
      </w:r>
      <w:r w:rsidR="008C623E" w:rsidRPr="00FA58D7">
        <w:rPr>
          <w:szCs w:val="24"/>
        </w:rPr>
        <w:t>novos conhecimentos (</w:t>
      </w:r>
      <w:r w:rsidR="000072E3" w:rsidRPr="00FA58D7">
        <w:rPr>
          <w:szCs w:val="24"/>
        </w:rPr>
        <w:t xml:space="preserve">Fayard </w:t>
      </w:r>
      <w:r w:rsidR="008C623E" w:rsidRPr="00FA58D7">
        <w:rPr>
          <w:szCs w:val="24"/>
        </w:rPr>
        <w:t>et al., 2012). Por consequência, o desenvolvimento de tais</w:t>
      </w:r>
      <w:r w:rsidR="00291DD4" w:rsidRPr="00FA58D7">
        <w:rPr>
          <w:szCs w:val="24"/>
        </w:rPr>
        <w:t xml:space="preserve"> </w:t>
      </w:r>
      <w:r w:rsidR="008C623E" w:rsidRPr="00FA58D7">
        <w:rPr>
          <w:szCs w:val="24"/>
        </w:rPr>
        <w:t>capacidades deve estar positivamente associado a adoção de práticas de gestão de custo</w:t>
      </w:r>
      <w:r w:rsidR="00291DD4" w:rsidRPr="00FA58D7">
        <w:rPr>
          <w:szCs w:val="24"/>
        </w:rPr>
        <w:t xml:space="preserve"> </w:t>
      </w:r>
      <w:r w:rsidR="008C623E" w:rsidRPr="00FA58D7">
        <w:rPr>
          <w:szCs w:val="24"/>
        </w:rPr>
        <w:t>interorganizacionais e a um desempenho superior ao praticado anteriormente.</w:t>
      </w:r>
    </w:p>
    <w:p w:rsidR="00EB5DB8" w:rsidRPr="00FA58D7" w:rsidRDefault="00EB5DB8" w:rsidP="001A73E0">
      <w:pPr>
        <w:autoSpaceDE w:val="0"/>
        <w:autoSpaceDN w:val="0"/>
        <w:adjustRightInd w:val="0"/>
        <w:ind w:firstLine="709"/>
        <w:rPr>
          <w:szCs w:val="24"/>
        </w:rPr>
      </w:pPr>
      <w:r w:rsidRPr="00FA58D7">
        <w:rPr>
          <w:bCs/>
          <w:szCs w:val="24"/>
        </w:rPr>
        <w:t>Tal estudo, justifica-se, uma vez que e</w:t>
      </w:r>
      <w:r w:rsidRPr="00FA58D7">
        <w:rPr>
          <w:szCs w:val="24"/>
        </w:rPr>
        <w:t>specificamente no contexto das organizações industriais de grande porte do país, a investigação de tais relacionamentos não tem sido observada na pesquisa desenvolvida na área contábil. Os estudos desenvolvidos no Brasil sobre a temática gestão de custos interorganizacionais têm se dedicado a descrever predominantemente uma estrutura conceitual da GCI, evidenciando os seus principais condicionantes em cadeias de suprimentos (</w:t>
      </w:r>
      <w:r w:rsidR="00541E13" w:rsidRPr="00FA58D7">
        <w:rPr>
          <w:szCs w:val="24"/>
        </w:rPr>
        <w:t>Souza</w:t>
      </w:r>
      <w:r w:rsidRPr="00FA58D7">
        <w:rPr>
          <w:szCs w:val="24"/>
        </w:rPr>
        <w:t xml:space="preserve">, 2008), em </w:t>
      </w:r>
      <w:proofErr w:type="spellStart"/>
      <w:r w:rsidRPr="00FA58D7">
        <w:rPr>
          <w:szCs w:val="24"/>
        </w:rPr>
        <w:t>APL’s</w:t>
      </w:r>
      <w:proofErr w:type="spellEnd"/>
      <w:r w:rsidRPr="00FA58D7">
        <w:rPr>
          <w:szCs w:val="24"/>
        </w:rPr>
        <w:t xml:space="preserve"> (</w:t>
      </w:r>
      <w:proofErr w:type="spellStart"/>
      <w:r w:rsidR="00541E13" w:rsidRPr="00FA58D7">
        <w:rPr>
          <w:szCs w:val="24"/>
        </w:rPr>
        <w:t>Facci</w:t>
      </w:r>
      <w:proofErr w:type="spellEnd"/>
      <w:r w:rsidRPr="00FA58D7">
        <w:rPr>
          <w:szCs w:val="24"/>
        </w:rPr>
        <w:t>, 2011), bem como os condicionantes e inibidores da adoção dessa prática de gest</w:t>
      </w:r>
      <w:r w:rsidR="00974B3C" w:rsidRPr="00FA58D7">
        <w:rPr>
          <w:szCs w:val="24"/>
        </w:rPr>
        <w:t>ão em organizações hospitalares (</w:t>
      </w:r>
      <w:r w:rsidR="00541E13" w:rsidRPr="00FA58D7">
        <w:rPr>
          <w:szCs w:val="24"/>
        </w:rPr>
        <w:t>Camacho, Rocha, Moraes &amp; Marques,</w:t>
      </w:r>
      <w:r w:rsidR="00974B3C" w:rsidRPr="00FA58D7">
        <w:rPr>
          <w:szCs w:val="24"/>
        </w:rPr>
        <w:t xml:space="preserve"> </w:t>
      </w:r>
      <w:r w:rsidRPr="00FA58D7">
        <w:rPr>
          <w:szCs w:val="24"/>
        </w:rPr>
        <w:t xml:space="preserve">2015). Além da investigação sobre práticas de GCI adotadas pelas empresas, outros estudos buscaram ainda verificar a forma na qual ocorre essa prática em montadoras de veículos automotores </w:t>
      </w:r>
      <w:r w:rsidR="001A73E0" w:rsidRPr="00FA58D7">
        <w:rPr>
          <w:szCs w:val="24"/>
        </w:rPr>
        <w:t xml:space="preserve">(Faria, Soares, Rocha &amp; Rossi, </w:t>
      </w:r>
      <w:r w:rsidRPr="00FA58D7">
        <w:rPr>
          <w:szCs w:val="24"/>
        </w:rPr>
        <w:t>2013) e em consórcios modulares (</w:t>
      </w:r>
      <w:proofErr w:type="spellStart"/>
      <w:r w:rsidR="001A73E0" w:rsidRPr="00FA58D7">
        <w:rPr>
          <w:szCs w:val="24"/>
        </w:rPr>
        <w:t>Bartz</w:t>
      </w:r>
      <w:proofErr w:type="spellEnd"/>
      <w:r w:rsidRPr="00FA58D7">
        <w:rPr>
          <w:szCs w:val="24"/>
        </w:rPr>
        <w:t xml:space="preserve">; </w:t>
      </w:r>
      <w:r w:rsidR="001A73E0" w:rsidRPr="00FA58D7">
        <w:rPr>
          <w:szCs w:val="24"/>
        </w:rPr>
        <w:t>Braga &amp;</w:t>
      </w:r>
      <w:r w:rsidRPr="00FA58D7">
        <w:rPr>
          <w:szCs w:val="24"/>
        </w:rPr>
        <w:t xml:space="preserve"> </w:t>
      </w:r>
      <w:r w:rsidR="001A73E0" w:rsidRPr="00FA58D7">
        <w:rPr>
          <w:szCs w:val="24"/>
        </w:rPr>
        <w:t>Souza</w:t>
      </w:r>
      <w:r w:rsidRPr="00FA58D7">
        <w:rPr>
          <w:szCs w:val="24"/>
        </w:rPr>
        <w:t>, 2014). Neste contexto, percebe-se uma lacuna na literatura contábil nacional, a qual estimula a realização deste estudo,</w:t>
      </w:r>
    </w:p>
    <w:p w:rsidR="00AA2BD4" w:rsidRPr="00FA58D7" w:rsidRDefault="008C623E" w:rsidP="000041D3">
      <w:pPr>
        <w:autoSpaceDE w:val="0"/>
        <w:autoSpaceDN w:val="0"/>
        <w:adjustRightInd w:val="0"/>
        <w:ind w:firstLine="708"/>
        <w:rPr>
          <w:bCs/>
          <w:szCs w:val="24"/>
        </w:rPr>
      </w:pPr>
      <w:r w:rsidRPr="00FA58D7">
        <w:rPr>
          <w:szCs w:val="24"/>
        </w:rPr>
        <w:t>Neste contexto, a questão problema que norteia a</w:t>
      </w:r>
      <w:r w:rsidR="007D011C" w:rsidRPr="00FA58D7">
        <w:rPr>
          <w:szCs w:val="24"/>
        </w:rPr>
        <w:t xml:space="preserve"> </w:t>
      </w:r>
      <w:r w:rsidRPr="00FA58D7">
        <w:rPr>
          <w:szCs w:val="24"/>
        </w:rPr>
        <w:t xml:space="preserve">realização deste estudo é a seguinte: </w:t>
      </w:r>
      <w:r w:rsidRPr="00FA58D7">
        <w:rPr>
          <w:b/>
          <w:bCs/>
          <w:szCs w:val="24"/>
        </w:rPr>
        <w:t xml:space="preserve">Quais os efeitos dos recursos de integração </w:t>
      </w:r>
      <w:r w:rsidR="000041D3" w:rsidRPr="00FA58D7">
        <w:rPr>
          <w:b/>
          <w:bCs/>
          <w:szCs w:val="24"/>
        </w:rPr>
        <w:t xml:space="preserve">externa </w:t>
      </w:r>
      <w:r w:rsidRPr="00FA58D7">
        <w:rPr>
          <w:b/>
          <w:bCs/>
          <w:szCs w:val="24"/>
        </w:rPr>
        <w:t>de sistemas de informação e capacidade absortiva na gestão de custos</w:t>
      </w:r>
      <w:r w:rsidR="00A229CB" w:rsidRPr="00FA58D7">
        <w:rPr>
          <w:b/>
          <w:bCs/>
          <w:szCs w:val="24"/>
        </w:rPr>
        <w:t xml:space="preserve"> </w:t>
      </w:r>
      <w:r w:rsidRPr="00FA58D7">
        <w:rPr>
          <w:b/>
          <w:bCs/>
          <w:szCs w:val="24"/>
        </w:rPr>
        <w:t>interorganizacionais da</w:t>
      </w:r>
      <w:r w:rsidR="00AA2BD4" w:rsidRPr="00FA58D7">
        <w:rPr>
          <w:b/>
          <w:bCs/>
          <w:szCs w:val="24"/>
        </w:rPr>
        <w:t>s maiores indústrias do Brasil?</w:t>
      </w:r>
      <w:r w:rsidR="004D3D44" w:rsidRPr="00FA58D7">
        <w:rPr>
          <w:b/>
          <w:bCs/>
          <w:szCs w:val="24"/>
        </w:rPr>
        <w:t xml:space="preserve"> </w:t>
      </w:r>
      <w:r w:rsidR="001311D4" w:rsidRPr="00FA58D7">
        <w:rPr>
          <w:bCs/>
          <w:szCs w:val="24"/>
        </w:rPr>
        <w:t>O</w:t>
      </w:r>
      <w:r w:rsidR="004D3D44" w:rsidRPr="00FA58D7">
        <w:rPr>
          <w:bCs/>
          <w:szCs w:val="24"/>
        </w:rPr>
        <w:t xml:space="preserve"> objetivo </w:t>
      </w:r>
      <w:r w:rsidR="000041D3" w:rsidRPr="00FA58D7">
        <w:rPr>
          <w:bCs/>
          <w:szCs w:val="24"/>
        </w:rPr>
        <w:t xml:space="preserve">geral </w:t>
      </w:r>
      <w:r w:rsidR="001311D4" w:rsidRPr="00FA58D7">
        <w:rPr>
          <w:bCs/>
          <w:szCs w:val="24"/>
        </w:rPr>
        <w:t xml:space="preserve">do estudo </w:t>
      </w:r>
      <w:r w:rsidR="000041D3" w:rsidRPr="00FA58D7">
        <w:rPr>
          <w:bCs/>
          <w:szCs w:val="24"/>
        </w:rPr>
        <w:t xml:space="preserve">é </w:t>
      </w:r>
      <w:r w:rsidR="00CF77EE" w:rsidRPr="00FA58D7">
        <w:rPr>
          <w:bCs/>
          <w:szCs w:val="24"/>
        </w:rPr>
        <w:t>avaliar</w:t>
      </w:r>
      <w:r w:rsidR="004D3D44" w:rsidRPr="00FA58D7">
        <w:rPr>
          <w:bCs/>
          <w:szCs w:val="24"/>
        </w:rPr>
        <w:t xml:space="preserve"> </w:t>
      </w:r>
      <w:r w:rsidR="00CF77EE" w:rsidRPr="00FA58D7">
        <w:rPr>
          <w:bCs/>
          <w:szCs w:val="24"/>
        </w:rPr>
        <w:t>os efeitos dos recursos de integração de sistemas de informação e capacidade absortiva na gestão de custos interorganizacionais das maiores indústrias do Brasil.</w:t>
      </w:r>
    </w:p>
    <w:p w:rsidR="00C02111" w:rsidRPr="00931024" w:rsidRDefault="00C02111" w:rsidP="00F87331">
      <w:pPr>
        <w:spacing w:line="240" w:lineRule="exact"/>
      </w:pPr>
    </w:p>
    <w:p w:rsidR="004B2D81" w:rsidRPr="00931024" w:rsidRDefault="004B2D81" w:rsidP="004B2D81">
      <w:pPr>
        <w:pStyle w:val="Ttulo1"/>
        <w:rPr>
          <w:rFonts w:cs="Times New Roman"/>
        </w:rPr>
      </w:pPr>
      <w:r w:rsidRPr="00931024">
        <w:rPr>
          <w:rFonts w:cs="Times New Roman"/>
        </w:rPr>
        <w:t>2 GESTÃO DE CUSTOS INTERORGANIZACIONAIS</w:t>
      </w:r>
    </w:p>
    <w:p w:rsidR="004B2D81" w:rsidRPr="00DC600E" w:rsidRDefault="00B00A4A" w:rsidP="00220967">
      <w:pPr>
        <w:autoSpaceDE w:val="0"/>
        <w:autoSpaceDN w:val="0"/>
        <w:adjustRightInd w:val="0"/>
        <w:ind w:firstLine="708"/>
        <w:rPr>
          <w:sz w:val="23"/>
          <w:szCs w:val="23"/>
        </w:rPr>
      </w:pPr>
      <w:r w:rsidRPr="00DC600E">
        <w:rPr>
          <w:sz w:val="23"/>
          <w:szCs w:val="23"/>
        </w:rPr>
        <w:t xml:space="preserve">As organizações sentem a necessidade, visto o ambiente altamente competitivo em que se encontram inseridas, de buscar práticas </w:t>
      </w:r>
      <w:r w:rsidR="006114E9" w:rsidRPr="00DC600E">
        <w:rPr>
          <w:sz w:val="23"/>
          <w:szCs w:val="23"/>
        </w:rPr>
        <w:t>que lhe o</w:t>
      </w:r>
      <w:r w:rsidR="006D2BC1" w:rsidRPr="00DC600E">
        <w:rPr>
          <w:sz w:val="23"/>
          <w:szCs w:val="23"/>
        </w:rPr>
        <w:t>fereçam vantagens competitivas.</w:t>
      </w:r>
      <w:r w:rsidR="00265904" w:rsidRPr="00DC600E">
        <w:rPr>
          <w:sz w:val="23"/>
          <w:szCs w:val="23"/>
        </w:rPr>
        <w:t xml:space="preserve"> No que se refere a vantagem competitiva, esta pode ser </w:t>
      </w:r>
      <w:r w:rsidR="004B2D81" w:rsidRPr="00DC600E">
        <w:rPr>
          <w:sz w:val="23"/>
          <w:szCs w:val="23"/>
        </w:rPr>
        <w:t>alcançada a partir do posicionamento estratégico adotado pela empresa, sendo este por</w:t>
      </w:r>
      <w:r w:rsidR="00220967" w:rsidRPr="00DC600E">
        <w:rPr>
          <w:sz w:val="23"/>
          <w:szCs w:val="23"/>
        </w:rPr>
        <w:t xml:space="preserve"> </w:t>
      </w:r>
      <w:r w:rsidR="004B2D81" w:rsidRPr="00DC600E">
        <w:rPr>
          <w:sz w:val="23"/>
          <w:szCs w:val="23"/>
        </w:rPr>
        <w:t>diferenciação em algum produto ou serviço oferecido ou pela liderança em custos (</w:t>
      </w:r>
      <w:r w:rsidR="00C44BA4" w:rsidRPr="00DC600E">
        <w:rPr>
          <w:sz w:val="23"/>
          <w:szCs w:val="23"/>
        </w:rPr>
        <w:t>Porter</w:t>
      </w:r>
      <w:r w:rsidR="004B2D81" w:rsidRPr="00DC600E">
        <w:rPr>
          <w:sz w:val="23"/>
          <w:szCs w:val="23"/>
        </w:rPr>
        <w:t>,</w:t>
      </w:r>
      <w:r w:rsidR="00220967" w:rsidRPr="00DC600E">
        <w:rPr>
          <w:sz w:val="23"/>
          <w:szCs w:val="23"/>
        </w:rPr>
        <w:t xml:space="preserve"> 1999). Assim, denota-se que </w:t>
      </w:r>
      <w:r w:rsidR="004B2D81" w:rsidRPr="00DC600E">
        <w:rPr>
          <w:sz w:val="23"/>
          <w:szCs w:val="23"/>
        </w:rPr>
        <w:t>a empresa que possui uma gestão estratégica de custos eficiente</w:t>
      </w:r>
      <w:r w:rsidR="00220967" w:rsidRPr="00DC600E">
        <w:rPr>
          <w:sz w:val="23"/>
          <w:szCs w:val="23"/>
        </w:rPr>
        <w:t xml:space="preserve"> </w:t>
      </w:r>
      <w:r w:rsidR="004B2D81" w:rsidRPr="00DC600E">
        <w:rPr>
          <w:sz w:val="23"/>
          <w:szCs w:val="23"/>
        </w:rPr>
        <w:t>tende a ser capaz de planejar e controlar suas atividades operacionais de forma eficaz,</w:t>
      </w:r>
      <w:r w:rsidR="00220967" w:rsidRPr="00DC600E">
        <w:rPr>
          <w:sz w:val="23"/>
          <w:szCs w:val="23"/>
        </w:rPr>
        <w:t xml:space="preserve"> </w:t>
      </w:r>
      <w:r w:rsidR="004B2D81" w:rsidRPr="00DC600E">
        <w:rPr>
          <w:sz w:val="23"/>
          <w:szCs w:val="23"/>
        </w:rPr>
        <w:t>mantendo-se assim no mercado.</w:t>
      </w:r>
    </w:p>
    <w:p w:rsidR="00C425D7" w:rsidRPr="00DC600E" w:rsidRDefault="00EB473C" w:rsidP="00C425D7">
      <w:pPr>
        <w:autoSpaceDE w:val="0"/>
        <w:autoSpaceDN w:val="0"/>
        <w:adjustRightInd w:val="0"/>
        <w:ind w:firstLine="708"/>
        <w:rPr>
          <w:sz w:val="23"/>
          <w:szCs w:val="23"/>
        </w:rPr>
      </w:pPr>
      <w:r w:rsidRPr="00DC600E">
        <w:rPr>
          <w:sz w:val="23"/>
          <w:szCs w:val="23"/>
        </w:rPr>
        <w:t>No decorrer do desenvolvimento destas</w:t>
      </w:r>
      <w:r w:rsidR="00A92246" w:rsidRPr="00DC600E">
        <w:rPr>
          <w:sz w:val="23"/>
          <w:szCs w:val="23"/>
        </w:rPr>
        <w:t xml:space="preserve"> ações, </w:t>
      </w:r>
      <w:r w:rsidR="00C83C51" w:rsidRPr="00DC600E">
        <w:rPr>
          <w:sz w:val="23"/>
          <w:szCs w:val="23"/>
        </w:rPr>
        <w:t xml:space="preserve">e para a maximização dos seus resultados, </w:t>
      </w:r>
      <w:r w:rsidRPr="00DC600E">
        <w:rPr>
          <w:sz w:val="23"/>
          <w:szCs w:val="23"/>
        </w:rPr>
        <w:t>as empresas</w:t>
      </w:r>
      <w:r w:rsidR="00A92246" w:rsidRPr="00DC600E">
        <w:rPr>
          <w:sz w:val="23"/>
          <w:szCs w:val="23"/>
        </w:rPr>
        <w:t xml:space="preserve"> busca</w:t>
      </w:r>
      <w:r w:rsidRPr="00DC600E">
        <w:rPr>
          <w:sz w:val="23"/>
          <w:szCs w:val="23"/>
        </w:rPr>
        <w:t>m</w:t>
      </w:r>
      <w:r w:rsidR="00A92246" w:rsidRPr="00DC600E">
        <w:rPr>
          <w:sz w:val="23"/>
          <w:szCs w:val="23"/>
        </w:rPr>
        <w:t xml:space="preserve"> parceiros com os quais passam a relacionar-se com maior frequência e assiduidade.</w:t>
      </w:r>
      <w:r w:rsidR="004A534D" w:rsidRPr="00DC600E">
        <w:rPr>
          <w:sz w:val="23"/>
          <w:szCs w:val="23"/>
        </w:rPr>
        <w:t xml:space="preserve"> C</w:t>
      </w:r>
      <w:r w:rsidR="004B2D81" w:rsidRPr="00DC600E">
        <w:rPr>
          <w:sz w:val="23"/>
          <w:szCs w:val="23"/>
        </w:rPr>
        <w:t>onforme explicam Cooper e Slagmulder (2004), essas formas</w:t>
      </w:r>
      <w:r w:rsidR="00B93885" w:rsidRPr="00DC600E">
        <w:rPr>
          <w:sz w:val="23"/>
          <w:szCs w:val="23"/>
        </w:rPr>
        <w:t xml:space="preserve"> </w:t>
      </w:r>
      <w:r w:rsidR="004B2D81" w:rsidRPr="00DC600E">
        <w:rPr>
          <w:sz w:val="23"/>
          <w:szCs w:val="23"/>
        </w:rPr>
        <w:t>distintas de se relacionar são parte de um processo complexo, o que exige das empresas o</w:t>
      </w:r>
      <w:r w:rsidR="00B93885" w:rsidRPr="00DC600E">
        <w:rPr>
          <w:sz w:val="23"/>
          <w:szCs w:val="23"/>
        </w:rPr>
        <w:t xml:space="preserve"> </w:t>
      </w:r>
      <w:r w:rsidR="004B2D81" w:rsidRPr="00DC600E">
        <w:rPr>
          <w:sz w:val="23"/>
          <w:szCs w:val="23"/>
        </w:rPr>
        <w:t>desenvolvimento de práticas de gestão que facilite o compartilhamento de informações entre</w:t>
      </w:r>
      <w:r w:rsidR="00B93885" w:rsidRPr="00DC600E">
        <w:rPr>
          <w:sz w:val="23"/>
          <w:szCs w:val="23"/>
        </w:rPr>
        <w:t xml:space="preserve"> </w:t>
      </w:r>
      <w:r w:rsidR="004B2D81" w:rsidRPr="00DC600E">
        <w:rPr>
          <w:sz w:val="23"/>
          <w:szCs w:val="23"/>
        </w:rPr>
        <w:t>os membros que estabelecem o relacionamento interorganizacional.</w:t>
      </w:r>
      <w:r w:rsidR="00C425D7" w:rsidRPr="00DC600E">
        <w:rPr>
          <w:sz w:val="23"/>
          <w:szCs w:val="23"/>
        </w:rPr>
        <w:t xml:space="preserve"> </w:t>
      </w:r>
    </w:p>
    <w:p w:rsidR="00E626E1" w:rsidRPr="00DC600E" w:rsidRDefault="00C425D7" w:rsidP="00E626E1">
      <w:pPr>
        <w:autoSpaceDE w:val="0"/>
        <w:autoSpaceDN w:val="0"/>
        <w:adjustRightInd w:val="0"/>
        <w:ind w:firstLine="708"/>
        <w:rPr>
          <w:sz w:val="23"/>
          <w:szCs w:val="23"/>
        </w:rPr>
      </w:pPr>
      <w:r w:rsidRPr="00DC600E">
        <w:rPr>
          <w:sz w:val="23"/>
          <w:szCs w:val="23"/>
        </w:rPr>
        <w:lastRenderedPageBreak/>
        <w:t>Das práticas de gestão adotadas</w:t>
      </w:r>
      <w:r w:rsidR="00FE35DF" w:rsidRPr="00DC600E">
        <w:rPr>
          <w:sz w:val="23"/>
          <w:szCs w:val="23"/>
        </w:rPr>
        <w:t xml:space="preserve">, destaca-se a </w:t>
      </w:r>
      <w:r w:rsidR="004B2D81" w:rsidRPr="00DC600E">
        <w:rPr>
          <w:sz w:val="23"/>
          <w:szCs w:val="23"/>
        </w:rPr>
        <w:t>gestão de custos</w:t>
      </w:r>
      <w:r w:rsidRPr="00DC600E">
        <w:rPr>
          <w:sz w:val="23"/>
          <w:szCs w:val="23"/>
        </w:rPr>
        <w:t xml:space="preserve"> </w:t>
      </w:r>
      <w:r w:rsidR="004B2D81" w:rsidRPr="00DC600E">
        <w:rPr>
          <w:sz w:val="23"/>
          <w:szCs w:val="23"/>
        </w:rPr>
        <w:t>i</w:t>
      </w:r>
      <w:r w:rsidRPr="00DC600E">
        <w:rPr>
          <w:sz w:val="23"/>
          <w:szCs w:val="23"/>
        </w:rPr>
        <w:t xml:space="preserve">nterorganizacionais </w:t>
      </w:r>
      <w:r w:rsidR="00FE35DF" w:rsidRPr="00DC600E">
        <w:rPr>
          <w:sz w:val="23"/>
          <w:szCs w:val="23"/>
        </w:rPr>
        <w:t>(</w:t>
      </w:r>
      <w:r w:rsidR="004B2D81" w:rsidRPr="00DC600E">
        <w:rPr>
          <w:sz w:val="23"/>
          <w:szCs w:val="23"/>
        </w:rPr>
        <w:t>GCI</w:t>
      </w:r>
      <w:r w:rsidR="00FE35DF" w:rsidRPr="00DC600E">
        <w:rPr>
          <w:sz w:val="23"/>
          <w:szCs w:val="23"/>
        </w:rPr>
        <w:t>)</w:t>
      </w:r>
      <w:r w:rsidR="004B2D81" w:rsidRPr="00DC600E">
        <w:rPr>
          <w:sz w:val="23"/>
          <w:szCs w:val="23"/>
        </w:rPr>
        <w:t>.</w:t>
      </w:r>
      <w:r w:rsidR="000E4385" w:rsidRPr="00DC600E">
        <w:rPr>
          <w:sz w:val="23"/>
          <w:szCs w:val="23"/>
        </w:rPr>
        <w:t xml:space="preserve"> Refere-se a</w:t>
      </w:r>
      <w:r w:rsidR="004B2D81" w:rsidRPr="00DC600E">
        <w:rPr>
          <w:sz w:val="23"/>
          <w:szCs w:val="23"/>
        </w:rPr>
        <w:t xml:space="preserve"> uma prática de gestão estratégica, constituindo-se um</w:t>
      </w:r>
      <w:r w:rsidRPr="00DC600E">
        <w:rPr>
          <w:sz w:val="23"/>
          <w:szCs w:val="23"/>
        </w:rPr>
        <w:t xml:space="preserve"> </w:t>
      </w:r>
      <w:r w:rsidR="004B2D81" w:rsidRPr="00DC600E">
        <w:rPr>
          <w:sz w:val="23"/>
          <w:szCs w:val="23"/>
        </w:rPr>
        <w:t>recurso estratégico para as empresas (</w:t>
      </w:r>
      <w:r w:rsidR="00087299" w:rsidRPr="00DC600E">
        <w:rPr>
          <w:sz w:val="23"/>
          <w:szCs w:val="23"/>
        </w:rPr>
        <w:t xml:space="preserve">Fayard </w:t>
      </w:r>
      <w:r w:rsidR="004B2D81" w:rsidRPr="00DC600E">
        <w:rPr>
          <w:sz w:val="23"/>
          <w:szCs w:val="23"/>
        </w:rPr>
        <w:t>et al., 2012).</w:t>
      </w:r>
      <w:r w:rsidR="004A534D" w:rsidRPr="00DC600E">
        <w:rPr>
          <w:sz w:val="23"/>
          <w:szCs w:val="23"/>
        </w:rPr>
        <w:t xml:space="preserve"> Assim, p</w:t>
      </w:r>
      <w:r w:rsidR="00C609DD" w:rsidRPr="00DC600E">
        <w:rPr>
          <w:sz w:val="23"/>
          <w:szCs w:val="23"/>
        </w:rPr>
        <w:t>reliminarmente,</w:t>
      </w:r>
      <w:r w:rsidR="00E626E1" w:rsidRPr="00DC600E">
        <w:rPr>
          <w:sz w:val="23"/>
          <w:szCs w:val="23"/>
        </w:rPr>
        <w:t xml:space="preserve"> a gestão de custos interorganizacionais surgiu da percepção dos custos de transação existentes, em um ambiente no qual </w:t>
      </w:r>
      <w:r w:rsidR="00591DB9" w:rsidRPr="00DC600E">
        <w:rPr>
          <w:sz w:val="23"/>
          <w:szCs w:val="23"/>
        </w:rPr>
        <w:t>existe</w:t>
      </w:r>
      <w:r w:rsidR="00E626E1" w:rsidRPr="00DC600E">
        <w:rPr>
          <w:sz w:val="23"/>
          <w:szCs w:val="23"/>
        </w:rPr>
        <w:t xml:space="preserve"> assimetria de informação elevada, e, por conseguinte, práticas oportunistas por partes das empresas (</w:t>
      </w:r>
      <w:r w:rsidR="00660691" w:rsidRPr="00DC600E">
        <w:rPr>
          <w:sz w:val="23"/>
          <w:szCs w:val="23"/>
        </w:rPr>
        <w:t>Williamson</w:t>
      </w:r>
      <w:r w:rsidR="00E626E1" w:rsidRPr="00DC600E">
        <w:rPr>
          <w:sz w:val="23"/>
          <w:szCs w:val="23"/>
        </w:rPr>
        <w:t xml:space="preserve">, 1985). </w:t>
      </w:r>
      <w:r w:rsidR="00591DB9" w:rsidRPr="00DC600E">
        <w:rPr>
          <w:sz w:val="23"/>
          <w:szCs w:val="23"/>
        </w:rPr>
        <w:t xml:space="preserve">Na concepção de </w:t>
      </w:r>
      <w:proofErr w:type="spellStart"/>
      <w:r w:rsidR="00E626E1" w:rsidRPr="00DC600E">
        <w:rPr>
          <w:sz w:val="23"/>
          <w:szCs w:val="23"/>
        </w:rPr>
        <w:t>Coad</w:t>
      </w:r>
      <w:proofErr w:type="spellEnd"/>
      <w:r w:rsidR="00E626E1" w:rsidRPr="00DC600E">
        <w:rPr>
          <w:sz w:val="23"/>
          <w:szCs w:val="23"/>
        </w:rPr>
        <w:t xml:space="preserve"> e </w:t>
      </w:r>
      <w:proofErr w:type="spellStart"/>
      <w:r w:rsidR="00591DB9" w:rsidRPr="00DC600E">
        <w:rPr>
          <w:sz w:val="23"/>
          <w:szCs w:val="23"/>
        </w:rPr>
        <w:t>Cullen</w:t>
      </w:r>
      <w:proofErr w:type="spellEnd"/>
      <w:r w:rsidR="00591DB9" w:rsidRPr="00DC600E">
        <w:rPr>
          <w:sz w:val="23"/>
          <w:szCs w:val="23"/>
        </w:rPr>
        <w:t xml:space="preserve"> (2006), </w:t>
      </w:r>
      <w:r w:rsidR="00E626E1" w:rsidRPr="00DC600E">
        <w:rPr>
          <w:sz w:val="23"/>
          <w:szCs w:val="23"/>
        </w:rPr>
        <w:t xml:space="preserve">o surgimento dessa prática é uma forma inovadora de promoção </w:t>
      </w:r>
      <w:r w:rsidR="00D2080F" w:rsidRPr="00DC600E">
        <w:rPr>
          <w:sz w:val="23"/>
          <w:szCs w:val="23"/>
        </w:rPr>
        <w:t>de competitividade empresarial.</w:t>
      </w:r>
    </w:p>
    <w:p w:rsidR="00C94F45" w:rsidRPr="00DC600E" w:rsidRDefault="00C94F45" w:rsidP="00C94F45">
      <w:pPr>
        <w:autoSpaceDE w:val="0"/>
        <w:autoSpaceDN w:val="0"/>
        <w:adjustRightInd w:val="0"/>
        <w:ind w:firstLine="708"/>
        <w:rPr>
          <w:sz w:val="23"/>
          <w:szCs w:val="23"/>
        </w:rPr>
      </w:pPr>
      <w:r w:rsidRPr="00DC600E">
        <w:rPr>
          <w:sz w:val="23"/>
          <w:szCs w:val="23"/>
        </w:rPr>
        <w:t xml:space="preserve">A GCI defende uma </w:t>
      </w:r>
      <w:r w:rsidR="0042502E" w:rsidRPr="00DC600E">
        <w:rPr>
          <w:sz w:val="23"/>
          <w:szCs w:val="23"/>
        </w:rPr>
        <w:t>visão</w:t>
      </w:r>
      <w:r w:rsidRPr="00DC600E">
        <w:rPr>
          <w:sz w:val="23"/>
          <w:szCs w:val="23"/>
        </w:rPr>
        <w:t xml:space="preserve"> para a gestão de custos que </w:t>
      </w:r>
      <w:r w:rsidR="0042502E" w:rsidRPr="00DC600E">
        <w:rPr>
          <w:sz w:val="23"/>
          <w:szCs w:val="23"/>
        </w:rPr>
        <w:t>transcende</w:t>
      </w:r>
      <w:r w:rsidR="000B4F38" w:rsidRPr="00DC600E">
        <w:rPr>
          <w:sz w:val="23"/>
          <w:szCs w:val="23"/>
        </w:rPr>
        <w:t xml:space="preserve"> a limiar </w:t>
      </w:r>
      <w:r w:rsidRPr="00DC600E">
        <w:rPr>
          <w:sz w:val="23"/>
          <w:szCs w:val="23"/>
        </w:rPr>
        <w:t>das empresas.</w:t>
      </w:r>
      <w:r w:rsidR="00BA0424" w:rsidRPr="00DC600E">
        <w:rPr>
          <w:sz w:val="23"/>
          <w:szCs w:val="23"/>
        </w:rPr>
        <w:t xml:space="preserve"> </w:t>
      </w:r>
      <w:r w:rsidR="00F441E6" w:rsidRPr="00DC600E">
        <w:rPr>
          <w:sz w:val="23"/>
          <w:szCs w:val="23"/>
        </w:rPr>
        <w:t>Propende</w:t>
      </w:r>
      <w:r w:rsidRPr="00DC600E">
        <w:rPr>
          <w:sz w:val="23"/>
          <w:szCs w:val="23"/>
        </w:rPr>
        <w:t xml:space="preserve"> incorporar no gerenciamento dos custos os valores relativos aos gastos originários com a produção das empresas parceiras que atuam na sua</w:t>
      </w:r>
      <w:r w:rsidR="00BA0424" w:rsidRPr="00DC600E">
        <w:rPr>
          <w:sz w:val="23"/>
          <w:szCs w:val="23"/>
        </w:rPr>
        <w:t xml:space="preserve"> cadeia de suprimentos (</w:t>
      </w:r>
      <w:r w:rsidR="00660691" w:rsidRPr="00DC600E">
        <w:rPr>
          <w:sz w:val="23"/>
          <w:szCs w:val="23"/>
        </w:rPr>
        <w:t>Cooper &amp;</w:t>
      </w:r>
      <w:r w:rsidR="00BA0424" w:rsidRPr="00DC600E">
        <w:rPr>
          <w:sz w:val="23"/>
          <w:szCs w:val="23"/>
        </w:rPr>
        <w:t xml:space="preserve"> </w:t>
      </w:r>
      <w:r w:rsidR="00660691" w:rsidRPr="00DC600E">
        <w:rPr>
          <w:sz w:val="23"/>
          <w:szCs w:val="23"/>
        </w:rPr>
        <w:t>Slagmulder</w:t>
      </w:r>
      <w:r w:rsidRPr="00DC600E">
        <w:rPr>
          <w:sz w:val="23"/>
          <w:szCs w:val="23"/>
        </w:rPr>
        <w:t xml:space="preserve">, 2004; </w:t>
      </w:r>
      <w:proofErr w:type="spellStart"/>
      <w:r w:rsidR="004E0764" w:rsidRPr="00DC600E">
        <w:rPr>
          <w:sz w:val="23"/>
          <w:szCs w:val="23"/>
        </w:rPr>
        <w:t>Coad</w:t>
      </w:r>
      <w:proofErr w:type="spellEnd"/>
      <w:r w:rsidR="004E0764" w:rsidRPr="00DC600E">
        <w:rPr>
          <w:sz w:val="23"/>
          <w:szCs w:val="23"/>
        </w:rPr>
        <w:t xml:space="preserve"> &amp;</w:t>
      </w:r>
      <w:r w:rsidRPr="00DC600E">
        <w:rPr>
          <w:sz w:val="23"/>
          <w:szCs w:val="23"/>
        </w:rPr>
        <w:t xml:space="preserve"> </w:t>
      </w:r>
      <w:proofErr w:type="spellStart"/>
      <w:r w:rsidR="004E0764" w:rsidRPr="00DC600E">
        <w:rPr>
          <w:sz w:val="23"/>
          <w:szCs w:val="23"/>
        </w:rPr>
        <w:t>Cullen</w:t>
      </w:r>
      <w:proofErr w:type="spellEnd"/>
      <w:r w:rsidRPr="00DC600E">
        <w:rPr>
          <w:sz w:val="23"/>
          <w:szCs w:val="23"/>
        </w:rPr>
        <w:t>, 2006).</w:t>
      </w:r>
    </w:p>
    <w:p w:rsidR="00D2080F" w:rsidRPr="00DC600E" w:rsidRDefault="004B2D81" w:rsidP="00D2080F">
      <w:pPr>
        <w:autoSpaceDE w:val="0"/>
        <w:autoSpaceDN w:val="0"/>
        <w:adjustRightInd w:val="0"/>
        <w:ind w:firstLine="708"/>
        <w:rPr>
          <w:sz w:val="23"/>
          <w:szCs w:val="23"/>
        </w:rPr>
      </w:pPr>
      <w:r w:rsidRPr="00DC600E">
        <w:rPr>
          <w:sz w:val="23"/>
          <w:szCs w:val="23"/>
        </w:rPr>
        <w:t>Souza e Rocha (2009) explicam que a gestão de custos interorganizacionais é um</w:t>
      </w:r>
      <w:r w:rsidR="00C94F45" w:rsidRPr="00DC600E">
        <w:rPr>
          <w:sz w:val="23"/>
          <w:szCs w:val="23"/>
        </w:rPr>
        <w:t xml:space="preserve"> </w:t>
      </w:r>
      <w:r w:rsidRPr="00DC600E">
        <w:rPr>
          <w:sz w:val="23"/>
          <w:szCs w:val="23"/>
        </w:rPr>
        <w:t>processo cooperativo, no qual o controle de custos efetuado engloba, além da própria</w:t>
      </w:r>
      <w:r w:rsidR="00C94F45" w:rsidRPr="00DC600E">
        <w:rPr>
          <w:sz w:val="23"/>
          <w:szCs w:val="23"/>
        </w:rPr>
        <w:t xml:space="preserve"> </w:t>
      </w:r>
      <w:r w:rsidRPr="00DC600E">
        <w:rPr>
          <w:sz w:val="23"/>
          <w:szCs w:val="23"/>
        </w:rPr>
        <w:t>empresa, outras organizações da cadeia de suprimentos com as quais a empresa possui</w:t>
      </w:r>
      <w:r w:rsidR="00C94F45" w:rsidRPr="00DC600E">
        <w:rPr>
          <w:sz w:val="23"/>
          <w:szCs w:val="23"/>
        </w:rPr>
        <w:t xml:space="preserve"> </w:t>
      </w:r>
      <w:r w:rsidRPr="00DC600E">
        <w:rPr>
          <w:sz w:val="23"/>
          <w:szCs w:val="23"/>
        </w:rPr>
        <w:t>interações. Por meio da gestão de custos sob a perspectiva interorganizacional, são</w:t>
      </w:r>
      <w:r w:rsidR="00C94F45" w:rsidRPr="00DC600E">
        <w:rPr>
          <w:sz w:val="23"/>
          <w:szCs w:val="23"/>
        </w:rPr>
        <w:t xml:space="preserve"> </w:t>
      </w:r>
      <w:r w:rsidRPr="00DC600E">
        <w:rPr>
          <w:sz w:val="23"/>
          <w:szCs w:val="23"/>
        </w:rPr>
        <w:t>promovidas trocas informacionais entre as empresas parceiras, o que reduz a incerteza no que</w:t>
      </w:r>
      <w:r w:rsidR="00C94F45" w:rsidRPr="00DC600E">
        <w:rPr>
          <w:sz w:val="23"/>
          <w:szCs w:val="23"/>
        </w:rPr>
        <w:t xml:space="preserve"> </w:t>
      </w:r>
      <w:r w:rsidRPr="00DC600E">
        <w:rPr>
          <w:sz w:val="23"/>
          <w:szCs w:val="23"/>
        </w:rPr>
        <w:t>tange a tomada de decisões nestas organizações, uma vez que os benefícios alcançados visam todos os membros (</w:t>
      </w:r>
      <w:proofErr w:type="spellStart"/>
      <w:r w:rsidR="00D51985" w:rsidRPr="00DC600E">
        <w:rPr>
          <w:sz w:val="23"/>
          <w:szCs w:val="23"/>
        </w:rPr>
        <w:t>Coad</w:t>
      </w:r>
      <w:proofErr w:type="spellEnd"/>
      <w:r w:rsidR="004E0050" w:rsidRPr="00DC600E">
        <w:rPr>
          <w:sz w:val="23"/>
          <w:szCs w:val="23"/>
        </w:rPr>
        <w:t xml:space="preserve"> &amp; </w:t>
      </w:r>
      <w:proofErr w:type="spellStart"/>
      <w:r w:rsidR="00D51985" w:rsidRPr="00DC600E">
        <w:rPr>
          <w:sz w:val="23"/>
          <w:szCs w:val="23"/>
        </w:rPr>
        <w:t>Cu</w:t>
      </w:r>
      <w:r w:rsidR="004E0050" w:rsidRPr="00DC600E">
        <w:rPr>
          <w:sz w:val="23"/>
          <w:szCs w:val="23"/>
        </w:rPr>
        <w:t>llen</w:t>
      </w:r>
      <w:proofErr w:type="spellEnd"/>
      <w:r w:rsidRPr="00DC600E">
        <w:rPr>
          <w:sz w:val="23"/>
          <w:szCs w:val="23"/>
        </w:rPr>
        <w:t xml:space="preserve">, 2006; </w:t>
      </w:r>
      <w:r w:rsidR="004E0050" w:rsidRPr="00DC600E">
        <w:rPr>
          <w:sz w:val="23"/>
          <w:szCs w:val="23"/>
        </w:rPr>
        <w:t>Souza &amp;</w:t>
      </w:r>
      <w:r w:rsidRPr="00DC600E">
        <w:rPr>
          <w:sz w:val="23"/>
          <w:szCs w:val="23"/>
        </w:rPr>
        <w:t xml:space="preserve"> </w:t>
      </w:r>
      <w:r w:rsidR="004E0050" w:rsidRPr="00DC600E">
        <w:rPr>
          <w:sz w:val="23"/>
          <w:szCs w:val="23"/>
        </w:rPr>
        <w:t>Rocha</w:t>
      </w:r>
      <w:r w:rsidRPr="00DC600E">
        <w:rPr>
          <w:sz w:val="23"/>
          <w:szCs w:val="23"/>
        </w:rPr>
        <w:t>, 2009).</w:t>
      </w:r>
      <w:r w:rsidR="00D2080F" w:rsidRPr="00DC600E">
        <w:rPr>
          <w:sz w:val="23"/>
          <w:szCs w:val="23"/>
        </w:rPr>
        <w:t xml:space="preserve"> </w:t>
      </w:r>
    </w:p>
    <w:p w:rsidR="001B7ECE" w:rsidRPr="00DC600E" w:rsidRDefault="001B7ECE" w:rsidP="000B1CB4">
      <w:pPr>
        <w:autoSpaceDE w:val="0"/>
        <w:autoSpaceDN w:val="0"/>
        <w:adjustRightInd w:val="0"/>
        <w:ind w:firstLine="708"/>
        <w:rPr>
          <w:sz w:val="23"/>
          <w:szCs w:val="23"/>
        </w:rPr>
      </w:pPr>
      <w:r w:rsidRPr="00DC600E">
        <w:rPr>
          <w:sz w:val="23"/>
          <w:szCs w:val="23"/>
        </w:rPr>
        <w:t>Distintos elementos influenciam o sucesso das alianças estratégicas estabelecidas por empresas parceiras. Para uma aliança estratégica se tornar viável, é necessário que esta seja capaz de proporcionar a agregação de valor ao produto/serviço (aumento da qualidade, redução de custos), o aumento da rentabilidade (redução de estoques, aumento do volume de vendas), a melhoria no acesso ao mercado (canal de distribuição), o fortalecimento das operações (redução das perdas de processamento, aumento do retorno sobre os ativos), a melhoria significativa na capacidade tecnológica (adoção de novos padrões), a compatibilidade de metas estabelecidas e principalmente a confiança entre os atores (</w:t>
      </w:r>
      <w:proofErr w:type="spellStart"/>
      <w:r w:rsidR="00660A84" w:rsidRPr="00DC600E">
        <w:rPr>
          <w:sz w:val="23"/>
          <w:szCs w:val="23"/>
        </w:rPr>
        <w:t>Doz</w:t>
      </w:r>
      <w:proofErr w:type="spellEnd"/>
      <w:r w:rsidR="00660A84" w:rsidRPr="00DC600E">
        <w:rPr>
          <w:sz w:val="23"/>
          <w:szCs w:val="23"/>
        </w:rPr>
        <w:t xml:space="preserve"> &amp;</w:t>
      </w:r>
      <w:r w:rsidRPr="00DC600E">
        <w:rPr>
          <w:sz w:val="23"/>
          <w:szCs w:val="23"/>
        </w:rPr>
        <w:t xml:space="preserve"> </w:t>
      </w:r>
      <w:proofErr w:type="spellStart"/>
      <w:r w:rsidR="00660A84" w:rsidRPr="00DC600E">
        <w:rPr>
          <w:sz w:val="23"/>
          <w:szCs w:val="23"/>
        </w:rPr>
        <w:t>Hamel</w:t>
      </w:r>
      <w:proofErr w:type="spellEnd"/>
      <w:r w:rsidRPr="00DC600E">
        <w:rPr>
          <w:sz w:val="23"/>
          <w:szCs w:val="23"/>
        </w:rPr>
        <w:t xml:space="preserve">, 2000; </w:t>
      </w:r>
      <w:proofErr w:type="spellStart"/>
      <w:r w:rsidR="000B1CB4" w:rsidRPr="00DC600E">
        <w:rPr>
          <w:sz w:val="23"/>
          <w:szCs w:val="23"/>
        </w:rPr>
        <w:t>Simchi</w:t>
      </w:r>
      <w:proofErr w:type="spellEnd"/>
      <w:r w:rsidR="000B1CB4" w:rsidRPr="00DC600E">
        <w:rPr>
          <w:sz w:val="23"/>
          <w:szCs w:val="23"/>
        </w:rPr>
        <w:t xml:space="preserve">-Levi, </w:t>
      </w:r>
      <w:proofErr w:type="spellStart"/>
      <w:r w:rsidR="000B1CB4" w:rsidRPr="00DC600E">
        <w:rPr>
          <w:sz w:val="23"/>
          <w:szCs w:val="23"/>
        </w:rPr>
        <w:t>Kaminsky</w:t>
      </w:r>
      <w:proofErr w:type="spellEnd"/>
      <w:r w:rsidR="000B1CB4" w:rsidRPr="00DC600E">
        <w:rPr>
          <w:sz w:val="23"/>
          <w:szCs w:val="23"/>
        </w:rPr>
        <w:t xml:space="preserve"> &amp; </w:t>
      </w:r>
      <w:proofErr w:type="spellStart"/>
      <w:r w:rsidR="000B1CB4" w:rsidRPr="00DC600E">
        <w:rPr>
          <w:sz w:val="23"/>
          <w:szCs w:val="23"/>
        </w:rPr>
        <w:t>Simchi</w:t>
      </w:r>
      <w:proofErr w:type="spellEnd"/>
      <w:r w:rsidR="000B1CB4" w:rsidRPr="00DC600E">
        <w:rPr>
          <w:sz w:val="23"/>
          <w:szCs w:val="23"/>
        </w:rPr>
        <w:t xml:space="preserve">-Levi, </w:t>
      </w:r>
      <w:r w:rsidRPr="00DC600E">
        <w:rPr>
          <w:sz w:val="23"/>
          <w:szCs w:val="23"/>
        </w:rPr>
        <w:t>2003).</w:t>
      </w:r>
    </w:p>
    <w:p w:rsidR="001B7ECE" w:rsidRPr="00DC600E" w:rsidRDefault="001B7ECE" w:rsidP="001B7ECE">
      <w:pPr>
        <w:autoSpaceDE w:val="0"/>
        <w:autoSpaceDN w:val="0"/>
        <w:adjustRightInd w:val="0"/>
        <w:ind w:firstLine="708"/>
        <w:rPr>
          <w:sz w:val="23"/>
          <w:szCs w:val="23"/>
        </w:rPr>
      </w:pPr>
      <w:r w:rsidRPr="00DC600E">
        <w:rPr>
          <w:sz w:val="23"/>
          <w:szCs w:val="23"/>
        </w:rPr>
        <w:t>Por trata-se de uma prática de gestão integrada, que alinha o desenvolvimento de ações conjuntas entre diferentes organizações, pautadas no alcance de objetivos comuns e visando o alcance de ganhos mútuos (</w:t>
      </w:r>
      <w:proofErr w:type="spellStart"/>
      <w:r w:rsidR="00322A32" w:rsidRPr="00DC600E">
        <w:rPr>
          <w:sz w:val="23"/>
          <w:szCs w:val="23"/>
        </w:rPr>
        <w:t>Coad</w:t>
      </w:r>
      <w:proofErr w:type="spellEnd"/>
      <w:r w:rsidR="00322A32" w:rsidRPr="00DC600E">
        <w:rPr>
          <w:sz w:val="23"/>
          <w:szCs w:val="23"/>
        </w:rPr>
        <w:t xml:space="preserve"> &amp;</w:t>
      </w:r>
      <w:r w:rsidRPr="00DC600E">
        <w:rPr>
          <w:sz w:val="23"/>
          <w:szCs w:val="23"/>
        </w:rPr>
        <w:t xml:space="preserve"> </w:t>
      </w:r>
      <w:proofErr w:type="spellStart"/>
      <w:r w:rsidR="00322A32" w:rsidRPr="00DC600E">
        <w:rPr>
          <w:sz w:val="23"/>
          <w:szCs w:val="23"/>
        </w:rPr>
        <w:t>Cullen</w:t>
      </w:r>
      <w:proofErr w:type="spellEnd"/>
      <w:r w:rsidRPr="00DC600E">
        <w:rPr>
          <w:sz w:val="23"/>
          <w:szCs w:val="23"/>
        </w:rPr>
        <w:t>, 2006), a gestão de custos interorganizacionais pode contribuir para a viabilização das alianças estratégicas (</w:t>
      </w:r>
      <w:r w:rsidR="00322A32" w:rsidRPr="00DC600E">
        <w:rPr>
          <w:sz w:val="23"/>
          <w:szCs w:val="23"/>
        </w:rPr>
        <w:t xml:space="preserve">Fayard </w:t>
      </w:r>
      <w:r w:rsidRPr="00DC600E">
        <w:rPr>
          <w:sz w:val="23"/>
          <w:szCs w:val="23"/>
        </w:rPr>
        <w:t>et al., 2012). Desta forma, a gestão de custos interorganizacionais pode ser considerada um mecanismo de gestão, que de maneira configurada, serve para coordenar as atividades operacionais das organizações participantes de relacionamentos interorganizacionais, buscando primordialmente minimizar os custos globais da rede de relacionamentos estabelecida pelas empresas parceiras (</w:t>
      </w:r>
      <w:r w:rsidR="00322A32" w:rsidRPr="00DC600E">
        <w:rPr>
          <w:sz w:val="23"/>
          <w:szCs w:val="23"/>
        </w:rPr>
        <w:t>Cooper &amp; Slagmulder</w:t>
      </w:r>
      <w:r w:rsidRPr="00DC600E">
        <w:rPr>
          <w:sz w:val="23"/>
          <w:szCs w:val="23"/>
        </w:rPr>
        <w:t>, 1999).</w:t>
      </w:r>
    </w:p>
    <w:p w:rsidR="001B7ECE" w:rsidRPr="00DC600E" w:rsidRDefault="001B7ECE" w:rsidP="001B7ECE">
      <w:pPr>
        <w:autoSpaceDE w:val="0"/>
        <w:autoSpaceDN w:val="0"/>
        <w:adjustRightInd w:val="0"/>
        <w:ind w:firstLine="708"/>
        <w:rPr>
          <w:sz w:val="23"/>
          <w:szCs w:val="23"/>
        </w:rPr>
      </w:pPr>
      <w:r w:rsidRPr="00DC600E">
        <w:rPr>
          <w:sz w:val="23"/>
          <w:szCs w:val="23"/>
        </w:rPr>
        <w:t>A partir dela, são identificadas as oportunidades que promovem agregação de valor a seus projetos, obtendo melhora nos resultados econômicos e financeiros aos envolvidos (</w:t>
      </w:r>
      <w:r w:rsidR="00C52028" w:rsidRPr="00DC600E">
        <w:rPr>
          <w:sz w:val="23"/>
          <w:szCs w:val="23"/>
        </w:rPr>
        <w:t>Souza</w:t>
      </w:r>
      <w:r w:rsidRPr="00DC600E">
        <w:rPr>
          <w:sz w:val="23"/>
          <w:szCs w:val="23"/>
        </w:rPr>
        <w:t xml:space="preserve">; </w:t>
      </w:r>
      <w:r w:rsidR="00C52028" w:rsidRPr="00DC600E">
        <w:rPr>
          <w:sz w:val="23"/>
          <w:szCs w:val="23"/>
        </w:rPr>
        <w:t>Braga &amp;</w:t>
      </w:r>
      <w:r w:rsidRPr="00DC600E">
        <w:rPr>
          <w:sz w:val="23"/>
          <w:szCs w:val="23"/>
        </w:rPr>
        <w:t xml:space="preserve"> </w:t>
      </w:r>
      <w:proofErr w:type="spellStart"/>
      <w:r w:rsidRPr="00DC600E">
        <w:rPr>
          <w:sz w:val="23"/>
          <w:szCs w:val="23"/>
        </w:rPr>
        <w:t>K</w:t>
      </w:r>
      <w:r w:rsidR="00C52028" w:rsidRPr="00DC600E">
        <w:rPr>
          <w:sz w:val="23"/>
          <w:szCs w:val="23"/>
        </w:rPr>
        <w:t>ronbauer</w:t>
      </w:r>
      <w:proofErr w:type="spellEnd"/>
      <w:r w:rsidRPr="00DC600E">
        <w:rPr>
          <w:sz w:val="23"/>
          <w:szCs w:val="23"/>
        </w:rPr>
        <w:t>, 2014). Depreende-se que o êxito no desenvolvimento de tais ações assegura uma otimização dos resultados, pois haverá um maior retorno para a cadeia total, criando-se vantagem competitiva perante os concorrentes (</w:t>
      </w:r>
      <w:proofErr w:type="spellStart"/>
      <w:r w:rsidR="00BE7158" w:rsidRPr="00DC600E">
        <w:rPr>
          <w:sz w:val="23"/>
          <w:szCs w:val="23"/>
        </w:rPr>
        <w:t>Hoffjan</w:t>
      </w:r>
      <w:proofErr w:type="spellEnd"/>
      <w:r w:rsidR="00BE7158" w:rsidRPr="00DC600E">
        <w:rPr>
          <w:sz w:val="23"/>
          <w:szCs w:val="23"/>
        </w:rPr>
        <w:t xml:space="preserve"> &amp;</w:t>
      </w:r>
      <w:r w:rsidRPr="00DC600E">
        <w:rPr>
          <w:sz w:val="23"/>
          <w:szCs w:val="23"/>
        </w:rPr>
        <w:t xml:space="preserve"> </w:t>
      </w:r>
      <w:proofErr w:type="spellStart"/>
      <w:r w:rsidRPr="00DC600E">
        <w:rPr>
          <w:sz w:val="23"/>
          <w:szCs w:val="23"/>
        </w:rPr>
        <w:t>K</w:t>
      </w:r>
      <w:r w:rsidR="00BE7158" w:rsidRPr="00DC600E">
        <w:rPr>
          <w:sz w:val="23"/>
          <w:szCs w:val="23"/>
        </w:rPr>
        <w:t>ruse</w:t>
      </w:r>
      <w:proofErr w:type="spellEnd"/>
      <w:r w:rsidRPr="00DC600E">
        <w:rPr>
          <w:sz w:val="23"/>
          <w:szCs w:val="23"/>
        </w:rPr>
        <w:t xml:space="preserve">, 2006). </w:t>
      </w:r>
    </w:p>
    <w:p w:rsidR="004B2D81" w:rsidRPr="00931024" w:rsidRDefault="004B2D81" w:rsidP="00F87331">
      <w:pPr>
        <w:spacing w:line="240" w:lineRule="exact"/>
      </w:pPr>
    </w:p>
    <w:p w:rsidR="00CD4205" w:rsidRPr="00931024" w:rsidRDefault="004A40B6" w:rsidP="00C76BD6">
      <w:pPr>
        <w:pStyle w:val="Ttulo2"/>
        <w:rPr>
          <w:rFonts w:cs="Times New Roman"/>
          <w:b/>
        </w:rPr>
      </w:pPr>
      <w:r w:rsidRPr="00931024">
        <w:rPr>
          <w:rFonts w:cs="Times New Roman"/>
          <w:b/>
          <w:caps w:val="0"/>
        </w:rPr>
        <w:t>2.1 Integração eletrônica dos sistemas externos</w:t>
      </w:r>
    </w:p>
    <w:p w:rsidR="000E4B7F" w:rsidRPr="00DC600E" w:rsidRDefault="000E4B7F" w:rsidP="000E4B7F">
      <w:pPr>
        <w:autoSpaceDE w:val="0"/>
        <w:autoSpaceDN w:val="0"/>
        <w:adjustRightInd w:val="0"/>
        <w:ind w:firstLine="708"/>
        <w:rPr>
          <w:sz w:val="23"/>
          <w:szCs w:val="23"/>
        </w:rPr>
      </w:pPr>
      <w:r w:rsidRPr="00DC600E">
        <w:rPr>
          <w:sz w:val="23"/>
          <w:szCs w:val="23"/>
        </w:rPr>
        <w:t xml:space="preserve">Inovações tecnológicas surgem a todo momento, principalmente no que </w:t>
      </w:r>
      <w:r w:rsidR="00C944BA" w:rsidRPr="00DC600E">
        <w:rPr>
          <w:sz w:val="23"/>
          <w:szCs w:val="23"/>
        </w:rPr>
        <w:t>diz respeito</w:t>
      </w:r>
      <w:r w:rsidRPr="00DC600E">
        <w:rPr>
          <w:sz w:val="23"/>
          <w:szCs w:val="23"/>
        </w:rPr>
        <w:t xml:space="preserve"> a utilização de recursos de comunicação por meio de transferência de dados, o que permite que tudo se interligue em todo o lugar, com dados sendo atualizados constantemente (</w:t>
      </w:r>
      <w:proofErr w:type="spellStart"/>
      <w:r w:rsidR="00E92BD2" w:rsidRPr="00DC600E">
        <w:rPr>
          <w:sz w:val="23"/>
          <w:szCs w:val="23"/>
        </w:rPr>
        <w:t>Kauremaa</w:t>
      </w:r>
      <w:proofErr w:type="spellEnd"/>
      <w:r w:rsidR="000D041C" w:rsidRPr="00DC600E">
        <w:rPr>
          <w:sz w:val="23"/>
          <w:szCs w:val="23"/>
        </w:rPr>
        <w:t xml:space="preserve"> &amp; </w:t>
      </w:r>
      <w:proofErr w:type="spellStart"/>
      <w:r w:rsidR="000D041C" w:rsidRPr="00DC600E">
        <w:rPr>
          <w:sz w:val="23"/>
          <w:szCs w:val="23"/>
        </w:rPr>
        <w:t>Tanskanen</w:t>
      </w:r>
      <w:proofErr w:type="spellEnd"/>
      <w:r w:rsidRPr="00DC600E">
        <w:rPr>
          <w:sz w:val="23"/>
          <w:szCs w:val="23"/>
        </w:rPr>
        <w:t>, 2016).</w:t>
      </w:r>
    </w:p>
    <w:p w:rsidR="005A0DA6" w:rsidRPr="00DC600E" w:rsidRDefault="005A0DA6" w:rsidP="005A0DA6">
      <w:pPr>
        <w:autoSpaceDE w:val="0"/>
        <w:autoSpaceDN w:val="0"/>
        <w:adjustRightInd w:val="0"/>
        <w:ind w:firstLine="708"/>
        <w:rPr>
          <w:sz w:val="23"/>
          <w:szCs w:val="23"/>
        </w:rPr>
      </w:pPr>
      <w:r w:rsidRPr="00DC600E">
        <w:rPr>
          <w:sz w:val="23"/>
          <w:szCs w:val="23"/>
        </w:rPr>
        <w:t>Em organizações que estabelecem alianças estratégicas, a literatura revisitada na área contábil sob esta temática tem categorizado a integração dos sistemas de informação em duas capacidades diferentes, contudo intimamente relacionadas, sendo estas: integração interna e integração externa (</w:t>
      </w:r>
      <w:proofErr w:type="spellStart"/>
      <w:r w:rsidR="00075299" w:rsidRPr="00DC600E">
        <w:rPr>
          <w:sz w:val="23"/>
          <w:szCs w:val="23"/>
        </w:rPr>
        <w:t>Bergeron</w:t>
      </w:r>
      <w:proofErr w:type="spellEnd"/>
      <w:r w:rsidR="00075299" w:rsidRPr="00DC600E">
        <w:rPr>
          <w:sz w:val="23"/>
          <w:szCs w:val="23"/>
        </w:rPr>
        <w:t xml:space="preserve"> &amp;</w:t>
      </w:r>
      <w:r w:rsidRPr="00DC600E">
        <w:rPr>
          <w:sz w:val="23"/>
          <w:szCs w:val="23"/>
        </w:rPr>
        <w:t xml:space="preserve"> R</w:t>
      </w:r>
      <w:r w:rsidR="00075299" w:rsidRPr="00DC600E">
        <w:rPr>
          <w:sz w:val="23"/>
          <w:szCs w:val="23"/>
        </w:rPr>
        <w:t>aymond</w:t>
      </w:r>
      <w:r w:rsidRPr="00DC600E">
        <w:rPr>
          <w:sz w:val="23"/>
          <w:szCs w:val="23"/>
        </w:rPr>
        <w:t>, 1992; W</w:t>
      </w:r>
      <w:r w:rsidR="00B056D3" w:rsidRPr="00DC600E">
        <w:rPr>
          <w:sz w:val="23"/>
          <w:szCs w:val="23"/>
        </w:rPr>
        <w:t>ard &amp;</w:t>
      </w:r>
      <w:r w:rsidRPr="00DC600E">
        <w:rPr>
          <w:sz w:val="23"/>
          <w:szCs w:val="23"/>
        </w:rPr>
        <w:t xml:space="preserve"> </w:t>
      </w:r>
      <w:proofErr w:type="spellStart"/>
      <w:r w:rsidRPr="00DC600E">
        <w:rPr>
          <w:sz w:val="23"/>
          <w:szCs w:val="23"/>
        </w:rPr>
        <w:t>Z</w:t>
      </w:r>
      <w:r w:rsidR="00B056D3" w:rsidRPr="00DC600E">
        <w:rPr>
          <w:sz w:val="23"/>
          <w:szCs w:val="23"/>
        </w:rPr>
        <w:t>hou</w:t>
      </w:r>
      <w:proofErr w:type="spellEnd"/>
      <w:r w:rsidRPr="00DC600E">
        <w:rPr>
          <w:sz w:val="23"/>
          <w:szCs w:val="23"/>
        </w:rPr>
        <w:t>, 2006; F</w:t>
      </w:r>
      <w:r w:rsidR="00B056D3" w:rsidRPr="00DC600E">
        <w:rPr>
          <w:sz w:val="23"/>
          <w:szCs w:val="23"/>
        </w:rPr>
        <w:t>ayard</w:t>
      </w:r>
      <w:r w:rsidRPr="00DC600E">
        <w:rPr>
          <w:sz w:val="23"/>
          <w:szCs w:val="23"/>
        </w:rPr>
        <w:t xml:space="preserve"> et al., 2012; </w:t>
      </w:r>
      <w:proofErr w:type="spellStart"/>
      <w:r w:rsidR="00A272D2" w:rsidRPr="00DC600E">
        <w:rPr>
          <w:sz w:val="23"/>
          <w:szCs w:val="23"/>
        </w:rPr>
        <w:t>Maiga</w:t>
      </w:r>
      <w:proofErr w:type="spellEnd"/>
      <w:r w:rsidRPr="00DC600E">
        <w:rPr>
          <w:sz w:val="23"/>
          <w:szCs w:val="23"/>
        </w:rPr>
        <w:t xml:space="preserve">; </w:t>
      </w:r>
      <w:r w:rsidR="00A272D2" w:rsidRPr="00DC600E">
        <w:rPr>
          <w:sz w:val="23"/>
          <w:szCs w:val="23"/>
        </w:rPr>
        <w:t xml:space="preserve">Nilsson &amp; </w:t>
      </w:r>
      <w:proofErr w:type="spellStart"/>
      <w:r w:rsidR="00A272D2" w:rsidRPr="00DC600E">
        <w:rPr>
          <w:sz w:val="23"/>
          <w:szCs w:val="23"/>
        </w:rPr>
        <w:t>Ax</w:t>
      </w:r>
      <w:proofErr w:type="spellEnd"/>
      <w:r w:rsidRPr="00DC600E">
        <w:rPr>
          <w:sz w:val="23"/>
          <w:szCs w:val="23"/>
        </w:rPr>
        <w:t>, 2015).</w:t>
      </w:r>
    </w:p>
    <w:p w:rsidR="005A0DA6" w:rsidRPr="00DC600E" w:rsidRDefault="007D457B" w:rsidP="005A0DA6">
      <w:pPr>
        <w:autoSpaceDE w:val="0"/>
        <w:autoSpaceDN w:val="0"/>
        <w:adjustRightInd w:val="0"/>
        <w:ind w:firstLine="708"/>
        <w:rPr>
          <w:sz w:val="23"/>
          <w:szCs w:val="23"/>
        </w:rPr>
      </w:pPr>
      <w:r w:rsidRPr="00DC600E">
        <w:rPr>
          <w:sz w:val="23"/>
          <w:szCs w:val="23"/>
        </w:rPr>
        <w:lastRenderedPageBreak/>
        <w:t>A</w:t>
      </w:r>
      <w:r w:rsidR="005A0DA6" w:rsidRPr="00DC600E">
        <w:rPr>
          <w:sz w:val="23"/>
          <w:szCs w:val="23"/>
        </w:rPr>
        <w:t xml:space="preserve"> integração externa condiz com a padronização dos sistemas de informação para uso por diferentes membros da cadeia de suprimento. Assim, ocorre a digitalização e troca de informações a partir de uma mesma interface de um sistema de informação, abrangendo as atividades de negócio de todos os membros da cadeia (</w:t>
      </w:r>
      <w:proofErr w:type="spellStart"/>
      <w:r w:rsidR="00AB5F58" w:rsidRPr="00DC600E">
        <w:rPr>
          <w:sz w:val="23"/>
          <w:szCs w:val="23"/>
        </w:rPr>
        <w:t>Zhou</w:t>
      </w:r>
      <w:proofErr w:type="spellEnd"/>
      <w:r w:rsidR="00AB5F58" w:rsidRPr="00DC600E">
        <w:rPr>
          <w:sz w:val="23"/>
          <w:szCs w:val="23"/>
        </w:rPr>
        <w:t xml:space="preserve"> &amp;</w:t>
      </w:r>
      <w:r w:rsidR="005A0DA6" w:rsidRPr="00DC600E">
        <w:rPr>
          <w:sz w:val="23"/>
          <w:szCs w:val="23"/>
        </w:rPr>
        <w:t xml:space="preserve"> </w:t>
      </w:r>
      <w:proofErr w:type="spellStart"/>
      <w:r w:rsidR="005A0DA6" w:rsidRPr="00DC600E">
        <w:rPr>
          <w:sz w:val="23"/>
          <w:szCs w:val="23"/>
        </w:rPr>
        <w:t>B</w:t>
      </w:r>
      <w:r w:rsidR="00AB5F58" w:rsidRPr="00DC600E">
        <w:rPr>
          <w:sz w:val="23"/>
          <w:szCs w:val="23"/>
        </w:rPr>
        <w:t>enton</w:t>
      </w:r>
      <w:proofErr w:type="spellEnd"/>
      <w:r w:rsidR="005A0DA6" w:rsidRPr="00DC600E">
        <w:rPr>
          <w:sz w:val="23"/>
          <w:szCs w:val="23"/>
        </w:rPr>
        <w:t>, 2007). Essa integração torna a informação disponível oportunamente para todos os parceiros da cadeia de suprimento que possuem permissão para o seu acesso (</w:t>
      </w:r>
      <w:proofErr w:type="spellStart"/>
      <w:r w:rsidR="00AB5F58" w:rsidRPr="00DC600E">
        <w:rPr>
          <w:sz w:val="23"/>
          <w:szCs w:val="23"/>
        </w:rPr>
        <w:t>Maiga</w:t>
      </w:r>
      <w:proofErr w:type="spellEnd"/>
      <w:r w:rsidR="00AB5F58" w:rsidRPr="00DC600E">
        <w:rPr>
          <w:sz w:val="23"/>
          <w:szCs w:val="23"/>
        </w:rPr>
        <w:t xml:space="preserve"> et al.,</w:t>
      </w:r>
      <w:r w:rsidR="005A0DA6" w:rsidRPr="00DC600E">
        <w:rPr>
          <w:sz w:val="23"/>
          <w:szCs w:val="23"/>
        </w:rPr>
        <w:t xml:space="preserve"> 2015).</w:t>
      </w:r>
    </w:p>
    <w:p w:rsidR="00671DC1" w:rsidRPr="00DC600E" w:rsidRDefault="00671DC1" w:rsidP="007F6786">
      <w:pPr>
        <w:autoSpaceDE w:val="0"/>
        <w:autoSpaceDN w:val="0"/>
        <w:adjustRightInd w:val="0"/>
        <w:ind w:firstLine="708"/>
        <w:rPr>
          <w:sz w:val="23"/>
          <w:szCs w:val="23"/>
        </w:rPr>
      </w:pPr>
      <w:r w:rsidRPr="00DC600E">
        <w:rPr>
          <w:sz w:val="23"/>
          <w:szCs w:val="23"/>
        </w:rPr>
        <w:t xml:space="preserve">Por meio </w:t>
      </w:r>
      <w:r w:rsidR="000E4B7F" w:rsidRPr="00DC600E">
        <w:rPr>
          <w:sz w:val="23"/>
          <w:szCs w:val="23"/>
        </w:rPr>
        <w:t>destas ferramentas</w:t>
      </w:r>
      <w:r w:rsidRPr="00DC600E">
        <w:rPr>
          <w:sz w:val="23"/>
          <w:szCs w:val="23"/>
        </w:rPr>
        <w:t xml:space="preserve">, torna-se </w:t>
      </w:r>
      <w:r w:rsidR="000E4B7F" w:rsidRPr="00DC600E">
        <w:rPr>
          <w:sz w:val="23"/>
          <w:szCs w:val="23"/>
          <w:shd w:val="clear" w:color="auto" w:fill="FFFFFF"/>
        </w:rPr>
        <w:t xml:space="preserve">exequível </w:t>
      </w:r>
      <w:r w:rsidRPr="00DC600E">
        <w:rPr>
          <w:sz w:val="23"/>
          <w:szCs w:val="23"/>
        </w:rPr>
        <w:t>a implementação de práticas de gestão integradas, que</w:t>
      </w:r>
      <w:r w:rsidR="007F6786" w:rsidRPr="00DC600E">
        <w:rPr>
          <w:sz w:val="23"/>
          <w:szCs w:val="23"/>
        </w:rPr>
        <w:t xml:space="preserve"> </w:t>
      </w:r>
      <w:r w:rsidRPr="00DC600E">
        <w:rPr>
          <w:sz w:val="23"/>
          <w:szCs w:val="23"/>
        </w:rPr>
        <w:t>facilitam a comunicação nas organizações. Da mesma forma, torna-se possível facilitar a</w:t>
      </w:r>
      <w:r w:rsidR="007F6786" w:rsidRPr="00DC600E">
        <w:rPr>
          <w:sz w:val="23"/>
          <w:szCs w:val="23"/>
        </w:rPr>
        <w:t xml:space="preserve"> </w:t>
      </w:r>
      <w:r w:rsidRPr="00DC600E">
        <w:rPr>
          <w:sz w:val="23"/>
          <w:szCs w:val="23"/>
        </w:rPr>
        <w:t>coordenação interna das atividades desenvolvidas na empresa (</w:t>
      </w:r>
      <w:r w:rsidR="00516062" w:rsidRPr="00DC600E">
        <w:rPr>
          <w:sz w:val="23"/>
          <w:szCs w:val="23"/>
        </w:rPr>
        <w:t xml:space="preserve">Fayard </w:t>
      </w:r>
      <w:r w:rsidRPr="00DC600E">
        <w:rPr>
          <w:sz w:val="23"/>
          <w:szCs w:val="23"/>
        </w:rPr>
        <w:t>et al., 2012). O uso</w:t>
      </w:r>
      <w:r w:rsidR="007F6786" w:rsidRPr="00DC600E">
        <w:rPr>
          <w:sz w:val="23"/>
          <w:szCs w:val="23"/>
        </w:rPr>
        <w:t xml:space="preserve"> </w:t>
      </w:r>
      <w:r w:rsidRPr="00DC600E">
        <w:rPr>
          <w:sz w:val="23"/>
          <w:szCs w:val="23"/>
        </w:rPr>
        <w:t>de sistemas de informação integrados eletronicamente também proporciona melhora na</w:t>
      </w:r>
      <w:r w:rsidR="007F6786" w:rsidRPr="00DC600E">
        <w:rPr>
          <w:sz w:val="23"/>
          <w:szCs w:val="23"/>
        </w:rPr>
        <w:t xml:space="preserve"> </w:t>
      </w:r>
      <w:r w:rsidRPr="00DC600E">
        <w:rPr>
          <w:sz w:val="23"/>
          <w:szCs w:val="23"/>
        </w:rPr>
        <w:t>comunicação externa das organizações, a partir da integração eletrônica externa dos sistemas</w:t>
      </w:r>
      <w:r w:rsidR="007F6786" w:rsidRPr="00DC600E">
        <w:rPr>
          <w:sz w:val="23"/>
          <w:szCs w:val="23"/>
        </w:rPr>
        <w:t xml:space="preserve"> </w:t>
      </w:r>
      <w:r w:rsidRPr="00DC600E">
        <w:rPr>
          <w:sz w:val="23"/>
          <w:szCs w:val="23"/>
        </w:rPr>
        <w:t xml:space="preserve">de informação, com outros grupos de </w:t>
      </w:r>
      <w:proofErr w:type="spellStart"/>
      <w:r w:rsidRPr="00DC600E">
        <w:rPr>
          <w:i/>
          <w:iCs/>
          <w:sz w:val="23"/>
          <w:szCs w:val="23"/>
        </w:rPr>
        <w:t>stakeholders</w:t>
      </w:r>
      <w:proofErr w:type="spellEnd"/>
      <w:r w:rsidRPr="00DC600E">
        <w:rPr>
          <w:i/>
          <w:iCs/>
          <w:sz w:val="23"/>
          <w:szCs w:val="23"/>
        </w:rPr>
        <w:t xml:space="preserve"> </w:t>
      </w:r>
      <w:r w:rsidRPr="00DC600E">
        <w:rPr>
          <w:sz w:val="23"/>
          <w:szCs w:val="23"/>
        </w:rPr>
        <w:t>(clientes, fornecedores). Tais conexões</w:t>
      </w:r>
      <w:r w:rsidR="007F6786" w:rsidRPr="00DC600E">
        <w:rPr>
          <w:sz w:val="23"/>
          <w:szCs w:val="23"/>
        </w:rPr>
        <w:t xml:space="preserve"> </w:t>
      </w:r>
      <w:r w:rsidRPr="00DC600E">
        <w:rPr>
          <w:sz w:val="23"/>
          <w:szCs w:val="23"/>
        </w:rPr>
        <w:t>facilitam a comunicação e ainda auxiliam no processo de tomada de decisão entre membros</w:t>
      </w:r>
      <w:r w:rsidR="007F6786" w:rsidRPr="00DC600E">
        <w:rPr>
          <w:sz w:val="23"/>
          <w:szCs w:val="23"/>
        </w:rPr>
        <w:t xml:space="preserve"> </w:t>
      </w:r>
      <w:r w:rsidRPr="00DC600E">
        <w:rPr>
          <w:sz w:val="23"/>
          <w:szCs w:val="23"/>
        </w:rPr>
        <w:t xml:space="preserve">da cadeia de suprimentos </w:t>
      </w:r>
      <w:r w:rsidR="004620E5" w:rsidRPr="00DC600E">
        <w:rPr>
          <w:sz w:val="23"/>
          <w:szCs w:val="23"/>
        </w:rPr>
        <w:t>(Li</w:t>
      </w:r>
      <w:r w:rsidR="00A42862" w:rsidRPr="00DC600E">
        <w:rPr>
          <w:sz w:val="23"/>
          <w:szCs w:val="23"/>
        </w:rPr>
        <w:t xml:space="preserve">, </w:t>
      </w:r>
      <w:r w:rsidR="004620E5" w:rsidRPr="00DC600E">
        <w:rPr>
          <w:sz w:val="23"/>
          <w:szCs w:val="23"/>
        </w:rPr>
        <w:t>Rao</w:t>
      </w:r>
      <w:r w:rsidR="00A42862" w:rsidRPr="00DC600E">
        <w:rPr>
          <w:sz w:val="23"/>
          <w:szCs w:val="23"/>
        </w:rPr>
        <w:t xml:space="preserve">, </w:t>
      </w:r>
      <w:r w:rsidR="004620E5" w:rsidRPr="00DC600E">
        <w:rPr>
          <w:sz w:val="23"/>
          <w:szCs w:val="23"/>
        </w:rPr>
        <w:t>Ragu</w:t>
      </w:r>
      <w:r w:rsidR="00A42862" w:rsidRPr="00DC600E">
        <w:rPr>
          <w:sz w:val="23"/>
          <w:szCs w:val="23"/>
        </w:rPr>
        <w:t>-</w:t>
      </w:r>
      <w:r w:rsidR="004620E5" w:rsidRPr="00DC600E">
        <w:rPr>
          <w:sz w:val="23"/>
          <w:szCs w:val="23"/>
        </w:rPr>
        <w:t xml:space="preserve">Nathan </w:t>
      </w:r>
      <w:r w:rsidR="00A42862" w:rsidRPr="00DC600E">
        <w:rPr>
          <w:sz w:val="23"/>
          <w:szCs w:val="23"/>
        </w:rPr>
        <w:t xml:space="preserve">&amp; </w:t>
      </w:r>
      <w:r w:rsidR="004620E5" w:rsidRPr="00DC600E">
        <w:rPr>
          <w:sz w:val="23"/>
          <w:szCs w:val="23"/>
        </w:rPr>
        <w:t>Ragu</w:t>
      </w:r>
      <w:r w:rsidR="00A42862" w:rsidRPr="00DC600E">
        <w:rPr>
          <w:sz w:val="23"/>
          <w:szCs w:val="23"/>
        </w:rPr>
        <w:t>-</w:t>
      </w:r>
      <w:r w:rsidR="004620E5" w:rsidRPr="00DC600E">
        <w:rPr>
          <w:sz w:val="23"/>
          <w:szCs w:val="23"/>
        </w:rPr>
        <w:t>Nathan</w:t>
      </w:r>
      <w:r w:rsidRPr="00DC600E">
        <w:rPr>
          <w:sz w:val="23"/>
          <w:szCs w:val="23"/>
        </w:rPr>
        <w:t>, 2005).</w:t>
      </w:r>
    </w:p>
    <w:p w:rsidR="00671DC1" w:rsidRPr="00DC600E" w:rsidRDefault="00C944BA" w:rsidP="000E4B7F">
      <w:pPr>
        <w:autoSpaceDE w:val="0"/>
        <w:autoSpaceDN w:val="0"/>
        <w:adjustRightInd w:val="0"/>
        <w:ind w:firstLine="708"/>
        <w:rPr>
          <w:sz w:val="23"/>
          <w:szCs w:val="23"/>
        </w:rPr>
      </w:pPr>
      <w:r w:rsidRPr="00DC600E">
        <w:rPr>
          <w:sz w:val="23"/>
          <w:szCs w:val="23"/>
        </w:rPr>
        <w:t xml:space="preserve">A integração eletrônica </w:t>
      </w:r>
      <w:r w:rsidR="00871D21" w:rsidRPr="00DC600E">
        <w:rPr>
          <w:sz w:val="23"/>
          <w:szCs w:val="23"/>
        </w:rPr>
        <w:t>da empresa com seus parceiros, possibilita estruturar de maneira interorganizacional as estratégias, práticas e processos</w:t>
      </w:r>
      <w:r w:rsidR="006D3BF8" w:rsidRPr="00DC600E">
        <w:rPr>
          <w:sz w:val="23"/>
          <w:szCs w:val="23"/>
        </w:rPr>
        <w:t>, a</w:t>
      </w:r>
      <w:r w:rsidR="00871D21" w:rsidRPr="00DC600E">
        <w:rPr>
          <w:sz w:val="23"/>
          <w:szCs w:val="23"/>
        </w:rPr>
        <w:t xml:space="preserve">s quais </w:t>
      </w:r>
      <w:r w:rsidR="006D3BF8" w:rsidRPr="00DC600E">
        <w:rPr>
          <w:sz w:val="23"/>
          <w:szCs w:val="23"/>
        </w:rPr>
        <w:t>passam a ser</w:t>
      </w:r>
      <w:r w:rsidR="00803550" w:rsidRPr="00DC600E">
        <w:rPr>
          <w:sz w:val="23"/>
          <w:szCs w:val="23"/>
        </w:rPr>
        <w:t xml:space="preserve"> executada</w:t>
      </w:r>
      <w:r w:rsidR="00871D21" w:rsidRPr="00DC600E">
        <w:rPr>
          <w:sz w:val="23"/>
          <w:szCs w:val="23"/>
        </w:rPr>
        <w:t>s de maneira sincronizada (</w:t>
      </w:r>
      <w:proofErr w:type="spellStart"/>
      <w:r w:rsidR="00747C8D" w:rsidRPr="00DC600E">
        <w:rPr>
          <w:sz w:val="23"/>
          <w:szCs w:val="23"/>
        </w:rPr>
        <w:t>Flynn</w:t>
      </w:r>
      <w:proofErr w:type="spellEnd"/>
      <w:r w:rsidR="00C70C3E" w:rsidRPr="00DC600E">
        <w:rPr>
          <w:sz w:val="23"/>
          <w:szCs w:val="23"/>
        </w:rPr>
        <w:t xml:space="preserve">, </w:t>
      </w:r>
      <w:proofErr w:type="spellStart"/>
      <w:r w:rsidR="00C70C3E" w:rsidRPr="00DC600E">
        <w:rPr>
          <w:sz w:val="23"/>
          <w:szCs w:val="23"/>
        </w:rPr>
        <w:t>H</w:t>
      </w:r>
      <w:r w:rsidR="00747C8D" w:rsidRPr="00DC600E">
        <w:rPr>
          <w:sz w:val="23"/>
          <w:szCs w:val="23"/>
        </w:rPr>
        <w:t>uo</w:t>
      </w:r>
      <w:proofErr w:type="spellEnd"/>
      <w:r w:rsidR="00747C8D" w:rsidRPr="00DC600E">
        <w:rPr>
          <w:sz w:val="23"/>
          <w:szCs w:val="23"/>
        </w:rPr>
        <w:t xml:space="preserve"> &amp;</w:t>
      </w:r>
      <w:r w:rsidR="00C70C3E" w:rsidRPr="00DC600E">
        <w:rPr>
          <w:sz w:val="23"/>
          <w:szCs w:val="23"/>
        </w:rPr>
        <w:t xml:space="preserve"> </w:t>
      </w:r>
      <w:proofErr w:type="spellStart"/>
      <w:r w:rsidR="00C70C3E" w:rsidRPr="00DC600E">
        <w:rPr>
          <w:sz w:val="23"/>
          <w:szCs w:val="23"/>
        </w:rPr>
        <w:t>Z</w:t>
      </w:r>
      <w:r w:rsidR="00747C8D" w:rsidRPr="00DC600E">
        <w:rPr>
          <w:sz w:val="23"/>
          <w:szCs w:val="23"/>
        </w:rPr>
        <w:t>hao</w:t>
      </w:r>
      <w:proofErr w:type="spellEnd"/>
      <w:r w:rsidR="00C70C3E" w:rsidRPr="00DC600E">
        <w:rPr>
          <w:sz w:val="23"/>
          <w:szCs w:val="23"/>
        </w:rPr>
        <w:t>, 2010)</w:t>
      </w:r>
      <w:r w:rsidR="007B798C" w:rsidRPr="00DC600E">
        <w:rPr>
          <w:sz w:val="23"/>
          <w:szCs w:val="23"/>
        </w:rPr>
        <w:t>. Tal aspecto, c</w:t>
      </w:r>
      <w:r w:rsidR="00671DC1" w:rsidRPr="00DC600E">
        <w:rPr>
          <w:sz w:val="23"/>
          <w:szCs w:val="23"/>
        </w:rPr>
        <w:t>ria oportunidades</w:t>
      </w:r>
      <w:r w:rsidR="000E4B7F" w:rsidRPr="00DC600E">
        <w:rPr>
          <w:sz w:val="23"/>
          <w:szCs w:val="23"/>
        </w:rPr>
        <w:t xml:space="preserve"> </w:t>
      </w:r>
      <w:r w:rsidR="00671DC1" w:rsidRPr="00DC600E">
        <w:rPr>
          <w:sz w:val="23"/>
          <w:szCs w:val="23"/>
        </w:rPr>
        <w:t>significativas para a integração da cadeia de suprimentos, aumentando a eficiência e</w:t>
      </w:r>
      <w:r w:rsidR="000E4B7F" w:rsidRPr="00DC600E">
        <w:rPr>
          <w:sz w:val="23"/>
          <w:szCs w:val="23"/>
        </w:rPr>
        <w:t xml:space="preserve"> </w:t>
      </w:r>
      <w:r w:rsidR="00671DC1" w:rsidRPr="00DC600E">
        <w:rPr>
          <w:sz w:val="23"/>
          <w:szCs w:val="23"/>
        </w:rPr>
        <w:t>efetividade da gestão dos processos da cadeia (</w:t>
      </w:r>
      <w:proofErr w:type="spellStart"/>
      <w:r w:rsidR="00B170AF" w:rsidRPr="00DC600E">
        <w:rPr>
          <w:sz w:val="23"/>
          <w:szCs w:val="23"/>
        </w:rPr>
        <w:t>Bowersox</w:t>
      </w:r>
      <w:proofErr w:type="spellEnd"/>
      <w:r w:rsidR="00B170AF" w:rsidRPr="00DC600E">
        <w:rPr>
          <w:sz w:val="23"/>
          <w:szCs w:val="23"/>
        </w:rPr>
        <w:t>,</w:t>
      </w:r>
      <w:r w:rsidR="00671DC1" w:rsidRPr="00DC600E">
        <w:rPr>
          <w:sz w:val="23"/>
          <w:szCs w:val="23"/>
        </w:rPr>
        <w:t xml:space="preserve"> </w:t>
      </w:r>
      <w:proofErr w:type="spellStart"/>
      <w:r w:rsidR="00671DC1" w:rsidRPr="00DC600E">
        <w:rPr>
          <w:sz w:val="23"/>
          <w:szCs w:val="23"/>
        </w:rPr>
        <w:t>C</w:t>
      </w:r>
      <w:r w:rsidR="00B170AF" w:rsidRPr="00DC600E">
        <w:rPr>
          <w:sz w:val="23"/>
          <w:szCs w:val="23"/>
        </w:rPr>
        <w:t>loss</w:t>
      </w:r>
      <w:proofErr w:type="spellEnd"/>
      <w:r w:rsidR="00B170AF" w:rsidRPr="00DC600E">
        <w:rPr>
          <w:sz w:val="23"/>
          <w:szCs w:val="23"/>
        </w:rPr>
        <w:t xml:space="preserve"> &amp;</w:t>
      </w:r>
      <w:r w:rsidR="00671DC1" w:rsidRPr="00DC600E">
        <w:rPr>
          <w:sz w:val="23"/>
          <w:szCs w:val="23"/>
        </w:rPr>
        <w:t xml:space="preserve"> </w:t>
      </w:r>
      <w:proofErr w:type="spellStart"/>
      <w:r w:rsidR="00671DC1" w:rsidRPr="00DC600E">
        <w:rPr>
          <w:sz w:val="23"/>
          <w:szCs w:val="23"/>
        </w:rPr>
        <w:t>S</w:t>
      </w:r>
      <w:r w:rsidR="00B170AF" w:rsidRPr="00DC600E">
        <w:rPr>
          <w:sz w:val="23"/>
          <w:szCs w:val="23"/>
        </w:rPr>
        <w:t>tank</w:t>
      </w:r>
      <w:proofErr w:type="spellEnd"/>
      <w:r w:rsidR="00671DC1" w:rsidRPr="00DC600E">
        <w:rPr>
          <w:sz w:val="23"/>
          <w:szCs w:val="23"/>
        </w:rPr>
        <w:t>, 1999), o que</w:t>
      </w:r>
      <w:r w:rsidR="000E4B7F" w:rsidRPr="00DC600E">
        <w:rPr>
          <w:sz w:val="23"/>
          <w:szCs w:val="23"/>
        </w:rPr>
        <w:t xml:space="preserve"> </w:t>
      </w:r>
      <w:r w:rsidR="00671DC1" w:rsidRPr="00DC600E">
        <w:rPr>
          <w:sz w:val="23"/>
          <w:szCs w:val="23"/>
        </w:rPr>
        <w:t>favorece a comunicação e o desenvolvimento de ações conjuntas, que contribuirão para o</w:t>
      </w:r>
      <w:r w:rsidR="000E4B7F" w:rsidRPr="00DC600E">
        <w:rPr>
          <w:sz w:val="23"/>
          <w:szCs w:val="23"/>
        </w:rPr>
        <w:t xml:space="preserve"> </w:t>
      </w:r>
      <w:r w:rsidR="00671DC1" w:rsidRPr="00DC600E">
        <w:rPr>
          <w:sz w:val="23"/>
          <w:szCs w:val="23"/>
        </w:rPr>
        <w:t>alcance de vantagem competitiva frente aos concorrentes (</w:t>
      </w:r>
      <w:proofErr w:type="spellStart"/>
      <w:r w:rsidR="001641D1" w:rsidRPr="00DC600E">
        <w:rPr>
          <w:sz w:val="23"/>
          <w:szCs w:val="23"/>
        </w:rPr>
        <w:t>Kauremaa</w:t>
      </w:r>
      <w:proofErr w:type="spellEnd"/>
      <w:r w:rsidR="001641D1" w:rsidRPr="00DC600E">
        <w:rPr>
          <w:sz w:val="23"/>
          <w:szCs w:val="23"/>
        </w:rPr>
        <w:t xml:space="preserve"> &amp;</w:t>
      </w:r>
      <w:r w:rsidR="00671DC1" w:rsidRPr="00DC600E">
        <w:rPr>
          <w:sz w:val="23"/>
          <w:szCs w:val="23"/>
        </w:rPr>
        <w:t xml:space="preserve"> </w:t>
      </w:r>
      <w:proofErr w:type="spellStart"/>
      <w:r w:rsidR="00671DC1" w:rsidRPr="00DC600E">
        <w:rPr>
          <w:sz w:val="23"/>
          <w:szCs w:val="23"/>
        </w:rPr>
        <w:t>T</w:t>
      </w:r>
      <w:r w:rsidR="001641D1" w:rsidRPr="00DC600E">
        <w:rPr>
          <w:sz w:val="23"/>
          <w:szCs w:val="23"/>
        </w:rPr>
        <w:t>anskanen</w:t>
      </w:r>
      <w:proofErr w:type="spellEnd"/>
      <w:r w:rsidR="00671DC1" w:rsidRPr="00DC600E">
        <w:rPr>
          <w:sz w:val="23"/>
          <w:szCs w:val="23"/>
        </w:rPr>
        <w:t>,</w:t>
      </w:r>
      <w:r w:rsidR="000E4B7F" w:rsidRPr="00DC600E">
        <w:rPr>
          <w:sz w:val="23"/>
          <w:szCs w:val="23"/>
        </w:rPr>
        <w:t xml:space="preserve"> </w:t>
      </w:r>
      <w:r w:rsidR="00671DC1" w:rsidRPr="00DC600E">
        <w:rPr>
          <w:sz w:val="23"/>
          <w:szCs w:val="23"/>
        </w:rPr>
        <w:t>2016).</w:t>
      </w:r>
    </w:p>
    <w:p w:rsidR="00671DC1" w:rsidRPr="00DC600E" w:rsidRDefault="00563A4C" w:rsidP="00766F59">
      <w:pPr>
        <w:autoSpaceDE w:val="0"/>
        <w:autoSpaceDN w:val="0"/>
        <w:adjustRightInd w:val="0"/>
        <w:ind w:firstLine="708"/>
        <w:rPr>
          <w:sz w:val="23"/>
          <w:szCs w:val="23"/>
        </w:rPr>
      </w:pPr>
      <w:r w:rsidRPr="00DC600E">
        <w:rPr>
          <w:sz w:val="23"/>
          <w:szCs w:val="23"/>
        </w:rPr>
        <w:t>Ainda conforme os autores, a</w:t>
      </w:r>
      <w:r w:rsidR="00671DC1" w:rsidRPr="00DC600E">
        <w:rPr>
          <w:sz w:val="23"/>
          <w:szCs w:val="23"/>
        </w:rPr>
        <w:t xml:space="preserve"> integração eletrônica de sistemas de gestão contribui para a redução de custos, o</w:t>
      </w:r>
      <w:r w:rsidRPr="00DC600E">
        <w:rPr>
          <w:sz w:val="23"/>
          <w:szCs w:val="23"/>
        </w:rPr>
        <w:t xml:space="preserve"> </w:t>
      </w:r>
      <w:r w:rsidR="00671DC1" w:rsidRPr="00DC600E">
        <w:rPr>
          <w:sz w:val="23"/>
          <w:szCs w:val="23"/>
        </w:rPr>
        <w:t>crescimento nas vendas e o alcance de melhor custo-benefício desses recursos</w:t>
      </w:r>
      <w:r w:rsidRPr="00DC600E">
        <w:rPr>
          <w:sz w:val="23"/>
          <w:szCs w:val="23"/>
        </w:rPr>
        <w:t xml:space="preserve"> </w:t>
      </w:r>
      <w:r w:rsidR="00671DC1" w:rsidRPr="00DC600E">
        <w:rPr>
          <w:sz w:val="23"/>
          <w:szCs w:val="23"/>
        </w:rPr>
        <w:t>(</w:t>
      </w:r>
      <w:proofErr w:type="spellStart"/>
      <w:r w:rsidR="001641D1" w:rsidRPr="00DC600E">
        <w:rPr>
          <w:sz w:val="23"/>
          <w:szCs w:val="23"/>
        </w:rPr>
        <w:t>Kauremaa</w:t>
      </w:r>
      <w:proofErr w:type="spellEnd"/>
      <w:r w:rsidR="00037361" w:rsidRPr="00DC600E">
        <w:rPr>
          <w:sz w:val="23"/>
          <w:szCs w:val="23"/>
        </w:rPr>
        <w:t xml:space="preserve"> &amp;</w:t>
      </w:r>
      <w:r w:rsidR="00671DC1" w:rsidRPr="00DC600E">
        <w:rPr>
          <w:sz w:val="23"/>
          <w:szCs w:val="23"/>
        </w:rPr>
        <w:t xml:space="preserve"> </w:t>
      </w:r>
      <w:proofErr w:type="spellStart"/>
      <w:r w:rsidR="00671DC1" w:rsidRPr="00DC600E">
        <w:rPr>
          <w:sz w:val="23"/>
          <w:szCs w:val="23"/>
        </w:rPr>
        <w:t>T</w:t>
      </w:r>
      <w:r w:rsidR="001641D1" w:rsidRPr="00DC600E">
        <w:rPr>
          <w:sz w:val="23"/>
          <w:szCs w:val="23"/>
        </w:rPr>
        <w:t>anskanen</w:t>
      </w:r>
      <w:proofErr w:type="spellEnd"/>
      <w:r w:rsidR="00671DC1" w:rsidRPr="00DC600E">
        <w:rPr>
          <w:sz w:val="23"/>
          <w:szCs w:val="23"/>
        </w:rPr>
        <w:t>, 2016). Desta forma, têm-se observado um aumento nessa</w:t>
      </w:r>
      <w:r w:rsidRPr="00DC600E">
        <w:rPr>
          <w:sz w:val="23"/>
          <w:szCs w:val="23"/>
        </w:rPr>
        <w:t xml:space="preserve"> </w:t>
      </w:r>
      <w:r w:rsidR="00671DC1" w:rsidRPr="00DC600E">
        <w:rPr>
          <w:sz w:val="23"/>
          <w:szCs w:val="23"/>
        </w:rPr>
        <w:t>prática de integração em sistemas de gestão utilizados por organizações que estabelecem</w:t>
      </w:r>
      <w:r w:rsidR="00766F59" w:rsidRPr="00DC600E">
        <w:rPr>
          <w:sz w:val="23"/>
          <w:szCs w:val="23"/>
        </w:rPr>
        <w:t xml:space="preserve"> </w:t>
      </w:r>
      <w:r w:rsidR="00671DC1" w:rsidRPr="00DC600E">
        <w:rPr>
          <w:sz w:val="23"/>
          <w:szCs w:val="23"/>
        </w:rPr>
        <w:t>alianças estratégicas (</w:t>
      </w:r>
      <w:r w:rsidR="00F73A0B" w:rsidRPr="00DC600E">
        <w:rPr>
          <w:sz w:val="23"/>
          <w:szCs w:val="23"/>
        </w:rPr>
        <w:t xml:space="preserve">Fayard </w:t>
      </w:r>
      <w:r w:rsidR="00671DC1" w:rsidRPr="00DC600E">
        <w:rPr>
          <w:sz w:val="23"/>
          <w:szCs w:val="23"/>
        </w:rPr>
        <w:t>et al., 2012). Esta conexão é viabilizada pelo</w:t>
      </w:r>
      <w:r w:rsidRPr="00DC600E">
        <w:rPr>
          <w:sz w:val="23"/>
          <w:szCs w:val="23"/>
        </w:rPr>
        <w:t xml:space="preserve"> d</w:t>
      </w:r>
      <w:r w:rsidR="00D26462" w:rsidRPr="00DC600E">
        <w:rPr>
          <w:sz w:val="23"/>
          <w:szCs w:val="23"/>
        </w:rPr>
        <w:t xml:space="preserve">esenvolvimento de </w:t>
      </w:r>
      <w:r w:rsidR="00671DC1" w:rsidRPr="00DC600E">
        <w:rPr>
          <w:sz w:val="23"/>
          <w:szCs w:val="23"/>
        </w:rPr>
        <w:t>recursos que favorecem a utilização de sistemas de informação (SI) que</w:t>
      </w:r>
      <w:r w:rsidRPr="00DC600E">
        <w:rPr>
          <w:sz w:val="23"/>
          <w:szCs w:val="23"/>
        </w:rPr>
        <w:t xml:space="preserve"> </w:t>
      </w:r>
      <w:r w:rsidR="00671DC1" w:rsidRPr="00DC600E">
        <w:rPr>
          <w:sz w:val="23"/>
          <w:szCs w:val="23"/>
        </w:rPr>
        <w:t>estejam interligados eletronicamente em um único banco de dados, disponível para acesso a</w:t>
      </w:r>
      <w:r w:rsidRPr="00DC600E">
        <w:rPr>
          <w:sz w:val="23"/>
          <w:szCs w:val="23"/>
        </w:rPr>
        <w:t xml:space="preserve"> </w:t>
      </w:r>
      <w:r w:rsidR="00671DC1" w:rsidRPr="00DC600E">
        <w:rPr>
          <w:sz w:val="23"/>
          <w:szCs w:val="23"/>
        </w:rPr>
        <w:t>todos os usuários que possuem permissão, em virtude da melhor infraestrutura de sistemas de</w:t>
      </w:r>
      <w:r w:rsidRPr="00DC600E">
        <w:rPr>
          <w:sz w:val="23"/>
          <w:szCs w:val="23"/>
        </w:rPr>
        <w:t xml:space="preserve"> </w:t>
      </w:r>
      <w:r w:rsidR="00671DC1" w:rsidRPr="00DC600E">
        <w:rPr>
          <w:sz w:val="23"/>
          <w:szCs w:val="23"/>
        </w:rPr>
        <w:t xml:space="preserve">informação existentes (conexão de rede, estrutura de dados) e </w:t>
      </w:r>
      <w:r w:rsidR="00671DC1" w:rsidRPr="00DC600E">
        <w:rPr>
          <w:i/>
          <w:iCs/>
          <w:sz w:val="23"/>
          <w:szCs w:val="23"/>
        </w:rPr>
        <w:t xml:space="preserve">softwares </w:t>
      </w:r>
      <w:r w:rsidR="00671DC1" w:rsidRPr="00DC600E">
        <w:rPr>
          <w:sz w:val="23"/>
          <w:szCs w:val="23"/>
        </w:rPr>
        <w:t>(sistemas</w:t>
      </w:r>
      <w:r w:rsidRPr="00DC600E">
        <w:rPr>
          <w:sz w:val="23"/>
          <w:szCs w:val="23"/>
        </w:rPr>
        <w:t xml:space="preserve"> </w:t>
      </w:r>
      <w:r w:rsidR="00671DC1" w:rsidRPr="00DC600E">
        <w:rPr>
          <w:sz w:val="23"/>
          <w:szCs w:val="23"/>
        </w:rPr>
        <w:t>corporativos) disponíveis (</w:t>
      </w:r>
      <w:proofErr w:type="spellStart"/>
      <w:r w:rsidR="00CD2F95" w:rsidRPr="00DC600E">
        <w:rPr>
          <w:sz w:val="23"/>
          <w:szCs w:val="23"/>
        </w:rPr>
        <w:t>Kumar</w:t>
      </w:r>
      <w:proofErr w:type="spellEnd"/>
      <w:r w:rsidR="00CD2F95" w:rsidRPr="00DC600E">
        <w:rPr>
          <w:sz w:val="23"/>
          <w:szCs w:val="23"/>
        </w:rPr>
        <w:t xml:space="preserve"> &amp; </w:t>
      </w:r>
      <w:proofErr w:type="spellStart"/>
      <w:r w:rsidR="00671DC1" w:rsidRPr="00DC600E">
        <w:rPr>
          <w:sz w:val="23"/>
          <w:szCs w:val="23"/>
        </w:rPr>
        <w:t>M</w:t>
      </w:r>
      <w:r w:rsidR="00CD2F95" w:rsidRPr="00DC600E">
        <w:rPr>
          <w:sz w:val="23"/>
          <w:szCs w:val="23"/>
        </w:rPr>
        <w:t>ishra</w:t>
      </w:r>
      <w:proofErr w:type="spellEnd"/>
      <w:r w:rsidR="00671DC1" w:rsidRPr="00DC600E">
        <w:rPr>
          <w:sz w:val="23"/>
          <w:szCs w:val="23"/>
        </w:rPr>
        <w:t>, 2014).</w:t>
      </w:r>
    </w:p>
    <w:p w:rsidR="00671DC1" w:rsidRPr="00DC600E" w:rsidRDefault="00A55111" w:rsidP="00C9162C">
      <w:pPr>
        <w:autoSpaceDE w:val="0"/>
        <w:autoSpaceDN w:val="0"/>
        <w:adjustRightInd w:val="0"/>
        <w:ind w:firstLine="708"/>
        <w:rPr>
          <w:sz w:val="23"/>
          <w:szCs w:val="23"/>
        </w:rPr>
      </w:pPr>
      <w:r w:rsidRPr="00DC600E">
        <w:rPr>
          <w:sz w:val="23"/>
          <w:szCs w:val="23"/>
        </w:rPr>
        <w:t xml:space="preserve">Conforme explicam Vickery et al., </w:t>
      </w:r>
      <w:r w:rsidR="00671DC1" w:rsidRPr="00DC600E">
        <w:rPr>
          <w:sz w:val="23"/>
          <w:szCs w:val="23"/>
        </w:rPr>
        <w:t>(2003), os sistemas eletrônicos de dados integram</w:t>
      </w:r>
      <w:r w:rsidR="00E26F83" w:rsidRPr="00DC600E">
        <w:rPr>
          <w:sz w:val="23"/>
          <w:szCs w:val="23"/>
        </w:rPr>
        <w:t xml:space="preserve"> </w:t>
      </w:r>
      <w:r w:rsidR="00671DC1" w:rsidRPr="00DC600E">
        <w:rPr>
          <w:sz w:val="23"/>
          <w:szCs w:val="23"/>
        </w:rPr>
        <w:t>documentos eletrônicos nos sistemas de negócios sem nenhuma intervenção manual,</w:t>
      </w:r>
      <w:r w:rsidR="005A0DA6" w:rsidRPr="00DC600E">
        <w:rPr>
          <w:sz w:val="23"/>
          <w:szCs w:val="23"/>
        </w:rPr>
        <w:t xml:space="preserve"> </w:t>
      </w:r>
      <w:r w:rsidR="00671DC1" w:rsidRPr="00DC600E">
        <w:rPr>
          <w:sz w:val="23"/>
          <w:szCs w:val="23"/>
        </w:rPr>
        <w:t xml:space="preserve">proporcionando um sistema de </w:t>
      </w:r>
      <w:r w:rsidR="00E26F83" w:rsidRPr="00DC600E">
        <w:rPr>
          <w:sz w:val="23"/>
          <w:szCs w:val="23"/>
        </w:rPr>
        <w:t>compartilhamento de dados entre</w:t>
      </w:r>
      <w:r w:rsidR="00671DC1" w:rsidRPr="00DC600E">
        <w:rPr>
          <w:sz w:val="23"/>
          <w:szCs w:val="23"/>
        </w:rPr>
        <w:t xml:space="preserve"> as</w:t>
      </w:r>
      <w:r w:rsidR="00E26F83" w:rsidRPr="00DC600E">
        <w:rPr>
          <w:sz w:val="23"/>
          <w:szCs w:val="23"/>
        </w:rPr>
        <w:t xml:space="preserve"> </w:t>
      </w:r>
      <w:r w:rsidR="00671DC1" w:rsidRPr="00DC600E">
        <w:rPr>
          <w:sz w:val="23"/>
          <w:szCs w:val="23"/>
        </w:rPr>
        <w:t>empresas parceiras</w:t>
      </w:r>
      <w:r w:rsidR="00E26F83" w:rsidRPr="00DC600E">
        <w:rPr>
          <w:sz w:val="23"/>
          <w:szCs w:val="23"/>
        </w:rPr>
        <w:t>, e também entre setores (internamente)</w:t>
      </w:r>
      <w:r w:rsidR="00671DC1" w:rsidRPr="00DC600E">
        <w:rPr>
          <w:sz w:val="23"/>
          <w:szCs w:val="23"/>
        </w:rPr>
        <w:t xml:space="preserve">. </w:t>
      </w:r>
    </w:p>
    <w:p w:rsidR="00DD36ED" w:rsidRPr="00DC600E" w:rsidRDefault="00DD36ED" w:rsidP="00F87331">
      <w:pPr>
        <w:spacing w:line="240" w:lineRule="exact"/>
        <w:rPr>
          <w:sz w:val="23"/>
          <w:szCs w:val="23"/>
        </w:rPr>
      </w:pPr>
    </w:p>
    <w:p w:rsidR="00DD36ED" w:rsidRPr="00931024" w:rsidRDefault="004A40B6" w:rsidP="00DD36ED">
      <w:pPr>
        <w:pStyle w:val="Ttulo2"/>
        <w:rPr>
          <w:rFonts w:cs="Times New Roman"/>
          <w:b/>
        </w:rPr>
      </w:pPr>
      <w:r w:rsidRPr="00931024">
        <w:rPr>
          <w:rFonts w:cs="Times New Roman"/>
          <w:b/>
          <w:caps w:val="0"/>
        </w:rPr>
        <w:t>2. 2 Capacidade absortiva</w:t>
      </w:r>
    </w:p>
    <w:p w:rsidR="00DC2031" w:rsidRPr="00DC600E" w:rsidRDefault="003574D8" w:rsidP="00DC2031">
      <w:pPr>
        <w:ind w:firstLine="708"/>
        <w:rPr>
          <w:sz w:val="23"/>
          <w:szCs w:val="23"/>
        </w:rPr>
      </w:pPr>
      <w:r w:rsidRPr="00DC600E">
        <w:rPr>
          <w:sz w:val="23"/>
          <w:szCs w:val="23"/>
        </w:rPr>
        <w:t xml:space="preserve">A definição do que vem a ser a capacidade absortiva foi originalmente </w:t>
      </w:r>
      <w:r w:rsidR="00DC2031" w:rsidRPr="00DC600E">
        <w:rPr>
          <w:sz w:val="23"/>
          <w:szCs w:val="23"/>
        </w:rPr>
        <w:t xml:space="preserve">esboçada por </w:t>
      </w:r>
      <w:r w:rsidR="008E5286" w:rsidRPr="00DC600E">
        <w:rPr>
          <w:sz w:val="23"/>
          <w:szCs w:val="23"/>
        </w:rPr>
        <w:t>Cohen e Levinthal (1990), que a definiram como</w:t>
      </w:r>
      <w:r w:rsidR="00DC2031" w:rsidRPr="00DC600E">
        <w:rPr>
          <w:sz w:val="23"/>
          <w:szCs w:val="23"/>
        </w:rPr>
        <w:t xml:space="preserve"> a capacidade da empresa em reconhecer o valor das informações disponibilizadas externamente, assimilá-las e aplica-las </w:t>
      </w:r>
      <w:r w:rsidR="00683AF8" w:rsidRPr="00DC600E">
        <w:rPr>
          <w:sz w:val="23"/>
          <w:szCs w:val="23"/>
        </w:rPr>
        <w:t xml:space="preserve">no seu contexto. Na concepção dos autores, a competência em valorar conhecimentos/informações externas relaciona-se à base de conhecimento que empresa possui, uma vez que, </w:t>
      </w:r>
      <w:r w:rsidR="00E16470" w:rsidRPr="00DC600E">
        <w:rPr>
          <w:sz w:val="23"/>
          <w:szCs w:val="23"/>
        </w:rPr>
        <w:t>ao</w:t>
      </w:r>
      <w:r w:rsidR="00683AF8" w:rsidRPr="00DC600E">
        <w:rPr>
          <w:sz w:val="23"/>
          <w:szCs w:val="23"/>
        </w:rPr>
        <w:t xml:space="preserve"> empregar o que já é do seu domínio e conhecimento, pode delinear os itens que deve perceber externamente, para aprimorar os processos por ela realizados.</w:t>
      </w:r>
    </w:p>
    <w:p w:rsidR="004D3BFF" w:rsidRPr="00511410" w:rsidRDefault="004D3BFF" w:rsidP="001908DC">
      <w:pPr>
        <w:autoSpaceDE w:val="0"/>
        <w:autoSpaceDN w:val="0"/>
        <w:adjustRightInd w:val="0"/>
        <w:ind w:firstLine="708"/>
        <w:rPr>
          <w:szCs w:val="24"/>
        </w:rPr>
      </w:pPr>
      <w:bookmarkStart w:id="0" w:name="_GoBack"/>
      <w:bookmarkEnd w:id="0"/>
      <w:r w:rsidRPr="00511410">
        <w:rPr>
          <w:szCs w:val="24"/>
        </w:rPr>
        <w:t>Resulta do efeito</w:t>
      </w:r>
      <w:r w:rsidR="001908DC" w:rsidRPr="00511410">
        <w:rPr>
          <w:szCs w:val="24"/>
        </w:rPr>
        <w:t xml:space="preserve"> </w:t>
      </w:r>
      <w:r w:rsidRPr="00511410">
        <w:rPr>
          <w:szCs w:val="24"/>
        </w:rPr>
        <w:t>cumulativo da aprendizagem con</w:t>
      </w:r>
      <w:r w:rsidR="001908DC" w:rsidRPr="00511410">
        <w:rPr>
          <w:szCs w:val="24"/>
        </w:rPr>
        <w:t>tínua (</w:t>
      </w:r>
      <w:r w:rsidR="007F38FD" w:rsidRPr="00511410">
        <w:rPr>
          <w:szCs w:val="24"/>
        </w:rPr>
        <w:t>Cohen &amp;</w:t>
      </w:r>
      <w:r w:rsidR="001908DC" w:rsidRPr="00511410">
        <w:rPr>
          <w:szCs w:val="24"/>
        </w:rPr>
        <w:t xml:space="preserve"> L</w:t>
      </w:r>
      <w:r w:rsidR="007F38FD" w:rsidRPr="00511410">
        <w:rPr>
          <w:szCs w:val="24"/>
        </w:rPr>
        <w:t>evinthal</w:t>
      </w:r>
      <w:r w:rsidR="001908DC" w:rsidRPr="00511410">
        <w:rPr>
          <w:szCs w:val="24"/>
        </w:rPr>
        <w:t>, 1990). Desta forma, t</w:t>
      </w:r>
      <w:r w:rsidRPr="00511410">
        <w:rPr>
          <w:szCs w:val="24"/>
        </w:rPr>
        <w:t>ais elementos contribuem para o aprimoramento dos recursos disponíveis</w:t>
      </w:r>
      <w:r w:rsidR="001908DC" w:rsidRPr="00511410">
        <w:rPr>
          <w:szCs w:val="24"/>
        </w:rPr>
        <w:t xml:space="preserve"> </w:t>
      </w:r>
      <w:r w:rsidRPr="00511410">
        <w:rPr>
          <w:szCs w:val="24"/>
        </w:rPr>
        <w:t>na firma (</w:t>
      </w:r>
      <w:r w:rsidR="00CB008F" w:rsidRPr="00511410">
        <w:rPr>
          <w:szCs w:val="24"/>
        </w:rPr>
        <w:t>Das &amp;</w:t>
      </w:r>
      <w:r w:rsidRPr="00511410">
        <w:rPr>
          <w:szCs w:val="24"/>
        </w:rPr>
        <w:t xml:space="preserve"> T</w:t>
      </w:r>
      <w:r w:rsidR="00CB008F" w:rsidRPr="00511410">
        <w:rPr>
          <w:szCs w:val="24"/>
        </w:rPr>
        <w:t>eng,</w:t>
      </w:r>
      <w:r w:rsidRPr="00511410">
        <w:rPr>
          <w:szCs w:val="24"/>
        </w:rPr>
        <w:t xml:space="preserve"> 2000).</w:t>
      </w:r>
    </w:p>
    <w:p w:rsidR="00B94CEA" w:rsidRPr="00511410" w:rsidRDefault="00B113B3" w:rsidP="00304ED6">
      <w:pPr>
        <w:autoSpaceDE w:val="0"/>
        <w:autoSpaceDN w:val="0"/>
        <w:adjustRightInd w:val="0"/>
        <w:ind w:firstLine="708"/>
        <w:rPr>
          <w:szCs w:val="24"/>
        </w:rPr>
      </w:pPr>
      <w:r w:rsidRPr="00511410">
        <w:rPr>
          <w:szCs w:val="24"/>
        </w:rPr>
        <w:t xml:space="preserve">Fayard et al. (2012), em seu estudo, destacou que </w:t>
      </w:r>
      <w:r w:rsidR="004D3BFF" w:rsidRPr="00511410">
        <w:rPr>
          <w:szCs w:val="24"/>
        </w:rPr>
        <w:t>a capacidade absortiva das empresas</w:t>
      </w:r>
      <w:r w:rsidR="00D34461" w:rsidRPr="00511410">
        <w:rPr>
          <w:szCs w:val="24"/>
        </w:rPr>
        <w:t xml:space="preserve"> </w:t>
      </w:r>
      <w:r w:rsidR="004D3BFF" w:rsidRPr="00511410">
        <w:rPr>
          <w:szCs w:val="24"/>
        </w:rPr>
        <w:t>que estabelecem alianças estratégicas é determinada por três componentes principais, sendo</w:t>
      </w:r>
      <w:r w:rsidR="00D34461" w:rsidRPr="00511410">
        <w:rPr>
          <w:szCs w:val="24"/>
        </w:rPr>
        <w:t xml:space="preserve"> </w:t>
      </w:r>
      <w:r w:rsidR="004D3BFF" w:rsidRPr="00511410">
        <w:rPr>
          <w:szCs w:val="24"/>
        </w:rPr>
        <w:t>estes: o conhecimento, a rede de comunicação e o clima de comunicação (</w:t>
      </w:r>
      <w:r w:rsidR="00D56B2A" w:rsidRPr="00511410">
        <w:rPr>
          <w:szCs w:val="24"/>
        </w:rPr>
        <w:t>Brown</w:t>
      </w:r>
      <w:r w:rsidR="004D3BFF" w:rsidRPr="00511410">
        <w:rPr>
          <w:szCs w:val="24"/>
        </w:rPr>
        <w:t xml:space="preserve">, 1997; </w:t>
      </w:r>
      <w:r w:rsidR="000A7CAB" w:rsidRPr="00511410">
        <w:rPr>
          <w:szCs w:val="24"/>
        </w:rPr>
        <w:t>Tu</w:t>
      </w:r>
      <w:r w:rsidR="00A95EED" w:rsidRPr="00511410">
        <w:rPr>
          <w:szCs w:val="24"/>
        </w:rPr>
        <w:t xml:space="preserve">, </w:t>
      </w:r>
      <w:r w:rsidR="000A7CAB" w:rsidRPr="00511410">
        <w:rPr>
          <w:szCs w:val="24"/>
        </w:rPr>
        <w:t>Vonderembse</w:t>
      </w:r>
      <w:r w:rsidR="00A95EED" w:rsidRPr="00511410">
        <w:rPr>
          <w:szCs w:val="24"/>
        </w:rPr>
        <w:t xml:space="preserve">, </w:t>
      </w:r>
      <w:r w:rsidR="000A7CAB" w:rsidRPr="00511410">
        <w:rPr>
          <w:szCs w:val="24"/>
        </w:rPr>
        <w:t>Ragu</w:t>
      </w:r>
      <w:r w:rsidR="00A95EED" w:rsidRPr="00511410">
        <w:rPr>
          <w:szCs w:val="24"/>
        </w:rPr>
        <w:t>-</w:t>
      </w:r>
      <w:r w:rsidR="000A7CAB" w:rsidRPr="00511410">
        <w:rPr>
          <w:szCs w:val="24"/>
        </w:rPr>
        <w:t xml:space="preserve">Nathan </w:t>
      </w:r>
      <w:r w:rsidR="00A95EED" w:rsidRPr="00511410">
        <w:rPr>
          <w:szCs w:val="24"/>
        </w:rPr>
        <w:t xml:space="preserve">&amp; </w:t>
      </w:r>
      <w:proofErr w:type="spellStart"/>
      <w:r w:rsidR="000A7CAB" w:rsidRPr="00511410">
        <w:rPr>
          <w:szCs w:val="24"/>
        </w:rPr>
        <w:t>Sharkey</w:t>
      </w:r>
      <w:proofErr w:type="spellEnd"/>
      <w:r w:rsidR="004D3BFF" w:rsidRPr="00511410">
        <w:rPr>
          <w:szCs w:val="24"/>
        </w:rPr>
        <w:t xml:space="preserve">, 2006; </w:t>
      </w:r>
      <w:r w:rsidR="000A7CAB" w:rsidRPr="00511410">
        <w:rPr>
          <w:szCs w:val="24"/>
        </w:rPr>
        <w:t xml:space="preserve">Fayard </w:t>
      </w:r>
      <w:r w:rsidR="004D3BFF" w:rsidRPr="00511410">
        <w:rPr>
          <w:szCs w:val="24"/>
        </w:rPr>
        <w:t>et al., 2012). A aprendizagem organizacional depende diretamente da</w:t>
      </w:r>
      <w:r w:rsidR="00D34461" w:rsidRPr="00511410">
        <w:rPr>
          <w:szCs w:val="24"/>
        </w:rPr>
        <w:t xml:space="preserve"> </w:t>
      </w:r>
      <w:r w:rsidR="004D3BFF" w:rsidRPr="00511410">
        <w:rPr>
          <w:szCs w:val="24"/>
        </w:rPr>
        <w:t>aprendizagem dos seus empregados (</w:t>
      </w:r>
      <w:proofErr w:type="spellStart"/>
      <w:r w:rsidR="00692DB3" w:rsidRPr="00511410">
        <w:rPr>
          <w:szCs w:val="24"/>
        </w:rPr>
        <w:t>Nicolini</w:t>
      </w:r>
      <w:proofErr w:type="spellEnd"/>
      <w:r w:rsidR="0048288B" w:rsidRPr="00511410">
        <w:rPr>
          <w:szCs w:val="24"/>
        </w:rPr>
        <w:t xml:space="preserve"> &amp; </w:t>
      </w:r>
      <w:proofErr w:type="spellStart"/>
      <w:r w:rsidR="00692DB3" w:rsidRPr="00511410">
        <w:rPr>
          <w:szCs w:val="24"/>
        </w:rPr>
        <w:lastRenderedPageBreak/>
        <w:t>Meznar</w:t>
      </w:r>
      <w:proofErr w:type="spellEnd"/>
      <w:r w:rsidR="004D3BFF" w:rsidRPr="00511410">
        <w:rPr>
          <w:szCs w:val="24"/>
        </w:rPr>
        <w:t>, 1995). Logo, o conhecimento</w:t>
      </w:r>
      <w:r w:rsidR="00D34461" w:rsidRPr="00511410">
        <w:rPr>
          <w:szCs w:val="24"/>
        </w:rPr>
        <w:t xml:space="preserve"> </w:t>
      </w:r>
      <w:r w:rsidR="004D3BFF" w:rsidRPr="00511410">
        <w:rPr>
          <w:szCs w:val="24"/>
        </w:rPr>
        <w:t>prévio facilita a aquisição, assimilação, transformação e aplicação de novos conhecimentos</w:t>
      </w:r>
      <w:r w:rsidR="00D34461" w:rsidRPr="00511410">
        <w:rPr>
          <w:szCs w:val="24"/>
        </w:rPr>
        <w:t xml:space="preserve"> </w:t>
      </w:r>
      <w:r w:rsidR="004D3BFF" w:rsidRPr="00511410">
        <w:rPr>
          <w:szCs w:val="24"/>
        </w:rPr>
        <w:t>externos nas atividades desenvolvidas pela empresa (</w:t>
      </w:r>
      <w:r w:rsidR="006B100F" w:rsidRPr="00511410">
        <w:rPr>
          <w:szCs w:val="24"/>
        </w:rPr>
        <w:t xml:space="preserve">Cohen &amp; </w:t>
      </w:r>
      <w:r w:rsidR="004D3BFF" w:rsidRPr="00511410">
        <w:rPr>
          <w:szCs w:val="24"/>
        </w:rPr>
        <w:t>L</w:t>
      </w:r>
      <w:r w:rsidR="006B100F" w:rsidRPr="00511410">
        <w:rPr>
          <w:szCs w:val="24"/>
        </w:rPr>
        <w:t>evinthal</w:t>
      </w:r>
      <w:r w:rsidR="004D3BFF" w:rsidRPr="00511410">
        <w:rPr>
          <w:szCs w:val="24"/>
        </w:rPr>
        <w:t xml:space="preserve">, 1990; </w:t>
      </w:r>
      <w:proofErr w:type="spellStart"/>
      <w:r w:rsidR="004D3BFF" w:rsidRPr="00511410">
        <w:rPr>
          <w:szCs w:val="24"/>
        </w:rPr>
        <w:t>Z</w:t>
      </w:r>
      <w:r w:rsidR="006B100F" w:rsidRPr="00511410">
        <w:rPr>
          <w:szCs w:val="24"/>
        </w:rPr>
        <w:t>ahra</w:t>
      </w:r>
      <w:proofErr w:type="spellEnd"/>
      <w:r w:rsidR="006B100F" w:rsidRPr="00511410">
        <w:rPr>
          <w:szCs w:val="24"/>
        </w:rPr>
        <w:t xml:space="preserve"> &amp;</w:t>
      </w:r>
      <w:r w:rsidR="00D34461" w:rsidRPr="00511410">
        <w:rPr>
          <w:szCs w:val="24"/>
        </w:rPr>
        <w:t xml:space="preserve"> </w:t>
      </w:r>
      <w:r w:rsidR="004D3BFF" w:rsidRPr="00511410">
        <w:rPr>
          <w:szCs w:val="24"/>
        </w:rPr>
        <w:t>G</w:t>
      </w:r>
      <w:r w:rsidR="006B100F" w:rsidRPr="00511410">
        <w:rPr>
          <w:szCs w:val="24"/>
        </w:rPr>
        <w:t>eorge</w:t>
      </w:r>
      <w:r w:rsidR="004D3BFF" w:rsidRPr="00511410">
        <w:rPr>
          <w:szCs w:val="24"/>
        </w:rPr>
        <w:t>, 2002)</w:t>
      </w:r>
      <w:r w:rsidR="00627E3D" w:rsidRPr="00511410">
        <w:rPr>
          <w:szCs w:val="24"/>
        </w:rPr>
        <w:t>.</w:t>
      </w:r>
    </w:p>
    <w:p w:rsidR="004D3BFF" w:rsidRPr="00DC600E" w:rsidRDefault="00304ED6" w:rsidP="00D639A3">
      <w:pPr>
        <w:autoSpaceDE w:val="0"/>
        <w:autoSpaceDN w:val="0"/>
        <w:adjustRightInd w:val="0"/>
        <w:ind w:firstLine="708"/>
        <w:rPr>
          <w:sz w:val="23"/>
          <w:szCs w:val="23"/>
        </w:rPr>
      </w:pPr>
      <w:r w:rsidRPr="00DC600E">
        <w:rPr>
          <w:sz w:val="23"/>
          <w:szCs w:val="23"/>
        </w:rPr>
        <w:t xml:space="preserve">Outrossim, têm-se que </w:t>
      </w:r>
      <w:r w:rsidR="004D3BFF" w:rsidRPr="00DC600E">
        <w:rPr>
          <w:sz w:val="23"/>
          <w:szCs w:val="23"/>
        </w:rPr>
        <w:t>nos relacionamentos interorganizacionais, a</w:t>
      </w:r>
      <w:r w:rsidRPr="00DC600E">
        <w:rPr>
          <w:sz w:val="23"/>
          <w:szCs w:val="23"/>
        </w:rPr>
        <w:t xml:space="preserve"> </w:t>
      </w:r>
      <w:r w:rsidR="004D3BFF" w:rsidRPr="00DC600E">
        <w:rPr>
          <w:sz w:val="23"/>
          <w:szCs w:val="23"/>
        </w:rPr>
        <w:t xml:space="preserve">rede de comunicações </w:t>
      </w:r>
      <w:r w:rsidRPr="00DC600E">
        <w:rPr>
          <w:sz w:val="23"/>
          <w:szCs w:val="23"/>
        </w:rPr>
        <w:t>é</w:t>
      </w:r>
      <w:r w:rsidR="004D3BFF" w:rsidRPr="00DC600E">
        <w:rPr>
          <w:sz w:val="23"/>
          <w:szCs w:val="23"/>
        </w:rPr>
        <w:t xml:space="preserve"> outro elemento fundamental ao desenvolvimento da capacidade</w:t>
      </w:r>
      <w:r w:rsidRPr="00DC600E">
        <w:rPr>
          <w:sz w:val="23"/>
          <w:szCs w:val="23"/>
        </w:rPr>
        <w:t xml:space="preserve"> </w:t>
      </w:r>
      <w:r w:rsidR="004D3BFF" w:rsidRPr="00DC600E">
        <w:rPr>
          <w:sz w:val="23"/>
          <w:szCs w:val="23"/>
        </w:rPr>
        <w:t>absortiva das empresas. A rede de comunicações é descrita como sendo as conexões</w:t>
      </w:r>
      <w:r w:rsidRPr="00DC600E">
        <w:rPr>
          <w:sz w:val="23"/>
          <w:szCs w:val="23"/>
        </w:rPr>
        <w:t xml:space="preserve"> </w:t>
      </w:r>
      <w:r w:rsidR="004D3BFF" w:rsidRPr="00DC600E">
        <w:rPr>
          <w:sz w:val="23"/>
          <w:szCs w:val="23"/>
        </w:rPr>
        <w:t>estruturais que trazem fluxos de informação e conhecimento para organizações parceiras, a</w:t>
      </w:r>
      <w:r w:rsidRPr="00DC600E">
        <w:rPr>
          <w:sz w:val="23"/>
          <w:szCs w:val="23"/>
        </w:rPr>
        <w:t xml:space="preserve"> </w:t>
      </w:r>
      <w:r w:rsidR="004D3BFF" w:rsidRPr="00DC600E">
        <w:rPr>
          <w:sz w:val="23"/>
          <w:szCs w:val="23"/>
        </w:rPr>
        <w:t>partir da comunicação estabelecida entre os funcionários (gestores) destas empresas (</w:t>
      </w:r>
      <w:r w:rsidR="00102FCF" w:rsidRPr="00DC600E">
        <w:rPr>
          <w:sz w:val="23"/>
          <w:szCs w:val="23"/>
        </w:rPr>
        <w:t xml:space="preserve">Tu </w:t>
      </w:r>
      <w:r w:rsidR="004D3BFF" w:rsidRPr="00DC600E">
        <w:rPr>
          <w:sz w:val="23"/>
          <w:szCs w:val="23"/>
        </w:rPr>
        <w:t>et</w:t>
      </w:r>
      <w:r w:rsidRPr="00DC600E">
        <w:rPr>
          <w:sz w:val="23"/>
          <w:szCs w:val="23"/>
        </w:rPr>
        <w:t xml:space="preserve"> </w:t>
      </w:r>
      <w:r w:rsidR="00EE1F90" w:rsidRPr="00DC600E">
        <w:rPr>
          <w:sz w:val="23"/>
          <w:szCs w:val="23"/>
        </w:rPr>
        <w:t>al., 2006).</w:t>
      </w:r>
      <w:r w:rsidR="00803427" w:rsidRPr="00DC600E">
        <w:rPr>
          <w:sz w:val="23"/>
          <w:szCs w:val="23"/>
        </w:rPr>
        <w:t xml:space="preserve"> </w:t>
      </w:r>
      <w:r w:rsidR="00D639A3">
        <w:rPr>
          <w:sz w:val="23"/>
          <w:szCs w:val="23"/>
        </w:rPr>
        <w:t xml:space="preserve"> </w:t>
      </w:r>
      <w:r w:rsidR="004D3BFF" w:rsidRPr="00DC600E">
        <w:rPr>
          <w:sz w:val="23"/>
          <w:szCs w:val="23"/>
        </w:rPr>
        <w:t>Portanto, a rede de comunicação tem sido abordada como um</w:t>
      </w:r>
      <w:r w:rsidR="00803427" w:rsidRPr="00DC600E">
        <w:rPr>
          <w:sz w:val="23"/>
          <w:szCs w:val="23"/>
        </w:rPr>
        <w:t xml:space="preserve"> </w:t>
      </w:r>
      <w:r w:rsidR="004D3BFF" w:rsidRPr="00DC600E">
        <w:rPr>
          <w:sz w:val="23"/>
          <w:szCs w:val="23"/>
        </w:rPr>
        <w:t>importante recurso para a transferência de conhecimentos e a promoção de capacidades de</w:t>
      </w:r>
      <w:r w:rsidR="00803427" w:rsidRPr="00DC600E">
        <w:rPr>
          <w:sz w:val="23"/>
          <w:szCs w:val="23"/>
        </w:rPr>
        <w:t xml:space="preserve"> </w:t>
      </w:r>
      <w:r w:rsidR="004D3BFF" w:rsidRPr="00DC600E">
        <w:rPr>
          <w:sz w:val="23"/>
          <w:szCs w:val="23"/>
        </w:rPr>
        <w:t>aprendizagem organizacional (</w:t>
      </w:r>
      <w:proofErr w:type="spellStart"/>
      <w:r w:rsidR="00E23EC4" w:rsidRPr="00DC600E">
        <w:rPr>
          <w:sz w:val="23"/>
          <w:szCs w:val="23"/>
        </w:rPr>
        <w:t>Tsai</w:t>
      </w:r>
      <w:proofErr w:type="spellEnd"/>
      <w:r w:rsidR="004D3BFF" w:rsidRPr="00DC600E">
        <w:rPr>
          <w:sz w:val="23"/>
          <w:szCs w:val="23"/>
        </w:rPr>
        <w:t>, 2001).</w:t>
      </w:r>
    </w:p>
    <w:p w:rsidR="00B50E51" w:rsidRPr="00DC600E" w:rsidRDefault="00E95F1F" w:rsidP="00B50E51">
      <w:pPr>
        <w:autoSpaceDE w:val="0"/>
        <w:autoSpaceDN w:val="0"/>
        <w:adjustRightInd w:val="0"/>
        <w:ind w:firstLine="708"/>
        <w:rPr>
          <w:sz w:val="23"/>
          <w:szCs w:val="23"/>
        </w:rPr>
      </w:pPr>
      <w:r w:rsidRPr="00DC600E">
        <w:rPr>
          <w:sz w:val="23"/>
          <w:szCs w:val="23"/>
        </w:rPr>
        <w:t>Por fim, o</w:t>
      </w:r>
      <w:r w:rsidR="004D3BFF" w:rsidRPr="00DC600E">
        <w:rPr>
          <w:sz w:val="23"/>
          <w:szCs w:val="23"/>
        </w:rPr>
        <w:t xml:space="preserve"> terceiro elemento que favorece o desenvolvimento da capacidade absortiva das</w:t>
      </w:r>
      <w:r w:rsidRPr="00DC600E">
        <w:rPr>
          <w:sz w:val="23"/>
          <w:szCs w:val="23"/>
        </w:rPr>
        <w:t xml:space="preserve"> </w:t>
      </w:r>
      <w:r w:rsidR="004D3BFF" w:rsidRPr="00DC600E">
        <w:rPr>
          <w:sz w:val="23"/>
          <w:szCs w:val="23"/>
        </w:rPr>
        <w:t>empresas que estabelecem alianças estratégicas é o clima de comunicação, que se refere ao</w:t>
      </w:r>
      <w:r w:rsidRPr="00DC600E">
        <w:rPr>
          <w:sz w:val="23"/>
          <w:szCs w:val="23"/>
        </w:rPr>
        <w:t xml:space="preserve"> </w:t>
      </w:r>
      <w:r w:rsidR="004D3BFF" w:rsidRPr="00DC600E">
        <w:rPr>
          <w:sz w:val="23"/>
          <w:szCs w:val="23"/>
        </w:rPr>
        <w:t>relacionamento estabelecido entre os gestores e entre as organizações, sendo que este pode</w:t>
      </w:r>
      <w:r w:rsidRPr="00DC600E">
        <w:rPr>
          <w:sz w:val="23"/>
          <w:szCs w:val="23"/>
        </w:rPr>
        <w:t xml:space="preserve"> </w:t>
      </w:r>
      <w:r w:rsidR="004D3BFF" w:rsidRPr="00DC600E">
        <w:rPr>
          <w:sz w:val="23"/>
          <w:szCs w:val="23"/>
        </w:rPr>
        <w:t>facilitar ou dificultar os processos de comunicação (BROWN, 1997).</w:t>
      </w:r>
      <w:r w:rsidR="00B50E51" w:rsidRPr="00DC600E">
        <w:rPr>
          <w:sz w:val="23"/>
          <w:szCs w:val="23"/>
        </w:rPr>
        <w:t xml:space="preserve"> </w:t>
      </w:r>
    </w:p>
    <w:p w:rsidR="004D3BFF" w:rsidRPr="00DC600E" w:rsidRDefault="00B50E51" w:rsidP="00B50E51">
      <w:pPr>
        <w:autoSpaceDE w:val="0"/>
        <w:autoSpaceDN w:val="0"/>
        <w:adjustRightInd w:val="0"/>
        <w:ind w:firstLine="708"/>
        <w:rPr>
          <w:sz w:val="23"/>
          <w:szCs w:val="23"/>
        </w:rPr>
      </w:pPr>
      <w:r w:rsidRPr="00DC600E">
        <w:rPr>
          <w:sz w:val="23"/>
          <w:szCs w:val="23"/>
        </w:rPr>
        <w:t xml:space="preserve">Por conseguinte, </w:t>
      </w:r>
      <w:r w:rsidR="004D3BFF" w:rsidRPr="00DC600E">
        <w:rPr>
          <w:sz w:val="23"/>
          <w:szCs w:val="23"/>
        </w:rPr>
        <w:t>quando estes três com</w:t>
      </w:r>
      <w:r w:rsidR="0090564E">
        <w:rPr>
          <w:sz w:val="23"/>
          <w:szCs w:val="23"/>
        </w:rPr>
        <w:t>ponentes principais</w:t>
      </w:r>
      <w:r w:rsidR="004D3BFF" w:rsidRPr="00DC600E">
        <w:rPr>
          <w:sz w:val="23"/>
          <w:szCs w:val="23"/>
        </w:rPr>
        <w:t xml:space="preserve"> se fazem presentes, cria-se um ambiente favorável ao</w:t>
      </w:r>
      <w:r w:rsidRPr="00DC600E">
        <w:rPr>
          <w:sz w:val="23"/>
          <w:szCs w:val="23"/>
        </w:rPr>
        <w:t xml:space="preserve"> </w:t>
      </w:r>
      <w:r w:rsidR="004D3BFF" w:rsidRPr="00DC600E">
        <w:rPr>
          <w:sz w:val="23"/>
          <w:szCs w:val="23"/>
        </w:rPr>
        <w:t>desenvolvimento de ações conjuntas, na qual todos trabalham para o alcance das metas</w:t>
      </w:r>
      <w:r w:rsidRPr="00DC600E">
        <w:rPr>
          <w:sz w:val="23"/>
          <w:szCs w:val="23"/>
        </w:rPr>
        <w:t xml:space="preserve"> </w:t>
      </w:r>
      <w:r w:rsidR="004D3BFF" w:rsidRPr="00DC600E">
        <w:rPr>
          <w:sz w:val="23"/>
          <w:szCs w:val="23"/>
        </w:rPr>
        <w:t>organizacionais estabelecidas (</w:t>
      </w:r>
      <w:r w:rsidR="00A70DFF" w:rsidRPr="00DC600E">
        <w:rPr>
          <w:sz w:val="23"/>
          <w:szCs w:val="23"/>
        </w:rPr>
        <w:t xml:space="preserve">Tu </w:t>
      </w:r>
      <w:r w:rsidR="004D3BFF" w:rsidRPr="00DC600E">
        <w:rPr>
          <w:sz w:val="23"/>
          <w:szCs w:val="23"/>
        </w:rPr>
        <w:t xml:space="preserve">et al., 2006). </w:t>
      </w:r>
    </w:p>
    <w:p w:rsidR="00DD36ED" w:rsidRPr="00190A95" w:rsidRDefault="00786ED2" w:rsidP="00786ED2">
      <w:pPr>
        <w:autoSpaceDE w:val="0"/>
        <w:autoSpaceDN w:val="0"/>
        <w:adjustRightInd w:val="0"/>
        <w:ind w:firstLine="708"/>
        <w:rPr>
          <w:szCs w:val="24"/>
        </w:rPr>
      </w:pPr>
      <w:r w:rsidRPr="00190A95">
        <w:rPr>
          <w:szCs w:val="24"/>
        </w:rPr>
        <w:t>A literatura sugere</w:t>
      </w:r>
      <w:r w:rsidR="004D3BFF" w:rsidRPr="00190A95">
        <w:rPr>
          <w:szCs w:val="24"/>
        </w:rPr>
        <w:t xml:space="preserve"> que </w:t>
      </w:r>
      <w:r w:rsidRPr="00190A95">
        <w:rPr>
          <w:szCs w:val="24"/>
        </w:rPr>
        <w:t>a</w:t>
      </w:r>
      <w:r w:rsidR="004D3BFF" w:rsidRPr="00190A95">
        <w:rPr>
          <w:szCs w:val="24"/>
        </w:rPr>
        <w:t xml:space="preserve"> integração de</w:t>
      </w:r>
      <w:r w:rsidRPr="00190A95">
        <w:rPr>
          <w:szCs w:val="24"/>
        </w:rPr>
        <w:t xml:space="preserve"> sistemas de informação exerce</w:t>
      </w:r>
      <w:r w:rsidR="004D3BFF" w:rsidRPr="00190A95">
        <w:rPr>
          <w:szCs w:val="24"/>
        </w:rPr>
        <w:t>m influência positiva sobre a adoção</w:t>
      </w:r>
      <w:r w:rsidRPr="00190A95">
        <w:rPr>
          <w:szCs w:val="24"/>
        </w:rPr>
        <w:t xml:space="preserve"> </w:t>
      </w:r>
      <w:r w:rsidR="004D3BFF" w:rsidRPr="00190A95">
        <w:rPr>
          <w:szCs w:val="24"/>
        </w:rPr>
        <w:t xml:space="preserve">de práticas de gestão de custos interorganizacionais, </w:t>
      </w:r>
      <w:r w:rsidRPr="00190A95">
        <w:rPr>
          <w:szCs w:val="24"/>
        </w:rPr>
        <w:t xml:space="preserve">entretanto, </w:t>
      </w:r>
      <w:r w:rsidR="004D3BFF" w:rsidRPr="00190A95">
        <w:rPr>
          <w:szCs w:val="24"/>
        </w:rPr>
        <w:t>sob a perspectiva teórica da VBR, a</w:t>
      </w:r>
      <w:r w:rsidRPr="00190A95">
        <w:rPr>
          <w:szCs w:val="24"/>
        </w:rPr>
        <w:t xml:space="preserve"> </w:t>
      </w:r>
      <w:r w:rsidR="004D3BFF" w:rsidRPr="00190A95">
        <w:rPr>
          <w:szCs w:val="24"/>
        </w:rPr>
        <w:t>capacidade absortiva de uma empresa é o elemento determinante para que esta possa adquirir,</w:t>
      </w:r>
      <w:r w:rsidRPr="00190A95">
        <w:rPr>
          <w:szCs w:val="24"/>
        </w:rPr>
        <w:t xml:space="preserve"> </w:t>
      </w:r>
      <w:r w:rsidR="004D3BFF" w:rsidRPr="00190A95">
        <w:rPr>
          <w:szCs w:val="24"/>
        </w:rPr>
        <w:t>assimilar, transformar e aplicar conhecimentos ext</w:t>
      </w:r>
      <w:r w:rsidR="006269A6" w:rsidRPr="00190A95">
        <w:rPr>
          <w:szCs w:val="24"/>
        </w:rPr>
        <w:t>ernos em suas atividades (Cohen &amp;</w:t>
      </w:r>
      <w:r w:rsidRPr="00190A95">
        <w:rPr>
          <w:szCs w:val="24"/>
        </w:rPr>
        <w:t xml:space="preserve"> </w:t>
      </w:r>
      <w:r w:rsidR="004D3BFF" w:rsidRPr="00190A95">
        <w:rPr>
          <w:szCs w:val="24"/>
        </w:rPr>
        <w:t>L</w:t>
      </w:r>
      <w:r w:rsidR="006269A6" w:rsidRPr="00190A95">
        <w:rPr>
          <w:szCs w:val="24"/>
        </w:rPr>
        <w:t>evinthal</w:t>
      </w:r>
      <w:r w:rsidR="004D3BFF" w:rsidRPr="00190A95">
        <w:rPr>
          <w:szCs w:val="24"/>
        </w:rPr>
        <w:t xml:space="preserve">, 1990; </w:t>
      </w:r>
      <w:proofErr w:type="spellStart"/>
      <w:r w:rsidR="006269A6" w:rsidRPr="00190A95">
        <w:rPr>
          <w:szCs w:val="24"/>
        </w:rPr>
        <w:t>Zahra</w:t>
      </w:r>
      <w:proofErr w:type="spellEnd"/>
      <w:r w:rsidR="006269A6" w:rsidRPr="00190A95">
        <w:rPr>
          <w:szCs w:val="24"/>
        </w:rPr>
        <w:t xml:space="preserve"> &amp;</w:t>
      </w:r>
      <w:r w:rsidR="004D3BFF" w:rsidRPr="00190A95">
        <w:rPr>
          <w:szCs w:val="24"/>
        </w:rPr>
        <w:t xml:space="preserve"> G</w:t>
      </w:r>
      <w:r w:rsidR="006269A6" w:rsidRPr="00190A95">
        <w:rPr>
          <w:szCs w:val="24"/>
        </w:rPr>
        <w:t>eorge</w:t>
      </w:r>
      <w:r w:rsidR="004D3BFF" w:rsidRPr="00190A95">
        <w:rPr>
          <w:szCs w:val="24"/>
        </w:rPr>
        <w:t>, 2002), o que contribui para o desenvolvimento de</w:t>
      </w:r>
      <w:r w:rsidRPr="00190A95">
        <w:rPr>
          <w:szCs w:val="24"/>
        </w:rPr>
        <w:t xml:space="preserve"> </w:t>
      </w:r>
      <w:r w:rsidR="004D3BFF" w:rsidRPr="00190A95">
        <w:rPr>
          <w:szCs w:val="24"/>
        </w:rPr>
        <w:t>suas competências e capacidades, a agregação de valor e sua diferenciação competitiva</w:t>
      </w:r>
      <w:r w:rsidRPr="00190A95">
        <w:rPr>
          <w:szCs w:val="24"/>
        </w:rPr>
        <w:t xml:space="preserve"> </w:t>
      </w:r>
      <w:r w:rsidR="004D3BFF" w:rsidRPr="00190A95">
        <w:rPr>
          <w:szCs w:val="24"/>
        </w:rPr>
        <w:t>(</w:t>
      </w:r>
      <w:r w:rsidR="00303317" w:rsidRPr="00190A95">
        <w:rPr>
          <w:szCs w:val="24"/>
        </w:rPr>
        <w:t>Cohen &amp;</w:t>
      </w:r>
      <w:r w:rsidR="004D3BFF" w:rsidRPr="00190A95">
        <w:rPr>
          <w:szCs w:val="24"/>
        </w:rPr>
        <w:t xml:space="preserve"> L</w:t>
      </w:r>
      <w:r w:rsidR="00303317" w:rsidRPr="00190A95">
        <w:rPr>
          <w:szCs w:val="24"/>
        </w:rPr>
        <w:t>evinthal</w:t>
      </w:r>
      <w:r w:rsidR="004D3BFF" w:rsidRPr="00190A95">
        <w:rPr>
          <w:szCs w:val="24"/>
        </w:rPr>
        <w:t xml:space="preserve">, 1990; </w:t>
      </w:r>
      <w:proofErr w:type="spellStart"/>
      <w:r w:rsidR="004D3BFF" w:rsidRPr="00190A95">
        <w:rPr>
          <w:szCs w:val="24"/>
        </w:rPr>
        <w:t>Z</w:t>
      </w:r>
      <w:r w:rsidR="00303317" w:rsidRPr="00190A95">
        <w:rPr>
          <w:szCs w:val="24"/>
        </w:rPr>
        <w:t>ahra</w:t>
      </w:r>
      <w:proofErr w:type="spellEnd"/>
      <w:r w:rsidR="00303317" w:rsidRPr="00190A95">
        <w:rPr>
          <w:szCs w:val="24"/>
        </w:rPr>
        <w:t xml:space="preserve"> &amp; </w:t>
      </w:r>
      <w:r w:rsidR="004D3BFF" w:rsidRPr="00190A95">
        <w:rPr>
          <w:szCs w:val="24"/>
        </w:rPr>
        <w:t>G</w:t>
      </w:r>
      <w:r w:rsidR="00303317" w:rsidRPr="00190A95">
        <w:rPr>
          <w:szCs w:val="24"/>
        </w:rPr>
        <w:t>eorge</w:t>
      </w:r>
      <w:r w:rsidR="004D3BFF" w:rsidRPr="00190A95">
        <w:rPr>
          <w:szCs w:val="24"/>
        </w:rPr>
        <w:t xml:space="preserve">, 2002; </w:t>
      </w:r>
      <w:proofErr w:type="spellStart"/>
      <w:r w:rsidR="00CD5BAB" w:rsidRPr="00190A95">
        <w:rPr>
          <w:szCs w:val="24"/>
        </w:rPr>
        <w:t>Eriksson</w:t>
      </w:r>
      <w:proofErr w:type="spellEnd"/>
      <w:r w:rsidR="00CD5BAB" w:rsidRPr="00190A95">
        <w:rPr>
          <w:szCs w:val="24"/>
        </w:rPr>
        <w:t xml:space="preserve"> &amp;</w:t>
      </w:r>
      <w:r w:rsidR="004D3BFF" w:rsidRPr="00190A95">
        <w:rPr>
          <w:szCs w:val="24"/>
        </w:rPr>
        <w:t xml:space="preserve"> </w:t>
      </w:r>
      <w:proofErr w:type="spellStart"/>
      <w:r w:rsidR="004D3BFF" w:rsidRPr="00190A95">
        <w:rPr>
          <w:szCs w:val="24"/>
        </w:rPr>
        <w:t>C</w:t>
      </w:r>
      <w:r w:rsidR="00CD5BAB" w:rsidRPr="00190A95">
        <w:rPr>
          <w:szCs w:val="24"/>
        </w:rPr>
        <w:t>hetty</w:t>
      </w:r>
      <w:proofErr w:type="spellEnd"/>
      <w:r w:rsidR="004D3BFF" w:rsidRPr="00190A95">
        <w:rPr>
          <w:szCs w:val="24"/>
        </w:rPr>
        <w:t>, 2003;</w:t>
      </w:r>
      <w:r w:rsidRPr="00190A95">
        <w:rPr>
          <w:szCs w:val="24"/>
        </w:rPr>
        <w:t xml:space="preserve"> </w:t>
      </w:r>
      <w:proofErr w:type="spellStart"/>
      <w:r w:rsidR="00DD285E" w:rsidRPr="00190A95">
        <w:rPr>
          <w:szCs w:val="24"/>
        </w:rPr>
        <w:t>Lin</w:t>
      </w:r>
      <w:proofErr w:type="spellEnd"/>
      <w:r w:rsidR="0097554A" w:rsidRPr="00190A95">
        <w:rPr>
          <w:szCs w:val="24"/>
        </w:rPr>
        <w:t xml:space="preserve">, </w:t>
      </w:r>
      <w:r w:rsidR="00DD285E" w:rsidRPr="00190A95">
        <w:rPr>
          <w:szCs w:val="24"/>
        </w:rPr>
        <w:t>Wu</w:t>
      </w:r>
      <w:r w:rsidR="0097554A" w:rsidRPr="00190A95">
        <w:rPr>
          <w:szCs w:val="24"/>
        </w:rPr>
        <w:t xml:space="preserve">, </w:t>
      </w:r>
      <w:r w:rsidR="00DD285E" w:rsidRPr="00190A95">
        <w:rPr>
          <w:szCs w:val="24"/>
        </w:rPr>
        <w:t>Chang</w:t>
      </w:r>
      <w:r w:rsidR="0097554A" w:rsidRPr="00190A95">
        <w:rPr>
          <w:szCs w:val="24"/>
        </w:rPr>
        <w:t xml:space="preserve">, </w:t>
      </w:r>
      <w:r w:rsidR="00DD285E" w:rsidRPr="00190A95">
        <w:rPr>
          <w:szCs w:val="24"/>
        </w:rPr>
        <w:t xml:space="preserve">Wang </w:t>
      </w:r>
      <w:r w:rsidR="0097554A" w:rsidRPr="00190A95">
        <w:rPr>
          <w:szCs w:val="24"/>
        </w:rPr>
        <w:t xml:space="preserve">&amp; </w:t>
      </w:r>
      <w:r w:rsidR="00DD285E" w:rsidRPr="00190A95">
        <w:rPr>
          <w:szCs w:val="24"/>
        </w:rPr>
        <w:t>Lee</w:t>
      </w:r>
      <w:r w:rsidR="0097554A" w:rsidRPr="00190A95">
        <w:rPr>
          <w:szCs w:val="24"/>
        </w:rPr>
        <w:t xml:space="preserve">, </w:t>
      </w:r>
      <w:r w:rsidR="007622A0" w:rsidRPr="00190A95">
        <w:rPr>
          <w:szCs w:val="24"/>
        </w:rPr>
        <w:t xml:space="preserve">2012; </w:t>
      </w:r>
      <w:proofErr w:type="spellStart"/>
      <w:r w:rsidR="007622A0" w:rsidRPr="00190A95">
        <w:rPr>
          <w:szCs w:val="24"/>
        </w:rPr>
        <w:t>Gunawan</w:t>
      </w:r>
      <w:proofErr w:type="spellEnd"/>
      <w:r w:rsidR="007622A0" w:rsidRPr="00190A95">
        <w:rPr>
          <w:szCs w:val="24"/>
        </w:rPr>
        <w:t xml:space="preserve"> &amp;</w:t>
      </w:r>
      <w:r w:rsidR="004D3BFF" w:rsidRPr="00190A95">
        <w:rPr>
          <w:szCs w:val="24"/>
        </w:rPr>
        <w:t xml:space="preserve"> R</w:t>
      </w:r>
      <w:r w:rsidR="007622A0" w:rsidRPr="00190A95">
        <w:rPr>
          <w:szCs w:val="24"/>
        </w:rPr>
        <w:t>ose</w:t>
      </w:r>
      <w:r w:rsidR="004D3BFF" w:rsidRPr="00190A95">
        <w:rPr>
          <w:szCs w:val="24"/>
        </w:rPr>
        <w:t xml:space="preserve">, 2014; </w:t>
      </w:r>
      <w:proofErr w:type="spellStart"/>
      <w:r w:rsidR="00FD3751" w:rsidRPr="00190A95">
        <w:rPr>
          <w:szCs w:val="24"/>
        </w:rPr>
        <w:t>Casillas</w:t>
      </w:r>
      <w:proofErr w:type="spellEnd"/>
      <w:r w:rsidR="00FD3751" w:rsidRPr="00190A95">
        <w:rPr>
          <w:szCs w:val="24"/>
        </w:rPr>
        <w:t>,</w:t>
      </w:r>
      <w:r w:rsidR="004D3BFF" w:rsidRPr="00190A95">
        <w:rPr>
          <w:szCs w:val="24"/>
        </w:rPr>
        <w:t xml:space="preserve"> </w:t>
      </w:r>
      <w:proofErr w:type="spellStart"/>
      <w:r w:rsidR="004D3BFF" w:rsidRPr="00190A95">
        <w:rPr>
          <w:szCs w:val="24"/>
        </w:rPr>
        <w:t>B</w:t>
      </w:r>
      <w:r w:rsidR="00FD3751" w:rsidRPr="00190A95">
        <w:rPr>
          <w:szCs w:val="24"/>
        </w:rPr>
        <w:t>arbero</w:t>
      </w:r>
      <w:proofErr w:type="spellEnd"/>
      <w:r w:rsidR="00FD3751" w:rsidRPr="00190A95">
        <w:rPr>
          <w:szCs w:val="24"/>
        </w:rPr>
        <w:t xml:space="preserve"> &amp;</w:t>
      </w:r>
      <w:r w:rsidR="004D3BFF" w:rsidRPr="00190A95">
        <w:rPr>
          <w:szCs w:val="24"/>
        </w:rPr>
        <w:t xml:space="preserve"> </w:t>
      </w:r>
      <w:proofErr w:type="spellStart"/>
      <w:r w:rsidR="004D3BFF" w:rsidRPr="00190A95">
        <w:rPr>
          <w:szCs w:val="24"/>
        </w:rPr>
        <w:t>S</w:t>
      </w:r>
      <w:r w:rsidR="00FD3751" w:rsidRPr="00190A95">
        <w:rPr>
          <w:szCs w:val="24"/>
        </w:rPr>
        <w:t>apienza</w:t>
      </w:r>
      <w:proofErr w:type="spellEnd"/>
      <w:r w:rsidR="004D3BFF" w:rsidRPr="00190A95">
        <w:rPr>
          <w:szCs w:val="24"/>
        </w:rPr>
        <w:t>, 2015).</w:t>
      </w:r>
    </w:p>
    <w:p w:rsidR="00785CB3" w:rsidRPr="00DC600E" w:rsidRDefault="00786ED2" w:rsidP="00785CB3">
      <w:pPr>
        <w:autoSpaceDE w:val="0"/>
        <w:autoSpaceDN w:val="0"/>
        <w:adjustRightInd w:val="0"/>
        <w:ind w:firstLine="708"/>
        <w:rPr>
          <w:sz w:val="23"/>
          <w:szCs w:val="23"/>
        </w:rPr>
      </w:pPr>
      <w:r w:rsidRPr="00190A95">
        <w:rPr>
          <w:szCs w:val="24"/>
        </w:rPr>
        <w:t>Desta forma, têm-se que</w:t>
      </w:r>
      <w:r w:rsidR="00F80096" w:rsidRPr="00190A95">
        <w:rPr>
          <w:szCs w:val="24"/>
        </w:rPr>
        <w:t xml:space="preserve"> o conhecimento anterior disponível nas organizações auxilia a</w:t>
      </w:r>
      <w:r w:rsidRPr="00190A95">
        <w:rPr>
          <w:szCs w:val="24"/>
        </w:rPr>
        <w:t xml:space="preserve"> </w:t>
      </w:r>
      <w:r w:rsidR="00F80096" w:rsidRPr="00190A95">
        <w:rPr>
          <w:szCs w:val="24"/>
        </w:rPr>
        <w:t>empresa a reconhecer o valor e assim absorver e aplicar os novos conhecimentos externos</w:t>
      </w:r>
      <w:r w:rsidRPr="00190A95">
        <w:rPr>
          <w:szCs w:val="24"/>
        </w:rPr>
        <w:t xml:space="preserve"> </w:t>
      </w:r>
      <w:r w:rsidR="00F80096" w:rsidRPr="00190A95">
        <w:rPr>
          <w:szCs w:val="24"/>
        </w:rPr>
        <w:t>existentes (</w:t>
      </w:r>
      <w:proofErr w:type="spellStart"/>
      <w:r w:rsidR="004D5CED" w:rsidRPr="00190A95">
        <w:rPr>
          <w:szCs w:val="24"/>
        </w:rPr>
        <w:t>Winkelbach</w:t>
      </w:r>
      <w:proofErr w:type="spellEnd"/>
      <w:r w:rsidR="004D5CED" w:rsidRPr="00190A95">
        <w:rPr>
          <w:szCs w:val="24"/>
        </w:rPr>
        <w:t xml:space="preserve"> &amp;</w:t>
      </w:r>
      <w:r w:rsidR="00F80096" w:rsidRPr="00190A95">
        <w:rPr>
          <w:szCs w:val="24"/>
        </w:rPr>
        <w:t xml:space="preserve"> W</w:t>
      </w:r>
      <w:r w:rsidR="004D5CED" w:rsidRPr="00190A95">
        <w:rPr>
          <w:szCs w:val="24"/>
        </w:rPr>
        <w:t>alter</w:t>
      </w:r>
      <w:r w:rsidR="00F80096" w:rsidRPr="00190A95">
        <w:rPr>
          <w:szCs w:val="24"/>
        </w:rPr>
        <w:t>, 2015).</w:t>
      </w:r>
      <w:r w:rsidR="00F80096" w:rsidRPr="00DC600E">
        <w:rPr>
          <w:sz w:val="23"/>
          <w:szCs w:val="23"/>
        </w:rPr>
        <w:t xml:space="preserve"> </w:t>
      </w:r>
      <w:r w:rsidR="00785CB3" w:rsidRPr="00DC600E">
        <w:rPr>
          <w:sz w:val="23"/>
          <w:szCs w:val="23"/>
        </w:rPr>
        <w:t>Desta forma, para a realização desta pesquisa, espera-se que organizações industriais brasileiras, que possuam sistemas de informação integrados eletronicamente, apresentem maior capacidade absortiva</w:t>
      </w:r>
      <w:r w:rsidR="006F75B4" w:rsidRPr="00DC600E">
        <w:rPr>
          <w:sz w:val="23"/>
          <w:szCs w:val="23"/>
        </w:rPr>
        <w:t>. Ademais</w:t>
      </w:r>
      <w:r w:rsidR="00785CB3" w:rsidRPr="00DC600E">
        <w:rPr>
          <w:sz w:val="23"/>
          <w:szCs w:val="23"/>
        </w:rPr>
        <w:t>, espera-se que uma maior capacidade absortiva destas empresas esteja positivamente associada a adoção de práticas de gestão de custos interorganizacionais.</w:t>
      </w:r>
    </w:p>
    <w:p w:rsidR="00F80096" w:rsidRPr="00931024" w:rsidRDefault="00F80096" w:rsidP="003C023D">
      <w:pPr>
        <w:autoSpaceDE w:val="0"/>
        <w:autoSpaceDN w:val="0"/>
        <w:adjustRightInd w:val="0"/>
        <w:ind w:firstLine="708"/>
        <w:rPr>
          <w:szCs w:val="24"/>
        </w:rPr>
      </w:pPr>
    </w:p>
    <w:p w:rsidR="00DC1132" w:rsidRPr="0090564E" w:rsidRDefault="00DC1132" w:rsidP="00C76BD6">
      <w:pPr>
        <w:pStyle w:val="Ttulo1"/>
        <w:rPr>
          <w:rFonts w:cs="Times New Roman"/>
          <w:sz w:val="23"/>
          <w:szCs w:val="23"/>
        </w:rPr>
      </w:pPr>
      <w:r w:rsidRPr="0090564E">
        <w:rPr>
          <w:rFonts w:cs="Times New Roman"/>
          <w:sz w:val="23"/>
          <w:szCs w:val="23"/>
        </w:rPr>
        <w:t>3 MÉTODO E PROCEDIMENTOS DA PESQUISA</w:t>
      </w:r>
    </w:p>
    <w:p w:rsidR="009F7C91" w:rsidRPr="00DC600E" w:rsidRDefault="009662F1" w:rsidP="009F7C91">
      <w:pPr>
        <w:ind w:firstLine="709"/>
        <w:rPr>
          <w:sz w:val="23"/>
          <w:szCs w:val="23"/>
        </w:rPr>
      </w:pPr>
      <w:r w:rsidRPr="00DC600E">
        <w:rPr>
          <w:rFonts w:eastAsia="Times New Roman"/>
          <w:sz w:val="23"/>
          <w:szCs w:val="23"/>
          <w:lang w:eastAsia="pt-BR"/>
        </w:rPr>
        <w:t>Q</w:t>
      </w:r>
      <w:r w:rsidR="002F48F9" w:rsidRPr="00DC600E">
        <w:rPr>
          <w:rFonts w:eastAsia="Times New Roman"/>
          <w:sz w:val="23"/>
          <w:szCs w:val="23"/>
          <w:lang w:eastAsia="pt-BR"/>
        </w:rPr>
        <w:t xml:space="preserve">uanto aos objetivos </w:t>
      </w:r>
      <w:r w:rsidRPr="00DC600E">
        <w:rPr>
          <w:rFonts w:eastAsia="Times New Roman"/>
          <w:sz w:val="23"/>
          <w:szCs w:val="23"/>
          <w:lang w:eastAsia="pt-BR"/>
        </w:rPr>
        <w:t xml:space="preserve">classifica-se </w:t>
      </w:r>
      <w:r w:rsidR="002F48F9" w:rsidRPr="00DC600E">
        <w:rPr>
          <w:rFonts w:eastAsia="Times New Roman"/>
          <w:sz w:val="23"/>
          <w:szCs w:val="23"/>
          <w:lang w:eastAsia="pt-BR"/>
        </w:rPr>
        <w:t>como exploratória. Q</w:t>
      </w:r>
      <w:r w:rsidR="002F48F9" w:rsidRPr="00DC600E">
        <w:rPr>
          <w:sz w:val="23"/>
          <w:szCs w:val="23"/>
        </w:rPr>
        <w:t xml:space="preserve">uanto aos procedimentos, como uma pesquisa de levantamento ou </w:t>
      </w:r>
      <w:proofErr w:type="spellStart"/>
      <w:r w:rsidR="002F48F9" w:rsidRPr="00DC600E">
        <w:rPr>
          <w:sz w:val="23"/>
          <w:szCs w:val="23"/>
        </w:rPr>
        <w:t>survey</w:t>
      </w:r>
      <w:proofErr w:type="spellEnd"/>
      <w:r w:rsidR="002F48F9" w:rsidRPr="00DC600E">
        <w:rPr>
          <w:sz w:val="23"/>
          <w:szCs w:val="23"/>
        </w:rPr>
        <w:t xml:space="preserve">. </w:t>
      </w:r>
      <w:r w:rsidR="0097734D" w:rsidRPr="00DC600E">
        <w:rPr>
          <w:sz w:val="23"/>
          <w:szCs w:val="23"/>
        </w:rPr>
        <w:t>A a</w:t>
      </w:r>
      <w:r w:rsidR="002F48F9" w:rsidRPr="00DC600E">
        <w:rPr>
          <w:sz w:val="23"/>
          <w:szCs w:val="23"/>
        </w:rPr>
        <w:t>bordagem do problema de pesquisa</w:t>
      </w:r>
      <w:r w:rsidR="00766F59" w:rsidRPr="00DC600E">
        <w:rPr>
          <w:sz w:val="23"/>
          <w:szCs w:val="23"/>
        </w:rPr>
        <w:t xml:space="preserve"> é quantitativa</w:t>
      </w:r>
      <w:r w:rsidR="00732342" w:rsidRPr="00DC600E">
        <w:rPr>
          <w:sz w:val="23"/>
          <w:szCs w:val="23"/>
        </w:rPr>
        <w:t>,</w:t>
      </w:r>
      <w:r w:rsidR="0097734D" w:rsidRPr="00DC600E">
        <w:rPr>
          <w:sz w:val="23"/>
          <w:szCs w:val="23"/>
        </w:rPr>
        <w:t xml:space="preserve"> </w:t>
      </w:r>
      <w:r w:rsidR="009F7C91" w:rsidRPr="00DC600E">
        <w:rPr>
          <w:sz w:val="23"/>
          <w:szCs w:val="23"/>
        </w:rPr>
        <w:t>com a</w:t>
      </w:r>
      <w:r w:rsidR="002F48F9" w:rsidRPr="00DC600E">
        <w:rPr>
          <w:sz w:val="23"/>
          <w:szCs w:val="23"/>
        </w:rPr>
        <w:t xml:space="preserve"> utilização </w:t>
      </w:r>
      <w:r w:rsidR="009F7C91" w:rsidRPr="00DC600E">
        <w:rPr>
          <w:sz w:val="23"/>
          <w:szCs w:val="23"/>
        </w:rPr>
        <w:t>d</w:t>
      </w:r>
      <w:r w:rsidR="002F48F9" w:rsidRPr="00DC600E">
        <w:rPr>
          <w:sz w:val="23"/>
          <w:szCs w:val="23"/>
        </w:rPr>
        <w:t xml:space="preserve">a análise de trajetórias, mais conhecida como </w:t>
      </w:r>
      <w:r w:rsidR="002F48F9" w:rsidRPr="00DC600E">
        <w:rPr>
          <w:i/>
          <w:iCs/>
          <w:sz w:val="23"/>
          <w:szCs w:val="23"/>
        </w:rPr>
        <w:t xml:space="preserve">path </w:t>
      </w:r>
      <w:proofErr w:type="spellStart"/>
      <w:r w:rsidR="002F48F9" w:rsidRPr="00DC600E">
        <w:rPr>
          <w:i/>
          <w:iCs/>
          <w:sz w:val="23"/>
          <w:szCs w:val="23"/>
        </w:rPr>
        <w:t>analysis</w:t>
      </w:r>
      <w:proofErr w:type="spellEnd"/>
      <w:r w:rsidR="002F48F9" w:rsidRPr="00DC600E">
        <w:rPr>
          <w:sz w:val="23"/>
          <w:szCs w:val="23"/>
        </w:rPr>
        <w:t xml:space="preserve">. </w:t>
      </w:r>
    </w:p>
    <w:p w:rsidR="001D25D9" w:rsidRPr="00DC600E" w:rsidRDefault="001D25D9" w:rsidP="001D25D9">
      <w:pPr>
        <w:autoSpaceDE w:val="0"/>
        <w:autoSpaceDN w:val="0"/>
        <w:adjustRightInd w:val="0"/>
        <w:ind w:firstLine="709"/>
        <w:rPr>
          <w:sz w:val="23"/>
          <w:szCs w:val="23"/>
        </w:rPr>
      </w:pPr>
      <w:r w:rsidRPr="00DC600E">
        <w:rPr>
          <w:sz w:val="23"/>
          <w:szCs w:val="23"/>
        </w:rPr>
        <w:t>A população objeto deste estudo compreende as maiores organizações industriais sediadas no Brasil, classificadas pelo faturamento anual, listadas entre as Maiores e Melhores Em</w:t>
      </w:r>
      <w:r w:rsidR="009662F1" w:rsidRPr="00DC600E">
        <w:rPr>
          <w:sz w:val="23"/>
          <w:szCs w:val="23"/>
        </w:rPr>
        <w:t xml:space="preserve">presas da Revista Exame (2014). </w:t>
      </w:r>
      <w:r w:rsidRPr="00DC600E">
        <w:rPr>
          <w:sz w:val="23"/>
          <w:szCs w:val="23"/>
        </w:rPr>
        <w:t>A amostra da pesquisa foi composta por empresas industriais de diferentes segmentos. A escolha por essas organizações se deu em razão destas empresas serem potenciais participadoras de relacionamentos interorganizacionais. Este procedimento é convergente ao adotado por Fayard et al. (2012), para a investigação dos efeitos de determinados recursos sobre a adoção de práticas de gestão de custos interorganizacionais.</w:t>
      </w:r>
    </w:p>
    <w:p w:rsidR="001D25D9" w:rsidRPr="00DC600E" w:rsidRDefault="001D25D9" w:rsidP="001D25D9">
      <w:pPr>
        <w:autoSpaceDE w:val="0"/>
        <w:autoSpaceDN w:val="0"/>
        <w:adjustRightInd w:val="0"/>
        <w:ind w:firstLine="709"/>
        <w:rPr>
          <w:sz w:val="23"/>
          <w:szCs w:val="23"/>
        </w:rPr>
      </w:pPr>
      <w:r w:rsidRPr="00DC600E">
        <w:rPr>
          <w:sz w:val="23"/>
          <w:szCs w:val="23"/>
        </w:rPr>
        <w:t>Da listagem das Maiores e Melhores Empresas da Revista Exame (2014), obteve-se o contato de 289 empresas caracterizadas como organizações industriais, das quais 100 responderam voluntariamente os questionamentos realizados nesta investigação. Os sujeitos respondentes da pesquisa foram os gestores responsáveis pelo setor de custos destas empresas.</w:t>
      </w:r>
    </w:p>
    <w:p w:rsidR="001404F2" w:rsidRPr="00DC600E" w:rsidRDefault="0097734D" w:rsidP="001404F2">
      <w:pPr>
        <w:ind w:firstLine="709"/>
        <w:rPr>
          <w:sz w:val="23"/>
          <w:szCs w:val="23"/>
        </w:rPr>
      </w:pPr>
      <w:r w:rsidRPr="00DC600E">
        <w:rPr>
          <w:sz w:val="23"/>
          <w:szCs w:val="23"/>
        </w:rPr>
        <w:t>A coleta dos dados foi realizada por meio da utilização de questionário.</w:t>
      </w:r>
      <w:r w:rsidR="00044B9E" w:rsidRPr="00DC600E">
        <w:rPr>
          <w:sz w:val="23"/>
          <w:szCs w:val="23"/>
        </w:rPr>
        <w:t xml:space="preserve"> </w:t>
      </w:r>
      <w:r w:rsidR="009662F1" w:rsidRPr="00DC600E">
        <w:rPr>
          <w:sz w:val="23"/>
          <w:szCs w:val="23"/>
        </w:rPr>
        <w:t>Inicialmente elaborou-se o instrumento de pesquisa a partir dos estudos de Fayard et</w:t>
      </w:r>
      <w:r w:rsidR="00D11733" w:rsidRPr="00DC600E">
        <w:rPr>
          <w:sz w:val="23"/>
          <w:szCs w:val="23"/>
        </w:rPr>
        <w:t xml:space="preserve"> </w:t>
      </w:r>
      <w:r w:rsidR="009662F1" w:rsidRPr="00DC600E">
        <w:rPr>
          <w:sz w:val="23"/>
          <w:szCs w:val="23"/>
        </w:rPr>
        <w:t>al. (2012) (sistemas de informação integrados eletron</w:t>
      </w:r>
      <w:r w:rsidR="00044B9E" w:rsidRPr="00DC600E">
        <w:rPr>
          <w:sz w:val="23"/>
          <w:szCs w:val="23"/>
        </w:rPr>
        <w:t xml:space="preserve">icamente, capacidade absortiva, </w:t>
      </w:r>
      <w:r w:rsidR="009662F1" w:rsidRPr="00DC600E">
        <w:rPr>
          <w:sz w:val="23"/>
          <w:szCs w:val="23"/>
        </w:rPr>
        <w:t>gestão d</w:t>
      </w:r>
      <w:r w:rsidR="00044B9E" w:rsidRPr="00DC600E">
        <w:rPr>
          <w:sz w:val="23"/>
          <w:szCs w:val="23"/>
        </w:rPr>
        <w:t xml:space="preserve">e custos </w:t>
      </w:r>
      <w:r w:rsidR="00044B9E" w:rsidRPr="00DC600E">
        <w:rPr>
          <w:sz w:val="23"/>
          <w:szCs w:val="23"/>
        </w:rPr>
        <w:lastRenderedPageBreak/>
        <w:t>interorganizacionais). Na sequência</w:t>
      </w:r>
      <w:r w:rsidR="009662F1" w:rsidRPr="00DC600E">
        <w:rPr>
          <w:sz w:val="23"/>
          <w:szCs w:val="23"/>
        </w:rPr>
        <w:t>, promoveu-se a</w:t>
      </w:r>
      <w:r w:rsidR="00044B9E" w:rsidRPr="00DC600E">
        <w:rPr>
          <w:sz w:val="23"/>
          <w:szCs w:val="23"/>
        </w:rPr>
        <w:t xml:space="preserve"> </w:t>
      </w:r>
      <w:r w:rsidR="009662F1" w:rsidRPr="00DC600E">
        <w:rPr>
          <w:sz w:val="23"/>
          <w:szCs w:val="23"/>
        </w:rPr>
        <w:t>tradução do instrumento de pesquisa utilizado no estudo desenvolvido por Fayard et al.</w:t>
      </w:r>
      <w:r w:rsidR="00044B9E" w:rsidRPr="00DC600E">
        <w:rPr>
          <w:sz w:val="23"/>
          <w:szCs w:val="23"/>
        </w:rPr>
        <w:t xml:space="preserve"> </w:t>
      </w:r>
      <w:r w:rsidR="009662F1" w:rsidRPr="00DC600E">
        <w:rPr>
          <w:sz w:val="23"/>
          <w:szCs w:val="23"/>
        </w:rPr>
        <w:t>(2012). A tradução foi revisada por profissional especializado, com experiência na língua</w:t>
      </w:r>
      <w:r w:rsidR="00044B9E" w:rsidRPr="00DC600E">
        <w:rPr>
          <w:sz w:val="23"/>
          <w:szCs w:val="23"/>
        </w:rPr>
        <w:t xml:space="preserve"> </w:t>
      </w:r>
      <w:r w:rsidR="009662F1" w:rsidRPr="00DC600E">
        <w:rPr>
          <w:sz w:val="23"/>
          <w:szCs w:val="23"/>
        </w:rPr>
        <w:t>inglesa e conhecimento da língua portuguesa.</w:t>
      </w:r>
      <w:r w:rsidR="001404F2" w:rsidRPr="00DC600E">
        <w:rPr>
          <w:sz w:val="23"/>
          <w:szCs w:val="23"/>
        </w:rPr>
        <w:t xml:space="preserve"> Com exceção das questões referentes a caracterização da amostra e gestor entrevistado, as demais questões foram elaboradas utilizando-se afirmativas objetivas (fechadas), de múltipla escolha, com escala </w:t>
      </w:r>
      <w:proofErr w:type="spellStart"/>
      <w:r w:rsidR="001404F2" w:rsidRPr="00DC600E">
        <w:rPr>
          <w:i/>
          <w:iCs/>
          <w:sz w:val="23"/>
          <w:szCs w:val="23"/>
        </w:rPr>
        <w:t>Likert</w:t>
      </w:r>
      <w:proofErr w:type="spellEnd"/>
      <w:r w:rsidR="001404F2" w:rsidRPr="00DC600E">
        <w:rPr>
          <w:i/>
          <w:iCs/>
          <w:sz w:val="23"/>
          <w:szCs w:val="23"/>
        </w:rPr>
        <w:t xml:space="preserve"> </w:t>
      </w:r>
      <w:r w:rsidR="001404F2" w:rsidRPr="00DC600E">
        <w:rPr>
          <w:sz w:val="23"/>
          <w:szCs w:val="23"/>
        </w:rPr>
        <w:t>de resposta de 7 pontos, que buscou avaliar o nível de concordância dos participantes da pesquisa,</w:t>
      </w:r>
    </w:p>
    <w:p w:rsidR="00195CCE" w:rsidRDefault="00044B9E" w:rsidP="00195CCE">
      <w:pPr>
        <w:autoSpaceDE w:val="0"/>
        <w:autoSpaceDN w:val="0"/>
        <w:adjustRightInd w:val="0"/>
        <w:ind w:firstLine="708"/>
        <w:rPr>
          <w:sz w:val="23"/>
          <w:szCs w:val="23"/>
        </w:rPr>
      </w:pPr>
      <w:r w:rsidRPr="00DC600E">
        <w:rPr>
          <w:sz w:val="23"/>
          <w:szCs w:val="23"/>
        </w:rPr>
        <w:t>O</w:t>
      </w:r>
      <w:r w:rsidR="009662F1" w:rsidRPr="00DC600E">
        <w:rPr>
          <w:sz w:val="23"/>
          <w:szCs w:val="23"/>
        </w:rPr>
        <w:t xml:space="preserve"> pré-teste estatístico, em que se buscou validar os constructos</w:t>
      </w:r>
      <w:r w:rsidRPr="00DC600E">
        <w:rPr>
          <w:sz w:val="23"/>
          <w:szCs w:val="23"/>
        </w:rPr>
        <w:t xml:space="preserve"> </w:t>
      </w:r>
      <w:r w:rsidR="009662F1" w:rsidRPr="00DC600E">
        <w:rPr>
          <w:sz w:val="23"/>
          <w:szCs w:val="23"/>
        </w:rPr>
        <w:t xml:space="preserve">investigados </w:t>
      </w:r>
      <w:r w:rsidRPr="00DC600E">
        <w:rPr>
          <w:sz w:val="23"/>
          <w:szCs w:val="23"/>
        </w:rPr>
        <w:t>foi realizado a</w:t>
      </w:r>
      <w:r w:rsidR="009662F1" w:rsidRPr="00DC600E">
        <w:rPr>
          <w:sz w:val="23"/>
          <w:szCs w:val="23"/>
        </w:rPr>
        <w:t xml:space="preserve"> partir da análise do teste de confiabilidade alfa de </w:t>
      </w:r>
      <w:r w:rsidR="009662F1" w:rsidRPr="00DC600E">
        <w:rPr>
          <w:i/>
          <w:iCs/>
          <w:sz w:val="23"/>
          <w:szCs w:val="23"/>
        </w:rPr>
        <w:t>cronbach</w:t>
      </w:r>
      <w:r w:rsidRPr="00DC600E">
        <w:rPr>
          <w:sz w:val="23"/>
          <w:szCs w:val="23"/>
        </w:rPr>
        <w:t>.</w:t>
      </w:r>
      <w:r w:rsidR="009662F1" w:rsidRPr="00DC600E">
        <w:rPr>
          <w:sz w:val="23"/>
          <w:szCs w:val="23"/>
        </w:rPr>
        <w:t xml:space="preserve"> De posse dessas informações, realizou-se a tabulação</w:t>
      </w:r>
      <w:r w:rsidR="005A4906" w:rsidRPr="00DC600E">
        <w:rPr>
          <w:sz w:val="23"/>
          <w:szCs w:val="23"/>
        </w:rPr>
        <w:t xml:space="preserve"> </w:t>
      </w:r>
      <w:r w:rsidR="009662F1" w:rsidRPr="00DC600E">
        <w:rPr>
          <w:sz w:val="23"/>
          <w:szCs w:val="23"/>
        </w:rPr>
        <w:t xml:space="preserve">e análise destes dados, sendo validados pelo teste de confiabilidade alfa de </w:t>
      </w:r>
      <w:r w:rsidR="009662F1" w:rsidRPr="00DC600E">
        <w:rPr>
          <w:i/>
          <w:iCs/>
          <w:sz w:val="23"/>
          <w:szCs w:val="23"/>
        </w:rPr>
        <w:t>cronbach</w:t>
      </w:r>
      <w:r w:rsidR="009662F1" w:rsidRPr="00DC600E">
        <w:rPr>
          <w:sz w:val="23"/>
          <w:szCs w:val="23"/>
        </w:rPr>
        <w:t>. Frente</w:t>
      </w:r>
      <w:r w:rsidR="005A4906" w:rsidRPr="00DC600E">
        <w:rPr>
          <w:sz w:val="23"/>
          <w:szCs w:val="23"/>
        </w:rPr>
        <w:t xml:space="preserve"> </w:t>
      </w:r>
      <w:r w:rsidR="009662F1" w:rsidRPr="00DC600E">
        <w:rPr>
          <w:sz w:val="23"/>
          <w:szCs w:val="23"/>
        </w:rPr>
        <w:t>as análises iniciais realizadas, constatou-se que não seria necessária uma nova adaptação dos</w:t>
      </w:r>
      <w:r w:rsidR="005A4906" w:rsidRPr="00DC600E">
        <w:rPr>
          <w:sz w:val="23"/>
          <w:szCs w:val="23"/>
        </w:rPr>
        <w:t xml:space="preserve"> </w:t>
      </w:r>
      <w:r w:rsidR="009662F1" w:rsidRPr="00DC600E">
        <w:rPr>
          <w:sz w:val="23"/>
          <w:szCs w:val="23"/>
        </w:rPr>
        <w:t>instrumentos de pesquisa. Deste modo, a seguir procedeu-se a aplicação dos questionários e a</w:t>
      </w:r>
      <w:r w:rsidR="005A4906" w:rsidRPr="00DC600E">
        <w:rPr>
          <w:sz w:val="23"/>
          <w:szCs w:val="23"/>
        </w:rPr>
        <w:t xml:space="preserve"> </w:t>
      </w:r>
      <w:r w:rsidR="009662F1" w:rsidRPr="00DC600E">
        <w:rPr>
          <w:sz w:val="23"/>
          <w:szCs w:val="23"/>
        </w:rPr>
        <w:t>coleta de dados junto a amostra selecionada pa</w:t>
      </w:r>
      <w:r w:rsidR="00DA5647" w:rsidRPr="00DC600E">
        <w:rPr>
          <w:sz w:val="23"/>
          <w:szCs w:val="23"/>
        </w:rPr>
        <w:t>ra a realização desta pesquisa.</w:t>
      </w:r>
    </w:p>
    <w:p w:rsidR="004D5697" w:rsidRPr="00DC600E" w:rsidRDefault="00195CCE" w:rsidP="00195CCE">
      <w:pPr>
        <w:autoSpaceDE w:val="0"/>
        <w:autoSpaceDN w:val="0"/>
        <w:adjustRightInd w:val="0"/>
        <w:ind w:firstLine="708"/>
        <w:rPr>
          <w:sz w:val="23"/>
          <w:szCs w:val="23"/>
        </w:rPr>
      </w:pPr>
      <w:r>
        <w:rPr>
          <w:sz w:val="23"/>
          <w:szCs w:val="23"/>
        </w:rPr>
        <w:t>E</w:t>
      </w:r>
      <w:r w:rsidR="004D5697" w:rsidRPr="00DC600E">
        <w:rPr>
          <w:sz w:val="23"/>
          <w:szCs w:val="23"/>
        </w:rPr>
        <w:t xml:space="preserve">fetuou-se a análise das correlações de </w:t>
      </w:r>
      <w:r w:rsidR="004D5697" w:rsidRPr="00DC600E">
        <w:rPr>
          <w:i/>
          <w:iCs/>
          <w:sz w:val="23"/>
          <w:szCs w:val="23"/>
        </w:rPr>
        <w:t xml:space="preserve">Pearson </w:t>
      </w:r>
      <w:r w:rsidR="004D5697" w:rsidRPr="00DC600E">
        <w:rPr>
          <w:sz w:val="23"/>
          <w:szCs w:val="23"/>
        </w:rPr>
        <w:t>entre as variáveis do constructo utilizado nesta investigação e a avaliação das relações existentes entre estes constructos, com o auxílio do método de análise de trajetórias (</w:t>
      </w:r>
      <w:r w:rsidR="004D5697" w:rsidRPr="00DC600E">
        <w:rPr>
          <w:i/>
          <w:iCs/>
          <w:sz w:val="23"/>
          <w:szCs w:val="23"/>
        </w:rPr>
        <w:t xml:space="preserve">path </w:t>
      </w:r>
      <w:proofErr w:type="spellStart"/>
      <w:r w:rsidR="004D5697" w:rsidRPr="00DC600E">
        <w:rPr>
          <w:i/>
          <w:iCs/>
          <w:sz w:val="23"/>
          <w:szCs w:val="23"/>
        </w:rPr>
        <w:t>analysis</w:t>
      </w:r>
      <w:proofErr w:type="spellEnd"/>
      <w:r w:rsidR="004D5697" w:rsidRPr="00DC600E">
        <w:rPr>
          <w:i/>
          <w:iCs/>
          <w:sz w:val="23"/>
          <w:szCs w:val="23"/>
        </w:rPr>
        <w:t>)</w:t>
      </w:r>
      <w:r w:rsidR="004D5697" w:rsidRPr="00DC600E">
        <w:rPr>
          <w:sz w:val="23"/>
          <w:szCs w:val="23"/>
        </w:rPr>
        <w:t>.</w:t>
      </w:r>
    </w:p>
    <w:p w:rsidR="009662F1" w:rsidRPr="00931024" w:rsidRDefault="009662F1" w:rsidP="009662F1">
      <w:pPr>
        <w:autoSpaceDE w:val="0"/>
        <w:autoSpaceDN w:val="0"/>
        <w:adjustRightInd w:val="0"/>
        <w:jc w:val="left"/>
        <w:rPr>
          <w:szCs w:val="24"/>
        </w:rPr>
      </w:pPr>
    </w:p>
    <w:p w:rsidR="00A2687B" w:rsidRPr="0090564E" w:rsidRDefault="004A40B6" w:rsidP="0017554B">
      <w:pPr>
        <w:pStyle w:val="Ttulo2"/>
        <w:rPr>
          <w:rFonts w:cs="Times New Roman"/>
          <w:b/>
          <w:sz w:val="23"/>
          <w:szCs w:val="23"/>
        </w:rPr>
      </w:pPr>
      <w:r w:rsidRPr="0090564E">
        <w:rPr>
          <w:rFonts w:cs="Times New Roman"/>
          <w:b/>
          <w:caps w:val="0"/>
          <w:sz w:val="23"/>
          <w:szCs w:val="23"/>
        </w:rPr>
        <w:t>3.1 Hipóteses da pesquisa</w:t>
      </w:r>
    </w:p>
    <w:p w:rsidR="00913430" w:rsidRPr="00B21313" w:rsidRDefault="002A34F0" w:rsidP="009A36A6">
      <w:pPr>
        <w:autoSpaceDE w:val="0"/>
        <w:autoSpaceDN w:val="0"/>
        <w:adjustRightInd w:val="0"/>
        <w:ind w:firstLine="709"/>
        <w:rPr>
          <w:szCs w:val="24"/>
        </w:rPr>
      </w:pPr>
      <w:r w:rsidRPr="00B21313">
        <w:rPr>
          <w:szCs w:val="24"/>
        </w:rPr>
        <w:t xml:space="preserve">Para a realização desta pesquisa, a partir das evidências encontradas na literatura, foram elaboradas três hipóteses de investigação. </w:t>
      </w:r>
      <w:r w:rsidR="00913430" w:rsidRPr="00B21313">
        <w:rPr>
          <w:szCs w:val="24"/>
        </w:rPr>
        <w:t>As hipóteses H</w:t>
      </w:r>
      <w:r w:rsidR="00732342" w:rsidRPr="00B21313">
        <w:rPr>
          <w:szCs w:val="24"/>
        </w:rPr>
        <w:t>2</w:t>
      </w:r>
      <w:r w:rsidR="00913430" w:rsidRPr="00B21313">
        <w:rPr>
          <w:szCs w:val="24"/>
        </w:rPr>
        <w:t>, H3, testam os efeitos diretos de</w:t>
      </w:r>
      <w:r w:rsidR="001777B8" w:rsidRPr="00B21313">
        <w:rPr>
          <w:szCs w:val="24"/>
        </w:rPr>
        <w:t>sses</w:t>
      </w:r>
      <w:r w:rsidR="00913430" w:rsidRPr="00B21313">
        <w:rPr>
          <w:szCs w:val="24"/>
        </w:rPr>
        <w:t xml:space="preserve"> recursos sobre a adoção de práticas de gestão de custos </w:t>
      </w:r>
      <w:r w:rsidR="00525DD8" w:rsidRPr="00B21313">
        <w:rPr>
          <w:szCs w:val="24"/>
        </w:rPr>
        <w:t>interorganizacionais</w:t>
      </w:r>
      <w:r w:rsidR="00913430" w:rsidRPr="00B21313">
        <w:rPr>
          <w:szCs w:val="24"/>
        </w:rPr>
        <w:t>.</w:t>
      </w:r>
      <w:r w:rsidR="007E0189" w:rsidRPr="00B21313">
        <w:rPr>
          <w:szCs w:val="24"/>
        </w:rPr>
        <w:t xml:space="preserve"> A hipótese H</w:t>
      </w:r>
      <w:r w:rsidR="00732342" w:rsidRPr="00B21313">
        <w:rPr>
          <w:szCs w:val="24"/>
          <w:vertAlign w:val="subscript"/>
        </w:rPr>
        <w:t>1</w:t>
      </w:r>
      <w:r w:rsidR="007E0189" w:rsidRPr="00B21313">
        <w:rPr>
          <w:szCs w:val="24"/>
        </w:rPr>
        <w:t xml:space="preserve"> foi</w:t>
      </w:r>
      <w:r w:rsidR="00C90AF0" w:rsidRPr="00B21313">
        <w:rPr>
          <w:szCs w:val="24"/>
        </w:rPr>
        <w:t xml:space="preserve"> estabelecida</w:t>
      </w:r>
      <w:r w:rsidR="007E0189" w:rsidRPr="00B21313">
        <w:rPr>
          <w:szCs w:val="24"/>
        </w:rPr>
        <w:t xml:space="preserve"> para testar</w:t>
      </w:r>
      <w:r w:rsidR="008E1B1A" w:rsidRPr="00B21313">
        <w:rPr>
          <w:szCs w:val="24"/>
        </w:rPr>
        <w:t xml:space="preserve"> </w:t>
      </w:r>
      <w:r w:rsidR="007E0189" w:rsidRPr="00B21313">
        <w:rPr>
          <w:szCs w:val="24"/>
        </w:rPr>
        <w:t>a combinação de um recurso ou mais e a sua relação indireta na adoção de práticas de gestão</w:t>
      </w:r>
      <w:r w:rsidR="008E1B1A" w:rsidRPr="00B21313">
        <w:rPr>
          <w:szCs w:val="24"/>
        </w:rPr>
        <w:t xml:space="preserve"> </w:t>
      </w:r>
      <w:r w:rsidR="00525DD8" w:rsidRPr="00B21313">
        <w:rPr>
          <w:szCs w:val="24"/>
        </w:rPr>
        <w:t>de custos interorganizacionais, as quais estão alinhadas a proposta de pesquisa desenvolvida por Fayard et al. (2012).</w:t>
      </w:r>
    </w:p>
    <w:p w:rsidR="009E0937" w:rsidRPr="00B21313" w:rsidRDefault="00DF0434" w:rsidP="009E0937">
      <w:pPr>
        <w:autoSpaceDE w:val="0"/>
        <w:autoSpaceDN w:val="0"/>
        <w:adjustRightInd w:val="0"/>
        <w:ind w:firstLine="708"/>
        <w:rPr>
          <w:szCs w:val="24"/>
        </w:rPr>
      </w:pPr>
      <w:r w:rsidRPr="00B21313">
        <w:rPr>
          <w:szCs w:val="24"/>
        </w:rPr>
        <w:t>É sabido que o</w:t>
      </w:r>
      <w:r w:rsidR="0051668D" w:rsidRPr="00B21313">
        <w:rPr>
          <w:szCs w:val="24"/>
        </w:rPr>
        <w:t xml:space="preserve"> acesso às informações é facilitado quando se possui os sistemas de informação</w:t>
      </w:r>
      <w:r w:rsidRPr="00B21313">
        <w:rPr>
          <w:szCs w:val="24"/>
        </w:rPr>
        <w:t xml:space="preserve"> </w:t>
      </w:r>
      <w:r w:rsidR="0051668D" w:rsidRPr="00B21313">
        <w:rPr>
          <w:szCs w:val="24"/>
        </w:rPr>
        <w:t>integrados. No âmbito dos relacionamentos interorganizacionais, a existência de integração</w:t>
      </w:r>
      <w:r w:rsidRPr="00B21313">
        <w:rPr>
          <w:szCs w:val="24"/>
        </w:rPr>
        <w:t xml:space="preserve"> </w:t>
      </w:r>
      <w:r w:rsidR="0051668D" w:rsidRPr="00B21313">
        <w:rPr>
          <w:szCs w:val="24"/>
        </w:rPr>
        <w:t>externa dos sistemas de informação favorece o compartilhamento de informações com os</w:t>
      </w:r>
      <w:r w:rsidRPr="00B21313">
        <w:rPr>
          <w:szCs w:val="24"/>
        </w:rPr>
        <w:t xml:space="preserve"> </w:t>
      </w:r>
      <w:r w:rsidR="0051668D" w:rsidRPr="00B21313">
        <w:rPr>
          <w:szCs w:val="24"/>
        </w:rPr>
        <w:t>demais parceiros da cadeia de suprimentos (</w:t>
      </w:r>
      <w:r w:rsidR="00873654" w:rsidRPr="00B21313">
        <w:rPr>
          <w:szCs w:val="24"/>
        </w:rPr>
        <w:t xml:space="preserve">Fayard </w:t>
      </w:r>
      <w:r w:rsidR="0051668D" w:rsidRPr="00B21313">
        <w:rPr>
          <w:szCs w:val="24"/>
        </w:rPr>
        <w:t>et al., 2012). Na área contábil, as</w:t>
      </w:r>
      <w:r w:rsidRPr="00B21313">
        <w:rPr>
          <w:szCs w:val="24"/>
        </w:rPr>
        <w:t xml:space="preserve"> </w:t>
      </w:r>
      <w:r w:rsidR="0051668D" w:rsidRPr="00B21313">
        <w:rPr>
          <w:szCs w:val="24"/>
        </w:rPr>
        <w:t>evidências revisitadas têm sugerido que os sistemas de informações integrados externamente</w:t>
      </w:r>
      <w:r w:rsidR="000A3EEF" w:rsidRPr="00B21313">
        <w:rPr>
          <w:szCs w:val="24"/>
        </w:rPr>
        <w:t xml:space="preserve"> </w:t>
      </w:r>
      <w:r w:rsidR="0051668D" w:rsidRPr="00B21313">
        <w:rPr>
          <w:szCs w:val="24"/>
        </w:rPr>
        <w:t>tendem a aumentar o nível de confiança destes relacionamentos (</w:t>
      </w:r>
      <w:r w:rsidR="00873654" w:rsidRPr="00B21313">
        <w:rPr>
          <w:szCs w:val="24"/>
        </w:rPr>
        <w:t>Cooper &amp;</w:t>
      </w:r>
      <w:r w:rsidR="0051668D" w:rsidRPr="00B21313">
        <w:rPr>
          <w:szCs w:val="24"/>
        </w:rPr>
        <w:t xml:space="preserve"> S</w:t>
      </w:r>
      <w:r w:rsidR="00873654" w:rsidRPr="00B21313">
        <w:rPr>
          <w:szCs w:val="24"/>
        </w:rPr>
        <w:t>lagmulder</w:t>
      </w:r>
      <w:r w:rsidR="0051668D" w:rsidRPr="00B21313">
        <w:rPr>
          <w:szCs w:val="24"/>
        </w:rPr>
        <w:t>,</w:t>
      </w:r>
      <w:r w:rsidR="000A3EEF" w:rsidRPr="00B21313">
        <w:rPr>
          <w:szCs w:val="24"/>
        </w:rPr>
        <w:t xml:space="preserve"> </w:t>
      </w:r>
      <w:r w:rsidR="0051668D" w:rsidRPr="00B21313">
        <w:rPr>
          <w:szCs w:val="24"/>
        </w:rPr>
        <w:t xml:space="preserve">2004; </w:t>
      </w:r>
      <w:proofErr w:type="spellStart"/>
      <w:r w:rsidR="00873654" w:rsidRPr="00B21313">
        <w:rPr>
          <w:szCs w:val="24"/>
        </w:rPr>
        <w:t>Hakansson</w:t>
      </w:r>
      <w:proofErr w:type="spellEnd"/>
      <w:r w:rsidR="00873654" w:rsidRPr="00B21313">
        <w:rPr>
          <w:szCs w:val="24"/>
        </w:rPr>
        <w:t xml:space="preserve"> &amp;</w:t>
      </w:r>
      <w:r w:rsidR="0051668D" w:rsidRPr="00B21313">
        <w:rPr>
          <w:szCs w:val="24"/>
        </w:rPr>
        <w:t xml:space="preserve"> </w:t>
      </w:r>
      <w:proofErr w:type="spellStart"/>
      <w:r w:rsidR="0051668D" w:rsidRPr="00B21313">
        <w:rPr>
          <w:szCs w:val="24"/>
        </w:rPr>
        <w:t>L</w:t>
      </w:r>
      <w:r w:rsidR="00873654" w:rsidRPr="00B21313">
        <w:rPr>
          <w:szCs w:val="24"/>
        </w:rPr>
        <w:t>ind</w:t>
      </w:r>
      <w:proofErr w:type="spellEnd"/>
      <w:r w:rsidR="0051668D" w:rsidRPr="00B21313">
        <w:rPr>
          <w:szCs w:val="24"/>
        </w:rPr>
        <w:t>, 2006), contribuindo para o aumento da capacidade absortiva</w:t>
      </w:r>
      <w:r w:rsidR="000A3EEF" w:rsidRPr="00B21313">
        <w:rPr>
          <w:szCs w:val="24"/>
        </w:rPr>
        <w:t xml:space="preserve"> </w:t>
      </w:r>
      <w:r w:rsidR="0051668D" w:rsidRPr="00B21313">
        <w:rPr>
          <w:szCs w:val="24"/>
        </w:rPr>
        <w:t>das organizações (</w:t>
      </w:r>
      <w:r w:rsidR="00873654" w:rsidRPr="00B21313">
        <w:rPr>
          <w:szCs w:val="24"/>
        </w:rPr>
        <w:t xml:space="preserve">Fayard </w:t>
      </w:r>
      <w:r w:rsidR="0051668D" w:rsidRPr="00B21313">
        <w:rPr>
          <w:szCs w:val="24"/>
        </w:rPr>
        <w:t>et al., 2012).</w:t>
      </w:r>
    </w:p>
    <w:p w:rsidR="009E0937" w:rsidRPr="00B21313" w:rsidRDefault="0051668D" w:rsidP="009E0937">
      <w:pPr>
        <w:autoSpaceDE w:val="0"/>
        <w:autoSpaceDN w:val="0"/>
        <w:adjustRightInd w:val="0"/>
        <w:ind w:firstLine="708"/>
        <w:rPr>
          <w:szCs w:val="24"/>
        </w:rPr>
      </w:pPr>
      <w:r w:rsidRPr="00B21313">
        <w:rPr>
          <w:szCs w:val="24"/>
        </w:rPr>
        <w:t>Estas evidências também indicam que os sistemas de informações quando interligados</w:t>
      </w:r>
      <w:r w:rsidR="009E0937" w:rsidRPr="00B21313">
        <w:rPr>
          <w:szCs w:val="24"/>
        </w:rPr>
        <w:t xml:space="preserve"> </w:t>
      </w:r>
      <w:r w:rsidRPr="00B21313">
        <w:rPr>
          <w:szCs w:val="24"/>
        </w:rPr>
        <w:t>externamente minimizam a assimetria de informação entre os agentes (</w:t>
      </w:r>
      <w:r w:rsidR="00CD131A" w:rsidRPr="00B21313">
        <w:rPr>
          <w:szCs w:val="24"/>
        </w:rPr>
        <w:t xml:space="preserve">Cooper &amp; </w:t>
      </w:r>
      <w:r w:rsidRPr="00B21313">
        <w:rPr>
          <w:szCs w:val="24"/>
        </w:rPr>
        <w:t>S</w:t>
      </w:r>
      <w:r w:rsidR="00CD131A" w:rsidRPr="00B21313">
        <w:rPr>
          <w:szCs w:val="24"/>
        </w:rPr>
        <w:t>lagmulder</w:t>
      </w:r>
      <w:r w:rsidRPr="00B21313">
        <w:rPr>
          <w:szCs w:val="24"/>
        </w:rPr>
        <w:t xml:space="preserve">, 2004; </w:t>
      </w:r>
      <w:proofErr w:type="spellStart"/>
      <w:r w:rsidRPr="00B21313">
        <w:rPr>
          <w:szCs w:val="24"/>
        </w:rPr>
        <w:t>C</w:t>
      </w:r>
      <w:r w:rsidR="00CD131A" w:rsidRPr="00B21313">
        <w:rPr>
          <w:szCs w:val="24"/>
        </w:rPr>
        <w:t>oad</w:t>
      </w:r>
      <w:proofErr w:type="spellEnd"/>
      <w:r w:rsidR="00CD131A" w:rsidRPr="00B21313">
        <w:rPr>
          <w:szCs w:val="24"/>
        </w:rPr>
        <w:t xml:space="preserve"> &amp;</w:t>
      </w:r>
      <w:r w:rsidRPr="00B21313">
        <w:rPr>
          <w:szCs w:val="24"/>
        </w:rPr>
        <w:t xml:space="preserve"> </w:t>
      </w:r>
      <w:proofErr w:type="spellStart"/>
      <w:r w:rsidRPr="00B21313">
        <w:rPr>
          <w:szCs w:val="24"/>
        </w:rPr>
        <w:t>C</w:t>
      </w:r>
      <w:r w:rsidR="00CD131A" w:rsidRPr="00B21313">
        <w:rPr>
          <w:szCs w:val="24"/>
        </w:rPr>
        <w:t>ullen</w:t>
      </w:r>
      <w:proofErr w:type="spellEnd"/>
      <w:r w:rsidRPr="00B21313">
        <w:rPr>
          <w:szCs w:val="24"/>
        </w:rPr>
        <w:t>, 2006). Tais elementos, além de contribuírem para</w:t>
      </w:r>
      <w:r w:rsidR="009E0937" w:rsidRPr="00B21313">
        <w:rPr>
          <w:szCs w:val="24"/>
        </w:rPr>
        <w:t xml:space="preserve"> </w:t>
      </w:r>
      <w:r w:rsidRPr="00B21313">
        <w:rPr>
          <w:szCs w:val="24"/>
        </w:rPr>
        <w:t>o aumento dos níveis de confiança e do compartilhamento de informações entre estes</w:t>
      </w:r>
      <w:r w:rsidR="009E0937" w:rsidRPr="00B21313">
        <w:rPr>
          <w:szCs w:val="24"/>
        </w:rPr>
        <w:t xml:space="preserve"> </w:t>
      </w:r>
      <w:r w:rsidRPr="00B21313">
        <w:rPr>
          <w:szCs w:val="24"/>
        </w:rPr>
        <w:t>relacionamentos, melhoram o clima de comunicação e a capacidade destas empresas para</w:t>
      </w:r>
      <w:r w:rsidR="009E0937" w:rsidRPr="00B21313">
        <w:rPr>
          <w:szCs w:val="24"/>
        </w:rPr>
        <w:t xml:space="preserve"> </w:t>
      </w:r>
      <w:r w:rsidRPr="00B21313">
        <w:rPr>
          <w:szCs w:val="24"/>
        </w:rPr>
        <w:t>assimilar novidades sobre os controles de gestão (</w:t>
      </w:r>
      <w:proofErr w:type="spellStart"/>
      <w:r w:rsidR="00E2728B" w:rsidRPr="00B21313">
        <w:rPr>
          <w:szCs w:val="24"/>
        </w:rPr>
        <w:t>Elbashir</w:t>
      </w:r>
      <w:proofErr w:type="spellEnd"/>
      <w:r w:rsidR="00E2728B" w:rsidRPr="00B21313">
        <w:rPr>
          <w:szCs w:val="24"/>
        </w:rPr>
        <w:t>,</w:t>
      </w:r>
      <w:r w:rsidRPr="00B21313">
        <w:rPr>
          <w:szCs w:val="24"/>
        </w:rPr>
        <w:t xml:space="preserve"> </w:t>
      </w:r>
      <w:proofErr w:type="spellStart"/>
      <w:r w:rsidR="00E2728B" w:rsidRPr="00B21313">
        <w:rPr>
          <w:szCs w:val="24"/>
        </w:rPr>
        <w:t>Collier</w:t>
      </w:r>
      <w:proofErr w:type="spellEnd"/>
      <w:r w:rsidR="00E2728B" w:rsidRPr="00B21313">
        <w:rPr>
          <w:szCs w:val="24"/>
        </w:rPr>
        <w:t xml:space="preserve"> &amp;</w:t>
      </w:r>
      <w:r w:rsidRPr="00B21313">
        <w:rPr>
          <w:szCs w:val="24"/>
        </w:rPr>
        <w:t xml:space="preserve"> S</w:t>
      </w:r>
      <w:r w:rsidR="00E2728B" w:rsidRPr="00B21313">
        <w:rPr>
          <w:szCs w:val="24"/>
        </w:rPr>
        <w:t>utton</w:t>
      </w:r>
      <w:r w:rsidRPr="00B21313">
        <w:rPr>
          <w:szCs w:val="24"/>
        </w:rPr>
        <w:t>, 2011).</w:t>
      </w:r>
    </w:p>
    <w:p w:rsidR="0051668D" w:rsidRPr="00B21313" w:rsidRDefault="0051668D" w:rsidP="009C5CD5">
      <w:pPr>
        <w:autoSpaceDE w:val="0"/>
        <w:autoSpaceDN w:val="0"/>
        <w:adjustRightInd w:val="0"/>
        <w:ind w:firstLine="708"/>
        <w:rPr>
          <w:b/>
          <w:bCs/>
          <w:szCs w:val="24"/>
        </w:rPr>
      </w:pPr>
      <w:r w:rsidRPr="00B21313">
        <w:rPr>
          <w:szCs w:val="24"/>
        </w:rPr>
        <w:t>Assim sendo, é possível se admitir que a interação entre estes recursos favoreça o</w:t>
      </w:r>
      <w:r w:rsidR="009E0937" w:rsidRPr="00B21313">
        <w:rPr>
          <w:szCs w:val="24"/>
        </w:rPr>
        <w:t xml:space="preserve"> </w:t>
      </w:r>
      <w:r w:rsidRPr="00B21313">
        <w:rPr>
          <w:szCs w:val="24"/>
        </w:rPr>
        <w:t>desenvolvimento da capacidade absortiva das empresas (</w:t>
      </w:r>
      <w:r w:rsidR="00AF50B6" w:rsidRPr="00B21313">
        <w:rPr>
          <w:szCs w:val="24"/>
        </w:rPr>
        <w:t xml:space="preserve">Fayard </w:t>
      </w:r>
      <w:r w:rsidRPr="00B21313">
        <w:rPr>
          <w:szCs w:val="24"/>
        </w:rPr>
        <w:t>et al., 2012). Neste</w:t>
      </w:r>
      <w:r w:rsidR="009E0937" w:rsidRPr="00B21313">
        <w:rPr>
          <w:szCs w:val="24"/>
        </w:rPr>
        <w:t xml:space="preserve"> </w:t>
      </w:r>
      <w:r w:rsidRPr="00B21313">
        <w:rPr>
          <w:szCs w:val="24"/>
        </w:rPr>
        <w:t>contexto, espera-se que nas empresas pesquisadas que possuam sistemas de informação</w:t>
      </w:r>
      <w:r w:rsidR="009E0937" w:rsidRPr="00B21313">
        <w:rPr>
          <w:szCs w:val="24"/>
        </w:rPr>
        <w:t xml:space="preserve"> </w:t>
      </w:r>
      <w:r w:rsidRPr="00B21313">
        <w:rPr>
          <w:szCs w:val="24"/>
        </w:rPr>
        <w:t>externos integrados eletronicamente, que esse recurso sirva como facilitador e potencial</w:t>
      </w:r>
      <w:r w:rsidR="009E0937" w:rsidRPr="00B21313">
        <w:rPr>
          <w:szCs w:val="24"/>
        </w:rPr>
        <w:t xml:space="preserve"> </w:t>
      </w:r>
      <w:r w:rsidRPr="00B21313">
        <w:rPr>
          <w:szCs w:val="24"/>
        </w:rPr>
        <w:t>influenciador para o desenvolvimento da capacidade absortiva das empresas. Diante de tais</w:t>
      </w:r>
      <w:r w:rsidR="009E0937" w:rsidRPr="00B21313">
        <w:rPr>
          <w:szCs w:val="24"/>
        </w:rPr>
        <w:t xml:space="preserve"> </w:t>
      </w:r>
      <w:r w:rsidRPr="00B21313">
        <w:rPr>
          <w:szCs w:val="24"/>
        </w:rPr>
        <w:t>evidências, elaborou-se a seguinte hipótese de pesquisa:</w:t>
      </w:r>
      <w:r w:rsidR="009C5CD5" w:rsidRPr="00B21313">
        <w:rPr>
          <w:szCs w:val="24"/>
        </w:rPr>
        <w:t xml:space="preserve"> </w:t>
      </w:r>
      <w:r w:rsidRPr="00B21313">
        <w:rPr>
          <w:b/>
          <w:bCs/>
          <w:szCs w:val="24"/>
        </w:rPr>
        <w:t>H</w:t>
      </w:r>
      <w:r w:rsidR="009E0937" w:rsidRPr="00B21313">
        <w:rPr>
          <w:b/>
          <w:bCs/>
          <w:szCs w:val="24"/>
          <w:vertAlign w:val="subscript"/>
        </w:rPr>
        <w:t>1</w:t>
      </w:r>
      <w:r w:rsidRPr="00B21313">
        <w:rPr>
          <w:b/>
          <w:bCs/>
          <w:szCs w:val="24"/>
        </w:rPr>
        <w:t xml:space="preserve">. Há uma relação positiva entre a Integração Externa dos Sistemas de Informação </w:t>
      </w:r>
      <w:r w:rsidR="00C3119A" w:rsidRPr="00B21313">
        <w:rPr>
          <w:b/>
          <w:bCs/>
          <w:szCs w:val="24"/>
        </w:rPr>
        <w:t xml:space="preserve">e a </w:t>
      </w:r>
      <w:r w:rsidRPr="00B21313">
        <w:rPr>
          <w:b/>
          <w:bCs/>
          <w:szCs w:val="24"/>
        </w:rPr>
        <w:t>Capacidade Absortiva da empresa.</w:t>
      </w:r>
    </w:p>
    <w:p w:rsidR="001F58CD" w:rsidRPr="00B21313" w:rsidRDefault="002A34F0" w:rsidP="001F58CD">
      <w:pPr>
        <w:autoSpaceDE w:val="0"/>
        <w:autoSpaceDN w:val="0"/>
        <w:adjustRightInd w:val="0"/>
        <w:ind w:firstLine="708"/>
        <w:rPr>
          <w:szCs w:val="24"/>
        </w:rPr>
      </w:pPr>
      <w:r w:rsidRPr="00B21313">
        <w:rPr>
          <w:szCs w:val="24"/>
        </w:rPr>
        <w:t>A tecnologia de informação é vista como um facilitador do processo de gestão de</w:t>
      </w:r>
      <w:r w:rsidR="001F58CD" w:rsidRPr="00B21313">
        <w:rPr>
          <w:szCs w:val="24"/>
        </w:rPr>
        <w:t xml:space="preserve"> </w:t>
      </w:r>
      <w:r w:rsidRPr="00B21313">
        <w:rPr>
          <w:szCs w:val="24"/>
        </w:rPr>
        <w:t>custos das organizações, uma vez que facilita o acesso e compartilhamento de dados entre os</w:t>
      </w:r>
      <w:r w:rsidR="001F58CD" w:rsidRPr="00B21313">
        <w:rPr>
          <w:szCs w:val="24"/>
        </w:rPr>
        <w:t xml:space="preserve"> </w:t>
      </w:r>
      <w:r w:rsidRPr="00B21313">
        <w:rPr>
          <w:szCs w:val="24"/>
        </w:rPr>
        <w:t>usuários da informação de custos. É a partir dos sistemas de informações que as empresas</w:t>
      </w:r>
      <w:r w:rsidR="001F58CD" w:rsidRPr="00B21313">
        <w:rPr>
          <w:szCs w:val="24"/>
        </w:rPr>
        <w:t xml:space="preserve"> </w:t>
      </w:r>
      <w:r w:rsidRPr="00B21313">
        <w:rPr>
          <w:szCs w:val="24"/>
        </w:rPr>
        <w:t>concretizam a integração eletrônica externa com os parceiros pertencentes a sua cadeia de</w:t>
      </w:r>
      <w:r w:rsidR="001F58CD" w:rsidRPr="00B21313">
        <w:rPr>
          <w:szCs w:val="24"/>
        </w:rPr>
        <w:t xml:space="preserve"> </w:t>
      </w:r>
      <w:r w:rsidRPr="00B21313">
        <w:rPr>
          <w:szCs w:val="24"/>
        </w:rPr>
        <w:t>suprimentos, sendo esta integração considerada fundamental para possibilitar a adoção de</w:t>
      </w:r>
      <w:r w:rsidR="001F58CD" w:rsidRPr="00B21313">
        <w:rPr>
          <w:szCs w:val="24"/>
        </w:rPr>
        <w:t xml:space="preserve"> </w:t>
      </w:r>
      <w:r w:rsidRPr="00B21313">
        <w:rPr>
          <w:szCs w:val="24"/>
        </w:rPr>
        <w:t xml:space="preserve">prática de gestão </w:t>
      </w:r>
      <w:r w:rsidRPr="00B21313">
        <w:rPr>
          <w:szCs w:val="24"/>
        </w:rPr>
        <w:lastRenderedPageBreak/>
        <w:t>de custos interorganizacionais em toda a cadeia de suprimentos</w:t>
      </w:r>
      <w:r w:rsidR="001F58CD" w:rsidRPr="00B21313">
        <w:rPr>
          <w:szCs w:val="24"/>
        </w:rPr>
        <w:t xml:space="preserve"> </w:t>
      </w:r>
      <w:r w:rsidRPr="00B21313">
        <w:rPr>
          <w:szCs w:val="24"/>
        </w:rPr>
        <w:t>(</w:t>
      </w:r>
      <w:proofErr w:type="spellStart"/>
      <w:r w:rsidR="00331784" w:rsidRPr="00B21313">
        <w:rPr>
          <w:szCs w:val="24"/>
        </w:rPr>
        <w:t>Hopwood</w:t>
      </w:r>
      <w:proofErr w:type="spellEnd"/>
      <w:r w:rsidRPr="00B21313">
        <w:rPr>
          <w:szCs w:val="24"/>
        </w:rPr>
        <w:t xml:space="preserve">, 1996; </w:t>
      </w:r>
      <w:proofErr w:type="spellStart"/>
      <w:r w:rsidR="00331784" w:rsidRPr="00B21313">
        <w:rPr>
          <w:szCs w:val="24"/>
        </w:rPr>
        <w:t>Coad</w:t>
      </w:r>
      <w:proofErr w:type="spellEnd"/>
      <w:r w:rsidR="00331784" w:rsidRPr="00B21313">
        <w:rPr>
          <w:szCs w:val="24"/>
        </w:rPr>
        <w:t xml:space="preserve"> &amp; </w:t>
      </w:r>
      <w:proofErr w:type="spellStart"/>
      <w:r w:rsidR="00331784" w:rsidRPr="00B21313">
        <w:rPr>
          <w:szCs w:val="24"/>
        </w:rPr>
        <w:t>Cullen</w:t>
      </w:r>
      <w:proofErr w:type="spellEnd"/>
      <w:r w:rsidRPr="00B21313">
        <w:rPr>
          <w:szCs w:val="24"/>
        </w:rPr>
        <w:t xml:space="preserve">, 2006; </w:t>
      </w:r>
      <w:r w:rsidR="00331784" w:rsidRPr="00B21313">
        <w:rPr>
          <w:szCs w:val="24"/>
        </w:rPr>
        <w:t>Ward &amp;</w:t>
      </w:r>
      <w:r w:rsidRPr="00B21313">
        <w:rPr>
          <w:szCs w:val="24"/>
        </w:rPr>
        <w:t xml:space="preserve"> </w:t>
      </w:r>
      <w:proofErr w:type="spellStart"/>
      <w:r w:rsidR="00331784" w:rsidRPr="00B21313">
        <w:rPr>
          <w:szCs w:val="24"/>
        </w:rPr>
        <w:t>Zhou</w:t>
      </w:r>
      <w:proofErr w:type="spellEnd"/>
      <w:r w:rsidRPr="00B21313">
        <w:rPr>
          <w:szCs w:val="24"/>
        </w:rPr>
        <w:t xml:space="preserve">, 2006; </w:t>
      </w:r>
      <w:r w:rsidR="00C92803" w:rsidRPr="00B21313">
        <w:rPr>
          <w:szCs w:val="24"/>
        </w:rPr>
        <w:t>Anderson</w:t>
      </w:r>
      <w:r w:rsidRPr="00B21313">
        <w:rPr>
          <w:szCs w:val="24"/>
        </w:rPr>
        <w:t>, 2007;</w:t>
      </w:r>
      <w:r w:rsidR="001F58CD" w:rsidRPr="00B21313">
        <w:rPr>
          <w:szCs w:val="24"/>
        </w:rPr>
        <w:t xml:space="preserve"> </w:t>
      </w:r>
      <w:proofErr w:type="spellStart"/>
      <w:r w:rsidR="000C1154" w:rsidRPr="00B21313">
        <w:rPr>
          <w:szCs w:val="24"/>
        </w:rPr>
        <w:t>Holweg</w:t>
      </w:r>
      <w:proofErr w:type="spellEnd"/>
      <w:r w:rsidR="000C1154" w:rsidRPr="00B21313">
        <w:rPr>
          <w:szCs w:val="24"/>
        </w:rPr>
        <w:t xml:space="preserve"> &amp;</w:t>
      </w:r>
      <w:r w:rsidRPr="00B21313">
        <w:rPr>
          <w:szCs w:val="24"/>
        </w:rPr>
        <w:t xml:space="preserve"> </w:t>
      </w:r>
      <w:proofErr w:type="spellStart"/>
      <w:r w:rsidR="000C1154" w:rsidRPr="00B21313">
        <w:rPr>
          <w:szCs w:val="24"/>
        </w:rPr>
        <w:t>Pil</w:t>
      </w:r>
      <w:proofErr w:type="spellEnd"/>
      <w:r w:rsidRPr="00B21313">
        <w:rPr>
          <w:szCs w:val="24"/>
        </w:rPr>
        <w:t xml:space="preserve">, 2008; </w:t>
      </w:r>
      <w:r w:rsidR="000C1154" w:rsidRPr="00B21313">
        <w:rPr>
          <w:szCs w:val="24"/>
        </w:rPr>
        <w:t>Anderson &amp; Dekker</w:t>
      </w:r>
      <w:r w:rsidRPr="00B21313">
        <w:rPr>
          <w:szCs w:val="24"/>
        </w:rPr>
        <w:t xml:space="preserve">, 2009, </w:t>
      </w:r>
      <w:r w:rsidR="006C499C" w:rsidRPr="00B21313">
        <w:rPr>
          <w:szCs w:val="24"/>
        </w:rPr>
        <w:t>Chapman &amp;</w:t>
      </w:r>
      <w:r w:rsidRPr="00B21313">
        <w:rPr>
          <w:szCs w:val="24"/>
        </w:rPr>
        <w:t xml:space="preserve"> </w:t>
      </w:r>
      <w:proofErr w:type="spellStart"/>
      <w:r w:rsidR="006C499C" w:rsidRPr="00B21313">
        <w:rPr>
          <w:szCs w:val="24"/>
        </w:rPr>
        <w:t>Kihn</w:t>
      </w:r>
      <w:proofErr w:type="spellEnd"/>
      <w:r w:rsidRPr="00B21313">
        <w:rPr>
          <w:szCs w:val="24"/>
        </w:rPr>
        <w:t xml:space="preserve">, 2009; </w:t>
      </w:r>
      <w:r w:rsidR="00863AB4" w:rsidRPr="00B21313">
        <w:rPr>
          <w:szCs w:val="24"/>
        </w:rPr>
        <w:t xml:space="preserve">Fayard </w:t>
      </w:r>
      <w:r w:rsidRPr="00B21313">
        <w:rPr>
          <w:szCs w:val="24"/>
        </w:rPr>
        <w:t>et al., 2012).</w:t>
      </w:r>
    </w:p>
    <w:p w:rsidR="002C62B8" w:rsidRPr="00B21313" w:rsidRDefault="002A34F0" w:rsidP="002C62B8">
      <w:pPr>
        <w:autoSpaceDE w:val="0"/>
        <w:autoSpaceDN w:val="0"/>
        <w:adjustRightInd w:val="0"/>
        <w:ind w:firstLine="708"/>
        <w:rPr>
          <w:szCs w:val="24"/>
        </w:rPr>
      </w:pPr>
      <w:r w:rsidRPr="00B21313">
        <w:rPr>
          <w:szCs w:val="24"/>
        </w:rPr>
        <w:t>Evidências apontam que para o acesso a inúmeros recursos externos, a empresa</w:t>
      </w:r>
      <w:r w:rsidR="002C62B8" w:rsidRPr="00B21313">
        <w:rPr>
          <w:szCs w:val="24"/>
        </w:rPr>
        <w:t xml:space="preserve"> </w:t>
      </w:r>
      <w:r w:rsidRPr="00B21313">
        <w:rPr>
          <w:szCs w:val="24"/>
        </w:rPr>
        <w:t>necessita de recursos internos, como por exemplo, os sistemas de informação, uma vez que</w:t>
      </w:r>
      <w:r w:rsidR="002C62B8" w:rsidRPr="00B21313">
        <w:rPr>
          <w:szCs w:val="24"/>
        </w:rPr>
        <w:t xml:space="preserve"> </w:t>
      </w:r>
      <w:r w:rsidRPr="00B21313">
        <w:rPr>
          <w:szCs w:val="24"/>
        </w:rPr>
        <w:t>estes são utilizados para coletar e fornecer dados, coordenar atividades e se comunicar com os</w:t>
      </w:r>
      <w:r w:rsidR="002C62B8" w:rsidRPr="00B21313">
        <w:rPr>
          <w:szCs w:val="24"/>
        </w:rPr>
        <w:t xml:space="preserve"> </w:t>
      </w:r>
      <w:r w:rsidRPr="00B21313">
        <w:rPr>
          <w:szCs w:val="24"/>
        </w:rPr>
        <w:t>agentes parceiros (</w:t>
      </w:r>
      <w:proofErr w:type="spellStart"/>
      <w:r w:rsidR="00863AB4" w:rsidRPr="00B21313">
        <w:rPr>
          <w:szCs w:val="24"/>
        </w:rPr>
        <w:t>Hopwoood</w:t>
      </w:r>
      <w:proofErr w:type="spellEnd"/>
      <w:r w:rsidRPr="00B21313">
        <w:rPr>
          <w:szCs w:val="24"/>
        </w:rPr>
        <w:t xml:space="preserve">, 1996; </w:t>
      </w:r>
      <w:r w:rsidR="00863AB4" w:rsidRPr="00B21313">
        <w:rPr>
          <w:szCs w:val="24"/>
        </w:rPr>
        <w:t>Anderson</w:t>
      </w:r>
      <w:r w:rsidRPr="00B21313">
        <w:rPr>
          <w:szCs w:val="24"/>
        </w:rPr>
        <w:t>, 2007). Assim, os sistemas de</w:t>
      </w:r>
      <w:r w:rsidR="002C62B8" w:rsidRPr="00B21313">
        <w:rPr>
          <w:szCs w:val="24"/>
        </w:rPr>
        <w:t xml:space="preserve"> </w:t>
      </w:r>
      <w:r w:rsidRPr="00B21313">
        <w:rPr>
          <w:szCs w:val="24"/>
        </w:rPr>
        <w:t>informação quando integrados, permitem fornecer aos agentes maior visibilidade das</w:t>
      </w:r>
      <w:r w:rsidR="002C62B8" w:rsidRPr="00B21313">
        <w:rPr>
          <w:szCs w:val="24"/>
        </w:rPr>
        <w:t xml:space="preserve"> </w:t>
      </w:r>
      <w:r w:rsidRPr="00B21313">
        <w:rPr>
          <w:szCs w:val="24"/>
        </w:rPr>
        <w:t>informações e o compartilhamento destas de forma online em toda a cadeia de suprimentos,</w:t>
      </w:r>
      <w:r w:rsidR="002C62B8" w:rsidRPr="00B21313">
        <w:rPr>
          <w:szCs w:val="24"/>
        </w:rPr>
        <w:t xml:space="preserve"> </w:t>
      </w:r>
      <w:r w:rsidRPr="00B21313">
        <w:rPr>
          <w:szCs w:val="24"/>
        </w:rPr>
        <w:t>fazendo com que os usuários obtenham informações atualizadas e tempestivas (</w:t>
      </w:r>
      <w:r w:rsidR="00367E04" w:rsidRPr="00B21313">
        <w:rPr>
          <w:szCs w:val="24"/>
        </w:rPr>
        <w:t>Vickery et al.</w:t>
      </w:r>
      <w:r w:rsidRPr="00B21313">
        <w:rPr>
          <w:szCs w:val="24"/>
        </w:rPr>
        <w:t xml:space="preserve">, 2003; </w:t>
      </w:r>
      <w:proofErr w:type="spellStart"/>
      <w:r w:rsidR="008975F4" w:rsidRPr="00B21313">
        <w:rPr>
          <w:szCs w:val="24"/>
        </w:rPr>
        <w:t>Barua</w:t>
      </w:r>
      <w:proofErr w:type="spellEnd"/>
      <w:r w:rsidR="008975F4" w:rsidRPr="00B21313">
        <w:rPr>
          <w:szCs w:val="24"/>
        </w:rPr>
        <w:t xml:space="preserve"> et al.</w:t>
      </w:r>
      <w:r w:rsidRPr="00B21313">
        <w:rPr>
          <w:szCs w:val="24"/>
        </w:rPr>
        <w:t>, 2004), permitindo assim</w:t>
      </w:r>
      <w:r w:rsidR="002C62B8" w:rsidRPr="00B21313">
        <w:rPr>
          <w:szCs w:val="24"/>
        </w:rPr>
        <w:t xml:space="preserve"> </w:t>
      </w:r>
      <w:r w:rsidRPr="00B21313">
        <w:rPr>
          <w:szCs w:val="24"/>
        </w:rPr>
        <w:t>a análise dos custos totais de forma conjunta (</w:t>
      </w:r>
      <w:r w:rsidR="00C529E7" w:rsidRPr="00B21313">
        <w:rPr>
          <w:szCs w:val="24"/>
        </w:rPr>
        <w:t xml:space="preserve">Ellram &amp; </w:t>
      </w:r>
      <w:proofErr w:type="spellStart"/>
      <w:r w:rsidR="00C529E7" w:rsidRPr="00B21313">
        <w:rPr>
          <w:szCs w:val="24"/>
        </w:rPr>
        <w:t>Zsidisin</w:t>
      </w:r>
      <w:proofErr w:type="spellEnd"/>
      <w:r w:rsidRPr="00B21313">
        <w:rPr>
          <w:szCs w:val="24"/>
        </w:rPr>
        <w:t>, 2002).</w:t>
      </w:r>
    </w:p>
    <w:p w:rsidR="008E0C2D" w:rsidRPr="00B21313" w:rsidRDefault="002A34F0" w:rsidP="008E0C2D">
      <w:pPr>
        <w:autoSpaceDE w:val="0"/>
        <w:autoSpaceDN w:val="0"/>
        <w:adjustRightInd w:val="0"/>
        <w:ind w:firstLine="708"/>
        <w:rPr>
          <w:szCs w:val="24"/>
        </w:rPr>
      </w:pPr>
      <w:r w:rsidRPr="00B21313">
        <w:rPr>
          <w:szCs w:val="24"/>
        </w:rPr>
        <w:t>A integração dos sistemas de informação facilita a abertura de dados com os demais</w:t>
      </w:r>
      <w:r w:rsidR="002C62B8" w:rsidRPr="00B21313">
        <w:rPr>
          <w:szCs w:val="24"/>
        </w:rPr>
        <w:t xml:space="preserve"> </w:t>
      </w:r>
      <w:r w:rsidRPr="00B21313">
        <w:rPr>
          <w:szCs w:val="24"/>
        </w:rPr>
        <w:t>agentes, e, consequentemente, o planejamento, a execução e monitoramento das atividades</w:t>
      </w:r>
      <w:r w:rsidR="002C62B8" w:rsidRPr="00B21313">
        <w:rPr>
          <w:szCs w:val="24"/>
        </w:rPr>
        <w:t xml:space="preserve"> </w:t>
      </w:r>
      <w:r w:rsidRPr="00B21313">
        <w:rPr>
          <w:szCs w:val="24"/>
        </w:rPr>
        <w:t>operacionais dos membros da cadeia de suprimentos (</w:t>
      </w:r>
      <w:r w:rsidR="00AF5FE8" w:rsidRPr="00B21313">
        <w:rPr>
          <w:szCs w:val="24"/>
        </w:rPr>
        <w:t>Vickery</w:t>
      </w:r>
      <w:r w:rsidRPr="00B21313">
        <w:rPr>
          <w:szCs w:val="24"/>
        </w:rPr>
        <w:t xml:space="preserve"> </w:t>
      </w:r>
      <w:r w:rsidR="00AF5FE8" w:rsidRPr="00B21313">
        <w:rPr>
          <w:szCs w:val="24"/>
        </w:rPr>
        <w:t>et al.,</w:t>
      </w:r>
      <w:r w:rsidR="002C62B8" w:rsidRPr="00B21313">
        <w:rPr>
          <w:szCs w:val="24"/>
        </w:rPr>
        <w:t xml:space="preserve"> </w:t>
      </w:r>
      <w:r w:rsidRPr="00B21313">
        <w:rPr>
          <w:szCs w:val="24"/>
        </w:rPr>
        <w:t>2003). Desta forma, recursos como os sistemas de informação integrados eletronicamente são</w:t>
      </w:r>
      <w:r w:rsidR="002C62B8" w:rsidRPr="00B21313">
        <w:rPr>
          <w:szCs w:val="24"/>
        </w:rPr>
        <w:t xml:space="preserve"> </w:t>
      </w:r>
      <w:r w:rsidRPr="00B21313">
        <w:rPr>
          <w:szCs w:val="24"/>
        </w:rPr>
        <w:t>considerados de suma importância para o desenvolvimento de práticas de gestão de custos</w:t>
      </w:r>
      <w:r w:rsidR="002C62B8" w:rsidRPr="00B21313">
        <w:rPr>
          <w:szCs w:val="24"/>
        </w:rPr>
        <w:t xml:space="preserve"> </w:t>
      </w:r>
      <w:r w:rsidRPr="00B21313">
        <w:rPr>
          <w:szCs w:val="24"/>
        </w:rPr>
        <w:t>interorganizacionais (</w:t>
      </w:r>
      <w:proofErr w:type="spellStart"/>
      <w:r w:rsidR="005C6157" w:rsidRPr="00B21313">
        <w:rPr>
          <w:szCs w:val="24"/>
        </w:rPr>
        <w:t>Coad</w:t>
      </w:r>
      <w:proofErr w:type="spellEnd"/>
      <w:r w:rsidR="005C6157" w:rsidRPr="00B21313">
        <w:rPr>
          <w:szCs w:val="24"/>
        </w:rPr>
        <w:t xml:space="preserve"> &amp; </w:t>
      </w:r>
      <w:proofErr w:type="spellStart"/>
      <w:r w:rsidRPr="00B21313">
        <w:rPr>
          <w:szCs w:val="24"/>
        </w:rPr>
        <w:t>C</w:t>
      </w:r>
      <w:r w:rsidR="005C6157" w:rsidRPr="00B21313">
        <w:rPr>
          <w:szCs w:val="24"/>
        </w:rPr>
        <w:t>ullen</w:t>
      </w:r>
      <w:proofErr w:type="spellEnd"/>
      <w:r w:rsidRPr="00B21313">
        <w:rPr>
          <w:szCs w:val="24"/>
        </w:rPr>
        <w:t>, 2006). De acordo com Fayard et al. (2012), a gestão</w:t>
      </w:r>
      <w:r w:rsidR="002C62B8" w:rsidRPr="00B21313">
        <w:rPr>
          <w:szCs w:val="24"/>
        </w:rPr>
        <w:t xml:space="preserve"> </w:t>
      </w:r>
      <w:r w:rsidRPr="00B21313">
        <w:rPr>
          <w:szCs w:val="24"/>
        </w:rPr>
        <w:t>de custos interorganizacionais, realizada com a utilização de sistemas de informação</w:t>
      </w:r>
      <w:r w:rsidR="002C62B8" w:rsidRPr="00B21313">
        <w:rPr>
          <w:szCs w:val="24"/>
        </w:rPr>
        <w:t xml:space="preserve"> integrados, </w:t>
      </w:r>
      <w:r w:rsidRPr="00B21313">
        <w:rPr>
          <w:szCs w:val="24"/>
        </w:rPr>
        <w:t>pode auxiliar as organizações no alcance de vantagens competitivas.</w:t>
      </w:r>
      <w:r w:rsidR="008E0C2D" w:rsidRPr="00B21313">
        <w:rPr>
          <w:szCs w:val="24"/>
        </w:rPr>
        <w:t xml:space="preserve"> </w:t>
      </w:r>
    </w:p>
    <w:p w:rsidR="002A34F0" w:rsidRPr="00B21313" w:rsidRDefault="008E0C2D" w:rsidP="009C5CD5">
      <w:pPr>
        <w:autoSpaceDE w:val="0"/>
        <w:autoSpaceDN w:val="0"/>
        <w:adjustRightInd w:val="0"/>
        <w:ind w:firstLine="708"/>
        <w:rPr>
          <w:b/>
          <w:bCs/>
          <w:szCs w:val="24"/>
        </w:rPr>
      </w:pPr>
      <w:r w:rsidRPr="00B21313">
        <w:rPr>
          <w:szCs w:val="24"/>
        </w:rPr>
        <w:t>Assim</w:t>
      </w:r>
      <w:r w:rsidR="002A34F0" w:rsidRPr="00B21313">
        <w:rPr>
          <w:szCs w:val="24"/>
        </w:rPr>
        <w:t>, espera-se que nas empresas participantes desta pesquisa que</w:t>
      </w:r>
      <w:r w:rsidR="00A646CE" w:rsidRPr="00B21313">
        <w:rPr>
          <w:szCs w:val="24"/>
        </w:rPr>
        <w:t xml:space="preserve"> </w:t>
      </w:r>
      <w:r w:rsidR="002A34F0" w:rsidRPr="00B21313">
        <w:rPr>
          <w:szCs w:val="24"/>
        </w:rPr>
        <w:t>possuam os sistemas de informações interligados externamente com outras empresas, este</w:t>
      </w:r>
      <w:r w:rsidR="00A646CE" w:rsidRPr="00B21313">
        <w:rPr>
          <w:szCs w:val="24"/>
        </w:rPr>
        <w:t xml:space="preserve"> </w:t>
      </w:r>
      <w:r w:rsidR="002A34F0" w:rsidRPr="00B21313">
        <w:rPr>
          <w:szCs w:val="24"/>
        </w:rPr>
        <w:t>recurso sirva como facilitador e potencial influenciador para a adoção de práticas de gestão de</w:t>
      </w:r>
      <w:r w:rsidR="00A646CE" w:rsidRPr="00B21313">
        <w:rPr>
          <w:szCs w:val="24"/>
        </w:rPr>
        <w:t xml:space="preserve"> </w:t>
      </w:r>
      <w:r w:rsidR="002A34F0" w:rsidRPr="00B21313">
        <w:rPr>
          <w:szCs w:val="24"/>
        </w:rPr>
        <w:t>custos interorganizacionais. Desta forma, formula-se a seguinte hipótese de pesquisa:</w:t>
      </w:r>
      <w:r w:rsidR="009C5CD5" w:rsidRPr="00B21313">
        <w:rPr>
          <w:szCs w:val="24"/>
        </w:rPr>
        <w:t xml:space="preserve"> </w:t>
      </w:r>
      <w:r w:rsidR="002A34F0" w:rsidRPr="00B21313">
        <w:rPr>
          <w:b/>
          <w:bCs/>
          <w:szCs w:val="24"/>
        </w:rPr>
        <w:t>H2. Há uma relação positiva entre Integração Externa dos Sistemas de Informação e a</w:t>
      </w:r>
      <w:r w:rsidR="00A646CE" w:rsidRPr="00B21313">
        <w:rPr>
          <w:b/>
          <w:bCs/>
          <w:szCs w:val="24"/>
        </w:rPr>
        <w:t xml:space="preserve"> </w:t>
      </w:r>
      <w:r w:rsidR="002A34F0" w:rsidRPr="00B21313">
        <w:rPr>
          <w:b/>
          <w:bCs/>
          <w:szCs w:val="24"/>
        </w:rPr>
        <w:t>adoção de práticas de Gestão de Custos Interorganizacionais.</w:t>
      </w:r>
    </w:p>
    <w:p w:rsidR="001E56A0" w:rsidRPr="00B21313" w:rsidRDefault="002A34F0" w:rsidP="001E56A0">
      <w:pPr>
        <w:autoSpaceDE w:val="0"/>
        <w:autoSpaceDN w:val="0"/>
        <w:adjustRightInd w:val="0"/>
        <w:ind w:firstLine="708"/>
        <w:rPr>
          <w:szCs w:val="24"/>
        </w:rPr>
      </w:pPr>
      <w:r w:rsidRPr="00B21313">
        <w:rPr>
          <w:szCs w:val="24"/>
        </w:rPr>
        <w:t>A capacidade absortiva é vista como um recurso que permite o desenvolvimento de</w:t>
      </w:r>
      <w:r w:rsidR="001E56A0" w:rsidRPr="00B21313">
        <w:rPr>
          <w:szCs w:val="24"/>
        </w:rPr>
        <w:t xml:space="preserve"> </w:t>
      </w:r>
      <w:r w:rsidRPr="00B21313">
        <w:rPr>
          <w:szCs w:val="24"/>
        </w:rPr>
        <w:t>outros recursos, exigindo para tanto o conhecimento acumulado pela organização (</w:t>
      </w:r>
      <w:proofErr w:type="spellStart"/>
      <w:r w:rsidR="005E6303" w:rsidRPr="00B21313">
        <w:rPr>
          <w:szCs w:val="24"/>
        </w:rPr>
        <w:t>Zahra</w:t>
      </w:r>
      <w:proofErr w:type="spellEnd"/>
      <w:r w:rsidR="005E6303" w:rsidRPr="00B21313">
        <w:rPr>
          <w:szCs w:val="24"/>
        </w:rPr>
        <w:t xml:space="preserve"> &amp;</w:t>
      </w:r>
      <w:r w:rsidR="001E56A0" w:rsidRPr="00B21313">
        <w:rPr>
          <w:szCs w:val="24"/>
        </w:rPr>
        <w:t xml:space="preserve"> </w:t>
      </w:r>
      <w:r w:rsidRPr="00B21313">
        <w:rPr>
          <w:szCs w:val="24"/>
        </w:rPr>
        <w:t>G</w:t>
      </w:r>
      <w:r w:rsidR="005E6303" w:rsidRPr="00B21313">
        <w:rPr>
          <w:szCs w:val="24"/>
        </w:rPr>
        <w:t>eorge</w:t>
      </w:r>
      <w:r w:rsidRPr="00B21313">
        <w:rPr>
          <w:szCs w:val="24"/>
        </w:rPr>
        <w:t>, 2002; F</w:t>
      </w:r>
      <w:r w:rsidR="005E6303" w:rsidRPr="00B21313">
        <w:rPr>
          <w:szCs w:val="24"/>
        </w:rPr>
        <w:t>ayard</w:t>
      </w:r>
      <w:r w:rsidRPr="00B21313">
        <w:rPr>
          <w:szCs w:val="24"/>
        </w:rPr>
        <w:t xml:space="preserve"> et al., 2012). O desenvolvimento de capacidade absortiva tem se</w:t>
      </w:r>
      <w:r w:rsidR="001E56A0" w:rsidRPr="00B21313">
        <w:rPr>
          <w:szCs w:val="24"/>
        </w:rPr>
        <w:t xml:space="preserve"> </w:t>
      </w:r>
      <w:r w:rsidRPr="00B21313">
        <w:rPr>
          <w:szCs w:val="24"/>
        </w:rPr>
        <w:t>constituído um recurso primordial para o desenvolvimento da vantagem competitiva das</w:t>
      </w:r>
      <w:r w:rsidR="001E56A0" w:rsidRPr="00B21313">
        <w:rPr>
          <w:szCs w:val="24"/>
        </w:rPr>
        <w:t xml:space="preserve"> </w:t>
      </w:r>
      <w:r w:rsidRPr="00B21313">
        <w:rPr>
          <w:szCs w:val="24"/>
        </w:rPr>
        <w:t xml:space="preserve">organizações </w:t>
      </w:r>
      <w:r w:rsidR="005E6303" w:rsidRPr="00B21313">
        <w:rPr>
          <w:szCs w:val="24"/>
        </w:rPr>
        <w:t>(</w:t>
      </w:r>
      <w:proofErr w:type="spellStart"/>
      <w:r w:rsidR="005E6303" w:rsidRPr="00B21313">
        <w:rPr>
          <w:szCs w:val="24"/>
        </w:rPr>
        <w:t>Zahra</w:t>
      </w:r>
      <w:proofErr w:type="spellEnd"/>
      <w:r w:rsidR="005E6303" w:rsidRPr="00B21313">
        <w:rPr>
          <w:szCs w:val="24"/>
        </w:rPr>
        <w:t xml:space="preserve"> &amp; </w:t>
      </w:r>
      <w:r w:rsidRPr="00B21313">
        <w:rPr>
          <w:szCs w:val="24"/>
        </w:rPr>
        <w:t>G</w:t>
      </w:r>
      <w:r w:rsidR="005E6303" w:rsidRPr="00B21313">
        <w:rPr>
          <w:szCs w:val="24"/>
        </w:rPr>
        <w:t>eorge</w:t>
      </w:r>
      <w:r w:rsidRPr="00B21313">
        <w:rPr>
          <w:szCs w:val="24"/>
        </w:rPr>
        <w:t>, 2002).</w:t>
      </w:r>
      <w:r w:rsidR="001E56A0" w:rsidRPr="00B21313">
        <w:rPr>
          <w:szCs w:val="24"/>
        </w:rPr>
        <w:t xml:space="preserve"> </w:t>
      </w:r>
    </w:p>
    <w:p w:rsidR="001E56A0" w:rsidRPr="00B21313" w:rsidRDefault="002A34F0" w:rsidP="001E56A0">
      <w:pPr>
        <w:autoSpaceDE w:val="0"/>
        <w:autoSpaceDN w:val="0"/>
        <w:adjustRightInd w:val="0"/>
        <w:ind w:firstLine="708"/>
        <w:rPr>
          <w:szCs w:val="24"/>
        </w:rPr>
      </w:pPr>
      <w:r w:rsidRPr="00B21313">
        <w:rPr>
          <w:szCs w:val="24"/>
        </w:rPr>
        <w:t>No contexto específico da gestão de custos sob a perspectiva interorganizacional, a</w:t>
      </w:r>
      <w:r w:rsidR="001E56A0" w:rsidRPr="00B21313">
        <w:rPr>
          <w:szCs w:val="24"/>
        </w:rPr>
        <w:t xml:space="preserve"> </w:t>
      </w:r>
      <w:r w:rsidRPr="00B21313">
        <w:rPr>
          <w:szCs w:val="24"/>
        </w:rPr>
        <w:t>literatura tem abordado a temática capacidade absortiva classificando-a em três aspectos</w:t>
      </w:r>
      <w:r w:rsidR="001E56A0" w:rsidRPr="00B21313">
        <w:rPr>
          <w:szCs w:val="24"/>
        </w:rPr>
        <w:t xml:space="preserve"> </w:t>
      </w:r>
      <w:r w:rsidRPr="00B21313">
        <w:rPr>
          <w:szCs w:val="24"/>
        </w:rPr>
        <w:t>principais, capazes de influenciar positivamente a adoção de tais práticas de gestão, sendo</w:t>
      </w:r>
      <w:r w:rsidR="001E56A0" w:rsidRPr="00B21313">
        <w:rPr>
          <w:szCs w:val="24"/>
        </w:rPr>
        <w:t xml:space="preserve"> </w:t>
      </w:r>
      <w:r w:rsidRPr="00B21313">
        <w:rPr>
          <w:szCs w:val="24"/>
        </w:rPr>
        <w:t>estes: clima comunicação, rede de comunicação e busca de conhecimento (</w:t>
      </w:r>
      <w:r w:rsidR="002B36F0" w:rsidRPr="00B21313">
        <w:rPr>
          <w:szCs w:val="24"/>
        </w:rPr>
        <w:t xml:space="preserve">Tu </w:t>
      </w:r>
      <w:r w:rsidRPr="00B21313">
        <w:rPr>
          <w:szCs w:val="24"/>
        </w:rPr>
        <w:t>et al., 2006).</w:t>
      </w:r>
      <w:r w:rsidR="001E56A0" w:rsidRPr="00B21313">
        <w:rPr>
          <w:szCs w:val="24"/>
        </w:rPr>
        <w:t xml:space="preserve"> </w:t>
      </w:r>
      <w:r w:rsidRPr="00B21313">
        <w:rPr>
          <w:szCs w:val="24"/>
        </w:rPr>
        <w:t>Neste caso, a capacidade absortiva de uma empresa é resultante da combinação destes três</w:t>
      </w:r>
      <w:r w:rsidR="001E56A0" w:rsidRPr="00B21313">
        <w:rPr>
          <w:szCs w:val="24"/>
        </w:rPr>
        <w:t xml:space="preserve"> </w:t>
      </w:r>
      <w:r w:rsidRPr="00B21313">
        <w:rPr>
          <w:szCs w:val="24"/>
        </w:rPr>
        <w:t>elementos (</w:t>
      </w:r>
      <w:r w:rsidR="002B36F0" w:rsidRPr="00B21313">
        <w:rPr>
          <w:szCs w:val="24"/>
        </w:rPr>
        <w:t xml:space="preserve">Fayard </w:t>
      </w:r>
      <w:r w:rsidRPr="00B21313">
        <w:rPr>
          <w:szCs w:val="24"/>
        </w:rPr>
        <w:t>et al., 2012).</w:t>
      </w:r>
      <w:r w:rsidR="001E56A0" w:rsidRPr="00B21313">
        <w:rPr>
          <w:szCs w:val="24"/>
        </w:rPr>
        <w:t xml:space="preserve"> </w:t>
      </w:r>
    </w:p>
    <w:p w:rsidR="001E56A0" w:rsidRPr="00B21313" w:rsidRDefault="002A34F0" w:rsidP="001E56A0">
      <w:pPr>
        <w:autoSpaceDE w:val="0"/>
        <w:autoSpaceDN w:val="0"/>
        <w:adjustRightInd w:val="0"/>
        <w:ind w:firstLine="708"/>
        <w:rPr>
          <w:szCs w:val="24"/>
        </w:rPr>
      </w:pPr>
      <w:r w:rsidRPr="00B21313">
        <w:rPr>
          <w:szCs w:val="24"/>
        </w:rPr>
        <w:t>O clima de comunicação torna-se um fator importante no desenvolvimento de</w:t>
      </w:r>
      <w:r w:rsidR="001E56A0" w:rsidRPr="00B21313">
        <w:rPr>
          <w:szCs w:val="24"/>
        </w:rPr>
        <w:t xml:space="preserve"> </w:t>
      </w:r>
      <w:r w:rsidRPr="00B21313">
        <w:rPr>
          <w:szCs w:val="24"/>
        </w:rPr>
        <w:t>relacionamentos interorganizacionais e, por conseguinte, para a gestão conjunta dos custos da</w:t>
      </w:r>
      <w:r w:rsidR="001E56A0" w:rsidRPr="00B21313">
        <w:rPr>
          <w:szCs w:val="24"/>
        </w:rPr>
        <w:t xml:space="preserve"> </w:t>
      </w:r>
      <w:r w:rsidRPr="00B21313">
        <w:rPr>
          <w:szCs w:val="24"/>
        </w:rPr>
        <w:t>cadeia de suprimentos a qual as organizações parceiras pertencem, uma vez que inclui</w:t>
      </w:r>
      <w:r w:rsidR="001E56A0" w:rsidRPr="00B21313">
        <w:rPr>
          <w:szCs w:val="24"/>
        </w:rPr>
        <w:t xml:space="preserve"> </w:t>
      </w:r>
      <w:r w:rsidRPr="00B21313">
        <w:rPr>
          <w:szCs w:val="24"/>
        </w:rPr>
        <w:t>aspectos como confiança entre as empresas parceiras e sua disposição para partilhar</w:t>
      </w:r>
      <w:r w:rsidR="001E56A0" w:rsidRPr="00B21313">
        <w:rPr>
          <w:szCs w:val="24"/>
        </w:rPr>
        <w:t xml:space="preserve"> </w:t>
      </w:r>
      <w:r w:rsidRPr="00B21313">
        <w:rPr>
          <w:szCs w:val="24"/>
        </w:rPr>
        <w:t>informações (</w:t>
      </w:r>
      <w:r w:rsidR="00B41B79" w:rsidRPr="00B21313">
        <w:rPr>
          <w:szCs w:val="24"/>
        </w:rPr>
        <w:t xml:space="preserve">Tu </w:t>
      </w:r>
      <w:r w:rsidRPr="00B21313">
        <w:rPr>
          <w:szCs w:val="24"/>
        </w:rPr>
        <w:t>et al., 2006). Assim, quando há o estabelecimento de um canal de</w:t>
      </w:r>
      <w:r w:rsidR="001E56A0" w:rsidRPr="00B21313">
        <w:rPr>
          <w:szCs w:val="24"/>
        </w:rPr>
        <w:t xml:space="preserve"> </w:t>
      </w:r>
      <w:r w:rsidRPr="00B21313">
        <w:rPr>
          <w:szCs w:val="24"/>
        </w:rPr>
        <w:t>comunicação aberto com o seu parceiro e quando se conhece as pessoas certas para</w:t>
      </w:r>
      <w:r w:rsidR="001E56A0" w:rsidRPr="00B21313">
        <w:rPr>
          <w:szCs w:val="24"/>
        </w:rPr>
        <w:t xml:space="preserve"> </w:t>
      </w:r>
      <w:r w:rsidRPr="00B21313">
        <w:rPr>
          <w:szCs w:val="24"/>
        </w:rPr>
        <w:t>compartilhar informações entre estas organizações, o acesso a informação estratégica de</w:t>
      </w:r>
      <w:r w:rsidR="001E56A0" w:rsidRPr="00B21313">
        <w:rPr>
          <w:szCs w:val="24"/>
        </w:rPr>
        <w:t xml:space="preserve"> </w:t>
      </w:r>
      <w:r w:rsidRPr="00B21313">
        <w:rPr>
          <w:szCs w:val="24"/>
        </w:rPr>
        <w:t>custos é partilhado nestes relacionamentos (</w:t>
      </w:r>
      <w:proofErr w:type="spellStart"/>
      <w:r w:rsidR="00E73ABC" w:rsidRPr="00B21313">
        <w:rPr>
          <w:szCs w:val="24"/>
        </w:rPr>
        <w:t>Dyer</w:t>
      </w:r>
      <w:proofErr w:type="spellEnd"/>
      <w:r w:rsidR="00E73ABC" w:rsidRPr="00B21313">
        <w:rPr>
          <w:szCs w:val="24"/>
        </w:rPr>
        <w:t xml:space="preserve"> &amp;</w:t>
      </w:r>
      <w:r w:rsidRPr="00B21313">
        <w:rPr>
          <w:szCs w:val="24"/>
        </w:rPr>
        <w:t xml:space="preserve"> </w:t>
      </w:r>
      <w:r w:rsidR="00C65256" w:rsidRPr="00B21313">
        <w:rPr>
          <w:szCs w:val="24"/>
        </w:rPr>
        <w:t>Singh</w:t>
      </w:r>
      <w:r w:rsidRPr="00B21313">
        <w:rPr>
          <w:szCs w:val="24"/>
        </w:rPr>
        <w:t xml:space="preserve">, 1998; </w:t>
      </w:r>
      <w:proofErr w:type="gramStart"/>
      <w:r w:rsidR="00D77476" w:rsidRPr="00B21313">
        <w:rPr>
          <w:szCs w:val="24"/>
        </w:rPr>
        <w:t>Tu</w:t>
      </w:r>
      <w:proofErr w:type="gramEnd"/>
      <w:r w:rsidR="00D77476" w:rsidRPr="00B21313">
        <w:rPr>
          <w:szCs w:val="24"/>
        </w:rPr>
        <w:t xml:space="preserve"> </w:t>
      </w:r>
      <w:r w:rsidRPr="00B21313">
        <w:rPr>
          <w:szCs w:val="24"/>
        </w:rPr>
        <w:t>et al., 2006).</w:t>
      </w:r>
    </w:p>
    <w:p w:rsidR="001E56A0" w:rsidRPr="00B21313" w:rsidRDefault="002A34F0" w:rsidP="001E56A0">
      <w:pPr>
        <w:autoSpaceDE w:val="0"/>
        <w:autoSpaceDN w:val="0"/>
        <w:adjustRightInd w:val="0"/>
        <w:ind w:firstLine="708"/>
        <w:rPr>
          <w:szCs w:val="24"/>
        </w:rPr>
      </w:pPr>
      <w:r w:rsidRPr="00B21313">
        <w:rPr>
          <w:szCs w:val="24"/>
        </w:rPr>
        <w:t>Evidências encontradas na literatura apontam que as transações quando realizadas com</w:t>
      </w:r>
      <w:r w:rsidR="001E56A0" w:rsidRPr="00B21313">
        <w:rPr>
          <w:szCs w:val="24"/>
        </w:rPr>
        <w:t xml:space="preserve"> </w:t>
      </w:r>
      <w:r w:rsidRPr="00B21313">
        <w:rPr>
          <w:szCs w:val="24"/>
        </w:rPr>
        <w:t>frequência trazem melhorias no processo de planejamento conjugado (uma atividade da GCI),</w:t>
      </w:r>
      <w:r w:rsidR="001E56A0" w:rsidRPr="00B21313">
        <w:rPr>
          <w:szCs w:val="24"/>
        </w:rPr>
        <w:t xml:space="preserve"> </w:t>
      </w:r>
      <w:r w:rsidRPr="00B21313">
        <w:rPr>
          <w:szCs w:val="24"/>
        </w:rPr>
        <w:t>alavancando assim o desempenho da empresa e da cadeia de suprimentos em que esta está</w:t>
      </w:r>
      <w:r w:rsidR="001E56A0" w:rsidRPr="00B21313">
        <w:rPr>
          <w:szCs w:val="24"/>
        </w:rPr>
        <w:t xml:space="preserve"> </w:t>
      </w:r>
      <w:r w:rsidRPr="00B21313">
        <w:rPr>
          <w:szCs w:val="24"/>
        </w:rPr>
        <w:t>inserida (</w:t>
      </w:r>
      <w:proofErr w:type="spellStart"/>
      <w:r w:rsidR="00FF580C" w:rsidRPr="00B21313">
        <w:rPr>
          <w:szCs w:val="24"/>
        </w:rPr>
        <w:t>Ittner</w:t>
      </w:r>
      <w:proofErr w:type="spellEnd"/>
      <w:r w:rsidR="00FF580C" w:rsidRPr="00B21313">
        <w:rPr>
          <w:szCs w:val="24"/>
        </w:rPr>
        <w:t xml:space="preserve">, </w:t>
      </w:r>
      <w:proofErr w:type="spellStart"/>
      <w:r w:rsidR="00FF580C" w:rsidRPr="00B21313">
        <w:rPr>
          <w:szCs w:val="24"/>
        </w:rPr>
        <w:t>Larcker</w:t>
      </w:r>
      <w:proofErr w:type="spellEnd"/>
      <w:r w:rsidR="00FF580C" w:rsidRPr="00B21313">
        <w:rPr>
          <w:szCs w:val="24"/>
        </w:rPr>
        <w:t xml:space="preserve">, </w:t>
      </w:r>
      <w:proofErr w:type="spellStart"/>
      <w:r w:rsidR="00FF580C" w:rsidRPr="00B21313">
        <w:rPr>
          <w:szCs w:val="24"/>
        </w:rPr>
        <w:t>Nagar</w:t>
      </w:r>
      <w:proofErr w:type="spellEnd"/>
      <w:r w:rsidR="00FF580C" w:rsidRPr="00B21313">
        <w:rPr>
          <w:szCs w:val="24"/>
        </w:rPr>
        <w:t xml:space="preserve"> &amp; </w:t>
      </w:r>
      <w:proofErr w:type="spellStart"/>
      <w:r w:rsidR="00FF580C" w:rsidRPr="00B21313">
        <w:rPr>
          <w:szCs w:val="24"/>
        </w:rPr>
        <w:t>Rajan</w:t>
      </w:r>
      <w:proofErr w:type="spellEnd"/>
      <w:r w:rsidR="00FF580C" w:rsidRPr="00B21313">
        <w:rPr>
          <w:szCs w:val="24"/>
        </w:rPr>
        <w:t xml:space="preserve">, </w:t>
      </w:r>
      <w:r w:rsidRPr="00B21313">
        <w:rPr>
          <w:szCs w:val="24"/>
        </w:rPr>
        <w:t xml:space="preserve">1999). Também sugerem que um bom clima de </w:t>
      </w:r>
      <w:r w:rsidRPr="00B21313">
        <w:rPr>
          <w:szCs w:val="24"/>
        </w:rPr>
        <w:lastRenderedPageBreak/>
        <w:t>comunicação, com</w:t>
      </w:r>
      <w:r w:rsidR="001E56A0" w:rsidRPr="00B21313">
        <w:rPr>
          <w:szCs w:val="24"/>
        </w:rPr>
        <w:t xml:space="preserve"> </w:t>
      </w:r>
      <w:r w:rsidRPr="00B21313">
        <w:rPr>
          <w:szCs w:val="24"/>
        </w:rPr>
        <w:t>confiança, é necessário para o sucesso da gestão dos custos em conjunto. Assim, a rede de</w:t>
      </w:r>
      <w:r w:rsidR="001E56A0" w:rsidRPr="00B21313">
        <w:rPr>
          <w:szCs w:val="24"/>
        </w:rPr>
        <w:t xml:space="preserve"> </w:t>
      </w:r>
      <w:r w:rsidRPr="00B21313">
        <w:rPr>
          <w:szCs w:val="24"/>
        </w:rPr>
        <w:t>comunicação, que viabiliza a partilha de tais informações, constitui-se um recurso efetivo para</w:t>
      </w:r>
      <w:r w:rsidR="001E56A0" w:rsidRPr="00B21313">
        <w:rPr>
          <w:szCs w:val="24"/>
        </w:rPr>
        <w:t xml:space="preserve"> </w:t>
      </w:r>
      <w:r w:rsidRPr="00B21313">
        <w:rPr>
          <w:szCs w:val="24"/>
        </w:rPr>
        <w:t>o desenvolvimento de práticas de gestão de custos interorganizacionais (COOPER;</w:t>
      </w:r>
      <w:r w:rsidR="001E56A0" w:rsidRPr="00B21313">
        <w:rPr>
          <w:szCs w:val="24"/>
        </w:rPr>
        <w:t xml:space="preserve"> </w:t>
      </w:r>
      <w:r w:rsidRPr="00B21313">
        <w:rPr>
          <w:szCs w:val="24"/>
        </w:rPr>
        <w:t>SLAGMULDER, 2004). Contudo, esta deve estar aportada na busca constante pelo</w:t>
      </w:r>
      <w:r w:rsidR="001E56A0" w:rsidRPr="00B21313">
        <w:rPr>
          <w:szCs w:val="24"/>
        </w:rPr>
        <w:t xml:space="preserve"> </w:t>
      </w:r>
      <w:r w:rsidRPr="00B21313">
        <w:rPr>
          <w:szCs w:val="24"/>
        </w:rPr>
        <w:t>conhecimento, o qual contribuirá para o aumento da capacidade absortiva organizacional</w:t>
      </w:r>
      <w:r w:rsidR="001E56A0" w:rsidRPr="00B21313">
        <w:rPr>
          <w:szCs w:val="24"/>
        </w:rPr>
        <w:t xml:space="preserve"> </w:t>
      </w:r>
      <w:r w:rsidRPr="00B21313">
        <w:rPr>
          <w:szCs w:val="24"/>
        </w:rPr>
        <w:t>(ZAHRA; GEORGE, 2002; TU et al., 2006).</w:t>
      </w:r>
      <w:r w:rsidR="001E56A0" w:rsidRPr="00B21313">
        <w:rPr>
          <w:szCs w:val="24"/>
        </w:rPr>
        <w:t xml:space="preserve"> </w:t>
      </w:r>
    </w:p>
    <w:p w:rsidR="002A34F0" w:rsidRPr="00B21313" w:rsidRDefault="002A34F0" w:rsidP="009C5CD5">
      <w:pPr>
        <w:autoSpaceDE w:val="0"/>
        <w:autoSpaceDN w:val="0"/>
        <w:adjustRightInd w:val="0"/>
        <w:ind w:firstLine="708"/>
        <w:rPr>
          <w:b/>
          <w:bCs/>
          <w:szCs w:val="24"/>
        </w:rPr>
      </w:pPr>
      <w:r w:rsidRPr="00B21313">
        <w:rPr>
          <w:szCs w:val="24"/>
        </w:rPr>
        <w:t>A literatura contábil sobre a relação da capacidade absortiva e sua influência na</w:t>
      </w:r>
      <w:r w:rsidR="001E56A0" w:rsidRPr="00B21313">
        <w:rPr>
          <w:szCs w:val="24"/>
        </w:rPr>
        <w:t xml:space="preserve"> </w:t>
      </w:r>
      <w:r w:rsidRPr="00B21313">
        <w:rPr>
          <w:szCs w:val="24"/>
        </w:rPr>
        <w:t>adoção e tais práticas de gestão ainda é incipiente (FAYARD et al., 2012). As evidências</w:t>
      </w:r>
      <w:r w:rsidR="001E56A0" w:rsidRPr="00B21313">
        <w:rPr>
          <w:szCs w:val="24"/>
        </w:rPr>
        <w:t xml:space="preserve"> </w:t>
      </w:r>
      <w:r w:rsidRPr="00B21313">
        <w:rPr>
          <w:szCs w:val="24"/>
        </w:rPr>
        <w:t>encontradas no estudo desenvolvido por Fayard et al. (2012) sugerem que organizações que</w:t>
      </w:r>
      <w:r w:rsidR="001E56A0" w:rsidRPr="00B21313">
        <w:rPr>
          <w:szCs w:val="24"/>
        </w:rPr>
        <w:t xml:space="preserve"> </w:t>
      </w:r>
      <w:r w:rsidRPr="00B21313">
        <w:rPr>
          <w:szCs w:val="24"/>
        </w:rPr>
        <w:t>possuem capacidade absortiva, caracterizada pela capacidade de reconhecer e absorver um</w:t>
      </w:r>
      <w:r w:rsidR="001E56A0" w:rsidRPr="00B21313">
        <w:rPr>
          <w:szCs w:val="24"/>
        </w:rPr>
        <w:t xml:space="preserve"> </w:t>
      </w:r>
      <w:r w:rsidRPr="00B21313">
        <w:rPr>
          <w:szCs w:val="24"/>
        </w:rPr>
        <w:t>recurso externo e adaptá-lo para que possa ser utilizado na organização, são mais suscetíveis a</w:t>
      </w:r>
      <w:r w:rsidR="001E56A0" w:rsidRPr="00B21313">
        <w:rPr>
          <w:szCs w:val="24"/>
        </w:rPr>
        <w:t xml:space="preserve"> </w:t>
      </w:r>
      <w:r w:rsidRPr="00B21313">
        <w:rPr>
          <w:szCs w:val="24"/>
        </w:rPr>
        <w:t>adotarem medidas de gestão de custos interorganizacionais. Deste modo, assumindo-se que a</w:t>
      </w:r>
      <w:r w:rsidR="001E56A0" w:rsidRPr="00B21313">
        <w:rPr>
          <w:szCs w:val="24"/>
        </w:rPr>
        <w:t xml:space="preserve"> </w:t>
      </w:r>
      <w:r w:rsidRPr="00B21313">
        <w:rPr>
          <w:szCs w:val="24"/>
        </w:rPr>
        <w:t>capacidade absortiva é um potencial recurso facilitador à adoção de práticas de gestão de</w:t>
      </w:r>
      <w:r w:rsidR="001E56A0" w:rsidRPr="00B21313">
        <w:rPr>
          <w:szCs w:val="24"/>
        </w:rPr>
        <w:t xml:space="preserve"> </w:t>
      </w:r>
      <w:r w:rsidRPr="00B21313">
        <w:rPr>
          <w:szCs w:val="24"/>
        </w:rPr>
        <w:t>custos interorganizacionais, estabeleceu-se a seguinte hipótese de pesquisa:</w:t>
      </w:r>
      <w:r w:rsidR="009C5CD5" w:rsidRPr="00B21313">
        <w:rPr>
          <w:szCs w:val="24"/>
        </w:rPr>
        <w:t xml:space="preserve"> </w:t>
      </w:r>
      <w:r w:rsidRPr="00B21313">
        <w:rPr>
          <w:b/>
          <w:bCs/>
          <w:szCs w:val="24"/>
        </w:rPr>
        <w:t>H</w:t>
      </w:r>
      <w:r w:rsidR="001E56A0" w:rsidRPr="00B21313">
        <w:rPr>
          <w:b/>
          <w:bCs/>
          <w:szCs w:val="24"/>
        </w:rPr>
        <w:t>3</w:t>
      </w:r>
      <w:r w:rsidRPr="00B21313">
        <w:rPr>
          <w:b/>
          <w:bCs/>
          <w:szCs w:val="24"/>
        </w:rPr>
        <w:t>. Há uma relação positiva entre a Capacidade Absortiva da empresa e a adoção de</w:t>
      </w:r>
      <w:r w:rsidR="001E56A0" w:rsidRPr="00B21313">
        <w:rPr>
          <w:b/>
          <w:bCs/>
          <w:szCs w:val="24"/>
        </w:rPr>
        <w:t xml:space="preserve"> </w:t>
      </w:r>
      <w:r w:rsidRPr="00B21313">
        <w:rPr>
          <w:b/>
          <w:bCs/>
          <w:szCs w:val="24"/>
        </w:rPr>
        <w:t>práticas de Gestão de Custos Interorganizacionais.</w:t>
      </w:r>
    </w:p>
    <w:p w:rsidR="0059030A" w:rsidRPr="00B21313" w:rsidRDefault="0059030A" w:rsidP="0059030A">
      <w:pPr>
        <w:autoSpaceDE w:val="0"/>
        <w:autoSpaceDN w:val="0"/>
        <w:adjustRightInd w:val="0"/>
        <w:ind w:firstLine="708"/>
        <w:jc w:val="left"/>
        <w:rPr>
          <w:b/>
          <w:bCs/>
          <w:szCs w:val="24"/>
        </w:rPr>
      </w:pPr>
      <w:r w:rsidRPr="00B21313">
        <w:rPr>
          <w:szCs w:val="24"/>
        </w:rPr>
        <w:t>De maneira geral, espera-se que o desenvolvimento de tais recursos, de maneira direta ou indireta, influencie e facilite a adoção de práticas de gestão de custos interorganizacionais.</w:t>
      </w:r>
    </w:p>
    <w:p w:rsidR="002A34F0" w:rsidRPr="0090564E" w:rsidRDefault="002A34F0" w:rsidP="002A34F0">
      <w:pPr>
        <w:ind w:firstLine="709"/>
        <w:rPr>
          <w:sz w:val="23"/>
          <w:szCs w:val="23"/>
        </w:rPr>
      </w:pPr>
    </w:p>
    <w:p w:rsidR="00DC1132" w:rsidRPr="0090564E" w:rsidRDefault="00DC1132" w:rsidP="00480BF0">
      <w:pPr>
        <w:pStyle w:val="Ttulo1"/>
        <w:rPr>
          <w:rFonts w:cs="Times New Roman"/>
          <w:sz w:val="23"/>
          <w:szCs w:val="23"/>
        </w:rPr>
      </w:pPr>
      <w:r w:rsidRPr="0090564E">
        <w:rPr>
          <w:rFonts w:cs="Times New Roman"/>
          <w:sz w:val="23"/>
          <w:szCs w:val="23"/>
        </w:rPr>
        <w:t xml:space="preserve">4 DESCRIÇÃO E ANÁLISE </w:t>
      </w:r>
      <w:r w:rsidR="00617471" w:rsidRPr="0090564E">
        <w:rPr>
          <w:rFonts w:cs="Times New Roman"/>
          <w:sz w:val="23"/>
          <w:szCs w:val="23"/>
        </w:rPr>
        <w:t>DOS RESULTADOS</w:t>
      </w:r>
    </w:p>
    <w:p w:rsidR="00B333DC" w:rsidRPr="0090564E" w:rsidRDefault="00E03EFD" w:rsidP="00B333DC">
      <w:pPr>
        <w:pStyle w:val="Ttulo2"/>
        <w:rPr>
          <w:rFonts w:cs="Times New Roman"/>
          <w:b/>
          <w:sz w:val="23"/>
          <w:szCs w:val="23"/>
        </w:rPr>
      </w:pPr>
      <w:r w:rsidRPr="0090564E">
        <w:rPr>
          <w:rFonts w:cs="Times New Roman"/>
          <w:b/>
          <w:caps w:val="0"/>
          <w:sz w:val="23"/>
          <w:szCs w:val="23"/>
        </w:rPr>
        <w:t>4.1 Caracterização da amostra</w:t>
      </w:r>
    </w:p>
    <w:p w:rsidR="00401F88" w:rsidRPr="00931024" w:rsidRDefault="00FA66ED" w:rsidP="00872069">
      <w:pPr>
        <w:autoSpaceDE w:val="0"/>
        <w:autoSpaceDN w:val="0"/>
        <w:adjustRightInd w:val="0"/>
        <w:ind w:firstLine="708"/>
        <w:rPr>
          <w:szCs w:val="24"/>
        </w:rPr>
      </w:pPr>
      <w:r w:rsidRPr="00931024">
        <w:t xml:space="preserve">Neste tópico será apresentada a estatística descritiva para caracterizar os dados de forma </w:t>
      </w:r>
      <w:r w:rsidR="00445C65" w:rsidRPr="00931024">
        <w:t>resumida</w:t>
      </w:r>
      <w:r w:rsidRPr="00931024">
        <w:t>.</w:t>
      </w:r>
      <w:r w:rsidR="00D057FA" w:rsidRPr="00931024">
        <w:t xml:space="preserve"> Nesse contexto, a</w:t>
      </w:r>
      <w:r w:rsidR="00872069" w:rsidRPr="00931024">
        <w:rPr>
          <w:szCs w:val="24"/>
        </w:rPr>
        <w:t xml:space="preserve"> Tabela 1 apresenta uma síntese das principais atividades econômicas das indústrias participantes da pesquisa, evidenciadas em porcentagem da amostra final, que perfaz 100 respondentes.</w:t>
      </w:r>
    </w:p>
    <w:p w:rsidR="00DA24A3" w:rsidRPr="00931024" w:rsidRDefault="00DA24A3" w:rsidP="00872069">
      <w:pPr>
        <w:autoSpaceDE w:val="0"/>
        <w:autoSpaceDN w:val="0"/>
        <w:adjustRightInd w:val="0"/>
        <w:ind w:firstLine="708"/>
      </w:pPr>
    </w:p>
    <w:p w:rsidR="00486950" w:rsidRPr="00931024" w:rsidRDefault="00486950" w:rsidP="00486950">
      <w:pPr>
        <w:pStyle w:val="Legenda"/>
        <w:keepNext/>
        <w:spacing w:after="0"/>
        <w:ind w:firstLine="0"/>
        <w:rPr>
          <w:rFonts w:cs="Times New Roman"/>
          <w:b/>
          <w:i w:val="0"/>
          <w:color w:val="auto"/>
          <w:sz w:val="20"/>
          <w:szCs w:val="20"/>
        </w:rPr>
      </w:pPr>
      <w:r w:rsidRPr="00931024">
        <w:rPr>
          <w:rFonts w:cs="Times New Roman"/>
          <w:b/>
          <w:i w:val="0"/>
          <w:color w:val="auto"/>
          <w:sz w:val="20"/>
          <w:szCs w:val="20"/>
        </w:rPr>
        <w:t xml:space="preserve">Tabela </w:t>
      </w:r>
      <w:r w:rsidRPr="00931024">
        <w:rPr>
          <w:rFonts w:cs="Times New Roman"/>
          <w:b/>
          <w:i w:val="0"/>
          <w:color w:val="auto"/>
          <w:sz w:val="20"/>
          <w:szCs w:val="20"/>
        </w:rPr>
        <w:fldChar w:fldCharType="begin"/>
      </w:r>
      <w:r w:rsidRPr="00931024">
        <w:rPr>
          <w:rFonts w:cs="Times New Roman"/>
          <w:b/>
          <w:i w:val="0"/>
          <w:color w:val="auto"/>
          <w:sz w:val="20"/>
          <w:szCs w:val="20"/>
        </w:rPr>
        <w:instrText xml:space="preserve"> SEQ Tabela \* ARABIC </w:instrText>
      </w:r>
      <w:r w:rsidRPr="00931024">
        <w:rPr>
          <w:rFonts w:cs="Times New Roman"/>
          <w:b/>
          <w:i w:val="0"/>
          <w:color w:val="auto"/>
          <w:sz w:val="20"/>
          <w:szCs w:val="20"/>
        </w:rPr>
        <w:fldChar w:fldCharType="separate"/>
      </w:r>
      <w:r w:rsidR="00A2511D">
        <w:rPr>
          <w:rFonts w:cs="Times New Roman"/>
          <w:b/>
          <w:i w:val="0"/>
          <w:noProof/>
          <w:color w:val="auto"/>
          <w:sz w:val="20"/>
          <w:szCs w:val="20"/>
        </w:rPr>
        <w:t>1</w:t>
      </w:r>
      <w:r w:rsidRPr="00931024">
        <w:rPr>
          <w:rFonts w:cs="Times New Roman"/>
          <w:b/>
          <w:i w:val="0"/>
          <w:color w:val="auto"/>
          <w:sz w:val="20"/>
          <w:szCs w:val="20"/>
        </w:rPr>
        <w:fldChar w:fldCharType="end"/>
      </w:r>
      <w:r w:rsidRPr="00931024">
        <w:rPr>
          <w:rFonts w:cs="Times New Roman"/>
          <w:b/>
          <w:i w:val="0"/>
          <w:color w:val="auto"/>
          <w:sz w:val="20"/>
          <w:szCs w:val="20"/>
        </w:rPr>
        <w:t xml:space="preserve"> - Descrição da atividade econômica principal das empresas pesquisadas</w:t>
      </w:r>
    </w:p>
    <w:tbl>
      <w:tblPr>
        <w:tblW w:w="5000" w:type="pct"/>
        <w:tblCellMar>
          <w:left w:w="70" w:type="dxa"/>
          <w:right w:w="70" w:type="dxa"/>
        </w:tblCellMar>
        <w:tblLook w:val="04A0" w:firstRow="1" w:lastRow="0" w:firstColumn="1" w:lastColumn="0" w:noHBand="0" w:noVBand="1"/>
      </w:tblPr>
      <w:tblGrid>
        <w:gridCol w:w="7092"/>
        <w:gridCol w:w="1979"/>
      </w:tblGrid>
      <w:tr w:rsidR="00931024" w:rsidRPr="00931024" w:rsidTr="009C5CD5">
        <w:trPr>
          <w:trHeight w:val="94"/>
        </w:trPr>
        <w:tc>
          <w:tcPr>
            <w:tcW w:w="3909" w:type="pct"/>
            <w:tcBorders>
              <w:top w:val="single" w:sz="18" w:space="0" w:color="auto"/>
              <w:left w:val="nil"/>
              <w:bottom w:val="single" w:sz="18" w:space="0" w:color="auto"/>
              <w:right w:val="nil"/>
            </w:tcBorders>
            <w:shd w:val="clear" w:color="auto" w:fill="auto"/>
            <w:noWrap/>
            <w:vAlign w:val="center"/>
            <w:hideMark/>
          </w:tcPr>
          <w:p w:rsidR="00F74FB7" w:rsidRPr="00931024" w:rsidRDefault="003807DF" w:rsidP="003807DF">
            <w:pPr>
              <w:jc w:val="center"/>
              <w:rPr>
                <w:rFonts w:eastAsia="Times New Roman"/>
                <w:b/>
                <w:bCs/>
                <w:sz w:val="20"/>
                <w:szCs w:val="20"/>
                <w:lang w:eastAsia="pt-BR"/>
              </w:rPr>
            </w:pPr>
            <w:r w:rsidRPr="00931024">
              <w:rPr>
                <w:rFonts w:eastAsia="Times New Roman"/>
                <w:b/>
                <w:bCs/>
                <w:sz w:val="20"/>
                <w:szCs w:val="20"/>
                <w:lang w:eastAsia="pt-BR"/>
              </w:rPr>
              <w:t>Principal Atividade Econômica</w:t>
            </w:r>
          </w:p>
        </w:tc>
        <w:tc>
          <w:tcPr>
            <w:tcW w:w="1091" w:type="pct"/>
            <w:tcBorders>
              <w:top w:val="single" w:sz="18" w:space="0" w:color="auto"/>
              <w:left w:val="nil"/>
              <w:bottom w:val="single" w:sz="18" w:space="0" w:color="auto"/>
              <w:right w:val="nil"/>
            </w:tcBorders>
            <w:shd w:val="clear" w:color="auto" w:fill="auto"/>
            <w:noWrap/>
            <w:vAlign w:val="center"/>
            <w:hideMark/>
          </w:tcPr>
          <w:p w:rsidR="00F74FB7" w:rsidRPr="00931024" w:rsidRDefault="00F74FB7" w:rsidP="007E3F13">
            <w:pPr>
              <w:jc w:val="center"/>
              <w:rPr>
                <w:rFonts w:eastAsia="Times New Roman"/>
                <w:b/>
                <w:bCs/>
                <w:sz w:val="20"/>
                <w:szCs w:val="20"/>
                <w:lang w:eastAsia="pt-BR"/>
              </w:rPr>
            </w:pPr>
            <w:r w:rsidRPr="00931024">
              <w:rPr>
                <w:rFonts w:eastAsia="Times New Roman"/>
                <w:b/>
                <w:bCs/>
                <w:sz w:val="20"/>
                <w:szCs w:val="20"/>
                <w:lang w:eastAsia="pt-BR"/>
              </w:rPr>
              <w:t>Freq. Absoluta</w:t>
            </w:r>
          </w:p>
        </w:tc>
      </w:tr>
      <w:tr w:rsidR="00931024" w:rsidRPr="00931024" w:rsidTr="009C5CD5">
        <w:trPr>
          <w:trHeight w:val="57"/>
        </w:trPr>
        <w:tc>
          <w:tcPr>
            <w:tcW w:w="3909" w:type="pct"/>
            <w:tcBorders>
              <w:top w:val="single" w:sz="18" w:space="0" w:color="auto"/>
              <w:left w:val="nil"/>
              <w:bottom w:val="single" w:sz="8" w:space="0" w:color="auto"/>
              <w:right w:val="nil"/>
            </w:tcBorders>
            <w:shd w:val="clear" w:color="auto" w:fill="auto"/>
            <w:noWrap/>
            <w:vAlign w:val="center"/>
            <w:hideMark/>
          </w:tcPr>
          <w:p w:rsidR="00F74FB7" w:rsidRPr="00931024" w:rsidRDefault="00F74FB7" w:rsidP="007E3F13">
            <w:pPr>
              <w:jc w:val="center"/>
              <w:rPr>
                <w:rFonts w:eastAsia="Times New Roman"/>
                <w:sz w:val="20"/>
                <w:szCs w:val="20"/>
                <w:lang w:eastAsia="pt-BR"/>
              </w:rPr>
            </w:pPr>
            <w:r w:rsidRPr="00931024">
              <w:rPr>
                <w:rFonts w:eastAsia="Times New Roman"/>
                <w:sz w:val="20"/>
                <w:szCs w:val="20"/>
                <w:lang w:eastAsia="pt-BR"/>
              </w:rPr>
              <w:t>Alimentos</w:t>
            </w:r>
          </w:p>
        </w:tc>
        <w:tc>
          <w:tcPr>
            <w:tcW w:w="1091" w:type="pct"/>
            <w:tcBorders>
              <w:top w:val="single" w:sz="18" w:space="0" w:color="auto"/>
              <w:left w:val="nil"/>
              <w:bottom w:val="single" w:sz="8" w:space="0" w:color="auto"/>
              <w:right w:val="nil"/>
            </w:tcBorders>
            <w:shd w:val="clear" w:color="auto" w:fill="auto"/>
            <w:noWrap/>
            <w:vAlign w:val="center"/>
            <w:hideMark/>
          </w:tcPr>
          <w:p w:rsidR="00F74FB7" w:rsidRPr="00931024" w:rsidRDefault="00F74FB7" w:rsidP="007E3F13">
            <w:pPr>
              <w:jc w:val="center"/>
              <w:rPr>
                <w:rFonts w:eastAsia="Times New Roman"/>
                <w:sz w:val="20"/>
                <w:szCs w:val="20"/>
                <w:lang w:eastAsia="pt-BR"/>
              </w:rPr>
            </w:pPr>
            <w:r w:rsidRPr="00931024">
              <w:rPr>
                <w:rFonts w:eastAsia="Times New Roman"/>
                <w:sz w:val="20"/>
                <w:szCs w:val="20"/>
                <w:lang w:eastAsia="pt-BR"/>
              </w:rPr>
              <w:t>6%</w:t>
            </w:r>
          </w:p>
        </w:tc>
      </w:tr>
      <w:tr w:rsidR="00931024" w:rsidRPr="00931024" w:rsidTr="009C5CD5">
        <w:trPr>
          <w:trHeight w:val="172"/>
        </w:trPr>
        <w:tc>
          <w:tcPr>
            <w:tcW w:w="3909" w:type="pct"/>
            <w:tcBorders>
              <w:top w:val="single" w:sz="8" w:space="0" w:color="auto"/>
              <w:left w:val="nil"/>
              <w:bottom w:val="single" w:sz="8" w:space="0" w:color="auto"/>
              <w:right w:val="nil"/>
            </w:tcBorders>
            <w:shd w:val="clear" w:color="auto" w:fill="auto"/>
            <w:noWrap/>
            <w:vAlign w:val="center"/>
            <w:hideMark/>
          </w:tcPr>
          <w:p w:rsidR="00F74FB7" w:rsidRPr="00931024" w:rsidRDefault="00F74FB7" w:rsidP="007E3F13">
            <w:pPr>
              <w:jc w:val="center"/>
              <w:rPr>
                <w:rFonts w:eastAsia="Times New Roman"/>
                <w:sz w:val="20"/>
                <w:szCs w:val="20"/>
                <w:lang w:eastAsia="pt-BR"/>
              </w:rPr>
            </w:pPr>
            <w:r w:rsidRPr="00931024">
              <w:rPr>
                <w:rFonts w:eastAsia="Times New Roman"/>
                <w:sz w:val="20"/>
                <w:szCs w:val="20"/>
                <w:lang w:eastAsia="pt-BR"/>
              </w:rPr>
              <w:t>Carvão mineral, mineração, aço, metalúrgica, metal mecânica</w:t>
            </w:r>
          </w:p>
        </w:tc>
        <w:tc>
          <w:tcPr>
            <w:tcW w:w="1091" w:type="pct"/>
            <w:tcBorders>
              <w:top w:val="single" w:sz="8" w:space="0" w:color="auto"/>
              <w:left w:val="nil"/>
              <w:bottom w:val="single" w:sz="8" w:space="0" w:color="auto"/>
              <w:right w:val="nil"/>
            </w:tcBorders>
            <w:shd w:val="clear" w:color="auto" w:fill="auto"/>
            <w:noWrap/>
            <w:vAlign w:val="center"/>
            <w:hideMark/>
          </w:tcPr>
          <w:p w:rsidR="00F74FB7" w:rsidRPr="00931024" w:rsidRDefault="00F74FB7" w:rsidP="007E3F13">
            <w:pPr>
              <w:jc w:val="center"/>
              <w:rPr>
                <w:rFonts w:eastAsia="Times New Roman"/>
                <w:sz w:val="20"/>
                <w:szCs w:val="20"/>
                <w:lang w:eastAsia="pt-BR"/>
              </w:rPr>
            </w:pPr>
            <w:r w:rsidRPr="00931024">
              <w:rPr>
                <w:rFonts w:eastAsia="Times New Roman"/>
                <w:sz w:val="20"/>
                <w:szCs w:val="20"/>
                <w:lang w:eastAsia="pt-BR"/>
              </w:rPr>
              <w:t>10%</w:t>
            </w:r>
          </w:p>
        </w:tc>
      </w:tr>
      <w:tr w:rsidR="00931024" w:rsidRPr="00931024" w:rsidTr="009C5CD5">
        <w:trPr>
          <w:trHeight w:val="50"/>
        </w:trPr>
        <w:tc>
          <w:tcPr>
            <w:tcW w:w="3909" w:type="pct"/>
            <w:tcBorders>
              <w:top w:val="single" w:sz="8" w:space="0" w:color="auto"/>
              <w:left w:val="nil"/>
              <w:bottom w:val="single" w:sz="8" w:space="0" w:color="auto"/>
              <w:right w:val="nil"/>
            </w:tcBorders>
            <w:shd w:val="clear" w:color="auto" w:fill="auto"/>
            <w:noWrap/>
            <w:vAlign w:val="center"/>
            <w:hideMark/>
          </w:tcPr>
          <w:p w:rsidR="00F74FB7" w:rsidRPr="00931024" w:rsidRDefault="009C5CD5" w:rsidP="007E3F13">
            <w:pPr>
              <w:jc w:val="center"/>
              <w:rPr>
                <w:rFonts w:eastAsia="Times New Roman"/>
                <w:sz w:val="20"/>
                <w:szCs w:val="20"/>
                <w:lang w:eastAsia="pt-BR"/>
              </w:rPr>
            </w:pPr>
            <w:r w:rsidRPr="00931024">
              <w:rPr>
                <w:rFonts w:eastAsia="Times New Roman"/>
                <w:sz w:val="20"/>
                <w:szCs w:val="20"/>
                <w:lang w:eastAsia="pt-BR"/>
              </w:rPr>
              <w:t>Têxtil</w:t>
            </w:r>
          </w:p>
        </w:tc>
        <w:tc>
          <w:tcPr>
            <w:tcW w:w="1091" w:type="pct"/>
            <w:tcBorders>
              <w:top w:val="single" w:sz="8" w:space="0" w:color="auto"/>
              <w:left w:val="nil"/>
              <w:bottom w:val="single" w:sz="8" w:space="0" w:color="auto"/>
              <w:right w:val="nil"/>
            </w:tcBorders>
            <w:shd w:val="clear" w:color="auto" w:fill="auto"/>
            <w:noWrap/>
            <w:vAlign w:val="center"/>
            <w:hideMark/>
          </w:tcPr>
          <w:p w:rsidR="00F74FB7" w:rsidRPr="00931024" w:rsidRDefault="00F74FB7" w:rsidP="007E3F13">
            <w:pPr>
              <w:jc w:val="center"/>
              <w:rPr>
                <w:rFonts w:eastAsia="Times New Roman"/>
                <w:sz w:val="20"/>
                <w:szCs w:val="20"/>
                <w:lang w:eastAsia="pt-BR"/>
              </w:rPr>
            </w:pPr>
            <w:r w:rsidRPr="00931024">
              <w:rPr>
                <w:rFonts w:eastAsia="Times New Roman"/>
                <w:sz w:val="20"/>
                <w:szCs w:val="20"/>
                <w:lang w:eastAsia="pt-BR"/>
              </w:rPr>
              <w:t>19%</w:t>
            </w:r>
          </w:p>
        </w:tc>
      </w:tr>
      <w:tr w:rsidR="00931024" w:rsidRPr="00931024" w:rsidTr="009C5CD5">
        <w:trPr>
          <w:trHeight w:val="50"/>
        </w:trPr>
        <w:tc>
          <w:tcPr>
            <w:tcW w:w="3909" w:type="pct"/>
            <w:tcBorders>
              <w:top w:val="single" w:sz="8" w:space="0" w:color="auto"/>
              <w:left w:val="nil"/>
              <w:bottom w:val="single" w:sz="8" w:space="0" w:color="auto"/>
              <w:right w:val="nil"/>
            </w:tcBorders>
            <w:shd w:val="clear" w:color="auto" w:fill="auto"/>
            <w:noWrap/>
            <w:vAlign w:val="center"/>
            <w:hideMark/>
          </w:tcPr>
          <w:p w:rsidR="00F74FB7" w:rsidRPr="00931024" w:rsidRDefault="00F74FB7" w:rsidP="007E3F13">
            <w:pPr>
              <w:jc w:val="center"/>
              <w:rPr>
                <w:rFonts w:eastAsia="Times New Roman"/>
                <w:sz w:val="20"/>
                <w:szCs w:val="20"/>
                <w:lang w:eastAsia="pt-BR"/>
              </w:rPr>
            </w:pPr>
            <w:r w:rsidRPr="00931024">
              <w:rPr>
                <w:rFonts w:eastAsia="Times New Roman"/>
                <w:sz w:val="20"/>
                <w:szCs w:val="20"/>
                <w:lang w:eastAsia="pt-BR"/>
              </w:rPr>
              <w:t>Agropecuária, agroindústria</w:t>
            </w:r>
          </w:p>
        </w:tc>
        <w:tc>
          <w:tcPr>
            <w:tcW w:w="1091" w:type="pct"/>
            <w:tcBorders>
              <w:top w:val="single" w:sz="8" w:space="0" w:color="auto"/>
              <w:left w:val="nil"/>
              <w:bottom w:val="single" w:sz="8" w:space="0" w:color="auto"/>
              <w:right w:val="nil"/>
            </w:tcBorders>
            <w:shd w:val="clear" w:color="auto" w:fill="auto"/>
            <w:noWrap/>
            <w:vAlign w:val="center"/>
            <w:hideMark/>
          </w:tcPr>
          <w:p w:rsidR="00F74FB7" w:rsidRPr="00931024" w:rsidRDefault="00F74FB7" w:rsidP="007E3F13">
            <w:pPr>
              <w:jc w:val="center"/>
              <w:rPr>
                <w:rFonts w:eastAsia="Times New Roman"/>
                <w:sz w:val="20"/>
                <w:szCs w:val="20"/>
                <w:lang w:eastAsia="pt-BR"/>
              </w:rPr>
            </w:pPr>
            <w:r w:rsidRPr="00931024">
              <w:rPr>
                <w:rFonts w:eastAsia="Times New Roman"/>
                <w:sz w:val="20"/>
                <w:szCs w:val="20"/>
                <w:lang w:eastAsia="pt-BR"/>
              </w:rPr>
              <w:t>4%</w:t>
            </w:r>
          </w:p>
        </w:tc>
      </w:tr>
      <w:tr w:rsidR="00931024" w:rsidRPr="00931024" w:rsidTr="009C5CD5">
        <w:trPr>
          <w:trHeight w:val="50"/>
        </w:trPr>
        <w:tc>
          <w:tcPr>
            <w:tcW w:w="3909" w:type="pct"/>
            <w:tcBorders>
              <w:top w:val="single" w:sz="8" w:space="0" w:color="auto"/>
              <w:left w:val="nil"/>
              <w:bottom w:val="single" w:sz="8" w:space="0" w:color="auto"/>
              <w:right w:val="nil"/>
            </w:tcBorders>
            <w:shd w:val="clear" w:color="auto" w:fill="auto"/>
            <w:noWrap/>
            <w:vAlign w:val="center"/>
            <w:hideMark/>
          </w:tcPr>
          <w:p w:rsidR="00F74FB7" w:rsidRPr="00931024" w:rsidRDefault="00F74FB7" w:rsidP="007E3F13">
            <w:pPr>
              <w:jc w:val="center"/>
              <w:rPr>
                <w:rFonts w:eastAsia="Times New Roman"/>
                <w:sz w:val="20"/>
                <w:szCs w:val="20"/>
                <w:lang w:eastAsia="pt-BR"/>
              </w:rPr>
            </w:pPr>
            <w:r w:rsidRPr="00931024">
              <w:rPr>
                <w:rFonts w:eastAsia="Times New Roman"/>
                <w:sz w:val="20"/>
                <w:szCs w:val="20"/>
                <w:lang w:eastAsia="pt-BR"/>
              </w:rPr>
              <w:t>Madeira, Papel, embalagens, cerâmica, porcelanato</w:t>
            </w:r>
          </w:p>
        </w:tc>
        <w:tc>
          <w:tcPr>
            <w:tcW w:w="1091" w:type="pct"/>
            <w:tcBorders>
              <w:top w:val="single" w:sz="8" w:space="0" w:color="auto"/>
              <w:left w:val="nil"/>
              <w:bottom w:val="single" w:sz="8" w:space="0" w:color="auto"/>
              <w:right w:val="nil"/>
            </w:tcBorders>
            <w:shd w:val="clear" w:color="auto" w:fill="auto"/>
            <w:noWrap/>
            <w:vAlign w:val="center"/>
            <w:hideMark/>
          </w:tcPr>
          <w:p w:rsidR="00F74FB7" w:rsidRPr="00931024" w:rsidRDefault="00F74FB7" w:rsidP="007E3F13">
            <w:pPr>
              <w:jc w:val="center"/>
              <w:rPr>
                <w:rFonts w:eastAsia="Times New Roman"/>
                <w:sz w:val="20"/>
                <w:szCs w:val="20"/>
                <w:lang w:eastAsia="pt-BR"/>
              </w:rPr>
            </w:pPr>
            <w:r w:rsidRPr="00931024">
              <w:rPr>
                <w:rFonts w:eastAsia="Times New Roman"/>
                <w:sz w:val="20"/>
                <w:szCs w:val="20"/>
                <w:lang w:eastAsia="pt-BR"/>
              </w:rPr>
              <w:t>10%</w:t>
            </w:r>
          </w:p>
        </w:tc>
      </w:tr>
      <w:tr w:rsidR="00F74FB7" w:rsidRPr="00931024" w:rsidTr="00F74FB7">
        <w:trPr>
          <w:trHeight w:val="255"/>
        </w:trPr>
        <w:tc>
          <w:tcPr>
            <w:tcW w:w="3909" w:type="pct"/>
            <w:tcBorders>
              <w:top w:val="single" w:sz="8" w:space="0" w:color="auto"/>
              <w:left w:val="nil"/>
              <w:bottom w:val="single" w:sz="8" w:space="0" w:color="auto"/>
              <w:right w:val="nil"/>
            </w:tcBorders>
            <w:shd w:val="clear" w:color="auto" w:fill="auto"/>
            <w:noWrap/>
            <w:vAlign w:val="center"/>
            <w:hideMark/>
          </w:tcPr>
          <w:p w:rsidR="00F74FB7" w:rsidRPr="00931024" w:rsidRDefault="00F74FB7" w:rsidP="007E3F13">
            <w:pPr>
              <w:jc w:val="center"/>
              <w:rPr>
                <w:rFonts w:eastAsia="Times New Roman"/>
                <w:sz w:val="20"/>
                <w:szCs w:val="20"/>
                <w:lang w:eastAsia="pt-BR"/>
              </w:rPr>
            </w:pPr>
            <w:r w:rsidRPr="00931024">
              <w:rPr>
                <w:rFonts w:eastAsia="Times New Roman"/>
                <w:sz w:val="20"/>
                <w:szCs w:val="20"/>
                <w:lang w:eastAsia="pt-BR"/>
              </w:rPr>
              <w:t>Montadoras de veículos ou fabricação de peças de veículos</w:t>
            </w:r>
          </w:p>
        </w:tc>
        <w:tc>
          <w:tcPr>
            <w:tcW w:w="1091" w:type="pct"/>
            <w:tcBorders>
              <w:top w:val="single" w:sz="8" w:space="0" w:color="auto"/>
              <w:left w:val="nil"/>
              <w:bottom w:val="single" w:sz="8" w:space="0" w:color="auto"/>
              <w:right w:val="nil"/>
            </w:tcBorders>
            <w:shd w:val="clear" w:color="auto" w:fill="auto"/>
            <w:noWrap/>
            <w:vAlign w:val="center"/>
            <w:hideMark/>
          </w:tcPr>
          <w:p w:rsidR="00F74FB7" w:rsidRPr="00931024" w:rsidRDefault="00F74FB7" w:rsidP="007E3F13">
            <w:pPr>
              <w:jc w:val="center"/>
              <w:rPr>
                <w:rFonts w:eastAsia="Times New Roman"/>
                <w:sz w:val="20"/>
                <w:szCs w:val="20"/>
                <w:lang w:eastAsia="pt-BR"/>
              </w:rPr>
            </w:pPr>
            <w:r w:rsidRPr="00931024">
              <w:rPr>
                <w:rFonts w:eastAsia="Times New Roman"/>
                <w:sz w:val="20"/>
                <w:szCs w:val="20"/>
                <w:lang w:eastAsia="pt-BR"/>
              </w:rPr>
              <w:t>18%</w:t>
            </w:r>
          </w:p>
        </w:tc>
      </w:tr>
      <w:tr w:rsidR="00931024" w:rsidRPr="00931024" w:rsidTr="009C5CD5">
        <w:trPr>
          <w:trHeight w:val="50"/>
        </w:trPr>
        <w:tc>
          <w:tcPr>
            <w:tcW w:w="3909" w:type="pct"/>
            <w:tcBorders>
              <w:top w:val="single" w:sz="8" w:space="0" w:color="auto"/>
              <w:left w:val="nil"/>
              <w:bottom w:val="single" w:sz="8" w:space="0" w:color="auto"/>
              <w:right w:val="nil"/>
            </w:tcBorders>
            <w:shd w:val="clear" w:color="auto" w:fill="auto"/>
            <w:noWrap/>
            <w:vAlign w:val="center"/>
            <w:hideMark/>
          </w:tcPr>
          <w:p w:rsidR="00F74FB7" w:rsidRPr="00931024" w:rsidRDefault="00F74FB7" w:rsidP="007E3F13">
            <w:pPr>
              <w:jc w:val="center"/>
              <w:rPr>
                <w:rFonts w:eastAsia="Times New Roman"/>
                <w:sz w:val="20"/>
                <w:szCs w:val="20"/>
                <w:lang w:eastAsia="pt-BR"/>
              </w:rPr>
            </w:pPr>
            <w:r w:rsidRPr="00931024">
              <w:rPr>
                <w:rFonts w:eastAsia="Times New Roman"/>
                <w:sz w:val="20"/>
                <w:szCs w:val="20"/>
                <w:lang w:eastAsia="pt-BR"/>
              </w:rPr>
              <w:t>Outras</w:t>
            </w:r>
          </w:p>
        </w:tc>
        <w:tc>
          <w:tcPr>
            <w:tcW w:w="1091" w:type="pct"/>
            <w:tcBorders>
              <w:top w:val="single" w:sz="8" w:space="0" w:color="auto"/>
              <w:left w:val="nil"/>
              <w:bottom w:val="single" w:sz="8" w:space="0" w:color="auto"/>
              <w:right w:val="nil"/>
            </w:tcBorders>
            <w:shd w:val="clear" w:color="auto" w:fill="auto"/>
            <w:noWrap/>
            <w:vAlign w:val="center"/>
            <w:hideMark/>
          </w:tcPr>
          <w:p w:rsidR="00F74FB7" w:rsidRPr="00931024" w:rsidRDefault="00F74FB7" w:rsidP="007E3F13">
            <w:pPr>
              <w:jc w:val="center"/>
              <w:rPr>
                <w:rFonts w:eastAsia="Times New Roman"/>
                <w:sz w:val="20"/>
                <w:szCs w:val="20"/>
                <w:lang w:eastAsia="pt-BR"/>
              </w:rPr>
            </w:pPr>
            <w:r w:rsidRPr="00931024">
              <w:rPr>
                <w:rFonts w:eastAsia="Times New Roman"/>
                <w:sz w:val="20"/>
                <w:szCs w:val="20"/>
                <w:lang w:eastAsia="pt-BR"/>
              </w:rPr>
              <w:t>33%</w:t>
            </w:r>
          </w:p>
        </w:tc>
      </w:tr>
      <w:tr w:rsidR="00931024" w:rsidRPr="00931024" w:rsidTr="009C5CD5">
        <w:trPr>
          <w:trHeight w:val="50"/>
        </w:trPr>
        <w:tc>
          <w:tcPr>
            <w:tcW w:w="3909" w:type="pct"/>
            <w:tcBorders>
              <w:top w:val="single" w:sz="8" w:space="0" w:color="auto"/>
              <w:left w:val="nil"/>
              <w:bottom w:val="single" w:sz="18" w:space="0" w:color="auto"/>
              <w:right w:val="nil"/>
            </w:tcBorders>
            <w:shd w:val="clear" w:color="auto" w:fill="auto"/>
            <w:noWrap/>
            <w:vAlign w:val="center"/>
            <w:hideMark/>
          </w:tcPr>
          <w:p w:rsidR="00F74FB7" w:rsidRPr="00931024" w:rsidRDefault="00F74FB7" w:rsidP="007E3F13">
            <w:pPr>
              <w:jc w:val="center"/>
              <w:rPr>
                <w:rFonts w:eastAsia="Times New Roman"/>
                <w:b/>
                <w:bCs/>
                <w:sz w:val="20"/>
                <w:szCs w:val="20"/>
                <w:lang w:eastAsia="pt-BR"/>
              </w:rPr>
            </w:pPr>
            <w:r w:rsidRPr="00931024">
              <w:rPr>
                <w:rFonts w:eastAsia="Times New Roman"/>
                <w:b/>
                <w:bCs/>
                <w:sz w:val="20"/>
                <w:szCs w:val="20"/>
                <w:lang w:eastAsia="pt-BR"/>
              </w:rPr>
              <w:t>Totais</w:t>
            </w:r>
          </w:p>
        </w:tc>
        <w:tc>
          <w:tcPr>
            <w:tcW w:w="1091" w:type="pct"/>
            <w:tcBorders>
              <w:top w:val="single" w:sz="8" w:space="0" w:color="auto"/>
              <w:left w:val="nil"/>
              <w:bottom w:val="single" w:sz="18" w:space="0" w:color="auto"/>
              <w:right w:val="nil"/>
            </w:tcBorders>
            <w:shd w:val="clear" w:color="auto" w:fill="auto"/>
            <w:noWrap/>
            <w:vAlign w:val="center"/>
            <w:hideMark/>
          </w:tcPr>
          <w:p w:rsidR="00F74FB7" w:rsidRPr="00931024" w:rsidRDefault="00F74FB7" w:rsidP="007E3F13">
            <w:pPr>
              <w:jc w:val="center"/>
              <w:rPr>
                <w:rFonts w:eastAsia="Times New Roman"/>
                <w:b/>
                <w:bCs/>
                <w:sz w:val="20"/>
                <w:szCs w:val="20"/>
                <w:lang w:eastAsia="pt-BR"/>
              </w:rPr>
            </w:pPr>
            <w:r w:rsidRPr="00931024">
              <w:rPr>
                <w:rFonts w:eastAsia="Times New Roman"/>
                <w:b/>
                <w:bCs/>
                <w:sz w:val="20"/>
                <w:szCs w:val="20"/>
                <w:lang w:eastAsia="pt-BR"/>
              </w:rPr>
              <w:t>100%</w:t>
            </w:r>
          </w:p>
        </w:tc>
      </w:tr>
    </w:tbl>
    <w:p w:rsidR="006033C4" w:rsidRPr="00931024" w:rsidRDefault="00DA24A3" w:rsidP="00401F88">
      <w:pPr>
        <w:rPr>
          <w:sz w:val="20"/>
          <w:szCs w:val="20"/>
        </w:rPr>
      </w:pPr>
      <w:r w:rsidRPr="00931024">
        <w:rPr>
          <w:sz w:val="20"/>
          <w:szCs w:val="20"/>
        </w:rPr>
        <w:t>Fonte: dados da pesquisa.</w:t>
      </w:r>
    </w:p>
    <w:p w:rsidR="007E3F13" w:rsidRPr="00931024" w:rsidRDefault="007E3F13" w:rsidP="00401F88"/>
    <w:p w:rsidR="00292BAC" w:rsidRPr="00931024" w:rsidRDefault="00292BAC" w:rsidP="00292BAC">
      <w:pPr>
        <w:ind w:firstLine="709"/>
      </w:pPr>
      <w:r w:rsidRPr="00931024">
        <w:t>Observa-se na Tabela 1 que as indústrias participantes deste estudo são de diversos setores e podem ser agrupadas em 6 atividades econômicas principais, as quais representam 67% do grupo de empresas que compõe a amostra da pesquisa. Ao serem questionados sobre sua principal atividade econômica, 19% dos respondentes mencionaram ser do setor têxtil e 18% possuem suas atividades relacionadas com montagem de veículos ou fabricação de peças para tal. Tais atividades predominam na amostra deste estudo (37%). Dentre as demais atividades identificadas na pesquisa, são encontradas empresas do ramo de implementos rodoviários, construção civil, cerâmica, indústrias de móveis, porcelanatos, fabricação de fios, cabos e condutores elétricos, e de tubos e conexões, as quais perfazem os demais 33% da amostra.</w:t>
      </w:r>
    </w:p>
    <w:p w:rsidR="00906C2A" w:rsidRPr="00931024" w:rsidRDefault="00D23709" w:rsidP="00906C2A">
      <w:pPr>
        <w:ind w:firstLine="709"/>
      </w:pPr>
      <w:r w:rsidRPr="00931024">
        <w:t>No que se refere</w:t>
      </w:r>
      <w:r w:rsidR="00292BAC" w:rsidRPr="00931024">
        <w:t xml:space="preserve"> ao tamanho das empresas, verificou-se que </w:t>
      </w:r>
      <w:r w:rsidR="00801DED" w:rsidRPr="00931024">
        <w:t xml:space="preserve">49% </w:t>
      </w:r>
      <w:r w:rsidR="00906C2A" w:rsidRPr="00931024">
        <w:t xml:space="preserve">da amostra faturou </w:t>
      </w:r>
      <w:r w:rsidR="00801DED" w:rsidRPr="00931024">
        <w:t xml:space="preserve">mais de R$ 300 milhões, 35% faturaram no ano anterior (2015) entre R$ 90 milhões e R$ 300 </w:t>
      </w:r>
      <w:r w:rsidR="00801DED" w:rsidRPr="00931024">
        <w:lastRenderedPageBreak/>
        <w:t>milhões de reais</w:t>
      </w:r>
      <w:r w:rsidR="00906C2A" w:rsidRPr="00931024">
        <w:t xml:space="preserve">. Por fim, destaca-se que </w:t>
      </w:r>
      <w:r w:rsidR="00292BAC" w:rsidRPr="00931024">
        <w:t xml:space="preserve">apenas 16% destas apresentaram um faturamento anual inferior a R$ 90 milhões de reais. </w:t>
      </w:r>
    </w:p>
    <w:p w:rsidR="00906C2A" w:rsidRPr="00931024" w:rsidRDefault="00906C2A" w:rsidP="00906C2A">
      <w:pPr>
        <w:ind w:firstLine="709"/>
      </w:pPr>
      <w:r w:rsidRPr="00931024">
        <w:t xml:space="preserve">Outrossim, quanto aos colaboradores, </w:t>
      </w:r>
      <w:r w:rsidR="00292BAC" w:rsidRPr="00931024">
        <w:t>59%</w:t>
      </w:r>
      <w:r w:rsidRPr="00931024">
        <w:t xml:space="preserve"> das organizações</w:t>
      </w:r>
      <w:r w:rsidR="00292BAC" w:rsidRPr="00931024">
        <w:t xml:space="preserve"> possuem mais </w:t>
      </w:r>
      <w:r w:rsidRPr="00931024">
        <w:t>d</w:t>
      </w:r>
      <w:r w:rsidR="00292BAC" w:rsidRPr="00931024">
        <w:t xml:space="preserve">e 1000 </w:t>
      </w:r>
      <w:r w:rsidRPr="00931024">
        <w:t>funcionários</w:t>
      </w:r>
      <w:r w:rsidR="00292BAC" w:rsidRPr="00931024">
        <w:t xml:space="preserve">, sendo que deste total quatro empresas têm número superior a 10 mil empregados em seu quadro funcional, das quais duas contam com 40 mil empregados cada. </w:t>
      </w:r>
      <w:r w:rsidRPr="00931024">
        <w:t>Na amostra, observa-se sete empresas centenárias e 86% das organizações possuem mais de 25 anos de existência.</w:t>
      </w:r>
    </w:p>
    <w:p w:rsidR="00292BAC" w:rsidRPr="00931024" w:rsidRDefault="00292BAC" w:rsidP="00292BAC">
      <w:pPr>
        <w:ind w:firstLine="709"/>
      </w:pPr>
      <w:r w:rsidRPr="00931024">
        <w:t>A Tabela 2 apresenta a denominação do cargo dos gestores participantes da pesquisa, os quais respondem pela área de custos das indústrias em que atuam.</w:t>
      </w:r>
    </w:p>
    <w:p w:rsidR="00292BAC" w:rsidRPr="00931024" w:rsidRDefault="00292BAC" w:rsidP="00292BAC">
      <w:pPr>
        <w:ind w:firstLine="709"/>
      </w:pPr>
    </w:p>
    <w:p w:rsidR="00FA42AE" w:rsidRPr="00931024" w:rsidRDefault="00FA42AE" w:rsidP="00FA42AE">
      <w:pPr>
        <w:pStyle w:val="Legenda"/>
        <w:keepNext/>
        <w:spacing w:after="0"/>
        <w:ind w:firstLine="0"/>
        <w:rPr>
          <w:rFonts w:cs="Times New Roman"/>
          <w:b/>
          <w:i w:val="0"/>
          <w:color w:val="auto"/>
          <w:sz w:val="20"/>
          <w:szCs w:val="20"/>
        </w:rPr>
      </w:pPr>
      <w:r w:rsidRPr="00931024">
        <w:rPr>
          <w:rFonts w:cs="Times New Roman"/>
          <w:b/>
          <w:i w:val="0"/>
          <w:color w:val="auto"/>
          <w:sz w:val="20"/>
          <w:szCs w:val="20"/>
        </w:rPr>
        <w:t xml:space="preserve">Tabela </w:t>
      </w:r>
      <w:r w:rsidRPr="00931024">
        <w:rPr>
          <w:rFonts w:cs="Times New Roman"/>
          <w:b/>
          <w:i w:val="0"/>
          <w:color w:val="auto"/>
          <w:sz w:val="20"/>
          <w:szCs w:val="20"/>
        </w:rPr>
        <w:fldChar w:fldCharType="begin"/>
      </w:r>
      <w:r w:rsidRPr="00931024">
        <w:rPr>
          <w:rFonts w:cs="Times New Roman"/>
          <w:b/>
          <w:i w:val="0"/>
          <w:color w:val="auto"/>
          <w:sz w:val="20"/>
          <w:szCs w:val="20"/>
        </w:rPr>
        <w:instrText xml:space="preserve"> SEQ Tabela \* ARABIC </w:instrText>
      </w:r>
      <w:r w:rsidRPr="00931024">
        <w:rPr>
          <w:rFonts w:cs="Times New Roman"/>
          <w:b/>
          <w:i w:val="0"/>
          <w:color w:val="auto"/>
          <w:sz w:val="20"/>
          <w:szCs w:val="20"/>
        </w:rPr>
        <w:fldChar w:fldCharType="separate"/>
      </w:r>
      <w:r w:rsidR="00A2511D">
        <w:rPr>
          <w:rFonts w:cs="Times New Roman"/>
          <w:b/>
          <w:i w:val="0"/>
          <w:noProof/>
          <w:color w:val="auto"/>
          <w:sz w:val="20"/>
          <w:szCs w:val="20"/>
        </w:rPr>
        <w:t>2</w:t>
      </w:r>
      <w:r w:rsidRPr="00931024">
        <w:rPr>
          <w:rFonts w:cs="Times New Roman"/>
          <w:b/>
          <w:i w:val="0"/>
          <w:color w:val="auto"/>
          <w:sz w:val="20"/>
          <w:szCs w:val="20"/>
        </w:rPr>
        <w:fldChar w:fldCharType="end"/>
      </w:r>
      <w:r w:rsidRPr="00931024">
        <w:rPr>
          <w:rFonts w:cs="Times New Roman"/>
          <w:b/>
          <w:i w:val="0"/>
          <w:color w:val="auto"/>
          <w:sz w:val="20"/>
          <w:szCs w:val="20"/>
        </w:rPr>
        <w:t>- Cargos e áreas a que estão vinculados os respondentes da pesquisa</w:t>
      </w:r>
    </w:p>
    <w:tbl>
      <w:tblPr>
        <w:tblW w:w="5000" w:type="pct"/>
        <w:tblCellMar>
          <w:left w:w="70" w:type="dxa"/>
          <w:right w:w="70" w:type="dxa"/>
        </w:tblCellMar>
        <w:tblLook w:val="04A0" w:firstRow="1" w:lastRow="0" w:firstColumn="1" w:lastColumn="0" w:noHBand="0" w:noVBand="1"/>
      </w:tblPr>
      <w:tblGrid>
        <w:gridCol w:w="5947"/>
        <w:gridCol w:w="1725"/>
        <w:gridCol w:w="1399"/>
      </w:tblGrid>
      <w:tr w:rsidR="00931024" w:rsidRPr="00931024" w:rsidTr="0010594D">
        <w:trPr>
          <w:trHeight w:val="300"/>
        </w:trPr>
        <w:tc>
          <w:tcPr>
            <w:tcW w:w="3278" w:type="pct"/>
            <w:tcBorders>
              <w:top w:val="single" w:sz="12" w:space="0" w:color="auto"/>
              <w:left w:val="nil"/>
              <w:bottom w:val="single" w:sz="12" w:space="0" w:color="auto"/>
              <w:right w:val="nil"/>
            </w:tcBorders>
            <w:shd w:val="clear" w:color="auto" w:fill="auto"/>
            <w:noWrap/>
            <w:vAlign w:val="center"/>
            <w:hideMark/>
          </w:tcPr>
          <w:p w:rsidR="00292BAC" w:rsidRPr="00931024" w:rsidRDefault="00292BAC" w:rsidP="006F68F2">
            <w:pPr>
              <w:jc w:val="center"/>
              <w:rPr>
                <w:rFonts w:eastAsia="Times New Roman"/>
                <w:b/>
                <w:bCs/>
                <w:sz w:val="20"/>
                <w:szCs w:val="20"/>
                <w:lang w:eastAsia="pt-BR"/>
              </w:rPr>
            </w:pPr>
            <w:r w:rsidRPr="00931024">
              <w:rPr>
                <w:rFonts w:eastAsia="Times New Roman"/>
                <w:b/>
                <w:bCs/>
                <w:sz w:val="20"/>
                <w:szCs w:val="20"/>
                <w:lang w:eastAsia="pt-BR"/>
              </w:rPr>
              <w:t>Descrição dos Cargos</w:t>
            </w:r>
          </w:p>
        </w:tc>
        <w:tc>
          <w:tcPr>
            <w:tcW w:w="951" w:type="pct"/>
            <w:tcBorders>
              <w:top w:val="single" w:sz="12" w:space="0" w:color="auto"/>
              <w:left w:val="nil"/>
              <w:bottom w:val="single" w:sz="12" w:space="0" w:color="auto"/>
              <w:right w:val="nil"/>
            </w:tcBorders>
            <w:shd w:val="clear" w:color="auto" w:fill="auto"/>
            <w:noWrap/>
            <w:vAlign w:val="center"/>
            <w:hideMark/>
          </w:tcPr>
          <w:p w:rsidR="00292BAC" w:rsidRPr="00931024" w:rsidRDefault="00292BAC" w:rsidP="006F68F2">
            <w:pPr>
              <w:jc w:val="center"/>
              <w:rPr>
                <w:rFonts w:eastAsia="Times New Roman"/>
                <w:b/>
                <w:bCs/>
                <w:sz w:val="20"/>
                <w:szCs w:val="20"/>
                <w:lang w:eastAsia="pt-BR"/>
              </w:rPr>
            </w:pPr>
            <w:r w:rsidRPr="00931024">
              <w:rPr>
                <w:rFonts w:eastAsia="Times New Roman"/>
                <w:b/>
                <w:bCs/>
                <w:sz w:val="20"/>
                <w:szCs w:val="20"/>
                <w:lang w:eastAsia="pt-BR"/>
              </w:rPr>
              <w:t>Área</w:t>
            </w:r>
          </w:p>
        </w:tc>
        <w:tc>
          <w:tcPr>
            <w:tcW w:w="771" w:type="pct"/>
            <w:tcBorders>
              <w:top w:val="single" w:sz="12" w:space="0" w:color="auto"/>
              <w:left w:val="nil"/>
              <w:bottom w:val="single" w:sz="12" w:space="0" w:color="auto"/>
              <w:right w:val="nil"/>
            </w:tcBorders>
            <w:shd w:val="clear" w:color="auto" w:fill="auto"/>
            <w:noWrap/>
            <w:vAlign w:val="center"/>
            <w:hideMark/>
          </w:tcPr>
          <w:p w:rsidR="00292BAC" w:rsidRPr="00931024" w:rsidRDefault="00292BAC" w:rsidP="006F68F2">
            <w:pPr>
              <w:jc w:val="center"/>
              <w:rPr>
                <w:rFonts w:eastAsia="Times New Roman"/>
                <w:b/>
                <w:bCs/>
                <w:sz w:val="20"/>
                <w:szCs w:val="20"/>
                <w:lang w:eastAsia="pt-BR"/>
              </w:rPr>
            </w:pPr>
            <w:r w:rsidRPr="00931024">
              <w:rPr>
                <w:rFonts w:eastAsia="Times New Roman"/>
                <w:b/>
                <w:bCs/>
                <w:sz w:val="20"/>
                <w:szCs w:val="20"/>
                <w:lang w:eastAsia="pt-BR"/>
              </w:rPr>
              <w:t xml:space="preserve">(%) </w:t>
            </w:r>
          </w:p>
        </w:tc>
      </w:tr>
      <w:tr w:rsidR="00931024" w:rsidRPr="00931024" w:rsidTr="0010594D">
        <w:trPr>
          <w:trHeight w:val="300"/>
        </w:trPr>
        <w:tc>
          <w:tcPr>
            <w:tcW w:w="3278" w:type="pct"/>
            <w:tcBorders>
              <w:top w:val="single" w:sz="12" w:space="0" w:color="auto"/>
              <w:left w:val="nil"/>
              <w:bottom w:val="single" w:sz="4" w:space="0" w:color="auto"/>
              <w:right w:val="nil"/>
            </w:tcBorders>
            <w:shd w:val="clear" w:color="auto" w:fill="auto"/>
            <w:noWrap/>
            <w:vAlign w:val="center"/>
            <w:hideMark/>
          </w:tcPr>
          <w:p w:rsidR="00292BAC" w:rsidRPr="00931024" w:rsidRDefault="00292BAC" w:rsidP="006F68F2">
            <w:pPr>
              <w:jc w:val="left"/>
              <w:rPr>
                <w:rFonts w:eastAsia="Times New Roman"/>
                <w:sz w:val="20"/>
                <w:szCs w:val="20"/>
                <w:lang w:eastAsia="pt-BR"/>
              </w:rPr>
            </w:pPr>
            <w:r w:rsidRPr="00931024">
              <w:rPr>
                <w:rFonts w:eastAsia="Times New Roman"/>
                <w:sz w:val="20"/>
                <w:szCs w:val="20"/>
                <w:lang w:eastAsia="pt-BR"/>
              </w:rPr>
              <w:t>Diretor ou gerente</w:t>
            </w:r>
          </w:p>
        </w:tc>
        <w:tc>
          <w:tcPr>
            <w:tcW w:w="951" w:type="pct"/>
            <w:tcBorders>
              <w:top w:val="single" w:sz="12" w:space="0" w:color="auto"/>
              <w:left w:val="nil"/>
              <w:bottom w:val="single" w:sz="4" w:space="0" w:color="auto"/>
              <w:right w:val="nil"/>
            </w:tcBorders>
            <w:shd w:val="clear" w:color="auto" w:fill="auto"/>
            <w:noWrap/>
            <w:vAlign w:val="center"/>
            <w:hideMark/>
          </w:tcPr>
          <w:p w:rsidR="00292BAC" w:rsidRPr="00931024" w:rsidRDefault="00292BAC" w:rsidP="006F68F2">
            <w:pPr>
              <w:jc w:val="center"/>
              <w:rPr>
                <w:rFonts w:eastAsia="Times New Roman"/>
                <w:sz w:val="20"/>
                <w:szCs w:val="20"/>
                <w:lang w:eastAsia="pt-BR"/>
              </w:rPr>
            </w:pPr>
            <w:r w:rsidRPr="00931024">
              <w:rPr>
                <w:rFonts w:eastAsia="Times New Roman"/>
                <w:sz w:val="20"/>
                <w:szCs w:val="20"/>
                <w:lang w:eastAsia="pt-BR"/>
              </w:rPr>
              <w:t>Administrativa</w:t>
            </w:r>
          </w:p>
        </w:tc>
        <w:tc>
          <w:tcPr>
            <w:tcW w:w="771" w:type="pct"/>
            <w:tcBorders>
              <w:top w:val="single" w:sz="12" w:space="0" w:color="auto"/>
              <w:left w:val="nil"/>
              <w:bottom w:val="single" w:sz="4" w:space="0" w:color="auto"/>
              <w:right w:val="nil"/>
            </w:tcBorders>
            <w:shd w:val="clear" w:color="auto" w:fill="auto"/>
            <w:noWrap/>
            <w:vAlign w:val="center"/>
            <w:hideMark/>
          </w:tcPr>
          <w:p w:rsidR="00292BAC" w:rsidRPr="00931024" w:rsidRDefault="00292BAC" w:rsidP="006F68F2">
            <w:pPr>
              <w:jc w:val="center"/>
              <w:rPr>
                <w:rFonts w:eastAsia="Times New Roman"/>
                <w:sz w:val="20"/>
                <w:szCs w:val="20"/>
                <w:lang w:eastAsia="pt-BR"/>
              </w:rPr>
            </w:pPr>
            <w:r w:rsidRPr="00931024">
              <w:rPr>
                <w:rFonts w:eastAsia="Times New Roman"/>
                <w:sz w:val="20"/>
                <w:szCs w:val="20"/>
                <w:lang w:eastAsia="pt-BR"/>
              </w:rPr>
              <w:t>7%</w:t>
            </w:r>
          </w:p>
        </w:tc>
      </w:tr>
      <w:tr w:rsidR="00931024" w:rsidRPr="00931024" w:rsidTr="0010594D">
        <w:trPr>
          <w:trHeight w:val="300"/>
        </w:trPr>
        <w:tc>
          <w:tcPr>
            <w:tcW w:w="3278" w:type="pct"/>
            <w:tcBorders>
              <w:top w:val="single" w:sz="4" w:space="0" w:color="auto"/>
              <w:left w:val="nil"/>
              <w:bottom w:val="single" w:sz="4" w:space="0" w:color="auto"/>
              <w:right w:val="nil"/>
            </w:tcBorders>
            <w:shd w:val="clear" w:color="auto" w:fill="auto"/>
            <w:noWrap/>
            <w:vAlign w:val="center"/>
            <w:hideMark/>
          </w:tcPr>
          <w:p w:rsidR="00292BAC" w:rsidRPr="00931024" w:rsidRDefault="00292BAC" w:rsidP="006F68F2">
            <w:pPr>
              <w:jc w:val="left"/>
              <w:rPr>
                <w:rFonts w:eastAsia="Times New Roman"/>
                <w:sz w:val="20"/>
                <w:szCs w:val="20"/>
                <w:lang w:eastAsia="pt-BR"/>
              </w:rPr>
            </w:pPr>
            <w:r w:rsidRPr="00931024">
              <w:rPr>
                <w:rFonts w:eastAsia="Times New Roman"/>
                <w:sz w:val="20"/>
                <w:szCs w:val="20"/>
                <w:lang w:eastAsia="pt-BR"/>
              </w:rPr>
              <w:t xml:space="preserve">Gestor de Custos, analista ou supervisor, </w:t>
            </w:r>
            <w:proofErr w:type="spellStart"/>
            <w:r w:rsidRPr="00931024">
              <w:rPr>
                <w:rFonts w:eastAsia="Times New Roman"/>
                <w:i/>
                <w:sz w:val="20"/>
                <w:szCs w:val="20"/>
                <w:lang w:eastAsia="pt-BR"/>
              </w:rPr>
              <w:t>control</w:t>
            </w:r>
            <w:r w:rsidR="00735829" w:rsidRPr="00931024">
              <w:rPr>
                <w:rFonts w:eastAsia="Times New Roman"/>
                <w:i/>
                <w:sz w:val="20"/>
                <w:szCs w:val="20"/>
                <w:lang w:eastAsia="pt-BR"/>
              </w:rPr>
              <w:t>l</w:t>
            </w:r>
            <w:r w:rsidRPr="00931024">
              <w:rPr>
                <w:rFonts w:eastAsia="Times New Roman"/>
                <w:i/>
                <w:sz w:val="20"/>
                <w:szCs w:val="20"/>
                <w:lang w:eastAsia="pt-BR"/>
              </w:rPr>
              <w:t>er</w:t>
            </w:r>
            <w:proofErr w:type="spellEnd"/>
          </w:p>
        </w:tc>
        <w:tc>
          <w:tcPr>
            <w:tcW w:w="951" w:type="pct"/>
            <w:tcBorders>
              <w:top w:val="single" w:sz="4" w:space="0" w:color="auto"/>
              <w:left w:val="nil"/>
              <w:bottom w:val="single" w:sz="4" w:space="0" w:color="auto"/>
              <w:right w:val="nil"/>
            </w:tcBorders>
            <w:shd w:val="clear" w:color="auto" w:fill="auto"/>
            <w:noWrap/>
            <w:vAlign w:val="center"/>
            <w:hideMark/>
          </w:tcPr>
          <w:p w:rsidR="00292BAC" w:rsidRPr="00931024" w:rsidRDefault="00292BAC" w:rsidP="006F68F2">
            <w:pPr>
              <w:jc w:val="center"/>
              <w:rPr>
                <w:rFonts w:eastAsia="Times New Roman"/>
                <w:sz w:val="20"/>
                <w:szCs w:val="20"/>
                <w:lang w:eastAsia="pt-BR"/>
              </w:rPr>
            </w:pPr>
            <w:r w:rsidRPr="00931024">
              <w:rPr>
                <w:rFonts w:eastAsia="Times New Roman"/>
                <w:sz w:val="20"/>
                <w:szCs w:val="20"/>
                <w:lang w:eastAsia="pt-BR"/>
              </w:rPr>
              <w:t>Controladoria</w:t>
            </w:r>
          </w:p>
        </w:tc>
        <w:tc>
          <w:tcPr>
            <w:tcW w:w="771" w:type="pct"/>
            <w:tcBorders>
              <w:top w:val="single" w:sz="4" w:space="0" w:color="auto"/>
              <w:left w:val="nil"/>
              <w:bottom w:val="single" w:sz="4" w:space="0" w:color="auto"/>
              <w:right w:val="nil"/>
            </w:tcBorders>
            <w:shd w:val="clear" w:color="auto" w:fill="auto"/>
            <w:noWrap/>
            <w:vAlign w:val="center"/>
            <w:hideMark/>
          </w:tcPr>
          <w:p w:rsidR="00292BAC" w:rsidRPr="00931024" w:rsidRDefault="00292BAC" w:rsidP="006F68F2">
            <w:pPr>
              <w:jc w:val="center"/>
              <w:rPr>
                <w:rFonts w:eastAsia="Times New Roman"/>
                <w:sz w:val="20"/>
                <w:szCs w:val="20"/>
                <w:lang w:eastAsia="pt-BR"/>
              </w:rPr>
            </w:pPr>
            <w:r w:rsidRPr="00931024">
              <w:rPr>
                <w:rFonts w:eastAsia="Times New Roman"/>
                <w:sz w:val="20"/>
                <w:szCs w:val="20"/>
                <w:lang w:eastAsia="pt-BR"/>
              </w:rPr>
              <w:t>43%</w:t>
            </w:r>
          </w:p>
        </w:tc>
      </w:tr>
      <w:tr w:rsidR="00931024" w:rsidRPr="00931024" w:rsidTr="0010594D">
        <w:trPr>
          <w:trHeight w:val="300"/>
        </w:trPr>
        <w:tc>
          <w:tcPr>
            <w:tcW w:w="3278" w:type="pct"/>
            <w:tcBorders>
              <w:top w:val="single" w:sz="4" w:space="0" w:color="auto"/>
              <w:left w:val="nil"/>
              <w:bottom w:val="single" w:sz="4" w:space="0" w:color="auto"/>
              <w:right w:val="nil"/>
            </w:tcBorders>
            <w:shd w:val="clear" w:color="auto" w:fill="auto"/>
            <w:noWrap/>
            <w:vAlign w:val="center"/>
            <w:hideMark/>
          </w:tcPr>
          <w:p w:rsidR="00292BAC" w:rsidRPr="00931024" w:rsidRDefault="00292BAC" w:rsidP="006F68F2">
            <w:pPr>
              <w:jc w:val="left"/>
              <w:rPr>
                <w:rFonts w:eastAsia="Times New Roman"/>
                <w:sz w:val="20"/>
                <w:szCs w:val="20"/>
                <w:lang w:eastAsia="pt-BR"/>
              </w:rPr>
            </w:pPr>
            <w:r w:rsidRPr="00931024">
              <w:rPr>
                <w:rFonts w:eastAsia="Times New Roman"/>
                <w:sz w:val="20"/>
                <w:szCs w:val="20"/>
                <w:lang w:eastAsia="pt-BR"/>
              </w:rPr>
              <w:t>Gerente, supervisor ou analista</w:t>
            </w:r>
          </w:p>
        </w:tc>
        <w:tc>
          <w:tcPr>
            <w:tcW w:w="951" w:type="pct"/>
            <w:tcBorders>
              <w:top w:val="single" w:sz="4" w:space="0" w:color="auto"/>
              <w:left w:val="nil"/>
              <w:bottom w:val="single" w:sz="4" w:space="0" w:color="auto"/>
              <w:right w:val="nil"/>
            </w:tcBorders>
            <w:shd w:val="clear" w:color="auto" w:fill="auto"/>
            <w:noWrap/>
            <w:vAlign w:val="center"/>
            <w:hideMark/>
          </w:tcPr>
          <w:p w:rsidR="00292BAC" w:rsidRPr="00931024" w:rsidRDefault="00292BAC" w:rsidP="006F68F2">
            <w:pPr>
              <w:jc w:val="center"/>
              <w:rPr>
                <w:rFonts w:eastAsia="Times New Roman"/>
                <w:sz w:val="20"/>
                <w:szCs w:val="20"/>
                <w:lang w:eastAsia="pt-BR"/>
              </w:rPr>
            </w:pPr>
            <w:r w:rsidRPr="00931024">
              <w:rPr>
                <w:rFonts w:eastAsia="Times New Roman"/>
                <w:sz w:val="20"/>
                <w:szCs w:val="20"/>
                <w:lang w:eastAsia="pt-BR"/>
              </w:rPr>
              <w:t>Contabilidade</w:t>
            </w:r>
          </w:p>
        </w:tc>
        <w:tc>
          <w:tcPr>
            <w:tcW w:w="771" w:type="pct"/>
            <w:tcBorders>
              <w:top w:val="single" w:sz="4" w:space="0" w:color="auto"/>
              <w:left w:val="nil"/>
              <w:bottom w:val="single" w:sz="4" w:space="0" w:color="auto"/>
              <w:right w:val="nil"/>
            </w:tcBorders>
            <w:shd w:val="clear" w:color="auto" w:fill="auto"/>
            <w:noWrap/>
            <w:vAlign w:val="center"/>
            <w:hideMark/>
          </w:tcPr>
          <w:p w:rsidR="00292BAC" w:rsidRPr="00931024" w:rsidRDefault="00292BAC" w:rsidP="006F68F2">
            <w:pPr>
              <w:jc w:val="center"/>
              <w:rPr>
                <w:rFonts w:eastAsia="Times New Roman"/>
                <w:sz w:val="20"/>
                <w:szCs w:val="20"/>
                <w:lang w:eastAsia="pt-BR"/>
              </w:rPr>
            </w:pPr>
            <w:r w:rsidRPr="00931024">
              <w:rPr>
                <w:rFonts w:eastAsia="Times New Roman"/>
                <w:sz w:val="20"/>
                <w:szCs w:val="20"/>
                <w:lang w:eastAsia="pt-BR"/>
              </w:rPr>
              <w:t>31%</w:t>
            </w:r>
          </w:p>
        </w:tc>
      </w:tr>
      <w:tr w:rsidR="00931024" w:rsidRPr="00931024" w:rsidTr="0010594D">
        <w:trPr>
          <w:trHeight w:val="300"/>
        </w:trPr>
        <w:tc>
          <w:tcPr>
            <w:tcW w:w="3278" w:type="pct"/>
            <w:tcBorders>
              <w:top w:val="single" w:sz="4" w:space="0" w:color="auto"/>
              <w:left w:val="nil"/>
              <w:bottom w:val="single" w:sz="4" w:space="0" w:color="auto"/>
              <w:right w:val="nil"/>
            </w:tcBorders>
            <w:shd w:val="clear" w:color="auto" w:fill="auto"/>
            <w:noWrap/>
            <w:vAlign w:val="center"/>
            <w:hideMark/>
          </w:tcPr>
          <w:p w:rsidR="00292BAC" w:rsidRPr="00931024" w:rsidRDefault="00292BAC" w:rsidP="006F68F2">
            <w:pPr>
              <w:jc w:val="left"/>
              <w:rPr>
                <w:rFonts w:eastAsia="Times New Roman"/>
                <w:sz w:val="20"/>
                <w:szCs w:val="20"/>
                <w:lang w:eastAsia="pt-BR"/>
              </w:rPr>
            </w:pPr>
            <w:r w:rsidRPr="00931024">
              <w:rPr>
                <w:rFonts w:eastAsia="Times New Roman"/>
                <w:sz w:val="20"/>
                <w:szCs w:val="20"/>
                <w:lang w:eastAsia="pt-BR"/>
              </w:rPr>
              <w:t>Diretor, gerente, analista, supervisor ou coordenador</w:t>
            </w:r>
          </w:p>
        </w:tc>
        <w:tc>
          <w:tcPr>
            <w:tcW w:w="951" w:type="pct"/>
            <w:tcBorders>
              <w:top w:val="single" w:sz="4" w:space="0" w:color="auto"/>
              <w:left w:val="nil"/>
              <w:bottom w:val="single" w:sz="4" w:space="0" w:color="auto"/>
              <w:right w:val="nil"/>
            </w:tcBorders>
            <w:shd w:val="clear" w:color="auto" w:fill="auto"/>
            <w:noWrap/>
            <w:vAlign w:val="center"/>
            <w:hideMark/>
          </w:tcPr>
          <w:p w:rsidR="00292BAC" w:rsidRPr="00931024" w:rsidRDefault="00292BAC" w:rsidP="006F68F2">
            <w:pPr>
              <w:jc w:val="center"/>
              <w:rPr>
                <w:rFonts w:eastAsia="Times New Roman"/>
                <w:sz w:val="20"/>
                <w:szCs w:val="20"/>
                <w:lang w:eastAsia="pt-BR"/>
              </w:rPr>
            </w:pPr>
            <w:r w:rsidRPr="00931024">
              <w:rPr>
                <w:rFonts w:eastAsia="Times New Roman"/>
                <w:sz w:val="20"/>
                <w:szCs w:val="20"/>
                <w:lang w:eastAsia="pt-BR"/>
              </w:rPr>
              <w:t>Financeira</w:t>
            </w:r>
          </w:p>
        </w:tc>
        <w:tc>
          <w:tcPr>
            <w:tcW w:w="771" w:type="pct"/>
            <w:tcBorders>
              <w:top w:val="single" w:sz="4" w:space="0" w:color="auto"/>
              <w:left w:val="nil"/>
              <w:bottom w:val="single" w:sz="4" w:space="0" w:color="auto"/>
              <w:right w:val="nil"/>
            </w:tcBorders>
            <w:shd w:val="clear" w:color="auto" w:fill="auto"/>
            <w:noWrap/>
            <w:vAlign w:val="center"/>
            <w:hideMark/>
          </w:tcPr>
          <w:p w:rsidR="00292BAC" w:rsidRPr="00931024" w:rsidRDefault="00292BAC" w:rsidP="006F68F2">
            <w:pPr>
              <w:jc w:val="center"/>
              <w:rPr>
                <w:rFonts w:eastAsia="Times New Roman"/>
                <w:sz w:val="20"/>
                <w:szCs w:val="20"/>
                <w:lang w:eastAsia="pt-BR"/>
              </w:rPr>
            </w:pPr>
            <w:r w:rsidRPr="00931024">
              <w:rPr>
                <w:rFonts w:eastAsia="Times New Roman"/>
                <w:sz w:val="20"/>
                <w:szCs w:val="20"/>
                <w:lang w:eastAsia="pt-BR"/>
              </w:rPr>
              <w:t>19%</w:t>
            </w:r>
          </w:p>
        </w:tc>
      </w:tr>
      <w:tr w:rsidR="00931024" w:rsidRPr="00931024" w:rsidTr="0010594D">
        <w:trPr>
          <w:trHeight w:val="300"/>
        </w:trPr>
        <w:tc>
          <w:tcPr>
            <w:tcW w:w="3278" w:type="pct"/>
            <w:tcBorders>
              <w:top w:val="single" w:sz="4" w:space="0" w:color="auto"/>
              <w:left w:val="nil"/>
              <w:bottom w:val="single" w:sz="12" w:space="0" w:color="auto"/>
              <w:right w:val="nil"/>
            </w:tcBorders>
            <w:shd w:val="clear" w:color="auto" w:fill="auto"/>
            <w:noWrap/>
            <w:vAlign w:val="center"/>
            <w:hideMark/>
          </w:tcPr>
          <w:p w:rsidR="00292BAC" w:rsidRPr="00931024" w:rsidRDefault="00292BAC" w:rsidP="006F68F2">
            <w:pPr>
              <w:jc w:val="center"/>
              <w:rPr>
                <w:rFonts w:eastAsia="Times New Roman"/>
                <w:b/>
                <w:bCs/>
                <w:sz w:val="20"/>
                <w:szCs w:val="20"/>
                <w:lang w:eastAsia="pt-BR"/>
              </w:rPr>
            </w:pPr>
            <w:r w:rsidRPr="00931024">
              <w:rPr>
                <w:rFonts w:eastAsia="Times New Roman"/>
                <w:b/>
                <w:bCs/>
                <w:sz w:val="20"/>
                <w:szCs w:val="20"/>
                <w:lang w:eastAsia="pt-BR"/>
              </w:rPr>
              <w:t>Totais</w:t>
            </w:r>
          </w:p>
        </w:tc>
        <w:tc>
          <w:tcPr>
            <w:tcW w:w="951" w:type="pct"/>
            <w:tcBorders>
              <w:top w:val="single" w:sz="4" w:space="0" w:color="auto"/>
              <w:left w:val="nil"/>
              <w:bottom w:val="single" w:sz="12" w:space="0" w:color="auto"/>
              <w:right w:val="nil"/>
            </w:tcBorders>
            <w:shd w:val="clear" w:color="auto" w:fill="auto"/>
            <w:noWrap/>
            <w:vAlign w:val="bottom"/>
            <w:hideMark/>
          </w:tcPr>
          <w:p w:rsidR="00292BAC" w:rsidRPr="00931024" w:rsidRDefault="00292BAC" w:rsidP="006F68F2">
            <w:pPr>
              <w:jc w:val="center"/>
              <w:rPr>
                <w:rFonts w:eastAsia="Times New Roman"/>
                <w:b/>
                <w:bCs/>
                <w:sz w:val="20"/>
                <w:szCs w:val="20"/>
                <w:lang w:eastAsia="pt-BR"/>
              </w:rPr>
            </w:pPr>
          </w:p>
        </w:tc>
        <w:tc>
          <w:tcPr>
            <w:tcW w:w="771" w:type="pct"/>
            <w:tcBorders>
              <w:top w:val="single" w:sz="4" w:space="0" w:color="auto"/>
              <w:left w:val="nil"/>
              <w:bottom w:val="single" w:sz="12" w:space="0" w:color="auto"/>
              <w:right w:val="nil"/>
            </w:tcBorders>
            <w:shd w:val="clear" w:color="auto" w:fill="auto"/>
            <w:noWrap/>
            <w:vAlign w:val="bottom"/>
            <w:hideMark/>
          </w:tcPr>
          <w:p w:rsidR="00292BAC" w:rsidRPr="00931024" w:rsidRDefault="00292BAC" w:rsidP="006F68F2">
            <w:pPr>
              <w:jc w:val="center"/>
              <w:rPr>
                <w:rFonts w:eastAsia="Times New Roman"/>
                <w:b/>
                <w:bCs/>
                <w:sz w:val="20"/>
                <w:szCs w:val="20"/>
                <w:lang w:eastAsia="pt-BR"/>
              </w:rPr>
            </w:pPr>
            <w:r w:rsidRPr="00931024">
              <w:rPr>
                <w:rFonts w:eastAsia="Times New Roman"/>
                <w:b/>
                <w:bCs/>
                <w:sz w:val="20"/>
                <w:szCs w:val="20"/>
                <w:lang w:eastAsia="pt-BR"/>
              </w:rPr>
              <w:t>100%</w:t>
            </w:r>
          </w:p>
        </w:tc>
      </w:tr>
    </w:tbl>
    <w:p w:rsidR="00292BAC" w:rsidRPr="00931024" w:rsidRDefault="00A608CE" w:rsidP="00292BAC">
      <w:pPr>
        <w:rPr>
          <w:sz w:val="20"/>
          <w:szCs w:val="20"/>
        </w:rPr>
      </w:pPr>
      <w:r w:rsidRPr="00931024">
        <w:rPr>
          <w:sz w:val="20"/>
          <w:szCs w:val="20"/>
        </w:rPr>
        <w:t>Fonte: d</w:t>
      </w:r>
      <w:r w:rsidR="00292BAC" w:rsidRPr="00931024">
        <w:rPr>
          <w:sz w:val="20"/>
          <w:szCs w:val="20"/>
        </w:rPr>
        <w:t>ados da pesquisa.</w:t>
      </w:r>
    </w:p>
    <w:p w:rsidR="00292BAC" w:rsidRPr="00931024" w:rsidRDefault="00292BAC" w:rsidP="00292BAC">
      <w:pPr>
        <w:ind w:firstLine="709"/>
      </w:pPr>
    </w:p>
    <w:p w:rsidR="00292BAC" w:rsidRPr="00931024" w:rsidRDefault="00292BAC" w:rsidP="00C67B2E">
      <w:pPr>
        <w:ind w:firstLine="709"/>
      </w:pPr>
      <w:r w:rsidRPr="00931024">
        <w:t xml:space="preserve">Observa-se que todos os respondentes possuem responsabilidade na gestão de custos da organização, sendo que dentre as quatro áreas de atuação identificadas na pesquisa, a que predomina (43%) está relacionada à área de controladoria, em que os gestores ocupam cargos denominados de gestor de custos, analista, supervisor ou </w:t>
      </w:r>
      <w:proofErr w:type="spellStart"/>
      <w:r w:rsidRPr="00931024">
        <w:rPr>
          <w:i/>
        </w:rPr>
        <w:t>controller</w:t>
      </w:r>
      <w:proofErr w:type="spellEnd"/>
      <w:r w:rsidRPr="00931024">
        <w:t xml:space="preserve">.  Quanto </w:t>
      </w:r>
      <w:r w:rsidR="003E60C1" w:rsidRPr="00931024">
        <w:t>à</w:t>
      </w:r>
      <w:r w:rsidRPr="00931024">
        <w:t xml:space="preserve"> formação acadêmica destes gestores, 94% possuem ensino superior nas áreas de Administração e/ou Ciências Contábeis.</w:t>
      </w:r>
    </w:p>
    <w:p w:rsidR="00EF37CF" w:rsidRPr="00931024" w:rsidRDefault="00EF37CF" w:rsidP="00C67B2E">
      <w:pPr>
        <w:ind w:firstLine="708"/>
      </w:pPr>
      <w:r w:rsidRPr="00931024">
        <w:t xml:space="preserve">Para </w:t>
      </w:r>
      <w:r w:rsidR="00C67B2E" w:rsidRPr="00931024">
        <w:t>averiguar</w:t>
      </w:r>
      <w:r w:rsidRPr="00931024">
        <w:t xml:space="preserve"> a validação do constructo formativo capacidade absortiva, realizou-se os testes de confiabilidade e validade do constructo, </w:t>
      </w:r>
      <w:r w:rsidR="00C67B2E" w:rsidRPr="00931024">
        <w:t>apresentados na</w:t>
      </w:r>
      <w:r w:rsidRPr="00931024">
        <w:t xml:space="preserve"> Tabela</w:t>
      </w:r>
      <w:r w:rsidR="00C67B2E" w:rsidRPr="00931024">
        <w:t xml:space="preserve"> 3.</w:t>
      </w:r>
    </w:p>
    <w:p w:rsidR="00303C8B" w:rsidRPr="00931024" w:rsidRDefault="00303C8B" w:rsidP="002C3622"/>
    <w:p w:rsidR="00EF37CF" w:rsidRPr="00931024" w:rsidRDefault="00EF37CF" w:rsidP="00303C8B">
      <w:pPr>
        <w:pStyle w:val="Legenda"/>
        <w:keepNext/>
        <w:spacing w:after="0"/>
        <w:ind w:firstLine="0"/>
        <w:rPr>
          <w:rFonts w:cs="Times New Roman"/>
          <w:b/>
          <w:i w:val="0"/>
          <w:color w:val="auto"/>
          <w:sz w:val="20"/>
          <w:szCs w:val="20"/>
        </w:rPr>
      </w:pPr>
      <w:r w:rsidRPr="00931024">
        <w:rPr>
          <w:rFonts w:cs="Times New Roman"/>
          <w:b/>
          <w:i w:val="0"/>
          <w:color w:val="auto"/>
          <w:sz w:val="20"/>
          <w:szCs w:val="20"/>
        </w:rPr>
        <w:t xml:space="preserve">Tabela </w:t>
      </w:r>
      <w:r w:rsidRPr="00931024">
        <w:rPr>
          <w:rFonts w:cs="Times New Roman"/>
          <w:b/>
          <w:i w:val="0"/>
          <w:color w:val="auto"/>
          <w:sz w:val="20"/>
          <w:szCs w:val="20"/>
        </w:rPr>
        <w:fldChar w:fldCharType="begin"/>
      </w:r>
      <w:r w:rsidRPr="00931024">
        <w:rPr>
          <w:rFonts w:cs="Times New Roman"/>
          <w:b/>
          <w:i w:val="0"/>
          <w:color w:val="auto"/>
          <w:sz w:val="20"/>
          <w:szCs w:val="20"/>
        </w:rPr>
        <w:instrText xml:space="preserve"> SEQ Tabela \* ARABIC </w:instrText>
      </w:r>
      <w:r w:rsidRPr="00931024">
        <w:rPr>
          <w:rFonts w:cs="Times New Roman"/>
          <w:b/>
          <w:i w:val="0"/>
          <w:color w:val="auto"/>
          <w:sz w:val="20"/>
          <w:szCs w:val="20"/>
        </w:rPr>
        <w:fldChar w:fldCharType="separate"/>
      </w:r>
      <w:r w:rsidR="00A2511D">
        <w:rPr>
          <w:rFonts w:cs="Times New Roman"/>
          <w:b/>
          <w:i w:val="0"/>
          <w:noProof/>
          <w:color w:val="auto"/>
          <w:sz w:val="20"/>
          <w:szCs w:val="20"/>
        </w:rPr>
        <w:t>3</w:t>
      </w:r>
      <w:r w:rsidRPr="00931024">
        <w:rPr>
          <w:rFonts w:cs="Times New Roman"/>
          <w:b/>
          <w:i w:val="0"/>
          <w:color w:val="auto"/>
          <w:sz w:val="20"/>
          <w:szCs w:val="20"/>
        </w:rPr>
        <w:fldChar w:fldCharType="end"/>
      </w:r>
      <w:r w:rsidR="002C3622" w:rsidRPr="00931024">
        <w:rPr>
          <w:rFonts w:cs="Times New Roman"/>
          <w:b/>
          <w:i w:val="0"/>
          <w:color w:val="auto"/>
          <w:sz w:val="20"/>
          <w:szCs w:val="20"/>
        </w:rPr>
        <w:t xml:space="preserve"> -</w:t>
      </w:r>
      <w:r w:rsidRPr="00931024">
        <w:rPr>
          <w:rFonts w:cs="Times New Roman"/>
          <w:b/>
          <w:i w:val="0"/>
          <w:color w:val="auto"/>
          <w:sz w:val="20"/>
          <w:szCs w:val="20"/>
        </w:rPr>
        <w:t xml:space="preserve"> Análise fatorial do constructo teórico de Capacidade absortiva</w:t>
      </w:r>
    </w:p>
    <w:tbl>
      <w:tblPr>
        <w:tblStyle w:val="Tabelacomgrade"/>
        <w:tblW w:w="5000" w:type="pct"/>
        <w:jc w:val="center"/>
        <w:tblLayout w:type="fixed"/>
        <w:tblLook w:val="04A0" w:firstRow="1" w:lastRow="0" w:firstColumn="1" w:lastColumn="0" w:noHBand="0" w:noVBand="1"/>
      </w:tblPr>
      <w:tblGrid>
        <w:gridCol w:w="1483"/>
        <w:gridCol w:w="1189"/>
        <w:gridCol w:w="743"/>
        <w:gridCol w:w="1337"/>
        <w:gridCol w:w="1189"/>
        <w:gridCol w:w="1042"/>
        <w:gridCol w:w="1040"/>
        <w:gridCol w:w="1038"/>
      </w:tblGrid>
      <w:tr w:rsidR="00EF37CF" w:rsidRPr="00931024" w:rsidTr="006F68F2">
        <w:trPr>
          <w:cantSplit/>
          <w:trHeight w:val="369"/>
          <w:jc w:val="center"/>
        </w:trPr>
        <w:tc>
          <w:tcPr>
            <w:tcW w:w="818" w:type="pct"/>
            <w:tcBorders>
              <w:top w:val="single" w:sz="12" w:space="0" w:color="auto"/>
              <w:left w:val="single" w:sz="4" w:space="0" w:color="FFFFFF" w:themeColor="background1"/>
              <w:bottom w:val="single" w:sz="12" w:space="0" w:color="auto"/>
            </w:tcBorders>
            <w:vAlign w:val="center"/>
          </w:tcPr>
          <w:p w:rsidR="00EF37CF" w:rsidRPr="00931024" w:rsidRDefault="00EF37CF" w:rsidP="0020565B">
            <w:pPr>
              <w:pStyle w:val="Default"/>
              <w:spacing w:line="180" w:lineRule="exact"/>
              <w:jc w:val="center"/>
              <w:rPr>
                <w:rFonts w:ascii="Times New Roman" w:hAnsi="Times New Roman" w:cs="Times New Roman"/>
                <w:b/>
                <w:color w:val="auto"/>
                <w:sz w:val="20"/>
                <w:szCs w:val="20"/>
              </w:rPr>
            </w:pPr>
            <w:r w:rsidRPr="00931024">
              <w:rPr>
                <w:rFonts w:ascii="Times New Roman" w:hAnsi="Times New Roman" w:cs="Times New Roman"/>
                <w:b/>
                <w:bCs/>
                <w:color w:val="auto"/>
                <w:sz w:val="20"/>
                <w:szCs w:val="20"/>
              </w:rPr>
              <w:t>Constructo</w:t>
            </w:r>
          </w:p>
        </w:tc>
        <w:tc>
          <w:tcPr>
            <w:tcW w:w="656" w:type="pct"/>
            <w:tcBorders>
              <w:top w:val="single" w:sz="12" w:space="0" w:color="auto"/>
              <w:bottom w:val="single" w:sz="12" w:space="0" w:color="auto"/>
            </w:tcBorders>
            <w:vAlign w:val="center"/>
          </w:tcPr>
          <w:p w:rsidR="00EF37CF" w:rsidRPr="00931024" w:rsidRDefault="00EF37CF" w:rsidP="0020565B">
            <w:pPr>
              <w:spacing w:line="180" w:lineRule="exact"/>
              <w:jc w:val="center"/>
              <w:rPr>
                <w:rFonts w:ascii="Times New Roman" w:hAnsi="Times New Roman" w:cs="Times New Roman"/>
                <w:sz w:val="20"/>
                <w:szCs w:val="20"/>
              </w:rPr>
            </w:pPr>
            <w:r w:rsidRPr="00931024">
              <w:rPr>
                <w:rFonts w:ascii="Times New Roman" w:hAnsi="Times New Roman" w:cs="Times New Roman"/>
                <w:b/>
                <w:bCs/>
                <w:sz w:val="20"/>
                <w:szCs w:val="20"/>
              </w:rPr>
              <w:t xml:space="preserve">Alfa de </w:t>
            </w:r>
            <w:r w:rsidRPr="00931024">
              <w:rPr>
                <w:rFonts w:ascii="Times New Roman" w:hAnsi="Times New Roman" w:cs="Times New Roman"/>
                <w:b/>
                <w:bCs/>
                <w:i/>
                <w:iCs/>
                <w:sz w:val="20"/>
                <w:szCs w:val="20"/>
              </w:rPr>
              <w:t>Cronbach</w:t>
            </w:r>
          </w:p>
        </w:tc>
        <w:tc>
          <w:tcPr>
            <w:tcW w:w="410" w:type="pct"/>
            <w:tcBorders>
              <w:top w:val="single" w:sz="12" w:space="0" w:color="auto"/>
              <w:bottom w:val="single" w:sz="12" w:space="0" w:color="auto"/>
            </w:tcBorders>
            <w:vAlign w:val="center"/>
          </w:tcPr>
          <w:p w:rsidR="00EF37CF" w:rsidRPr="00931024" w:rsidRDefault="00EF37CF" w:rsidP="0020565B">
            <w:pPr>
              <w:spacing w:line="180" w:lineRule="exact"/>
              <w:jc w:val="center"/>
              <w:rPr>
                <w:rFonts w:ascii="Times New Roman" w:hAnsi="Times New Roman" w:cs="Times New Roman"/>
                <w:b/>
                <w:sz w:val="20"/>
                <w:szCs w:val="20"/>
              </w:rPr>
            </w:pPr>
            <w:r w:rsidRPr="00931024">
              <w:rPr>
                <w:rFonts w:ascii="Times New Roman" w:hAnsi="Times New Roman" w:cs="Times New Roman"/>
                <w:b/>
                <w:sz w:val="20"/>
                <w:szCs w:val="20"/>
              </w:rPr>
              <w:t>KMO</w:t>
            </w:r>
          </w:p>
        </w:tc>
        <w:tc>
          <w:tcPr>
            <w:tcW w:w="738" w:type="pct"/>
            <w:tcBorders>
              <w:top w:val="single" w:sz="12" w:space="0" w:color="auto"/>
              <w:bottom w:val="single" w:sz="12" w:space="0" w:color="auto"/>
            </w:tcBorders>
            <w:vAlign w:val="center"/>
          </w:tcPr>
          <w:p w:rsidR="00EF37CF" w:rsidRPr="00931024" w:rsidRDefault="00EF37CF" w:rsidP="0020565B">
            <w:pPr>
              <w:pStyle w:val="Default"/>
              <w:spacing w:line="180" w:lineRule="exact"/>
              <w:jc w:val="center"/>
              <w:rPr>
                <w:rFonts w:ascii="Times New Roman" w:hAnsi="Times New Roman" w:cs="Times New Roman"/>
                <w:b/>
                <w:color w:val="auto"/>
                <w:sz w:val="20"/>
                <w:szCs w:val="20"/>
              </w:rPr>
            </w:pPr>
            <w:r w:rsidRPr="00931024">
              <w:rPr>
                <w:rFonts w:ascii="Times New Roman" w:hAnsi="Times New Roman" w:cs="Times New Roman"/>
                <w:b/>
                <w:bCs/>
                <w:color w:val="auto"/>
                <w:sz w:val="20"/>
                <w:szCs w:val="20"/>
              </w:rPr>
              <w:t xml:space="preserve">Teste de </w:t>
            </w:r>
            <w:proofErr w:type="spellStart"/>
            <w:r w:rsidRPr="00931024">
              <w:rPr>
                <w:rFonts w:ascii="Times New Roman" w:hAnsi="Times New Roman" w:cs="Times New Roman"/>
                <w:b/>
                <w:bCs/>
                <w:color w:val="auto"/>
                <w:sz w:val="20"/>
                <w:szCs w:val="20"/>
              </w:rPr>
              <w:t>Esf</w:t>
            </w:r>
            <w:proofErr w:type="spellEnd"/>
            <w:r w:rsidRPr="00931024">
              <w:rPr>
                <w:rFonts w:ascii="Times New Roman" w:hAnsi="Times New Roman" w:cs="Times New Roman"/>
                <w:b/>
                <w:bCs/>
                <w:color w:val="auto"/>
                <w:sz w:val="20"/>
                <w:szCs w:val="20"/>
              </w:rPr>
              <w:t>. Bartlett</w:t>
            </w:r>
          </w:p>
        </w:tc>
        <w:tc>
          <w:tcPr>
            <w:tcW w:w="656" w:type="pct"/>
            <w:tcBorders>
              <w:top w:val="single" w:sz="12" w:space="0" w:color="auto"/>
              <w:bottom w:val="single" w:sz="12" w:space="0" w:color="auto"/>
            </w:tcBorders>
            <w:vAlign w:val="center"/>
          </w:tcPr>
          <w:p w:rsidR="00EF37CF" w:rsidRPr="00931024" w:rsidRDefault="00EF37CF" w:rsidP="0020565B">
            <w:pPr>
              <w:spacing w:line="180" w:lineRule="exact"/>
              <w:jc w:val="center"/>
              <w:rPr>
                <w:rFonts w:ascii="Times New Roman" w:hAnsi="Times New Roman" w:cs="Times New Roman"/>
                <w:b/>
                <w:sz w:val="20"/>
                <w:szCs w:val="20"/>
              </w:rPr>
            </w:pPr>
            <w:r w:rsidRPr="00931024">
              <w:rPr>
                <w:rFonts w:ascii="Times New Roman" w:hAnsi="Times New Roman" w:cs="Times New Roman"/>
                <w:b/>
                <w:sz w:val="20"/>
                <w:szCs w:val="20"/>
              </w:rPr>
              <w:t>Var. Total Explicada</w:t>
            </w:r>
          </w:p>
        </w:tc>
        <w:tc>
          <w:tcPr>
            <w:tcW w:w="575" w:type="pct"/>
            <w:tcBorders>
              <w:top w:val="single" w:sz="12" w:space="0" w:color="auto"/>
              <w:bottom w:val="single" w:sz="12" w:space="0" w:color="auto"/>
            </w:tcBorders>
            <w:vAlign w:val="center"/>
          </w:tcPr>
          <w:p w:rsidR="00EF37CF" w:rsidRPr="00931024" w:rsidRDefault="00EF37CF" w:rsidP="0020565B">
            <w:pPr>
              <w:spacing w:line="180" w:lineRule="exact"/>
              <w:jc w:val="center"/>
              <w:rPr>
                <w:rFonts w:ascii="Times New Roman" w:hAnsi="Times New Roman" w:cs="Times New Roman"/>
                <w:b/>
                <w:sz w:val="20"/>
                <w:szCs w:val="20"/>
              </w:rPr>
            </w:pPr>
            <w:r w:rsidRPr="00931024">
              <w:rPr>
                <w:rFonts w:ascii="Times New Roman" w:hAnsi="Times New Roman" w:cs="Times New Roman"/>
                <w:b/>
                <w:sz w:val="20"/>
                <w:szCs w:val="20"/>
              </w:rPr>
              <w:t>Var.</w:t>
            </w:r>
          </w:p>
        </w:tc>
        <w:tc>
          <w:tcPr>
            <w:tcW w:w="574" w:type="pct"/>
            <w:tcBorders>
              <w:top w:val="single" w:sz="12" w:space="0" w:color="auto"/>
              <w:bottom w:val="single" w:sz="12" w:space="0" w:color="auto"/>
            </w:tcBorders>
            <w:vAlign w:val="center"/>
          </w:tcPr>
          <w:p w:rsidR="00EF37CF" w:rsidRPr="00931024" w:rsidRDefault="00EF37CF" w:rsidP="0020565B">
            <w:pPr>
              <w:pStyle w:val="Default"/>
              <w:spacing w:line="180" w:lineRule="exact"/>
              <w:jc w:val="center"/>
              <w:rPr>
                <w:rFonts w:ascii="Times New Roman" w:hAnsi="Times New Roman" w:cs="Times New Roman"/>
                <w:b/>
                <w:color w:val="auto"/>
                <w:sz w:val="20"/>
                <w:szCs w:val="20"/>
              </w:rPr>
            </w:pPr>
            <w:r w:rsidRPr="00931024">
              <w:rPr>
                <w:rFonts w:ascii="Times New Roman" w:hAnsi="Times New Roman" w:cs="Times New Roman"/>
                <w:b/>
                <w:bCs/>
                <w:color w:val="auto"/>
                <w:sz w:val="20"/>
                <w:szCs w:val="20"/>
              </w:rPr>
              <w:t>Carga Fatorial</w:t>
            </w:r>
          </w:p>
        </w:tc>
        <w:tc>
          <w:tcPr>
            <w:tcW w:w="573" w:type="pct"/>
            <w:tcBorders>
              <w:top w:val="single" w:sz="12" w:space="0" w:color="auto"/>
              <w:bottom w:val="single" w:sz="12" w:space="0" w:color="auto"/>
              <w:right w:val="single" w:sz="4" w:space="0" w:color="FFFFFF" w:themeColor="background1"/>
            </w:tcBorders>
            <w:vAlign w:val="center"/>
          </w:tcPr>
          <w:p w:rsidR="00EF37CF" w:rsidRPr="00931024" w:rsidRDefault="00EF37CF" w:rsidP="0020565B">
            <w:pPr>
              <w:spacing w:line="180" w:lineRule="exact"/>
              <w:jc w:val="center"/>
              <w:rPr>
                <w:rFonts w:ascii="Times New Roman" w:hAnsi="Times New Roman" w:cs="Times New Roman"/>
                <w:b/>
                <w:sz w:val="20"/>
                <w:szCs w:val="20"/>
              </w:rPr>
            </w:pPr>
            <w:r w:rsidRPr="00931024">
              <w:rPr>
                <w:rFonts w:ascii="Times New Roman" w:hAnsi="Times New Roman" w:cs="Times New Roman"/>
                <w:b/>
                <w:sz w:val="20"/>
                <w:szCs w:val="20"/>
              </w:rPr>
              <w:t>Comunal.</w:t>
            </w:r>
          </w:p>
        </w:tc>
      </w:tr>
      <w:tr w:rsidR="00931024" w:rsidRPr="00931024" w:rsidTr="0020565B">
        <w:trPr>
          <w:cantSplit/>
          <w:trHeight w:val="581"/>
          <w:jc w:val="center"/>
        </w:trPr>
        <w:tc>
          <w:tcPr>
            <w:tcW w:w="818" w:type="pct"/>
            <w:tcBorders>
              <w:top w:val="single" w:sz="12" w:space="0" w:color="auto"/>
              <w:left w:val="single" w:sz="4" w:space="0" w:color="FFFFFF" w:themeColor="background1"/>
              <w:bottom w:val="single" w:sz="12" w:space="0" w:color="auto"/>
            </w:tcBorders>
            <w:vAlign w:val="center"/>
          </w:tcPr>
          <w:p w:rsidR="00EF37CF" w:rsidRPr="00931024" w:rsidRDefault="00EF37CF" w:rsidP="0020565B">
            <w:pPr>
              <w:pStyle w:val="Default"/>
              <w:spacing w:line="180" w:lineRule="exact"/>
              <w:jc w:val="center"/>
              <w:rPr>
                <w:rFonts w:ascii="Times New Roman" w:hAnsi="Times New Roman" w:cs="Times New Roman"/>
                <w:b/>
                <w:bCs/>
                <w:color w:val="auto"/>
                <w:sz w:val="20"/>
                <w:szCs w:val="20"/>
              </w:rPr>
            </w:pPr>
            <w:r w:rsidRPr="00931024">
              <w:rPr>
                <w:rFonts w:ascii="Times New Roman" w:hAnsi="Times New Roman" w:cs="Times New Roman"/>
                <w:color w:val="auto"/>
                <w:sz w:val="20"/>
                <w:szCs w:val="20"/>
              </w:rPr>
              <w:t>Busca de Conhecimento (CAC)</w:t>
            </w:r>
          </w:p>
        </w:tc>
        <w:tc>
          <w:tcPr>
            <w:tcW w:w="656" w:type="pct"/>
            <w:tcBorders>
              <w:top w:val="single" w:sz="12" w:space="0" w:color="auto"/>
              <w:bottom w:val="single" w:sz="12" w:space="0" w:color="auto"/>
            </w:tcBorders>
            <w:vAlign w:val="center"/>
          </w:tcPr>
          <w:p w:rsidR="00EF37CF" w:rsidRPr="00931024" w:rsidRDefault="00EF37CF" w:rsidP="0020565B">
            <w:pPr>
              <w:spacing w:line="180" w:lineRule="exact"/>
              <w:jc w:val="center"/>
              <w:rPr>
                <w:rFonts w:ascii="Times New Roman" w:hAnsi="Times New Roman" w:cs="Times New Roman"/>
                <w:b/>
                <w:bCs/>
                <w:sz w:val="20"/>
                <w:szCs w:val="20"/>
              </w:rPr>
            </w:pPr>
            <w:r w:rsidRPr="00931024">
              <w:rPr>
                <w:rFonts w:ascii="Times New Roman" w:hAnsi="Times New Roman" w:cs="Times New Roman"/>
                <w:sz w:val="20"/>
                <w:szCs w:val="20"/>
              </w:rPr>
              <w:t>0,750</w:t>
            </w:r>
          </w:p>
        </w:tc>
        <w:tc>
          <w:tcPr>
            <w:tcW w:w="410" w:type="pct"/>
            <w:tcBorders>
              <w:top w:val="single" w:sz="12" w:space="0" w:color="auto"/>
              <w:bottom w:val="single" w:sz="12" w:space="0" w:color="auto"/>
            </w:tcBorders>
            <w:vAlign w:val="center"/>
          </w:tcPr>
          <w:p w:rsidR="00EF37CF" w:rsidRPr="00931024" w:rsidRDefault="00EF37CF" w:rsidP="0020565B">
            <w:pPr>
              <w:spacing w:line="180" w:lineRule="exact"/>
              <w:jc w:val="center"/>
              <w:rPr>
                <w:rFonts w:ascii="Times New Roman" w:hAnsi="Times New Roman" w:cs="Times New Roman"/>
                <w:b/>
                <w:sz w:val="20"/>
                <w:szCs w:val="20"/>
              </w:rPr>
            </w:pPr>
            <w:r w:rsidRPr="00931024">
              <w:rPr>
                <w:rFonts w:ascii="Times New Roman" w:hAnsi="Times New Roman" w:cs="Times New Roman"/>
                <w:sz w:val="20"/>
                <w:szCs w:val="20"/>
              </w:rPr>
              <w:t>0,697</w:t>
            </w:r>
          </w:p>
        </w:tc>
        <w:tc>
          <w:tcPr>
            <w:tcW w:w="738" w:type="pct"/>
            <w:tcBorders>
              <w:top w:val="single" w:sz="12" w:space="0" w:color="auto"/>
              <w:bottom w:val="single" w:sz="12" w:space="0" w:color="auto"/>
            </w:tcBorders>
            <w:vAlign w:val="center"/>
          </w:tcPr>
          <w:p w:rsidR="00EF37CF" w:rsidRPr="00931024" w:rsidRDefault="00EF37CF" w:rsidP="0020565B">
            <w:pPr>
              <w:pStyle w:val="Default"/>
              <w:spacing w:line="180" w:lineRule="exact"/>
              <w:jc w:val="center"/>
              <w:rPr>
                <w:rFonts w:ascii="Times New Roman" w:hAnsi="Times New Roman" w:cs="Times New Roman"/>
                <w:color w:val="auto"/>
                <w:sz w:val="20"/>
                <w:szCs w:val="20"/>
              </w:rPr>
            </w:pPr>
            <w:r w:rsidRPr="00931024">
              <w:rPr>
                <w:rFonts w:ascii="Times New Roman" w:hAnsi="Times New Roman" w:cs="Times New Roman"/>
                <w:color w:val="auto"/>
                <w:sz w:val="20"/>
                <w:szCs w:val="20"/>
              </w:rPr>
              <w:t>98,832</w:t>
            </w:r>
          </w:p>
          <w:p w:rsidR="00EF37CF" w:rsidRPr="00931024" w:rsidRDefault="00EF37CF" w:rsidP="0020565B">
            <w:pPr>
              <w:pStyle w:val="Default"/>
              <w:spacing w:line="180" w:lineRule="exact"/>
              <w:jc w:val="center"/>
              <w:rPr>
                <w:rFonts w:ascii="Times New Roman" w:hAnsi="Times New Roman" w:cs="Times New Roman"/>
                <w:b/>
                <w:bCs/>
                <w:color w:val="auto"/>
                <w:sz w:val="20"/>
                <w:szCs w:val="20"/>
              </w:rPr>
            </w:pPr>
            <w:r w:rsidRPr="00931024">
              <w:rPr>
                <w:rFonts w:ascii="Times New Roman" w:hAnsi="Times New Roman" w:cs="Times New Roman"/>
                <w:color w:val="auto"/>
                <w:sz w:val="20"/>
                <w:szCs w:val="20"/>
              </w:rPr>
              <w:t>(0,000)*</w:t>
            </w:r>
          </w:p>
        </w:tc>
        <w:tc>
          <w:tcPr>
            <w:tcW w:w="656" w:type="pct"/>
            <w:tcBorders>
              <w:top w:val="single" w:sz="12" w:space="0" w:color="auto"/>
              <w:bottom w:val="single" w:sz="12" w:space="0" w:color="auto"/>
            </w:tcBorders>
            <w:vAlign w:val="center"/>
          </w:tcPr>
          <w:p w:rsidR="00EF37CF" w:rsidRPr="00931024" w:rsidRDefault="00EF37CF" w:rsidP="0020565B">
            <w:pPr>
              <w:spacing w:line="180" w:lineRule="exact"/>
              <w:jc w:val="center"/>
              <w:rPr>
                <w:rFonts w:ascii="Times New Roman" w:hAnsi="Times New Roman" w:cs="Times New Roman"/>
                <w:b/>
                <w:sz w:val="20"/>
                <w:szCs w:val="20"/>
              </w:rPr>
            </w:pPr>
            <w:r w:rsidRPr="00931024">
              <w:rPr>
                <w:rFonts w:ascii="Times New Roman" w:hAnsi="Times New Roman" w:cs="Times New Roman"/>
                <w:sz w:val="20"/>
                <w:szCs w:val="20"/>
              </w:rPr>
              <w:t>57,76%</w:t>
            </w:r>
          </w:p>
        </w:tc>
        <w:tc>
          <w:tcPr>
            <w:tcW w:w="575" w:type="pct"/>
            <w:tcBorders>
              <w:top w:val="single" w:sz="12" w:space="0" w:color="auto"/>
              <w:bottom w:val="single" w:sz="12" w:space="0" w:color="auto"/>
            </w:tcBorders>
            <w:vAlign w:val="center"/>
          </w:tcPr>
          <w:p w:rsidR="00EF37CF" w:rsidRPr="00931024" w:rsidRDefault="00EF37CF" w:rsidP="0020565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CAC 1</w:t>
            </w:r>
          </w:p>
          <w:p w:rsidR="00EF37CF" w:rsidRPr="00931024" w:rsidRDefault="00EF37CF" w:rsidP="0020565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CAC 2</w:t>
            </w:r>
          </w:p>
          <w:p w:rsidR="00EF37CF" w:rsidRPr="00931024" w:rsidRDefault="00EF37CF" w:rsidP="0020565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CAC 3</w:t>
            </w:r>
          </w:p>
          <w:p w:rsidR="00EF37CF" w:rsidRPr="00931024" w:rsidRDefault="00EF37CF" w:rsidP="0020565B">
            <w:pPr>
              <w:spacing w:line="180" w:lineRule="exact"/>
              <w:jc w:val="center"/>
              <w:rPr>
                <w:rFonts w:ascii="Times New Roman" w:hAnsi="Times New Roman" w:cs="Times New Roman"/>
                <w:b/>
                <w:sz w:val="20"/>
                <w:szCs w:val="20"/>
              </w:rPr>
            </w:pPr>
            <w:r w:rsidRPr="00931024">
              <w:rPr>
                <w:rFonts w:ascii="Times New Roman" w:hAnsi="Times New Roman" w:cs="Times New Roman"/>
                <w:sz w:val="20"/>
                <w:szCs w:val="20"/>
              </w:rPr>
              <w:t>CAC 4</w:t>
            </w:r>
          </w:p>
        </w:tc>
        <w:tc>
          <w:tcPr>
            <w:tcW w:w="574" w:type="pct"/>
            <w:tcBorders>
              <w:top w:val="single" w:sz="12" w:space="0" w:color="auto"/>
              <w:bottom w:val="single" w:sz="12" w:space="0" w:color="auto"/>
            </w:tcBorders>
            <w:vAlign w:val="center"/>
          </w:tcPr>
          <w:p w:rsidR="00EF37CF" w:rsidRPr="00931024" w:rsidRDefault="00EF37CF" w:rsidP="0020565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0,777</w:t>
            </w:r>
          </w:p>
          <w:p w:rsidR="00EF37CF" w:rsidRPr="00931024" w:rsidRDefault="00EF37CF" w:rsidP="0020565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0,665</w:t>
            </w:r>
          </w:p>
          <w:p w:rsidR="00EF37CF" w:rsidRPr="00931024" w:rsidRDefault="00EF37CF" w:rsidP="0020565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0,751</w:t>
            </w:r>
          </w:p>
          <w:p w:rsidR="00EF37CF" w:rsidRPr="00931024" w:rsidRDefault="00EF37CF" w:rsidP="0020565B">
            <w:pPr>
              <w:pStyle w:val="Default"/>
              <w:spacing w:line="180" w:lineRule="exact"/>
              <w:jc w:val="center"/>
              <w:rPr>
                <w:rFonts w:ascii="Times New Roman" w:hAnsi="Times New Roman" w:cs="Times New Roman"/>
                <w:b/>
                <w:bCs/>
                <w:color w:val="auto"/>
                <w:sz w:val="20"/>
                <w:szCs w:val="20"/>
              </w:rPr>
            </w:pPr>
            <w:r w:rsidRPr="00931024">
              <w:rPr>
                <w:rFonts w:ascii="Times New Roman" w:hAnsi="Times New Roman" w:cs="Times New Roman"/>
                <w:color w:val="auto"/>
                <w:sz w:val="20"/>
                <w:szCs w:val="20"/>
              </w:rPr>
              <w:t>0,837</w:t>
            </w:r>
          </w:p>
        </w:tc>
        <w:tc>
          <w:tcPr>
            <w:tcW w:w="573" w:type="pct"/>
            <w:tcBorders>
              <w:top w:val="single" w:sz="12" w:space="0" w:color="auto"/>
              <w:bottom w:val="single" w:sz="12" w:space="0" w:color="auto"/>
              <w:right w:val="single" w:sz="4" w:space="0" w:color="FFFFFF" w:themeColor="background1"/>
            </w:tcBorders>
            <w:vAlign w:val="center"/>
          </w:tcPr>
          <w:p w:rsidR="00EF37CF" w:rsidRPr="00931024" w:rsidRDefault="00EF37CF" w:rsidP="0020565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0,604</w:t>
            </w:r>
          </w:p>
          <w:p w:rsidR="00EF37CF" w:rsidRPr="00931024" w:rsidRDefault="00EF37CF" w:rsidP="0020565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0,442</w:t>
            </w:r>
          </w:p>
          <w:p w:rsidR="00EF37CF" w:rsidRPr="00931024" w:rsidRDefault="00EF37CF" w:rsidP="0020565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0,565</w:t>
            </w:r>
          </w:p>
          <w:p w:rsidR="00EF37CF" w:rsidRPr="00931024" w:rsidRDefault="00EF37CF" w:rsidP="0020565B">
            <w:pPr>
              <w:spacing w:line="180" w:lineRule="exact"/>
              <w:jc w:val="center"/>
              <w:rPr>
                <w:rFonts w:ascii="Times New Roman" w:hAnsi="Times New Roman" w:cs="Times New Roman"/>
                <w:b/>
                <w:sz w:val="20"/>
                <w:szCs w:val="20"/>
              </w:rPr>
            </w:pPr>
            <w:r w:rsidRPr="00931024">
              <w:rPr>
                <w:rFonts w:ascii="Times New Roman" w:hAnsi="Times New Roman" w:cs="Times New Roman"/>
                <w:sz w:val="20"/>
                <w:szCs w:val="20"/>
              </w:rPr>
              <w:t>0,700</w:t>
            </w:r>
          </w:p>
        </w:tc>
      </w:tr>
      <w:tr w:rsidR="00931024" w:rsidRPr="00931024" w:rsidTr="0020565B">
        <w:trPr>
          <w:cantSplit/>
          <w:trHeight w:val="393"/>
          <w:jc w:val="center"/>
        </w:trPr>
        <w:tc>
          <w:tcPr>
            <w:tcW w:w="818" w:type="pct"/>
            <w:tcBorders>
              <w:top w:val="single" w:sz="12" w:space="0" w:color="auto"/>
              <w:left w:val="single" w:sz="4" w:space="0" w:color="FFFFFF" w:themeColor="background1"/>
              <w:bottom w:val="single" w:sz="12" w:space="0" w:color="auto"/>
            </w:tcBorders>
            <w:vAlign w:val="center"/>
          </w:tcPr>
          <w:p w:rsidR="00EF37CF" w:rsidRPr="00931024" w:rsidRDefault="00EF37CF" w:rsidP="0020565B">
            <w:pPr>
              <w:pStyle w:val="Default"/>
              <w:spacing w:line="180" w:lineRule="exact"/>
              <w:jc w:val="center"/>
              <w:rPr>
                <w:rFonts w:ascii="Times New Roman" w:hAnsi="Times New Roman" w:cs="Times New Roman"/>
                <w:b/>
                <w:bCs/>
                <w:color w:val="auto"/>
                <w:sz w:val="20"/>
                <w:szCs w:val="20"/>
              </w:rPr>
            </w:pPr>
            <w:r w:rsidRPr="00931024">
              <w:rPr>
                <w:rFonts w:ascii="Times New Roman" w:hAnsi="Times New Roman" w:cs="Times New Roman"/>
                <w:color w:val="auto"/>
                <w:sz w:val="20"/>
                <w:szCs w:val="20"/>
              </w:rPr>
              <w:t>Rede de Comunicação (CAR)</w:t>
            </w:r>
          </w:p>
        </w:tc>
        <w:tc>
          <w:tcPr>
            <w:tcW w:w="656" w:type="pct"/>
            <w:tcBorders>
              <w:top w:val="single" w:sz="12" w:space="0" w:color="auto"/>
              <w:bottom w:val="single" w:sz="12" w:space="0" w:color="auto"/>
            </w:tcBorders>
            <w:vAlign w:val="center"/>
          </w:tcPr>
          <w:p w:rsidR="00EF37CF" w:rsidRPr="00931024" w:rsidRDefault="00EF37CF" w:rsidP="0020565B">
            <w:pPr>
              <w:spacing w:line="180" w:lineRule="exact"/>
              <w:jc w:val="center"/>
              <w:rPr>
                <w:rFonts w:ascii="Times New Roman" w:hAnsi="Times New Roman" w:cs="Times New Roman"/>
                <w:b/>
                <w:bCs/>
                <w:sz w:val="20"/>
                <w:szCs w:val="20"/>
              </w:rPr>
            </w:pPr>
            <w:r w:rsidRPr="00931024">
              <w:rPr>
                <w:rFonts w:ascii="Times New Roman" w:hAnsi="Times New Roman" w:cs="Times New Roman"/>
                <w:sz w:val="20"/>
                <w:szCs w:val="20"/>
              </w:rPr>
              <w:t>0,923</w:t>
            </w:r>
          </w:p>
        </w:tc>
        <w:tc>
          <w:tcPr>
            <w:tcW w:w="410" w:type="pct"/>
            <w:tcBorders>
              <w:top w:val="single" w:sz="12" w:space="0" w:color="auto"/>
              <w:bottom w:val="single" w:sz="12" w:space="0" w:color="auto"/>
            </w:tcBorders>
            <w:vAlign w:val="center"/>
          </w:tcPr>
          <w:p w:rsidR="00EF37CF" w:rsidRPr="00931024" w:rsidRDefault="00EF37CF" w:rsidP="0020565B">
            <w:pPr>
              <w:spacing w:line="180" w:lineRule="exact"/>
              <w:jc w:val="center"/>
              <w:rPr>
                <w:rFonts w:ascii="Times New Roman" w:hAnsi="Times New Roman" w:cs="Times New Roman"/>
                <w:b/>
                <w:sz w:val="20"/>
                <w:szCs w:val="20"/>
              </w:rPr>
            </w:pPr>
            <w:r w:rsidRPr="00931024">
              <w:rPr>
                <w:rFonts w:ascii="Times New Roman" w:hAnsi="Times New Roman" w:cs="Times New Roman"/>
                <w:sz w:val="20"/>
                <w:szCs w:val="20"/>
              </w:rPr>
              <w:t>0,500</w:t>
            </w:r>
          </w:p>
        </w:tc>
        <w:tc>
          <w:tcPr>
            <w:tcW w:w="738" w:type="pct"/>
            <w:tcBorders>
              <w:top w:val="single" w:sz="12" w:space="0" w:color="auto"/>
              <w:bottom w:val="single" w:sz="12" w:space="0" w:color="auto"/>
            </w:tcBorders>
            <w:vAlign w:val="center"/>
          </w:tcPr>
          <w:p w:rsidR="00EF37CF" w:rsidRPr="00931024" w:rsidRDefault="00EF37CF" w:rsidP="0020565B">
            <w:pPr>
              <w:pStyle w:val="Default"/>
              <w:spacing w:line="180" w:lineRule="exact"/>
              <w:jc w:val="center"/>
              <w:rPr>
                <w:rFonts w:ascii="Times New Roman" w:hAnsi="Times New Roman" w:cs="Times New Roman"/>
                <w:color w:val="auto"/>
                <w:sz w:val="20"/>
                <w:szCs w:val="20"/>
              </w:rPr>
            </w:pPr>
            <w:r w:rsidRPr="00931024">
              <w:rPr>
                <w:rFonts w:ascii="Times New Roman" w:hAnsi="Times New Roman" w:cs="Times New Roman"/>
                <w:color w:val="auto"/>
                <w:sz w:val="20"/>
                <w:szCs w:val="20"/>
              </w:rPr>
              <w:t>129,647</w:t>
            </w:r>
          </w:p>
          <w:p w:rsidR="00EF37CF" w:rsidRPr="00931024" w:rsidRDefault="00EF37CF" w:rsidP="0020565B">
            <w:pPr>
              <w:pStyle w:val="Default"/>
              <w:spacing w:line="180" w:lineRule="exact"/>
              <w:jc w:val="center"/>
              <w:rPr>
                <w:rFonts w:ascii="Times New Roman" w:hAnsi="Times New Roman" w:cs="Times New Roman"/>
                <w:b/>
                <w:bCs/>
                <w:color w:val="auto"/>
                <w:sz w:val="20"/>
                <w:szCs w:val="20"/>
              </w:rPr>
            </w:pPr>
            <w:r w:rsidRPr="00931024">
              <w:rPr>
                <w:rFonts w:ascii="Times New Roman" w:hAnsi="Times New Roman" w:cs="Times New Roman"/>
                <w:color w:val="auto"/>
                <w:sz w:val="20"/>
                <w:szCs w:val="20"/>
              </w:rPr>
              <w:t>(0,000)*</w:t>
            </w:r>
          </w:p>
        </w:tc>
        <w:tc>
          <w:tcPr>
            <w:tcW w:w="656" w:type="pct"/>
            <w:tcBorders>
              <w:top w:val="single" w:sz="12" w:space="0" w:color="auto"/>
              <w:bottom w:val="single" w:sz="12" w:space="0" w:color="auto"/>
            </w:tcBorders>
            <w:vAlign w:val="center"/>
          </w:tcPr>
          <w:p w:rsidR="00EF37CF" w:rsidRPr="00931024" w:rsidRDefault="00EF37CF" w:rsidP="0020565B">
            <w:pPr>
              <w:spacing w:line="180" w:lineRule="exact"/>
              <w:jc w:val="center"/>
              <w:rPr>
                <w:rFonts w:ascii="Times New Roman" w:hAnsi="Times New Roman" w:cs="Times New Roman"/>
                <w:b/>
                <w:sz w:val="20"/>
                <w:szCs w:val="20"/>
              </w:rPr>
            </w:pPr>
            <w:r w:rsidRPr="00931024">
              <w:rPr>
                <w:rFonts w:ascii="Times New Roman" w:hAnsi="Times New Roman" w:cs="Times New Roman"/>
                <w:sz w:val="20"/>
                <w:szCs w:val="20"/>
              </w:rPr>
              <w:t>92,87%</w:t>
            </w:r>
          </w:p>
        </w:tc>
        <w:tc>
          <w:tcPr>
            <w:tcW w:w="575" w:type="pct"/>
            <w:tcBorders>
              <w:top w:val="single" w:sz="12" w:space="0" w:color="auto"/>
              <w:bottom w:val="single" w:sz="12" w:space="0" w:color="auto"/>
            </w:tcBorders>
            <w:vAlign w:val="center"/>
          </w:tcPr>
          <w:p w:rsidR="00EF37CF" w:rsidRPr="00931024" w:rsidRDefault="00EF37CF" w:rsidP="0020565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CAR 5</w:t>
            </w:r>
          </w:p>
          <w:p w:rsidR="00EF37CF" w:rsidRPr="00931024" w:rsidRDefault="00EF37CF" w:rsidP="0020565B">
            <w:pPr>
              <w:spacing w:line="180" w:lineRule="exact"/>
              <w:jc w:val="center"/>
              <w:rPr>
                <w:rFonts w:ascii="Times New Roman" w:hAnsi="Times New Roman" w:cs="Times New Roman"/>
                <w:b/>
                <w:sz w:val="20"/>
                <w:szCs w:val="20"/>
              </w:rPr>
            </w:pPr>
            <w:r w:rsidRPr="00931024">
              <w:rPr>
                <w:rFonts w:ascii="Times New Roman" w:hAnsi="Times New Roman" w:cs="Times New Roman"/>
                <w:sz w:val="20"/>
                <w:szCs w:val="20"/>
              </w:rPr>
              <w:t>CAR 6</w:t>
            </w:r>
          </w:p>
        </w:tc>
        <w:tc>
          <w:tcPr>
            <w:tcW w:w="574" w:type="pct"/>
            <w:tcBorders>
              <w:top w:val="single" w:sz="12" w:space="0" w:color="auto"/>
              <w:bottom w:val="single" w:sz="12" w:space="0" w:color="auto"/>
            </w:tcBorders>
            <w:vAlign w:val="center"/>
          </w:tcPr>
          <w:p w:rsidR="00EF37CF" w:rsidRPr="00931024" w:rsidRDefault="00EF37CF" w:rsidP="0020565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0,964</w:t>
            </w:r>
          </w:p>
          <w:p w:rsidR="00EF37CF" w:rsidRPr="00931024" w:rsidRDefault="00EF37CF" w:rsidP="0020565B">
            <w:pPr>
              <w:pStyle w:val="Default"/>
              <w:spacing w:line="180" w:lineRule="exact"/>
              <w:jc w:val="center"/>
              <w:rPr>
                <w:rFonts w:ascii="Times New Roman" w:hAnsi="Times New Roman" w:cs="Times New Roman"/>
                <w:b/>
                <w:bCs/>
                <w:color w:val="auto"/>
                <w:sz w:val="20"/>
                <w:szCs w:val="20"/>
              </w:rPr>
            </w:pPr>
            <w:r w:rsidRPr="00931024">
              <w:rPr>
                <w:rFonts w:ascii="Times New Roman" w:hAnsi="Times New Roman" w:cs="Times New Roman"/>
                <w:color w:val="auto"/>
                <w:sz w:val="20"/>
                <w:szCs w:val="20"/>
              </w:rPr>
              <w:t>0,964</w:t>
            </w:r>
          </w:p>
        </w:tc>
        <w:tc>
          <w:tcPr>
            <w:tcW w:w="573" w:type="pct"/>
            <w:tcBorders>
              <w:top w:val="single" w:sz="12" w:space="0" w:color="auto"/>
              <w:bottom w:val="single" w:sz="12" w:space="0" w:color="auto"/>
              <w:right w:val="single" w:sz="4" w:space="0" w:color="FFFFFF" w:themeColor="background1"/>
            </w:tcBorders>
            <w:vAlign w:val="center"/>
          </w:tcPr>
          <w:p w:rsidR="00EF37CF" w:rsidRPr="00931024" w:rsidRDefault="00EF37CF" w:rsidP="0020565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0,929</w:t>
            </w:r>
          </w:p>
          <w:p w:rsidR="00EF37CF" w:rsidRPr="00931024" w:rsidRDefault="00EF37CF" w:rsidP="0020565B">
            <w:pPr>
              <w:spacing w:line="180" w:lineRule="exact"/>
              <w:jc w:val="center"/>
              <w:rPr>
                <w:rFonts w:ascii="Times New Roman" w:hAnsi="Times New Roman" w:cs="Times New Roman"/>
                <w:b/>
                <w:sz w:val="20"/>
                <w:szCs w:val="20"/>
              </w:rPr>
            </w:pPr>
            <w:r w:rsidRPr="00931024">
              <w:rPr>
                <w:rFonts w:ascii="Times New Roman" w:hAnsi="Times New Roman" w:cs="Times New Roman"/>
                <w:sz w:val="20"/>
                <w:szCs w:val="20"/>
              </w:rPr>
              <w:t>0,929</w:t>
            </w:r>
          </w:p>
        </w:tc>
      </w:tr>
      <w:tr w:rsidR="00931024" w:rsidRPr="00931024" w:rsidTr="0020565B">
        <w:trPr>
          <w:cantSplit/>
          <w:trHeight w:val="671"/>
          <w:jc w:val="center"/>
        </w:trPr>
        <w:tc>
          <w:tcPr>
            <w:tcW w:w="818" w:type="pct"/>
            <w:tcBorders>
              <w:top w:val="single" w:sz="12" w:space="0" w:color="auto"/>
              <w:left w:val="single" w:sz="4" w:space="0" w:color="FFFFFF" w:themeColor="background1"/>
              <w:bottom w:val="single" w:sz="12" w:space="0" w:color="auto"/>
            </w:tcBorders>
            <w:vAlign w:val="center"/>
          </w:tcPr>
          <w:p w:rsidR="00EF37CF" w:rsidRPr="00931024" w:rsidRDefault="00EF37CF" w:rsidP="0020565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Clima de Comunicação (CACL)</w:t>
            </w:r>
          </w:p>
        </w:tc>
        <w:tc>
          <w:tcPr>
            <w:tcW w:w="656" w:type="pct"/>
            <w:tcBorders>
              <w:top w:val="single" w:sz="12" w:space="0" w:color="auto"/>
              <w:bottom w:val="single" w:sz="12" w:space="0" w:color="auto"/>
            </w:tcBorders>
            <w:vAlign w:val="center"/>
          </w:tcPr>
          <w:p w:rsidR="00EF37CF" w:rsidRPr="00931024" w:rsidRDefault="00EF37CF" w:rsidP="0020565B">
            <w:pPr>
              <w:spacing w:line="180" w:lineRule="exact"/>
              <w:jc w:val="center"/>
              <w:rPr>
                <w:rFonts w:ascii="Times New Roman" w:hAnsi="Times New Roman" w:cs="Times New Roman"/>
                <w:sz w:val="20"/>
                <w:szCs w:val="20"/>
              </w:rPr>
            </w:pPr>
            <w:r w:rsidRPr="00931024">
              <w:rPr>
                <w:rFonts w:ascii="Times New Roman" w:hAnsi="Times New Roman" w:cs="Times New Roman"/>
                <w:bCs/>
                <w:sz w:val="20"/>
                <w:szCs w:val="20"/>
              </w:rPr>
              <w:t>0,819</w:t>
            </w:r>
          </w:p>
        </w:tc>
        <w:tc>
          <w:tcPr>
            <w:tcW w:w="410" w:type="pct"/>
            <w:tcBorders>
              <w:top w:val="single" w:sz="12" w:space="0" w:color="auto"/>
              <w:bottom w:val="single" w:sz="12" w:space="0" w:color="auto"/>
            </w:tcBorders>
            <w:vAlign w:val="center"/>
          </w:tcPr>
          <w:p w:rsidR="00EF37CF" w:rsidRPr="00931024" w:rsidRDefault="00EF37CF" w:rsidP="0020565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0,761</w:t>
            </w:r>
          </w:p>
        </w:tc>
        <w:tc>
          <w:tcPr>
            <w:tcW w:w="738" w:type="pct"/>
            <w:tcBorders>
              <w:top w:val="single" w:sz="12" w:space="0" w:color="auto"/>
              <w:bottom w:val="single" w:sz="12" w:space="0" w:color="auto"/>
            </w:tcBorders>
            <w:vAlign w:val="center"/>
          </w:tcPr>
          <w:p w:rsidR="00EF37CF" w:rsidRPr="00931024" w:rsidRDefault="00EF37CF" w:rsidP="0020565B">
            <w:pPr>
              <w:spacing w:line="180" w:lineRule="exact"/>
              <w:jc w:val="center"/>
              <w:rPr>
                <w:rFonts w:ascii="Times New Roman" w:hAnsi="Times New Roman" w:cs="Times New Roman"/>
                <w:bCs/>
                <w:sz w:val="20"/>
                <w:szCs w:val="20"/>
              </w:rPr>
            </w:pPr>
            <w:r w:rsidRPr="00931024">
              <w:rPr>
                <w:rFonts w:ascii="Times New Roman" w:hAnsi="Times New Roman" w:cs="Times New Roman"/>
                <w:bCs/>
                <w:sz w:val="20"/>
                <w:szCs w:val="20"/>
              </w:rPr>
              <w:t>196,264</w:t>
            </w:r>
          </w:p>
          <w:p w:rsidR="00EF37CF" w:rsidRPr="00931024" w:rsidRDefault="00EF37CF" w:rsidP="0020565B">
            <w:pPr>
              <w:spacing w:line="180" w:lineRule="exact"/>
              <w:jc w:val="center"/>
              <w:rPr>
                <w:rFonts w:ascii="Times New Roman" w:hAnsi="Times New Roman" w:cs="Times New Roman"/>
                <w:sz w:val="20"/>
                <w:szCs w:val="20"/>
              </w:rPr>
            </w:pPr>
            <w:r w:rsidRPr="00931024">
              <w:rPr>
                <w:rFonts w:ascii="Times New Roman" w:hAnsi="Times New Roman" w:cs="Times New Roman"/>
                <w:bCs/>
                <w:sz w:val="20"/>
                <w:szCs w:val="20"/>
              </w:rPr>
              <w:t>(0,000)*</w:t>
            </w:r>
          </w:p>
        </w:tc>
        <w:tc>
          <w:tcPr>
            <w:tcW w:w="656" w:type="pct"/>
            <w:tcBorders>
              <w:top w:val="single" w:sz="12" w:space="0" w:color="auto"/>
              <w:bottom w:val="single" w:sz="12" w:space="0" w:color="auto"/>
            </w:tcBorders>
            <w:vAlign w:val="center"/>
          </w:tcPr>
          <w:p w:rsidR="00EF37CF" w:rsidRPr="00931024" w:rsidRDefault="00EF37CF" w:rsidP="0020565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58,95%</w:t>
            </w:r>
          </w:p>
        </w:tc>
        <w:tc>
          <w:tcPr>
            <w:tcW w:w="575" w:type="pct"/>
            <w:tcBorders>
              <w:top w:val="single" w:sz="12" w:space="0" w:color="auto"/>
              <w:bottom w:val="single" w:sz="12" w:space="0" w:color="auto"/>
            </w:tcBorders>
            <w:vAlign w:val="center"/>
          </w:tcPr>
          <w:p w:rsidR="00EF37CF" w:rsidRPr="00931024" w:rsidRDefault="00EF37CF" w:rsidP="0020565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CACL 7</w:t>
            </w:r>
          </w:p>
          <w:p w:rsidR="00EF37CF" w:rsidRPr="00931024" w:rsidRDefault="00EF37CF" w:rsidP="0020565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CACL 8</w:t>
            </w:r>
          </w:p>
          <w:p w:rsidR="00EF37CF" w:rsidRPr="00931024" w:rsidRDefault="00EF37CF" w:rsidP="0020565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CACL 9</w:t>
            </w:r>
          </w:p>
          <w:p w:rsidR="00EF37CF" w:rsidRPr="00931024" w:rsidRDefault="00EF37CF" w:rsidP="0020565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CACL10</w:t>
            </w:r>
          </w:p>
          <w:p w:rsidR="00EF37CF" w:rsidRPr="00931024" w:rsidRDefault="00EF37CF" w:rsidP="0020565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CACL11</w:t>
            </w:r>
          </w:p>
        </w:tc>
        <w:tc>
          <w:tcPr>
            <w:tcW w:w="574" w:type="pct"/>
            <w:tcBorders>
              <w:top w:val="single" w:sz="12" w:space="0" w:color="auto"/>
              <w:bottom w:val="single" w:sz="12" w:space="0" w:color="auto"/>
            </w:tcBorders>
            <w:vAlign w:val="center"/>
          </w:tcPr>
          <w:p w:rsidR="00EF37CF" w:rsidRPr="00931024" w:rsidRDefault="00EF37CF" w:rsidP="0020565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0,668</w:t>
            </w:r>
          </w:p>
          <w:p w:rsidR="00EF37CF" w:rsidRPr="00931024" w:rsidRDefault="00EF37CF" w:rsidP="0020565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0,758</w:t>
            </w:r>
          </w:p>
          <w:p w:rsidR="00EF37CF" w:rsidRPr="00931024" w:rsidRDefault="00EF37CF" w:rsidP="0020565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0,858</w:t>
            </w:r>
          </w:p>
          <w:p w:rsidR="00EF37CF" w:rsidRPr="00931024" w:rsidRDefault="00EF37CF" w:rsidP="0020565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0,806</w:t>
            </w:r>
          </w:p>
          <w:p w:rsidR="00EF37CF" w:rsidRPr="00931024" w:rsidRDefault="00EF37CF" w:rsidP="0020565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0,735</w:t>
            </w:r>
          </w:p>
        </w:tc>
        <w:tc>
          <w:tcPr>
            <w:tcW w:w="573" w:type="pct"/>
            <w:tcBorders>
              <w:top w:val="single" w:sz="12" w:space="0" w:color="auto"/>
              <w:bottom w:val="single" w:sz="12" w:space="0" w:color="auto"/>
              <w:right w:val="single" w:sz="4" w:space="0" w:color="FFFFFF" w:themeColor="background1"/>
            </w:tcBorders>
            <w:vAlign w:val="center"/>
          </w:tcPr>
          <w:p w:rsidR="00EF37CF" w:rsidRPr="00931024" w:rsidRDefault="00EF37CF" w:rsidP="0020565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0,446</w:t>
            </w:r>
          </w:p>
          <w:p w:rsidR="00EF37CF" w:rsidRPr="00931024" w:rsidRDefault="00EF37CF" w:rsidP="0020565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0,574</w:t>
            </w:r>
          </w:p>
          <w:p w:rsidR="00EF37CF" w:rsidRPr="00931024" w:rsidRDefault="00EF37CF" w:rsidP="0020565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0,737</w:t>
            </w:r>
          </w:p>
          <w:p w:rsidR="00EF37CF" w:rsidRPr="00931024" w:rsidRDefault="00EF37CF" w:rsidP="0020565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0,650</w:t>
            </w:r>
          </w:p>
          <w:p w:rsidR="00EF37CF" w:rsidRPr="00931024" w:rsidRDefault="00EF37CF" w:rsidP="0020565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0,541</w:t>
            </w:r>
          </w:p>
        </w:tc>
      </w:tr>
    </w:tbl>
    <w:p w:rsidR="00EF37CF" w:rsidRPr="00931024" w:rsidRDefault="00EF37CF" w:rsidP="00A23A2D">
      <w:pPr>
        <w:rPr>
          <w:sz w:val="20"/>
          <w:szCs w:val="20"/>
        </w:rPr>
      </w:pPr>
      <w:r w:rsidRPr="00931024">
        <w:rPr>
          <w:sz w:val="20"/>
          <w:szCs w:val="20"/>
        </w:rPr>
        <w:t xml:space="preserve">Fonte: </w:t>
      </w:r>
      <w:r w:rsidR="00A23A2D" w:rsidRPr="00931024">
        <w:rPr>
          <w:sz w:val="20"/>
          <w:szCs w:val="20"/>
        </w:rPr>
        <w:t>d</w:t>
      </w:r>
      <w:r w:rsidRPr="00931024">
        <w:rPr>
          <w:sz w:val="20"/>
          <w:szCs w:val="20"/>
        </w:rPr>
        <w:t>ados da pesquisa.</w:t>
      </w:r>
    </w:p>
    <w:p w:rsidR="00EF37CF" w:rsidRPr="00931024" w:rsidRDefault="00EF37CF" w:rsidP="00EF37CF">
      <w:pPr>
        <w:ind w:firstLine="709"/>
      </w:pPr>
    </w:p>
    <w:p w:rsidR="00EF37CF" w:rsidRPr="00931024" w:rsidRDefault="00EF37CF" w:rsidP="00EF37CF">
      <w:pPr>
        <w:ind w:firstLine="709"/>
      </w:pPr>
      <w:r w:rsidRPr="00931024">
        <w:t>Observa-se o constructo capacidade absortiva (CAP_ABS) formado por três subcategorias. A partir dos resultados encontrados nos</w:t>
      </w:r>
      <w:r w:rsidR="0090012C" w:rsidRPr="00931024">
        <w:t xml:space="preserve"> testes apresentados na Tabela 3</w:t>
      </w:r>
      <w:r w:rsidRPr="00931024">
        <w:t>, pode-se verificar que o coeficiente do Alfa de Cronbach é adequado nas três subcategorias, estando todos os valores acima de 0,60.</w:t>
      </w:r>
    </w:p>
    <w:p w:rsidR="00EF37CF" w:rsidRPr="00931024" w:rsidRDefault="00EF37CF" w:rsidP="00EF37CF">
      <w:pPr>
        <w:ind w:firstLine="709"/>
      </w:pPr>
      <w:r w:rsidRPr="00931024">
        <w:t xml:space="preserve">O teste KMO indicou valores adequados para esta investigação. As cargas fatoriais encontradas na análise fatorial foram todas satisfatórias, sendo superiores ao que foi estipulado como critério estabelecido para o estudo, considerando a amostra selecionada para a realização desta pesquisa (0,55). Assim, diante dos testes de validade e confiabilidade aplicados aos dados </w:t>
      </w:r>
      <w:r w:rsidRPr="00931024">
        <w:lastRenderedPageBreak/>
        <w:t>do constructo de capacidade absortiva, evidenciou-se que os mesmos são considerados aptos, sendo todas as variáveis mantidas para compor a análise de trajetórias.</w:t>
      </w:r>
    </w:p>
    <w:p w:rsidR="00446499" w:rsidRPr="00931024" w:rsidRDefault="002B3EBD" w:rsidP="00446499">
      <w:pPr>
        <w:ind w:firstLine="709"/>
      </w:pPr>
      <w:r w:rsidRPr="00931024">
        <w:t>A Tabela 04</w:t>
      </w:r>
      <w:r w:rsidR="00446499" w:rsidRPr="00931024">
        <w:t xml:space="preserve"> expõe os resultados da análise fatorial realizada para a validação do constructo da gestão de custos interorganizacionais.</w:t>
      </w:r>
    </w:p>
    <w:p w:rsidR="00446499" w:rsidRPr="00931024" w:rsidRDefault="00446499" w:rsidP="00446499">
      <w:pPr>
        <w:ind w:firstLine="709"/>
      </w:pPr>
    </w:p>
    <w:p w:rsidR="00A25D7A" w:rsidRPr="00931024" w:rsidRDefault="00A25D7A" w:rsidP="00A25D7A">
      <w:pPr>
        <w:pStyle w:val="Legenda"/>
        <w:keepNext/>
        <w:spacing w:after="0"/>
        <w:ind w:firstLine="0"/>
        <w:rPr>
          <w:rFonts w:cs="Times New Roman"/>
          <w:b/>
          <w:i w:val="0"/>
          <w:color w:val="auto"/>
          <w:sz w:val="20"/>
          <w:szCs w:val="20"/>
        </w:rPr>
      </w:pPr>
      <w:r w:rsidRPr="00931024">
        <w:rPr>
          <w:rFonts w:cs="Times New Roman"/>
          <w:b/>
          <w:i w:val="0"/>
          <w:color w:val="auto"/>
          <w:sz w:val="20"/>
          <w:szCs w:val="20"/>
        </w:rPr>
        <w:t xml:space="preserve">Tabela </w:t>
      </w:r>
      <w:r w:rsidRPr="00931024">
        <w:rPr>
          <w:rFonts w:cs="Times New Roman"/>
          <w:b/>
          <w:i w:val="0"/>
          <w:color w:val="auto"/>
          <w:sz w:val="20"/>
          <w:szCs w:val="20"/>
        </w:rPr>
        <w:fldChar w:fldCharType="begin"/>
      </w:r>
      <w:r w:rsidRPr="00931024">
        <w:rPr>
          <w:rFonts w:cs="Times New Roman"/>
          <w:b/>
          <w:i w:val="0"/>
          <w:color w:val="auto"/>
          <w:sz w:val="20"/>
          <w:szCs w:val="20"/>
        </w:rPr>
        <w:instrText xml:space="preserve"> SEQ Tabela \* ARABIC </w:instrText>
      </w:r>
      <w:r w:rsidRPr="00931024">
        <w:rPr>
          <w:rFonts w:cs="Times New Roman"/>
          <w:b/>
          <w:i w:val="0"/>
          <w:color w:val="auto"/>
          <w:sz w:val="20"/>
          <w:szCs w:val="20"/>
        </w:rPr>
        <w:fldChar w:fldCharType="separate"/>
      </w:r>
      <w:r w:rsidR="00A2511D">
        <w:rPr>
          <w:rFonts w:cs="Times New Roman"/>
          <w:b/>
          <w:i w:val="0"/>
          <w:noProof/>
          <w:color w:val="auto"/>
          <w:sz w:val="20"/>
          <w:szCs w:val="20"/>
        </w:rPr>
        <w:t>4</w:t>
      </w:r>
      <w:r w:rsidRPr="00931024">
        <w:rPr>
          <w:rFonts w:cs="Times New Roman"/>
          <w:b/>
          <w:i w:val="0"/>
          <w:color w:val="auto"/>
          <w:sz w:val="20"/>
          <w:szCs w:val="20"/>
        </w:rPr>
        <w:fldChar w:fldCharType="end"/>
      </w:r>
      <w:r w:rsidRPr="00931024">
        <w:rPr>
          <w:rFonts w:cs="Times New Roman"/>
          <w:b/>
          <w:i w:val="0"/>
          <w:color w:val="auto"/>
          <w:sz w:val="20"/>
          <w:szCs w:val="20"/>
        </w:rPr>
        <w:t>- Análise fatorial do constructo de Gestão de Custos Interorganizacionais</w:t>
      </w:r>
    </w:p>
    <w:tbl>
      <w:tblPr>
        <w:tblStyle w:val="Tabelacomgrade"/>
        <w:tblW w:w="5000" w:type="pct"/>
        <w:jc w:val="center"/>
        <w:tblLook w:val="04A0" w:firstRow="1" w:lastRow="0" w:firstColumn="1" w:lastColumn="0" w:noHBand="0" w:noVBand="1"/>
      </w:tblPr>
      <w:tblGrid>
        <w:gridCol w:w="1365"/>
        <w:gridCol w:w="1203"/>
        <w:gridCol w:w="875"/>
        <w:gridCol w:w="1279"/>
        <w:gridCol w:w="1243"/>
        <w:gridCol w:w="832"/>
        <w:gridCol w:w="1044"/>
        <w:gridCol w:w="1220"/>
      </w:tblGrid>
      <w:tr w:rsidR="00931024" w:rsidRPr="00931024" w:rsidTr="00A25D7A">
        <w:trPr>
          <w:cantSplit/>
          <w:trHeight w:val="369"/>
          <w:jc w:val="center"/>
        </w:trPr>
        <w:tc>
          <w:tcPr>
            <w:tcW w:w="753" w:type="pct"/>
            <w:tcBorders>
              <w:top w:val="single" w:sz="12" w:space="0" w:color="auto"/>
              <w:left w:val="single" w:sz="4" w:space="0" w:color="FFFFFF" w:themeColor="background1"/>
              <w:bottom w:val="single" w:sz="12" w:space="0" w:color="auto"/>
            </w:tcBorders>
            <w:vAlign w:val="center"/>
          </w:tcPr>
          <w:p w:rsidR="00446499" w:rsidRPr="00931024" w:rsidRDefault="00446499" w:rsidP="0090564E">
            <w:pPr>
              <w:pStyle w:val="Default"/>
              <w:spacing w:line="180" w:lineRule="exact"/>
              <w:jc w:val="center"/>
              <w:rPr>
                <w:rFonts w:ascii="Times New Roman" w:hAnsi="Times New Roman" w:cs="Times New Roman"/>
                <w:b/>
                <w:color w:val="auto"/>
                <w:sz w:val="20"/>
                <w:szCs w:val="20"/>
              </w:rPr>
            </w:pPr>
            <w:r w:rsidRPr="00931024">
              <w:rPr>
                <w:rFonts w:ascii="Times New Roman" w:hAnsi="Times New Roman" w:cs="Times New Roman"/>
                <w:b/>
                <w:bCs/>
                <w:color w:val="auto"/>
                <w:sz w:val="20"/>
                <w:szCs w:val="20"/>
              </w:rPr>
              <w:t>Constructo</w:t>
            </w:r>
          </w:p>
        </w:tc>
        <w:tc>
          <w:tcPr>
            <w:tcW w:w="664" w:type="pct"/>
            <w:tcBorders>
              <w:top w:val="single" w:sz="12" w:space="0" w:color="auto"/>
              <w:bottom w:val="single" w:sz="12" w:space="0" w:color="auto"/>
            </w:tcBorders>
            <w:vAlign w:val="center"/>
          </w:tcPr>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b/>
                <w:bCs/>
                <w:sz w:val="20"/>
                <w:szCs w:val="20"/>
              </w:rPr>
              <w:t xml:space="preserve">Alfa de </w:t>
            </w:r>
            <w:r w:rsidRPr="00931024">
              <w:rPr>
                <w:rFonts w:ascii="Times New Roman" w:hAnsi="Times New Roman" w:cs="Times New Roman"/>
                <w:b/>
                <w:bCs/>
                <w:i/>
                <w:iCs/>
                <w:sz w:val="20"/>
                <w:szCs w:val="20"/>
              </w:rPr>
              <w:t>Cronbach</w:t>
            </w:r>
          </w:p>
        </w:tc>
        <w:tc>
          <w:tcPr>
            <w:tcW w:w="483" w:type="pct"/>
            <w:tcBorders>
              <w:top w:val="single" w:sz="12" w:space="0" w:color="auto"/>
              <w:bottom w:val="single" w:sz="12" w:space="0" w:color="auto"/>
            </w:tcBorders>
            <w:vAlign w:val="center"/>
          </w:tcPr>
          <w:p w:rsidR="00446499" w:rsidRPr="00931024" w:rsidRDefault="00446499" w:rsidP="0090564E">
            <w:pPr>
              <w:spacing w:line="180" w:lineRule="exact"/>
              <w:jc w:val="center"/>
              <w:rPr>
                <w:rFonts w:ascii="Times New Roman" w:hAnsi="Times New Roman" w:cs="Times New Roman"/>
                <w:b/>
                <w:sz w:val="20"/>
                <w:szCs w:val="20"/>
              </w:rPr>
            </w:pPr>
            <w:r w:rsidRPr="00931024">
              <w:rPr>
                <w:rFonts w:ascii="Times New Roman" w:hAnsi="Times New Roman" w:cs="Times New Roman"/>
                <w:b/>
                <w:sz w:val="20"/>
                <w:szCs w:val="20"/>
              </w:rPr>
              <w:t>KMO</w:t>
            </w:r>
          </w:p>
        </w:tc>
        <w:tc>
          <w:tcPr>
            <w:tcW w:w="706" w:type="pct"/>
            <w:tcBorders>
              <w:top w:val="single" w:sz="12" w:space="0" w:color="auto"/>
              <w:bottom w:val="single" w:sz="12" w:space="0" w:color="auto"/>
            </w:tcBorders>
            <w:vAlign w:val="center"/>
          </w:tcPr>
          <w:p w:rsidR="00446499" w:rsidRPr="00931024" w:rsidRDefault="00446499" w:rsidP="0090564E">
            <w:pPr>
              <w:pStyle w:val="Default"/>
              <w:spacing w:line="180" w:lineRule="exact"/>
              <w:jc w:val="center"/>
              <w:rPr>
                <w:rFonts w:ascii="Times New Roman" w:hAnsi="Times New Roman" w:cs="Times New Roman"/>
                <w:b/>
                <w:color w:val="auto"/>
                <w:sz w:val="20"/>
                <w:szCs w:val="20"/>
              </w:rPr>
            </w:pPr>
            <w:r w:rsidRPr="00931024">
              <w:rPr>
                <w:rFonts w:ascii="Times New Roman" w:hAnsi="Times New Roman" w:cs="Times New Roman"/>
                <w:b/>
                <w:bCs/>
                <w:color w:val="auto"/>
                <w:sz w:val="20"/>
                <w:szCs w:val="20"/>
              </w:rPr>
              <w:t xml:space="preserve">Teste de </w:t>
            </w:r>
            <w:proofErr w:type="spellStart"/>
            <w:r w:rsidRPr="00931024">
              <w:rPr>
                <w:rFonts w:ascii="Times New Roman" w:hAnsi="Times New Roman" w:cs="Times New Roman"/>
                <w:b/>
                <w:bCs/>
                <w:color w:val="auto"/>
                <w:sz w:val="20"/>
                <w:szCs w:val="20"/>
              </w:rPr>
              <w:t>Esf</w:t>
            </w:r>
            <w:proofErr w:type="spellEnd"/>
            <w:r w:rsidRPr="00931024">
              <w:rPr>
                <w:rFonts w:ascii="Times New Roman" w:hAnsi="Times New Roman" w:cs="Times New Roman"/>
                <w:b/>
                <w:bCs/>
                <w:color w:val="auto"/>
                <w:sz w:val="20"/>
                <w:szCs w:val="20"/>
              </w:rPr>
              <w:t>. Bartlett</w:t>
            </w:r>
          </w:p>
        </w:tc>
        <w:tc>
          <w:tcPr>
            <w:tcW w:w="686" w:type="pct"/>
            <w:tcBorders>
              <w:top w:val="single" w:sz="12" w:space="0" w:color="auto"/>
              <w:bottom w:val="single" w:sz="12" w:space="0" w:color="auto"/>
            </w:tcBorders>
            <w:vAlign w:val="center"/>
          </w:tcPr>
          <w:p w:rsidR="00446499" w:rsidRPr="00931024" w:rsidRDefault="00446499" w:rsidP="0090564E">
            <w:pPr>
              <w:spacing w:line="180" w:lineRule="exact"/>
              <w:jc w:val="center"/>
              <w:rPr>
                <w:rFonts w:ascii="Times New Roman" w:hAnsi="Times New Roman" w:cs="Times New Roman"/>
                <w:b/>
                <w:sz w:val="20"/>
                <w:szCs w:val="20"/>
              </w:rPr>
            </w:pPr>
            <w:r w:rsidRPr="00931024">
              <w:rPr>
                <w:rFonts w:ascii="Times New Roman" w:hAnsi="Times New Roman" w:cs="Times New Roman"/>
                <w:b/>
                <w:sz w:val="20"/>
                <w:szCs w:val="20"/>
              </w:rPr>
              <w:t>Var. Total Explicada</w:t>
            </w:r>
          </w:p>
        </w:tc>
        <w:tc>
          <w:tcPr>
            <w:tcW w:w="459" w:type="pct"/>
            <w:tcBorders>
              <w:top w:val="single" w:sz="12" w:space="0" w:color="auto"/>
              <w:bottom w:val="single" w:sz="12" w:space="0" w:color="auto"/>
            </w:tcBorders>
            <w:vAlign w:val="center"/>
          </w:tcPr>
          <w:p w:rsidR="00446499" w:rsidRPr="00931024" w:rsidRDefault="00446499" w:rsidP="0090564E">
            <w:pPr>
              <w:spacing w:line="180" w:lineRule="exact"/>
              <w:jc w:val="center"/>
              <w:rPr>
                <w:rFonts w:ascii="Times New Roman" w:hAnsi="Times New Roman" w:cs="Times New Roman"/>
                <w:b/>
                <w:sz w:val="20"/>
                <w:szCs w:val="20"/>
              </w:rPr>
            </w:pPr>
            <w:r w:rsidRPr="00931024">
              <w:rPr>
                <w:rFonts w:ascii="Times New Roman" w:hAnsi="Times New Roman" w:cs="Times New Roman"/>
                <w:b/>
                <w:sz w:val="20"/>
                <w:szCs w:val="20"/>
              </w:rPr>
              <w:t>Var.</w:t>
            </w:r>
          </w:p>
        </w:tc>
        <w:tc>
          <w:tcPr>
            <w:tcW w:w="576" w:type="pct"/>
            <w:tcBorders>
              <w:top w:val="single" w:sz="12" w:space="0" w:color="auto"/>
              <w:bottom w:val="single" w:sz="12" w:space="0" w:color="auto"/>
            </w:tcBorders>
            <w:vAlign w:val="center"/>
          </w:tcPr>
          <w:p w:rsidR="00446499" w:rsidRPr="00931024" w:rsidRDefault="00446499" w:rsidP="0090564E">
            <w:pPr>
              <w:pStyle w:val="Default"/>
              <w:spacing w:line="180" w:lineRule="exact"/>
              <w:jc w:val="center"/>
              <w:rPr>
                <w:rFonts w:ascii="Times New Roman" w:hAnsi="Times New Roman" w:cs="Times New Roman"/>
                <w:b/>
                <w:color w:val="auto"/>
                <w:sz w:val="20"/>
                <w:szCs w:val="20"/>
              </w:rPr>
            </w:pPr>
            <w:r w:rsidRPr="00931024">
              <w:rPr>
                <w:rFonts w:ascii="Times New Roman" w:hAnsi="Times New Roman" w:cs="Times New Roman"/>
                <w:b/>
                <w:bCs/>
                <w:color w:val="auto"/>
                <w:sz w:val="20"/>
                <w:szCs w:val="20"/>
              </w:rPr>
              <w:t>Carga Fatorial</w:t>
            </w:r>
          </w:p>
        </w:tc>
        <w:tc>
          <w:tcPr>
            <w:tcW w:w="673" w:type="pct"/>
            <w:tcBorders>
              <w:top w:val="single" w:sz="12" w:space="0" w:color="auto"/>
              <w:bottom w:val="single" w:sz="12" w:space="0" w:color="auto"/>
              <w:right w:val="single" w:sz="4" w:space="0" w:color="FFFFFF" w:themeColor="background1"/>
            </w:tcBorders>
            <w:vAlign w:val="center"/>
          </w:tcPr>
          <w:p w:rsidR="00446499" w:rsidRPr="00931024" w:rsidRDefault="00446499" w:rsidP="0090564E">
            <w:pPr>
              <w:spacing w:line="180" w:lineRule="exact"/>
              <w:jc w:val="center"/>
              <w:rPr>
                <w:rFonts w:ascii="Times New Roman" w:hAnsi="Times New Roman" w:cs="Times New Roman"/>
                <w:b/>
                <w:sz w:val="20"/>
                <w:szCs w:val="20"/>
              </w:rPr>
            </w:pPr>
            <w:r w:rsidRPr="00931024">
              <w:rPr>
                <w:rFonts w:ascii="Times New Roman" w:hAnsi="Times New Roman" w:cs="Times New Roman"/>
                <w:b/>
                <w:sz w:val="20"/>
                <w:szCs w:val="20"/>
              </w:rPr>
              <w:t>Comunal.</w:t>
            </w:r>
          </w:p>
        </w:tc>
      </w:tr>
      <w:tr w:rsidR="00931024" w:rsidRPr="00931024" w:rsidTr="0090564E">
        <w:trPr>
          <w:cantSplit/>
          <w:trHeight w:val="2811"/>
          <w:jc w:val="center"/>
        </w:trPr>
        <w:tc>
          <w:tcPr>
            <w:tcW w:w="753" w:type="pct"/>
            <w:tcBorders>
              <w:top w:val="single" w:sz="12" w:space="0" w:color="auto"/>
              <w:left w:val="single" w:sz="4" w:space="0" w:color="FFFFFF" w:themeColor="background1"/>
              <w:bottom w:val="single" w:sz="12" w:space="0" w:color="auto"/>
            </w:tcBorders>
            <w:vAlign w:val="center"/>
          </w:tcPr>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 xml:space="preserve">Gestão de Custos </w:t>
            </w:r>
            <w:proofErr w:type="spellStart"/>
            <w:r w:rsidRPr="00931024">
              <w:rPr>
                <w:rFonts w:ascii="Times New Roman" w:hAnsi="Times New Roman" w:cs="Times New Roman"/>
                <w:sz w:val="20"/>
                <w:szCs w:val="20"/>
              </w:rPr>
              <w:t>Interorga-nizacionais</w:t>
            </w:r>
            <w:proofErr w:type="spellEnd"/>
            <w:r w:rsidRPr="00931024">
              <w:rPr>
                <w:rFonts w:ascii="Times New Roman" w:hAnsi="Times New Roman" w:cs="Times New Roman"/>
                <w:sz w:val="20"/>
                <w:szCs w:val="20"/>
              </w:rPr>
              <w:t xml:space="preserve"> (GCI)</w:t>
            </w:r>
          </w:p>
          <w:p w:rsidR="00446499" w:rsidRPr="00931024" w:rsidRDefault="00446499" w:rsidP="0090564E">
            <w:pPr>
              <w:pStyle w:val="Default"/>
              <w:spacing w:line="180" w:lineRule="exact"/>
              <w:jc w:val="center"/>
              <w:rPr>
                <w:rFonts w:ascii="Times New Roman" w:hAnsi="Times New Roman" w:cs="Times New Roman"/>
                <w:bCs/>
                <w:color w:val="auto"/>
                <w:sz w:val="20"/>
                <w:szCs w:val="20"/>
              </w:rPr>
            </w:pPr>
          </w:p>
        </w:tc>
        <w:tc>
          <w:tcPr>
            <w:tcW w:w="664" w:type="pct"/>
            <w:tcBorders>
              <w:top w:val="single" w:sz="12" w:space="0" w:color="auto"/>
              <w:bottom w:val="single" w:sz="12" w:space="0" w:color="auto"/>
            </w:tcBorders>
            <w:vAlign w:val="center"/>
          </w:tcPr>
          <w:p w:rsidR="00446499" w:rsidRPr="00931024" w:rsidRDefault="00446499" w:rsidP="0090564E">
            <w:pPr>
              <w:spacing w:line="180" w:lineRule="exact"/>
              <w:jc w:val="center"/>
              <w:rPr>
                <w:rFonts w:ascii="Times New Roman" w:hAnsi="Times New Roman" w:cs="Times New Roman"/>
                <w:bCs/>
                <w:sz w:val="20"/>
                <w:szCs w:val="20"/>
              </w:rPr>
            </w:pPr>
            <w:r w:rsidRPr="00931024">
              <w:rPr>
                <w:rFonts w:ascii="Times New Roman" w:hAnsi="Times New Roman" w:cs="Times New Roman"/>
                <w:sz w:val="20"/>
                <w:szCs w:val="20"/>
              </w:rPr>
              <w:t>0,884</w:t>
            </w:r>
          </w:p>
        </w:tc>
        <w:tc>
          <w:tcPr>
            <w:tcW w:w="483" w:type="pct"/>
            <w:tcBorders>
              <w:top w:val="single" w:sz="12" w:space="0" w:color="auto"/>
              <w:bottom w:val="single" w:sz="12" w:space="0" w:color="auto"/>
            </w:tcBorders>
            <w:vAlign w:val="center"/>
          </w:tcPr>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0,869</w:t>
            </w:r>
          </w:p>
        </w:tc>
        <w:tc>
          <w:tcPr>
            <w:tcW w:w="706" w:type="pct"/>
            <w:tcBorders>
              <w:top w:val="single" w:sz="12" w:space="0" w:color="auto"/>
              <w:bottom w:val="single" w:sz="12" w:space="0" w:color="auto"/>
            </w:tcBorders>
            <w:vAlign w:val="center"/>
          </w:tcPr>
          <w:p w:rsidR="00446499" w:rsidRPr="00931024" w:rsidRDefault="00446499" w:rsidP="0090564E">
            <w:pPr>
              <w:pStyle w:val="Default"/>
              <w:spacing w:line="180" w:lineRule="exact"/>
              <w:jc w:val="center"/>
              <w:rPr>
                <w:rFonts w:ascii="Times New Roman" w:hAnsi="Times New Roman" w:cs="Times New Roman"/>
                <w:color w:val="auto"/>
                <w:sz w:val="20"/>
                <w:szCs w:val="20"/>
              </w:rPr>
            </w:pPr>
            <w:r w:rsidRPr="00931024">
              <w:rPr>
                <w:rFonts w:ascii="Times New Roman" w:hAnsi="Times New Roman" w:cs="Times New Roman"/>
                <w:color w:val="auto"/>
                <w:sz w:val="20"/>
                <w:szCs w:val="20"/>
              </w:rPr>
              <w:t>769,334</w:t>
            </w:r>
          </w:p>
          <w:p w:rsidR="00446499" w:rsidRPr="00931024" w:rsidRDefault="00446499" w:rsidP="0090564E">
            <w:pPr>
              <w:pStyle w:val="Default"/>
              <w:spacing w:line="180" w:lineRule="exact"/>
              <w:jc w:val="center"/>
              <w:rPr>
                <w:rFonts w:ascii="Times New Roman" w:hAnsi="Times New Roman" w:cs="Times New Roman"/>
                <w:bCs/>
                <w:color w:val="auto"/>
                <w:sz w:val="20"/>
                <w:szCs w:val="20"/>
              </w:rPr>
            </w:pPr>
            <w:r w:rsidRPr="00931024">
              <w:rPr>
                <w:rFonts w:ascii="Times New Roman" w:hAnsi="Times New Roman" w:cs="Times New Roman"/>
                <w:color w:val="auto"/>
                <w:sz w:val="20"/>
                <w:szCs w:val="20"/>
              </w:rPr>
              <w:t>(0,000)*</w:t>
            </w:r>
          </w:p>
        </w:tc>
        <w:tc>
          <w:tcPr>
            <w:tcW w:w="686" w:type="pct"/>
            <w:tcBorders>
              <w:top w:val="single" w:sz="12" w:space="0" w:color="auto"/>
              <w:bottom w:val="single" w:sz="12" w:space="0" w:color="auto"/>
            </w:tcBorders>
            <w:vAlign w:val="center"/>
          </w:tcPr>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41,37%</w:t>
            </w:r>
          </w:p>
        </w:tc>
        <w:tc>
          <w:tcPr>
            <w:tcW w:w="459" w:type="pct"/>
            <w:tcBorders>
              <w:top w:val="single" w:sz="12" w:space="0" w:color="auto"/>
              <w:bottom w:val="single" w:sz="12" w:space="0" w:color="auto"/>
            </w:tcBorders>
            <w:vAlign w:val="center"/>
          </w:tcPr>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GCI 1</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GCI 2</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GCI 3</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GCI 4</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GCI 5</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GCI 6</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GCI 7</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GCI 8</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GCI 9</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GCI 10</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GCI 11</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GCI 12</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GCI 13</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GCI 14</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GCI 15</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GCI 16</w:t>
            </w:r>
          </w:p>
        </w:tc>
        <w:tc>
          <w:tcPr>
            <w:tcW w:w="576" w:type="pct"/>
            <w:tcBorders>
              <w:top w:val="single" w:sz="12" w:space="0" w:color="auto"/>
              <w:bottom w:val="single" w:sz="12" w:space="0" w:color="auto"/>
            </w:tcBorders>
            <w:vAlign w:val="center"/>
          </w:tcPr>
          <w:p w:rsidR="00446499" w:rsidRPr="00931024" w:rsidRDefault="00446499" w:rsidP="0090564E">
            <w:pPr>
              <w:pStyle w:val="Default"/>
              <w:spacing w:line="180" w:lineRule="exact"/>
              <w:jc w:val="center"/>
              <w:rPr>
                <w:rFonts w:ascii="Times New Roman" w:hAnsi="Times New Roman" w:cs="Times New Roman"/>
                <w:bCs/>
                <w:color w:val="auto"/>
                <w:sz w:val="20"/>
                <w:szCs w:val="20"/>
              </w:rPr>
            </w:pPr>
            <w:r w:rsidRPr="00931024">
              <w:rPr>
                <w:rFonts w:ascii="Times New Roman" w:hAnsi="Times New Roman" w:cs="Times New Roman"/>
                <w:bCs/>
                <w:color w:val="auto"/>
                <w:sz w:val="20"/>
                <w:szCs w:val="20"/>
              </w:rPr>
              <w:t>0, 603</w:t>
            </w:r>
          </w:p>
          <w:p w:rsidR="00446499" w:rsidRPr="00931024" w:rsidRDefault="00446499" w:rsidP="0090564E">
            <w:pPr>
              <w:pStyle w:val="Default"/>
              <w:spacing w:line="180" w:lineRule="exact"/>
              <w:jc w:val="center"/>
              <w:rPr>
                <w:rFonts w:ascii="Times New Roman" w:hAnsi="Times New Roman" w:cs="Times New Roman"/>
                <w:bCs/>
                <w:color w:val="auto"/>
                <w:sz w:val="20"/>
                <w:szCs w:val="20"/>
              </w:rPr>
            </w:pPr>
            <w:r w:rsidRPr="00931024">
              <w:rPr>
                <w:rFonts w:ascii="Times New Roman" w:hAnsi="Times New Roman" w:cs="Times New Roman"/>
                <w:bCs/>
                <w:color w:val="auto"/>
                <w:sz w:val="20"/>
                <w:szCs w:val="20"/>
              </w:rPr>
              <w:t>0,597</w:t>
            </w:r>
          </w:p>
          <w:p w:rsidR="00446499" w:rsidRPr="00931024" w:rsidRDefault="00446499" w:rsidP="0090564E">
            <w:pPr>
              <w:pStyle w:val="Default"/>
              <w:spacing w:line="180" w:lineRule="exact"/>
              <w:jc w:val="center"/>
              <w:rPr>
                <w:rFonts w:ascii="Times New Roman" w:hAnsi="Times New Roman" w:cs="Times New Roman"/>
                <w:bCs/>
                <w:color w:val="auto"/>
                <w:sz w:val="20"/>
                <w:szCs w:val="20"/>
              </w:rPr>
            </w:pPr>
            <w:r w:rsidRPr="00931024">
              <w:rPr>
                <w:rFonts w:ascii="Times New Roman" w:hAnsi="Times New Roman" w:cs="Times New Roman"/>
                <w:bCs/>
                <w:color w:val="auto"/>
                <w:sz w:val="20"/>
                <w:szCs w:val="20"/>
              </w:rPr>
              <w:t>0,579</w:t>
            </w:r>
          </w:p>
          <w:p w:rsidR="00446499" w:rsidRPr="00931024" w:rsidRDefault="00446499" w:rsidP="0090564E">
            <w:pPr>
              <w:pStyle w:val="Default"/>
              <w:spacing w:line="180" w:lineRule="exact"/>
              <w:jc w:val="center"/>
              <w:rPr>
                <w:rFonts w:ascii="Times New Roman" w:hAnsi="Times New Roman" w:cs="Times New Roman"/>
                <w:bCs/>
                <w:color w:val="auto"/>
                <w:sz w:val="20"/>
                <w:szCs w:val="20"/>
              </w:rPr>
            </w:pPr>
            <w:r w:rsidRPr="00931024">
              <w:rPr>
                <w:rFonts w:ascii="Times New Roman" w:hAnsi="Times New Roman" w:cs="Times New Roman"/>
                <w:bCs/>
                <w:color w:val="auto"/>
                <w:sz w:val="20"/>
                <w:szCs w:val="20"/>
              </w:rPr>
              <w:t>0,790</w:t>
            </w:r>
          </w:p>
          <w:p w:rsidR="00446499" w:rsidRPr="00931024" w:rsidRDefault="00446499" w:rsidP="0090564E">
            <w:pPr>
              <w:pStyle w:val="Default"/>
              <w:spacing w:line="180" w:lineRule="exact"/>
              <w:jc w:val="center"/>
              <w:rPr>
                <w:rFonts w:ascii="Times New Roman" w:hAnsi="Times New Roman" w:cs="Times New Roman"/>
                <w:bCs/>
                <w:color w:val="auto"/>
                <w:sz w:val="20"/>
                <w:szCs w:val="20"/>
              </w:rPr>
            </w:pPr>
            <w:r w:rsidRPr="00931024">
              <w:rPr>
                <w:rFonts w:ascii="Times New Roman" w:hAnsi="Times New Roman" w:cs="Times New Roman"/>
                <w:bCs/>
                <w:color w:val="auto"/>
                <w:sz w:val="20"/>
                <w:szCs w:val="20"/>
              </w:rPr>
              <w:t>0,493</w:t>
            </w:r>
          </w:p>
          <w:p w:rsidR="00446499" w:rsidRPr="00931024" w:rsidRDefault="00446499" w:rsidP="0090564E">
            <w:pPr>
              <w:pStyle w:val="Default"/>
              <w:spacing w:line="180" w:lineRule="exact"/>
              <w:jc w:val="center"/>
              <w:rPr>
                <w:rFonts w:ascii="Times New Roman" w:hAnsi="Times New Roman" w:cs="Times New Roman"/>
                <w:bCs/>
                <w:color w:val="auto"/>
                <w:sz w:val="20"/>
                <w:szCs w:val="20"/>
              </w:rPr>
            </w:pPr>
            <w:r w:rsidRPr="00931024">
              <w:rPr>
                <w:rFonts w:ascii="Times New Roman" w:hAnsi="Times New Roman" w:cs="Times New Roman"/>
                <w:bCs/>
                <w:color w:val="auto"/>
                <w:sz w:val="20"/>
                <w:szCs w:val="20"/>
              </w:rPr>
              <w:t>0,471</w:t>
            </w:r>
          </w:p>
          <w:p w:rsidR="00446499" w:rsidRPr="00931024" w:rsidRDefault="00446499" w:rsidP="0090564E">
            <w:pPr>
              <w:pStyle w:val="Default"/>
              <w:spacing w:line="180" w:lineRule="exact"/>
              <w:jc w:val="center"/>
              <w:rPr>
                <w:rFonts w:ascii="Times New Roman" w:hAnsi="Times New Roman" w:cs="Times New Roman"/>
                <w:bCs/>
                <w:color w:val="auto"/>
                <w:sz w:val="20"/>
                <w:szCs w:val="20"/>
              </w:rPr>
            </w:pPr>
            <w:r w:rsidRPr="00931024">
              <w:rPr>
                <w:rFonts w:ascii="Times New Roman" w:hAnsi="Times New Roman" w:cs="Times New Roman"/>
                <w:bCs/>
                <w:color w:val="auto"/>
                <w:sz w:val="20"/>
                <w:szCs w:val="20"/>
              </w:rPr>
              <w:t>0,692</w:t>
            </w:r>
          </w:p>
          <w:p w:rsidR="00446499" w:rsidRPr="00931024" w:rsidRDefault="00446499" w:rsidP="0090564E">
            <w:pPr>
              <w:pStyle w:val="Default"/>
              <w:spacing w:line="180" w:lineRule="exact"/>
              <w:jc w:val="center"/>
              <w:rPr>
                <w:rFonts w:ascii="Times New Roman" w:hAnsi="Times New Roman" w:cs="Times New Roman"/>
                <w:bCs/>
                <w:color w:val="auto"/>
                <w:sz w:val="20"/>
                <w:szCs w:val="20"/>
              </w:rPr>
            </w:pPr>
            <w:r w:rsidRPr="00931024">
              <w:rPr>
                <w:rFonts w:ascii="Times New Roman" w:hAnsi="Times New Roman" w:cs="Times New Roman"/>
                <w:bCs/>
                <w:color w:val="auto"/>
                <w:sz w:val="20"/>
                <w:szCs w:val="20"/>
              </w:rPr>
              <w:t>0,683</w:t>
            </w:r>
          </w:p>
          <w:p w:rsidR="00446499" w:rsidRPr="00931024" w:rsidRDefault="00446499" w:rsidP="0090564E">
            <w:pPr>
              <w:pStyle w:val="Default"/>
              <w:spacing w:line="180" w:lineRule="exact"/>
              <w:jc w:val="center"/>
              <w:rPr>
                <w:rFonts w:ascii="Times New Roman" w:hAnsi="Times New Roman" w:cs="Times New Roman"/>
                <w:bCs/>
                <w:color w:val="auto"/>
                <w:sz w:val="20"/>
                <w:szCs w:val="20"/>
              </w:rPr>
            </w:pPr>
            <w:r w:rsidRPr="00931024">
              <w:rPr>
                <w:rFonts w:ascii="Times New Roman" w:hAnsi="Times New Roman" w:cs="Times New Roman"/>
                <w:bCs/>
                <w:color w:val="auto"/>
                <w:sz w:val="20"/>
                <w:szCs w:val="20"/>
              </w:rPr>
              <w:t>0,652</w:t>
            </w:r>
          </w:p>
          <w:p w:rsidR="00446499" w:rsidRPr="00931024" w:rsidRDefault="00446499" w:rsidP="0090564E">
            <w:pPr>
              <w:pStyle w:val="Default"/>
              <w:spacing w:line="180" w:lineRule="exact"/>
              <w:jc w:val="center"/>
              <w:rPr>
                <w:rFonts w:ascii="Times New Roman" w:hAnsi="Times New Roman" w:cs="Times New Roman"/>
                <w:bCs/>
                <w:color w:val="auto"/>
                <w:sz w:val="20"/>
                <w:szCs w:val="20"/>
              </w:rPr>
            </w:pPr>
            <w:r w:rsidRPr="00931024">
              <w:rPr>
                <w:rFonts w:ascii="Times New Roman" w:hAnsi="Times New Roman" w:cs="Times New Roman"/>
                <w:bCs/>
                <w:color w:val="auto"/>
                <w:sz w:val="20"/>
                <w:szCs w:val="20"/>
              </w:rPr>
              <w:t>0,635</w:t>
            </w:r>
          </w:p>
          <w:p w:rsidR="00446499" w:rsidRPr="00931024" w:rsidRDefault="00446499" w:rsidP="0090564E">
            <w:pPr>
              <w:pStyle w:val="Default"/>
              <w:spacing w:line="180" w:lineRule="exact"/>
              <w:jc w:val="center"/>
              <w:rPr>
                <w:rFonts w:ascii="Times New Roman" w:hAnsi="Times New Roman" w:cs="Times New Roman"/>
                <w:bCs/>
                <w:color w:val="auto"/>
                <w:sz w:val="20"/>
                <w:szCs w:val="20"/>
              </w:rPr>
            </w:pPr>
            <w:r w:rsidRPr="00931024">
              <w:rPr>
                <w:rFonts w:ascii="Times New Roman" w:hAnsi="Times New Roman" w:cs="Times New Roman"/>
                <w:bCs/>
                <w:color w:val="auto"/>
                <w:sz w:val="20"/>
                <w:szCs w:val="20"/>
              </w:rPr>
              <w:t>0,725</w:t>
            </w:r>
          </w:p>
          <w:p w:rsidR="00446499" w:rsidRPr="00931024" w:rsidRDefault="00446499" w:rsidP="0090564E">
            <w:pPr>
              <w:pStyle w:val="Default"/>
              <w:spacing w:line="180" w:lineRule="exact"/>
              <w:jc w:val="center"/>
              <w:rPr>
                <w:rFonts w:ascii="Times New Roman" w:hAnsi="Times New Roman" w:cs="Times New Roman"/>
                <w:bCs/>
                <w:color w:val="auto"/>
                <w:sz w:val="20"/>
                <w:szCs w:val="20"/>
              </w:rPr>
            </w:pPr>
            <w:r w:rsidRPr="00931024">
              <w:rPr>
                <w:rFonts w:ascii="Times New Roman" w:hAnsi="Times New Roman" w:cs="Times New Roman"/>
                <w:bCs/>
                <w:color w:val="auto"/>
                <w:sz w:val="20"/>
                <w:szCs w:val="20"/>
              </w:rPr>
              <w:t>0,637</w:t>
            </w:r>
          </w:p>
          <w:p w:rsidR="00446499" w:rsidRPr="00931024" w:rsidRDefault="00446499" w:rsidP="0090564E">
            <w:pPr>
              <w:pStyle w:val="Default"/>
              <w:spacing w:line="180" w:lineRule="exact"/>
              <w:jc w:val="center"/>
              <w:rPr>
                <w:rFonts w:ascii="Times New Roman" w:hAnsi="Times New Roman" w:cs="Times New Roman"/>
                <w:bCs/>
                <w:color w:val="auto"/>
                <w:sz w:val="20"/>
                <w:szCs w:val="20"/>
              </w:rPr>
            </w:pPr>
            <w:r w:rsidRPr="00931024">
              <w:rPr>
                <w:rFonts w:ascii="Times New Roman" w:hAnsi="Times New Roman" w:cs="Times New Roman"/>
                <w:bCs/>
                <w:color w:val="auto"/>
                <w:sz w:val="20"/>
                <w:szCs w:val="20"/>
              </w:rPr>
              <w:t>0,303</w:t>
            </w:r>
          </w:p>
          <w:p w:rsidR="00446499" w:rsidRPr="00931024" w:rsidRDefault="00446499" w:rsidP="0090564E">
            <w:pPr>
              <w:pStyle w:val="Default"/>
              <w:spacing w:line="180" w:lineRule="exact"/>
              <w:jc w:val="center"/>
              <w:rPr>
                <w:rFonts w:ascii="Times New Roman" w:hAnsi="Times New Roman" w:cs="Times New Roman"/>
                <w:bCs/>
                <w:color w:val="auto"/>
                <w:sz w:val="20"/>
                <w:szCs w:val="20"/>
              </w:rPr>
            </w:pPr>
            <w:r w:rsidRPr="00931024">
              <w:rPr>
                <w:rFonts w:ascii="Times New Roman" w:hAnsi="Times New Roman" w:cs="Times New Roman"/>
                <w:bCs/>
                <w:color w:val="auto"/>
                <w:sz w:val="20"/>
                <w:szCs w:val="20"/>
              </w:rPr>
              <w:t>0,754</w:t>
            </w:r>
          </w:p>
          <w:p w:rsidR="00446499" w:rsidRPr="00931024" w:rsidRDefault="00446499" w:rsidP="0090564E">
            <w:pPr>
              <w:pStyle w:val="Default"/>
              <w:spacing w:line="180" w:lineRule="exact"/>
              <w:jc w:val="center"/>
              <w:rPr>
                <w:rFonts w:ascii="Times New Roman" w:hAnsi="Times New Roman" w:cs="Times New Roman"/>
                <w:bCs/>
                <w:color w:val="auto"/>
                <w:sz w:val="20"/>
                <w:szCs w:val="20"/>
              </w:rPr>
            </w:pPr>
            <w:r w:rsidRPr="00931024">
              <w:rPr>
                <w:rFonts w:ascii="Times New Roman" w:hAnsi="Times New Roman" w:cs="Times New Roman"/>
                <w:bCs/>
                <w:color w:val="auto"/>
                <w:sz w:val="20"/>
                <w:szCs w:val="20"/>
              </w:rPr>
              <w:t>0,696</w:t>
            </w:r>
          </w:p>
          <w:p w:rsidR="00446499" w:rsidRPr="00931024" w:rsidRDefault="00446499" w:rsidP="0090564E">
            <w:pPr>
              <w:pStyle w:val="Default"/>
              <w:spacing w:line="180" w:lineRule="exact"/>
              <w:jc w:val="center"/>
              <w:rPr>
                <w:rFonts w:ascii="Times New Roman" w:hAnsi="Times New Roman" w:cs="Times New Roman"/>
                <w:bCs/>
                <w:color w:val="auto"/>
                <w:sz w:val="20"/>
                <w:szCs w:val="20"/>
              </w:rPr>
            </w:pPr>
            <w:r w:rsidRPr="00931024">
              <w:rPr>
                <w:rFonts w:ascii="Times New Roman" w:hAnsi="Times New Roman" w:cs="Times New Roman"/>
                <w:bCs/>
                <w:color w:val="auto"/>
                <w:sz w:val="20"/>
                <w:szCs w:val="20"/>
              </w:rPr>
              <w:t>0,789</w:t>
            </w:r>
          </w:p>
        </w:tc>
        <w:tc>
          <w:tcPr>
            <w:tcW w:w="673" w:type="pct"/>
            <w:tcBorders>
              <w:top w:val="single" w:sz="12" w:space="0" w:color="auto"/>
              <w:bottom w:val="single" w:sz="12" w:space="0" w:color="auto"/>
              <w:right w:val="single" w:sz="4" w:space="0" w:color="FFFFFF" w:themeColor="background1"/>
            </w:tcBorders>
            <w:vAlign w:val="center"/>
          </w:tcPr>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0,603</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0,597</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0,579</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0,790</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0,493</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0,471</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0,692</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0,683</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0,652</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0,635</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0,725</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0,637</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0,303</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0,754</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0,696</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0,789</w:t>
            </w:r>
          </w:p>
        </w:tc>
      </w:tr>
      <w:tr w:rsidR="00931024" w:rsidRPr="00931024" w:rsidTr="0090564E">
        <w:trPr>
          <w:cantSplit/>
          <w:trHeight w:val="2029"/>
          <w:jc w:val="center"/>
        </w:trPr>
        <w:tc>
          <w:tcPr>
            <w:tcW w:w="753" w:type="pct"/>
            <w:tcBorders>
              <w:top w:val="single" w:sz="12" w:space="0" w:color="auto"/>
              <w:left w:val="single" w:sz="4" w:space="0" w:color="FFFFFF" w:themeColor="background1"/>
              <w:bottom w:val="single" w:sz="12" w:space="0" w:color="auto"/>
            </w:tcBorders>
            <w:vAlign w:val="center"/>
          </w:tcPr>
          <w:p w:rsidR="00446499" w:rsidRPr="00931024" w:rsidRDefault="00446499" w:rsidP="0090564E">
            <w:pPr>
              <w:spacing w:line="180" w:lineRule="exact"/>
              <w:jc w:val="center"/>
              <w:rPr>
                <w:rFonts w:ascii="Times New Roman" w:hAnsi="Times New Roman" w:cs="Times New Roman"/>
                <w:b/>
                <w:bCs/>
                <w:sz w:val="20"/>
                <w:szCs w:val="20"/>
              </w:rPr>
            </w:pPr>
            <w:r w:rsidRPr="00931024">
              <w:rPr>
                <w:rFonts w:ascii="Times New Roman" w:hAnsi="Times New Roman" w:cs="Times New Roman"/>
                <w:sz w:val="20"/>
                <w:szCs w:val="20"/>
              </w:rPr>
              <w:t xml:space="preserve">Gestão de Custos </w:t>
            </w:r>
            <w:proofErr w:type="spellStart"/>
            <w:r w:rsidRPr="00931024">
              <w:rPr>
                <w:rFonts w:ascii="Times New Roman" w:hAnsi="Times New Roman" w:cs="Times New Roman"/>
                <w:sz w:val="20"/>
                <w:szCs w:val="20"/>
              </w:rPr>
              <w:t>Interorga-nizacionais</w:t>
            </w:r>
            <w:proofErr w:type="spellEnd"/>
            <w:r w:rsidRPr="00931024">
              <w:rPr>
                <w:rFonts w:ascii="Times New Roman" w:hAnsi="Times New Roman" w:cs="Times New Roman"/>
                <w:sz w:val="20"/>
                <w:szCs w:val="20"/>
              </w:rPr>
              <w:t xml:space="preserve"> (GCI)</w:t>
            </w:r>
          </w:p>
        </w:tc>
        <w:tc>
          <w:tcPr>
            <w:tcW w:w="664" w:type="pct"/>
            <w:tcBorders>
              <w:top w:val="single" w:sz="12" w:space="0" w:color="auto"/>
              <w:bottom w:val="single" w:sz="12" w:space="0" w:color="auto"/>
            </w:tcBorders>
            <w:vAlign w:val="center"/>
          </w:tcPr>
          <w:p w:rsidR="00446499" w:rsidRPr="00931024" w:rsidRDefault="00446499" w:rsidP="0090564E">
            <w:pPr>
              <w:spacing w:line="180" w:lineRule="exact"/>
              <w:jc w:val="center"/>
              <w:rPr>
                <w:rFonts w:ascii="Times New Roman" w:hAnsi="Times New Roman" w:cs="Times New Roman"/>
                <w:b/>
                <w:bCs/>
                <w:sz w:val="20"/>
                <w:szCs w:val="20"/>
              </w:rPr>
            </w:pPr>
            <w:r w:rsidRPr="00931024">
              <w:rPr>
                <w:rFonts w:ascii="Times New Roman" w:hAnsi="Times New Roman" w:cs="Times New Roman"/>
                <w:sz w:val="20"/>
                <w:szCs w:val="20"/>
              </w:rPr>
              <w:t>0,905</w:t>
            </w:r>
          </w:p>
        </w:tc>
        <w:tc>
          <w:tcPr>
            <w:tcW w:w="483" w:type="pct"/>
            <w:tcBorders>
              <w:top w:val="single" w:sz="12" w:space="0" w:color="auto"/>
              <w:bottom w:val="single" w:sz="12" w:space="0" w:color="auto"/>
            </w:tcBorders>
            <w:vAlign w:val="center"/>
          </w:tcPr>
          <w:p w:rsidR="00446499" w:rsidRPr="00931024" w:rsidRDefault="00446499" w:rsidP="0090564E">
            <w:pPr>
              <w:spacing w:line="180" w:lineRule="exact"/>
              <w:jc w:val="center"/>
              <w:rPr>
                <w:rFonts w:ascii="Times New Roman" w:hAnsi="Times New Roman" w:cs="Times New Roman"/>
                <w:b/>
                <w:sz w:val="20"/>
                <w:szCs w:val="20"/>
              </w:rPr>
            </w:pPr>
            <w:r w:rsidRPr="00931024">
              <w:rPr>
                <w:rFonts w:ascii="Times New Roman" w:hAnsi="Times New Roman" w:cs="Times New Roman"/>
                <w:sz w:val="20"/>
                <w:szCs w:val="20"/>
              </w:rPr>
              <w:t>0,870</w:t>
            </w:r>
          </w:p>
        </w:tc>
        <w:tc>
          <w:tcPr>
            <w:tcW w:w="706" w:type="pct"/>
            <w:tcBorders>
              <w:top w:val="single" w:sz="12" w:space="0" w:color="auto"/>
              <w:bottom w:val="single" w:sz="12" w:space="0" w:color="auto"/>
            </w:tcBorders>
            <w:vAlign w:val="center"/>
          </w:tcPr>
          <w:p w:rsidR="00446499" w:rsidRPr="00931024" w:rsidRDefault="00446499" w:rsidP="0090564E">
            <w:pPr>
              <w:pStyle w:val="Default"/>
              <w:spacing w:line="180" w:lineRule="exact"/>
              <w:jc w:val="center"/>
              <w:rPr>
                <w:rFonts w:ascii="Times New Roman" w:hAnsi="Times New Roman" w:cs="Times New Roman"/>
                <w:color w:val="auto"/>
                <w:sz w:val="20"/>
                <w:szCs w:val="20"/>
              </w:rPr>
            </w:pPr>
            <w:r w:rsidRPr="00931024">
              <w:rPr>
                <w:rFonts w:ascii="Times New Roman" w:hAnsi="Times New Roman" w:cs="Times New Roman"/>
                <w:color w:val="auto"/>
                <w:sz w:val="20"/>
                <w:szCs w:val="20"/>
              </w:rPr>
              <w:t>673,61</w:t>
            </w:r>
          </w:p>
          <w:p w:rsidR="00446499" w:rsidRPr="00931024" w:rsidRDefault="00446499" w:rsidP="0090564E">
            <w:pPr>
              <w:pStyle w:val="Default"/>
              <w:spacing w:line="180" w:lineRule="exact"/>
              <w:jc w:val="center"/>
              <w:rPr>
                <w:rFonts w:ascii="Times New Roman" w:hAnsi="Times New Roman" w:cs="Times New Roman"/>
                <w:b/>
                <w:bCs/>
                <w:color w:val="auto"/>
                <w:sz w:val="20"/>
                <w:szCs w:val="20"/>
              </w:rPr>
            </w:pPr>
            <w:r w:rsidRPr="00931024">
              <w:rPr>
                <w:rFonts w:ascii="Times New Roman" w:hAnsi="Times New Roman" w:cs="Times New Roman"/>
                <w:color w:val="auto"/>
                <w:sz w:val="20"/>
                <w:szCs w:val="20"/>
              </w:rPr>
              <w:t>(0,000)*</w:t>
            </w:r>
          </w:p>
        </w:tc>
        <w:tc>
          <w:tcPr>
            <w:tcW w:w="686" w:type="pct"/>
            <w:tcBorders>
              <w:top w:val="single" w:sz="12" w:space="0" w:color="auto"/>
              <w:bottom w:val="single" w:sz="12" w:space="0" w:color="auto"/>
            </w:tcBorders>
            <w:vAlign w:val="center"/>
          </w:tcPr>
          <w:p w:rsidR="00446499" w:rsidRPr="00931024" w:rsidRDefault="00446499" w:rsidP="0090564E">
            <w:pPr>
              <w:spacing w:line="180" w:lineRule="exact"/>
              <w:jc w:val="center"/>
              <w:rPr>
                <w:rFonts w:ascii="Times New Roman" w:hAnsi="Times New Roman" w:cs="Times New Roman"/>
                <w:b/>
                <w:sz w:val="20"/>
                <w:szCs w:val="20"/>
              </w:rPr>
            </w:pPr>
            <w:r w:rsidRPr="00931024">
              <w:rPr>
                <w:rFonts w:ascii="Times New Roman" w:hAnsi="Times New Roman" w:cs="Times New Roman"/>
                <w:sz w:val="20"/>
                <w:szCs w:val="20"/>
              </w:rPr>
              <w:t>47,15%</w:t>
            </w:r>
          </w:p>
        </w:tc>
        <w:tc>
          <w:tcPr>
            <w:tcW w:w="459" w:type="pct"/>
            <w:tcBorders>
              <w:top w:val="single" w:sz="12" w:space="0" w:color="auto"/>
              <w:bottom w:val="single" w:sz="12" w:space="0" w:color="auto"/>
            </w:tcBorders>
            <w:vAlign w:val="center"/>
          </w:tcPr>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GCI 1</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GCI 2</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GCI 3</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GCI 4</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GCI 7</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GCI 8</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GCI 9</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GCI 10</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GCI 11</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GCI 12</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GCI 14</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GCI 15</w:t>
            </w:r>
          </w:p>
          <w:p w:rsidR="00446499" w:rsidRPr="00931024" w:rsidRDefault="00446499" w:rsidP="0090564E">
            <w:pPr>
              <w:spacing w:line="180" w:lineRule="exact"/>
              <w:jc w:val="center"/>
              <w:rPr>
                <w:rFonts w:ascii="Times New Roman" w:hAnsi="Times New Roman" w:cs="Times New Roman"/>
                <w:b/>
                <w:sz w:val="20"/>
                <w:szCs w:val="20"/>
              </w:rPr>
            </w:pPr>
            <w:r w:rsidRPr="00931024">
              <w:rPr>
                <w:rFonts w:ascii="Times New Roman" w:hAnsi="Times New Roman" w:cs="Times New Roman"/>
                <w:sz w:val="20"/>
                <w:szCs w:val="20"/>
              </w:rPr>
              <w:t>GCI 16</w:t>
            </w:r>
          </w:p>
        </w:tc>
        <w:tc>
          <w:tcPr>
            <w:tcW w:w="576" w:type="pct"/>
            <w:tcBorders>
              <w:top w:val="single" w:sz="12" w:space="0" w:color="auto"/>
              <w:bottom w:val="single" w:sz="12" w:space="0" w:color="auto"/>
            </w:tcBorders>
            <w:vAlign w:val="center"/>
          </w:tcPr>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0,604</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0,613</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0,587</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0,778</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0,704</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0,701</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0,651</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0,613</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0,733</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0,640</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0,749</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0,707</w:t>
            </w:r>
          </w:p>
          <w:p w:rsidR="00446499" w:rsidRPr="00931024" w:rsidRDefault="00446499" w:rsidP="0090564E">
            <w:pPr>
              <w:pStyle w:val="Default"/>
              <w:spacing w:line="180" w:lineRule="exact"/>
              <w:jc w:val="center"/>
              <w:rPr>
                <w:rFonts w:ascii="Times New Roman" w:hAnsi="Times New Roman" w:cs="Times New Roman"/>
                <w:b/>
                <w:bCs/>
                <w:color w:val="auto"/>
                <w:sz w:val="20"/>
                <w:szCs w:val="20"/>
              </w:rPr>
            </w:pPr>
            <w:r w:rsidRPr="00931024">
              <w:rPr>
                <w:rFonts w:ascii="Times New Roman" w:hAnsi="Times New Roman" w:cs="Times New Roman"/>
                <w:color w:val="auto"/>
                <w:sz w:val="20"/>
                <w:szCs w:val="20"/>
              </w:rPr>
              <w:t>0,804</w:t>
            </w:r>
          </w:p>
        </w:tc>
        <w:tc>
          <w:tcPr>
            <w:tcW w:w="673" w:type="pct"/>
            <w:tcBorders>
              <w:top w:val="single" w:sz="12" w:space="0" w:color="auto"/>
              <w:bottom w:val="single" w:sz="12" w:space="0" w:color="auto"/>
              <w:right w:val="single" w:sz="4" w:space="0" w:color="FFFFFF" w:themeColor="background1"/>
            </w:tcBorders>
            <w:vAlign w:val="center"/>
          </w:tcPr>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0,364</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0,376</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0,344</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0,605</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0,496</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0,491</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0,424</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0,375</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0,537</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0,410</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0,561</w:t>
            </w:r>
          </w:p>
          <w:p w:rsidR="00446499" w:rsidRPr="00931024" w:rsidRDefault="00446499" w:rsidP="0090564E">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0,500</w:t>
            </w:r>
          </w:p>
          <w:p w:rsidR="00446499" w:rsidRPr="00931024" w:rsidRDefault="00446499" w:rsidP="0090564E">
            <w:pPr>
              <w:spacing w:line="180" w:lineRule="exact"/>
              <w:jc w:val="center"/>
              <w:rPr>
                <w:rFonts w:ascii="Times New Roman" w:hAnsi="Times New Roman" w:cs="Times New Roman"/>
                <w:b/>
                <w:sz w:val="20"/>
                <w:szCs w:val="20"/>
              </w:rPr>
            </w:pPr>
            <w:r w:rsidRPr="00931024">
              <w:rPr>
                <w:rFonts w:ascii="Times New Roman" w:hAnsi="Times New Roman" w:cs="Times New Roman"/>
                <w:sz w:val="20"/>
                <w:szCs w:val="20"/>
              </w:rPr>
              <w:t>0,646</w:t>
            </w:r>
          </w:p>
        </w:tc>
      </w:tr>
    </w:tbl>
    <w:p w:rsidR="00446499" w:rsidRPr="00931024" w:rsidRDefault="00E57C90" w:rsidP="00E57C90">
      <w:r w:rsidRPr="00931024">
        <w:rPr>
          <w:sz w:val="20"/>
          <w:szCs w:val="20"/>
        </w:rPr>
        <w:t xml:space="preserve">Fonte: dados da pesquisa. </w:t>
      </w:r>
      <w:r w:rsidR="00446499" w:rsidRPr="00931024">
        <w:rPr>
          <w:sz w:val="20"/>
          <w:szCs w:val="20"/>
        </w:rPr>
        <w:t xml:space="preserve">Comunal. = </w:t>
      </w:r>
      <w:proofErr w:type="spellStart"/>
      <w:r w:rsidR="00446499" w:rsidRPr="00931024">
        <w:rPr>
          <w:sz w:val="20"/>
          <w:szCs w:val="20"/>
        </w:rPr>
        <w:t>Comunalidades</w:t>
      </w:r>
      <w:proofErr w:type="spellEnd"/>
      <w:r w:rsidR="00446499" w:rsidRPr="00931024">
        <w:rPr>
          <w:sz w:val="20"/>
          <w:szCs w:val="20"/>
        </w:rPr>
        <w:t>; Var = Variáveis</w:t>
      </w:r>
      <w:r w:rsidRPr="00931024">
        <w:rPr>
          <w:sz w:val="20"/>
          <w:szCs w:val="20"/>
        </w:rPr>
        <w:t xml:space="preserve"> </w:t>
      </w:r>
      <w:r w:rsidR="00446499" w:rsidRPr="00931024">
        <w:rPr>
          <w:sz w:val="20"/>
          <w:szCs w:val="20"/>
        </w:rPr>
        <w:t>*</w:t>
      </w:r>
      <w:proofErr w:type="spellStart"/>
      <w:r w:rsidR="00446499" w:rsidRPr="00931024">
        <w:rPr>
          <w:sz w:val="20"/>
          <w:szCs w:val="20"/>
        </w:rPr>
        <w:t>Sig</w:t>
      </w:r>
      <w:proofErr w:type="spellEnd"/>
      <w:r w:rsidR="00446499" w:rsidRPr="00931024">
        <w:rPr>
          <w:sz w:val="20"/>
          <w:szCs w:val="20"/>
        </w:rPr>
        <w:t>. A nível de 1%.</w:t>
      </w:r>
    </w:p>
    <w:p w:rsidR="00446499" w:rsidRPr="00931024" w:rsidRDefault="00446499" w:rsidP="00446499">
      <w:pPr>
        <w:ind w:firstLine="709"/>
      </w:pPr>
    </w:p>
    <w:p w:rsidR="00446499" w:rsidRPr="00931024" w:rsidRDefault="00446499" w:rsidP="00446499">
      <w:pPr>
        <w:ind w:firstLine="709"/>
      </w:pPr>
      <w:r w:rsidRPr="00931024">
        <w:t>Como pode-se verificar a partir dos res</w:t>
      </w:r>
      <w:r w:rsidR="00FD73FC" w:rsidRPr="00931024">
        <w:t>ultados apresentados na Tabela 4</w:t>
      </w:r>
      <w:r w:rsidRPr="00931024">
        <w:t>, o constructo de gestão de custos interorganizacionais é originalmente formado por 16 questões. No entanto, três indicadores foram excluídos do constructo (GCI_05 processos de melhoria para controle dos custos interorganizacionais; GCI_</w:t>
      </w:r>
      <w:proofErr w:type="gramStart"/>
      <w:r w:rsidRPr="00931024">
        <w:t>06 utilização</w:t>
      </w:r>
      <w:proofErr w:type="gramEnd"/>
      <w:r w:rsidRPr="00931024">
        <w:t xml:space="preserve"> do custeio alvo na cadeia de suprimentos; GCI_13 troca de funcionários entre as empresas parceiras), por não alcançarem cargas fatoriais mínimas desejadas.</w:t>
      </w:r>
    </w:p>
    <w:p w:rsidR="003B0381" w:rsidRPr="00931024" w:rsidRDefault="00C07132" w:rsidP="003B0381">
      <w:pPr>
        <w:ind w:firstLine="709"/>
      </w:pPr>
      <w:r w:rsidRPr="00931024">
        <w:t>Realizada a análise das relações existentes entre os constructos observados nesta pesquisa, a seguir procedeu-se a análise dos efeitos direto e combinado dos recursos sobre a adoção de práticas de gestão de custos interorganizacionais. Tais análises são realizadas aplicando-se o método de análise de trajetórias, a qual passa a ser apresentada a seguir.</w:t>
      </w:r>
    </w:p>
    <w:p w:rsidR="003B0381" w:rsidRPr="00931024" w:rsidRDefault="00ED573D" w:rsidP="003B0381">
      <w:pPr>
        <w:ind w:firstLine="709"/>
      </w:pPr>
      <w:r w:rsidRPr="00931024">
        <w:t>A Tabela 5</w:t>
      </w:r>
      <w:r w:rsidR="003B0381" w:rsidRPr="00931024">
        <w:t xml:space="preserve"> evidencia os resultados dos testes realizados para estabelecer a validade e confiabilidade dos dados obtidos no constructo sistemas externos integrados eletronicamente.</w:t>
      </w:r>
    </w:p>
    <w:p w:rsidR="003B0381" w:rsidRPr="00931024" w:rsidRDefault="003B0381" w:rsidP="003B0381">
      <w:pPr>
        <w:spacing w:line="360" w:lineRule="auto"/>
      </w:pPr>
    </w:p>
    <w:p w:rsidR="00B81B78" w:rsidRPr="00931024" w:rsidRDefault="00B81B78" w:rsidP="00B81B78">
      <w:pPr>
        <w:pStyle w:val="Legenda"/>
        <w:keepNext/>
        <w:spacing w:after="0"/>
        <w:ind w:firstLine="0"/>
        <w:rPr>
          <w:rFonts w:cs="Times New Roman"/>
          <w:b/>
          <w:i w:val="0"/>
          <w:color w:val="auto"/>
          <w:sz w:val="20"/>
          <w:szCs w:val="20"/>
        </w:rPr>
      </w:pPr>
      <w:r w:rsidRPr="00931024">
        <w:rPr>
          <w:rFonts w:cs="Times New Roman"/>
          <w:b/>
          <w:i w:val="0"/>
          <w:color w:val="auto"/>
          <w:sz w:val="20"/>
          <w:szCs w:val="20"/>
        </w:rPr>
        <w:t xml:space="preserve">Tabela </w:t>
      </w:r>
      <w:r w:rsidRPr="00931024">
        <w:rPr>
          <w:rFonts w:cs="Times New Roman"/>
          <w:b/>
          <w:i w:val="0"/>
          <w:color w:val="auto"/>
          <w:sz w:val="20"/>
          <w:szCs w:val="20"/>
        </w:rPr>
        <w:fldChar w:fldCharType="begin"/>
      </w:r>
      <w:r w:rsidRPr="00931024">
        <w:rPr>
          <w:rFonts w:cs="Times New Roman"/>
          <w:b/>
          <w:i w:val="0"/>
          <w:color w:val="auto"/>
          <w:sz w:val="20"/>
          <w:szCs w:val="20"/>
        </w:rPr>
        <w:instrText xml:space="preserve"> SEQ Tabela \* ARABIC </w:instrText>
      </w:r>
      <w:r w:rsidRPr="00931024">
        <w:rPr>
          <w:rFonts w:cs="Times New Roman"/>
          <w:b/>
          <w:i w:val="0"/>
          <w:color w:val="auto"/>
          <w:sz w:val="20"/>
          <w:szCs w:val="20"/>
        </w:rPr>
        <w:fldChar w:fldCharType="separate"/>
      </w:r>
      <w:r w:rsidR="00A2511D">
        <w:rPr>
          <w:rFonts w:cs="Times New Roman"/>
          <w:b/>
          <w:i w:val="0"/>
          <w:noProof/>
          <w:color w:val="auto"/>
          <w:sz w:val="20"/>
          <w:szCs w:val="20"/>
        </w:rPr>
        <w:t>5</w:t>
      </w:r>
      <w:r w:rsidRPr="00931024">
        <w:rPr>
          <w:rFonts w:cs="Times New Roman"/>
          <w:b/>
          <w:i w:val="0"/>
          <w:color w:val="auto"/>
          <w:sz w:val="20"/>
          <w:szCs w:val="20"/>
        </w:rPr>
        <w:fldChar w:fldCharType="end"/>
      </w:r>
      <w:r w:rsidRPr="00931024">
        <w:rPr>
          <w:rFonts w:cs="Times New Roman"/>
          <w:b/>
          <w:i w:val="0"/>
          <w:color w:val="auto"/>
          <w:sz w:val="20"/>
          <w:szCs w:val="20"/>
        </w:rPr>
        <w:t xml:space="preserve"> - Análise fatorial do constructo teórico de Sistemas Externos Integrados</w:t>
      </w:r>
    </w:p>
    <w:tbl>
      <w:tblPr>
        <w:tblStyle w:val="Tabelacomgrade"/>
        <w:tblW w:w="9309" w:type="dxa"/>
        <w:jc w:val="center"/>
        <w:tblLayout w:type="fixed"/>
        <w:tblLook w:val="04A0" w:firstRow="1" w:lastRow="0" w:firstColumn="1" w:lastColumn="0" w:noHBand="0" w:noVBand="1"/>
      </w:tblPr>
      <w:tblGrid>
        <w:gridCol w:w="1271"/>
        <w:gridCol w:w="1092"/>
        <w:gridCol w:w="893"/>
        <w:gridCol w:w="1275"/>
        <w:gridCol w:w="1134"/>
        <w:gridCol w:w="803"/>
        <w:gridCol w:w="993"/>
        <w:gridCol w:w="1134"/>
        <w:gridCol w:w="714"/>
      </w:tblGrid>
      <w:tr w:rsidR="00931024" w:rsidRPr="00931024" w:rsidTr="006F68F2">
        <w:trPr>
          <w:cantSplit/>
          <w:trHeight w:val="369"/>
          <w:jc w:val="center"/>
        </w:trPr>
        <w:tc>
          <w:tcPr>
            <w:tcW w:w="1271" w:type="dxa"/>
            <w:tcBorders>
              <w:top w:val="single" w:sz="12" w:space="0" w:color="auto"/>
              <w:left w:val="single" w:sz="4" w:space="0" w:color="FFFFFF" w:themeColor="background1"/>
              <w:bottom w:val="single" w:sz="12" w:space="0" w:color="auto"/>
            </w:tcBorders>
            <w:vAlign w:val="center"/>
          </w:tcPr>
          <w:p w:rsidR="003B0381" w:rsidRPr="00931024" w:rsidRDefault="003B0381" w:rsidP="000039AB">
            <w:pPr>
              <w:pStyle w:val="Default"/>
              <w:spacing w:line="180" w:lineRule="exact"/>
              <w:jc w:val="center"/>
              <w:rPr>
                <w:rFonts w:ascii="Times New Roman" w:hAnsi="Times New Roman" w:cs="Times New Roman"/>
                <w:b/>
                <w:color w:val="auto"/>
                <w:sz w:val="20"/>
                <w:szCs w:val="20"/>
              </w:rPr>
            </w:pPr>
            <w:r w:rsidRPr="00931024">
              <w:rPr>
                <w:rFonts w:ascii="Times New Roman" w:hAnsi="Times New Roman" w:cs="Times New Roman"/>
                <w:b/>
                <w:bCs/>
                <w:color w:val="auto"/>
                <w:sz w:val="20"/>
                <w:szCs w:val="20"/>
              </w:rPr>
              <w:t>Constructo</w:t>
            </w:r>
          </w:p>
        </w:tc>
        <w:tc>
          <w:tcPr>
            <w:tcW w:w="1092" w:type="dxa"/>
            <w:tcBorders>
              <w:top w:val="single" w:sz="12" w:space="0" w:color="auto"/>
              <w:bottom w:val="single" w:sz="12" w:space="0" w:color="auto"/>
            </w:tcBorders>
            <w:vAlign w:val="center"/>
          </w:tcPr>
          <w:p w:rsidR="003B0381" w:rsidRPr="00931024" w:rsidRDefault="003B0381" w:rsidP="000039AB">
            <w:pPr>
              <w:spacing w:line="180" w:lineRule="exact"/>
              <w:jc w:val="center"/>
              <w:rPr>
                <w:rFonts w:ascii="Times New Roman" w:hAnsi="Times New Roman" w:cs="Times New Roman"/>
                <w:sz w:val="20"/>
                <w:szCs w:val="20"/>
              </w:rPr>
            </w:pPr>
            <w:r w:rsidRPr="00931024">
              <w:rPr>
                <w:rFonts w:ascii="Times New Roman" w:hAnsi="Times New Roman" w:cs="Times New Roman"/>
                <w:b/>
                <w:bCs/>
                <w:sz w:val="20"/>
                <w:szCs w:val="20"/>
              </w:rPr>
              <w:t xml:space="preserve">Alfa de </w:t>
            </w:r>
            <w:r w:rsidRPr="00931024">
              <w:rPr>
                <w:rFonts w:ascii="Times New Roman" w:hAnsi="Times New Roman" w:cs="Times New Roman"/>
                <w:b/>
                <w:bCs/>
                <w:i/>
                <w:iCs/>
                <w:sz w:val="20"/>
                <w:szCs w:val="20"/>
              </w:rPr>
              <w:t>Cronbach</w:t>
            </w:r>
          </w:p>
        </w:tc>
        <w:tc>
          <w:tcPr>
            <w:tcW w:w="893" w:type="dxa"/>
            <w:tcBorders>
              <w:top w:val="single" w:sz="12" w:space="0" w:color="auto"/>
              <w:bottom w:val="single" w:sz="12" w:space="0" w:color="auto"/>
            </w:tcBorders>
            <w:vAlign w:val="center"/>
          </w:tcPr>
          <w:p w:rsidR="003B0381" w:rsidRPr="00931024" w:rsidRDefault="003B0381" w:rsidP="000039AB">
            <w:pPr>
              <w:spacing w:line="180" w:lineRule="exact"/>
              <w:jc w:val="center"/>
              <w:rPr>
                <w:rFonts w:ascii="Times New Roman" w:hAnsi="Times New Roman" w:cs="Times New Roman"/>
                <w:b/>
                <w:sz w:val="20"/>
                <w:szCs w:val="20"/>
              </w:rPr>
            </w:pPr>
            <w:r w:rsidRPr="00931024">
              <w:rPr>
                <w:rFonts w:ascii="Times New Roman" w:hAnsi="Times New Roman" w:cs="Times New Roman"/>
                <w:b/>
                <w:sz w:val="20"/>
                <w:szCs w:val="20"/>
              </w:rPr>
              <w:t>KMO</w:t>
            </w:r>
          </w:p>
        </w:tc>
        <w:tc>
          <w:tcPr>
            <w:tcW w:w="1275" w:type="dxa"/>
            <w:tcBorders>
              <w:top w:val="single" w:sz="12" w:space="0" w:color="auto"/>
              <w:bottom w:val="single" w:sz="12" w:space="0" w:color="auto"/>
            </w:tcBorders>
            <w:vAlign w:val="center"/>
          </w:tcPr>
          <w:p w:rsidR="003B0381" w:rsidRPr="00931024" w:rsidRDefault="003B0381" w:rsidP="000039AB">
            <w:pPr>
              <w:pStyle w:val="Default"/>
              <w:spacing w:line="180" w:lineRule="exact"/>
              <w:jc w:val="center"/>
              <w:rPr>
                <w:rFonts w:ascii="Times New Roman" w:hAnsi="Times New Roman" w:cs="Times New Roman"/>
                <w:b/>
                <w:color w:val="auto"/>
                <w:sz w:val="20"/>
                <w:szCs w:val="20"/>
              </w:rPr>
            </w:pPr>
            <w:r w:rsidRPr="00931024">
              <w:rPr>
                <w:rFonts w:ascii="Times New Roman" w:hAnsi="Times New Roman" w:cs="Times New Roman"/>
                <w:b/>
                <w:bCs/>
                <w:color w:val="auto"/>
                <w:sz w:val="20"/>
                <w:szCs w:val="20"/>
              </w:rPr>
              <w:t xml:space="preserve">Teste de </w:t>
            </w:r>
            <w:proofErr w:type="spellStart"/>
            <w:r w:rsidRPr="00931024">
              <w:rPr>
                <w:rFonts w:ascii="Times New Roman" w:hAnsi="Times New Roman" w:cs="Times New Roman"/>
                <w:b/>
                <w:bCs/>
                <w:color w:val="auto"/>
                <w:sz w:val="20"/>
                <w:szCs w:val="20"/>
              </w:rPr>
              <w:t>Esf</w:t>
            </w:r>
            <w:proofErr w:type="spellEnd"/>
            <w:r w:rsidRPr="00931024">
              <w:rPr>
                <w:rFonts w:ascii="Times New Roman" w:hAnsi="Times New Roman" w:cs="Times New Roman"/>
                <w:b/>
                <w:bCs/>
                <w:color w:val="auto"/>
                <w:sz w:val="20"/>
                <w:szCs w:val="20"/>
              </w:rPr>
              <w:t>. Bartlett</w:t>
            </w:r>
          </w:p>
        </w:tc>
        <w:tc>
          <w:tcPr>
            <w:tcW w:w="1134" w:type="dxa"/>
            <w:tcBorders>
              <w:top w:val="single" w:sz="12" w:space="0" w:color="auto"/>
              <w:bottom w:val="single" w:sz="12" w:space="0" w:color="auto"/>
            </w:tcBorders>
            <w:vAlign w:val="center"/>
          </w:tcPr>
          <w:p w:rsidR="003B0381" w:rsidRPr="00931024" w:rsidRDefault="003B0381" w:rsidP="000039AB">
            <w:pPr>
              <w:spacing w:line="180" w:lineRule="exact"/>
              <w:jc w:val="center"/>
              <w:rPr>
                <w:rFonts w:ascii="Times New Roman" w:hAnsi="Times New Roman" w:cs="Times New Roman"/>
                <w:b/>
                <w:sz w:val="20"/>
                <w:szCs w:val="20"/>
              </w:rPr>
            </w:pPr>
            <w:r w:rsidRPr="00931024">
              <w:rPr>
                <w:rFonts w:ascii="Times New Roman" w:hAnsi="Times New Roman" w:cs="Times New Roman"/>
                <w:b/>
                <w:sz w:val="20"/>
                <w:szCs w:val="20"/>
              </w:rPr>
              <w:t>Var. Total Explicada</w:t>
            </w:r>
          </w:p>
        </w:tc>
        <w:tc>
          <w:tcPr>
            <w:tcW w:w="803" w:type="dxa"/>
            <w:tcBorders>
              <w:top w:val="single" w:sz="12" w:space="0" w:color="auto"/>
              <w:bottom w:val="single" w:sz="12" w:space="0" w:color="auto"/>
            </w:tcBorders>
            <w:vAlign w:val="center"/>
          </w:tcPr>
          <w:p w:rsidR="003B0381" w:rsidRPr="00931024" w:rsidRDefault="003B0381" w:rsidP="000039AB">
            <w:pPr>
              <w:spacing w:line="180" w:lineRule="exact"/>
              <w:jc w:val="center"/>
              <w:rPr>
                <w:rFonts w:ascii="Times New Roman" w:hAnsi="Times New Roman" w:cs="Times New Roman"/>
                <w:b/>
                <w:sz w:val="20"/>
                <w:szCs w:val="20"/>
              </w:rPr>
            </w:pPr>
            <w:r w:rsidRPr="00931024">
              <w:rPr>
                <w:rFonts w:ascii="Times New Roman" w:hAnsi="Times New Roman" w:cs="Times New Roman"/>
                <w:b/>
                <w:sz w:val="20"/>
                <w:szCs w:val="20"/>
              </w:rPr>
              <w:t>Var.</w:t>
            </w:r>
          </w:p>
        </w:tc>
        <w:tc>
          <w:tcPr>
            <w:tcW w:w="993" w:type="dxa"/>
            <w:tcBorders>
              <w:top w:val="single" w:sz="12" w:space="0" w:color="auto"/>
              <w:bottom w:val="single" w:sz="12" w:space="0" w:color="auto"/>
            </w:tcBorders>
            <w:vAlign w:val="center"/>
          </w:tcPr>
          <w:p w:rsidR="003B0381" w:rsidRPr="00931024" w:rsidRDefault="003B0381" w:rsidP="000039AB">
            <w:pPr>
              <w:pStyle w:val="Default"/>
              <w:spacing w:line="180" w:lineRule="exact"/>
              <w:jc w:val="center"/>
              <w:rPr>
                <w:rFonts w:ascii="Times New Roman" w:hAnsi="Times New Roman" w:cs="Times New Roman"/>
                <w:b/>
                <w:color w:val="auto"/>
                <w:sz w:val="20"/>
                <w:szCs w:val="20"/>
              </w:rPr>
            </w:pPr>
            <w:r w:rsidRPr="00931024">
              <w:rPr>
                <w:rFonts w:ascii="Times New Roman" w:hAnsi="Times New Roman" w:cs="Times New Roman"/>
                <w:b/>
                <w:bCs/>
                <w:color w:val="auto"/>
                <w:sz w:val="20"/>
                <w:szCs w:val="20"/>
              </w:rPr>
              <w:t>Carga Fatorial</w:t>
            </w:r>
          </w:p>
        </w:tc>
        <w:tc>
          <w:tcPr>
            <w:tcW w:w="1134" w:type="dxa"/>
            <w:tcBorders>
              <w:top w:val="single" w:sz="12" w:space="0" w:color="auto"/>
              <w:bottom w:val="single" w:sz="12" w:space="0" w:color="auto"/>
            </w:tcBorders>
            <w:vAlign w:val="center"/>
          </w:tcPr>
          <w:p w:rsidR="003B0381" w:rsidRPr="00931024" w:rsidRDefault="003B0381" w:rsidP="000039AB">
            <w:pPr>
              <w:spacing w:line="180" w:lineRule="exact"/>
              <w:jc w:val="center"/>
              <w:rPr>
                <w:rFonts w:ascii="Times New Roman" w:hAnsi="Times New Roman" w:cs="Times New Roman"/>
                <w:b/>
                <w:sz w:val="20"/>
                <w:szCs w:val="20"/>
              </w:rPr>
            </w:pPr>
            <w:r w:rsidRPr="00931024">
              <w:rPr>
                <w:rFonts w:ascii="Times New Roman" w:hAnsi="Times New Roman" w:cs="Times New Roman"/>
                <w:b/>
                <w:sz w:val="20"/>
                <w:szCs w:val="20"/>
              </w:rPr>
              <w:t>Comunal.</w:t>
            </w:r>
          </w:p>
        </w:tc>
        <w:tc>
          <w:tcPr>
            <w:tcW w:w="714" w:type="dxa"/>
            <w:tcBorders>
              <w:top w:val="single" w:sz="12" w:space="0" w:color="auto"/>
              <w:bottom w:val="single" w:sz="12" w:space="0" w:color="auto"/>
              <w:right w:val="single" w:sz="4" w:space="0" w:color="FFFFFF" w:themeColor="background1"/>
            </w:tcBorders>
            <w:vAlign w:val="center"/>
          </w:tcPr>
          <w:p w:rsidR="003B0381" w:rsidRPr="00931024" w:rsidRDefault="003B0381" w:rsidP="000039AB">
            <w:pPr>
              <w:pStyle w:val="Default"/>
              <w:spacing w:line="180" w:lineRule="exact"/>
              <w:jc w:val="center"/>
              <w:rPr>
                <w:rFonts w:ascii="Times New Roman" w:hAnsi="Times New Roman" w:cs="Times New Roman"/>
                <w:b/>
                <w:color w:val="auto"/>
                <w:sz w:val="20"/>
                <w:szCs w:val="20"/>
              </w:rPr>
            </w:pPr>
            <w:r w:rsidRPr="00931024">
              <w:rPr>
                <w:rFonts w:ascii="Times New Roman" w:hAnsi="Times New Roman" w:cs="Times New Roman"/>
                <w:b/>
                <w:bCs/>
                <w:color w:val="auto"/>
                <w:sz w:val="20"/>
                <w:szCs w:val="20"/>
              </w:rPr>
              <w:t>MSA</w:t>
            </w:r>
          </w:p>
        </w:tc>
      </w:tr>
      <w:tr w:rsidR="00931024" w:rsidRPr="00931024" w:rsidTr="000039AB">
        <w:trPr>
          <w:cantSplit/>
          <w:trHeight w:val="545"/>
          <w:jc w:val="center"/>
        </w:trPr>
        <w:tc>
          <w:tcPr>
            <w:tcW w:w="1271" w:type="dxa"/>
            <w:vMerge w:val="restart"/>
            <w:tcBorders>
              <w:top w:val="single" w:sz="12" w:space="0" w:color="auto"/>
              <w:left w:val="single" w:sz="4" w:space="0" w:color="FFFFFF" w:themeColor="background1"/>
            </w:tcBorders>
            <w:vAlign w:val="center"/>
          </w:tcPr>
          <w:p w:rsidR="003B0381" w:rsidRPr="00931024" w:rsidRDefault="003B0381" w:rsidP="000039A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Sistemas Externos Integrados (SEI)</w:t>
            </w:r>
          </w:p>
        </w:tc>
        <w:tc>
          <w:tcPr>
            <w:tcW w:w="1092" w:type="dxa"/>
            <w:tcBorders>
              <w:top w:val="single" w:sz="12" w:space="0" w:color="auto"/>
              <w:bottom w:val="single" w:sz="4" w:space="0" w:color="auto"/>
            </w:tcBorders>
            <w:vAlign w:val="center"/>
          </w:tcPr>
          <w:p w:rsidR="003B0381" w:rsidRPr="00931024" w:rsidRDefault="003B0381" w:rsidP="000039A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0,762</w:t>
            </w:r>
          </w:p>
        </w:tc>
        <w:tc>
          <w:tcPr>
            <w:tcW w:w="893" w:type="dxa"/>
            <w:tcBorders>
              <w:top w:val="single" w:sz="12" w:space="0" w:color="auto"/>
              <w:bottom w:val="single" w:sz="4" w:space="0" w:color="auto"/>
            </w:tcBorders>
            <w:vAlign w:val="center"/>
          </w:tcPr>
          <w:p w:rsidR="003B0381" w:rsidRPr="00931024" w:rsidRDefault="003B0381" w:rsidP="000039A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0,696</w:t>
            </w:r>
          </w:p>
        </w:tc>
        <w:tc>
          <w:tcPr>
            <w:tcW w:w="1275" w:type="dxa"/>
            <w:tcBorders>
              <w:top w:val="single" w:sz="12" w:space="0" w:color="auto"/>
              <w:bottom w:val="single" w:sz="4" w:space="0" w:color="auto"/>
            </w:tcBorders>
            <w:vAlign w:val="center"/>
          </w:tcPr>
          <w:p w:rsidR="003B0381" w:rsidRPr="00931024" w:rsidRDefault="003B0381" w:rsidP="000039A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124,00</w:t>
            </w:r>
          </w:p>
        </w:tc>
        <w:tc>
          <w:tcPr>
            <w:tcW w:w="1134" w:type="dxa"/>
            <w:tcBorders>
              <w:top w:val="single" w:sz="12" w:space="0" w:color="auto"/>
              <w:bottom w:val="single" w:sz="4" w:space="0" w:color="auto"/>
            </w:tcBorders>
            <w:vAlign w:val="center"/>
          </w:tcPr>
          <w:p w:rsidR="003B0381" w:rsidRPr="00931024" w:rsidRDefault="003B0381" w:rsidP="000039A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58,88%</w:t>
            </w:r>
          </w:p>
        </w:tc>
        <w:tc>
          <w:tcPr>
            <w:tcW w:w="803" w:type="dxa"/>
            <w:tcBorders>
              <w:top w:val="single" w:sz="12" w:space="0" w:color="auto"/>
              <w:bottom w:val="single" w:sz="4" w:space="0" w:color="auto"/>
            </w:tcBorders>
            <w:vAlign w:val="center"/>
          </w:tcPr>
          <w:p w:rsidR="003B0381" w:rsidRPr="00931024" w:rsidRDefault="003B0381" w:rsidP="000039A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SEI 1</w:t>
            </w:r>
          </w:p>
          <w:p w:rsidR="003B0381" w:rsidRPr="00931024" w:rsidRDefault="003B0381" w:rsidP="000039A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SEI 2</w:t>
            </w:r>
          </w:p>
          <w:p w:rsidR="003B0381" w:rsidRPr="00931024" w:rsidRDefault="003B0381" w:rsidP="000039A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SEI 3</w:t>
            </w:r>
          </w:p>
          <w:p w:rsidR="003B0381" w:rsidRPr="00931024" w:rsidRDefault="003B0381" w:rsidP="000039A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SEI 4</w:t>
            </w:r>
          </w:p>
        </w:tc>
        <w:tc>
          <w:tcPr>
            <w:tcW w:w="993" w:type="dxa"/>
            <w:tcBorders>
              <w:top w:val="single" w:sz="12" w:space="0" w:color="auto"/>
              <w:bottom w:val="single" w:sz="4" w:space="0" w:color="auto"/>
            </w:tcBorders>
            <w:vAlign w:val="center"/>
          </w:tcPr>
          <w:p w:rsidR="003B0381" w:rsidRPr="00931024" w:rsidRDefault="003B0381" w:rsidP="000039A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0,810</w:t>
            </w:r>
          </w:p>
          <w:p w:rsidR="003B0381" w:rsidRPr="00931024" w:rsidRDefault="003B0381" w:rsidP="000039A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0,503</w:t>
            </w:r>
          </w:p>
          <w:p w:rsidR="003B0381" w:rsidRPr="00931024" w:rsidRDefault="003B0381" w:rsidP="000039A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0,822</w:t>
            </w:r>
          </w:p>
          <w:p w:rsidR="003B0381" w:rsidRPr="00931024" w:rsidRDefault="003B0381" w:rsidP="000039A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0,878</w:t>
            </w:r>
          </w:p>
        </w:tc>
        <w:tc>
          <w:tcPr>
            <w:tcW w:w="1134" w:type="dxa"/>
            <w:tcBorders>
              <w:top w:val="single" w:sz="12" w:space="0" w:color="auto"/>
              <w:bottom w:val="single" w:sz="4" w:space="0" w:color="auto"/>
            </w:tcBorders>
            <w:vAlign w:val="center"/>
          </w:tcPr>
          <w:p w:rsidR="003B0381" w:rsidRPr="00931024" w:rsidRDefault="003B0381" w:rsidP="000039A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0,656</w:t>
            </w:r>
          </w:p>
          <w:p w:rsidR="003B0381" w:rsidRPr="00931024" w:rsidRDefault="003B0381" w:rsidP="000039A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0,253</w:t>
            </w:r>
          </w:p>
          <w:p w:rsidR="003B0381" w:rsidRPr="00931024" w:rsidRDefault="003B0381" w:rsidP="000039A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0,675</w:t>
            </w:r>
          </w:p>
          <w:p w:rsidR="003B0381" w:rsidRPr="00931024" w:rsidRDefault="003B0381" w:rsidP="000039A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0,771</w:t>
            </w:r>
          </w:p>
        </w:tc>
        <w:tc>
          <w:tcPr>
            <w:tcW w:w="714" w:type="dxa"/>
            <w:tcBorders>
              <w:top w:val="single" w:sz="12" w:space="0" w:color="auto"/>
              <w:bottom w:val="single" w:sz="4" w:space="0" w:color="auto"/>
              <w:right w:val="single" w:sz="4" w:space="0" w:color="FFFFFF" w:themeColor="background1"/>
            </w:tcBorders>
            <w:vAlign w:val="center"/>
          </w:tcPr>
          <w:p w:rsidR="003B0381" w:rsidRPr="00931024" w:rsidRDefault="003B0381" w:rsidP="000039A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0,605</w:t>
            </w:r>
          </w:p>
          <w:p w:rsidR="003B0381" w:rsidRPr="00931024" w:rsidRDefault="003B0381" w:rsidP="000039AB">
            <w:pPr>
              <w:spacing w:line="180" w:lineRule="exact"/>
              <w:rPr>
                <w:rFonts w:ascii="Times New Roman" w:hAnsi="Times New Roman" w:cs="Times New Roman"/>
                <w:sz w:val="20"/>
                <w:szCs w:val="20"/>
              </w:rPr>
            </w:pPr>
            <w:r w:rsidRPr="00931024">
              <w:rPr>
                <w:rFonts w:ascii="Times New Roman" w:hAnsi="Times New Roman" w:cs="Times New Roman"/>
                <w:sz w:val="20"/>
                <w:szCs w:val="20"/>
              </w:rPr>
              <w:t>0,857</w:t>
            </w:r>
          </w:p>
          <w:p w:rsidR="003B0381" w:rsidRPr="00931024" w:rsidRDefault="003B0381" w:rsidP="000039A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0,484</w:t>
            </w:r>
          </w:p>
          <w:p w:rsidR="003B0381" w:rsidRPr="00931024" w:rsidRDefault="003B0381" w:rsidP="000039A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0,425</w:t>
            </w:r>
          </w:p>
        </w:tc>
      </w:tr>
      <w:tr w:rsidR="00931024" w:rsidRPr="00931024" w:rsidTr="00D72F48">
        <w:trPr>
          <w:cantSplit/>
          <w:trHeight w:val="574"/>
          <w:jc w:val="center"/>
        </w:trPr>
        <w:tc>
          <w:tcPr>
            <w:tcW w:w="1271" w:type="dxa"/>
            <w:vMerge/>
            <w:tcBorders>
              <w:left w:val="single" w:sz="4" w:space="0" w:color="FFFFFF" w:themeColor="background1"/>
              <w:bottom w:val="single" w:sz="12" w:space="0" w:color="auto"/>
            </w:tcBorders>
            <w:vAlign w:val="center"/>
          </w:tcPr>
          <w:p w:rsidR="003B0381" w:rsidRPr="00931024" w:rsidRDefault="003B0381" w:rsidP="000039AB">
            <w:pPr>
              <w:spacing w:line="180" w:lineRule="exact"/>
              <w:jc w:val="center"/>
              <w:rPr>
                <w:rFonts w:ascii="Times New Roman" w:hAnsi="Times New Roman" w:cs="Times New Roman"/>
                <w:sz w:val="20"/>
                <w:szCs w:val="20"/>
              </w:rPr>
            </w:pPr>
          </w:p>
        </w:tc>
        <w:tc>
          <w:tcPr>
            <w:tcW w:w="1092" w:type="dxa"/>
            <w:tcBorders>
              <w:top w:val="single" w:sz="4" w:space="0" w:color="auto"/>
              <w:bottom w:val="single" w:sz="12" w:space="0" w:color="auto"/>
            </w:tcBorders>
            <w:vAlign w:val="center"/>
          </w:tcPr>
          <w:p w:rsidR="003B0381" w:rsidRPr="00931024" w:rsidRDefault="003B0381" w:rsidP="000039A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0,806</w:t>
            </w:r>
          </w:p>
        </w:tc>
        <w:tc>
          <w:tcPr>
            <w:tcW w:w="893" w:type="dxa"/>
            <w:tcBorders>
              <w:top w:val="single" w:sz="4" w:space="0" w:color="auto"/>
              <w:bottom w:val="single" w:sz="12" w:space="0" w:color="auto"/>
            </w:tcBorders>
            <w:vAlign w:val="center"/>
          </w:tcPr>
          <w:p w:rsidR="003B0381" w:rsidRPr="00931024" w:rsidRDefault="003B0381" w:rsidP="000039A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0,678</w:t>
            </w:r>
          </w:p>
        </w:tc>
        <w:tc>
          <w:tcPr>
            <w:tcW w:w="1275" w:type="dxa"/>
            <w:tcBorders>
              <w:top w:val="single" w:sz="4" w:space="0" w:color="auto"/>
              <w:bottom w:val="single" w:sz="12" w:space="0" w:color="auto"/>
            </w:tcBorders>
            <w:vAlign w:val="center"/>
          </w:tcPr>
          <w:p w:rsidR="003B0381" w:rsidRPr="00931024" w:rsidRDefault="003B0381" w:rsidP="000039A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109,467</w:t>
            </w:r>
          </w:p>
        </w:tc>
        <w:tc>
          <w:tcPr>
            <w:tcW w:w="1134" w:type="dxa"/>
            <w:tcBorders>
              <w:top w:val="single" w:sz="4" w:space="0" w:color="auto"/>
              <w:bottom w:val="single" w:sz="12" w:space="0" w:color="auto"/>
            </w:tcBorders>
            <w:vAlign w:val="center"/>
          </w:tcPr>
          <w:p w:rsidR="003B0381" w:rsidRPr="00931024" w:rsidRDefault="003B0381" w:rsidP="000039A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73,099%</w:t>
            </w:r>
          </w:p>
        </w:tc>
        <w:tc>
          <w:tcPr>
            <w:tcW w:w="803" w:type="dxa"/>
            <w:tcBorders>
              <w:top w:val="single" w:sz="4" w:space="0" w:color="auto"/>
              <w:bottom w:val="single" w:sz="12" w:space="0" w:color="auto"/>
            </w:tcBorders>
            <w:vAlign w:val="center"/>
          </w:tcPr>
          <w:p w:rsidR="003B0381" w:rsidRPr="00931024" w:rsidRDefault="003B0381" w:rsidP="000039A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SEI 1</w:t>
            </w:r>
          </w:p>
          <w:p w:rsidR="003B0381" w:rsidRPr="00931024" w:rsidRDefault="003B0381" w:rsidP="000039A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SEI 3</w:t>
            </w:r>
          </w:p>
          <w:p w:rsidR="003B0381" w:rsidRPr="00931024" w:rsidRDefault="003B0381" w:rsidP="000039A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SEI 4</w:t>
            </w:r>
          </w:p>
        </w:tc>
        <w:tc>
          <w:tcPr>
            <w:tcW w:w="993" w:type="dxa"/>
            <w:tcBorders>
              <w:top w:val="single" w:sz="4" w:space="0" w:color="auto"/>
              <w:bottom w:val="single" w:sz="12" w:space="0" w:color="auto"/>
            </w:tcBorders>
            <w:vAlign w:val="center"/>
          </w:tcPr>
          <w:p w:rsidR="003B0381" w:rsidRPr="00931024" w:rsidRDefault="003B0381" w:rsidP="000039A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0,796</w:t>
            </w:r>
          </w:p>
          <w:p w:rsidR="003B0381" w:rsidRPr="00931024" w:rsidRDefault="003B0381" w:rsidP="000039A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0,866</w:t>
            </w:r>
          </w:p>
          <w:p w:rsidR="003B0381" w:rsidRPr="00931024" w:rsidRDefault="003B0381" w:rsidP="000039A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0,900</w:t>
            </w:r>
          </w:p>
        </w:tc>
        <w:tc>
          <w:tcPr>
            <w:tcW w:w="1134" w:type="dxa"/>
            <w:tcBorders>
              <w:top w:val="single" w:sz="4" w:space="0" w:color="auto"/>
              <w:bottom w:val="single" w:sz="12" w:space="0" w:color="auto"/>
            </w:tcBorders>
            <w:vAlign w:val="center"/>
          </w:tcPr>
          <w:p w:rsidR="003B0381" w:rsidRPr="00931024" w:rsidRDefault="003B0381" w:rsidP="000039A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0,634</w:t>
            </w:r>
          </w:p>
          <w:p w:rsidR="003B0381" w:rsidRPr="00931024" w:rsidRDefault="003B0381" w:rsidP="000039A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0,750</w:t>
            </w:r>
          </w:p>
          <w:p w:rsidR="003B0381" w:rsidRPr="00931024" w:rsidRDefault="003B0381" w:rsidP="000039A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0,809</w:t>
            </w:r>
          </w:p>
        </w:tc>
        <w:tc>
          <w:tcPr>
            <w:tcW w:w="714" w:type="dxa"/>
            <w:tcBorders>
              <w:top w:val="single" w:sz="4" w:space="0" w:color="auto"/>
              <w:bottom w:val="single" w:sz="12" w:space="0" w:color="auto"/>
              <w:right w:val="single" w:sz="4" w:space="0" w:color="FFFFFF" w:themeColor="background1"/>
            </w:tcBorders>
            <w:vAlign w:val="center"/>
          </w:tcPr>
          <w:p w:rsidR="003B0381" w:rsidRPr="00931024" w:rsidRDefault="003B0381" w:rsidP="000039A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0,651</w:t>
            </w:r>
          </w:p>
          <w:p w:rsidR="003B0381" w:rsidRPr="00931024" w:rsidRDefault="003B0381" w:rsidP="000039A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0,486</w:t>
            </w:r>
          </w:p>
          <w:p w:rsidR="003B0381" w:rsidRPr="00931024" w:rsidRDefault="003B0381" w:rsidP="000039AB">
            <w:pPr>
              <w:spacing w:line="180" w:lineRule="exact"/>
              <w:jc w:val="center"/>
              <w:rPr>
                <w:rFonts w:ascii="Times New Roman" w:hAnsi="Times New Roman" w:cs="Times New Roman"/>
                <w:sz w:val="20"/>
                <w:szCs w:val="20"/>
              </w:rPr>
            </w:pPr>
            <w:r w:rsidRPr="00931024">
              <w:rPr>
                <w:rFonts w:ascii="Times New Roman" w:hAnsi="Times New Roman" w:cs="Times New Roman"/>
                <w:sz w:val="20"/>
                <w:szCs w:val="20"/>
              </w:rPr>
              <w:t>0,430</w:t>
            </w:r>
          </w:p>
        </w:tc>
      </w:tr>
    </w:tbl>
    <w:p w:rsidR="003B0381" w:rsidRPr="00931024" w:rsidRDefault="0086498B" w:rsidP="003B0381">
      <w:pPr>
        <w:rPr>
          <w:sz w:val="20"/>
          <w:szCs w:val="20"/>
        </w:rPr>
      </w:pPr>
      <w:r w:rsidRPr="00931024">
        <w:rPr>
          <w:sz w:val="20"/>
          <w:szCs w:val="20"/>
        </w:rPr>
        <w:lastRenderedPageBreak/>
        <w:t xml:space="preserve">Fonte: Dados da Pesquisa. </w:t>
      </w:r>
      <w:r w:rsidR="003B0381" w:rsidRPr="00931024">
        <w:rPr>
          <w:sz w:val="20"/>
          <w:szCs w:val="20"/>
        </w:rPr>
        <w:t>MSA= Diagonal da Matriz de Correlação Anti-Imagem</w:t>
      </w:r>
      <w:r w:rsidRPr="00931024">
        <w:rPr>
          <w:sz w:val="20"/>
          <w:szCs w:val="20"/>
        </w:rPr>
        <w:t xml:space="preserve">; </w:t>
      </w:r>
      <w:r w:rsidR="003B0381" w:rsidRPr="00931024">
        <w:rPr>
          <w:sz w:val="20"/>
          <w:szCs w:val="20"/>
        </w:rPr>
        <w:t>Var = Variáveis</w:t>
      </w:r>
      <w:r w:rsidRPr="00931024">
        <w:rPr>
          <w:sz w:val="20"/>
          <w:szCs w:val="20"/>
        </w:rPr>
        <w:t xml:space="preserve">; </w:t>
      </w:r>
      <w:r w:rsidR="003B0381" w:rsidRPr="00931024">
        <w:rPr>
          <w:sz w:val="20"/>
          <w:szCs w:val="20"/>
        </w:rPr>
        <w:t>*</w:t>
      </w:r>
      <w:proofErr w:type="spellStart"/>
      <w:r w:rsidR="003B0381" w:rsidRPr="00931024">
        <w:rPr>
          <w:sz w:val="20"/>
          <w:szCs w:val="20"/>
        </w:rPr>
        <w:t>Sig</w:t>
      </w:r>
      <w:proofErr w:type="spellEnd"/>
      <w:r w:rsidR="003B0381" w:rsidRPr="00931024">
        <w:rPr>
          <w:sz w:val="20"/>
          <w:szCs w:val="20"/>
        </w:rPr>
        <w:t>. A nível de 1%</w:t>
      </w:r>
      <w:r w:rsidR="00A472D3" w:rsidRPr="00931024">
        <w:rPr>
          <w:sz w:val="20"/>
          <w:szCs w:val="20"/>
        </w:rPr>
        <w:t>.</w:t>
      </w:r>
    </w:p>
    <w:p w:rsidR="00ED573D" w:rsidRPr="00931024" w:rsidRDefault="00ED573D" w:rsidP="00ED573D">
      <w:pPr>
        <w:autoSpaceDE w:val="0"/>
        <w:autoSpaceDN w:val="0"/>
        <w:adjustRightInd w:val="0"/>
        <w:ind w:firstLine="708"/>
        <w:rPr>
          <w:szCs w:val="24"/>
        </w:rPr>
      </w:pPr>
    </w:p>
    <w:p w:rsidR="00ED573D" w:rsidRPr="00931024" w:rsidRDefault="003B0381" w:rsidP="00ED573D">
      <w:pPr>
        <w:autoSpaceDE w:val="0"/>
        <w:autoSpaceDN w:val="0"/>
        <w:adjustRightInd w:val="0"/>
        <w:ind w:firstLine="708"/>
        <w:rPr>
          <w:szCs w:val="24"/>
        </w:rPr>
      </w:pPr>
      <w:r w:rsidRPr="00931024">
        <w:rPr>
          <w:szCs w:val="24"/>
        </w:rPr>
        <w:t>O constructo de sistemas externos integrados é composto originalmente por 4 variáveis.</w:t>
      </w:r>
      <w:r w:rsidR="00ED573D" w:rsidRPr="00931024">
        <w:rPr>
          <w:szCs w:val="24"/>
        </w:rPr>
        <w:t xml:space="preserve"> </w:t>
      </w:r>
      <w:r w:rsidRPr="00931024">
        <w:rPr>
          <w:szCs w:val="24"/>
        </w:rPr>
        <w:t>No entanto, a variável SEI_2 (sistemas de informação interorganizacionais que facilitam o</w:t>
      </w:r>
      <w:r w:rsidR="00ED573D" w:rsidRPr="00931024">
        <w:rPr>
          <w:szCs w:val="24"/>
        </w:rPr>
        <w:t xml:space="preserve"> </w:t>
      </w:r>
      <w:r w:rsidRPr="00931024">
        <w:rPr>
          <w:szCs w:val="24"/>
        </w:rPr>
        <w:t>compartilhamento de dados) não alcançou o coeficiente mínimo da carga fatorial exigido para</w:t>
      </w:r>
      <w:r w:rsidR="00ED573D" w:rsidRPr="00931024">
        <w:rPr>
          <w:szCs w:val="24"/>
        </w:rPr>
        <w:t xml:space="preserve"> </w:t>
      </w:r>
      <w:r w:rsidRPr="00931024">
        <w:rPr>
          <w:szCs w:val="24"/>
        </w:rPr>
        <w:t>o tamanho da amostra da pesquisa. Desta forma, esse indicador foi eliminado da análise fatorial</w:t>
      </w:r>
      <w:r w:rsidR="00ED573D" w:rsidRPr="00931024">
        <w:rPr>
          <w:szCs w:val="24"/>
        </w:rPr>
        <w:t xml:space="preserve"> </w:t>
      </w:r>
      <w:r w:rsidRPr="00931024">
        <w:rPr>
          <w:szCs w:val="24"/>
        </w:rPr>
        <w:t>e de caminhos, sendo que os dados foram processados novamente sem esta variável. Assim,</w:t>
      </w:r>
      <w:r w:rsidR="00ED573D" w:rsidRPr="00931024">
        <w:rPr>
          <w:szCs w:val="24"/>
        </w:rPr>
        <w:t xml:space="preserve"> </w:t>
      </w:r>
      <w:r w:rsidRPr="00931024">
        <w:rPr>
          <w:szCs w:val="24"/>
        </w:rPr>
        <w:t xml:space="preserve">com os novos </w:t>
      </w:r>
      <w:r w:rsidR="00ED573D" w:rsidRPr="00931024">
        <w:rPr>
          <w:szCs w:val="24"/>
        </w:rPr>
        <w:t>valores identificados (Tabela 5</w:t>
      </w:r>
      <w:r w:rsidRPr="00931024">
        <w:rPr>
          <w:szCs w:val="24"/>
        </w:rPr>
        <w:t>), foi possível proceder a validação do constructo</w:t>
      </w:r>
      <w:r w:rsidR="00ED573D" w:rsidRPr="00931024">
        <w:rPr>
          <w:szCs w:val="24"/>
        </w:rPr>
        <w:t xml:space="preserve"> </w:t>
      </w:r>
      <w:r w:rsidRPr="00931024">
        <w:rPr>
          <w:szCs w:val="24"/>
        </w:rPr>
        <w:t>final de mensuração desta variável.</w:t>
      </w:r>
    </w:p>
    <w:p w:rsidR="003B0381" w:rsidRPr="00931024" w:rsidRDefault="003B0381" w:rsidP="00ED573D">
      <w:pPr>
        <w:autoSpaceDE w:val="0"/>
        <w:autoSpaceDN w:val="0"/>
        <w:adjustRightInd w:val="0"/>
        <w:ind w:firstLine="708"/>
        <w:rPr>
          <w:szCs w:val="24"/>
        </w:rPr>
      </w:pPr>
      <w:r w:rsidRPr="00931024">
        <w:rPr>
          <w:szCs w:val="24"/>
        </w:rPr>
        <w:t xml:space="preserve">O resultado da medida alfa de </w:t>
      </w:r>
      <w:r w:rsidRPr="00931024">
        <w:rPr>
          <w:i/>
          <w:iCs/>
          <w:szCs w:val="24"/>
        </w:rPr>
        <w:t xml:space="preserve">Cronbach </w:t>
      </w:r>
      <w:r w:rsidRPr="00931024">
        <w:rPr>
          <w:szCs w:val="24"/>
        </w:rPr>
        <w:t>está adequado, pois obteve o coeficiente de</w:t>
      </w:r>
      <w:r w:rsidR="00ED573D" w:rsidRPr="00931024">
        <w:rPr>
          <w:szCs w:val="24"/>
        </w:rPr>
        <w:t xml:space="preserve"> </w:t>
      </w:r>
      <w:r w:rsidRPr="00931024">
        <w:rPr>
          <w:szCs w:val="24"/>
        </w:rPr>
        <w:t>0,806, estabelecendo consistência nas respostas quantificadas. O teste de esfericidade de</w:t>
      </w:r>
      <w:r w:rsidR="00ED573D" w:rsidRPr="00931024">
        <w:rPr>
          <w:szCs w:val="24"/>
        </w:rPr>
        <w:t xml:space="preserve"> </w:t>
      </w:r>
      <w:r w:rsidRPr="00931024">
        <w:rPr>
          <w:i/>
          <w:iCs/>
          <w:szCs w:val="24"/>
        </w:rPr>
        <w:t xml:space="preserve">Bartlett </w:t>
      </w:r>
      <w:r w:rsidRPr="00931024">
        <w:rPr>
          <w:szCs w:val="24"/>
        </w:rPr>
        <w:t>apresenta-se significativo ao nível de 1%. Já o teste de KMO evidencia que este</w:t>
      </w:r>
      <w:r w:rsidR="00ED573D" w:rsidRPr="00931024">
        <w:rPr>
          <w:szCs w:val="24"/>
        </w:rPr>
        <w:t xml:space="preserve"> </w:t>
      </w:r>
      <w:r w:rsidRPr="00931024">
        <w:rPr>
          <w:szCs w:val="24"/>
        </w:rPr>
        <w:t>constructo possui um poder de explicação de 0,678.</w:t>
      </w:r>
    </w:p>
    <w:p w:rsidR="004B55EB" w:rsidRPr="00931024" w:rsidRDefault="004B55EB" w:rsidP="004B55EB">
      <w:pPr>
        <w:autoSpaceDE w:val="0"/>
        <w:autoSpaceDN w:val="0"/>
        <w:adjustRightInd w:val="0"/>
        <w:ind w:firstLine="708"/>
      </w:pPr>
      <w:r w:rsidRPr="00931024">
        <w:t xml:space="preserve">Posterior a realização da análise fatorial das variáveis, calculou-se um indicador geral, sendo que este foi utilizado para a análise de caminhos. O cálculo do indicador geral utilizou o coeficiente da carga fatorial das variáveis não excluídas nessa etapa, sendo que este foi multiplicado pela opção de escala </w:t>
      </w:r>
      <w:proofErr w:type="spellStart"/>
      <w:r w:rsidRPr="00931024">
        <w:t>likert</w:t>
      </w:r>
      <w:proofErr w:type="spellEnd"/>
      <w:r w:rsidRPr="00931024">
        <w:t xml:space="preserve"> assinalada correspondente àquela questão. Na sequência os respectivos valores foram somados, construindo assim um único indicador representativo de cada constructo, utilizando-o na análise de caminhos. Realizada as análises de validade e confiabilidade dos constructos investigados nesta pesquisa, a seguir procedeu-se a análise das correlações estabelecidas entre estes, o que é apresentado na </w:t>
      </w:r>
      <w:r w:rsidR="00853A66" w:rsidRPr="00931024">
        <w:t>Tabela 6.</w:t>
      </w:r>
    </w:p>
    <w:p w:rsidR="00634E7C" w:rsidRPr="00931024" w:rsidRDefault="00634E7C" w:rsidP="00B957DF">
      <w:pPr>
        <w:ind w:firstLine="709"/>
      </w:pPr>
    </w:p>
    <w:p w:rsidR="00FB2BCD" w:rsidRPr="00931024" w:rsidRDefault="00FB2BCD" w:rsidP="00FB2BCD">
      <w:pPr>
        <w:pStyle w:val="Legenda"/>
        <w:keepNext/>
        <w:spacing w:after="0"/>
        <w:ind w:firstLine="0"/>
        <w:rPr>
          <w:rFonts w:cs="Times New Roman"/>
          <w:b/>
          <w:i w:val="0"/>
          <w:color w:val="auto"/>
          <w:sz w:val="20"/>
          <w:szCs w:val="20"/>
        </w:rPr>
      </w:pPr>
      <w:r w:rsidRPr="00931024">
        <w:rPr>
          <w:rFonts w:cs="Times New Roman"/>
          <w:b/>
          <w:i w:val="0"/>
          <w:color w:val="auto"/>
          <w:sz w:val="20"/>
          <w:szCs w:val="20"/>
        </w:rPr>
        <w:t xml:space="preserve">Tabela </w:t>
      </w:r>
      <w:r w:rsidRPr="00931024">
        <w:rPr>
          <w:rFonts w:cs="Times New Roman"/>
          <w:b/>
          <w:i w:val="0"/>
          <w:color w:val="auto"/>
          <w:sz w:val="20"/>
          <w:szCs w:val="20"/>
        </w:rPr>
        <w:fldChar w:fldCharType="begin"/>
      </w:r>
      <w:r w:rsidRPr="00931024">
        <w:rPr>
          <w:rFonts w:cs="Times New Roman"/>
          <w:b/>
          <w:i w:val="0"/>
          <w:color w:val="auto"/>
          <w:sz w:val="20"/>
          <w:szCs w:val="20"/>
        </w:rPr>
        <w:instrText xml:space="preserve"> SEQ Tabela \* ARABIC </w:instrText>
      </w:r>
      <w:r w:rsidRPr="00931024">
        <w:rPr>
          <w:rFonts w:cs="Times New Roman"/>
          <w:b/>
          <w:i w:val="0"/>
          <w:color w:val="auto"/>
          <w:sz w:val="20"/>
          <w:szCs w:val="20"/>
        </w:rPr>
        <w:fldChar w:fldCharType="separate"/>
      </w:r>
      <w:r w:rsidR="00A2511D">
        <w:rPr>
          <w:rFonts w:cs="Times New Roman"/>
          <w:b/>
          <w:i w:val="0"/>
          <w:noProof/>
          <w:color w:val="auto"/>
          <w:sz w:val="20"/>
          <w:szCs w:val="20"/>
        </w:rPr>
        <w:t>6</w:t>
      </w:r>
      <w:r w:rsidRPr="00931024">
        <w:rPr>
          <w:rFonts w:cs="Times New Roman"/>
          <w:b/>
          <w:i w:val="0"/>
          <w:color w:val="auto"/>
          <w:sz w:val="20"/>
          <w:szCs w:val="20"/>
        </w:rPr>
        <w:fldChar w:fldCharType="end"/>
      </w:r>
      <w:r w:rsidRPr="00931024">
        <w:rPr>
          <w:rFonts w:cs="Times New Roman"/>
          <w:b/>
          <w:i w:val="0"/>
          <w:color w:val="auto"/>
          <w:sz w:val="20"/>
          <w:szCs w:val="20"/>
        </w:rPr>
        <w:t xml:space="preserve"> - Matriz de correlação</w:t>
      </w:r>
    </w:p>
    <w:tbl>
      <w:tblPr>
        <w:tblW w:w="5000" w:type="pct"/>
        <w:tblCellMar>
          <w:left w:w="70" w:type="dxa"/>
          <w:right w:w="70" w:type="dxa"/>
        </w:tblCellMar>
        <w:tblLook w:val="04A0" w:firstRow="1" w:lastRow="0" w:firstColumn="1" w:lastColumn="0" w:noHBand="0" w:noVBand="1"/>
      </w:tblPr>
      <w:tblGrid>
        <w:gridCol w:w="1601"/>
        <w:gridCol w:w="1424"/>
        <w:gridCol w:w="1511"/>
        <w:gridCol w:w="1511"/>
        <w:gridCol w:w="1513"/>
        <w:gridCol w:w="1511"/>
      </w:tblGrid>
      <w:tr w:rsidR="00931024" w:rsidRPr="00931024" w:rsidTr="007048B8">
        <w:trPr>
          <w:trHeight w:val="87"/>
        </w:trPr>
        <w:tc>
          <w:tcPr>
            <w:tcW w:w="1667" w:type="pct"/>
            <w:gridSpan w:val="2"/>
            <w:tcBorders>
              <w:top w:val="single" w:sz="18" w:space="0" w:color="auto"/>
              <w:left w:val="nil"/>
              <w:bottom w:val="single" w:sz="18" w:space="0" w:color="auto"/>
              <w:right w:val="single" w:sz="8" w:space="0" w:color="auto"/>
            </w:tcBorders>
            <w:shd w:val="clear" w:color="auto" w:fill="auto"/>
            <w:noWrap/>
            <w:vAlign w:val="center"/>
            <w:hideMark/>
          </w:tcPr>
          <w:p w:rsidR="00F07CA5" w:rsidRPr="00931024" w:rsidRDefault="00F07CA5" w:rsidP="000039AB">
            <w:pPr>
              <w:spacing w:line="180" w:lineRule="exact"/>
              <w:jc w:val="center"/>
              <w:rPr>
                <w:rFonts w:eastAsia="Times New Roman"/>
                <w:b/>
                <w:bCs/>
                <w:sz w:val="20"/>
                <w:szCs w:val="20"/>
                <w:lang w:eastAsia="pt-BR"/>
              </w:rPr>
            </w:pPr>
          </w:p>
        </w:tc>
        <w:tc>
          <w:tcPr>
            <w:tcW w:w="2500" w:type="pct"/>
            <w:gridSpan w:val="3"/>
            <w:tcBorders>
              <w:top w:val="single" w:sz="18" w:space="0" w:color="auto"/>
              <w:left w:val="single" w:sz="8" w:space="0" w:color="auto"/>
              <w:bottom w:val="single" w:sz="18" w:space="0" w:color="auto"/>
              <w:right w:val="single" w:sz="8" w:space="0" w:color="auto"/>
            </w:tcBorders>
            <w:shd w:val="clear" w:color="auto" w:fill="auto"/>
            <w:noWrap/>
            <w:vAlign w:val="center"/>
            <w:hideMark/>
          </w:tcPr>
          <w:p w:rsidR="00F07CA5" w:rsidRPr="00931024" w:rsidRDefault="00F07CA5" w:rsidP="000039AB">
            <w:pPr>
              <w:spacing w:line="180" w:lineRule="exact"/>
              <w:jc w:val="center"/>
              <w:rPr>
                <w:rFonts w:eastAsia="Times New Roman"/>
                <w:b/>
                <w:sz w:val="20"/>
                <w:szCs w:val="20"/>
                <w:lang w:eastAsia="pt-BR"/>
              </w:rPr>
            </w:pPr>
            <w:r w:rsidRPr="00931024">
              <w:rPr>
                <w:rFonts w:eastAsia="Times New Roman"/>
                <w:b/>
                <w:sz w:val="20"/>
                <w:szCs w:val="20"/>
                <w:lang w:eastAsia="pt-BR"/>
              </w:rPr>
              <w:t>CAP_ABS</w:t>
            </w:r>
          </w:p>
        </w:tc>
        <w:tc>
          <w:tcPr>
            <w:tcW w:w="833" w:type="pct"/>
            <w:tcBorders>
              <w:top w:val="single" w:sz="18" w:space="0" w:color="auto"/>
              <w:left w:val="single" w:sz="8" w:space="0" w:color="auto"/>
              <w:bottom w:val="single" w:sz="18" w:space="0" w:color="auto"/>
              <w:right w:val="nil"/>
            </w:tcBorders>
            <w:shd w:val="clear" w:color="auto" w:fill="auto"/>
            <w:noWrap/>
            <w:vAlign w:val="center"/>
            <w:hideMark/>
          </w:tcPr>
          <w:p w:rsidR="00F07CA5" w:rsidRPr="00931024" w:rsidRDefault="00F07CA5" w:rsidP="000039AB">
            <w:pPr>
              <w:spacing w:line="180" w:lineRule="exact"/>
              <w:jc w:val="center"/>
              <w:rPr>
                <w:rFonts w:eastAsia="Times New Roman"/>
                <w:sz w:val="20"/>
                <w:szCs w:val="20"/>
                <w:lang w:eastAsia="pt-BR"/>
              </w:rPr>
            </w:pPr>
          </w:p>
        </w:tc>
      </w:tr>
      <w:tr w:rsidR="00931024" w:rsidRPr="00931024" w:rsidTr="007048B8">
        <w:trPr>
          <w:trHeight w:val="63"/>
        </w:trPr>
        <w:tc>
          <w:tcPr>
            <w:tcW w:w="882" w:type="pct"/>
            <w:tcBorders>
              <w:top w:val="single" w:sz="18" w:space="0" w:color="auto"/>
              <w:left w:val="nil"/>
              <w:bottom w:val="single" w:sz="8" w:space="0" w:color="auto"/>
              <w:right w:val="single" w:sz="8" w:space="0" w:color="auto"/>
            </w:tcBorders>
            <w:shd w:val="clear" w:color="auto" w:fill="auto"/>
            <w:noWrap/>
            <w:vAlign w:val="center"/>
            <w:hideMark/>
          </w:tcPr>
          <w:p w:rsidR="00F07CA5" w:rsidRPr="00931024" w:rsidRDefault="00F07CA5" w:rsidP="000039AB">
            <w:pPr>
              <w:spacing w:line="180" w:lineRule="exact"/>
              <w:jc w:val="center"/>
              <w:rPr>
                <w:rFonts w:eastAsia="Times New Roman"/>
                <w:b/>
                <w:bCs/>
                <w:sz w:val="20"/>
                <w:szCs w:val="20"/>
                <w:lang w:eastAsia="pt-BR"/>
              </w:rPr>
            </w:pPr>
            <w:r w:rsidRPr="00931024">
              <w:rPr>
                <w:rFonts w:eastAsia="Times New Roman"/>
                <w:b/>
                <w:bCs/>
                <w:sz w:val="20"/>
                <w:szCs w:val="20"/>
                <w:lang w:eastAsia="pt-BR"/>
              </w:rPr>
              <w:t>Variável</w:t>
            </w:r>
          </w:p>
        </w:tc>
        <w:tc>
          <w:tcPr>
            <w:tcW w:w="785" w:type="pct"/>
            <w:tcBorders>
              <w:top w:val="single" w:sz="18" w:space="0" w:color="auto"/>
              <w:left w:val="single" w:sz="8" w:space="0" w:color="auto"/>
              <w:bottom w:val="single" w:sz="8" w:space="0" w:color="auto"/>
              <w:right w:val="single" w:sz="8" w:space="0" w:color="auto"/>
            </w:tcBorders>
            <w:shd w:val="clear" w:color="auto" w:fill="auto"/>
            <w:noWrap/>
            <w:vAlign w:val="center"/>
            <w:hideMark/>
          </w:tcPr>
          <w:p w:rsidR="00F07CA5" w:rsidRPr="00931024" w:rsidRDefault="00F07CA5" w:rsidP="000039AB">
            <w:pPr>
              <w:spacing w:line="180" w:lineRule="exact"/>
              <w:jc w:val="center"/>
              <w:rPr>
                <w:rFonts w:eastAsia="Times New Roman"/>
                <w:b/>
                <w:bCs/>
                <w:sz w:val="20"/>
                <w:szCs w:val="20"/>
                <w:lang w:eastAsia="pt-BR"/>
              </w:rPr>
            </w:pPr>
            <w:r w:rsidRPr="00931024">
              <w:rPr>
                <w:rFonts w:eastAsia="Times New Roman"/>
                <w:b/>
                <w:bCs/>
                <w:sz w:val="20"/>
                <w:szCs w:val="20"/>
                <w:lang w:eastAsia="pt-BR"/>
              </w:rPr>
              <w:t>SEI</w:t>
            </w:r>
          </w:p>
        </w:tc>
        <w:tc>
          <w:tcPr>
            <w:tcW w:w="833" w:type="pct"/>
            <w:tcBorders>
              <w:top w:val="single" w:sz="18" w:space="0" w:color="auto"/>
              <w:left w:val="single" w:sz="8" w:space="0" w:color="auto"/>
              <w:bottom w:val="single" w:sz="8" w:space="0" w:color="auto"/>
              <w:right w:val="single" w:sz="8" w:space="0" w:color="auto"/>
            </w:tcBorders>
            <w:shd w:val="clear" w:color="auto" w:fill="auto"/>
            <w:noWrap/>
            <w:vAlign w:val="center"/>
            <w:hideMark/>
          </w:tcPr>
          <w:p w:rsidR="00F07CA5" w:rsidRPr="00931024" w:rsidRDefault="00F07CA5" w:rsidP="000039AB">
            <w:pPr>
              <w:spacing w:line="180" w:lineRule="exact"/>
              <w:jc w:val="center"/>
              <w:rPr>
                <w:rFonts w:eastAsia="Times New Roman"/>
                <w:b/>
                <w:bCs/>
                <w:sz w:val="20"/>
                <w:szCs w:val="20"/>
                <w:lang w:eastAsia="pt-BR"/>
              </w:rPr>
            </w:pPr>
            <w:r w:rsidRPr="00931024">
              <w:rPr>
                <w:rFonts w:eastAsia="Times New Roman"/>
                <w:b/>
                <w:bCs/>
                <w:sz w:val="20"/>
                <w:szCs w:val="20"/>
                <w:lang w:eastAsia="pt-BR"/>
              </w:rPr>
              <w:t>CAC</w:t>
            </w:r>
          </w:p>
        </w:tc>
        <w:tc>
          <w:tcPr>
            <w:tcW w:w="833" w:type="pct"/>
            <w:tcBorders>
              <w:top w:val="single" w:sz="18" w:space="0" w:color="auto"/>
              <w:left w:val="single" w:sz="8" w:space="0" w:color="auto"/>
              <w:bottom w:val="single" w:sz="8" w:space="0" w:color="auto"/>
              <w:right w:val="single" w:sz="8" w:space="0" w:color="auto"/>
            </w:tcBorders>
            <w:shd w:val="clear" w:color="auto" w:fill="auto"/>
            <w:noWrap/>
            <w:vAlign w:val="center"/>
            <w:hideMark/>
          </w:tcPr>
          <w:p w:rsidR="00F07CA5" w:rsidRPr="00931024" w:rsidRDefault="00F07CA5" w:rsidP="000039AB">
            <w:pPr>
              <w:spacing w:line="180" w:lineRule="exact"/>
              <w:jc w:val="center"/>
              <w:rPr>
                <w:rFonts w:eastAsia="Times New Roman"/>
                <w:b/>
                <w:bCs/>
                <w:sz w:val="20"/>
                <w:szCs w:val="20"/>
                <w:lang w:eastAsia="pt-BR"/>
              </w:rPr>
            </w:pPr>
            <w:r w:rsidRPr="00931024">
              <w:rPr>
                <w:rFonts w:eastAsia="Times New Roman"/>
                <w:b/>
                <w:bCs/>
                <w:sz w:val="20"/>
                <w:szCs w:val="20"/>
                <w:lang w:eastAsia="pt-BR"/>
              </w:rPr>
              <w:t>CAR</w:t>
            </w:r>
          </w:p>
        </w:tc>
        <w:tc>
          <w:tcPr>
            <w:tcW w:w="834" w:type="pct"/>
            <w:tcBorders>
              <w:top w:val="single" w:sz="18" w:space="0" w:color="auto"/>
              <w:left w:val="single" w:sz="8" w:space="0" w:color="auto"/>
              <w:bottom w:val="single" w:sz="8" w:space="0" w:color="auto"/>
              <w:right w:val="single" w:sz="8" w:space="0" w:color="auto"/>
            </w:tcBorders>
            <w:shd w:val="clear" w:color="auto" w:fill="auto"/>
            <w:noWrap/>
            <w:vAlign w:val="center"/>
            <w:hideMark/>
          </w:tcPr>
          <w:p w:rsidR="00F07CA5" w:rsidRPr="00931024" w:rsidRDefault="00F07CA5" w:rsidP="000039AB">
            <w:pPr>
              <w:spacing w:line="180" w:lineRule="exact"/>
              <w:jc w:val="center"/>
              <w:rPr>
                <w:rFonts w:eastAsia="Times New Roman"/>
                <w:b/>
                <w:bCs/>
                <w:sz w:val="20"/>
                <w:szCs w:val="20"/>
                <w:lang w:eastAsia="pt-BR"/>
              </w:rPr>
            </w:pPr>
            <w:r w:rsidRPr="00931024">
              <w:rPr>
                <w:rFonts w:eastAsia="Times New Roman"/>
                <w:b/>
                <w:bCs/>
                <w:sz w:val="20"/>
                <w:szCs w:val="20"/>
                <w:lang w:eastAsia="pt-BR"/>
              </w:rPr>
              <w:t>CACL</w:t>
            </w:r>
          </w:p>
        </w:tc>
        <w:tc>
          <w:tcPr>
            <w:tcW w:w="833" w:type="pct"/>
            <w:tcBorders>
              <w:top w:val="single" w:sz="18" w:space="0" w:color="auto"/>
              <w:left w:val="single" w:sz="8" w:space="0" w:color="auto"/>
              <w:bottom w:val="single" w:sz="8" w:space="0" w:color="auto"/>
              <w:right w:val="nil"/>
            </w:tcBorders>
            <w:shd w:val="clear" w:color="auto" w:fill="auto"/>
            <w:noWrap/>
            <w:vAlign w:val="center"/>
            <w:hideMark/>
          </w:tcPr>
          <w:p w:rsidR="00F07CA5" w:rsidRPr="00931024" w:rsidRDefault="00F07CA5" w:rsidP="000039AB">
            <w:pPr>
              <w:spacing w:line="180" w:lineRule="exact"/>
              <w:jc w:val="center"/>
              <w:rPr>
                <w:rFonts w:eastAsia="Times New Roman"/>
                <w:b/>
                <w:bCs/>
                <w:sz w:val="20"/>
                <w:szCs w:val="20"/>
                <w:lang w:eastAsia="pt-BR"/>
              </w:rPr>
            </w:pPr>
            <w:r w:rsidRPr="00931024">
              <w:rPr>
                <w:rFonts w:eastAsia="Times New Roman"/>
                <w:b/>
                <w:bCs/>
                <w:sz w:val="20"/>
                <w:szCs w:val="20"/>
                <w:lang w:eastAsia="pt-BR"/>
              </w:rPr>
              <w:t>GCI</w:t>
            </w:r>
          </w:p>
        </w:tc>
      </w:tr>
      <w:tr w:rsidR="00931024" w:rsidRPr="00931024" w:rsidTr="007048B8">
        <w:trPr>
          <w:trHeight w:val="50"/>
        </w:trPr>
        <w:tc>
          <w:tcPr>
            <w:tcW w:w="882" w:type="pct"/>
            <w:tcBorders>
              <w:top w:val="single" w:sz="8" w:space="0" w:color="auto"/>
              <w:left w:val="nil"/>
              <w:bottom w:val="single" w:sz="8" w:space="0" w:color="auto"/>
              <w:right w:val="single" w:sz="8" w:space="0" w:color="auto"/>
            </w:tcBorders>
            <w:shd w:val="clear" w:color="auto" w:fill="auto"/>
            <w:noWrap/>
            <w:vAlign w:val="center"/>
            <w:hideMark/>
          </w:tcPr>
          <w:p w:rsidR="00F07CA5" w:rsidRPr="00931024" w:rsidRDefault="00F07CA5" w:rsidP="000039AB">
            <w:pPr>
              <w:spacing w:line="180" w:lineRule="exact"/>
              <w:jc w:val="center"/>
              <w:rPr>
                <w:rFonts w:eastAsia="Times New Roman"/>
                <w:b/>
                <w:bCs/>
                <w:sz w:val="20"/>
                <w:szCs w:val="20"/>
                <w:lang w:eastAsia="pt-BR"/>
              </w:rPr>
            </w:pPr>
            <w:r w:rsidRPr="00931024">
              <w:rPr>
                <w:rFonts w:eastAsia="Times New Roman"/>
                <w:b/>
                <w:bCs/>
                <w:sz w:val="20"/>
                <w:szCs w:val="20"/>
                <w:lang w:eastAsia="pt-BR"/>
              </w:rPr>
              <w:t>SEI</w:t>
            </w:r>
          </w:p>
        </w:tc>
        <w:tc>
          <w:tcPr>
            <w:tcW w:w="78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07CA5" w:rsidRPr="00931024" w:rsidRDefault="00F07CA5" w:rsidP="000039AB">
            <w:pPr>
              <w:spacing w:line="180" w:lineRule="exact"/>
              <w:jc w:val="center"/>
              <w:rPr>
                <w:rFonts w:eastAsia="Times New Roman"/>
                <w:sz w:val="20"/>
                <w:szCs w:val="20"/>
                <w:lang w:eastAsia="pt-BR"/>
              </w:rPr>
            </w:pPr>
            <w:r w:rsidRPr="00931024">
              <w:rPr>
                <w:rFonts w:eastAsia="Times New Roman"/>
                <w:sz w:val="20"/>
                <w:szCs w:val="20"/>
                <w:lang w:eastAsia="pt-BR"/>
              </w:rPr>
              <w:t>1</w:t>
            </w:r>
          </w:p>
        </w:tc>
        <w:tc>
          <w:tcPr>
            <w:tcW w:w="833"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07CA5" w:rsidRPr="00931024" w:rsidRDefault="00F07CA5" w:rsidP="000039AB">
            <w:pPr>
              <w:spacing w:line="180" w:lineRule="exact"/>
              <w:jc w:val="center"/>
              <w:rPr>
                <w:rFonts w:eastAsia="Times New Roman"/>
                <w:sz w:val="20"/>
                <w:szCs w:val="20"/>
                <w:lang w:eastAsia="pt-BR"/>
              </w:rPr>
            </w:pPr>
          </w:p>
        </w:tc>
        <w:tc>
          <w:tcPr>
            <w:tcW w:w="833"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07CA5" w:rsidRPr="00931024" w:rsidRDefault="00F07CA5" w:rsidP="000039AB">
            <w:pPr>
              <w:spacing w:line="180" w:lineRule="exact"/>
              <w:jc w:val="center"/>
              <w:rPr>
                <w:rFonts w:eastAsia="Times New Roman"/>
                <w:sz w:val="20"/>
                <w:szCs w:val="20"/>
                <w:lang w:eastAsia="pt-BR"/>
              </w:rPr>
            </w:pPr>
          </w:p>
        </w:tc>
        <w:tc>
          <w:tcPr>
            <w:tcW w:w="83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07CA5" w:rsidRPr="00931024" w:rsidRDefault="00F07CA5" w:rsidP="000039AB">
            <w:pPr>
              <w:spacing w:line="180" w:lineRule="exact"/>
              <w:jc w:val="center"/>
              <w:rPr>
                <w:rFonts w:eastAsia="Times New Roman"/>
                <w:sz w:val="20"/>
                <w:szCs w:val="20"/>
                <w:lang w:eastAsia="pt-BR"/>
              </w:rPr>
            </w:pPr>
          </w:p>
        </w:tc>
        <w:tc>
          <w:tcPr>
            <w:tcW w:w="833" w:type="pct"/>
            <w:tcBorders>
              <w:top w:val="single" w:sz="8" w:space="0" w:color="auto"/>
              <w:left w:val="single" w:sz="8" w:space="0" w:color="auto"/>
              <w:bottom w:val="single" w:sz="8" w:space="0" w:color="auto"/>
              <w:right w:val="nil"/>
            </w:tcBorders>
            <w:shd w:val="clear" w:color="auto" w:fill="auto"/>
            <w:noWrap/>
            <w:vAlign w:val="center"/>
            <w:hideMark/>
          </w:tcPr>
          <w:p w:rsidR="00F07CA5" w:rsidRPr="00931024" w:rsidRDefault="00F07CA5" w:rsidP="000039AB">
            <w:pPr>
              <w:spacing w:line="180" w:lineRule="exact"/>
              <w:jc w:val="center"/>
              <w:rPr>
                <w:rFonts w:eastAsia="Times New Roman"/>
                <w:sz w:val="20"/>
                <w:szCs w:val="20"/>
                <w:lang w:eastAsia="pt-BR"/>
              </w:rPr>
            </w:pPr>
          </w:p>
        </w:tc>
      </w:tr>
      <w:tr w:rsidR="00931024" w:rsidRPr="00931024" w:rsidTr="000039AB">
        <w:trPr>
          <w:trHeight w:val="55"/>
        </w:trPr>
        <w:tc>
          <w:tcPr>
            <w:tcW w:w="882" w:type="pct"/>
            <w:tcBorders>
              <w:top w:val="single" w:sz="8" w:space="0" w:color="auto"/>
              <w:left w:val="nil"/>
              <w:bottom w:val="single" w:sz="8" w:space="0" w:color="auto"/>
              <w:right w:val="single" w:sz="8" w:space="0" w:color="auto"/>
            </w:tcBorders>
            <w:shd w:val="clear" w:color="auto" w:fill="auto"/>
            <w:noWrap/>
            <w:vAlign w:val="center"/>
            <w:hideMark/>
          </w:tcPr>
          <w:p w:rsidR="00F07CA5" w:rsidRPr="00931024" w:rsidRDefault="00F07CA5" w:rsidP="000039AB">
            <w:pPr>
              <w:spacing w:line="180" w:lineRule="exact"/>
              <w:jc w:val="center"/>
              <w:rPr>
                <w:rFonts w:eastAsia="Times New Roman"/>
                <w:b/>
                <w:bCs/>
                <w:sz w:val="20"/>
                <w:szCs w:val="20"/>
                <w:lang w:eastAsia="pt-BR"/>
              </w:rPr>
            </w:pPr>
            <w:r w:rsidRPr="00931024">
              <w:rPr>
                <w:rFonts w:eastAsia="Times New Roman"/>
                <w:b/>
                <w:bCs/>
                <w:sz w:val="20"/>
                <w:szCs w:val="20"/>
                <w:lang w:eastAsia="pt-BR"/>
              </w:rPr>
              <w:t>CAC</w:t>
            </w:r>
          </w:p>
        </w:tc>
        <w:tc>
          <w:tcPr>
            <w:tcW w:w="78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07CA5" w:rsidRPr="00931024" w:rsidRDefault="00F07CA5" w:rsidP="000039AB">
            <w:pPr>
              <w:spacing w:line="180" w:lineRule="exact"/>
              <w:jc w:val="center"/>
              <w:rPr>
                <w:rFonts w:eastAsia="Times New Roman"/>
                <w:sz w:val="20"/>
                <w:szCs w:val="20"/>
                <w:lang w:eastAsia="pt-BR"/>
              </w:rPr>
            </w:pPr>
            <w:r w:rsidRPr="00931024">
              <w:rPr>
                <w:rFonts w:eastAsia="Times New Roman"/>
                <w:sz w:val="20"/>
                <w:szCs w:val="20"/>
                <w:lang w:eastAsia="pt-BR"/>
              </w:rPr>
              <w:t>0,350**</w:t>
            </w:r>
          </w:p>
        </w:tc>
        <w:tc>
          <w:tcPr>
            <w:tcW w:w="833"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07CA5" w:rsidRPr="00931024" w:rsidRDefault="00F07CA5" w:rsidP="000039AB">
            <w:pPr>
              <w:spacing w:line="180" w:lineRule="exact"/>
              <w:jc w:val="center"/>
              <w:rPr>
                <w:rFonts w:eastAsia="Times New Roman"/>
                <w:sz w:val="20"/>
                <w:szCs w:val="20"/>
                <w:lang w:eastAsia="pt-BR"/>
              </w:rPr>
            </w:pPr>
            <w:r w:rsidRPr="00931024">
              <w:rPr>
                <w:rFonts w:eastAsia="Times New Roman"/>
                <w:sz w:val="20"/>
                <w:szCs w:val="20"/>
                <w:lang w:eastAsia="pt-BR"/>
              </w:rPr>
              <w:t>1</w:t>
            </w:r>
          </w:p>
        </w:tc>
        <w:tc>
          <w:tcPr>
            <w:tcW w:w="833"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07CA5" w:rsidRPr="00931024" w:rsidRDefault="00F07CA5" w:rsidP="000039AB">
            <w:pPr>
              <w:spacing w:line="180" w:lineRule="exact"/>
              <w:jc w:val="center"/>
              <w:rPr>
                <w:rFonts w:eastAsia="Times New Roman"/>
                <w:sz w:val="20"/>
                <w:szCs w:val="20"/>
                <w:lang w:eastAsia="pt-BR"/>
              </w:rPr>
            </w:pPr>
          </w:p>
        </w:tc>
        <w:tc>
          <w:tcPr>
            <w:tcW w:w="83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07CA5" w:rsidRPr="00931024" w:rsidRDefault="00F07CA5" w:rsidP="000039AB">
            <w:pPr>
              <w:spacing w:line="180" w:lineRule="exact"/>
              <w:jc w:val="center"/>
              <w:rPr>
                <w:rFonts w:eastAsia="Times New Roman"/>
                <w:sz w:val="20"/>
                <w:szCs w:val="20"/>
                <w:lang w:eastAsia="pt-BR"/>
              </w:rPr>
            </w:pPr>
          </w:p>
        </w:tc>
        <w:tc>
          <w:tcPr>
            <w:tcW w:w="833" w:type="pct"/>
            <w:tcBorders>
              <w:top w:val="single" w:sz="8" w:space="0" w:color="auto"/>
              <w:left w:val="single" w:sz="8" w:space="0" w:color="auto"/>
              <w:bottom w:val="single" w:sz="8" w:space="0" w:color="auto"/>
              <w:right w:val="nil"/>
            </w:tcBorders>
            <w:shd w:val="clear" w:color="auto" w:fill="auto"/>
            <w:noWrap/>
            <w:vAlign w:val="center"/>
            <w:hideMark/>
          </w:tcPr>
          <w:p w:rsidR="00F07CA5" w:rsidRPr="00931024" w:rsidRDefault="00F07CA5" w:rsidP="000039AB">
            <w:pPr>
              <w:spacing w:line="180" w:lineRule="exact"/>
              <w:jc w:val="center"/>
              <w:rPr>
                <w:rFonts w:eastAsia="Times New Roman"/>
                <w:sz w:val="20"/>
                <w:szCs w:val="20"/>
                <w:lang w:eastAsia="pt-BR"/>
              </w:rPr>
            </w:pPr>
          </w:p>
        </w:tc>
      </w:tr>
      <w:tr w:rsidR="00931024" w:rsidRPr="00931024" w:rsidTr="000039AB">
        <w:trPr>
          <w:trHeight w:val="50"/>
        </w:trPr>
        <w:tc>
          <w:tcPr>
            <w:tcW w:w="882" w:type="pct"/>
            <w:tcBorders>
              <w:top w:val="single" w:sz="8" w:space="0" w:color="auto"/>
              <w:left w:val="nil"/>
              <w:bottom w:val="single" w:sz="8" w:space="0" w:color="auto"/>
              <w:right w:val="single" w:sz="8" w:space="0" w:color="auto"/>
            </w:tcBorders>
            <w:shd w:val="clear" w:color="auto" w:fill="auto"/>
            <w:noWrap/>
            <w:vAlign w:val="center"/>
            <w:hideMark/>
          </w:tcPr>
          <w:p w:rsidR="00F07CA5" w:rsidRPr="00931024" w:rsidRDefault="00F07CA5" w:rsidP="000039AB">
            <w:pPr>
              <w:spacing w:line="180" w:lineRule="exact"/>
              <w:jc w:val="center"/>
              <w:rPr>
                <w:rFonts w:eastAsia="Times New Roman"/>
                <w:b/>
                <w:bCs/>
                <w:sz w:val="20"/>
                <w:szCs w:val="20"/>
                <w:lang w:eastAsia="pt-BR"/>
              </w:rPr>
            </w:pPr>
            <w:r w:rsidRPr="00931024">
              <w:rPr>
                <w:rFonts w:eastAsia="Times New Roman"/>
                <w:b/>
                <w:bCs/>
                <w:sz w:val="20"/>
                <w:szCs w:val="20"/>
                <w:lang w:eastAsia="pt-BR"/>
              </w:rPr>
              <w:t>CAR</w:t>
            </w:r>
          </w:p>
        </w:tc>
        <w:tc>
          <w:tcPr>
            <w:tcW w:w="78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07CA5" w:rsidRPr="00931024" w:rsidRDefault="00F07CA5" w:rsidP="000039AB">
            <w:pPr>
              <w:spacing w:line="180" w:lineRule="exact"/>
              <w:jc w:val="center"/>
              <w:rPr>
                <w:rFonts w:eastAsia="Times New Roman"/>
                <w:sz w:val="20"/>
                <w:szCs w:val="20"/>
                <w:lang w:eastAsia="pt-BR"/>
              </w:rPr>
            </w:pPr>
            <w:r w:rsidRPr="00931024">
              <w:rPr>
                <w:rFonts w:eastAsia="Times New Roman"/>
                <w:sz w:val="20"/>
                <w:szCs w:val="20"/>
                <w:lang w:eastAsia="pt-BR"/>
              </w:rPr>
              <w:t>0,531**</w:t>
            </w:r>
          </w:p>
        </w:tc>
        <w:tc>
          <w:tcPr>
            <w:tcW w:w="833"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07CA5" w:rsidRPr="00931024" w:rsidRDefault="00F07CA5" w:rsidP="000039AB">
            <w:pPr>
              <w:spacing w:line="180" w:lineRule="exact"/>
              <w:jc w:val="center"/>
              <w:rPr>
                <w:rFonts w:eastAsia="Times New Roman"/>
                <w:sz w:val="20"/>
                <w:szCs w:val="20"/>
                <w:lang w:eastAsia="pt-BR"/>
              </w:rPr>
            </w:pPr>
            <w:r w:rsidRPr="00931024">
              <w:rPr>
                <w:rFonts w:eastAsia="Times New Roman"/>
                <w:sz w:val="20"/>
                <w:szCs w:val="20"/>
                <w:lang w:eastAsia="pt-BR"/>
              </w:rPr>
              <w:t>0,534**</w:t>
            </w:r>
          </w:p>
        </w:tc>
        <w:tc>
          <w:tcPr>
            <w:tcW w:w="833"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07CA5" w:rsidRPr="00931024" w:rsidRDefault="00F07CA5" w:rsidP="000039AB">
            <w:pPr>
              <w:spacing w:line="180" w:lineRule="exact"/>
              <w:jc w:val="center"/>
              <w:rPr>
                <w:rFonts w:eastAsia="Times New Roman"/>
                <w:sz w:val="20"/>
                <w:szCs w:val="20"/>
                <w:lang w:eastAsia="pt-BR"/>
              </w:rPr>
            </w:pPr>
            <w:r w:rsidRPr="00931024">
              <w:rPr>
                <w:rFonts w:eastAsia="Times New Roman"/>
                <w:sz w:val="20"/>
                <w:szCs w:val="20"/>
                <w:lang w:eastAsia="pt-BR"/>
              </w:rPr>
              <w:t>1</w:t>
            </w:r>
          </w:p>
        </w:tc>
        <w:tc>
          <w:tcPr>
            <w:tcW w:w="83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07CA5" w:rsidRPr="00931024" w:rsidRDefault="00F07CA5" w:rsidP="000039AB">
            <w:pPr>
              <w:spacing w:line="180" w:lineRule="exact"/>
              <w:jc w:val="center"/>
              <w:rPr>
                <w:rFonts w:eastAsia="Times New Roman"/>
                <w:sz w:val="20"/>
                <w:szCs w:val="20"/>
                <w:lang w:eastAsia="pt-BR"/>
              </w:rPr>
            </w:pPr>
          </w:p>
        </w:tc>
        <w:tc>
          <w:tcPr>
            <w:tcW w:w="833" w:type="pct"/>
            <w:tcBorders>
              <w:top w:val="single" w:sz="8" w:space="0" w:color="auto"/>
              <w:left w:val="single" w:sz="8" w:space="0" w:color="auto"/>
              <w:bottom w:val="single" w:sz="8" w:space="0" w:color="auto"/>
              <w:right w:val="nil"/>
            </w:tcBorders>
            <w:shd w:val="clear" w:color="auto" w:fill="auto"/>
            <w:noWrap/>
            <w:vAlign w:val="center"/>
            <w:hideMark/>
          </w:tcPr>
          <w:p w:rsidR="00F07CA5" w:rsidRPr="00931024" w:rsidRDefault="00F07CA5" w:rsidP="000039AB">
            <w:pPr>
              <w:spacing w:line="180" w:lineRule="exact"/>
              <w:jc w:val="center"/>
              <w:rPr>
                <w:rFonts w:eastAsia="Times New Roman"/>
                <w:sz w:val="20"/>
                <w:szCs w:val="20"/>
                <w:lang w:eastAsia="pt-BR"/>
              </w:rPr>
            </w:pPr>
          </w:p>
        </w:tc>
      </w:tr>
      <w:tr w:rsidR="00931024" w:rsidRPr="00931024" w:rsidTr="007048B8">
        <w:trPr>
          <w:trHeight w:val="86"/>
        </w:trPr>
        <w:tc>
          <w:tcPr>
            <w:tcW w:w="882" w:type="pct"/>
            <w:tcBorders>
              <w:top w:val="single" w:sz="8" w:space="0" w:color="auto"/>
              <w:left w:val="nil"/>
              <w:bottom w:val="single" w:sz="8" w:space="0" w:color="auto"/>
              <w:right w:val="single" w:sz="8" w:space="0" w:color="auto"/>
            </w:tcBorders>
            <w:shd w:val="clear" w:color="auto" w:fill="auto"/>
            <w:noWrap/>
            <w:vAlign w:val="center"/>
            <w:hideMark/>
          </w:tcPr>
          <w:p w:rsidR="00F07CA5" w:rsidRPr="00931024" w:rsidRDefault="00F07CA5" w:rsidP="000039AB">
            <w:pPr>
              <w:spacing w:line="180" w:lineRule="exact"/>
              <w:jc w:val="center"/>
              <w:rPr>
                <w:rFonts w:eastAsia="Times New Roman"/>
                <w:b/>
                <w:bCs/>
                <w:sz w:val="20"/>
                <w:szCs w:val="20"/>
                <w:lang w:eastAsia="pt-BR"/>
              </w:rPr>
            </w:pPr>
            <w:r w:rsidRPr="00931024">
              <w:rPr>
                <w:rFonts w:eastAsia="Times New Roman"/>
                <w:b/>
                <w:bCs/>
                <w:sz w:val="20"/>
                <w:szCs w:val="20"/>
                <w:lang w:eastAsia="pt-BR"/>
              </w:rPr>
              <w:t>CACL</w:t>
            </w:r>
          </w:p>
        </w:tc>
        <w:tc>
          <w:tcPr>
            <w:tcW w:w="78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07CA5" w:rsidRPr="00931024" w:rsidRDefault="00F07CA5" w:rsidP="000039AB">
            <w:pPr>
              <w:spacing w:line="180" w:lineRule="exact"/>
              <w:jc w:val="center"/>
              <w:rPr>
                <w:rFonts w:eastAsia="Times New Roman"/>
                <w:sz w:val="20"/>
                <w:szCs w:val="20"/>
                <w:lang w:eastAsia="pt-BR"/>
              </w:rPr>
            </w:pPr>
            <w:r w:rsidRPr="00931024">
              <w:rPr>
                <w:rFonts w:eastAsia="Times New Roman"/>
                <w:sz w:val="20"/>
                <w:szCs w:val="20"/>
                <w:lang w:eastAsia="pt-BR"/>
              </w:rPr>
              <w:t>0,359**</w:t>
            </w:r>
          </w:p>
        </w:tc>
        <w:tc>
          <w:tcPr>
            <w:tcW w:w="833"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07CA5" w:rsidRPr="00931024" w:rsidRDefault="00F07CA5" w:rsidP="000039AB">
            <w:pPr>
              <w:spacing w:line="180" w:lineRule="exact"/>
              <w:jc w:val="center"/>
              <w:rPr>
                <w:rFonts w:eastAsia="Times New Roman"/>
                <w:sz w:val="20"/>
                <w:szCs w:val="20"/>
                <w:lang w:eastAsia="pt-BR"/>
              </w:rPr>
            </w:pPr>
            <w:r w:rsidRPr="00931024">
              <w:rPr>
                <w:rFonts w:eastAsia="Times New Roman"/>
                <w:sz w:val="20"/>
                <w:szCs w:val="20"/>
                <w:lang w:eastAsia="pt-BR"/>
              </w:rPr>
              <w:t>0,441**</w:t>
            </w:r>
          </w:p>
        </w:tc>
        <w:tc>
          <w:tcPr>
            <w:tcW w:w="833"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07CA5" w:rsidRPr="00931024" w:rsidRDefault="00F07CA5" w:rsidP="000039AB">
            <w:pPr>
              <w:spacing w:line="180" w:lineRule="exact"/>
              <w:jc w:val="center"/>
              <w:rPr>
                <w:rFonts w:eastAsia="Times New Roman"/>
                <w:sz w:val="20"/>
                <w:szCs w:val="20"/>
                <w:lang w:eastAsia="pt-BR"/>
              </w:rPr>
            </w:pPr>
            <w:r w:rsidRPr="00931024">
              <w:rPr>
                <w:rFonts w:eastAsia="Times New Roman"/>
                <w:sz w:val="20"/>
                <w:szCs w:val="20"/>
                <w:lang w:eastAsia="pt-BR"/>
              </w:rPr>
              <w:t>0,461**</w:t>
            </w:r>
          </w:p>
        </w:tc>
        <w:tc>
          <w:tcPr>
            <w:tcW w:w="83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07CA5" w:rsidRPr="00931024" w:rsidRDefault="00F07CA5" w:rsidP="000039AB">
            <w:pPr>
              <w:spacing w:line="180" w:lineRule="exact"/>
              <w:jc w:val="center"/>
              <w:rPr>
                <w:rFonts w:eastAsia="Times New Roman"/>
                <w:sz w:val="20"/>
                <w:szCs w:val="20"/>
                <w:lang w:eastAsia="pt-BR"/>
              </w:rPr>
            </w:pPr>
            <w:r w:rsidRPr="00931024">
              <w:rPr>
                <w:rFonts w:eastAsia="Times New Roman"/>
                <w:sz w:val="20"/>
                <w:szCs w:val="20"/>
                <w:lang w:eastAsia="pt-BR"/>
              </w:rPr>
              <w:t>1</w:t>
            </w:r>
          </w:p>
        </w:tc>
        <w:tc>
          <w:tcPr>
            <w:tcW w:w="833" w:type="pct"/>
            <w:tcBorders>
              <w:top w:val="single" w:sz="8" w:space="0" w:color="auto"/>
              <w:left w:val="single" w:sz="8" w:space="0" w:color="auto"/>
              <w:bottom w:val="single" w:sz="8" w:space="0" w:color="auto"/>
              <w:right w:val="nil"/>
            </w:tcBorders>
            <w:shd w:val="clear" w:color="auto" w:fill="auto"/>
            <w:noWrap/>
            <w:vAlign w:val="center"/>
            <w:hideMark/>
          </w:tcPr>
          <w:p w:rsidR="00F07CA5" w:rsidRPr="00931024" w:rsidRDefault="00F07CA5" w:rsidP="000039AB">
            <w:pPr>
              <w:spacing w:line="180" w:lineRule="exact"/>
              <w:jc w:val="center"/>
              <w:rPr>
                <w:rFonts w:eastAsia="Times New Roman"/>
                <w:sz w:val="20"/>
                <w:szCs w:val="20"/>
                <w:lang w:eastAsia="pt-BR"/>
              </w:rPr>
            </w:pPr>
          </w:p>
        </w:tc>
      </w:tr>
      <w:tr w:rsidR="00931024" w:rsidRPr="00931024" w:rsidTr="007048B8">
        <w:trPr>
          <w:trHeight w:val="160"/>
        </w:trPr>
        <w:tc>
          <w:tcPr>
            <w:tcW w:w="882" w:type="pct"/>
            <w:tcBorders>
              <w:top w:val="single" w:sz="8" w:space="0" w:color="auto"/>
              <w:left w:val="nil"/>
              <w:bottom w:val="single" w:sz="18" w:space="0" w:color="auto"/>
              <w:right w:val="single" w:sz="8" w:space="0" w:color="auto"/>
            </w:tcBorders>
            <w:shd w:val="clear" w:color="auto" w:fill="auto"/>
            <w:noWrap/>
            <w:vAlign w:val="center"/>
            <w:hideMark/>
          </w:tcPr>
          <w:p w:rsidR="00F07CA5" w:rsidRPr="00931024" w:rsidRDefault="00F07CA5" w:rsidP="000039AB">
            <w:pPr>
              <w:spacing w:line="180" w:lineRule="exact"/>
              <w:jc w:val="center"/>
              <w:rPr>
                <w:rFonts w:eastAsia="Times New Roman"/>
                <w:b/>
                <w:bCs/>
                <w:sz w:val="20"/>
                <w:szCs w:val="20"/>
                <w:lang w:eastAsia="pt-BR"/>
              </w:rPr>
            </w:pPr>
            <w:r w:rsidRPr="00931024">
              <w:rPr>
                <w:rFonts w:eastAsia="Times New Roman"/>
                <w:b/>
                <w:bCs/>
                <w:sz w:val="20"/>
                <w:szCs w:val="20"/>
                <w:lang w:eastAsia="pt-BR"/>
              </w:rPr>
              <w:t>GCI</w:t>
            </w:r>
          </w:p>
        </w:tc>
        <w:tc>
          <w:tcPr>
            <w:tcW w:w="785" w:type="pct"/>
            <w:tcBorders>
              <w:top w:val="single" w:sz="8" w:space="0" w:color="auto"/>
              <w:left w:val="single" w:sz="8" w:space="0" w:color="auto"/>
              <w:bottom w:val="single" w:sz="18" w:space="0" w:color="auto"/>
              <w:right w:val="single" w:sz="8" w:space="0" w:color="auto"/>
            </w:tcBorders>
            <w:shd w:val="clear" w:color="auto" w:fill="auto"/>
            <w:noWrap/>
            <w:vAlign w:val="center"/>
            <w:hideMark/>
          </w:tcPr>
          <w:p w:rsidR="00F07CA5" w:rsidRPr="00931024" w:rsidRDefault="00F07CA5" w:rsidP="000039AB">
            <w:pPr>
              <w:spacing w:line="180" w:lineRule="exact"/>
              <w:jc w:val="center"/>
              <w:rPr>
                <w:rFonts w:eastAsia="Times New Roman"/>
                <w:sz w:val="20"/>
                <w:szCs w:val="20"/>
                <w:lang w:eastAsia="pt-BR"/>
              </w:rPr>
            </w:pPr>
            <w:r w:rsidRPr="00931024">
              <w:rPr>
                <w:rFonts w:eastAsia="Times New Roman"/>
                <w:sz w:val="20"/>
                <w:szCs w:val="20"/>
                <w:lang w:eastAsia="pt-BR"/>
              </w:rPr>
              <w:t>0,459**</w:t>
            </w:r>
          </w:p>
        </w:tc>
        <w:tc>
          <w:tcPr>
            <w:tcW w:w="833" w:type="pct"/>
            <w:tcBorders>
              <w:top w:val="single" w:sz="8" w:space="0" w:color="auto"/>
              <w:left w:val="single" w:sz="8" w:space="0" w:color="auto"/>
              <w:bottom w:val="single" w:sz="18" w:space="0" w:color="auto"/>
              <w:right w:val="single" w:sz="8" w:space="0" w:color="auto"/>
            </w:tcBorders>
            <w:shd w:val="clear" w:color="auto" w:fill="auto"/>
            <w:noWrap/>
            <w:vAlign w:val="center"/>
            <w:hideMark/>
          </w:tcPr>
          <w:p w:rsidR="00F07CA5" w:rsidRPr="00931024" w:rsidRDefault="00F07CA5" w:rsidP="000039AB">
            <w:pPr>
              <w:spacing w:line="180" w:lineRule="exact"/>
              <w:jc w:val="center"/>
              <w:rPr>
                <w:rFonts w:eastAsia="Times New Roman"/>
                <w:sz w:val="20"/>
                <w:szCs w:val="20"/>
                <w:lang w:eastAsia="pt-BR"/>
              </w:rPr>
            </w:pPr>
            <w:r w:rsidRPr="00931024">
              <w:rPr>
                <w:rFonts w:eastAsia="Times New Roman"/>
                <w:sz w:val="20"/>
                <w:szCs w:val="20"/>
                <w:lang w:eastAsia="pt-BR"/>
              </w:rPr>
              <w:t>0,349**</w:t>
            </w:r>
          </w:p>
        </w:tc>
        <w:tc>
          <w:tcPr>
            <w:tcW w:w="833" w:type="pct"/>
            <w:tcBorders>
              <w:top w:val="single" w:sz="8" w:space="0" w:color="auto"/>
              <w:left w:val="single" w:sz="8" w:space="0" w:color="auto"/>
              <w:bottom w:val="single" w:sz="18" w:space="0" w:color="auto"/>
              <w:right w:val="single" w:sz="8" w:space="0" w:color="auto"/>
            </w:tcBorders>
            <w:shd w:val="clear" w:color="auto" w:fill="auto"/>
            <w:noWrap/>
            <w:vAlign w:val="center"/>
            <w:hideMark/>
          </w:tcPr>
          <w:p w:rsidR="00F07CA5" w:rsidRPr="00931024" w:rsidRDefault="00F07CA5" w:rsidP="000039AB">
            <w:pPr>
              <w:spacing w:line="180" w:lineRule="exact"/>
              <w:jc w:val="center"/>
              <w:rPr>
                <w:rFonts w:eastAsia="Times New Roman"/>
                <w:sz w:val="20"/>
                <w:szCs w:val="20"/>
                <w:lang w:eastAsia="pt-BR"/>
              </w:rPr>
            </w:pPr>
            <w:r w:rsidRPr="00931024">
              <w:rPr>
                <w:rFonts w:eastAsia="Times New Roman"/>
                <w:sz w:val="20"/>
                <w:szCs w:val="20"/>
                <w:lang w:eastAsia="pt-BR"/>
              </w:rPr>
              <w:t>0,471**</w:t>
            </w:r>
          </w:p>
        </w:tc>
        <w:tc>
          <w:tcPr>
            <w:tcW w:w="834" w:type="pct"/>
            <w:tcBorders>
              <w:top w:val="single" w:sz="8" w:space="0" w:color="auto"/>
              <w:left w:val="single" w:sz="8" w:space="0" w:color="auto"/>
              <w:bottom w:val="single" w:sz="18" w:space="0" w:color="auto"/>
              <w:right w:val="single" w:sz="8" w:space="0" w:color="auto"/>
            </w:tcBorders>
            <w:shd w:val="clear" w:color="auto" w:fill="auto"/>
            <w:noWrap/>
            <w:vAlign w:val="center"/>
            <w:hideMark/>
          </w:tcPr>
          <w:p w:rsidR="00F07CA5" w:rsidRPr="00931024" w:rsidRDefault="00F07CA5" w:rsidP="000039AB">
            <w:pPr>
              <w:spacing w:line="180" w:lineRule="exact"/>
              <w:jc w:val="center"/>
              <w:rPr>
                <w:rFonts w:eastAsia="Times New Roman"/>
                <w:sz w:val="20"/>
                <w:szCs w:val="20"/>
                <w:lang w:eastAsia="pt-BR"/>
              </w:rPr>
            </w:pPr>
            <w:r w:rsidRPr="00931024">
              <w:rPr>
                <w:rFonts w:eastAsia="Times New Roman"/>
                <w:sz w:val="20"/>
                <w:szCs w:val="20"/>
                <w:lang w:eastAsia="pt-BR"/>
              </w:rPr>
              <w:t>0,402**</w:t>
            </w:r>
          </w:p>
        </w:tc>
        <w:tc>
          <w:tcPr>
            <w:tcW w:w="833" w:type="pct"/>
            <w:tcBorders>
              <w:top w:val="single" w:sz="8" w:space="0" w:color="auto"/>
              <w:left w:val="single" w:sz="8" w:space="0" w:color="auto"/>
              <w:bottom w:val="single" w:sz="18" w:space="0" w:color="auto"/>
              <w:right w:val="nil"/>
            </w:tcBorders>
            <w:shd w:val="clear" w:color="auto" w:fill="auto"/>
            <w:noWrap/>
            <w:vAlign w:val="center"/>
            <w:hideMark/>
          </w:tcPr>
          <w:p w:rsidR="00F07CA5" w:rsidRPr="00931024" w:rsidRDefault="00F07CA5" w:rsidP="000039AB">
            <w:pPr>
              <w:spacing w:line="180" w:lineRule="exact"/>
              <w:jc w:val="center"/>
              <w:rPr>
                <w:rFonts w:eastAsia="Times New Roman"/>
                <w:sz w:val="20"/>
                <w:szCs w:val="20"/>
                <w:lang w:eastAsia="pt-BR"/>
              </w:rPr>
            </w:pPr>
            <w:r w:rsidRPr="00931024">
              <w:rPr>
                <w:rFonts w:eastAsia="Times New Roman"/>
                <w:sz w:val="20"/>
                <w:szCs w:val="20"/>
                <w:lang w:eastAsia="pt-BR"/>
              </w:rPr>
              <w:t>1</w:t>
            </w:r>
          </w:p>
        </w:tc>
      </w:tr>
    </w:tbl>
    <w:p w:rsidR="00FA7000" w:rsidRPr="00931024" w:rsidRDefault="003E2177" w:rsidP="00FA7000">
      <w:pPr>
        <w:autoSpaceDE w:val="0"/>
        <w:autoSpaceDN w:val="0"/>
        <w:adjustRightInd w:val="0"/>
        <w:jc w:val="left"/>
        <w:rPr>
          <w:sz w:val="20"/>
          <w:szCs w:val="20"/>
        </w:rPr>
      </w:pPr>
      <w:r w:rsidRPr="00931024">
        <w:rPr>
          <w:sz w:val="20"/>
          <w:szCs w:val="20"/>
        </w:rPr>
        <w:t>Legenda:</w:t>
      </w:r>
      <w:r w:rsidR="0078475F" w:rsidRPr="00931024">
        <w:rPr>
          <w:sz w:val="20"/>
          <w:szCs w:val="20"/>
        </w:rPr>
        <w:t xml:space="preserve"> </w:t>
      </w:r>
      <w:r w:rsidRPr="00931024">
        <w:rPr>
          <w:sz w:val="20"/>
          <w:szCs w:val="20"/>
        </w:rPr>
        <w:t>SEI - Sistemas Externos Integrados; CAC - Capacidade Absortiva Busca de Conhecimento; CAR - Capacidade Absortiva Rede de Comunicação; CACL - Capacidade Absortiva</w:t>
      </w:r>
      <w:r w:rsidR="0078475F" w:rsidRPr="00931024">
        <w:rPr>
          <w:sz w:val="20"/>
          <w:szCs w:val="20"/>
        </w:rPr>
        <w:t xml:space="preserve"> </w:t>
      </w:r>
      <w:r w:rsidRPr="00931024">
        <w:rPr>
          <w:sz w:val="20"/>
          <w:szCs w:val="20"/>
        </w:rPr>
        <w:t xml:space="preserve">Clima de Comunicação; </w:t>
      </w:r>
      <w:r w:rsidR="0078475F" w:rsidRPr="00931024">
        <w:rPr>
          <w:sz w:val="20"/>
          <w:szCs w:val="20"/>
        </w:rPr>
        <w:t>GCI -  Gestão de Custos Interorganizacionais.</w:t>
      </w:r>
      <w:r w:rsidR="000039AB">
        <w:rPr>
          <w:sz w:val="20"/>
          <w:szCs w:val="20"/>
        </w:rPr>
        <w:t xml:space="preserve"> </w:t>
      </w:r>
      <w:r w:rsidR="00FA7000" w:rsidRPr="00931024">
        <w:rPr>
          <w:sz w:val="20"/>
          <w:szCs w:val="20"/>
        </w:rPr>
        <w:t>** A correlação é significativa no nível de 0,01 (2 extremidades).</w:t>
      </w:r>
    </w:p>
    <w:p w:rsidR="0078475F" w:rsidRPr="00931024" w:rsidRDefault="00FA7000" w:rsidP="00FA7000">
      <w:pPr>
        <w:autoSpaceDE w:val="0"/>
        <w:autoSpaceDN w:val="0"/>
        <w:adjustRightInd w:val="0"/>
        <w:jc w:val="left"/>
      </w:pPr>
      <w:r w:rsidRPr="00931024">
        <w:rPr>
          <w:sz w:val="20"/>
          <w:szCs w:val="20"/>
        </w:rPr>
        <w:t>Fonte: d</w:t>
      </w:r>
      <w:r w:rsidR="004C11D4" w:rsidRPr="00931024">
        <w:rPr>
          <w:sz w:val="20"/>
          <w:szCs w:val="20"/>
        </w:rPr>
        <w:t>ados da p</w:t>
      </w:r>
      <w:r w:rsidRPr="00931024">
        <w:rPr>
          <w:sz w:val="20"/>
          <w:szCs w:val="20"/>
        </w:rPr>
        <w:t>esquisa.</w:t>
      </w:r>
    </w:p>
    <w:p w:rsidR="00F07CA5" w:rsidRPr="00931024" w:rsidRDefault="00F07CA5" w:rsidP="00B957DF">
      <w:pPr>
        <w:ind w:firstLine="709"/>
      </w:pPr>
    </w:p>
    <w:p w:rsidR="005A2ED5" w:rsidRPr="00931024" w:rsidRDefault="00BE56EA" w:rsidP="004F423A">
      <w:pPr>
        <w:autoSpaceDE w:val="0"/>
        <w:autoSpaceDN w:val="0"/>
        <w:adjustRightInd w:val="0"/>
        <w:ind w:firstLine="709"/>
        <w:rPr>
          <w:szCs w:val="24"/>
        </w:rPr>
      </w:pPr>
      <w:r w:rsidRPr="00931024">
        <w:rPr>
          <w:szCs w:val="24"/>
        </w:rPr>
        <w:t>Conforme exposto na Tabela 6, o</w:t>
      </w:r>
      <w:r w:rsidR="005A2ED5" w:rsidRPr="00931024">
        <w:rPr>
          <w:szCs w:val="24"/>
        </w:rPr>
        <w:t xml:space="preserve">s achados </w:t>
      </w:r>
      <w:r w:rsidR="00156BA3" w:rsidRPr="00931024">
        <w:rPr>
          <w:szCs w:val="24"/>
        </w:rPr>
        <w:t>sugerem</w:t>
      </w:r>
      <w:r w:rsidR="005A2ED5" w:rsidRPr="00931024">
        <w:rPr>
          <w:szCs w:val="24"/>
        </w:rPr>
        <w:t xml:space="preserve"> a existência de </w:t>
      </w:r>
      <w:r w:rsidR="00156BA3" w:rsidRPr="00931024">
        <w:rPr>
          <w:szCs w:val="24"/>
        </w:rPr>
        <w:t>cor</w:t>
      </w:r>
      <w:r w:rsidR="005A2ED5" w:rsidRPr="00931024">
        <w:rPr>
          <w:szCs w:val="24"/>
        </w:rPr>
        <w:t>relações positivas e estatisticamente</w:t>
      </w:r>
      <w:r w:rsidR="00C11C7D" w:rsidRPr="00931024">
        <w:rPr>
          <w:szCs w:val="24"/>
        </w:rPr>
        <w:t xml:space="preserve"> </w:t>
      </w:r>
      <w:r w:rsidR="005A2ED5" w:rsidRPr="00931024">
        <w:rPr>
          <w:szCs w:val="24"/>
        </w:rPr>
        <w:t>significativas entre os constructos de sistemas externos integrados com busca de conhecimento</w:t>
      </w:r>
      <w:r w:rsidR="00C11C7D" w:rsidRPr="00931024">
        <w:rPr>
          <w:szCs w:val="24"/>
        </w:rPr>
        <w:t xml:space="preserve"> </w:t>
      </w:r>
      <w:r w:rsidR="005A2ED5" w:rsidRPr="00931024">
        <w:rPr>
          <w:szCs w:val="24"/>
        </w:rPr>
        <w:t>(0,350), rede de comunicação (0,531), clima de comunicação (0,359), gestão interna de custos (0,208), gestão de custos interorganizacionais (0,459)</w:t>
      </w:r>
      <w:r w:rsidR="00C11C7D" w:rsidRPr="00931024">
        <w:rPr>
          <w:szCs w:val="24"/>
        </w:rPr>
        <w:t>.</w:t>
      </w:r>
    </w:p>
    <w:p w:rsidR="00CC6694" w:rsidRPr="00931024" w:rsidRDefault="00CC6694" w:rsidP="004F423A">
      <w:pPr>
        <w:autoSpaceDE w:val="0"/>
        <w:autoSpaceDN w:val="0"/>
        <w:adjustRightInd w:val="0"/>
        <w:ind w:firstLine="708"/>
        <w:rPr>
          <w:szCs w:val="24"/>
        </w:rPr>
      </w:pPr>
      <w:r w:rsidRPr="00931024">
        <w:rPr>
          <w:szCs w:val="24"/>
        </w:rPr>
        <w:t>Em síntese, os resultados encontrados nesta etapa da pesquisa permitem inferir que as</w:t>
      </w:r>
      <w:r w:rsidR="004F423A" w:rsidRPr="00931024">
        <w:rPr>
          <w:szCs w:val="24"/>
        </w:rPr>
        <w:t xml:space="preserve"> </w:t>
      </w:r>
      <w:r w:rsidRPr="00931024">
        <w:rPr>
          <w:szCs w:val="24"/>
        </w:rPr>
        <w:t>variáveis: sistemas externos integrados, capacidade absortiva (busca de</w:t>
      </w:r>
      <w:r w:rsidR="004F423A" w:rsidRPr="00931024">
        <w:rPr>
          <w:szCs w:val="24"/>
        </w:rPr>
        <w:t xml:space="preserve"> </w:t>
      </w:r>
      <w:r w:rsidR="00553F4B" w:rsidRPr="00931024">
        <w:rPr>
          <w:szCs w:val="24"/>
        </w:rPr>
        <w:t xml:space="preserve">conhecimento, rede de </w:t>
      </w:r>
      <w:r w:rsidRPr="00931024">
        <w:rPr>
          <w:szCs w:val="24"/>
        </w:rPr>
        <w:t>comunicação, e, clima de comunicação), e</w:t>
      </w:r>
      <w:r w:rsidR="004F423A" w:rsidRPr="00931024">
        <w:rPr>
          <w:szCs w:val="24"/>
        </w:rPr>
        <w:t xml:space="preserve"> </w:t>
      </w:r>
      <w:r w:rsidRPr="00931024">
        <w:rPr>
          <w:szCs w:val="24"/>
        </w:rPr>
        <w:t>gestão de custos interorganizacionais estão relacionados positivamente entre si</w:t>
      </w:r>
      <w:r w:rsidR="00553F4B" w:rsidRPr="00931024">
        <w:rPr>
          <w:szCs w:val="24"/>
        </w:rPr>
        <w:t>. Assim, denota-se que organizações que possuem</w:t>
      </w:r>
      <w:r w:rsidR="00AD7CDF" w:rsidRPr="00931024">
        <w:rPr>
          <w:szCs w:val="24"/>
        </w:rPr>
        <w:t xml:space="preserve"> capacidade absortiva e sistemas integrados com as empresas parceiras, tendem </w:t>
      </w:r>
      <w:r w:rsidR="00341E7D" w:rsidRPr="00931024">
        <w:rPr>
          <w:szCs w:val="24"/>
        </w:rPr>
        <w:t xml:space="preserve">a adotar estratégias interorganizacionais de gestão de custos. </w:t>
      </w:r>
    </w:p>
    <w:p w:rsidR="004C0902" w:rsidRPr="00931024" w:rsidRDefault="004C0902" w:rsidP="00B957DF">
      <w:pPr>
        <w:ind w:firstLine="709"/>
      </w:pPr>
    </w:p>
    <w:p w:rsidR="00B957DF" w:rsidRPr="00931024" w:rsidRDefault="00E03EFD" w:rsidP="00401F88">
      <w:pPr>
        <w:pStyle w:val="Ttulo2"/>
        <w:rPr>
          <w:rFonts w:cs="Times New Roman"/>
          <w:b/>
        </w:rPr>
      </w:pPr>
      <w:bookmarkStart w:id="1" w:name="_Toc467489938"/>
      <w:r w:rsidRPr="00931024">
        <w:rPr>
          <w:rFonts w:cs="Times New Roman"/>
          <w:b/>
          <w:caps w:val="0"/>
        </w:rPr>
        <w:t>4.2.</w:t>
      </w:r>
      <w:r w:rsidR="005E7D4B">
        <w:rPr>
          <w:rFonts w:cs="Times New Roman"/>
          <w:b/>
          <w:caps w:val="0"/>
        </w:rPr>
        <w:t xml:space="preserve"> </w:t>
      </w:r>
      <w:r w:rsidRPr="00931024">
        <w:rPr>
          <w:rFonts w:cs="Times New Roman"/>
          <w:b/>
          <w:caps w:val="0"/>
        </w:rPr>
        <w:t xml:space="preserve">Efeitos </w:t>
      </w:r>
      <w:bookmarkEnd w:id="1"/>
      <w:r w:rsidRPr="00931024">
        <w:rPr>
          <w:rFonts w:cs="Times New Roman"/>
          <w:b/>
          <w:caps w:val="0"/>
        </w:rPr>
        <w:t xml:space="preserve">dos recursos na adoção de práticas de </w:t>
      </w:r>
      <w:r w:rsidR="001168E6" w:rsidRPr="00931024">
        <w:rPr>
          <w:rFonts w:cs="Times New Roman"/>
          <w:b/>
          <w:caps w:val="0"/>
        </w:rPr>
        <w:t>GCI</w:t>
      </w:r>
    </w:p>
    <w:p w:rsidR="00D64988" w:rsidRPr="00931024" w:rsidRDefault="00392BA6" w:rsidP="00D64988">
      <w:pPr>
        <w:pStyle w:val="Ttulo3"/>
        <w:numPr>
          <w:ilvl w:val="0"/>
          <w:numId w:val="0"/>
        </w:numPr>
        <w:rPr>
          <w:rFonts w:cs="Times New Roman"/>
          <w:b w:val="0"/>
        </w:rPr>
      </w:pPr>
      <w:r w:rsidRPr="00931024">
        <w:rPr>
          <w:rFonts w:cs="Times New Roman"/>
          <w:b w:val="0"/>
        </w:rPr>
        <w:t>4.2</w:t>
      </w:r>
      <w:r w:rsidR="00D64988" w:rsidRPr="00931024">
        <w:rPr>
          <w:rFonts w:cs="Times New Roman"/>
          <w:b w:val="0"/>
        </w:rPr>
        <w:t>.1 Efeitos da Integração de Sistemas Externos</w:t>
      </w:r>
    </w:p>
    <w:p w:rsidR="00B957DF" w:rsidRPr="00931024" w:rsidRDefault="00A60B83" w:rsidP="008E3654">
      <w:pPr>
        <w:ind w:firstLine="709"/>
      </w:pPr>
      <w:r w:rsidRPr="00931024">
        <w:t>Efetuou-se a averiguação dos</w:t>
      </w:r>
      <w:r w:rsidR="008E3654" w:rsidRPr="00931024">
        <w:t xml:space="preserve"> </w:t>
      </w:r>
      <w:r w:rsidR="00B957DF" w:rsidRPr="00931024">
        <w:t xml:space="preserve">efeitos da integração eletrônica externa dos sistemas de informação na adoção de práticas de gestão de custos interorganizacionais, de modo direto e </w:t>
      </w:r>
      <w:r w:rsidR="00B957DF" w:rsidRPr="00931024">
        <w:lastRenderedPageBreak/>
        <w:t>indireto, tendo como variável mediadora a capacidade absortiva. Os resultados das regressões realizadas são apresentados n</w:t>
      </w:r>
      <w:r w:rsidR="005274C4" w:rsidRPr="00931024">
        <w:t>a Tabela 7.</w:t>
      </w:r>
    </w:p>
    <w:p w:rsidR="00B957DF" w:rsidRPr="00931024" w:rsidRDefault="00B957DF" w:rsidP="00B957DF"/>
    <w:p w:rsidR="00B957DF" w:rsidRPr="00931024" w:rsidRDefault="00B957DF" w:rsidP="00B957DF">
      <w:pPr>
        <w:pStyle w:val="Legenda"/>
        <w:keepNext/>
        <w:spacing w:after="0"/>
        <w:ind w:firstLine="0"/>
        <w:rPr>
          <w:rFonts w:cs="Times New Roman"/>
          <w:b/>
          <w:i w:val="0"/>
          <w:color w:val="auto"/>
          <w:sz w:val="20"/>
          <w:szCs w:val="20"/>
        </w:rPr>
      </w:pPr>
      <w:bookmarkStart w:id="2" w:name="_Toc467489476"/>
      <w:r w:rsidRPr="00931024">
        <w:rPr>
          <w:rFonts w:cs="Times New Roman"/>
          <w:b/>
          <w:i w:val="0"/>
          <w:color w:val="auto"/>
          <w:sz w:val="20"/>
          <w:szCs w:val="20"/>
        </w:rPr>
        <w:t xml:space="preserve">Tabela </w:t>
      </w:r>
      <w:r w:rsidRPr="00931024">
        <w:rPr>
          <w:rFonts w:cs="Times New Roman"/>
          <w:b/>
          <w:i w:val="0"/>
          <w:color w:val="auto"/>
          <w:sz w:val="20"/>
          <w:szCs w:val="20"/>
        </w:rPr>
        <w:fldChar w:fldCharType="begin"/>
      </w:r>
      <w:r w:rsidRPr="00931024">
        <w:rPr>
          <w:rFonts w:cs="Times New Roman"/>
          <w:b/>
          <w:i w:val="0"/>
          <w:color w:val="auto"/>
          <w:sz w:val="20"/>
          <w:szCs w:val="20"/>
        </w:rPr>
        <w:instrText xml:space="preserve"> SEQ Tabela \* ARABIC </w:instrText>
      </w:r>
      <w:r w:rsidRPr="00931024">
        <w:rPr>
          <w:rFonts w:cs="Times New Roman"/>
          <w:b/>
          <w:i w:val="0"/>
          <w:color w:val="auto"/>
          <w:sz w:val="20"/>
          <w:szCs w:val="20"/>
        </w:rPr>
        <w:fldChar w:fldCharType="separate"/>
      </w:r>
      <w:r w:rsidR="00A2511D">
        <w:rPr>
          <w:rFonts w:cs="Times New Roman"/>
          <w:b/>
          <w:i w:val="0"/>
          <w:noProof/>
          <w:color w:val="auto"/>
          <w:sz w:val="20"/>
          <w:szCs w:val="20"/>
        </w:rPr>
        <w:t>7</w:t>
      </w:r>
      <w:r w:rsidRPr="00931024">
        <w:rPr>
          <w:rFonts w:cs="Times New Roman"/>
          <w:b/>
          <w:i w:val="0"/>
          <w:color w:val="auto"/>
          <w:sz w:val="20"/>
          <w:szCs w:val="20"/>
        </w:rPr>
        <w:fldChar w:fldCharType="end"/>
      </w:r>
      <w:r w:rsidRPr="00931024">
        <w:rPr>
          <w:rFonts w:cs="Times New Roman"/>
          <w:b/>
          <w:i w:val="0"/>
          <w:color w:val="auto"/>
          <w:sz w:val="20"/>
          <w:szCs w:val="20"/>
        </w:rPr>
        <w:t xml:space="preserve">- Resultados dos efeitos SEI </w:t>
      </w:r>
      <w:proofErr w:type="spellStart"/>
      <w:r w:rsidRPr="00931024">
        <w:rPr>
          <w:rFonts w:cs="Times New Roman"/>
          <w:b/>
          <w:i w:val="0"/>
          <w:color w:val="auto"/>
          <w:sz w:val="20"/>
          <w:szCs w:val="20"/>
        </w:rPr>
        <w:t>na</w:t>
      </w:r>
      <w:proofErr w:type="spellEnd"/>
      <w:r w:rsidRPr="00931024">
        <w:rPr>
          <w:rFonts w:cs="Times New Roman"/>
          <w:b/>
          <w:i w:val="0"/>
          <w:color w:val="auto"/>
          <w:sz w:val="20"/>
          <w:szCs w:val="20"/>
        </w:rPr>
        <w:t xml:space="preserve"> GCI</w:t>
      </w:r>
      <w:bookmarkEnd w:id="2"/>
    </w:p>
    <w:tbl>
      <w:tblPr>
        <w:tblW w:w="5000" w:type="pct"/>
        <w:tblCellMar>
          <w:left w:w="70" w:type="dxa"/>
          <w:right w:w="70" w:type="dxa"/>
        </w:tblCellMar>
        <w:tblLook w:val="04A0" w:firstRow="1" w:lastRow="0" w:firstColumn="1" w:lastColumn="0" w:noHBand="0" w:noVBand="1"/>
      </w:tblPr>
      <w:tblGrid>
        <w:gridCol w:w="1543"/>
        <w:gridCol w:w="1559"/>
        <w:gridCol w:w="1134"/>
        <w:gridCol w:w="993"/>
        <w:gridCol w:w="928"/>
        <w:gridCol w:w="1128"/>
        <w:gridCol w:w="785"/>
        <w:gridCol w:w="971"/>
      </w:tblGrid>
      <w:tr w:rsidR="00B957DF" w:rsidRPr="00931024" w:rsidTr="006F68F2">
        <w:trPr>
          <w:trHeight w:val="460"/>
        </w:trPr>
        <w:tc>
          <w:tcPr>
            <w:tcW w:w="854" w:type="pct"/>
            <w:tcBorders>
              <w:top w:val="single" w:sz="12" w:space="0" w:color="auto"/>
              <w:left w:val="single" w:sz="12" w:space="0" w:color="FFFFFF" w:themeColor="background1"/>
              <w:bottom w:val="single" w:sz="12" w:space="0" w:color="auto"/>
              <w:right w:val="single" w:sz="4" w:space="0" w:color="auto"/>
            </w:tcBorders>
            <w:shd w:val="clear" w:color="auto" w:fill="auto"/>
            <w:vAlign w:val="center"/>
            <w:hideMark/>
          </w:tcPr>
          <w:p w:rsidR="00B957DF" w:rsidRPr="00931024" w:rsidRDefault="00B957DF" w:rsidP="005E7D4B">
            <w:pPr>
              <w:spacing w:line="180" w:lineRule="exact"/>
              <w:jc w:val="center"/>
              <w:rPr>
                <w:b/>
                <w:bCs/>
                <w:sz w:val="20"/>
                <w:szCs w:val="20"/>
              </w:rPr>
            </w:pPr>
            <w:r w:rsidRPr="00931024">
              <w:rPr>
                <w:b/>
                <w:bCs/>
                <w:sz w:val="20"/>
                <w:szCs w:val="20"/>
              </w:rPr>
              <w:t>Variáveis dependentes</w:t>
            </w:r>
          </w:p>
        </w:tc>
        <w:tc>
          <w:tcPr>
            <w:tcW w:w="862" w:type="pct"/>
            <w:tcBorders>
              <w:top w:val="single" w:sz="12" w:space="0" w:color="auto"/>
              <w:left w:val="nil"/>
              <w:bottom w:val="single" w:sz="12" w:space="0" w:color="auto"/>
              <w:right w:val="single" w:sz="4" w:space="0" w:color="auto"/>
            </w:tcBorders>
            <w:shd w:val="clear" w:color="auto" w:fill="auto"/>
            <w:vAlign w:val="center"/>
            <w:hideMark/>
          </w:tcPr>
          <w:p w:rsidR="00B957DF" w:rsidRPr="00931024" w:rsidRDefault="00B957DF" w:rsidP="005E7D4B">
            <w:pPr>
              <w:spacing w:line="180" w:lineRule="exact"/>
              <w:jc w:val="center"/>
              <w:rPr>
                <w:b/>
                <w:bCs/>
                <w:sz w:val="20"/>
                <w:szCs w:val="20"/>
              </w:rPr>
            </w:pPr>
            <w:r w:rsidRPr="00931024">
              <w:rPr>
                <w:b/>
                <w:bCs/>
                <w:sz w:val="20"/>
                <w:szCs w:val="20"/>
              </w:rPr>
              <w:t>Variável Independente</w:t>
            </w:r>
          </w:p>
        </w:tc>
        <w:tc>
          <w:tcPr>
            <w:tcW w:w="627" w:type="pct"/>
            <w:tcBorders>
              <w:top w:val="single" w:sz="12" w:space="0" w:color="auto"/>
              <w:left w:val="single" w:sz="4" w:space="0" w:color="auto"/>
              <w:bottom w:val="single" w:sz="12" w:space="0" w:color="auto"/>
              <w:right w:val="single" w:sz="4" w:space="0" w:color="auto"/>
            </w:tcBorders>
            <w:shd w:val="clear" w:color="auto" w:fill="auto"/>
            <w:vAlign w:val="center"/>
            <w:hideMark/>
          </w:tcPr>
          <w:p w:rsidR="00B957DF" w:rsidRPr="00931024" w:rsidRDefault="00B957DF" w:rsidP="005E7D4B">
            <w:pPr>
              <w:spacing w:line="180" w:lineRule="exact"/>
              <w:jc w:val="center"/>
              <w:rPr>
                <w:b/>
                <w:bCs/>
                <w:i/>
                <w:sz w:val="20"/>
                <w:szCs w:val="20"/>
              </w:rPr>
            </w:pPr>
            <w:r w:rsidRPr="00931024">
              <w:rPr>
                <w:b/>
                <w:bCs/>
                <w:i/>
                <w:sz w:val="20"/>
                <w:szCs w:val="20"/>
              </w:rPr>
              <w:t>t-</w:t>
            </w:r>
            <w:proofErr w:type="spellStart"/>
            <w:r w:rsidRPr="00931024">
              <w:rPr>
                <w:b/>
                <w:bCs/>
                <w:i/>
                <w:sz w:val="20"/>
                <w:szCs w:val="20"/>
              </w:rPr>
              <w:t>statistic</w:t>
            </w:r>
            <w:proofErr w:type="spellEnd"/>
          </w:p>
        </w:tc>
        <w:tc>
          <w:tcPr>
            <w:tcW w:w="549" w:type="pct"/>
            <w:tcBorders>
              <w:top w:val="single" w:sz="12" w:space="0" w:color="auto"/>
              <w:left w:val="nil"/>
              <w:bottom w:val="single" w:sz="12" w:space="0" w:color="auto"/>
              <w:right w:val="single" w:sz="4" w:space="0" w:color="auto"/>
            </w:tcBorders>
            <w:shd w:val="clear" w:color="auto" w:fill="auto"/>
            <w:vAlign w:val="center"/>
            <w:hideMark/>
          </w:tcPr>
          <w:p w:rsidR="00B957DF" w:rsidRPr="00931024" w:rsidRDefault="00B957DF" w:rsidP="005E7D4B">
            <w:pPr>
              <w:spacing w:line="180" w:lineRule="exact"/>
              <w:jc w:val="center"/>
              <w:rPr>
                <w:b/>
                <w:bCs/>
                <w:i/>
                <w:iCs/>
                <w:sz w:val="20"/>
                <w:szCs w:val="20"/>
              </w:rPr>
            </w:pPr>
            <w:r w:rsidRPr="00931024">
              <w:rPr>
                <w:b/>
                <w:bCs/>
                <w:i/>
                <w:iCs/>
                <w:sz w:val="20"/>
                <w:szCs w:val="20"/>
              </w:rPr>
              <w:t>P-</w:t>
            </w:r>
            <w:proofErr w:type="spellStart"/>
            <w:r w:rsidRPr="00931024">
              <w:rPr>
                <w:b/>
                <w:bCs/>
                <w:i/>
                <w:iCs/>
                <w:sz w:val="20"/>
                <w:szCs w:val="20"/>
              </w:rPr>
              <w:t>value</w:t>
            </w:r>
            <w:proofErr w:type="spellEnd"/>
          </w:p>
        </w:tc>
        <w:tc>
          <w:tcPr>
            <w:tcW w:w="513" w:type="pct"/>
            <w:tcBorders>
              <w:top w:val="single" w:sz="12" w:space="0" w:color="auto"/>
              <w:left w:val="nil"/>
              <w:bottom w:val="single" w:sz="12" w:space="0" w:color="auto"/>
              <w:right w:val="single" w:sz="4" w:space="0" w:color="auto"/>
            </w:tcBorders>
            <w:shd w:val="clear" w:color="auto" w:fill="auto"/>
            <w:vAlign w:val="center"/>
            <w:hideMark/>
          </w:tcPr>
          <w:p w:rsidR="00B957DF" w:rsidRPr="00931024" w:rsidRDefault="00B957DF" w:rsidP="005E7D4B">
            <w:pPr>
              <w:spacing w:line="180" w:lineRule="exact"/>
              <w:jc w:val="center"/>
              <w:rPr>
                <w:b/>
                <w:bCs/>
                <w:sz w:val="20"/>
                <w:szCs w:val="20"/>
              </w:rPr>
            </w:pPr>
            <w:r w:rsidRPr="00931024">
              <w:rPr>
                <w:b/>
                <w:bCs/>
                <w:sz w:val="20"/>
                <w:szCs w:val="20"/>
              </w:rPr>
              <w:t>R²</w:t>
            </w:r>
          </w:p>
        </w:tc>
        <w:tc>
          <w:tcPr>
            <w:tcW w:w="624" w:type="pct"/>
            <w:tcBorders>
              <w:top w:val="single" w:sz="12" w:space="0" w:color="auto"/>
              <w:left w:val="nil"/>
              <w:bottom w:val="single" w:sz="12" w:space="0" w:color="auto"/>
              <w:right w:val="single" w:sz="4" w:space="0" w:color="auto"/>
            </w:tcBorders>
            <w:shd w:val="clear" w:color="auto" w:fill="auto"/>
            <w:vAlign w:val="center"/>
            <w:hideMark/>
          </w:tcPr>
          <w:p w:rsidR="00B957DF" w:rsidRPr="00931024" w:rsidRDefault="00B957DF" w:rsidP="005E7D4B">
            <w:pPr>
              <w:spacing w:line="180" w:lineRule="exact"/>
              <w:jc w:val="center"/>
              <w:rPr>
                <w:b/>
                <w:bCs/>
                <w:sz w:val="20"/>
                <w:szCs w:val="20"/>
              </w:rPr>
            </w:pPr>
            <w:r w:rsidRPr="00931024">
              <w:rPr>
                <w:b/>
                <w:bCs/>
                <w:sz w:val="20"/>
                <w:szCs w:val="20"/>
              </w:rPr>
              <w:t>Erro Padrão</w:t>
            </w:r>
          </w:p>
        </w:tc>
        <w:tc>
          <w:tcPr>
            <w:tcW w:w="434" w:type="pct"/>
            <w:tcBorders>
              <w:top w:val="single" w:sz="12" w:space="0" w:color="auto"/>
              <w:left w:val="nil"/>
              <w:bottom w:val="single" w:sz="12" w:space="0" w:color="auto"/>
              <w:right w:val="single" w:sz="4" w:space="0" w:color="auto"/>
            </w:tcBorders>
            <w:shd w:val="clear" w:color="auto" w:fill="auto"/>
            <w:vAlign w:val="center"/>
            <w:hideMark/>
          </w:tcPr>
          <w:p w:rsidR="00B957DF" w:rsidRPr="00931024" w:rsidRDefault="00B957DF" w:rsidP="005E7D4B">
            <w:pPr>
              <w:spacing w:line="180" w:lineRule="exact"/>
              <w:jc w:val="center"/>
              <w:rPr>
                <w:b/>
                <w:bCs/>
                <w:sz w:val="20"/>
                <w:szCs w:val="20"/>
              </w:rPr>
            </w:pPr>
            <w:r w:rsidRPr="00931024">
              <w:rPr>
                <w:b/>
                <w:bCs/>
                <w:sz w:val="20"/>
                <w:szCs w:val="20"/>
              </w:rPr>
              <w:t>F</w:t>
            </w:r>
          </w:p>
        </w:tc>
        <w:tc>
          <w:tcPr>
            <w:tcW w:w="537" w:type="pct"/>
            <w:tcBorders>
              <w:top w:val="single" w:sz="12" w:space="0" w:color="auto"/>
              <w:left w:val="nil"/>
              <w:bottom w:val="single" w:sz="12" w:space="0" w:color="auto"/>
              <w:right w:val="single" w:sz="12" w:space="0" w:color="FFFFFF" w:themeColor="background1"/>
            </w:tcBorders>
            <w:vAlign w:val="center"/>
          </w:tcPr>
          <w:p w:rsidR="00B957DF" w:rsidRPr="00931024" w:rsidRDefault="00B957DF" w:rsidP="005E7D4B">
            <w:pPr>
              <w:spacing w:line="180" w:lineRule="exact"/>
              <w:jc w:val="center"/>
              <w:rPr>
                <w:b/>
                <w:bCs/>
                <w:sz w:val="20"/>
                <w:szCs w:val="20"/>
              </w:rPr>
            </w:pPr>
            <w:proofErr w:type="spellStart"/>
            <w:r w:rsidRPr="00931024">
              <w:rPr>
                <w:b/>
                <w:bCs/>
                <w:sz w:val="20"/>
                <w:szCs w:val="20"/>
              </w:rPr>
              <w:t>Sig</w:t>
            </w:r>
            <w:proofErr w:type="spellEnd"/>
            <w:r w:rsidRPr="00931024">
              <w:rPr>
                <w:b/>
                <w:bCs/>
                <w:sz w:val="20"/>
                <w:szCs w:val="20"/>
              </w:rPr>
              <w:t>. Anova</w:t>
            </w:r>
          </w:p>
        </w:tc>
      </w:tr>
      <w:tr w:rsidR="00931024" w:rsidRPr="00931024" w:rsidTr="00C352C7">
        <w:trPr>
          <w:trHeight w:val="160"/>
        </w:trPr>
        <w:tc>
          <w:tcPr>
            <w:tcW w:w="854" w:type="pct"/>
            <w:tcBorders>
              <w:top w:val="nil"/>
              <w:left w:val="single" w:sz="12" w:space="0" w:color="FFFFFF" w:themeColor="background1"/>
              <w:bottom w:val="single" w:sz="4" w:space="0" w:color="auto"/>
              <w:right w:val="single" w:sz="4" w:space="0" w:color="auto"/>
            </w:tcBorders>
            <w:shd w:val="clear" w:color="auto" w:fill="auto"/>
            <w:noWrap/>
            <w:vAlign w:val="center"/>
            <w:hideMark/>
          </w:tcPr>
          <w:p w:rsidR="00B957DF" w:rsidRPr="00931024" w:rsidRDefault="00B957DF" w:rsidP="005E7D4B">
            <w:pPr>
              <w:spacing w:line="180" w:lineRule="exact"/>
              <w:jc w:val="center"/>
              <w:rPr>
                <w:sz w:val="20"/>
                <w:szCs w:val="20"/>
              </w:rPr>
            </w:pPr>
            <w:r w:rsidRPr="00931024">
              <w:rPr>
                <w:sz w:val="20"/>
                <w:szCs w:val="20"/>
              </w:rPr>
              <w:t>CAP_ABS</w:t>
            </w:r>
          </w:p>
        </w:tc>
        <w:tc>
          <w:tcPr>
            <w:tcW w:w="862" w:type="pct"/>
            <w:tcBorders>
              <w:top w:val="nil"/>
              <w:left w:val="nil"/>
              <w:bottom w:val="single" w:sz="4" w:space="0" w:color="auto"/>
              <w:right w:val="single" w:sz="4" w:space="0" w:color="auto"/>
            </w:tcBorders>
            <w:shd w:val="clear" w:color="auto" w:fill="auto"/>
            <w:noWrap/>
            <w:vAlign w:val="center"/>
            <w:hideMark/>
          </w:tcPr>
          <w:p w:rsidR="00B957DF" w:rsidRPr="00931024" w:rsidRDefault="00B957DF" w:rsidP="005E7D4B">
            <w:pPr>
              <w:spacing w:line="180" w:lineRule="exact"/>
              <w:jc w:val="center"/>
              <w:rPr>
                <w:sz w:val="20"/>
                <w:szCs w:val="20"/>
              </w:rPr>
            </w:pPr>
            <w:r w:rsidRPr="00931024">
              <w:rPr>
                <w:sz w:val="20"/>
                <w:szCs w:val="20"/>
              </w:rPr>
              <w:t>GIC</w:t>
            </w:r>
          </w:p>
        </w:tc>
        <w:tc>
          <w:tcPr>
            <w:tcW w:w="627" w:type="pct"/>
            <w:tcBorders>
              <w:top w:val="nil"/>
              <w:left w:val="single" w:sz="4" w:space="0" w:color="auto"/>
              <w:bottom w:val="single" w:sz="4" w:space="0" w:color="auto"/>
              <w:right w:val="single" w:sz="4" w:space="0" w:color="auto"/>
            </w:tcBorders>
            <w:shd w:val="clear" w:color="auto" w:fill="auto"/>
            <w:noWrap/>
            <w:vAlign w:val="center"/>
          </w:tcPr>
          <w:p w:rsidR="00B957DF" w:rsidRPr="00931024" w:rsidRDefault="00B957DF" w:rsidP="005E7D4B">
            <w:pPr>
              <w:spacing w:line="180" w:lineRule="exact"/>
              <w:jc w:val="center"/>
              <w:rPr>
                <w:sz w:val="20"/>
                <w:szCs w:val="20"/>
              </w:rPr>
            </w:pPr>
            <w:r w:rsidRPr="00931024">
              <w:rPr>
                <w:sz w:val="20"/>
                <w:szCs w:val="20"/>
              </w:rPr>
              <w:t>5,771</w:t>
            </w:r>
          </w:p>
        </w:tc>
        <w:tc>
          <w:tcPr>
            <w:tcW w:w="549" w:type="pct"/>
            <w:tcBorders>
              <w:top w:val="nil"/>
              <w:left w:val="nil"/>
              <w:bottom w:val="single" w:sz="4" w:space="0" w:color="auto"/>
              <w:right w:val="single" w:sz="4" w:space="0" w:color="auto"/>
            </w:tcBorders>
            <w:shd w:val="clear" w:color="auto" w:fill="auto"/>
            <w:noWrap/>
            <w:vAlign w:val="center"/>
          </w:tcPr>
          <w:p w:rsidR="00B957DF" w:rsidRPr="00931024" w:rsidRDefault="00B957DF" w:rsidP="005E7D4B">
            <w:pPr>
              <w:spacing w:line="180" w:lineRule="exact"/>
              <w:jc w:val="center"/>
              <w:rPr>
                <w:sz w:val="20"/>
                <w:szCs w:val="20"/>
              </w:rPr>
            </w:pPr>
            <w:r w:rsidRPr="00931024">
              <w:rPr>
                <w:sz w:val="20"/>
                <w:szCs w:val="20"/>
              </w:rPr>
              <w:t>0,000</w:t>
            </w:r>
          </w:p>
        </w:tc>
        <w:tc>
          <w:tcPr>
            <w:tcW w:w="513" w:type="pct"/>
            <w:tcBorders>
              <w:top w:val="nil"/>
              <w:left w:val="nil"/>
              <w:bottom w:val="single" w:sz="4" w:space="0" w:color="auto"/>
              <w:right w:val="single" w:sz="4" w:space="0" w:color="auto"/>
            </w:tcBorders>
            <w:shd w:val="clear" w:color="auto" w:fill="auto"/>
            <w:noWrap/>
            <w:vAlign w:val="center"/>
          </w:tcPr>
          <w:p w:rsidR="00B957DF" w:rsidRPr="00931024" w:rsidRDefault="00B957DF" w:rsidP="005E7D4B">
            <w:pPr>
              <w:spacing w:line="180" w:lineRule="exact"/>
              <w:jc w:val="center"/>
              <w:rPr>
                <w:sz w:val="20"/>
                <w:szCs w:val="20"/>
              </w:rPr>
            </w:pPr>
            <w:r w:rsidRPr="00931024">
              <w:rPr>
                <w:sz w:val="20"/>
                <w:szCs w:val="20"/>
              </w:rPr>
              <w:t>0,254</w:t>
            </w:r>
          </w:p>
        </w:tc>
        <w:tc>
          <w:tcPr>
            <w:tcW w:w="624" w:type="pct"/>
            <w:tcBorders>
              <w:top w:val="nil"/>
              <w:left w:val="nil"/>
              <w:bottom w:val="single" w:sz="4" w:space="0" w:color="auto"/>
              <w:right w:val="single" w:sz="4" w:space="0" w:color="auto"/>
            </w:tcBorders>
            <w:shd w:val="clear" w:color="auto" w:fill="auto"/>
            <w:noWrap/>
            <w:vAlign w:val="center"/>
          </w:tcPr>
          <w:p w:rsidR="00B957DF" w:rsidRPr="00931024" w:rsidRDefault="00B957DF" w:rsidP="005E7D4B">
            <w:pPr>
              <w:spacing w:line="180" w:lineRule="exact"/>
              <w:jc w:val="center"/>
              <w:rPr>
                <w:sz w:val="20"/>
                <w:szCs w:val="20"/>
              </w:rPr>
            </w:pPr>
            <w:r w:rsidRPr="00931024">
              <w:rPr>
                <w:sz w:val="20"/>
                <w:szCs w:val="20"/>
              </w:rPr>
              <w:t>6,43</w:t>
            </w:r>
          </w:p>
        </w:tc>
        <w:tc>
          <w:tcPr>
            <w:tcW w:w="434" w:type="pct"/>
            <w:tcBorders>
              <w:top w:val="nil"/>
              <w:left w:val="nil"/>
              <w:bottom w:val="single" w:sz="4" w:space="0" w:color="auto"/>
              <w:right w:val="single" w:sz="4" w:space="0" w:color="auto"/>
            </w:tcBorders>
            <w:shd w:val="clear" w:color="auto" w:fill="auto"/>
            <w:noWrap/>
            <w:vAlign w:val="center"/>
          </w:tcPr>
          <w:p w:rsidR="00B957DF" w:rsidRPr="00931024" w:rsidRDefault="00B957DF" w:rsidP="005E7D4B">
            <w:pPr>
              <w:spacing w:line="180" w:lineRule="exact"/>
              <w:jc w:val="center"/>
              <w:rPr>
                <w:sz w:val="20"/>
                <w:szCs w:val="20"/>
              </w:rPr>
            </w:pPr>
            <w:r w:rsidRPr="00931024">
              <w:rPr>
                <w:sz w:val="20"/>
                <w:szCs w:val="20"/>
              </w:rPr>
              <w:t>33,300</w:t>
            </w:r>
          </w:p>
        </w:tc>
        <w:tc>
          <w:tcPr>
            <w:tcW w:w="537" w:type="pct"/>
            <w:tcBorders>
              <w:top w:val="nil"/>
              <w:left w:val="nil"/>
              <w:bottom w:val="single" w:sz="4" w:space="0" w:color="auto"/>
              <w:right w:val="single" w:sz="12" w:space="0" w:color="FFFFFF" w:themeColor="background1"/>
            </w:tcBorders>
            <w:vAlign w:val="center"/>
          </w:tcPr>
          <w:p w:rsidR="00B957DF" w:rsidRPr="00931024" w:rsidRDefault="00B957DF" w:rsidP="005E7D4B">
            <w:pPr>
              <w:spacing w:line="180" w:lineRule="exact"/>
              <w:jc w:val="center"/>
              <w:rPr>
                <w:sz w:val="20"/>
                <w:szCs w:val="20"/>
              </w:rPr>
            </w:pPr>
            <w:r w:rsidRPr="00931024">
              <w:rPr>
                <w:sz w:val="20"/>
                <w:szCs w:val="20"/>
              </w:rPr>
              <w:t>0,000</w:t>
            </w:r>
          </w:p>
        </w:tc>
      </w:tr>
      <w:tr w:rsidR="00931024" w:rsidRPr="00931024" w:rsidTr="00C352C7">
        <w:trPr>
          <w:trHeight w:val="197"/>
        </w:trPr>
        <w:tc>
          <w:tcPr>
            <w:tcW w:w="854" w:type="pct"/>
            <w:vMerge w:val="restart"/>
            <w:tcBorders>
              <w:top w:val="nil"/>
              <w:left w:val="single" w:sz="12" w:space="0" w:color="FFFFFF" w:themeColor="background1"/>
              <w:bottom w:val="single" w:sz="4" w:space="0" w:color="auto"/>
              <w:right w:val="single" w:sz="4" w:space="0" w:color="auto"/>
            </w:tcBorders>
            <w:shd w:val="clear" w:color="auto" w:fill="auto"/>
            <w:noWrap/>
            <w:vAlign w:val="center"/>
            <w:hideMark/>
          </w:tcPr>
          <w:p w:rsidR="00B957DF" w:rsidRPr="00931024" w:rsidRDefault="00B957DF" w:rsidP="005E7D4B">
            <w:pPr>
              <w:spacing w:line="180" w:lineRule="exact"/>
              <w:jc w:val="center"/>
              <w:rPr>
                <w:sz w:val="20"/>
                <w:szCs w:val="20"/>
              </w:rPr>
            </w:pPr>
            <w:r w:rsidRPr="00931024">
              <w:rPr>
                <w:sz w:val="20"/>
                <w:szCs w:val="20"/>
              </w:rPr>
              <w:t>GCI</w:t>
            </w:r>
          </w:p>
        </w:tc>
        <w:tc>
          <w:tcPr>
            <w:tcW w:w="862" w:type="pct"/>
            <w:tcBorders>
              <w:top w:val="nil"/>
              <w:left w:val="nil"/>
              <w:bottom w:val="single" w:sz="4" w:space="0" w:color="auto"/>
              <w:right w:val="single" w:sz="4" w:space="0" w:color="auto"/>
            </w:tcBorders>
            <w:shd w:val="clear" w:color="auto" w:fill="auto"/>
            <w:noWrap/>
            <w:vAlign w:val="center"/>
            <w:hideMark/>
          </w:tcPr>
          <w:p w:rsidR="00B957DF" w:rsidRPr="00931024" w:rsidRDefault="00B957DF" w:rsidP="005E7D4B">
            <w:pPr>
              <w:spacing w:line="180" w:lineRule="exact"/>
              <w:jc w:val="center"/>
              <w:rPr>
                <w:sz w:val="20"/>
                <w:szCs w:val="20"/>
              </w:rPr>
            </w:pPr>
            <w:r w:rsidRPr="00931024">
              <w:rPr>
                <w:sz w:val="20"/>
                <w:szCs w:val="20"/>
              </w:rPr>
              <w:t>SEI</w:t>
            </w:r>
          </w:p>
        </w:tc>
        <w:tc>
          <w:tcPr>
            <w:tcW w:w="627" w:type="pct"/>
            <w:tcBorders>
              <w:top w:val="nil"/>
              <w:left w:val="single" w:sz="4" w:space="0" w:color="auto"/>
              <w:bottom w:val="single" w:sz="4" w:space="0" w:color="auto"/>
              <w:right w:val="single" w:sz="4" w:space="0" w:color="auto"/>
            </w:tcBorders>
            <w:shd w:val="clear" w:color="auto" w:fill="auto"/>
            <w:noWrap/>
            <w:vAlign w:val="center"/>
          </w:tcPr>
          <w:p w:rsidR="00B957DF" w:rsidRPr="00931024" w:rsidRDefault="00B957DF" w:rsidP="005E7D4B">
            <w:pPr>
              <w:spacing w:line="180" w:lineRule="exact"/>
              <w:jc w:val="center"/>
              <w:rPr>
                <w:sz w:val="20"/>
                <w:szCs w:val="20"/>
              </w:rPr>
            </w:pPr>
            <w:r w:rsidRPr="00931024">
              <w:rPr>
                <w:sz w:val="20"/>
                <w:szCs w:val="20"/>
              </w:rPr>
              <w:t>2,825</w:t>
            </w:r>
          </w:p>
        </w:tc>
        <w:tc>
          <w:tcPr>
            <w:tcW w:w="549" w:type="pct"/>
            <w:tcBorders>
              <w:top w:val="nil"/>
              <w:left w:val="nil"/>
              <w:bottom w:val="single" w:sz="4" w:space="0" w:color="auto"/>
              <w:right w:val="single" w:sz="4" w:space="0" w:color="auto"/>
            </w:tcBorders>
            <w:shd w:val="clear" w:color="auto" w:fill="auto"/>
            <w:noWrap/>
            <w:vAlign w:val="center"/>
          </w:tcPr>
          <w:p w:rsidR="00B957DF" w:rsidRPr="00931024" w:rsidRDefault="00B957DF" w:rsidP="005E7D4B">
            <w:pPr>
              <w:spacing w:line="180" w:lineRule="exact"/>
              <w:jc w:val="center"/>
              <w:rPr>
                <w:sz w:val="20"/>
                <w:szCs w:val="20"/>
              </w:rPr>
            </w:pPr>
            <w:r w:rsidRPr="00931024">
              <w:rPr>
                <w:sz w:val="20"/>
                <w:szCs w:val="20"/>
              </w:rPr>
              <w:t>0,006</w:t>
            </w:r>
          </w:p>
        </w:tc>
        <w:tc>
          <w:tcPr>
            <w:tcW w:w="513" w:type="pct"/>
            <w:vMerge w:val="restart"/>
            <w:tcBorders>
              <w:top w:val="nil"/>
              <w:left w:val="single" w:sz="4" w:space="0" w:color="auto"/>
              <w:bottom w:val="single" w:sz="4" w:space="0" w:color="auto"/>
              <w:right w:val="single" w:sz="4" w:space="0" w:color="auto"/>
            </w:tcBorders>
            <w:shd w:val="clear" w:color="auto" w:fill="auto"/>
            <w:noWrap/>
            <w:vAlign w:val="center"/>
          </w:tcPr>
          <w:p w:rsidR="00B957DF" w:rsidRPr="00931024" w:rsidRDefault="00B957DF" w:rsidP="005E7D4B">
            <w:pPr>
              <w:spacing w:line="180" w:lineRule="exact"/>
              <w:jc w:val="center"/>
              <w:rPr>
                <w:sz w:val="20"/>
                <w:szCs w:val="20"/>
              </w:rPr>
            </w:pPr>
            <w:r w:rsidRPr="00931024">
              <w:rPr>
                <w:sz w:val="20"/>
                <w:szCs w:val="20"/>
              </w:rPr>
              <w:t>0,309</w:t>
            </w:r>
          </w:p>
        </w:tc>
        <w:tc>
          <w:tcPr>
            <w:tcW w:w="624" w:type="pct"/>
            <w:vMerge w:val="restart"/>
            <w:tcBorders>
              <w:top w:val="nil"/>
              <w:left w:val="single" w:sz="4" w:space="0" w:color="auto"/>
              <w:bottom w:val="single" w:sz="4" w:space="0" w:color="auto"/>
              <w:right w:val="single" w:sz="4" w:space="0" w:color="auto"/>
            </w:tcBorders>
            <w:shd w:val="clear" w:color="auto" w:fill="auto"/>
            <w:noWrap/>
            <w:vAlign w:val="center"/>
          </w:tcPr>
          <w:p w:rsidR="00B957DF" w:rsidRPr="00931024" w:rsidRDefault="00B957DF" w:rsidP="005E7D4B">
            <w:pPr>
              <w:spacing w:line="180" w:lineRule="exact"/>
              <w:jc w:val="center"/>
              <w:rPr>
                <w:sz w:val="20"/>
                <w:szCs w:val="20"/>
              </w:rPr>
            </w:pPr>
            <w:r w:rsidRPr="00931024">
              <w:rPr>
                <w:sz w:val="20"/>
                <w:szCs w:val="20"/>
              </w:rPr>
              <w:t>6,10</w:t>
            </w:r>
          </w:p>
        </w:tc>
        <w:tc>
          <w:tcPr>
            <w:tcW w:w="434" w:type="pct"/>
            <w:vMerge w:val="restart"/>
            <w:tcBorders>
              <w:top w:val="nil"/>
              <w:left w:val="single" w:sz="4" w:space="0" w:color="auto"/>
              <w:bottom w:val="single" w:sz="4" w:space="0" w:color="auto"/>
              <w:right w:val="single" w:sz="4" w:space="0" w:color="auto"/>
            </w:tcBorders>
            <w:shd w:val="clear" w:color="auto" w:fill="auto"/>
            <w:noWrap/>
            <w:vAlign w:val="center"/>
          </w:tcPr>
          <w:p w:rsidR="00B957DF" w:rsidRPr="00931024" w:rsidRDefault="00B957DF" w:rsidP="005E7D4B">
            <w:pPr>
              <w:spacing w:line="180" w:lineRule="exact"/>
              <w:jc w:val="center"/>
              <w:rPr>
                <w:sz w:val="20"/>
                <w:szCs w:val="20"/>
              </w:rPr>
            </w:pPr>
            <w:r w:rsidRPr="00931024">
              <w:rPr>
                <w:sz w:val="20"/>
                <w:szCs w:val="20"/>
              </w:rPr>
              <w:t>21,714</w:t>
            </w:r>
          </w:p>
        </w:tc>
        <w:tc>
          <w:tcPr>
            <w:tcW w:w="537" w:type="pct"/>
            <w:vMerge w:val="restart"/>
            <w:tcBorders>
              <w:top w:val="nil"/>
              <w:left w:val="nil"/>
              <w:right w:val="single" w:sz="12" w:space="0" w:color="FFFFFF" w:themeColor="background1"/>
            </w:tcBorders>
            <w:vAlign w:val="center"/>
          </w:tcPr>
          <w:p w:rsidR="00B957DF" w:rsidRPr="00931024" w:rsidRDefault="00B957DF" w:rsidP="005E7D4B">
            <w:pPr>
              <w:spacing w:line="180" w:lineRule="exact"/>
              <w:jc w:val="center"/>
              <w:rPr>
                <w:sz w:val="20"/>
                <w:szCs w:val="20"/>
              </w:rPr>
            </w:pPr>
            <w:r w:rsidRPr="00931024">
              <w:rPr>
                <w:sz w:val="20"/>
                <w:szCs w:val="20"/>
              </w:rPr>
              <w:t>0,000</w:t>
            </w:r>
          </w:p>
        </w:tc>
      </w:tr>
      <w:tr w:rsidR="00B957DF" w:rsidRPr="00931024" w:rsidTr="006F68F2">
        <w:trPr>
          <w:trHeight w:val="220"/>
        </w:trPr>
        <w:tc>
          <w:tcPr>
            <w:tcW w:w="854" w:type="pct"/>
            <w:vMerge/>
            <w:tcBorders>
              <w:top w:val="nil"/>
              <w:left w:val="single" w:sz="12" w:space="0" w:color="FFFFFF" w:themeColor="background1"/>
              <w:bottom w:val="single" w:sz="12" w:space="0" w:color="auto"/>
              <w:right w:val="single" w:sz="4" w:space="0" w:color="auto"/>
            </w:tcBorders>
            <w:vAlign w:val="center"/>
            <w:hideMark/>
          </w:tcPr>
          <w:p w:rsidR="00B957DF" w:rsidRPr="00931024" w:rsidRDefault="00B957DF" w:rsidP="005E7D4B">
            <w:pPr>
              <w:spacing w:line="180" w:lineRule="exact"/>
              <w:jc w:val="left"/>
              <w:rPr>
                <w:sz w:val="20"/>
                <w:szCs w:val="20"/>
              </w:rPr>
            </w:pPr>
          </w:p>
        </w:tc>
        <w:tc>
          <w:tcPr>
            <w:tcW w:w="862" w:type="pct"/>
            <w:tcBorders>
              <w:top w:val="single" w:sz="4" w:space="0" w:color="auto"/>
              <w:left w:val="nil"/>
              <w:bottom w:val="single" w:sz="12" w:space="0" w:color="auto"/>
              <w:right w:val="single" w:sz="4" w:space="0" w:color="auto"/>
            </w:tcBorders>
            <w:shd w:val="clear" w:color="auto" w:fill="auto"/>
            <w:noWrap/>
            <w:vAlign w:val="center"/>
            <w:hideMark/>
          </w:tcPr>
          <w:p w:rsidR="00B957DF" w:rsidRPr="00931024" w:rsidRDefault="00B957DF" w:rsidP="005E7D4B">
            <w:pPr>
              <w:spacing w:line="180" w:lineRule="exact"/>
              <w:jc w:val="center"/>
              <w:rPr>
                <w:sz w:val="20"/>
                <w:szCs w:val="20"/>
              </w:rPr>
            </w:pPr>
            <w:r w:rsidRPr="00931024">
              <w:rPr>
                <w:sz w:val="20"/>
                <w:szCs w:val="20"/>
              </w:rPr>
              <w:t>CAP_ABS</w:t>
            </w:r>
          </w:p>
        </w:tc>
        <w:tc>
          <w:tcPr>
            <w:tcW w:w="627" w:type="pct"/>
            <w:tcBorders>
              <w:top w:val="single" w:sz="4" w:space="0" w:color="auto"/>
              <w:left w:val="single" w:sz="4" w:space="0" w:color="auto"/>
              <w:bottom w:val="single" w:sz="12" w:space="0" w:color="auto"/>
              <w:right w:val="single" w:sz="4" w:space="0" w:color="auto"/>
            </w:tcBorders>
            <w:shd w:val="clear" w:color="auto" w:fill="auto"/>
            <w:noWrap/>
            <w:vAlign w:val="center"/>
          </w:tcPr>
          <w:p w:rsidR="00B957DF" w:rsidRPr="00931024" w:rsidRDefault="00B957DF" w:rsidP="005E7D4B">
            <w:pPr>
              <w:spacing w:line="180" w:lineRule="exact"/>
              <w:jc w:val="center"/>
              <w:rPr>
                <w:sz w:val="20"/>
                <w:szCs w:val="20"/>
              </w:rPr>
            </w:pPr>
            <w:r w:rsidRPr="00931024">
              <w:rPr>
                <w:sz w:val="20"/>
                <w:szCs w:val="20"/>
              </w:rPr>
              <w:t>3,721</w:t>
            </w:r>
          </w:p>
        </w:tc>
        <w:tc>
          <w:tcPr>
            <w:tcW w:w="549" w:type="pct"/>
            <w:tcBorders>
              <w:top w:val="single" w:sz="4" w:space="0" w:color="auto"/>
              <w:left w:val="nil"/>
              <w:bottom w:val="single" w:sz="12" w:space="0" w:color="auto"/>
              <w:right w:val="single" w:sz="4" w:space="0" w:color="auto"/>
            </w:tcBorders>
            <w:shd w:val="clear" w:color="auto" w:fill="auto"/>
            <w:noWrap/>
            <w:vAlign w:val="center"/>
          </w:tcPr>
          <w:p w:rsidR="00B957DF" w:rsidRPr="00931024" w:rsidRDefault="00B957DF" w:rsidP="005E7D4B">
            <w:pPr>
              <w:spacing w:line="180" w:lineRule="exact"/>
              <w:jc w:val="center"/>
              <w:rPr>
                <w:sz w:val="20"/>
                <w:szCs w:val="20"/>
              </w:rPr>
            </w:pPr>
            <w:r w:rsidRPr="00931024">
              <w:rPr>
                <w:sz w:val="20"/>
                <w:szCs w:val="20"/>
              </w:rPr>
              <w:t>0,000</w:t>
            </w:r>
          </w:p>
        </w:tc>
        <w:tc>
          <w:tcPr>
            <w:tcW w:w="513" w:type="pct"/>
            <w:vMerge/>
            <w:tcBorders>
              <w:top w:val="nil"/>
              <w:left w:val="single" w:sz="4" w:space="0" w:color="auto"/>
              <w:bottom w:val="single" w:sz="12" w:space="0" w:color="auto"/>
              <w:right w:val="single" w:sz="4" w:space="0" w:color="auto"/>
            </w:tcBorders>
            <w:vAlign w:val="center"/>
          </w:tcPr>
          <w:p w:rsidR="00B957DF" w:rsidRPr="00931024" w:rsidRDefault="00B957DF" w:rsidP="005E7D4B">
            <w:pPr>
              <w:spacing w:line="180" w:lineRule="exact"/>
              <w:jc w:val="left"/>
              <w:rPr>
                <w:sz w:val="20"/>
                <w:szCs w:val="20"/>
              </w:rPr>
            </w:pPr>
          </w:p>
        </w:tc>
        <w:tc>
          <w:tcPr>
            <w:tcW w:w="624" w:type="pct"/>
            <w:vMerge/>
            <w:tcBorders>
              <w:top w:val="nil"/>
              <w:left w:val="single" w:sz="4" w:space="0" w:color="auto"/>
              <w:bottom w:val="single" w:sz="12" w:space="0" w:color="auto"/>
              <w:right w:val="single" w:sz="4" w:space="0" w:color="auto"/>
            </w:tcBorders>
            <w:vAlign w:val="center"/>
          </w:tcPr>
          <w:p w:rsidR="00B957DF" w:rsidRPr="00931024" w:rsidRDefault="00B957DF" w:rsidP="005E7D4B">
            <w:pPr>
              <w:spacing w:line="180" w:lineRule="exact"/>
              <w:jc w:val="left"/>
              <w:rPr>
                <w:sz w:val="20"/>
                <w:szCs w:val="20"/>
              </w:rPr>
            </w:pPr>
          </w:p>
        </w:tc>
        <w:tc>
          <w:tcPr>
            <w:tcW w:w="434" w:type="pct"/>
            <w:vMerge/>
            <w:tcBorders>
              <w:top w:val="nil"/>
              <w:left w:val="single" w:sz="4" w:space="0" w:color="auto"/>
              <w:bottom w:val="single" w:sz="12" w:space="0" w:color="auto"/>
              <w:right w:val="single" w:sz="4" w:space="0" w:color="auto"/>
            </w:tcBorders>
            <w:vAlign w:val="center"/>
          </w:tcPr>
          <w:p w:rsidR="00B957DF" w:rsidRPr="00931024" w:rsidRDefault="00B957DF" w:rsidP="005E7D4B">
            <w:pPr>
              <w:spacing w:line="180" w:lineRule="exact"/>
              <w:jc w:val="left"/>
              <w:rPr>
                <w:sz w:val="20"/>
                <w:szCs w:val="20"/>
              </w:rPr>
            </w:pPr>
          </w:p>
        </w:tc>
        <w:tc>
          <w:tcPr>
            <w:tcW w:w="537" w:type="pct"/>
            <w:vMerge/>
            <w:tcBorders>
              <w:left w:val="nil"/>
              <w:bottom w:val="single" w:sz="12" w:space="0" w:color="auto"/>
              <w:right w:val="single" w:sz="12" w:space="0" w:color="FFFFFF" w:themeColor="background1"/>
            </w:tcBorders>
            <w:vAlign w:val="center"/>
          </w:tcPr>
          <w:p w:rsidR="00B957DF" w:rsidRPr="00931024" w:rsidRDefault="00B957DF" w:rsidP="005E7D4B">
            <w:pPr>
              <w:spacing w:line="180" w:lineRule="exact"/>
              <w:jc w:val="center"/>
              <w:rPr>
                <w:sz w:val="20"/>
                <w:szCs w:val="20"/>
              </w:rPr>
            </w:pPr>
          </w:p>
        </w:tc>
      </w:tr>
    </w:tbl>
    <w:p w:rsidR="00B957DF" w:rsidRPr="00931024" w:rsidRDefault="004849DF" w:rsidP="00B957DF">
      <w:pPr>
        <w:rPr>
          <w:sz w:val="20"/>
          <w:szCs w:val="20"/>
        </w:rPr>
      </w:pPr>
      <w:r w:rsidRPr="00931024">
        <w:rPr>
          <w:sz w:val="20"/>
          <w:szCs w:val="20"/>
        </w:rPr>
        <w:t>Fonte: dados da p</w:t>
      </w:r>
      <w:r w:rsidR="00B957DF" w:rsidRPr="00931024">
        <w:rPr>
          <w:sz w:val="20"/>
          <w:szCs w:val="20"/>
        </w:rPr>
        <w:t>esquisa.</w:t>
      </w:r>
    </w:p>
    <w:p w:rsidR="00B957DF" w:rsidRPr="00931024" w:rsidRDefault="00B957DF" w:rsidP="00B957DF"/>
    <w:p w:rsidR="00B957DF" w:rsidRPr="00931024" w:rsidRDefault="00B957DF" w:rsidP="00D2679B">
      <w:pPr>
        <w:ind w:firstLine="708"/>
      </w:pPr>
      <w:r w:rsidRPr="00931024">
        <w:t xml:space="preserve">Percebe-se </w:t>
      </w:r>
      <w:r w:rsidR="00D2679B" w:rsidRPr="00931024">
        <w:t>na Tabela 7</w:t>
      </w:r>
      <w:r w:rsidRPr="00931024">
        <w:t xml:space="preserve"> que todos os valores de </w:t>
      </w:r>
      <w:r w:rsidRPr="00931024">
        <w:rPr>
          <w:i/>
        </w:rPr>
        <w:t>p-</w:t>
      </w:r>
      <w:proofErr w:type="spellStart"/>
      <w:r w:rsidRPr="00931024">
        <w:rPr>
          <w:i/>
        </w:rPr>
        <w:t>value</w:t>
      </w:r>
      <w:proofErr w:type="spellEnd"/>
      <w:r w:rsidRPr="00931024">
        <w:rPr>
          <w:i/>
        </w:rPr>
        <w:t xml:space="preserve"> </w:t>
      </w:r>
      <w:r w:rsidRPr="00931024">
        <w:t xml:space="preserve">foram &lt;0,01. O coeficiente de determinação (R²) da variável dependente capacidade absortiva (CAP_ABS) é de 0,25. Já o R² da variável de gestão de custos interorganizacionais é de 0,309. O teste “F” apresentou valores altos nos dois casos analisados (33,30) e (21,74), denotando que ambas são variáveis do modelo. Na Figura </w:t>
      </w:r>
      <w:r w:rsidR="008F5D62" w:rsidRPr="00931024">
        <w:t>1</w:t>
      </w:r>
      <w:r w:rsidRPr="00931024">
        <w:t xml:space="preserve"> representa-se o caminho de análise dos efeitos da integração dos sistemas externos na adoção de práticas de gestão de custos interorganizacionais.</w:t>
      </w:r>
    </w:p>
    <w:p w:rsidR="00B957DF" w:rsidRPr="00931024" w:rsidRDefault="00B957DF" w:rsidP="00B957DF"/>
    <w:p w:rsidR="00B957DF" w:rsidRPr="00931024" w:rsidRDefault="00B957DF" w:rsidP="00B957DF">
      <w:pPr>
        <w:pStyle w:val="Legenda"/>
        <w:keepNext/>
        <w:spacing w:after="0"/>
        <w:ind w:firstLine="0"/>
        <w:rPr>
          <w:rFonts w:cs="Times New Roman"/>
          <w:b/>
          <w:i w:val="0"/>
          <w:color w:val="auto"/>
          <w:sz w:val="20"/>
          <w:szCs w:val="20"/>
        </w:rPr>
      </w:pPr>
      <w:bookmarkStart w:id="3" w:name="_Toc467489554"/>
      <w:r w:rsidRPr="00931024">
        <w:rPr>
          <w:rFonts w:cs="Times New Roman"/>
          <w:b/>
          <w:i w:val="0"/>
          <w:color w:val="auto"/>
          <w:sz w:val="20"/>
          <w:szCs w:val="20"/>
        </w:rPr>
        <w:t xml:space="preserve">Figura </w:t>
      </w:r>
      <w:r w:rsidRPr="00931024">
        <w:rPr>
          <w:rFonts w:cs="Times New Roman"/>
          <w:b/>
          <w:i w:val="0"/>
          <w:color w:val="auto"/>
          <w:sz w:val="20"/>
          <w:szCs w:val="20"/>
        </w:rPr>
        <w:fldChar w:fldCharType="begin"/>
      </w:r>
      <w:r w:rsidRPr="00931024">
        <w:rPr>
          <w:rFonts w:cs="Times New Roman"/>
          <w:b/>
          <w:i w:val="0"/>
          <w:color w:val="auto"/>
          <w:sz w:val="20"/>
          <w:szCs w:val="20"/>
        </w:rPr>
        <w:instrText xml:space="preserve"> SEQ Figura \* ARABIC </w:instrText>
      </w:r>
      <w:r w:rsidRPr="00931024">
        <w:rPr>
          <w:rFonts w:cs="Times New Roman"/>
          <w:b/>
          <w:i w:val="0"/>
          <w:color w:val="auto"/>
          <w:sz w:val="20"/>
          <w:szCs w:val="20"/>
        </w:rPr>
        <w:fldChar w:fldCharType="separate"/>
      </w:r>
      <w:r w:rsidR="00A2511D">
        <w:rPr>
          <w:rFonts w:cs="Times New Roman"/>
          <w:b/>
          <w:i w:val="0"/>
          <w:noProof/>
          <w:color w:val="auto"/>
          <w:sz w:val="20"/>
          <w:szCs w:val="20"/>
        </w:rPr>
        <w:t>1</w:t>
      </w:r>
      <w:r w:rsidRPr="00931024">
        <w:rPr>
          <w:rFonts w:cs="Times New Roman"/>
          <w:b/>
          <w:i w:val="0"/>
          <w:color w:val="auto"/>
          <w:sz w:val="20"/>
          <w:szCs w:val="20"/>
        </w:rPr>
        <w:fldChar w:fldCharType="end"/>
      </w:r>
      <w:r w:rsidRPr="00931024">
        <w:rPr>
          <w:rFonts w:cs="Times New Roman"/>
          <w:b/>
          <w:i w:val="0"/>
          <w:color w:val="auto"/>
          <w:sz w:val="20"/>
          <w:szCs w:val="20"/>
        </w:rPr>
        <w:t xml:space="preserve">- Análise de Caminhos dos efeitos SEI </w:t>
      </w:r>
      <w:proofErr w:type="spellStart"/>
      <w:r w:rsidRPr="00931024">
        <w:rPr>
          <w:rFonts w:cs="Times New Roman"/>
          <w:b/>
          <w:i w:val="0"/>
          <w:color w:val="auto"/>
          <w:sz w:val="20"/>
          <w:szCs w:val="20"/>
        </w:rPr>
        <w:t>na</w:t>
      </w:r>
      <w:proofErr w:type="spellEnd"/>
      <w:r w:rsidRPr="00931024">
        <w:rPr>
          <w:rFonts w:cs="Times New Roman"/>
          <w:b/>
          <w:i w:val="0"/>
          <w:color w:val="auto"/>
          <w:sz w:val="20"/>
          <w:szCs w:val="20"/>
        </w:rPr>
        <w:t xml:space="preserve"> GCI</w:t>
      </w:r>
      <w:bookmarkEnd w:id="3"/>
    </w:p>
    <w:p w:rsidR="00B957DF" w:rsidRPr="00931024" w:rsidRDefault="00B957DF" w:rsidP="00257585">
      <w:pPr>
        <w:jc w:val="center"/>
        <w:rPr>
          <w:sz w:val="20"/>
          <w:szCs w:val="20"/>
        </w:rPr>
      </w:pPr>
      <w:r w:rsidRPr="00931024">
        <w:rPr>
          <w:noProof/>
          <w:sz w:val="20"/>
          <w:szCs w:val="20"/>
          <w:lang w:eastAsia="pt-BR"/>
        </w:rPr>
        <w:drawing>
          <wp:inline distT="0" distB="0" distL="0" distR="0" wp14:anchorId="620D43C3" wp14:editId="31ED73B8">
            <wp:extent cx="3661453" cy="1311965"/>
            <wp:effectExtent l="0" t="0" r="0" b="254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feitosSEI_GCI.png"/>
                    <pic:cNvPicPr/>
                  </pic:nvPicPr>
                  <pic:blipFill>
                    <a:blip r:embed="rId8">
                      <a:extLst>
                        <a:ext uri="{28A0092B-C50C-407E-A947-70E740481C1C}">
                          <a14:useLocalDpi xmlns:a14="http://schemas.microsoft.com/office/drawing/2010/main" val="0"/>
                        </a:ext>
                      </a:extLst>
                    </a:blip>
                    <a:stretch>
                      <a:fillRect/>
                    </a:stretch>
                  </pic:blipFill>
                  <pic:spPr>
                    <a:xfrm>
                      <a:off x="0" y="0"/>
                      <a:ext cx="3720219" cy="1333022"/>
                    </a:xfrm>
                    <a:prstGeom prst="rect">
                      <a:avLst/>
                    </a:prstGeom>
                  </pic:spPr>
                </pic:pic>
              </a:graphicData>
            </a:graphic>
          </wp:inline>
        </w:drawing>
      </w:r>
    </w:p>
    <w:p w:rsidR="00B957DF" w:rsidRPr="00931024" w:rsidRDefault="00B957DF" w:rsidP="00B957DF">
      <w:pPr>
        <w:rPr>
          <w:sz w:val="20"/>
          <w:szCs w:val="20"/>
        </w:rPr>
      </w:pPr>
      <w:proofErr w:type="spellStart"/>
      <w:r w:rsidRPr="00931024">
        <w:rPr>
          <w:sz w:val="20"/>
          <w:szCs w:val="20"/>
        </w:rPr>
        <w:t>Obs</w:t>
      </w:r>
      <w:proofErr w:type="spellEnd"/>
      <w:r w:rsidRPr="00931024">
        <w:rPr>
          <w:sz w:val="20"/>
          <w:szCs w:val="20"/>
        </w:rPr>
        <w:t>: * p &lt; 0,01.</w:t>
      </w:r>
    </w:p>
    <w:p w:rsidR="00B957DF" w:rsidRPr="00931024" w:rsidRDefault="00B957DF" w:rsidP="00B957DF">
      <w:pPr>
        <w:rPr>
          <w:sz w:val="20"/>
          <w:szCs w:val="20"/>
        </w:rPr>
      </w:pPr>
      <w:r w:rsidRPr="00931024">
        <w:rPr>
          <w:sz w:val="20"/>
          <w:szCs w:val="20"/>
        </w:rPr>
        <w:t xml:space="preserve">Fonte: </w:t>
      </w:r>
      <w:r w:rsidR="00257585" w:rsidRPr="00931024">
        <w:rPr>
          <w:sz w:val="20"/>
          <w:szCs w:val="20"/>
        </w:rPr>
        <w:t>e</w:t>
      </w:r>
      <w:r w:rsidRPr="00931024">
        <w:rPr>
          <w:sz w:val="20"/>
          <w:szCs w:val="20"/>
        </w:rPr>
        <w:t>laborado pelo autor.</w:t>
      </w:r>
    </w:p>
    <w:p w:rsidR="00B957DF" w:rsidRPr="00931024" w:rsidRDefault="00B957DF" w:rsidP="00B957DF"/>
    <w:p w:rsidR="00B957DF" w:rsidRPr="00DC600E" w:rsidRDefault="00B957DF" w:rsidP="0038163A">
      <w:pPr>
        <w:ind w:firstLine="708"/>
        <w:rPr>
          <w:sz w:val="23"/>
          <w:szCs w:val="23"/>
        </w:rPr>
      </w:pPr>
      <w:r w:rsidRPr="00DC600E">
        <w:rPr>
          <w:sz w:val="23"/>
          <w:szCs w:val="23"/>
        </w:rPr>
        <w:t xml:space="preserve">Todos os coeficientes encontrados nas análises de caminhos foram positivos e estatisticamente significativos ao nível de 1%. </w:t>
      </w:r>
    </w:p>
    <w:p w:rsidR="00B957DF" w:rsidRPr="00DC600E" w:rsidRDefault="00B957DF" w:rsidP="002A52F0">
      <w:pPr>
        <w:ind w:firstLine="708"/>
        <w:rPr>
          <w:sz w:val="23"/>
          <w:szCs w:val="23"/>
        </w:rPr>
      </w:pPr>
      <w:r w:rsidRPr="00DC600E">
        <w:rPr>
          <w:sz w:val="23"/>
          <w:szCs w:val="23"/>
        </w:rPr>
        <w:t>Os sistemas de informação são classificados na VBR como recursos estratégicos tangíveis (</w:t>
      </w:r>
      <w:proofErr w:type="spellStart"/>
      <w:r w:rsidR="003A50DF" w:rsidRPr="00DC600E">
        <w:rPr>
          <w:sz w:val="23"/>
          <w:szCs w:val="23"/>
        </w:rPr>
        <w:t>Helfat</w:t>
      </w:r>
      <w:proofErr w:type="spellEnd"/>
      <w:r w:rsidRPr="00DC600E">
        <w:rPr>
          <w:sz w:val="23"/>
          <w:szCs w:val="23"/>
        </w:rPr>
        <w:t xml:space="preserve">, 2003). Nesse modelo apresentado na Figura </w:t>
      </w:r>
      <w:r w:rsidR="002A52F0" w:rsidRPr="00DC600E">
        <w:rPr>
          <w:sz w:val="23"/>
          <w:szCs w:val="23"/>
        </w:rPr>
        <w:t>1</w:t>
      </w:r>
      <w:r w:rsidRPr="00DC600E">
        <w:rPr>
          <w:sz w:val="23"/>
          <w:szCs w:val="23"/>
        </w:rPr>
        <w:t>, testou-se se os sistemas externos quando integrados afetam ou facilitam de alguma forma a gestão de custos interorganizacionais. O caminho da variável SEI (sistemas externos integrados) para a variável CAP_ABS (capacidade absortiva) apresentou um coeficiente de 0,504 (beta padronizado), indicando que nas empresas do estudo, um maior nível de utilização de sistemas de informação integrados externamente aumenta a capacidade absortiva das organizações. Quando comparado aos achados no estudo realizado por Fayard et al. (2012), este valor é superior, uma vez que os autores também encontraram uma relação positiva entre estas variáveis, porém com coeficiente inferior de 0,226 ao nível de 5%.</w:t>
      </w:r>
    </w:p>
    <w:p w:rsidR="00B957DF" w:rsidRPr="00DC600E" w:rsidRDefault="00B957DF" w:rsidP="002A52F0">
      <w:pPr>
        <w:ind w:firstLine="708"/>
        <w:rPr>
          <w:sz w:val="23"/>
          <w:szCs w:val="23"/>
        </w:rPr>
      </w:pPr>
      <w:r w:rsidRPr="00DC600E">
        <w:rPr>
          <w:noProof/>
          <w:sz w:val="23"/>
          <w:szCs w:val="23"/>
          <w:lang w:eastAsia="pt-BR"/>
        </w:rPr>
        <mc:AlternateContent>
          <mc:Choice Requires="wps">
            <w:drawing>
              <wp:anchor distT="0" distB="0" distL="114300" distR="114300" simplePos="0" relativeHeight="251659264" behindDoc="0" locked="0" layoutInCell="1" allowOverlap="1" wp14:anchorId="7D7D388D" wp14:editId="47EF69D7">
                <wp:simplePos x="0" y="0"/>
                <wp:positionH relativeFrom="margin">
                  <wp:posOffset>2763851</wp:posOffset>
                </wp:positionH>
                <wp:positionV relativeFrom="paragraph">
                  <wp:posOffset>752475</wp:posOffset>
                </wp:positionV>
                <wp:extent cx="222637" cy="0"/>
                <wp:effectExtent l="0" t="76200" r="25400" b="95250"/>
                <wp:wrapNone/>
                <wp:docPr id="6" name="Conector de seta reta 6"/>
                <wp:cNvGraphicFramePr/>
                <a:graphic xmlns:a="http://schemas.openxmlformats.org/drawingml/2006/main">
                  <a:graphicData uri="http://schemas.microsoft.com/office/word/2010/wordprocessingShape">
                    <wps:wsp>
                      <wps:cNvCnPr/>
                      <wps:spPr>
                        <a:xfrm flipV="1">
                          <a:off x="0" y="0"/>
                          <a:ext cx="22263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F271AE" id="_x0000_t32" coordsize="21600,21600" o:spt="32" o:oned="t" path="m,l21600,21600e" filled="f">
                <v:path arrowok="t" fillok="f" o:connecttype="none"/>
                <o:lock v:ext="edit" shapetype="t"/>
              </v:shapetype>
              <v:shape id="Conector de seta reta 6" o:spid="_x0000_s1026" type="#_x0000_t32" style="position:absolute;margin-left:217.65pt;margin-top:59.25pt;width:17.55pt;height: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" strokecolor="black [3200]" strokeweight="1.5pt">
                <v:stroke endarrow="block" joinstyle="miter"/>
                <w10:wrap anchorx="margin"/>
              </v:shape>
            </w:pict>
          </mc:Fallback>
        </mc:AlternateContent>
      </w:r>
      <w:r w:rsidRPr="00DC600E">
        <w:rPr>
          <w:sz w:val="23"/>
          <w:szCs w:val="23"/>
        </w:rPr>
        <w:t xml:space="preserve">Desta forma, os resultados permitem inferir que a variável sistemas externos integrados (SEI) </w:t>
      </w:r>
      <w:proofErr w:type="spellStart"/>
      <w:r w:rsidRPr="00DC600E">
        <w:rPr>
          <w:sz w:val="23"/>
          <w:szCs w:val="23"/>
        </w:rPr>
        <w:t>influencia</w:t>
      </w:r>
      <w:proofErr w:type="spellEnd"/>
      <w:r w:rsidRPr="00DC600E">
        <w:rPr>
          <w:sz w:val="23"/>
          <w:szCs w:val="23"/>
        </w:rPr>
        <w:t xml:space="preserve"> de forma direta a variável gestão de custos interorganizacionais (GCI), assim como a capacidade absortiva também impacta diretamente a adoção de tais práticas de gestão (GCI). Do mesmo modo, a influência indireta da variável SEI, mediada pela capacidade absortiva também é visualizada. O caminho indireto da variável SEI       GCI, apresenta uma influência de 0,1319 (0,504 * 0,276). Tal fato se explica, uma vez que, por tratar-se da gestão de custos em diferentes empresas, para melhorar a eficiência da gestão precisa-se de conhecimento anterior e de sistemas de informação que facilitarão o compartilhamento das informações e o acesso a dados atualizados de toda a cadeia de suprimentos. </w:t>
      </w:r>
    </w:p>
    <w:p w:rsidR="00B957DF" w:rsidRPr="00DC600E" w:rsidRDefault="00B957DF" w:rsidP="00E81E9E">
      <w:pPr>
        <w:ind w:firstLine="708"/>
        <w:rPr>
          <w:sz w:val="23"/>
          <w:szCs w:val="23"/>
        </w:rPr>
      </w:pPr>
      <w:r w:rsidRPr="00DC600E">
        <w:rPr>
          <w:sz w:val="23"/>
          <w:szCs w:val="23"/>
        </w:rPr>
        <w:t xml:space="preserve">A literatura aborda que os sistemas de informação, quando integrados, são requeridos para a adoção de práticas de gestão de custos interorganizacionais, a fim de facilitar o compartilhamento </w:t>
      </w:r>
      <w:r w:rsidRPr="00DC600E">
        <w:rPr>
          <w:sz w:val="23"/>
          <w:szCs w:val="23"/>
        </w:rPr>
        <w:lastRenderedPageBreak/>
        <w:t>de informações e o exame da estrutura de custos da empresa e seus parceiros (</w:t>
      </w:r>
      <w:r w:rsidR="00674135" w:rsidRPr="00DC600E">
        <w:rPr>
          <w:sz w:val="23"/>
          <w:szCs w:val="23"/>
        </w:rPr>
        <w:t>Ellram &amp;</w:t>
      </w:r>
      <w:r w:rsidRPr="00DC600E">
        <w:rPr>
          <w:sz w:val="23"/>
          <w:szCs w:val="23"/>
        </w:rPr>
        <w:t xml:space="preserve"> </w:t>
      </w:r>
      <w:proofErr w:type="spellStart"/>
      <w:r w:rsidRPr="00DC600E">
        <w:rPr>
          <w:sz w:val="23"/>
          <w:szCs w:val="23"/>
        </w:rPr>
        <w:t>Z</w:t>
      </w:r>
      <w:r w:rsidR="00674135" w:rsidRPr="00DC600E">
        <w:rPr>
          <w:sz w:val="23"/>
          <w:szCs w:val="23"/>
        </w:rPr>
        <w:t>sidisin</w:t>
      </w:r>
      <w:proofErr w:type="spellEnd"/>
      <w:r w:rsidRPr="00DC600E">
        <w:rPr>
          <w:sz w:val="23"/>
          <w:szCs w:val="23"/>
        </w:rPr>
        <w:t xml:space="preserve">, 2002; </w:t>
      </w:r>
      <w:proofErr w:type="spellStart"/>
      <w:r w:rsidR="0042260E" w:rsidRPr="00DC600E">
        <w:rPr>
          <w:sz w:val="23"/>
          <w:szCs w:val="23"/>
        </w:rPr>
        <w:t>Coad</w:t>
      </w:r>
      <w:proofErr w:type="spellEnd"/>
      <w:r w:rsidR="0042260E" w:rsidRPr="00DC600E">
        <w:rPr>
          <w:sz w:val="23"/>
          <w:szCs w:val="23"/>
        </w:rPr>
        <w:t xml:space="preserve"> &amp;</w:t>
      </w:r>
      <w:r w:rsidRPr="00DC600E">
        <w:rPr>
          <w:sz w:val="23"/>
          <w:szCs w:val="23"/>
        </w:rPr>
        <w:t xml:space="preserve"> </w:t>
      </w:r>
      <w:proofErr w:type="spellStart"/>
      <w:r w:rsidRPr="00DC600E">
        <w:rPr>
          <w:sz w:val="23"/>
          <w:szCs w:val="23"/>
        </w:rPr>
        <w:t>C</w:t>
      </w:r>
      <w:r w:rsidR="0042260E" w:rsidRPr="00DC600E">
        <w:rPr>
          <w:sz w:val="23"/>
          <w:szCs w:val="23"/>
        </w:rPr>
        <w:t>ullen</w:t>
      </w:r>
      <w:proofErr w:type="spellEnd"/>
      <w:r w:rsidRPr="00DC600E">
        <w:rPr>
          <w:sz w:val="23"/>
          <w:szCs w:val="23"/>
        </w:rPr>
        <w:t>, 2006). De acordo com a teoria VBR a empresa, quando da escassez de recursos, nem sempre consegue adquirir novos recursos por meio de compras. Assim, torna-se necessário, a troca de recursos, buscando complementar com os recursos de seus parceiros (</w:t>
      </w:r>
      <w:proofErr w:type="spellStart"/>
      <w:r w:rsidR="000326D4" w:rsidRPr="00DC600E">
        <w:rPr>
          <w:sz w:val="23"/>
          <w:szCs w:val="23"/>
        </w:rPr>
        <w:t>Wei</w:t>
      </w:r>
      <w:proofErr w:type="spellEnd"/>
      <w:r w:rsidR="00972D11" w:rsidRPr="00DC600E">
        <w:rPr>
          <w:sz w:val="23"/>
          <w:szCs w:val="23"/>
        </w:rPr>
        <w:t>, Y</w:t>
      </w:r>
      <w:r w:rsidR="000326D4" w:rsidRPr="00DC600E">
        <w:rPr>
          <w:sz w:val="23"/>
          <w:szCs w:val="23"/>
        </w:rPr>
        <w:t>ang</w:t>
      </w:r>
      <w:r w:rsidR="00972D11" w:rsidRPr="00DC600E">
        <w:rPr>
          <w:sz w:val="23"/>
          <w:szCs w:val="23"/>
        </w:rPr>
        <w:t xml:space="preserve">, </w:t>
      </w:r>
      <w:proofErr w:type="spellStart"/>
      <w:r w:rsidR="00972D11" w:rsidRPr="00DC600E">
        <w:rPr>
          <w:sz w:val="23"/>
          <w:szCs w:val="23"/>
        </w:rPr>
        <w:t>P</w:t>
      </w:r>
      <w:r w:rsidR="000326D4" w:rsidRPr="00DC600E">
        <w:rPr>
          <w:sz w:val="23"/>
          <w:szCs w:val="23"/>
        </w:rPr>
        <w:t>eng</w:t>
      </w:r>
      <w:proofErr w:type="spellEnd"/>
      <w:r w:rsidR="000326D4" w:rsidRPr="00DC600E">
        <w:rPr>
          <w:sz w:val="23"/>
          <w:szCs w:val="23"/>
        </w:rPr>
        <w:t>,</w:t>
      </w:r>
      <w:r w:rsidR="00972D11" w:rsidRPr="00DC600E">
        <w:rPr>
          <w:sz w:val="23"/>
          <w:szCs w:val="23"/>
        </w:rPr>
        <w:t xml:space="preserve"> W</w:t>
      </w:r>
      <w:r w:rsidR="000326D4" w:rsidRPr="00DC600E">
        <w:rPr>
          <w:sz w:val="23"/>
          <w:szCs w:val="23"/>
        </w:rPr>
        <w:t>ang</w:t>
      </w:r>
      <w:r w:rsidR="00972D11" w:rsidRPr="00DC600E">
        <w:rPr>
          <w:sz w:val="23"/>
          <w:szCs w:val="23"/>
        </w:rPr>
        <w:t xml:space="preserve"> &amp; C</w:t>
      </w:r>
      <w:r w:rsidR="000326D4" w:rsidRPr="00DC600E">
        <w:rPr>
          <w:sz w:val="23"/>
          <w:szCs w:val="23"/>
        </w:rPr>
        <w:t>hang</w:t>
      </w:r>
      <w:r w:rsidR="00972D11" w:rsidRPr="00DC600E">
        <w:rPr>
          <w:sz w:val="23"/>
          <w:szCs w:val="23"/>
        </w:rPr>
        <w:t xml:space="preserve">, </w:t>
      </w:r>
      <w:r w:rsidRPr="00DC600E">
        <w:rPr>
          <w:sz w:val="23"/>
          <w:szCs w:val="23"/>
        </w:rPr>
        <w:t>2015). Nesse contexto, a integração dos sistemas de informações externos é uma maneira encontrada pelas empresas de compartilharem recursos e inform</w:t>
      </w:r>
      <w:r w:rsidR="00D366DC" w:rsidRPr="00DC600E">
        <w:rPr>
          <w:sz w:val="23"/>
          <w:szCs w:val="23"/>
        </w:rPr>
        <w:t>ações e se complementarem, alinhan</w:t>
      </w:r>
      <w:r w:rsidRPr="00DC600E">
        <w:rPr>
          <w:sz w:val="23"/>
          <w:szCs w:val="23"/>
        </w:rPr>
        <w:t>do-se a um objetivo comum e assim, adquirindo vantagem competitiva com as suas empresas parceiras (</w:t>
      </w:r>
      <w:r w:rsidR="004D30DA" w:rsidRPr="00DC600E">
        <w:rPr>
          <w:sz w:val="23"/>
          <w:szCs w:val="23"/>
        </w:rPr>
        <w:t>Das &amp;</w:t>
      </w:r>
      <w:r w:rsidRPr="00DC600E">
        <w:rPr>
          <w:sz w:val="23"/>
          <w:szCs w:val="23"/>
        </w:rPr>
        <w:t xml:space="preserve"> T</w:t>
      </w:r>
      <w:r w:rsidR="004D30DA" w:rsidRPr="00DC600E">
        <w:rPr>
          <w:sz w:val="23"/>
          <w:szCs w:val="23"/>
        </w:rPr>
        <w:t>eng</w:t>
      </w:r>
      <w:r w:rsidRPr="00DC600E">
        <w:rPr>
          <w:sz w:val="23"/>
          <w:szCs w:val="23"/>
        </w:rPr>
        <w:t>, 2000).</w:t>
      </w:r>
    </w:p>
    <w:p w:rsidR="00B957DF" w:rsidRPr="00DC600E" w:rsidRDefault="00B957DF" w:rsidP="00661607">
      <w:pPr>
        <w:ind w:firstLine="708"/>
        <w:rPr>
          <w:sz w:val="23"/>
          <w:szCs w:val="23"/>
        </w:rPr>
      </w:pPr>
      <w:r w:rsidRPr="00DC600E">
        <w:rPr>
          <w:sz w:val="23"/>
          <w:szCs w:val="23"/>
        </w:rPr>
        <w:t>Em síntese, percebe-se que a existência de sistemas externos integrados facilita a propensão de adoção de práticas de gestão de custos em âmbito interorganizacional, bem como o desenvolvimento da capacidade absortiva das empresas. A seguir aponta-se os resultados da análise de caminhos que testa os efeitos da confiança atribuída e da interdependência na integração externa dos sistemas de informação.</w:t>
      </w:r>
    </w:p>
    <w:p w:rsidR="00D07A2E" w:rsidRPr="00DC600E" w:rsidRDefault="00D07A2E" w:rsidP="00D07A2E">
      <w:pPr>
        <w:autoSpaceDE w:val="0"/>
        <w:autoSpaceDN w:val="0"/>
        <w:adjustRightInd w:val="0"/>
        <w:ind w:firstLine="708"/>
        <w:rPr>
          <w:sz w:val="23"/>
          <w:szCs w:val="23"/>
        </w:rPr>
      </w:pPr>
      <w:r w:rsidRPr="00DC600E">
        <w:rPr>
          <w:sz w:val="23"/>
          <w:szCs w:val="23"/>
        </w:rPr>
        <w:t>Os resultados encontrados no contexto brasileiro divergem parcialmente dos achados do estudo desenvolvido por Fayard et al. (2012), uma vez que estes autores não encontraram relação significativa entre os sistemas de informações integrados externamente e a adoção de práticas de gestão de custos interorganizacionais. No referido estudo, os autores encontraram um coeficiente de caminho negativo (-0,081) e não significativo.</w:t>
      </w:r>
    </w:p>
    <w:p w:rsidR="008D7D26" w:rsidRPr="00DC600E" w:rsidRDefault="008D7D26" w:rsidP="008D7D26">
      <w:pPr>
        <w:autoSpaceDE w:val="0"/>
        <w:autoSpaceDN w:val="0"/>
        <w:adjustRightInd w:val="0"/>
        <w:ind w:firstLine="708"/>
        <w:rPr>
          <w:sz w:val="23"/>
          <w:szCs w:val="23"/>
        </w:rPr>
      </w:pPr>
      <w:r w:rsidRPr="00DC600E">
        <w:rPr>
          <w:sz w:val="23"/>
          <w:szCs w:val="23"/>
        </w:rPr>
        <w:t>Esse conjunto de variáveis relacionadas na Figura 1 são denominadas na VBR como recursos estratégicos, uma vez que propiciam a quem os tem melhores condições para a gestão dos negócios, o que pode resultar em melhor desempenho e na criação de vantagens competitivas (</w:t>
      </w:r>
      <w:r w:rsidR="00226CDE" w:rsidRPr="00DC600E">
        <w:rPr>
          <w:sz w:val="23"/>
          <w:szCs w:val="23"/>
        </w:rPr>
        <w:t>Barney</w:t>
      </w:r>
      <w:r w:rsidRPr="00DC600E">
        <w:rPr>
          <w:sz w:val="23"/>
          <w:szCs w:val="23"/>
        </w:rPr>
        <w:t xml:space="preserve">, 1991; </w:t>
      </w:r>
      <w:r w:rsidR="00226CDE" w:rsidRPr="00DC600E">
        <w:rPr>
          <w:sz w:val="23"/>
          <w:szCs w:val="23"/>
        </w:rPr>
        <w:t>Peteraf</w:t>
      </w:r>
      <w:r w:rsidRPr="00DC600E">
        <w:rPr>
          <w:sz w:val="23"/>
          <w:szCs w:val="23"/>
        </w:rPr>
        <w:t>, 1993).</w:t>
      </w:r>
    </w:p>
    <w:p w:rsidR="00D07A2E" w:rsidRPr="00DC600E" w:rsidRDefault="005B12CE" w:rsidP="00ED7BEA">
      <w:pPr>
        <w:autoSpaceDE w:val="0"/>
        <w:autoSpaceDN w:val="0"/>
        <w:adjustRightInd w:val="0"/>
        <w:ind w:firstLine="708"/>
        <w:rPr>
          <w:sz w:val="23"/>
          <w:szCs w:val="23"/>
        </w:rPr>
      </w:pPr>
      <w:r w:rsidRPr="00DC600E">
        <w:rPr>
          <w:sz w:val="23"/>
          <w:szCs w:val="23"/>
        </w:rPr>
        <w:t>Conforme a abordagem teórica da VBR, os recursos disponíveis para acesso as organizações, sejam estes internos ou externos, servem para fortalecer as relações estabelecidas entre parceiros estratégicos (</w:t>
      </w:r>
      <w:r w:rsidR="00226CDE" w:rsidRPr="00DC600E">
        <w:rPr>
          <w:sz w:val="23"/>
          <w:szCs w:val="23"/>
        </w:rPr>
        <w:t>Das &amp;</w:t>
      </w:r>
      <w:r w:rsidRPr="00DC600E">
        <w:rPr>
          <w:sz w:val="23"/>
          <w:szCs w:val="23"/>
        </w:rPr>
        <w:t xml:space="preserve"> T</w:t>
      </w:r>
      <w:r w:rsidR="00226CDE" w:rsidRPr="00DC600E">
        <w:rPr>
          <w:sz w:val="23"/>
          <w:szCs w:val="23"/>
        </w:rPr>
        <w:t>eng,</w:t>
      </w:r>
      <w:r w:rsidRPr="00DC600E">
        <w:rPr>
          <w:sz w:val="23"/>
          <w:szCs w:val="23"/>
        </w:rPr>
        <w:t xml:space="preserve"> 2000), permitindo o desenvolvimento de práticas de gestão conjuntas (</w:t>
      </w:r>
      <w:r w:rsidR="00BD134C" w:rsidRPr="00DC600E">
        <w:rPr>
          <w:sz w:val="23"/>
          <w:szCs w:val="23"/>
        </w:rPr>
        <w:t xml:space="preserve">Fayard </w:t>
      </w:r>
      <w:r w:rsidRPr="00DC600E">
        <w:rPr>
          <w:sz w:val="23"/>
          <w:szCs w:val="23"/>
        </w:rPr>
        <w:t>et al., 2012). Deste modo, contribuem para com o desenvolvimento das capacidades organizacionais, para o alcance de melhor desempenho e a obtenção de vantagens competitivas (</w:t>
      </w:r>
      <w:r w:rsidR="001E36DD" w:rsidRPr="00DC600E">
        <w:rPr>
          <w:sz w:val="23"/>
          <w:szCs w:val="23"/>
        </w:rPr>
        <w:t>Harrison</w:t>
      </w:r>
      <w:r w:rsidR="00CE3B6F" w:rsidRPr="00DC600E">
        <w:rPr>
          <w:sz w:val="23"/>
          <w:szCs w:val="23"/>
        </w:rPr>
        <w:t xml:space="preserve">, </w:t>
      </w:r>
      <w:proofErr w:type="spellStart"/>
      <w:r w:rsidR="00CE3B6F" w:rsidRPr="00DC600E">
        <w:rPr>
          <w:sz w:val="23"/>
          <w:szCs w:val="23"/>
        </w:rPr>
        <w:t>H</w:t>
      </w:r>
      <w:r w:rsidR="001E36DD" w:rsidRPr="00DC600E">
        <w:rPr>
          <w:sz w:val="23"/>
          <w:szCs w:val="23"/>
        </w:rPr>
        <w:t>itt</w:t>
      </w:r>
      <w:proofErr w:type="spellEnd"/>
      <w:r w:rsidR="00CE3B6F" w:rsidRPr="00DC600E">
        <w:rPr>
          <w:sz w:val="23"/>
          <w:szCs w:val="23"/>
        </w:rPr>
        <w:t xml:space="preserve">, </w:t>
      </w:r>
      <w:proofErr w:type="spellStart"/>
      <w:r w:rsidR="00CE3B6F" w:rsidRPr="00DC600E">
        <w:rPr>
          <w:sz w:val="23"/>
          <w:szCs w:val="23"/>
        </w:rPr>
        <w:t>H</w:t>
      </w:r>
      <w:r w:rsidR="001E36DD" w:rsidRPr="00DC600E">
        <w:rPr>
          <w:sz w:val="23"/>
          <w:szCs w:val="23"/>
        </w:rPr>
        <w:t>oskisson</w:t>
      </w:r>
      <w:proofErr w:type="spellEnd"/>
      <w:r w:rsidR="00CE3B6F" w:rsidRPr="00DC600E">
        <w:rPr>
          <w:sz w:val="23"/>
          <w:szCs w:val="23"/>
        </w:rPr>
        <w:t xml:space="preserve"> &amp; </w:t>
      </w:r>
      <w:proofErr w:type="spellStart"/>
      <w:r w:rsidR="00CE3B6F" w:rsidRPr="00DC600E">
        <w:rPr>
          <w:sz w:val="23"/>
          <w:szCs w:val="23"/>
        </w:rPr>
        <w:t>I</w:t>
      </w:r>
      <w:r w:rsidR="001E36DD" w:rsidRPr="00DC600E">
        <w:rPr>
          <w:sz w:val="23"/>
          <w:szCs w:val="23"/>
        </w:rPr>
        <w:t>reland</w:t>
      </w:r>
      <w:proofErr w:type="spellEnd"/>
      <w:r w:rsidR="00CE3B6F" w:rsidRPr="00DC600E">
        <w:rPr>
          <w:sz w:val="23"/>
          <w:szCs w:val="23"/>
        </w:rPr>
        <w:t>,</w:t>
      </w:r>
      <w:r w:rsidRPr="00DC600E">
        <w:rPr>
          <w:sz w:val="23"/>
          <w:szCs w:val="23"/>
        </w:rPr>
        <w:t xml:space="preserve"> 2001; </w:t>
      </w:r>
      <w:proofErr w:type="spellStart"/>
      <w:r w:rsidR="00FE1DEB" w:rsidRPr="00DC600E">
        <w:rPr>
          <w:sz w:val="23"/>
          <w:szCs w:val="23"/>
        </w:rPr>
        <w:t>Shah</w:t>
      </w:r>
      <w:proofErr w:type="spellEnd"/>
      <w:r w:rsidR="00FE1DEB" w:rsidRPr="00DC600E">
        <w:rPr>
          <w:sz w:val="23"/>
          <w:szCs w:val="23"/>
        </w:rPr>
        <w:t xml:space="preserve"> &amp; </w:t>
      </w:r>
      <w:proofErr w:type="spellStart"/>
      <w:r w:rsidR="00FE1DEB" w:rsidRPr="00DC600E">
        <w:rPr>
          <w:sz w:val="23"/>
          <w:szCs w:val="23"/>
        </w:rPr>
        <w:t>Swaminathan</w:t>
      </w:r>
      <w:proofErr w:type="spellEnd"/>
      <w:r w:rsidRPr="00DC600E">
        <w:rPr>
          <w:sz w:val="23"/>
          <w:szCs w:val="23"/>
        </w:rPr>
        <w:t>, 2008).</w:t>
      </w:r>
    </w:p>
    <w:p w:rsidR="00616DB7" w:rsidRPr="00DC600E" w:rsidRDefault="005224DA" w:rsidP="00801133">
      <w:pPr>
        <w:autoSpaceDE w:val="0"/>
        <w:autoSpaceDN w:val="0"/>
        <w:adjustRightInd w:val="0"/>
        <w:ind w:firstLine="708"/>
        <w:rPr>
          <w:sz w:val="23"/>
          <w:szCs w:val="23"/>
        </w:rPr>
      </w:pPr>
      <w:r w:rsidRPr="00DC600E">
        <w:rPr>
          <w:sz w:val="23"/>
          <w:szCs w:val="23"/>
        </w:rPr>
        <w:t>No que se refere as hipóteses.</w:t>
      </w:r>
      <w:r w:rsidR="00031CF7" w:rsidRPr="00DC600E">
        <w:rPr>
          <w:sz w:val="23"/>
          <w:szCs w:val="23"/>
        </w:rPr>
        <w:t xml:space="preserve"> </w:t>
      </w:r>
      <w:r w:rsidR="005F52E0" w:rsidRPr="00DC600E">
        <w:rPr>
          <w:sz w:val="23"/>
          <w:szCs w:val="23"/>
        </w:rPr>
        <w:t>A premissa estabelecida</w:t>
      </w:r>
      <w:r w:rsidR="00330BEC" w:rsidRPr="00DC600E">
        <w:rPr>
          <w:sz w:val="23"/>
          <w:szCs w:val="23"/>
        </w:rPr>
        <w:t xml:space="preserve"> na hipótese</w:t>
      </w:r>
      <w:r w:rsidR="003228EE" w:rsidRPr="00DC600E">
        <w:rPr>
          <w:sz w:val="23"/>
          <w:szCs w:val="23"/>
        </w:rPr>
        <w:t xml:space="preserve"> H1</w:t>
      </w:r>
      <w:r w:rsidR="005F52E0" w:rsidRPr="00DC600E">
        <w:rPr>
          <w:sz w:val="23"/>
          <w:szCs w:val="23"/>
        </w:rPr>
        <w:t xml:space="preserve"> </w:t>
      </w:r>
      <w:r w:rsidR="00616DB7" w:rsidRPr="00DC600E">
        <w:rPr>
          <w:sz w:val="23"/>
          <w:szCs w:val="23"/>
        </w:rPr>
        <w:t>foi suportada, i</w:t>
      </w:r>
      <w:r w:rsidR="005F52E0" w:rsidRPr="00DC600E">
        <w:rPr>
          <w:sz w:val="23"/>
          <w:szCs w:val="23"/>
        </w:rPr>
        <w:t>ndica</w:t>
      </w:r>
      <w:r w:rsidR="00616DB7" w:rsidRPr="00DC600E">
        <w:rPr>
          <w:sz w:val="23"/>
          <w:szCs w:val="23"/>
        </w:rPr>
        <w:t>ndo</w:t>
      </w:r>
      <w:r w:rsidR="005F52E0" w:rsidRPr="00DC600E">
        <w:rPr>
          <w:sz w:val="23"/>
          <w:szCs w:val="23"/>
        </w:rPr>
        <w:t xml:space="preserve"> que a existência dos recursos </w:t>
      </w:r>
      <w:r w:rsidR="00616DB7" w:rsidRPr="00DC600E">
        <w:rPr>
          <w:sz w:val="23"/>
          <w:szCs w:val="23"/>
        </w:rPr>
        <w:t>i</w:t>
      </w:r>
      <w:r w:rsidR="005F52E0" w:rsidRPr="00DC600E">
        <w:rPr>
          <w:sz w:val="23"/>
          <w:szCs w:val="23"/>
        </w:rPr>
        <w:t>ntegração eletrônica externa</w:t>
      </w:r>
      <w:r w:rsidR="00616DB7" w:rsidRPr="00DC600E">
        <w:rPr>
          <w:sz w:val="23"/>
          <w:szCs w:val="23"/>
        </w:rPr>
        <w:t xml:space="preserve"> </w:t>
      </w:r>
      <w:r w:rsidR="00D639A3" w:rsidRPr="00DC600E">
        <w:rPr>
          <w:sz w:val="23"/>
          <w:szCs w:val="23"/>
        </w:rPr>
        <w:t>influência</w:t>
      </w:r>
      <w:r w:rsidR="00616DB7" w:rsidRPr="00DC600E">
        <w:rPr>
          <w:sz w:val="23"/>
          <w:szCs w:val="23"/>
        </w:rPr>
        <w:t xml:space="preserve"> positiva e significativamente o desenvolvimento da capacidade</w:t>
      </w:r>
      <w:r w:rsidR="00CA4DA1" w:rsidRPr="00DC600E">
        <w:rPr>
          <w:sz w:val="23"/>
          <w:szCs w:val="23"/>
        </w:rPr>
        <w:t xml:space="preserve"> </w:t>
      </w:r>
      <w:r w:rsidR="00616DB7" w:rsidRPr="00DC600E">
        <w:rPr>
          <w:sz w:val="23"/>
          <w:szCs w:val="23"/>
        </w:rPr>
        <w:t>absortiva das empresas</w:t>
      </w:r>
      <w:r w:rsidR="00CA4DA1" w:rsidRPr="00DC600E">
        <w:rPr>
          <w:sz w:val="23"/>
          <w:szCs w:val="23"/>
        </w:rPr>
        <w:t xml:space="preserve">. </w:t>
      </w:r>
      <w:r w:rsidR="00614940" w:rsidRPr="00DC600E">
        <w:rPr>
          <w:sz w:val="23"/>
          <w:szCs w:val="23"/>
        </w:rPr>
        <w:t>O suporte se dá por meio do</w:t>
      </w:r>
      <w:r w:rsidR="00616DB7" w:rsidRPr="00DC600E">
        <w:rPr>
          <w:sz w:val="23"/>
          <w:szCs w:val="23"/>
        </w:rPr>
        <w:t>s resultados</w:t>
      </w:r>
      <w:r w:rsidR="00801133" w:rsidRPr="00DC600E">
        <w:rPr>
          <w:sz w:val="23"/>
          <w:szCs w:val="23"/>
        </w:rPr>
        <w:t xml:space="preserve"> </w:t>
      </w:r>
      <w:r w:rsidR="00616DB7" w:rsidRPr="00DC600E">
        <w:rPr>
          <w:sz w:val="23"/>
          <w:szCs w:val="23"/>
        </w:rPr>
        <w:t>evidenciados a partir dos coeficientes de trilha obtidos na análise de caminhos. Essa relação se</w:t>
      </w:r>
      <w:r w:rsidR="00801133" w:rsidRPr="00DC600E">
        <w:rPr>
          <w:sz w:val="23"/>
          <w:szCs w:val="23"/>
        </w:rPr>
        <w:t xml:space="preserve"> </w:t>
      </w:r>
      <w:r w:rsidR="00616DB7" w:rsidRPr="00DC600E">
        <w:rPr>
          <w:sz w:val="23"/>
          <w:szCs w:val="23"/>
        </w:rPr>
        <w:t>assemelha com os achados de Fayard et al. (2012), as quais podem ser explicadas pelo fato de</w:t>
      </w:r>
      <w:r w:rsidR="00801133" w:rsidRPr="00DC600E">
        <w:rPr>
          <w:sz w:val="23"/>
          <w:szCs w:val="23"/>
        </w:rPr>
        <w:t xml:space="preserve"> </w:t>
      </w:r>
      <w:r w:rsidR="00616DB7" w:rsidRPr="00DC600E">
        <w:rPr>
          <w:sz w:val="23"/>
          <w:szCs w:val="23"/>
        </w:rPr>
        <w:t>que a capacidade absortiva da empresa é resultante do conhecimento prévio existente nas</w:t>
      </w:r>
      <w:r w:rsidR="00801133" w:rsidRPr="00DC600E">
        <w:rPr>
          <w:sz w:val="23"/>
          <w:szCs w:val="23"/>
        </w:rPr>
        <w:t xml:space="preserve"> </w:t>
      </w:r>
      <w:r w:rsidR="00616DB7" w:rsidRPr="00DC600E">
        <w:rPr>
          <w:sz w:val="23"/>
          <w:szCs w:val="23"/>
        </w:rPr>
        <w:t>empresas, a experiência que a organização possui com os benefícios alcançados a partir da utilização deste recurso (sistemas de</w:t>
      </w:r>
      <w:r w:rsidR="00801133" w:rsidRPr="00DC600E">
        <w:rPr>
          <w:sz w:val="23"/>
          <w:szCs w:val="23"/>
        </w:rPr>
        <w:t xml:space="preserve"> </w:t>
      </w:r>
      <w:r w:rsidR="00616DB7" w:rsidRPr="00DC600E">
        <w:rPr>
          <w:sz w:val="23"/>
          <w:szCs w:val="23"/>
        </w:rPr>
        <w:t>informação integrados eletronicamente).</w:t>
      </w:r>
    </w:p>
    <w:p w:rsidR="00002D62" w:rsidRPr="00DC600E" w:rsidRDefault="000F2D1E" w:rsidP="000F2D1E">
      <w:pPr>
        <w:autoSpaceDE w:val="0"/>
        <w:autoSpaceDN w:val="0"/>
        <w:adjustRightInd w:val="0"/>
        <w:ind w:firstLine="708"/>
        <w:rPr>
          <w:sz w:val="23"/>
          <w:szCs w:val="23"/>
        </w:rPr>
      </w:pPr>
      <w:r w:rsidRPr="00DC600E">
        <w:rPr>
          <w:sz w:val="23"/>
          <w:szCs w:val="23"/>
        </w:rPr>
        <w:t>A</w:t>
      </w:r>
      <w:r w:rsidR="00002D62" w:rsidRPr="00DC600E">
        <w:rPr>
          <w:sz w:val="23"/>
          <w:szCs w:val="23"/>
        </w:rPr>
        <w:t xml:space="preserve"> disponibilidade de sistemas de informação externos</w:t>
      </w:r>
      <w:r w:rsidRPr="00DC600E">
        <w:rPr>
          <w:sz w:val="23"/>
          <w:szCs w:val="23"/>
        </w:rPr>
        <w:t xml:space="preserve"> </w:t>
      </w:r>
      <w:r w:rsidR="00002D62" w:rsidRPr="00DC600E">
        <w:rPr>
          <w:sz w:val="23"/>
          <w:szCs w:val="23"/>
        </w:rPr>
        <w:t>integrados eletronicamente facilita a comunicação, favorecendo o desenvolvimento de ações</w:t>
      </w:r>
      <w:r w:rsidRPr="00DC600E">
        <w:rPr>
          <w:sz w:val="23"/>
          <w:szCs w:val="23"/>
        </w:rPr>
        <w:t xml:space="preserve"> </w:t>
      </w:r>
      <w:r w:rsidR="00002D62" w:rsidRPr="00DC600E">
        <w:rPr>
          <w:sz w:val="23"/>
          <w:szCs w:val="23"/>
        </w:rPr>
        <w:t>conjuntas, bem como o monitoramento das atividades desenvolvidas por estas empresas. Um</w:t>
      </w:r>
      <w:r w:rsidRPr="00DC600E">
        <w:rPr>
          <w:sz w:val="23"/>
          <w:szCs w:val="23"/>
        </w:rPr>
        <w:t xml:space="preserve"> </w:t>
      </w:r>
      <w:r w:rsidR="00002D62" w:rsidRPr="00DC600E">
        <w:rPr>
          <w:sz w:val="23"/>
          <w:szCs w:val="23"/>
        </w:rPr>
        <w:t>adequado clima de comunicação e o estabelecimento de uma rede de comunicação favorece a</w:t>
      </w:r>
      <w:r w:rsidRPr="00DC600E">
        <w:rPr>
          <w:sz w:val="23"/>
          <w:szCs w:val="23"/>
        </w:rPr>
        <w:t xml:space="preserve"> </w:t>
      </w:r>
      <w:r w:rsidR="00002D62" w:rsidRPr="00DC600E">
        <w:rPr>
          <w:sz w:val="23"/>
          <w:szCs w:val="23"/>
        </w:rPr>
        <w:t>partilha de informações, estimulando a busca de conhecimentos sobre a gestão de custos</w:t>
      </w:r>
      <w:r w:rsidRPr="00DC600E">
        <w:rPr>
          <w:sz w:val="23"/>
          <w:szCs w:val="23"/>
        </w:rPr>
        <w:t xml:space="preserve"> </w:t>
      </w:r>
      <w:r w:rsidR="00002D62" w:rsidRPr="00DC600E">
        <w:rPr>
          <w:sz w:val="23"/>
          <w:szCs w:val="23"/>
        </w:rPr>
        <w:t>nestas empresas, o que explica estes resultados.</w:t>
      </w:r>
    </w:p>
    <w:p w:rsidR="007119D7" w:rsidRPr="00DC600E" w:rsidRDefault="00F95269" w:rsidP="007119D7">
      <w:pPr>
        <w:autoSpaceDE w:val="0"/>
        <w:autoSpaceDN w:val="0"/>
        <w:adjustRightInd w:val="0"/>
        <w:ind w:firstLine="708"/>
        <w:rPr>
          <w:sz w:val="23"/>
          <w:szCs w:val="23"/>
        </w:rPr>
      </w:pPr>
      <w:r w:rsidRPr="00DC600E">
        <w:rPr>
          <w:sz w:val="23"/>
          <w:szCs w:val="23"/>
        </w:rPr>
        <w:t>No que se refere a</w:t>
      </w:r>
      <w:r w:rsidR="007119D7" w:rsidRPr="00DC600E">
        <w:rPr>
          <w:sz w:val="23"/>
          <w:szCs w:val="23"/>
        </w:rPr>
        <w:t xml:space="preserve"> segunda hipótese H</w:t>
      </w:r>
      <w:r w:rsidR="003C425A" w:rsidRPr="00DC600E">
        <w:rPr>
          <w:sz w:val="23"/>
          <w:szCs w:val="23"/>
          <w:vertAlign w:val="subscript"/>
        </w:rPr>
        <w:t>2</w:t>
      </w:r>
      <w:r w:rsidR="007119D7" w:rsidRPr="00DC600E">
        <w:rPr>
          <w:sz w:val="23"/>
          <w:szCs w:val="23"/>
        </w:rPr>
        <w:t xml:space="preserve"> </w:t>
      </w:r>
      <w:r w:rsidR="009C0CD9" w:rsidRPr="00DC600E">
        <w:rPr>
          <w:sz w:val="23"/>
          <w:szCs w:val="23"/>
        </w:rPr>
        <w:t>que v</w:t>
      </w:r>
      <w:r w:rsidR="007119D7" w:rsidRPr="00DC600E">
        <w:rPr>
          <w:sz w:val="23"/>
          <w:szCs w:val="23"/>
        </w:rPr>
        <w:t>ersa sobre a afirmação de que há uma relação positiva entre a utilização de sistemas de informação integrados externamente e a adoção de práticas de gestão de custos interorganizacionais. A integração eletrônica externa refere-se aos sistemas de informações interorganizacionais que estão unidos de alguma forma com os sistemas informação utilizados por suas empresas parceiras para facilitar o acesso e a troca de informações.</w:t>
      </w:r>
    </w:p>
    <w:p w:rsidR="007119D7" w:rsidRPr="00DC600E" w:rsidRDefault="007119D7" w:rsidP="007119D7">
      <w:pPr>
        <w:autoSpaceDE w:val="0"/>
        <w:autoSpaceDN w:val="0"/>
        <w:adjustRightInd w:val="0"/>
        <w:ind w:firstLine="708"/>
        <w:rPr>
          <w:sz w:val="23"/>
          <w:szCs w:val="23"/>
        </w:rPr>
      </w:pPr>
      <w:r w:rsidRPr="00DC600E">
        <w:rPr>
          <w:sz w:val="23"/>
          <w:szCs w:val="23"/>
        </w:rPr>
        <w:t>No modelo teórico de análise proposto por Fayard et al. (2012), estes autores sugerem que a integração externa impacta diretamente na gestão de custos interorganizacionais, sendo esta (SEI) influenciada diretamente pela integração interna.</w:t>
      </w:r>
    </w:p>
    <w:p w:rsidR="00AF46C5" w:rsidRPr="00DC600E" w:rsidRDefault="007119D7" w:rsidP="00AF46C5">
      <w:pPr>
        <w:autoSpaceDE w:val="0"/>
        <w:autoSpaceDN w:val="0"/>
        <w:adjustRightInd w:val="0"/>
        <w:ind w:firstLine="708"/>
        <w:rPr>
          <w:sz w:val="23"/>
          <w:szCs w:val="23"/>
        </w:rPr>
      </w:pPr>
      <w:r w:rsidRPr="00DC600E">
        <w:rPr>
          <w:sz w:val="23"/>
          <w:szCs w:val="23"/>
        </w:rPr>
        <w:t>No estudo, a análise de caminhos apresentou um coeficiente de trilha positivo e estatisticamente significativo, aceitando desta forma a hipótese H</w:t>
      </w:r>
      <w:r w:rsidR="003C425A" w:rsidRPr="00DC600E">
        <w:rPr>
          <w:sz w:val="23"/>
          <w:szCs w:val="23"/>
          <w:vertAlign w:val="subscript"/>
        </w:rPr>
        <w:t>2</w:t>
      </w:r>
      <w:r w:rsidRPr="00DC600E">
        <w:rPr>
          <w:sz w:val="23"/>
          <w:szCs w:val="23"/>
        </w:rPr>
        <w:t xml:space="preserve">. Os resultados divergem dos </w:t>
      </w:r>
      <w:r w:rsidRPr="00DC600E">
        <w:rPr>
          <w:sz w:val="23"/>
          <w:szCs w:val="23"/>
        </w:rPr>
        <w:lastRenderedPageBreak/>
        <w:t>encontrados no estudo de Fayard et al. (2012). Estes resultados implicam que para as empresas alvos desse estudo, a gestão de custos interorganizacionais está diretamente ligada e é influenciada pela existência de sistemas de informações externos que se encontram integrados em sua cadeia de suprimentos. Tais resultados revelam uma prática própria desenvolvida no contexto brasileiro, que diverge dos achados encontrados no ambiente investigado por aqueles autores.</w:t>
      </w:r>
    </w:p>
    <w:p w:rsidR="00F72EF9" w:rsidRPr="00DC600E" w:rsidRDefault="00F72EF9" w:rsidP="00F72EF9">
      <w:pPr>
        <w:autoSpaceDE w:val="0"/>
        <w:autoSpaceDN w:val="0"/>
        <w:adjustRightInd w:val="0"/>
        <w:ind w:firstLine="708"/>
        <w:rPr>
          <w:sz w:val="23"/>
          <w:szCs w:val="23"/>
        </w:rPr>
      </w:pPr>
      <w:r w:rsidRPr="00DC600E">
        <w:rPr>
          <w:sz w:val="23"/>
          <w:szCs w:val="23"/>
        </w:rPr>
        <w:t>A maioria das atividades interorganizacionais necessita de sistemas externos, com os</w:t>
      </w:r>
      <w:r w:rsidR="00AF46C5" w:rsidRPr="00DC600E">
        <w:rPr>
          <w:sz w:val="23"/>
          <w:szCs w:val="23"/>
        </w:rPr>
        <w:t xml:space="preserve"> </w:t>
      </w:r>
      <w:r w:rsidRPr="00DC600E">
        <w:rPr>
          <w:sz w:val="23"/>
          <w:szCs w:val="23"/>
        </w:rPr>
        <w:t>quais se possa fornecer dados, controlar e coordenar as atividades e ainda se comunicar com</w:t>
      </w:r>
      <w:r w:rsidR="00AF46C5" w:rsidRPr="00DC600E">
        <w:rPr>
          <w:sz w:val="23"/>
          <w:szCs w:val="23"/>
        </w:rPr>
        <w:t xml:space="preserve"> </w:t>
      </w:r>
      <w:r w:rsidRPr="00DC600E">
        <w:rPr>
          <w:sz w:val="23"/>
          <w:szCs w:val="23"/>
        </w:rPr>
        <w:t>os parceiros da cadeia de suprimentos em tempo real (</w:t>
      </w:r>
      <w:proofErr w:type="spellStart"/>
      <w:r w:rsidR="008975F4" w:rsidRPr="00DC600E">
        <w:rPr>
          <w:sz w:val="23"/>
          <w:szCs w:val="23"/>
        </w:rPr>
        <w:t>Hopwood</w:t>
      </w:r>
      <w:proofErr w:type="spellEnd"/>
      <w:r w:rsidRPr="00DC600E">
        <w:rPr>
          <w:sz w:val="23"/>
          <w:szCs w:val="23"/>
        </w:rPr>
        <w:t xml:space="preserve">, 1996; </w:t>
      </w:r>
      <w:r w:rsidR="008975F4" w:rsidRPr="00DC600E">
        <w:rPr>
          <w:sz w:val="23"/>
          <w:szCs w:val="23"/>
        </w:rPr>
        <w:t>Anderson</w:t>
      </w:r>
      <w:r w:rsidRPr="00DC600E">
        <w:rPr>
          <w:sz w:val="23"/>
          <w:szCs w:val="23"/>
        </w:rPr>
        <w:t>,</w:t>
      </w:r>
      <w:r w:rsidR="00AF46C5" w:rsidRPr="00DC600E">
        <w:rPr>
          <w:sz w:val="23"/>
          <w:szCs w:val="23"/>
        </w:rPr>
        <w:t xml:space="preserve"> </w:t>
      </w:r>
      <w:r w:rsidRPr="00DC600E">
        <w:rPr>
          <w:sz w:val="23"/>
          <w:szCs w:val="23"/>
        </w:rPr>
        <w:t>2007). Apesar de diferir dos achados encontrados no estudo de Fayard et al. (2012), estes</w:t>
      </w:r>
      <w:r w:rsidR="00AF46C5" w:rsidRPr="00DC600E">
        <w:rPr>
          <w:sz w:val="23"/>
          <w:szCs w:val="23"/>
        </w:rPr>
        <w:t xml:space="preserve"> </w:t>
      </w:r>
      <w:r w:rsidRPr="00DC600E">
        <w:rPr>
          <w:sz w:val="23"/>
          <w:szCs w:val="23"/>
        </w:rPr>
        <w:t>convergem com os encontrados em outros estudos desenvolvidos na área contábil, como</w:t>
      </w:r>
      <w:r w:rsidR="00AF46C5" w:rsidRPr="00DC600E">
        <w:rPr>
          <w:sz w:val="23"/>
          <w:szCs w:val="23"/>
        </w:rPr>
        <w:t xml:space="preserve"> </w:t>
      </w:r>
      <w:r w:rsidR="007768E2" w:rsidRPr="00DC600E">
        <w:rPr>
          <w:sz w:val="23"/>
          <w:szCs w:val="23"/>
        </w:rPr>
        <w:t>Vickery et al.,</w:t>
      </w:r>
      <w:r w:rsidRPr="00DC600E">
        <w:rPr>
          <w:sz w:val="23"/>
          <w:szCs w:val="23"/>
        </w:rPr>
        <w:t xml:space="preserve"> (2003) e </w:t>
      </w:r>
      <w:proofErr w:type="spellStart"/>
      <w:r w:rsidRPr="00DC600E">
        <w:rPr>
          <w:sz w:val="23"/>
          <w:szCs w:val="23"/>
        </w:rPr>
        <w:t>Barua</w:t>
      </w:r>
      <w:proofErr w:type="spellEnd"/>
      <w:r w:rsidR="00976472" w:rsidRPr="00DC600E">
        <w:rPr>
          <w:sz w:val="23"/>
          <w:szCs w:val="23"/>
        </w:rPr>
        <w:t xml:space="preserve"> et al.,</w:t>
      </w:r>
      <w:r w:rsidRPr="00DC600E">
        <w:rPr>
          <w:sz w:val="23"/>
          <w:szCs w:val="23"/>
        </w:rPr>
        <w:t xml:space="preserve"> (2004), que mencionam</w:t>
      </w:r>
      <w:r w:rsidR="00AF46C5" w:rsidRPr="00DC600E">
        <w:rPr>
          <w:sz w:val="23"/>
          <w:szCs w:val="23"/>
        </w:rPr>
        <w:t xml:space="preserve"> </w:t>
      </w:r>
      <w:r w:rsidRPr="00DC600E">
        <w:rPr>
          <w:sz w:val="23"/>
          <w:szCs w:val="23"/>
        </w:rPr>
        <w:t>que esse recurso permite as organizações fornecer aos seus parceiros uma maior transparência</w:t>
      </w:r>
      <w:r w:rsidR="00AF46C5" w:rsidRPr="00DC600E">
        <w:rPr>
          <w:sz w:val="23"/>
          <w:szCs w:val="23"/>
        </w:rPr>
        <w:t xml:space="preserve"> </w:t>
      </w:r>
      <w:r w:rsidRPr="00DC600E">
        <w:rPr>
          <w:sz w:val="23"/>
          <w:szCs w:val="23"/>
        </w:rPr>
        <w:t>nas informações e permitir o compartilhamento de dados, fazendo com que as empresas</w:t>
      </w:r>
      <w:r w:rsidR="00AF46C5" w:rsidRPr="00DC600E">
        <w:rPr>
          <w:sz w:val="23"/>
          <w:szCs w:val="23"/>
        </w:rPr>
        <w:t xml:space="preserve"> </w:t>
      </w:r>
      <w:r w:rsidRPr="00DC600E">
        <w:rPr>
          <w:sz w:val="23"/>
          <w:szCs w:val="23"/>
        </w:rPr>
        <w:t xml:space="preserve">parceiras tenham acesso sempre a informações atualizadas. Nesse sentido, </w:t>
      </w:r>
      <w:proofErr w:type="spellStart"/>
      <w:r w:rsidRPr="00DC600E">
        <w:rPr>
          <w:sz w:val="23"/>
          <w:szCs w:val="23"/>
        </w:rPr>
        <w:t>Coad</w:t>
      </w:r>
      <w:proofErr w:type="spellEnd"/>
      <w:r w:rsidRPr="00DC600E">
        <w:rPr>
          <w:sz w:val="23"/>
          <w:szCs w:val="23"/>
        </w:rPr>
        <w:t xml:space="preserve"> e </w:t>
      </w:r>
      <w:proofErr w:type="spellStart"/>
      <w:r w:rsidRPr="00DC600E">
        <w:rPr>
          <w:sz w:val="23"/>
          <w:szCs w:val="23"/>
        </w:rPr>
        <w:t>Cullen</w:t>
      </w:r>
      <w:proofErr w:type="spellEnd"/>
      <w:r w:rsidR="00AF46C5" w:rsidRPr="00DC600E">
        <w:rPr>
          <w:sz w:val="23"/>
          <w:szCs w:val="23"/>
        </w:rPr>
        <w:t xml:space="preserve"> </w:t>
      </w:r>
      <w:r w:rsidRPr="00DC600E">
        <w:rPr>
          <w:sz w:val="23"/>
          <w:szCs w:val="23"/>
        </w:rPr>
        <w:t>(2006) já defendiam que os ativos físicos, no caso os sistemas de informação, são recursos</w:t>
      </w:r>
      <w:r w:rsidR="00AF46C5" w:rsidRPr="00DC600E">
        <w:rPr>
          <w:sz w:val="23"/>
          <w:szCs w:val="23"/>
        </w:rPr>
        <w:t xml:space="preserve"> </w:t>
      </w:r>
      <w:r w:rsidRPr="00DC600E">
        <w:rPr>
          <w:sz w:val="23"/>
          <w:szCs w:val="23"/>
        </w:rPr>
        <w:t>antecedentes e indispensáveis para o desenvolvimento do recurso estratégico gestão de custos</w:t>
      </w:r>
      <w:r w:rsidR="00AF46C5" w:rsidRPr="00DC600E">
        <w:rPr>
          <w:sz w:val="23"/>
          <w:szCs w:val="23"/>
        </w:rPr>
        <w:t xml:space="preserve"> </w:t>
      </w:r>
      <w:r w:rsidRPr="00DC600E">
        <w:rPr>
          <w:sz w:val="23"/>
          <w:szCs w:val="23"/>
        </w:rPr>
        <w:t>interorganizacionais.</w:t>
      </w:r>
    </w:p>
    <w:p w:rsidR="00A307D2" w:rsidRPr="00DC600E" w:rsidRDefault="002520C9" w:rsidP="00A307D2">
      <w:pPr>
        <w:autoSpaceDE w:val="0"/>
        <w:autoSpaceDN w:val="0"/>
        <w:adjustRightInd w:val="0"/>
        <w:ind w:firstLine="708"/>
        <w:rPr>
          <w:sz w:val="23"/>
          <w:szCs w:val="23"/>
        </w:rPr>
      </w:pPr>
      <w:r w:rsidRPr="00DC600E">
        <w:rPr>
          <w:sz w:val="23"/>
          <w:szCs w:val="23"/>
        </w:rPr>
        <w:t>Em relação a H</w:t>
      </w:r>
      <w:r w:rsidR="00286E1E" w:rsidRPr="00DC600E">
        <w:rPr>
          <w:sz w:val="23"/>
          <w:szCs w:val="23"/>
          <w:vertAlign w:val="subscript"/>
        </w:rPr>
        <w:t>3</w:t>
      </w:r>
      <w:r w:rsidR="00ED4CAD" w:rsidRPr="00DC600E">
        <w:rPr>
          <w:sz w:val="23"/>
          <w:szCs w:val="23"/>
        </w:rPr>
        <w:t xml:space="preserve"> que</w:t>
      </w:r>
      <w:r w:rsidRPr="00DC600E">
        <w:rPr>
          <w:sz w:val="23"/>
          <w:szCs w:val="23"/>
        </w:rPr>
        <w:t xml:space="preserve"> </w:t>
      </w:r>
      <w:proofErr w:type="gramStart"/>
      <w:r w:rsidRPr="00DC600E">
        <w:rPr>
          <w:sz w:val="23"/>
          <w:szCs w:val="23"/>
        </w:rPr>
        <w:t>argumenta-se</w:t>
      </w:r>
      <w:proofErr w:type="gramEnd"/>
      <w:r w:rsidRPr="00DC600E">
        <w:rPr>
          <w:sz w:val="23"/>
          <w:szCs w:val="23"/>
        </w:rPr>
        <w:t xml:space="preserve"> que há relação positiva e significativa entre a capacidade absortiva da empresa e a adoção de práticas de gestão de custos interorganizacionais.</w:t>
      </w:r>
      <w:r w:rsidR="00A307D2" w:rsidRPr="00DC600E">
        <w:rPr>
          <w:sz w:val="23"/>
          <w:szCs w:val="23"/>
        </w:rPr>
        <w:t xml:space="preserve"> </w:t>
      </w:r>
      <w:r w:rsidR="00584479" w:rsidRPr="00DC600E">
        <w:rPr>
          <w:sz w:val="23"/>
          <w:szCs w:val="23"/>
        </w:rPr>
        <w:t>A capacidade absortiva é um recurso fundamental para as organizações, uma vez que</w:t>
      </w:r>
      <w:r w:rsidR="00A307D2" w:rsidRPr="00DC600E">
        <w:rPr>
          <w:sz w:val="23"/>
          <w:szCs w:val="23"/>
        </w:rPr>
        <w:t xml:space="preserve"> </w:t>
      </w:r>
      <w:r w:rsidR="00584479" w:rsidRPr="00DC600E">
        <w:rPr>
          <w:sz w:val="23"/>
          <w:szCs w:val="23"/>
        </w:rPr>
        <w:t xml:space="preserve">está relacionada a capacidade da empresa de identificar um novo recurso, assimilá-lo e </w:t>
      </w:r>
      <w:r w:rsidR="00A307D2" w:rsidRPr="00DC600E">
        <w:rPr>
          <w:sz w:val="23"/>
          <w:szCs w:val="23"/>
        </w:rPr>
        <w:t>aplica-</w:t>
      </w:r>
      <w:r w:rsidR="00584479" w:rsidRPr="00DC600E">
        <w:rPr>
          <w:sz w:val="23"/>
          <w:szCs w:val="23"/>
        </w:rPr>
        <w:t>lo</w:t>
      </w:r>
      <w:r w:rsidR="00A307D2" w:rsidRPr="00DC600E">
        <w:rPr>
          <w:sz w:val="23"/>
          <w:szCs w:val="23"/>
        </w:rPr>
        <w:t xml:space="preserve"> </w:t>
      </w:r>
      <w:r w:rsidR="00584479" w:rsidRPr="00DC600E">
        <w:rPr>
          <w:sz w:val="23"/>
          <w:szCs w:val="23"/>
        </w:rPr>
        <w:t>para seu usufruto (</w:t>
      </w:r>
      <w:r w:rsidR="00C352C7" w:rsidRPr="00DC600E">
        <w:rPr>
          <w:sz w:val="23"/>
          <w:szCs w:val="23"/>
        </w:rPr>
        <w:t>Cohen &amp;</w:t>
      </w:r>
      <w:r w:rsidR="00584479" w:rsidRPr="00DC600E">
        <w:rPr>
          <w:sz w:val="23"/>
          <w:szCs w:val="23"/>
        </w:rPr>
        <w:t xml:space="preserve"> L</w:t>
      </w:r>
      <w:r w:rsidR="00C352C7" w:rsidRPr="00DC600E">
        <w:rPr>
          <w:sz w:val="23"/>
          <w:szCs w:val="23"/>
        </w:rPr>
        <w:t>evinthal</w:t>
      </w:r>
      <w:r w:rsidR="00584479" w:rsidRPr="00DC600E">
        <w:rPr>
          <w:sz w:val="23"/>
          <w:szCs w:val="23"/>
        </w:rPr>
        <w:t>, 1990). Nesse sentido, na maioria dos casos</w:t>
      </w:r>
      <w:r w:rsidR="00A307D2" w:rsidRPr="00DC600E">
        <w:rPr>
          <w:sz w:val="23"/>
          <w:szCs w:val="23"/>
        </w:rPr>
        <w:t xml:space="preserve"> </w:t>
      </w:r>
      <w:r w:rsidR="00584479" w:rsidRPr="00DC600E">
        <w:rPr>
          <w:sz w:val="23"/>
          <w:szCs w:val="23"/>
        </w:rPr>
        <w:t>analisados, o clima comunicação (que inclui a confiança como um aspecto da capacidade</w:t>
      </w:r>
      <w:r w:rsidR="00A307D2" w:rsidRPr="00DC600E">
        <w:rPr>
          <w:sz w:val="23"/>
          <w:szCs w:val="23"/>
        </w:rPr>
        <w:t xml:space="preserve"> </w:t>
      </w:r>
      <w:r w:rsidR="00584479" w:rsidRPr="00DC600E">
        <w:rPr>
          <w:sz w:val="23"/>
          <w:szCs w:val="23"/>
        </w:rPr>
        <w:t>absortiva), o compartilhamento de informações e a busca de conhecimentos apresentam-se</w:t>
      </w:r>
      <w:r w:rsidR="00A307D2" w:rsidRPr="00DC600E">
        <w:rPr>
          <w:sz w:val="23"/>
          <w:szCs w:val="23"/>
        </w:rPr>
        <w:t xml:space="preserve"> </w:t>
      </w:r>
      <w:r w:rsidR="00584479" w:rsidRPr="00DC600E">
        <w:rPr>
          <w:sz w:val="23"/>
          <w:szCs w:val="23"/>
        </w:rPr>
        <w:t>como recursos particularmente importantes na colaboração e cooperação interorganizacional</w:t>
      </w:r>
      <w:r w:rsidR="00A307D2" w:rsidRPr="00DC600E">
        <w:rPr>
          <w:sz w:val="23"/>
          <w:szCs w:val="23"/>
        </w:rPr>
        <w:t xml:space="preserve"> </w:t>
      </w:r>
      <w:r w:rsidR="00584479" w:rsidRPr="00DC600E">
        <w:rPr>
          <w:sz w:val="23"/>
          <w:szCs w:val="23"/>
        </w:rPr>
        <w:t>estabelecida entre estas empresas e o seu principal parceiro. Por consequência, para o</w:t>
      </w:r>
      <w:r w:rsidR="00A307D2" w:rsidRPr="00DC600E">
        <w:rPr>
          <w:sz w:val="23"/>
          <w:szCs w:val="23"/>
        </w:rPr>
        <w:t xml:space="preserve"> </w:t>
      </w:r>
      <w:r w:rsidR="00584479" w:rsidRPr="00DC600E">
        <w:rPr>
          <w:sz w:val="23"/>
          <w:szCs w:val="23"/>
        </w:rPr>
        <w:t>desenvolvimento de ações conjuntas de gestão, como a adoção de práticas de gestão de custos</w:t>
      </w:r>
      <w:r w:rsidR="00A307D2" w:rsidRPr="00DC600E">
        <w:rPr>
          <w:sz w:val="23"/>
          <w:szCs w:val="23"/>
        </w:rPr>
        <w:t xml:space="preserve"> </w:t>
      </w:r>
      <w:r w:rsidR="00584479" w:rsidRPr="00DC600E">
        <w:rPr>
          <w:sz w:val="23"/>
          <w:szCs w:val="23"/>
        </w:rPr>
        <w:t>interorganizacionais, com o objetivo final de aumentar o valor das empresas na cadeia de</w:t>
      </w:r>
      <w:r w:rsidR="00A307D2" w:rsidRPr="00DC600E">
        <w:rPr>
          <w:sz w:val="23"/>
          <w:szCs w:val="23"/>
        </w:rPr>
        <w:t xml:space="preserve"> </w:t>
      </w:r>
      <w:r w:rsidR="00584479" w:rsidRPr="00DC600E">
        <w:rPr>
          <w:sz w:val="23"/>
          <w:szCs w:val="23"/>
        </w:rPr>
        <w:t>suprimentos.</w:t>
      </w:r>
    </w:p>
    <w:p w:rsidR="00A307D2" w:rsidRPr="00DC600E" w:rsidRDefault="009E3DE9" w:rsidP="00A307D2">
      <w:pPr>
        <w:autoSpaceDE w:val="0"/>
        <w:autoSpaceDN w:val="0"/>
        <w:adjustRightInd w:val="0"/>
        <w:ind w:firstLine="708"/>
        <w:rPr>
          <w:sz w:val="23"/>
          <w:szCs w:val="23"/>
        </w:rPr>
      </w:pPr>
      <w:proofErr w:type="spellStart"/>
      <w:r w:rsidRPr="00DC600E">
        <w:rPr>
          <w:sz w:val="23"/>
          <w:szCs w:val="23"/>
        </w:rPr>
        <w:t>Ittner</w:t>
      </w:r>
      <w:proofErr w:type="spellEnd"/>
      <w:r w:rsidRPr="00DC600E">
        <w:rPr>
          <w:sz w:val="23"/>
          <w:szCs w:val="23"/>
        </w:rPr>
        <w:t xml:space="preserve"> et al.,</w:t>
      </w:r>
      <w:r w:rsidR="00584479" w:rsidRPr="00DC600E">
        <w:rPr>
          <w:sz w:val="23"/>
          <w:szCs w:val="23"/>
        </w:rPr>
        <w:t xml:space="preserve"> (1999) em seu estudo já haviam concluído que reuniões</w:t>
      </w:r>
      <w:r w:rsidR="00A307D2" w:rsidRPr="00DC600E">
        <w:rPr>
          <w:sz w:val="23"/>
          <w:szCs w:val="23"/>
        </w:rPr>
        <w:t xml:space="preserve"> </w:t>
      </w:r>
      <w:r w:rsidR="00584479" w:rsidRPr="00DC600E">
        <w:rPr>
          <w:sz w:val="23"/>
          <w:szCs w:val="23"/>
        </w:rPr>
        <w:t>frequentes com os parceiros resultam em processos de planejamento melhorado, quando</w:t>
      </w:r>
      <w:r w:rsidR="00A307D2" w:rsidRPr="00DC600E">
        <w:rPr>
          <w:sz w:val="23"/>
          <w:szCs w:val="23"/>
        </w:rPr>
        <w:t xml:space="preserve"> </w:t>
      </w:r>
      <w:r w:rsidR="00584479" w:rsidRPr="00DC600E">
        <w:rPr>
          <w:sz w:val="23"/>
          <w:szCs w:val="23"/>
        </w:rPr>
        <w:t>desenvolvidos em conjunto. A realização de reuniões de planejamento é considerada uma</w:t>
      </w:r>
      <w:r w:rsidR="00A307D2" w:rsidRPr="00DC600E">
        <w:rPr>
          <w:sz w:val="23"/>
          <w:szCs w:val="23"/>
        </w:rPr>
        <w:t xml:space="preserve"> </w:t>
      </w:r>
      <w:r w:rsidR="00584479" w:rsidRPr="00DC600E">
        <w:rPr>
          <w:sz w:val="23"/>
          <w:szCs w:val="23"/>
        </w:rPr>
        <w:t>atividade de gestão de custos interorganizacionais, que teve influência significativa no</w:t>
      </w:r>
      <w:r w:rsidR="00A307D2" w:rsidRPr="00DC600E">
        <w:rPr>
          <w:sz w:val="23"/>
          <w:szCs w:val="23"/>
        </w:rPr>
        <w:t xml:space="preserve"> </w:t>
      </w:r>
      <w:r w:rsidR="00584479" w:rsidRPr="00DC600E">
        <w:rPr>
          <w:sz w:val="23"/>
          <w:szCs w:val="23"/>
        </w:rPr>
        <w:t>desempenho das organizações pesquisadas por estes autores. Cooper e Slagmulder (2004)</w:t>
      </w:r>
      <w:r w:rsidR="00A307D2" w:rsidRPr="00DC600E">
        <w:rPr>
          <w:sz w:val="23"/>
          <w:szCs w:val="23"/>
        </w:rPr>
        <w:t xml:space="preserve"> </w:t>
      </w:r>
      <w:r w:rsidR="00584479" w:rsidRPr="00DC600E">
        <w:rPr>
          <w:sz w:val="23"/>
          <w:szCs w:val="23"/>
        </w:rPr>
        <w:t>também constataram que uma boa rede de comunicação, item essencial para o</w:t>
      </w:r>
      <w:r w:rsidR="00A307D2" w:rsidRPr="00DC600E">
        <w:rPr>
          <w:sz w:val="23"/>
          <w:szCs w:val="23"/>
        </w:rPr>
        <w:t xml:space="preserve"> </w:t>
      </w:r>
      <w:r w:rsidR="00584479" w:rsidRPr="00DC600E">
        <w:rPr>
          <w:sz w:val="23"/>
          <w:szCs w:val="23"/>
        </w:rPr>
        <w:t>desenvolvimento da capacidade absortiva das empresas, é fundamental para os</w:t>
      </w:r>
      <w:r w:rsidR="00A307D2" w:rsidRPr="00DC600E">
        <w:rPr>
          <w:sz w:val="23"/>
          <w:szCs w:val="23"/>
        </w:rPr>
        <w:t xml:space="preserve"> </w:t>
      </w:r>
      <w:r w:rsidR="00584479" w:rsidRPr="00DC600E">
        <w:rPr>
          <w:sz w:val="23"/>
          <w:szCs w:val="23"/>
        </w:rPr>
        <w:t>relacionamentos interorganizacionais, pois facilitam a gestão de custos e a resolução de</w:t>
      </w:r>
      <w:r w:rsidR="00A307D2" w:rsidRPr="00DC600E">
        <w:rPr>
          <w:sz w:val="23"/>
          <w:szCs w:val="23"/>
        </w:rPr>
        <w:t xml:space="preserve"> </w:t>
      </w:r>
      <w:r w:rsidR="00584479" w:rsidRPr="00DC600E">
        <w:rPr>
          <w:sz w:val="23"/>
          <w:szCs w:val="23"/>
        </w:rPr>
        <w:t>problemas de forma conjunta.</w:t>
      </w:r>
      <w:r w:rsidR="00A307D2" w:rsidRPr="00DC600E">
        <w:rPr>
          <w:sz w:val="23"/>
          <w:szCs w:val="23"/>
        </w:rPr>
        <w:t xml:space="preserve"> </w:t>
      </w:r>
    </w:p>
    <w:p w:rsidR="00530DD7" w:rsidRPr="00DC600E" w:rsidRDefault="00584479" w:rsidP="00A307D2">
      <w:pPr>
        <w:autoSpaceDE w:val="0"/>
        <w:autoSpaceDN w:val="0"/>
        <w:adjustRightInd w:val="0"/>
        <w:ind w:firstLine="708"/>
        <w:rPr>
          <w:sz w:val="23"/>
          <w:szCs w:val="23"/>
        </w:rPr>
      </w:pPr>
      <w:r w:rsidRPr="00DC600E">
        <w:rPr>
          <w:sz w:val="23"/>
          <w:szCs w:val="23"/>
        </w:rPr>
        <w:t>Os resultados encontrados nesta hipótese em específico são importantes para o avanço</w:t>
      </w:r>
      <w:r w:rsidR="00A307D2" w:rsidRPr="00DC600E">
        <w:rPr>
          <w:sz w:val="23"/>
          <w:szCs w:val="23"/>
        </w:rPr>
        <w:t xml:space="preserve"> </w:t>
      </w:r>
      <w:r w:rsidRPr="00DC600E">
        <w:rPr>
          <w:sz w:val="23"/>
          <w:szCs w:val="23"/>
        </w:rPr>
        <w:t>do conhecimento existente na área contábil, uma vez que poucos estudos se dedicaram a</w:t>
      </w:r>
      <w:r w:rsidR="00A307D2" w:rsidRPr="00DC600E">
        <w:rPr>
          <w:sz w:val="23"/>
          <w:szCs w:val="23"/>
        </w:rPr>
        <w:t xml:space="preserve"> </w:t>
      </w:r>
      <w:r w:rsidRPr="00DC600E">
        <w:rPr>
          <w:sz w:val="23"/>
          <w:szCs w:val="23"/>
        </w:rPr>
        <w:t>avaliar o efeito de determinados recursos sobre o desenvolvimento da capacidade absortiva</w:t>
      </w:r>
      <w:r w:rsidR="00A307D2" w:rsidRPr="00DC600E">
        <w:rPr>
          <w:sz w:val="23"/>
          <w:szCs w:val="23"/>
        </w:rPr>
        <w:t xml:space="preserve"> </w:t>
      </w:r>
      <w:r w:rsidRPr="00DC600E">
        <w:rPr>
          <w:sz w:val="23"/>
          <w:szCs w:val="23"/>
        </w:rPr>
        <w:t>das empresas, bem como da capacidade absortiva sobre a gestão de custos</w:t>
      </w:r>
      <w:r w:rsidR="00A307D2" w:rsidRPr="00DC600E">
        <w:rPr>
          <w:sz w:val="23"/>
          <w:szCs w:val="23"/>
        </w:rPr>
        <w:t xml:space="preserve"> </w:t>
      </w:r>
      <w:r w:rsidRPr="00DC600E">
        <w:rPr>
          <w:sz w:val="23"/>
          <w:szCs w:val="23"/>
        </w:rPr>
        <w:t>interorganizacionais, lacuna teórica que estimula a realização de novos estudos.</w:t>
      </w:r>
    </w:p>
    <w:p w:rsidR="002520C9" w:rsidRPr="00DC600E" w:rsidRDefault="00584479" w:rsidP="00B35902">
      <w:pPr>
        <w:autoSpaceDE w:val="0"/>
        <w:autoSpaceDN w:val="0"/>
        <w:adjustRightInd w:val="0"/>
        <w:ind w:firstLine="708"/>
        <w:rPr>
          <w:sz w:val="23"/>
          <w:szCs w:val="23"/>
        </w:rPr>
      </w:pPr>
      <w:r w:rsidRPr="00DC600E">
        <w:rPr>
          <w:sz w:val="23"/>
          <w:szCs w:val="23"/>
        </w:rPr>
        <w:t>Especificamente sobre tais relacionamentos, os achados desta pesquisa convergem aos</w:t>
      </w:r>
      <w:r w:rsidR="00A307D2" w:rsidRPr="00DC600E">
        <w:rPr>
          <w:sz w:val="23"/>
          <w:szCs w:val="23"/>
        </w:rPr>
        <w:t xml:space="preserve"> </w:t>
      </w:r>
      <w:r w:rsidRPr="00DC600E">
        <w:rPr>
          <w:sz w:val="23"/>
          <w:szCs w:val="23"/>
        </w:rPr>
        <w:t xml:space="preserve">encontrados por </w:t>
      </w:r>
      <w:proofErr w:type="spellStart"/>
      <w:r w:rsidRPr="00DC600E">
        <w:rPr>
          <w:sz w:val="23"/>
          <w:szCs w:val="23"/>
        </w:rPr>
        <w:t>Elbashir</w:t>
      </w:r>
      <w:proofErr w:type="spellEnd"/>
      <w:r w:rsidR="00416F69" w:rsidRPr="00DC600E">
        <w:rPr>
          <w:sz w:val="23"/>
          <w:szCs w:val="23"/>
        </w:rPr>
        <w:t xml:space="preserve"> et al.,</w:t>
      </w:r>
      <w:r w:rsidRPr="00DC600E">
        <w:rPr>
          <w:sz w:val="23"/>
          <w:szCs w:val="23"/>
        </w:rPr>
        <w:t xml:space="preserve"> (2011), que concluíram que a capacidade absortiva</w:t>
      </w:r>
      <w:r w:rsidR="00A307D2" w:rsidRPr="00DC600E">
        <w:rPr>
          <w:sz w:val="23"/>
          <w:szCs w:val="23"/>
        </w:rPr>
        <w:t xml:space="preserve"> </w:t>
      </w:r>
      <w:r w:rsidRPr="00DC600E">
        <w:rPr>
          <w:sz w:val="23"/>
          <w:szCs w:val="23"/>
        </w:rPr>
        <w:t>é fundamental para a assimilação de novos mecanismos de controle de gestão dos parceiros.</w:t>
      </w:r>
      <w:r w:rsidR="00A307D2" w:rsidRPr="00DC600E">
        <w:rPr>
          <w:sz w:val="23"/>
          <w:szCs w:val="23"/>
        </w:rPr>
        <w:t xml:space="preserve"> </w:t>
      </w:r>
      <w:r w:rsidRPr="00DC600E">
        <w:rPr>
          <w:sz w:val="23"/>
          <w:szCs w:val="23"/>
        </w:rPr>
        <w:t>Além disso, os achados de Fayard et al. (2012) também encontraram relação direta entre a</w:t>
      </w:r>
      <w:r w:rsidR="00A307D2" w:rsidRPr="00DC600E">
        <w:rPr>
          <w:sz w:val="23"/>
          <w:szCs w:val="23"/>
        </w:rPr>
        <w:t xml:space="preserve"> </w:t>
      </w:r>
      <w:r w:rsidRPr="00DC600E">
        <w:rPr>
          <w:sz w:val="23"/>
          <w:szCs w:val="23"/>
        </w:rPr>
        <w:t>capacidade absortiva e a adoção de práticas de gestão de custos interorganizacionais.</w:t>
      </w:r>
      <w:r w:rsidR="00A307D2" w:rsidRPr="00DC600E">
        <w:rPr>
          <w:sz w:val="23"/>
          <w:szCs w:val="23"/>
        </w:rPr>
        <w:t xml:space="preserve"> </w:t>
      </w:r>
      <w:r w:rsidR="00B35902" w:rsidRPr="00DC600E">
        <w:rPr>
          <w:sz w:val="23"/>
          <w:szCs w:val="23"/>
        </w:rPr>
        <w:t>Assim, evidencia-se que empresas com maiores níveis de capacidade absortiva são mais propensas, quando em relacionamentos interorganizacionais, a desenvolverem e praticarem ações de gestão de custos interorganizacionais.</w:t>
      </w:r>
    </w:p>
    <w:p w:rsidR="00A307D2" w:rsidRPr="00931024" w:rsidRDefault="00A307D2" w:rsidP="00A307D2">
      <w:pPr>
        <w:autoSpaceDE w:val="0"/>
        <w:autoSpaceDN w:val="0"/>
        <w:adjustRightInd w:val="0"/>
        <w:ind w:firstLine="708"/>
      </w:pPr>
    </w:p>
    <w:p w:rsidR="00DC1132" w:rsidRPr="00931024" w:rsidRDefault="00DC1132" w:rsidP="00E84919">
      <w:pPr>
        <w:pStyle w:val="Ttulo1"/>
        <w:rPr>
          <w:rFonts w:cs="Times New Roman"/>
        </w:rPr>
      </w:pPr>
      <w:r w:rsidRPr="00931024">
        <w:rPr>
          <w:rFonts w:cs="Times New Roman"/>
        </w:rPr>
        <w:t>5 CONSIDERAÇÕES FINAIS</w:t>
      </w:r>
      <w:r w:rsidR="00555A0E" w:rsidRPr="00931024">
        <w:rPr>
          <w:rFonts w:cs="Times New Roman"/>
        </w:rPr>
        <w:t xml:space="preserve"> E RECOMENDAÇÕES</w:t>
      </w:r>
    </w:p>
    <w:p w:rsidR="0067275F" w:rsidRPr="00931024" w:rsidRDefault="003439AC" w:rsidP="0067275F">
      <w:pPr>
        <w:autoSpaceDE w:val="0"/>
        <w:autoSpaceDN w:val="0"/>
        <w:adjustRightInd w:val="0"/>
        <w:ind w:firstLine="708"/>
        <w:rPr>
          <w:szCs w:val="24"/>
        </w:rPr>
      </w:pPr>
      <w:r w:rsidRPr="00931024">
        <w:rPr>
          <w:szCs w:val="24"/>
        </w:rPr>
        <w:t>A</w:t>
      </w:r>
      <w:r w:rsidR="00F24C4C" w:rsidRPr="00931024">
        <w:rPr>
          <w:szCs w:val="24"/>
        </w:rPr>
        <w:t xml:space="preserve"> pesquisa </w:t>
      </w:r>
      <w:r w:rsidR="00C453A9" w:rsidRPr="00931024">
        <w:rPr>
          <w:szCs w:val="24"/>
        </w:rPr>
        <w:t xml:space="preserve">teve como objetivo geral </w:t>
      </w:r>
      <w:r w:rsidR="00F24C4C" w:rsidRPr="00931024">
        <w:rPr>
          <w:szCs w:val="24"/>
        </w:rPr>
        <w:t>aval</w:t>
      </w:r>
      <w:r w:rsidR="000041D3" w:rsidRPr="00931024">
        <w:rPr>
          <w:szCs w:val="24"/>
        </w:rPr>
        <w:t xml:space="preserve">iar os efeitos dos recursos de </w:t>
      </w:r>
      <w:r w:rsidR="00F24C4C" w:rsidRPr="00931024">
        <w:rPr>
          <w:szCs w:val="24"/>
        </w:rPr>
        <w:t xml:space="preserve">integração </w:t>
      </w:r>
      <w:r w:rsidR="000041D3" w:rsidRPr="00931024">
        <w:rPr>
          <w:szCs w:val="24"/>
        </w:rPr>
        <w:t xml:space="preserve">externa </w:t>
      </w:r>
      <w:r w:rsidR="00F24C4C" w:rsidRPr="00931024">
        <w:rPr>
          <w:szCs w:val="24"/>
        </w:rPr>
        <w:t xml:space="preserve">de sistemas de informação e capacidade absortiva na gestão de custos interorganizacionais das </w:t>
      </w:r>
      <w:r w:rsidR="00F24C4C" w:rsidRPr="00931024">
        <w:rPr>
          <w:szCs w:val="24"/>
        </w:rPr>
        <w:lastRenderedPageBreak/>
        <w:t xml:space="preserve">maiores organizações industriais do Brasil. </w:t>
      </w:r>
      <w:r w:rsidR="0067275F" w:rsidRPr="00931024">
        <w:rPr>
          <w:szCs w:val="24"/>
        </w:rPr>
        <w:t xml:space="preserve">Para tanto, desenvolveu-se uma pesquisa descritiva, realizada por meio de um levantamento e abordagem quantitativa dos dados. A amostra da pesquisa foi composta por 100 respondentes voluntários que possuem responsabilidade pelo setor de custos nas empresas pesquisadas. </w:t>
      </w:r>
      <w:r w:rsidR="00646A10" w:rsidRPr="00931024">
        <w:rPr>
          <w:szCs w:val="24"/>
        </w:rPr>
        <w:t>Utilizou-se</w:t>
      </w:r>
      <w:r w:rsidR="0067275F" w:rsidRPr="00931024">
        <w:rPr>
          <w:szCs w:val="24"/>
        </w:rPr>
        <w:t xml:space="preserve"> o método multivariado da análise de trajetórias (</w:t>
      </w:r>
      <w:r w:rsidR="0067275F" w:rsidRPr="00931024">
        <w:rPr>
          <w:i/>
          <w:iCs/>
          <w:szCs w:val="24"/>
        </w:rPr>
        <w:t xml:space="preserve">path </w:t>
      </w:r>
      <w:proofErr w:type="spellStart"/>
      <w:r w:rsidR="0067275F" w:rsidRPr="00931024">
        <w:rPr>
          <w:i/>
          <w:iCs/>
          <w:szCs w:val="24"/>
        </w:rPr>
        <w:t>analysis</w:t>
      </w:r>
      <w:proofErr w:type="spellEnd"/>
      <w:r w:rsidR="00646A10" w:rsidRPr="00931024">
        <w:rPr>
          <w:szCs w:val="24"/>
        </w:rPr>
        <w:t xml:space="preserve">) para analisar os dados. </w:t>
      </w:r>
    </w:p>
    <w:p w:rsidR="002F2AA7" w:rsidRPr="00931024" w:rsidRDefault="00226D7E" w:rsidP="002F2AA7">
      <w:pPr>
        <w:autoSpaceDE w:val="0"/>
        <w:autoSpaceDN w:val="0"/>
        <w:adjustRightInd w:val="0"/>
        <w:ind w:firstLine="708"/>
        <w:rPr>
          <w:szCs w:val="24"/>
        </w:rPr>
      </w:pPr>
      <w:r w:rsidRPr="00931024">
        <w:rPr>
          <w:szCs w:val="24"/>
        </w:rPr>
        <w:t xml:space="preserve">No que se refere ao objetivo </w:t>
      </w:r>
      <w:r w:rsidR="00646A10" w:rsidRPr="00931024">
        <w:rPr>
          <w:szCs w:val="24"/>
        </w:rPr>
        <w:t>geral</w:t>
      </w:r>
      <w:r w:rsidRPr="00931024">
        <w:rPr>
          <w:szCs w:val="24"/>
        </w:rPr>
        <w:t xml:space="preserve"> estabelecido para o estudo</w:t>
      </w:r>
      <w:r w:rsidR="005A132B">
        <w:rPr>
          <w:szCs w:val="24"/>
        </w:rPr>
        <w:t>, o</w:t>
      </w:r>
      <w:r w:rsidRPr="00931024">
        <w:rPr>
          <w:szCs w:val="24"/>
        </w:rPr>
        <w:t>bservou-se</w:t>
      </w:r>
      <w:r w:rsidR="008D4B79" w:rsidRPr="00931024">
        <w:rPr>
          <w:szCs w:val="24"/>
        </w:rPr>
        <w:t>, na amostra,</w:t>
      </w:r>
      <w:r w:rsidRPr="00931024">
        <w:rPr>
          <w:szCs w:val="24"/>
        </w:rPr>
        <w:t xml:space="preserve"> a inf</w:t>
      </w:r>
      <w:r w:rsidR="00F75094" w:rsidRPr="00931024">
        <w:rPr>
          <w:szCs w:val="24"/>
        </w:rPr>
        <w:t xml:space="preserve">luência direta dos recursos de </w:t>
      </w:r>
      <w:r w:rsidRPr="00931024">
        <w:rPr>
          <w:szCs w:val="24"/>
        </w:rPr>
        <w:t>capacidade absortiva e sistemas externos integrados na gestão</w:t>
      </w:r>
      <w:r w:rsidR="002F2AA7" w:rsidRPr="00931024">
        <w:rPr>
          <w:szCs w:val="24"/>
        </w:rPr>
        <w:t xml:space="preserve"> de custos interorganizacionais, </w:t>
      </w:r>
      <w:r w:rsidRPr="00931024">
        <w:rPr>
          <w:szCs w:val="24"/>
        </w:rPr>
        <w:t>o que sugere que empresas que possuem esses recursos são mais propensas a utilizarem a</w:t>
      </w:r>
      <w:r w:rsidR="002F2AA7" w:rsidRPr="00931024">
        <w:rPr>
          <w:szCs w:val="24"/>
        </w:rPr>
        <w:t xml:space="preserve"> </w:t>
      </w:r>
      <w:r w:rsidRPr="00931024">
        <w:rPr>
          <w:szCs w:val="24"/>
        </w:rPr>
        <w:t>gestão de custos juntamente com seus principais parceiros. A existência de tais recursos</w:t>
      </w:r>
      <w:r w:rsidR="002F2AA7" w:rsidRPr="00931024">
        <w:rPr>
          <w:szCs w:val="24"/>
        </w:rPr>
        <w:t xml:space="preserve"> </w:t>
      </w:r>
      <w:r w:rsidRPr="00931024">
        <w:rPr>
          <w:szCs w:val="24"/>
        </w:rPr>
        <w:t>também contribui para o desenvolvimento da capacidade absortiva das empresas.</w:t>
      </w:r>
      <w:r w:rsidR="002F2AA7" w:rsidRPr="00931024">
        <w:rPr>
          <w:szCs w:val="24"/>
        </w:rPr>
        <w:t xml:space="preserve"> </w:t>
      </w:r>
    </w:p>
    <w:p w:rsidR="00DC0B73" w:rsidRPr="00931024" w:rsidRDefault="00F75094" w:rsidP="00DC0B73">
      <w:pPr>
        <w:autoSpaceDE w:val="0"/>
        <w:autoSpaceDN w:val="0"/>
        <w:adjustRightInd w:val="0"/>
        <w:ind w:firstLine="708"/>
        <w:rPr>
          <w:szCs w:val="24"/>
        </w:rPr>
      </w:pPr>
      <w:r w:rsidRPr="00931024">
        <w:rPr>
          <w:szCs w:val="24"/>
        </w:rPr>
        <w:t xml:space="preserve">Os </w:t>
      </w:r>
      <w:r w:rsidR="00226D7E" w:rsidRPr="00931024">
        <w:rPr>
          <w:szCs w:val="24"/>
        </w:rPr>
        <w:t>resultados</w:t>
      </w:r>
      <w:r w:rsidRPr="00931024">
        <w:rPr>
          <w:szCs w:val="24"/>
        </w:rPr>
        <w:t>, com base na teoria da VBR</w:t>
      </w:r>
      <w:r w:rsidR="00B444A8" w:rsidRPr="00931024">
        <w:rPr>
          <w:szCs w:val="24"/>
        </w:rPr>
        <w:t xml:space="preserve"> que sustenta o presente artigo,</w:t>
      </w:r>
      <w:r w:rsidR="00226D7E" w:rsidRPr="00931024">
        <w:rPr>
          <w:szCs w:val="24"/>
        </w:rPr>
        <w:t xml:space="preserve"> revelam que esses</w:t>
      </w:r>
      <w:r w:rsidR="00DC0B73" w:rsidRPr="00931024">
        <w:rPr>
          <w:szCs w:val="24"/>
        </w:rPr>
        <w:t xml:space="preserve"> </w:t>
      </w:r>
      <w:r w:rsidR="00226D7E" w:rsidRPr="00931024">
        <w:rPr>
          <w:szCs w:val="24"/>
        </w:rPr>
        <w:t>recursos são desenvolvidos por meio de rotinas institucionalizadas entre as empresas</w:t>
      </w:r>
      <w:r w:rsidR="00DC0B73" w:rsidRPr="00931024">
        <w:rPr>
          <w:szCs w:val="24"/>
        </w:rPr>
        <w:t xml:space="preserve"> </w:t>
      </w:r>
      <w:r w:rsidR="00226D7E" w:rsidRPr="00931024">
        <w:rPr>
          <w:szCs w:val="24"/>
        </w:rPr>
        <w:t>parceiras, por meio de sistemas de comunicação e redes de networks, o que contribui para o</w:t>
      </w:r>
      <w:r w:rsidR="00DC0B73" w:rsidRPr="00931024">
        <w:rPr>
          <w:szCs w:val="24"/>
        </w:rPr>
        <w:t xml:space="preserve"> </w:t>
      </w:r>
      <w:r w:rsidR="00226D7E" w:rsidRPr="00931024">
        <w:rPr>
          <w:szCs w:val="24"/>
        </w:rPr>
        <w:t>compartilhamento das informações de custos entre essas organizações e membros de sua</w:t>
      </w:r>
      <w:r w:rsidR="00DC0B73" w:rsidRPr="00931024">
        <w:rPr>
          <w:szCs w:val="24"/>
        </w:rPr>
        <w:t xml:space="preserve"> </w:t>
      </w:r>
      <w:r w:rsidR="00226D7E" w:rsidRPr="00931024">
        <w:rPr>
          <w:szCs w:val="24"/>
        </w:rPr>
        <w:t xml:space="preserve">cadeia de suprimentos. </w:t>
      </w:r>
      <w:r w:rsidR="006056DE" w:rsidRPr="00931024">
        <w:rPr>
          <w:szCs w:val="24"/>
        </w:rPr>
        <w:t>Ademais, o</w:t>
      </w:r>
      <w:r w:rsidR="00226D7E" w:rsidRPr="00931024">
        <w:rPr>
          <w:szCs w:val="24"/>
        </w:rPr>
        <w:t xml:space="preserve"> efeito combinado destes recursos permite o desenvolvimento de</w:t>
      </w:r>
      <w:r w:rsidR="00DC0B73" w:rsidRPr="00931024">
        <w:rPr>
          <w:szCs w:val="24"/>
        </w:rPr>
        <w:t xml:space="preserve"> </w:t>
      </w:r>
      <w:r w:rsidR="00226D7E" w:rsidRPr="00931024">
        <w:rPr>
          <w:szCs w:val="24"/>
        </w:rPr>
        <w:t>práticas conjuntas de gestão de custos interorganizacionais. Portanto, tais práticas de gestão</w:t>
      </w:r>
      <w:r w:rsidR="00DC0B73" w:rsidRPr="00931024">
        <w:rPr>
          <w:szCs w:val="24"/>
        </w:rPr>
        <w:t xml:space="preserve"> </w:t>
      </w:r>
      <w:r w:rsidR="00226D7E" w:rsidRPr="00931024">
        <w:rPr>
          <w:szCs w:val="24"/>
        </w:rPr>
        <w:t>devem ser consideradas valiosas, constituindo-se um recurso estratégico que pode ser usado</w:t>
      </w:r>
      <w:r w:rsidR="00DC0B73" w:rsidRPr="00931024">
        <w:rPr>
          <w:szCs w:val="24"/>
        </w:rPr>
        <w:t xml:space="preserve"> </w:t>
      </w:r>
      <w:r w:rsidR="00226D7E" w:rsidRPr="00931024">
        <w:rPr>
          <w:szCs w:val="24"/>
        </w:rPr>
        <w:t>para o benefício comum de todos na cadeia de abastecimento.</w:t>
      </w:r>
    </w:p>
    <w:p w:rsidR="00DC0B73" w:rsidRPr="00931024" w:rsidRDefault="00226D7E" w:rsidP="00DC0B73">
      <w:pPr>
        <w:autoSpaceDE w:val="0"/>
        <w:autoSpaceDN w:val="0"/>
        <w:adjustRightInd w:val="0"/>
        <w:ind w:firstLine="708"/>
        <w:rPr>
          <w:szCs w:val="24"/>
        </w:rPr>
      </w:pPr>
      <w:r w:rsidRPr="00931024">
        <w:rPr>
          <w:szCs w:val="24"/>
        </w:rPr>
        <w:t>Como abordado pela VBR, as organizações não possuem recursos próprios suficientes</w:t>
      </w:r>
      <w:r w:rsidR="00DC0B73" w:rsidRPr="00931024">
        <w:rPr>
          <w:szCs w:val="24"/>
        </w:rPr>
        <w:t xml:space="preserve"> </w:t>
      </w:r>
      <w:r w:rsidRPr="00931024">
        <w:rPr>
          <w:szCs w:val="24"/>
        </w:rPr>
        <w:t>par</w:t>
      </w:r>
      <w:r w:rsidR="00B444A8" w:rsidRPr="00931024">
        <w:rPr>
          <w:szCs w:val="24"/>
        </w:rPr>
        <w:t>a desenvolverem suas atividades e, assim, formam</w:t>
      </w:r>
      <w:r w:rsidRPr="00931024">
        <w:rPr>
          <w:szCs w:val="24"/>
        </w:rPr>
        <w:t xml:space="preserve"> alianças estratégicas</w:t>
      </w:r>
      <w:r w:rsidR="00DC0B73" w:rsidRPr="00931024">
        <w:rPr>
          <w:szCs w:val="24"/>
        </w:rPr>
        <w:t xml:space="preserve"> </w:t>
      </w:r>
      <w:r w:rsidRPr="00931024">
        <w:rPr>
          <w:szCs w:val="24"/>
        </w:rPr>
        <w:t xml:space="preserve">na busca desses recursos. </w:t>
      </w:r>
      <w:r w:rsidR="00B444A8" w:rsidRPr="00931024">
        <w:rPr>
          <w:szCs w:val="24"/>
        </w:rPr>
        <w:t>Para tanto</w:t>
      </w:r>
      <w:r w:rsidRPr="00931024">
        <w:rPr>
          <w:szCs w:val="24"/>
        </w:rPr>
        <w:t>, o compartilhamento de informações e a adoção de práticas</w:t>
      </w:r>
      <w:r w:rsidR="00DC0B73" w:rsidRPr="00931024">
        <w:rPr>
          <w:szCs w:val="24"/>
        </w:rPr>
        <w:t xml:space="preserve"> </w:t>
      </w:r>
      <w:r w:rsidRPr="00931024">
        <w:rPr>
          <w:szCs w:val="24"/>
        </w:rPr>
        <w:t xml:space="preserve">de gestão conjuntas favorece o fortalecimento da parceria estabelecida. </w:t>
      </w:r>
      <w:r w:rsidR="00B444A8" w:rsidRPr="00931024">
        <w:rPr>
          <w:szCs w:val="24"/>
        </w:rPr>
        <w:t>C</w:t>
      </w:r>
      <w:r w:rsidRPr="00931024">
        <w:rPr>
          <w:szCs w:val="24"/>
        </w:rPr>
        <w:t>abe as</w:t>
      </w:r>
      <w:r w:rsidR="00DC0B73" w:rsidRPr="00931024">
        <w:rPr>
          <w:szCs w:val="24"/>
        </w:rPr>
        <w:t xml:space="preserve"> </w:t>
      </w:r>
      <w:r w:rsidRPr="00931024">
        <w:rPr>
          <w:szCs w:val="24"/>
        </w:rPr>
        <w:t>empresas, a partir do desenvolvimento de suas capacidades, usufruir do acesso aos recursos de</w:t>
      </w:r>
      <w:r w:rsidR="00DC0B73" w:rsidRPr="00931024">
        <w:rPr>
          <w:szCs w:val="24"/>
        </w:rPr>
        <w:t xml:space="preserve"> </w:t>
      </w:r>
      <w:r w:rsidRPr="00931024">
        <w:rPr>
          <w:szCs w:val="24"/>
        </w:rPr>
        <w:t>tal modo que consiga reduzir suas deficiências, fortalecer-se</w:t>
      </w:r>
      <w:r w:rsidR="006056DE" w:rsidRPr="00931024">
        <w:rPr>
          <w:szCs w:val="24"/>
        </w:rPr>
        <w:t xml:space="preserve"> e alcançar melhores resultados para si e para</w:t>
      </w:r>
      <w:r w:rsidR="00F439AB" w:rsidRPr="00931024">
        <w:rPr>
          <w:szCs w:val="24"/>
        </w:rPr>
        <w:t xml:space="preserve"> os demais me</w:t>
      </w:r>
      <w:r w:rsidR="00F376FE" w:rsidRPr="00931024">
        <w:rPr>
          <w:szCs w:val="24"/>
        </w:rPr>
        <w:t>mbros do relacionamento.</w:t>
      </w:r>
    </w:p>
    <w:p w:rsidR="006C6DC1" w:rsidRPr="00931024" w:rsidRDefault="00F376FE" w:rsidP="006C6DC1">
      <w:pPr>
        <w:autoSpaceDE w:val="0"/>
        <w:autoSpaceDN w:val="0"/>
        <w:adjustRightInd w:val="0"/>
        <w:ind w:firstLine="708"/>
        <w:rPr>
          <w:szCs w:val="24"/>
        </w:rPr>
      </w:pPr>
      <w:r w:rsidRPr="00931024">
        <w:rPr>
          <w:szCs w:val="24"/>
        </w:rPr>
        <w:t xml:space="preserve">Conclui-se então que estes recursos </w:t>
      </w:r>
      <w:proofErr w:type="gramStart"/>
      <w:r w:rsidR="00226D7E" w:rsidRPr="00931024">
        <w:rPr>
          <w:szCs w:val="24"/>
        </w:rPr>
        <w:t>constituem-se</w:t>
      </w:r>
      <w:proofErr w:type="gramEnd"/>
      <w:r w:rsidR="00226D7E" w:rsidRPr="00931024">
        <w:rPr>
          <w:szCs w:val="24"/>
        </w:rPr>
        <w:t xml:space="preserve"> em facilitadores da adoção de práticas de gestão conjunta de custos</w:t>
      </w:r>
      <w:r w:rsidR="00DC0B73" w:rsidRPr="00931024">
        <w:rPr>
          <w:szCs w:val="24"/>
        </w:rPr>
        <w:t xml:space="preserve"> </w:t>
      </w:r>
      <w:r w:rsidR="00226D7E" w:rsidRPr="00931024">
        <w:rPr>
          <w:szCs w:val="24"/>
        </w:rPr>
        <w:t>interorganizacionais. Sendo assim, depr</w:t>
      </w:r>
      <w:r w:rsidR="00A5673B" w:rsidRPr="00931024">
        <w:rPr>
          <w:szCs w:val="24"/>
        </w:rPr>
        <w:t>e</w:t>
      </w:r>
      <w:r w:rsidR="00226D7E" w:rsidRPr="00931024">
        <w:rPr>
          <w:szCs w:val="24"/>
        </w:rPr>
        <w:t>ende-se que as indústrias que tem a capacidade de</w:t>
      </w:r>
      <w:r w:rsidR="00DC0B73" w:rsidRPr="00931024">
        <w:rPr>
          <w:szCs w:val="24"/>
        </w:rPr>
        <w:t xml:space="preserve"> </w:t>
      </w:r>
      <w:r w:rsidR="00226D7E" w:rsidRPr="00931024">
        <w:rPr>
          <w:szCs w:val="24"/>
        </w:rPr>
        <w:t>desenvolver e gerenciá-los, são potencialmente mais capazes de gerir os custos próprios e</w:t>
      </w:r>
      <w:r w:rsidR="00DC0B73" w:rsidRPr="00931024">
        <w:rPr>
          <w:szCs w:val="24"/>
        </w:rPr>
        <w:t xml:space="preserve"> </w:t>
      </w:r>
      <w:r w:rsidR="00226D7E" w:rsidRPr="00931024">
        <w:rPr>
          <w:szCs w:val="24"/>
        </w:rPr>
        <w:t>também de seus parceiros.</w:t>
      </w:r>
    </w:p>
    <w:p w:rsidR="008215A8" w:rsidRPr="00931024" w:rsidRDefault="00F376FE" w:rsidP="006C6DC1">
      <w:pPr>
        <w:autoSpaceDE w:val="0"/>
        <w:autoSpaceDN w:val="0"/>
        <w:adjustRightInd w:val="0"/>
        <w:ind w:firstLine="708"/>
      </w:pPr>
      <w:r w:rsidRPr="00931024">
        <w:rPr>
          <w:szCs w:val="24"/>
        </w:rPr>
        <w:t>Como recomendações</w:t>
      </w:r>
      <w:r w:rsidR="008215A8" w:rsidRPr="00931024">
        <w:rPr>
          <w:szCs w:val="24"/>
        </w:rPr>
        <w:t>, diante dos resultados encontrados para as variáveis não</w:t>
      </w:r>
      <w:r w:rsidR="006C6DC1" w:rsidRPr="00931024">
        <w:rPr>
          <w:szCs w:val="24"/>
        </w:rPr>
        <w:t xml:space="preserve"> </w:t>
      </w:r>
      <w:r w:rsidR="008215A8" w:rsidRPr="00931024">
        <w:rPr>
          <w:szCs w:val="24"/>
        </w:rPr>
        <w:t xml:space="preserve">significativas testadas nesta pesquisa, </w:t>
      </w:r>
      <w:r w:rsidRPr="00931024">
        <w:rPr>
          <w:szCs w:val="24"/>
        </w:rPr>
        <w:t xml:space="preserve">sugere-se </w:t>
      </w:r>
      <w:r w:rsidR="008215A8" w:rsidRPr="00931024">
        <w:rPr>
          <w:szCs w:val="24"/>
        </w:rPr>
        <w:t>a replicação deste estudo em futuras pesquisas para</w:t>
      </w:r>
      <w:r w:rsidR="006C6DC1" w:rsidRPr="00931024">
        <w:rPr>
          <w:szCs w:val="24"/>
        </w:rPr>
        <w:t xml:space="preserve"> </w:t>
      </w:r>
      <w:r w:rsidR="008215A8" w:rsidRPr="00931024">
        <w:rPr>
          <w:szCs w:val="24"/>
        </w:rPr>
        <w:t>identificar situações</w:t>
      </w:r>
      <w:r w:rsidR="006C6DC1" w:rsidRPr="00931024">
        <w:rPr>
          <w:szCs w:val="24"/>
        </w:rPr>
        <w:t xml:space="preserve"> </w:t>
      </w:r>
      <w:r w:rsidR="008215A8" w:rsidRPr="00931024">
        <w:rPr>
          <w:szCs w:val="24"/>
        </w:rPr>
        <w:t xml:space="preserve">em que </w:t>
      </w:r>
      <w:r w:rsidR="0072425B" w:rsidRPr="00931024">
        <w:rPr>
          <w:szCs w:val="24"/>
        </w:rPr>
        <w:t>os recursos</w:t>
      </w:r>
      <w:r w:rsidR="008215A8" w:rsidRPr="00931024">
        <w:rPr>
          <w:szCs w:val="24"/>
        </w:rPr>
        <w:t xml:space="preserve"> podem influenciar a adoção de tais práticas de gestão</w:t>
      </w:r>
      <w:r w:rsidR="0072425B" w:rsidRPr="00931024">
        <w:rPr>
          <w:szCs w:val="24"/>
        </w:rPr>
        <w:t>, seja nesse setor, ou em diferentes segmentos do mercado.</w:t>
      </w:r>
      <w:r w:rsidR="006C6DC1" w:rsidRPr="00931024">
        <w:rPr>
          <w:szCs w:val="24"/>
        </w:rPr>
        <w:t xml:space="preserve"> </w:t>
      </w:r>
      <w:r w:rsidR="008215A8" w:rsidRPr="00931024">
        <w:rPr>
          <w:szCs w:val="24"/>
        </w:rPr>
        <w:t>Adicionalmente, também é oportuna a realização de novas pesquisa investigando os</w:t>
      </w:r>
      <w:r w:rsidR="006C6DC1" w:rsidRPr="00931024">
        <w:rPr>
          <w:szCs w:val="24"/>
        </w:rPr>
        <w:t xml:space="preserve"> </w:t>
      </w:r>
      <w:r w:rsidR="008215A8" w:rsidRPr="00931024">
        <w:rPr>
          <w:szCs w:val="24"/>
        </w:rPr>
        <w:t>efeitos de determinantes das alianças estratégicas na adoção de práticas de gestão de custos</w:t>
      </w:r>
      <w:r w:rsidR="006C6DC1" w:rsidRPr="00931024">
        <w:rPr>
          <w:szCs w:val="24"/>
        </w:rPr>
        <w:t xml:space="preserve"> </w:t>
      </w:r>
      <w:r w:rsidR="008215A8" w:rsidRPr="00931024">
        <w:rPr>
          <w:szCs w:val="24"/>
        </w:rPr>
        <w:t>interorganizacionais, o que pode auxiliar na identificação de outros fatores que favorecem ou</w:t>
      </w:r>
      <w:r w:rsidR="006C6DC1" w:rsidRPr="00931024">
        <w:rPr>
          <w:szCs w:val="24"/>
        </w:rPr>
        <w:t xml:space="preserve"> </w:t>
      </w:r>
      <w:r w:rsidR="008215A8" w:rsidRPr="00931024">
        <w:rPr>
          <w:szCs w:val="24"/>
        </w:rPr>
        <w:t>inibem a adoção de tais práticas de gestão.</w:t>
      </w:r>
    </w:p>
    <w:p w:rsidR="00226D7E" w:rsidRPr="00931024" w:rsidRDefault="00226D7E" w:rsidP="00226D7E"/>
    <w:p w:rsidR="00DC1132" w:rsidRPr="00931024" w:rsidRDefault="00E84919" w:rsidP="00E84919">
      <w:pPr>
        <w:pStyle w:val="Ttulo1"/>
        <w:rPr>
          <w:rFonts w:cs="Times New Roman"/>
        </w:rPr>
      </w:pPr>
      <w:r w:rsidRPr="00931024">
        <w:rPr>
          <w:rFonts w:cs="Times New Roman"/>
        </w:rPr>
        <w:t>REFERÊNCIAS</w:t>
      </w:r>
    </w:p>
    <w:p w:rsidR="00331784" w:rsidRPr="00931024" w:rsidRDefault="00F35529" w:rsidP="005E7D4B">
      <w:pPr>
        <w:spacing w:line="200" w:lineRule="exact"/>
        <w:jc w:val="left"/>
        <w:rPr>
          <w:sz w:val="22"/>
          <w:shd w:val="clear" w:color="auto" w:fill="FFFFFF"/>
        </w:rPr>
      </w:pPr>
      <w:r w:rsidRPr="00931024">
        <w:rPr>
          <w:sz w:val="22"/>
          <w:shd w:val="clear" w:color="auto" w:fill="FFFFFF"/>
          <w:lang w:val="en-US"/>
        </w:rPr>
        <w:t>Anderson, S. W. (2006). Managing costs and cost structure throughout the value chain: research on strategic cost management. </w:t>
      </w:r>
      <w:proofErr w:type="spellStart"/>
      <w:r w:rsidRPr="00931024">
        <w:rPr>
          <w:i/>
          <w:iCs/>
          <w:sz w:val="22"/>
          <w:shd w:val="clear" w:color="auto" w:fill="FFFFFF"/>
        </w:rPr>
        <w:t>Handbooks</w:t>
      </w:r>
      <w:proofErr w:type="spellEnd"/>
      <w:r w:rsidRPr="00931024">
        <w:rPr>
          <w:i/>
          <w:iCs/>
          <w:sz w:val="22"/>
          <w:shd w:val="clear" w:color="auto" w:fill="FFFFFF"/>
        </w:rPr>
        <w:t xml:space="preserve"> </w:t>
      </w:r>
      <w:proofErr w:type="spellStart"/>
      <w:r w:rsidRPr="00931024">
        <w:rPr>
          <w:i/>
          <w:iCs/>
          <w:sz w:val="22"/>
          <w:shd w:val="clear" w:color="auto" w:fill="FFFFFF"/>
        </w:rPr>
        <w:t>of</w:t>
      </w:r>
      <w:proofErr w:type="spellEnd"/>
      <w:r w:rsidRPr="00931024">
        <w:rPr>
          <w:i/>
          <w:iCs/>
          <w:sz w:val="22"/>
          <w:shd w:val="clear" w:color="auto" w:fill="FFFFFF"/>
        </w:rPr>
        <w:t xml:space="preserve"> Management </w:t>
      </w:r>
      <w:proofErr w:type="spellStart"/>
      <w:r w:rsidRPr="00931024">
        <w:rPr>
          <w:i/>
          <w:iCs/>
          <w:sz w:val="22"/>
          <w:shd w:val="clear" w:color="auto" w:fill="FFFFFF"/>
        </w:rPr>
        <w:t>Accounting</w:t>
      </w:r>
      <w:proofErr w:type="spellEnd"/>
      <w:r w:rsidRPr="00931024">
        <w:rPr>
          <w:i/>
          <w:iCs/>
          <w:sz w:val="22"/>
          <w:shd w:val="clear" w:color="auto" w:fill="FFFFFF"/>
        </w:rPr>
        <w:t xml:space="preserve"> </w:t>
      </w:r>
      <w:proofErr w:type="spellStart"/>
      <w:r w:rsidRPr="00931024">
        <w:rPr>
          <w:i/>
          <w:iCs/>
          <w:sz w:val="22"/>
          <w:shd w:val="clear" w:color="auto" w:fill="FFFFFF"/>
        </w:rPr>
        <w:t>Research</w:t>
      </w:r>
      <w:proofErr w:type="spellEnd"/>
      <w:r w:rsidRPr="00931024">
        <w:rPr>
          <w:sz w:val="22"/>
          <w:shd w:val="clear" w:color="auto" w:fill="FFFFFF"/>
        </w:rPr>
        <w:t>, </w:t>
      </w:r>
      <w:r w:rsidRPr="00931024">
        <w:rPr>
          <w:i/>
          <w:iCs/>
          <w:sz w:val="22"/>
          <w:shd w:val="clear" w:color="auto" w:fill="FFFFFF"/>
        </w:rPr>
        <w:t>2</w:t>
      </w:r>
      <w:r w:rsidRPr="00931024">
        <w:rPr>
          <w:sz w:val="22"/>
          <w:shd w:val="clear" w:color="auto" w:fill="FFFFFF"/>
        </w:rPr>
        <w:t>, 481-506.</w:t>
      </w:r>
    </w:p>
    <w:p w:rsidR="0056205E" w:rsidRPr="00931024" w:rsidRDefault="00DD0B9B" w:rsidP="005E7D4B">
      <w:pPr>
        <w:autoSpaceDE w:val="0"/>
        <w:autoSpaceDN w:val="0"/>
        <w:adjustRightInd w:val="0"/>
        <w:spacing w:line="200" w:lineRule="exact"/>
        <w:jc w:val="left"/>
        <w:rPr>
          <w:sz w:val="22"/>
          <w:shd w:val="clear" w:color="auto" w:fill="FFFFFF"/>
        </w:rPr>
      </w:pPr>
      <w:proofErr w:type="spellStart"/>
      <w:r w:rsidRPr="00931024">
        <w:rPr>
          <w:sz w:val="22"/>
          <w:shd w:val="clear" w:color="auto" w:fill="FFFFFF"/>
          <w:lang w:val="en-US"/>
        </w:rPr>
        <w:t>Balestrin</w:t>
      </w:r>
      <w:proofErr w:type="spellEnd"/>
      <w:r w:rsidRPr="00931024">
        <w:rPr>
          <w:sz w:val="22"/>
          <w:shd w:val="clear" w:color="auto" w:fill="FFFFFF"/>
          <w:lang w:val="en-US"/>
        </w:rPr>
        <w:t xml:space="preserve">, A., &amp; </w:t>
      </w:r>
      <w:proofErr w:type="spellStart"/>
      <w:r w:rsidRPr="00931024">
        <w:rPr>
          <w:sz w:val="22"/>
          <w:shd w:val="clear" w:color="auto" w:fill="FFFFFF"/>
          <w:lang w:val="en-US"/>
        </w:rPr>
        <w:t>Verschoore</w:t>
      </w:r>
      <w:proofErr w:type="spellEnd"/>
      <w:r w:rsidRPr="00931024">
        <w:rPr>
          <w:sz w:val="22"/>
          <w:shd w:val="clear" w:color="auto" w:fill="FFFFFF"/>
          <w:lang w:val="en-US"/>
        </w:rPr>
        <w:t xml:space="preserve">, J. R. (2007). </w:t>
      </w:r>
      <w:r w:rsidRPr="00931024">
        <w:rPr>
          <w:sz w:val="22"/>
          <w:shd w:val="clear" w:color="auto" w:fill="FFFFFF"/>
        </w:rPr>
        <w:t>Relações interorganizacionais e complementaridade de conhecimentos: proposição de um esquema conceitual. </w:t>
      </w:r>
      <w:r w:rsidRPr="00931024">
        <w:rPr>
          <w:i/>
          <w:iCs/>
          <w:sz w:val="22"/>
          <w:shd w:val="clear" w:color="auto" w:fill="FFFFFF"/>
        </w:rPr>
        <w:t>RAM. Revista de Administração Mackenzie</w:t>
      </w:r>
      <w:r w:rsidRPr="00931024">
        <w:rPr>
          <w:sz w:val="22"/>
          <w:shd w:val="clear" w:color="auto" w:fill="FFFFFF"/>
        </w:rPr>
        <w:t>, </w:t>
      </w:r>
      <w:r w:rsidRPr="00931024">
        <w:rPr>
          <w:i/>
          <w:iCs/>
          <w:sz w:val="22"/>
          <w:shd w:val="clear" w:color="auto" w:fill="FFFFFF"/>
        </w:rPr>
        <w:t>8</w:t>
      </w:r>
      <w:r w:rsidRPr="00931024">
        <w:rPr>
          <w:sz w:val="22"/>
          <w:shd w:val="clear" w:color="auto" w:fill="FFFFFF"/>
        </w:rPr>
        <w:t>(4).</w:t>
      </w:r>
    </w:p>
    <w:p w:rsidR="00264345" w:rsidRPr="00931024" w:rsidRDefault="003B5F68" w:rsidP="005E7D4B">
      <w:pPr>
        <w:autoSpaceDE w:val="0"/>
        <w:autoSpaceDN w:val="0"/>
        <w:adjustRightInd w:val="0"/>
        <w:spacing w:line="200" w:lineRule="exact"/>
        <w:jc w:val="left"/>
        <w:rPr>
          <w:sz w:val="22"/>
          <w:shd w:val="clear" w:color="auto" w:fill="FFFFFF"/>
        </w:rPr>
      </w:pPr>
      <w:r w:rsidRPr="00931024">
        <w:rPr>
          <w:sz w:val="22"/>
          <w:shd w:val="clear" w:color="auto" w:fill="FFFFFF"/>
          <w:lang w:val="en-US"/>
        </w:rPr>
        <w:t>Barney, J. (1991). Firm resources and sustained competitive advantage. </w:t>
      </w:r>
      <w:proofErr w:type="spellStart"/>
      <w:r w:rsidRPr="00931024">
        <w:rPr>
          <w:i/>
          <w:iCs/>
          <w:sz w:val="22"/>
          <w:shd w:val="clear" w:color="auto" w:fill="FFFFFF"/>
        </w:rPr>
        <w:t>Journal</w:t>
      </w:r>
      <w:proofErr w:type="spellEnd"/>
      <w:r w:rsidRPr="00931024">
        <w:rPr>
          <w:i/>
          <w:iCs/>
          <w:sz w:val="22"/>
          <w:shd w:val="clear" w:color="auto" w:fill="FFFFFF"/>
        </w:rPr>
        <w:t xml:space="preserve"> </w:t>
      </w:r>
      <w:proofErr w:type="spellStart"/>
      <w:r w:rsidRPr="00931024">
        <w:rPr>
          <w:i/>
          <w:iCs/>
          <w:sz w:val="22"/>
          <w:shd w:val="clear" w:color="auto" w:fill="FFFFFF"/>
        </w:rPr>
        <w:t>of</w:t>
      </w:r>
      <w:proofErr w:type="spellEnd"/>
      <w:r w:rsidRPr="00931024">
        <w:rPr>
          <w:i/>
          <w:iCs/>
          <w:sz w:val="22"/>
          <w:shd w:val="clear" w:color="auto" w:fill="FFFFFF"/>
        </w:rPr>
        <w:t xml:space="preserve"> management</w:t>
      </w:r>
      <w:r w:rsidRPr="00931024">
        <w:rPr>
          <w:sz w:val="22"/>
          <w:shd w:val="clear" w:color="auto" w:fill="FFFFFF"/>
        </w:rPr>
        <w:t>, </w:t>
      </w:r>
      <w:r w:rsidRPr="00931024">
        <w:rPr>
          <w:i/>
          <w:iCs/>
          <w:sz w:val="22"/>
          <w:shd w:val="clear" w:color="auto" w:fill="FFFFFF"/>
        </w:rPr>
        <w:t>17</w:t>
      </w:r>
      <w:r w:rsidRPr="00931024">
        <w:rPr>
          <w:sz w:val="22"/>
          <w:shd w:val="clear" w:color="auto" w:fill="FFFFFF"/>
        </w:rPr>
        <w:t>(1), 99-120.</w:t>
      </w:r>
    </w:p>
    <w:p w:rsidR="00492088" w:rsidRPr="00931024" w:rsidRDefault="008737DC" w:rsidP="005E7D4B">
      <w:pPr>
        <w:autoSpaceDE w:val="0"/>
        <w:autoSpaceDN w:val="0"/>
        <w:adjustRightInd w:val="0"/>
        <w:spacing w:line="200" w:lineRule="exact"/>
        <w:jc w:val="left"/>
        <w:rPr>
          <w:sz w:val="22"/>
          <w:shd w:val="clear" w:color="auto" w:fill="FFFFFF"/>
        </w:rPr>
      </w:pPr>
      <w:proofErr w:type="spellStart"/>
      <w:r w:rsidRPr="00931024">
        <w:rPr>
          <w:sz w:val="22"/>
          <w:shd w:val="clear" w:color="auto" w:fill="FFFFFF"/>
          <w:lang w:val="en-US"/>
        </w:rPr>
        <w:t>Barua</w:t>
      </w:r>
      <w:proofErr w:type="spellEnd"/>
      <w:r w:rsidRPr="00931024">
        <w:rPr>
          <w:sz w:val="22"/>
          <w:shd w:val="clear" w:color="auto" w:fill="FFFFFF"/>
          <w:lang w:val="en-US"/>
        </w:rPr>
        <w:t xml:space="preserve">, A., </w:t>
      </w:r>
      <w:proofErr w:type="spellStart"/>
      <w:r w:rsidRPr="00931024">
        <w:rPr>
          <w:sz w:val="22"/>
          <w:shd w:val="clear" w:color="auto" w:fill="FFFFFF"/>
          <w:lang w:val="en-US"/>
        </w:rPr>
        <w:t>Konana</w:t>
      </w:r>
      <w:proofErr w:type="spellEnd"/>
      <w:r w:rsidRPr="00931024">
        <w:rPr>
          <w:sz w:val="22"/>
          <w:shd w:val="clear" w:color="auto" w:fill="FFFFFF"/>
          <w:lang w:val="en-US"/>
        </w:rPr>
        <w:t xml:space="preserve">, P., </w:t>
      </w:r>
      <w:proofErr w:type="spellStart"/>
      <w:r w:rsidRPr="00931024">
        <w:rPr>
          <w:sz w:val="22"/>
          <w:shd w:val="clear" w:color="auto" w:fill="FFFFFF"/>
          <w:lang w:val="en-US"/>
        </w:rPr>
        <w:t>Whinston</w:t>
      </w:r>
      <w:proofErr w:type="spellEnd"/>
      <w:r w:rsidRPr="00931024">
        <w:rPr>
          <w:sz w:val="22"/>
          <w:shd w:val="clear" w:color="auto" w:fill="FFFFFF"/>
          <w:lang w:val="en-US"/>
        </w:rPr>
        <w:t>, A. B., &amp; Yin, F. (2004). An empirical investigation of net-enabled business value. </w:t>
      </w:r>
      <w:r w:rsidRPr="00931024">
        <w:rPr>
          <w:i/>
          <w:iCs/>
          <w:sz w:val="22"/>
          <w:shd w:val="clear" w:color="auto" w:fill="FFFFFF"/>
        </w:rPr>
        <w:t xml:space="preserve">MIS </w:t>
      </w:r>
      <w:proofErr w:type="spellStart"/>
      <w:r w:rsidRPr="00931024">
        <w:rPr>
          <w:i/>
          <w:iCs/>
          <w:sz w:val="22"/>
          <w:shd w:val="clear" w:color="auto" w:fill="FFFFFF"/>
        </w:rPr>
        <w:t>quarterly</w:t>
      </w:r>
      <w:proofErr w:type="spellEnd"/>
      <w:r w:rsidRPr="00931024">
        <w:rPr>
          <w:sz w:val="22"/>
          <w:shd w:val="clear" w:color="auto" w:fill="FFFFFF"/>
        </w:rPr>
        <w:t>, </w:t>
      </w:r>
      <w:r w:rsidRPr="00931024">
        <w:rPr>
          <w:i/>
          <w:iCs/>
          <w:sz w:val="22"/>
          <w:shd w:val="clear" w:color="auto" w:fill="FFFFFF"/>
        </w:rPr>
        <w:t>28</w:t>
      </w:r>
      <w:r w:rsidRPr="00931024">
        <w:rPr>
          <w:sz w:val="22"/>
          <w:shd w:val="clear" w:color="auto" w:fill="FFFFFF"/>
        </w:rPr>
        <w:t>(4), 585-620.</w:t>
      </w:r>
    </w:p>
    <w:p w:rsidR="00A6147D" w:rsidRPr="00931024" w:rsidRDefault="006C10E7" w:rsidP="005E7D4B">
      <w:pPr>
        <w:autoSpaceDE w:val="0"/>
        <w:autoSpaceDN w:val="0"/>
        <w:adjustRightInd w:val="0"/>
        <w:spacing w:line="200" w:lineRule="exact"/>
        <w:jc w:val="left"/>
        <w:rPr>
          <w:sz w:val="22"/>
        </w:rPr>
      </w:pPr>
      <w:proofErr w:type="spellStart"/>
      <w:r w:rsidRPr="00931024">
        <w:rPr>
          <w:sz w:val="22"/>
        </w:rPr>
        <w:t>Bartz</w:t>
      </w:r>
      <w:proofErr w:type="spellEnd"/>
      <w:r w:rsidR="00A6147D" w:rsidRPr="00931024">
        <w:rPr>
          <w:sz w:val="22"/>
        </w:rPr>
        <w:t>, D., B</w:t>
      </w:r>
      <w:r w:rsidRPr="00931024">
        <w:rPr>
          <w:sz w:val="22"/>
        </w:rPr>
        <w:t>raga</w:t>
      </w:r>
      <w:r w:rsidR="00A6147D" w:rsidRPr="00931024">
        <w:rPr>
          <w:sz w:val="22"/>
        </w:rPr>
        <w:t>, A. V., D</w:t>
      </w:r>
      <w:r w:rsidRPr="00931024">
        <w:rPr>
          <w:sz w:val="22"/>
        </w:rPr>
        <w:t>e</w:t>
      </w:r>
      <w:r w:rsidR="00A6147D" w:rsidRPr="00931024">
        <w:rPr>
          <w:sz w:val="22"/>
        </w:rPr>
        <w:t xml:space="preserve"> S</w:t>
      </w:r>
      <w:r w:rsidRPr="00931024">
        <w:rPr>
          <w:sz w:val="22"/>
        </w:rPr>
        <w:t>ouza</w:t>
      </w:r>
      <w:r w:rsidR="00A6147D" w:rsidRPr="00931024">
        <w:rPr>
          <w:sz w:val="22"/>
        </w:rPr>
        <w:t xml:space="preserve">, M. A. </w:t>
      </w:r>
      <w:r w:rsidRPr="00931024">
        <w:rPr>
          <w:sz w:val="22"/>
        </w:rPr>
        <w:t xml:space="preserve">(2014). </w:t>
      </w:r>
      <w:r w:rsidR="00A6147D" w:rsidRPr="00931024">
        <w:rPr>
          <w:sz w:val="22"/>
        </w:rPr>
        <w:t>Gestão Interorganizacional de Custos (GIC)</w:t>
      </w:r>
      <w:r w:rsidR="00492088" w:rsidRPr="00931024">
        <w:rPr>
          <w:sz w:val="22"/>
        </w:rPr>
        <w:t xml:space="preserve"> </w:t>
      </w:r>
      <w:r w:rsidR="00A6147D" w:rsidRPr="00931024">
        <w:rPr>
          <w:sz w:val="22"/>
        </w:rPr>
        <w:t>em Consórcios Modulares: uma abordagem para a redução de custos globais. In:</w:t>
      </w:r>
      <w:r w:rsidR="00492088" w:rsidRPr="00931024">
        <w:rPr>
          <w:sz w:val="22"/>
        </w:rPr>
        <w:t xml:space="preserve"> </w:t>
      </w:r>
      <w:r w:rsidR="00A6147D" w:rsidRPr="00931024">
        <w:rPr>
          <w:sz w:val="22"/>
        </w:rPr>
        <w:t>CONGRESSO USP DE CONTROLADORIA E CONTABILIDADE, 14</w:t>
      </w:r>
      <w:proofErr w:type="gramStart"/>
      <w:r w:rsidR="00A6147D" w:rsidRPr="00931024">
        <w:rPr>
          <w:sz w:val="22"/>
        </w:rPr>
        <w:t>, ,</w:t>
      </w:r>
      <w:proofErr w:type="gramEnd"/>
      <w:r w:rsidR="00A6147D" w:rsidRPr="00931024">
        <w:rPr>
          <w:sz w:val="22"/>
        </w:rPr>
        <w:t xml:space="preserve"> São Paulo.</w:t>
      </w:r>
    </w:p>
    <w:p w:rsidR="00C90B25" w:rsidRPr="00931024" w:rsidRDefault="00A6147D" w:rsidP="005E7D4B">
      <w:pPr>
        <w:autoSpaceDE w:val="0"/>
        <w:autoSpaceDN w:val="0"/>
        <w:adjustRightInd w:val="0"/>
        <w:spacing w:line="200" w:lineRule="exact"/>
        <w:jc w:val="left"/>
        <w:rPr>
          <w:sz w:val="22"/>
          <w:lang w:val="en-US"/>
        </w:rPr>
      </w:pPr>
      <w:r w:rsidRPr="00931024">
        <w:rPr>
          <w:bCs/>
          <w:i/>
          <w:sz w:val="22"/>
        </w:rPr>
        <w:t>Anais</w:t>
      </w:r>
      <w:r w:rsidRPr="00931024">
        <w:rPr>
          <w:sz w:val="22"/>
        </w:rPr>
        <w:t xml:space="preserve">... São Paulo: FEA/USP, 2014. </w:t>
      </w:r>
      <w:r w:rsidRPr="00931024">
        <w:rPr>
          <w:sz w:val="22"/>
          <w:lang w:val="en-US"/>
        </w:rPr>
        <w:t>CD-ROM.</w:t>
      </w:r>
    </w:p>
    <w:p w:rsidR="00C82DCC" w:rsidRPr="00931024" w:rsidRDefault="0053350E" w:rsidP="005E7D4B">
      <w:pPr>
        <w:autoSpaceDE w:val="0"/>
        <w:autoSpaceDN w:val="0"/>
        <w:adjustRightInd w:val="0"/>
        <w:spacing w:line="200" w:lineRule="exact"/>
        <w:jc w:val="left"/>
        <w:rPr>
          <w:sz w:val="22"/>
          <w:shd w:val="clear" w:color="auto" w:fill="FFFFFF"/>
        </w:rPr>
      </w:pPr>
      <w:r w:rsidRPr="00931024">
        <w:rPr>
          <w:sz w:val="22"/>
          <w:shd w:val="clear" w:color="auto" w:fill="FFFFFF"/>
          <w:lang w:val="en-US"/>
        </w:rPr>
        <w:lastRenderedPageBreak/>
        <w:t>Bergeron, F., &amp; Raymond, L. (1992). The advantages of electronic data interchange. </w:t>
      </w:r>
      <w:r w:rsidRPr="00931024">
        <w:rPr>
          <w:i/>
          <w:iCs/>
          <w:sz w:val="22"/>
          <w:shd w:val="clear" w:color="auto" w:fill="FFFFFF"/>
        </w:rPr>
        <w:t xml:space="preserve">ACM SIGMIS </w:t>
      </w:r>
      <w:proofErr w:type="spellStart"/>
      <w:r w:rsidRPr="00931024">
        <w:rPr>
          <w:i/>
          <w:iCs/>
          <w:sz w:val="22"/>
          <w:shd w:val="clear" w:color="auto" w:fill="FFFFFF"/>
        </w:rPr>
        <w:t>Database</w:t>
      </w:r>
      <w:proofErr w:type="spellEnd"/>
      <w:r w:rsidRPr="00931024">
        <w:rPr>
          <w:sz w:val="22"/>
          <w:shd w:val="clear" w:color="auto" w:fill="FFFFFF"/>
        </w:rPr>
        <w:t>, </w:t>
      </w:r>
      <w:r w:rsidRPr="00931024">
        <w:rPr>
          <w:i/>
          <w:iCs/>
          <w:sz w:val="22"/>
          <w:shd w:val="clear" w:color="auto" w:fill="FFFFFF"/>
        </w:rPr>
        <w:t>23</w:t>
      </w:r>
      <w:r w:rsidRPr="00931024">
        <w:rPr>
          <w:sz w:val="22"/>
          <w:shd w:val="clear" w:color="auto" w:fill="FFFFFF"/>
        </w:rPr>
        <w:t>(4), 19-31.</w:t>
      </w:r>
    </w:p>
    <w:p w:rsidR="0053350E" w:rsidRPr="00931024" w:rsidRDefault="0053350E" w:rsidP="005E7D4B">
      <w:pPr>
        <w:spacing w:line="200" w:lineRule="exact"/>
        <w:jc w:val="left"/>
        <w:rPr>
          <w:rFonts w:eastAsia="Times New Roman"/>
          <w:sz w:val="22"/>
          <w:lang w:val="en-US" w:eastAsia="pt-BR"/>
        </w:rPr>
      </w:pPr>
      <w:r w:rsidRPr="0053350E">
        <w:rPr>
          <w:rFonts w:eastAsia="Times New Roman"/>
          <w:sz w:val="22"/>
          <w:lang w:val="en-US" w:eastAsia="pt-BR"/>
        </w:rPr>
        <w:t xml:space="preserve">Bowersox, D. J., </w:t>
      </w:r>
      <w:proofErr w:type="spellStart"/>
      <w:r w:rsidRPr="0053350E">
        <w:rPr>
          <w:rFonts w:eastAsia="Times New Roman"/>
          <w:sz w:val="22"/>
          <w:lang w:val="en-US" w:eastAsia="pt-BR"/>
        </w:rPr>
        <w:t>Closs</w:t>
      </w:r>
      <w:proofErr w:type="spellEnd"/>
      <w:r w:rsidRPr="0053350E">
        <w:rPr>
          <w:rFonts w:eastAsia="Times New Roman"/>
          <w:sz w:val="22"/>
          <w:lang w:val="en-US" w:eastAsia="pt-BR"/>
        </w:rPr>
        <w:t>, D. J., &amp; Stank, T. P. (1999). </w:t>
      </w:r>
      <w:r w:rsidRPr="0053350E">
        <w:rPr>
          <w:rFonts w:eastAsia="Times New Roman"/>
          <w:i/>
          <w:iCs/>
          <w:sz w:val="22"/>
          <w:lang w:val="en-US" w:eastAsia="pt-BR"/>
        </w:rPr>
        <w:t>21st century logistics: making supply chain integration a reality</w:t>
      </w:r>
      <w:r w:rsidRPr="0053350E">
        <w:rPr>
          <w:rFonts w:eastAsia="Times New Roman"/>
          <w:sz w:val="22"/>
          <w:lang w:val="en-US" w:eastAsia="pt-BR"/>
        </w:rPr>
        <w:t>.</w:t>
      </w:r>
    </w:p>
    <w:p w:rsidR="00202C14" w:rsidRPr="00931024" w:rsidRDefault="00FC61E7" w:rsidP="005E7D4B">
      <w:pPr>
        <w:autoSpaceDE w:val="0"/>
        <w:autoSpaceDN w:val="0"/>
        <w:adjustRightInd w:val="0"/>
        <w:spacing w:line="200" w:lineRule="exact"/>
        <w:jc w:val="left"/>
        <w:rPr>
          <w:sz w:val="22"/>
        </w:rPr>
      </w:pPr>
      <w:r w:rsidRPr="00931024">
        <w:rPr>
          <w:sz w:val="22"/>
        </w:rPr>
        <w:t>Camacho</w:t>
      </w:r>
      <w:r w:rsidR="00202C14" w:rsidRPr="00931024">
        <w:rPr>
          <w:sz w:val="22"/>
        </w:rPr>
        <w:t>, R. R.</w:t>
      </w:r>
      <w:r w:rsidRPr="00931024">
        <w:rPr>
          <w:sz w:val="22"/>
        </w:rPr>
        <w:t xml:space="preserve"> (2010)</w:t>
      </w:r>
      <w:r w:rsidR="00202C14" w:rsidRPr="00931024">
        <w:rPr>
          <w:sz w:val="22"/>
        </w:rPr>
        <w:t xml:space="preserve"> </w:t>
      </w:r>
      <w:r w:rsidR="00202C14" w:rsidRPr="00931024">
        <w:rPr>
          <w:bCs/>
          <w:i/>
          <w:sz w:val="22"/>
        </w:rPr>
        <w:t>Fatores condicionantes da gestão de custos interorganizacionais na cadeia de valor de hospitais privados no Brasil</w:t>
      </w:r>
      <w:r w:rsidR="00202C14" w:rsidRPr="00931024">
        <w:rPr>
          <w:b/>
          <w:bCs/>
          <w:i/>
          <w:sz w:val="22"/>
        </w:rPr>
        <w:t xml:space="preserve">: </w:t>
      </w:r>
      <w:r w:rsidR="00202C14" w:rsidRPr="00931024">
        <w:rPr>
          <w:i/>
          <w:sz w:val="22"/>
        </w:rPr>
        <w:t>uma abordagem à luz da Teoria da Contingência.</w:t>
      </w:r>
      <w:r w:rsidR="00202C14" w:rsidRPr="00931024">
        <w:rPr>
          <w:sz w:val="22"/>
        </w:rPr>
        <w:t xml:space="preserve"> Universidade de São Paulo. Tese (Doutorado), 216f. 2010. Faculdade de Economia, Administração e Contabilidade da Universidade de São Paulo. São Paulo- SP. </w:t>
      </w:r>
    </w:p>
    <w:p w:rsidR="00A01125" w:rsidRPr="00931024" w:rsidRDefault="00203C6C" w:rsidP="005E7D4B">
      <w:pPr>
        <w:autoSpaceDE w:val="0"/>
        <w:autoSpaceDN w:val="0"/>
        <w:adjustRightInd w:val="0"/>
        <w:spacing w:line="200" w:lineRule="exact"/>
        <w:jc w:val="left"/>
        <w:rPr>
          <w:sz w:val="22"/>
          <w:shd w:val="clear" w:color="auto" w:fill="FFFFFF"/>
        </w:rPr>
      </w:pPr>
      <w:r w:rsidRPr="00931024">
        <w:rPr>
          <w:sz w:val="22"/>
          <w:shd w:val="clear" w:color="auto" w:fill="FFFFFF"/>
        </w:rPr>
        <w:t xml:space="preserve">Camacho, R. R., Rocha, W., Moraes, R. O., &amp; Marques, K. C. M. (2015). </w:t>
      </w:r>
      <w:r w:rsidR="00887889" w:rsidRPr="00931024">
        <w:rPr>
          <w:sz w:val="22"/>
          <w:shd w:val="clear" w:color="auto" w:fill="FFFFFF"/>
        </w:rPr>
        <w:t>Gestão de custos interorganizacionais: evidências empíricas em hospitais privados no brasil</w:t>
      </w:r>
      <w:r w:rsidRPr="00931024">
        <w:rPr>
          <w:sz w:val="22"/>
          <w:shd w:val="clear" w:color="auto" w:fill="FFFFFF"/>
        </w:rPr>
        <w:t>. </w:t>
      </w:r>
      <w:r w:rsidRPr="00931024">
        <w:rPr>
          <w:i/>
          <w:iCs/>
          <w:sz w:val="22"/>
          <w:shd w:val="clear" w:color="auto" w:fill="FFFFFF"/>
        </w:rPr>
        <w:t>RAHIS</w:t>
      </w:r>
      <w:r w:rsidRPr="00931024">
        <w:rPr>
          <w:sz w:val="22"/>
          <w:shd w:val="clear" w:color="auto" w:fill="FFFFFF"/>
        </w:rPr>
        <w:t>, </w:t>
      </w:r>
      <w:r w:rsidRPr="00931024">
        <w:rPr>
          <w:i/>
          <w:iCs/>
          <w:sz w:val="22"/>
          <w:shd w:val="clear" w:color="auto" w:fill="FFFFFF"/>
        </w:rPr>
        <w:t>12</w:t>
      </w:r>
      <w:r w:rsidRPr="00931024">
        <w:rPr>
          <w:sz w:val="22"/>
          <w:shd w:val="clear" w:color="auto" w:fill="FFFFFF"/>
        </w:rPr>
        <w:t>(2).</w:t>
      </w:r>
    </w:p>
    <w:p w:rsidR="007D3F1F" w:rsidRPr="00931024" w:rsidRDefault="00D43099" w:rsidP="005E7D4B">
      <w:pPr>
        <w:autoSpaceDE w:val="0"/>
        <w:autoSpaceDN w:val="0"/>
        <w:adjustRightInd w:val="0"/>
        <w:spacing w:line="200" w:lineRule="exact"/>
        <w:jc w:val="left"/>
        <w:rPr>
          <w:sz w:val="22"/>
          <w:shd w:val="clear" w:color="auto" w:fill="FFFFFF"/>
        </w:rPr>
      </w:pPr>
      <w:r w:rsidRPr="00931024">
        <w:rPr>
          <w:sz w:val="22"/>
          <w:shd w:val="clear" w:color="auto" w:fill="FFFFFF"/>
          <w:lang w:val="en-US"/>
        </w:rPr>
        <w:t xml:space="preserve">Casillas, J. C., </w:t>
      </w:r>
      <w:proofErr w:type="spellStart"/>
      <w:r w:rsidRPr="00931024">
        <w:rPr>
          <w:sz w:val="22"/>
          <w:shd w:val="clear" w:color="auto" w:fill="FFFFFF"/>
          <w:lang w:val="en-US"/>
        </w:rPr>
        <w:t>Barbero</w:t>
      </w:r>
      <w:proofErr w:type="spellEnd"/>
      <w:r w:rsidRPr="00931024">
        <w:rPr>
          <w:sz w:val="22"/>
          <w:shd w:val="clear" w:color="auto" w:fill="FFFFFF"/>
          <w:lang w:val="en-US"/>
        </w:rPr>
        <w:t>, J. L., &amp; Sapienza, H. J. (2015). Knowledge acquisition, learning, and the initial pace of internationalization. </w:t>
      </w:r>
      <w:proofErr w:type="spellStart"/>
      <w:r w:rsidRPr="00931024">
        <w:rPr>
          <w:i/>
          <w:iCs/>
          <w:sz w:val="22"/>
          <w:shd w:val="clear" w:color="auto" w:fill="FFFFFF"/>
        </w:rPr>
        <w:t>International</w:t>
      </w:r>
      <w:proofErr w:type="spellEnd"/>
      <w:r w:rsidRPr="00931024">
        <w:rPr>
          <w:i/>
          <w:iCs/>
          <w:sz w:val="22"/>
          <w:shd w:val="clear" w:color="auto" w:fill="FFFFFF"/>
        </w:rPr>
        <w:t xml:space="preserve"> Business </w:t>
      </w:r>
      <w:proofErr w:type="spellStart"/>
      <w:r w:rsidRPr="00931024">
        <w:rPr>
          <w:i/>
          <w:iCs/>
          <w:sz w:val="22"/>
          <w:shd w:val="clear" w:color="auto" w:fill="FFFFFF"/>
        </w:rPr>
        <w:t>Review</w:t>
      </w:r>
      <w:proofErr w:type="spellEnd"/>
      <w:r w:rsidRPr="00931024">
        <w:rPr>
          <w:sz w:val="22"/>
          <w:shd w:val="clear" w:color="auto" w:fill="FFFFFF"/>
        </w:rPr>
        <w:t>, </w:t>
      </w:r>
      <w:r w:rsidRPr="00931024">
        <w:rPr>
          <w:i/>
          <w:iCs/>
          <w:sz w:val="22"/>
          <w:shd w:val="clear" w:color="auto" w:fill="FFFFFF"/>
        </w:rPr>
        <w:t>24</w:t>
      </w:r>
      <w:r w:rsidRPr="00931024">
        <w:rPr>
          <w:sz w:val="22"/>
          <w:shd w:val="clear" w:color="auto" w:fill="FFFFFF"/>
        </w:rPr>
        <w:t>(1), 102-114.</w:t>
      </w:r>
    </w:p>
    <w:p w:rsidR="000C1154" w:rsidRPr="00931024" w:rsidRDefault="00564128" w:rsidP="005E7D4B">
      <w:pPr>
        <w:autoSpaceDE w:val="0"/>
        <w:autoSpaceDN w:val="0"/>
        <w:adjustRightInd w:val="0"/>
        <w:spacing w:line="200" w:lineRule="exact"/>
        <w:jc w:val="left"/>
        <w:rPr>
          <w:sz w:val="22"/>
          <w:shd w:val="clear" w:color="auto" w:fill="FFFFFF"/>
        </w:rPr>
      </w:pPr>
      <w:r w:rsidRPr="00931024">
        <w:rPr>
          <w:sz w:val="22"/>
          <w:shd w:val="clear" w:color="auto" w:fill="FFFFFF"/>
          <w:lang w:val="en-US"/>
        </w:rPr>
        <w:t xml:space="preserve">Chapman, C. S., &amp; </w:t>
      </w:r>
      <w:proofErr w:type="spellStart"/>
      <w:r w:rsidRPr="00931024">
        <w:rPr>
          <w:sz w:val="22"/>
          <w:shd w:val="clear" w:color="auto" w:fill="FFFFFF"/>
          <w:lang w:val="en-US"/>
        </w:rPr>
        <w:t>Kihn</w:t>
      </w:r>
      <w:proofErr w:type="spellEnd"/>
      <w:r w:rsidRPr="00931024">
        <w:rPr>
          <w:sz w:val="22"/>
          <w:shd w:val="clear" w:color="auto" w:fill="FFFFFF"/>
          <w:lang w:val="en-US"/>
        </w:rPr>
        <w:t>, L. A. (2009). Information system integration, enabling control and performance. </w:t>
      </w:r>
      <w:proofErr w:type="spellStart"/>
      <w:r w:rsidRPr="00931024">
        <w:rPr>
          <w:i/>
          <w:iCs/>
          <w:sz w:val="22"/>
          <w:shd w:val="clear" w:color="auto" w:fill="FFFFFF"/>
        </w:rPr>
        <w:t>Accounting</w:t>
      </w:r>
      <w:proofErr w:type="spellEnd"/>
      <w:r w:rsidRPr="00931024">
        <w:rPr>
          <w:i/>
          <w:iCs/>
          <w:sz w:val="22"/>
          <w:shd w:val="clear" w:color="auto" w:fill="FFFFFF"/>
        </w:rPr>
        <w:t xml:space="preserve">, </w:t>
      </w:r>
      <w:proofErr w:type="spellStart"/>
      <w:r w:rsidRPr="00931024">
        <w:rPr>
          <w:i/>
          <w:iCs/>
          <w:sz w:val="22"/>
          <w:shd w:val="clear" w:color="auto" w:fill="FFFFFF"/>
        </w:rPr>
        <w:t>organizations</w:t>
      </w:r>
      <w:proofErr w:type="spellEnd"/>
      <w:r w:rsidRPr="00931024">
        <w:rPr>
          <w:i/>
          <w:iCs/>
          <w:sz w:val="22"/>
          <w:shd w:val="clear" w:color="auto" w:fill="FFFFFF"/>
        </w:rPr>
        <w:t xml:space="preserve"> </w:t>
      </w:r>
      <w:proofErr w:type="spellStart"/>
      <w:r w:rsidRPr="00931024">
        <w:rPr>
          <w:i/>
          <w:iCs/>
          <w:sz w:val="22"/>
          <w:shd w:val="clear" w:color="auto" w:fill="FFFFFF"/>
        </w:rPr>
        <w:t>and</w:t>
      </w:r>
      <w:proofErr w:type="spellEnd"/>
      <w:r w:rsidRPr="00931024">
        <w:rPr>
          <w:i/>
          <w:iCs/>
          <w:sz w:val="22"/>
          <w:shd w:val="clear" w:color="auto" w:fill="FFFFFF"/>
        </w:rPr>
        <w:t xml:space="preserve"> </w:t>
      </w:r>
      <w:proofErr w:type="spellStart"/>
      <w:r w:rsidRPr="00931024">
        <w:rPr>
          <w:i/>
          <w:iCs/>
          <w:sz w:val="22"/>
          <w:shd w:val="clear" w:color="auto" w:fill="FFFFFF"/>
        </w:rPr>
        <w:t>society</w:t>
      </w:r>
      <w:proofErr w:type="spellEnd"/>
      <w:r w:rsidRPr="00931024">
        <w:rPr>
          <w:sz w:val="22"/>
          <w:shd w:val="clear" w:color="auto" w:fill="FFFFFF"/>
        </w:rPr>
        <w:t>, </w:t>
      </w:r>
      <w:r w:rsidRPr="00931024">
        <w:rPr>
          <w:i/>
          <w:iCs/>
          <w:sz w:val="22"/>
          <w:shd w:val="clear" w:color="auto" w:fill="FFFFFF"/>
        </w:rPr>
        <w:t>34</w:t>
      </w:r>
      <w:r w:rsidRPr="00931024">
        <w:rPr>
          <w:sz w:val="22"/>
          <w:shd w:val="clear" w:color="auto" w:fill="FFFFFF"/>
        </w:rPr>
        <w:t>(2), 151-169.</w:t>
      </w:r>
    </w:p>
    <w:p w:rsidR="00A04FAA" w:rsidRPr="00931024" w:rsidRDefault="00F85114" w:rsidP="005E7D4B">
      <w:pPr>
        <w:autoSpaceDE w:val="0"/>
        <w:autoSpaceDN w:val="0"/>
        <w:adjustRightInd w:val="0"/>
        <w:spacing w:line="200" w:lineRule="exact"/>
        <w:jc w:val="left"/>
        <w:rPr>
          <w:sz w:val="22"/>
          <w:shd w:val="clear" w:color="auto" w:fill="FFFFFF"/>
        </w:rPr>
      </w:pPr>
      <w:r w:rsidRPr="00931024">
        <w:rPr>
          <w:sz w:val="22"/>
          <w:shd w:val="clear" w:color="auto" w:fill="FFFFFF"/>
          <w:lang w:val="en-US"/>
        </w:rPr>
        <w:t>Coad, A. F., &amp; Cullen, J. (2006). Inter-</w:t>
      </w:r>
      <w:proofErr w:type="spellStart"/>
      <w:r w:rsidRPr="00931024">
        <w:rPr>
          <w:sz w:val="22"/>
          <w:shd w:val="clear" w:color="auto" w:fill="FFFFFF"/>
          <w:lang w:val="en-US"/>
        </w:rPr>
        <w:t>organisational</w:t>
      </w:r>
      <w:proofErr w:type="spellEnd"/>
      <w:r w:rsidRPr="00931024">
        <w:rPr>
          <w:sz w:val="22"/>
          <w:shd w:val="clear" w:color="auto" w:fill="FFFFFF"/>
          <w:lang w:val="en-US"/>
        </w:rPr>
        <w:t xml:space="preserve"> cost management: Towards an evolutionary perspective. </w:t>
      </w:r>
      <w:r w:rsidRPr="00931024">
        <w:rPr>
          <w:i/>
          <w:iCs/>
          <w:sz w:val="22"/>
          <w:shd w:val="clear" w:color="auto" w:fill="FFFFFF"/>
        </w:rPr>
        <w:t xml:space="preserve">Management </w:t>
      </w:r>
      <w:proofErr w:type="spellStart"/>
      <w:r w:rsidRPr="00931024">
        <w:rPr>
          <w:i/>
          <w:iCs/>
          <w:sz w:val="22"/>
          <w:shd w:val="clear" w:color="auto" w:fill="FFFFFF"/>
        </w:rPr>
        <w:t>Accounting</w:t>
      </w:r>
      <w:proofErr w:type="spellEnd"/>
      <w:r w:rsidRPr="00931024">
        <w:rPr>
          <w:i/>
          <w:iCs/>
          <w:sz w:val="22"/>
          <w:shd w:val="clear" w:color="auto" w:fill="FFFFFF"/>
        </w:rPr>
        <w:t xml:space="preserve"> </w:t>
      </w:r>
      <w:proofErr w:type="spellStart"/>
      <w:r w:rsidRPr="00931024">
        <w:rPr>
          <w:i/>
          <w:iCs/>
          <w:sz w:val="22"/>
          <w:shd w:val="clear" w:color="auto" w:fill="FFFFFF"/>
        </w:rPr>
        <w:t>Research</w:t>
      </w:r>
      <w:proofErr w:type="spellEnd"/>
      <w:r w:rsidRPr="00931024">
        <w:rPr>
          <w:sz w:val="22"/>
          <w:shd w:val="clear" w:color="auto" w:fill="FFFFFF"/>
        </w:rPr>
        <w:t>, </w:t>
      </w:r>
      <w:r w:rsidRPr="00931024">
        <w:rPr>
          <w:i/>
          <w:iCs/>
          <w:sz w:val="22"/>
          <w:shd w:val="clear" w:color="auto" w:fill="FFFFFF"/>
        </w:rPr>
        <w:t>17</w:t>
      </w:r>
      <w:r w:rsidRPr="00931024">
        <w:rPr>
          <w:sz w:val="22"/>
          <w:shd w:val="clear" w:color="auto" w:fill="FFFFFF"/>
        </w:rPr>
        <w:t>(4), 342-369.</w:t>
      </w:r>
    </w:p>
    <w:p w:rsidR="00E85F03" w:rsidRPr="00931024" w:rsidRDefault="005828C8" w:rsidP="005E7D4B">
      <w:pPr>
        <w:autoSpaceDE w:val="0"/>
        <w:autoSpaceDN w:val="0"/>
        <w:adjustRightInd w:val="0"/>
        <w:spacing w:line="200" w:lineRule="exact"/>
        <w:jc w:val="left"/>
        <w:rPr>
          <w:sz w:val="22"/>
          <w:shd w:val="clear" w:color="auto" w:fill="FFFFFF"/>
        </w:rPr>
      </w:pPr>
      <w:r w:rsidRPr="00931024">
        <w:rPr>
          <w:sz w:val="22"/>
          <w:shd w:val="clear" w:color="auto" w:fill="FFFFFF"/>
          <w:lang w:val="en-US"/>
        </w:rPr>
        <w:t>Cohen, W. M., &amp; Levinthal, D. A. (1990). Absorptive capacity: A new perspective on learning and innovation. </w:t>
      </w:r>
      <w:proofErr w:type="spellStart"/>
      <w:r w:rsidRPr="00931024">
        <w:rPr>
          <w:i/>
          <w:iCs/>
          <w:sz w:val="22"/>
          <w:shd w:val="clear" w:color="auto" w:fill="FFFFFF"/>
        </w:rPr>
        <w:t>Administrative</w:t>
      </w:r>
      <w:proofErr w:type="spellEnd"/>
      <w:r w:rsidRPr="00931024">
        <w:rPr>
          <w:i/>
          <w:iCs/>
          <w:sz w:val="22"/>
          <w:shd w:val="clear" w:color="auto" w:fill="FFFFFF"/>
        </w:rPr>
        <w:t xml:space="preserve"> </w:t>
      </w:r>
      <w:proofErr w:type="spellStart"/>
      <w:r w:rsidRPr="00931024">
        <w:rPr>
          <w:i/>
          <w:iCs/>
          <w:sz w:val="22"/>
          <w:shd w:val="clear" w:color="auto" w:fill="FFFFFF"/>
        </w:rPr>
        <w:t>science</w:t>
      </w:r>
      <w:proofErr w:type="spellEnd"/>
      <w:r w:rsidRPr="00931024">
        <w:rPr>
          <w:i/>
          <w:iCs/>
          <w:sz w:val="22"/>
          <w:shd w:val="clear" w:color="auto" w:fill="FFFFFF"/>
        </w:rPr>
        <w:t xml:space="preserve"> </w:t>
      </w:r>
      <w:proofErr w:type="spellStart"/>
      <w:r w:rsidRPr="00931024">
        <w:rPr>
          <w:i/>
          <w:iCs/>
          <w:sz w:val="22"/>
          <w:shd w:val="clear" w:color="auto" w:fill="FFFFFF"/>
        </w:rPr>
        <w:t>quarterly</w:t>
      </w:r>
      <w:proofErr w:type="spellEnd"/>
      <w:r w:rsidRPr="00931024">
        <w:rPr>
          <w:sz w:val="22"/>
          <w:shd w:val="clear" w:color="auto" w:fill="FFFFFF"/>
        </w:rPr>
        <w:t>, 128-152.</w:t>
      </w:r>
    </w:p>
    <w:p w:rsidR="009A0668" w:rsidRPr="00931024" w:rsidRDefault="00917F68" w:rsidP="005E7D4B">
      <w:pPr>
        <w:autoSpaceDE w:val="0"/>
        <w:autoSpaceDN w:val="0"/>
        <w:adjustRightInd w:val="0"/>
        <w:spacing w:line="200" w:lineRule="exact"/>
        <w:jc w:val="left"/>
        <w:rPr>
          <w:sz w:val="22"/>
          <w:lang w:val="en-US"/>
        </w:rPr>
      </w:pPr>
      <w:r w:rsidRPr="00931024">
        <w:rPr>
          <w:sz w:val="22"/>
          <w:lang w:val="en-US"/>
        </w:rPr>
        <w:t>Cooper, R., &amp;</w:t>
      </w:r>
      <w:r w:rsidR="009A0668" w:rsidRPr="00931024">
        <w:rPr>
          <w:sz w:val="22"/>
          <w:lang w:val="en-US"/>
        </w:rPr>
        <w:t xml:space="preserve"> </w:t>
      </w:r>
      <w:r w:rsidRPr="00931024">
        <w:rPr>
          <w:sz w:val="22"/>
          <w:lang w:val="en-US"/>
        </w:rPr>
        <w:t>Kaplan</w:t>
      </w:r>
      <w:r w:rsidR="009A0668" w:rsidRPr="00931024">
        <w:rPr>
          <w:sz w:val="22"/>
          <w:lang w:val="en-US"/>
        </w:rPr>
        <w:t>, R.S.</w:t>
      </w:r>
      <w:r w:rsidR="00EB27B7" w:rsidRPr="00931024">
        <w:rPr>
          <w:sz w:val="22"/>
          <w:lang w:val="en-US"/>
        </w:rPr>
        <w:t xml:space="preserve"> (1999).</w:t>
      </w:r>
      <w:r w:rsidR="009A0668" w:rsidRPr="00931024">
        <w:rPr>
          <w:sz w:val="22"/>
          <w:lang w:val="en-US"/>
        </w:rPr>
        <w:t xml:space="preserve"> </w:t>
      </w:r>
      <w:r w:rsidR="009A0668" w:rsidRPr="00931024">
        <w:rPr>
          <w:bCs/>
          <w:sz w:val="22"/>
          <w:lang w:val="en-US"/>
        </w:rPr>
        <w:t>A Supply chain development for the lean enterprise</w:t>
      </w:r>
      <w:r w:rsidR="009A0668" w:rsidRPr="00931024">
        <w:rPr>
          <w:sz w:val="22"/>
          <w:lang w:val="en-US"/>
        </w:rPr>
        <w:t>.</w:t>
      </w:r>
    </w:p>
    <w:p w:rsidR="009A0668" w:rsidRPr="00931024" w:rsidRDefault="009A0668" w:rsidP="005E7D4B">
      <w:pPr>
        <w:autoSpaceDE w:val="0"/>
        <w:autoSpaceDN w:val="0"/>
        <w:adjustRightInd w:val="0"/>
        <w:spacing w:line="200" w:lineRule="exact"/>
        <w:jc w:val="left"/>
        <w:rPr>
          <w:sz w:val="22"/>
          <w:lang w:val="en-US"/>
        </w:rPr>
      </w:pPr>
      <w:proofErr w:type="spellStart"/>
      <w:r w:rsidRPr="00931024">
        <w:rPr>
          <w:sz w:val="22"/>
          <w:lang w:val="en-US"/>
        </w:rPr>
        <w:t>Interorganizational</w:t>
      </w:r>
      <w:proofErr w:type="spellEnd"/>
      <w:r w:rsidRPr="00931024">
        <w:rPr>
          <w:sz w:val="22"/>
          <w:lang w:val="en-US"/>
        </w:rPr>
        <w:t xml:space="preserve"> Cost Management. </w:t>
      </w:r>
      <w:proofErr w:type="spellStart"/>
      <w:r w:rsidRPr="00931024">
        <w:rPr>
          <w:i/>
          <w:sz w:val="22"/>
          <w:lang w:val="en-US"/>
        </w:rPr>
        <w:t>Portaland</w:t>
      </w:r>
      <w:proofErr w:type="spellEnd"/>
      <w:r w:rsidR="0007569A" w:rsidRPr="00931024">
        <w:rPr>
          <w:sz w:val="22"/>
          <w:lang w:val="en-US"/>
        </w:rPr>
        <w:t>, OR: Productivity Press</w:t>
      </w:r>
      <w:r w:rsidRPr="00931024">
        <w:rPr>
          <w:sz w:val="22"/>
          <w:lang w:val="en-US"/>
        </w:rPr>
        <w:t>.</w:t>
      </w:r>
    </w:p>
    <w:p w:rsidR="00C11F4B" w:rsidRPr="00931024" w:rsidRDefault="00A6734D" w:rsidP="005E7D4B">
      <w:pPr>
        <w:autoSpaceDE w:val="0"/>
        <w:autoSpaceDN w:val="0"/>
        <w:adjustRightInd w:val="0"/>
        <w:spacing w:line="200" w:lineRule="exact"/>
        <w:jc w:val="left"/>
        <w:rPr>
          <w:sz w:val="22"/>
          <w:shd w:val="clear" w:color="auto" w:fill="FFFFFF"/>
        </w:rPr>
      </w:pPr>
      <w:r w:rsidRPr="00931024">
        <w:rPr>
          <w:sz w:val="22"/>
          <w:shd w:val="clear" w:color="auto" w:fill="FFFFFF"/>
          <w:lang w:val="en-US"/>
        </w:rPr>
        <w:t xml:space="preserve">Cooper, R., &amp; Slagmulder, R. (2004). </w:t>
      </w:r>
      <w:proofErr w:type="spellStart"/>
      <w:r w:rsidRPr="00931024">
        <w:rPr>
          <w:sz w:val="22"/>
          <w:shd w:val="clear" w:color="auto" w:fill="FFFFFF"/>
          <w:lang w:val="en-US"/>
        </w:rPr>
        <w:t>Interorganizational</w:t>
      </w:r>
      <w:proofErr w:type="spellEnd"/>
      <w:r w:rsidRPr="00931024">
        <w:rPr>
          <w:sz w:val="22"/>
          <w:shd w:val="clear" w:color="auto" w:fill="FFFFFF"/>
          <w:lang w:val="en-US"/>
        </w:rPr>
        <w:t xml:space="preserve"> cost management and relational context. </w:t>
      </w:r>
      <w:proofErr w:type="spellStart"/>
      <w:r w:rsidRPr="00931024">
        <w:rPr>
          <w:i/>
          <w:iCs/>
          <w:sz w:val="22"/>
          <w:shd w:val="clear" w:color="auto" w:fill="FFFFFF"/>
        </w:rPr>
        <w:t>Accounting</w:t>
      </w:r>
      <w:proofErr w:type="spellEnd"/>
      <w:r w:rsidRPr="00931024">
        <w:rPr>
          <w:i/>
          <w:iCs/>
          <w:sz w:val="22"/>
          <w:shd w:val="clear" w:color="auto" w:fill="FFFFFF"/>
        </w:rPr>
        <w:t xml:space="preserve">, </w:t>
      </w:r>
      <w:proofErr w:type="spellStart"/>
      <w:r w:rsidRPr="00931024">
        <w:rPr>
          <w:i/>
          <w:iCs/>
          <w:sz w:val="22"/>
          <w:shd w:val="clear" w:color="auto" w:fill="FFFFFF"/>
        </w:rPr>
        <w:t>Organizations</w:t>
      </w:r>
      <w:proofErr w:type="spellEnd"/>
      <w:r w:rsidRPr="00931024">
        <w:rPr>
          <w:i/>
          <w:iCs/>
          <w:sz w:val="22"/>
          <w:shd w:val="clear" w:color="auto" w:fill="FFFFFF"/>
        </w:rPr>
        <w:t xml:space="preserve"> </w:t>
      </w:r>
      <w:proofErr w:type="spellStart"/>
      <w:r w:rsidRPr="00931024">
        <w:rPr>
          <w:i/>
          <w:iCs/>
          <w:sz w:val="22"/>
          <w:shd w:val="clear" w:color="auto" w:fill="FFFFFF"/>
        </w:rPr>
        <w:t>and</w:t>
      </w:r>
      <w:proofErr w:type="spellEnd"/>
      <w:r w:rsidRPr="00931024">
        <w:rPr>
          <w:i/>
          <w:iCs/>
          <w:sz w:val="22"/>
          <w:shd w:val="clear" w:color="auto" w:fill="FFFFFF"/>
        </w:rPr>
        <w:t xml:space="preserve"> </w:t>
      </w:r>
      <w:proofErr w:type="spellStart"/>
      <w:r w:rsidRPr="00931024">
        <w:rPr>
          <w:i/>
          <w:iCs/>
          <w:sz w:val="22"/>
          <w:shd w:val="clear" w:color="auto" w:fill="FFFFFF"/>
        </w:rPr>
        <w:t>Society</w:t>
      </w:r>
      <w:proofErr w:type="spellEnd"/>
      <w:r w:rsidRPr="00931024">
        <w:rPr>
          <w:sz w:val="22"/>
          <w:shd w:val="clear" w:color="auto" w:fill="FFFFFF"/>
        </w:rPr>
        <w:t>, </w:t>
      </w:r>
      <w:r w:rsidRPr="00931024">
        <w:rPr>
          <w:i/>
          <w:iCs/>
          <w:sz w:val="22"/>
          <w:shd w:val="clear" w:color="auto" w:fill="FFFFFF"/>
        </w:rPr>
        <w:t>29</w:t>
      </w:r>
      <w:r w:rsidRPr="00931024">
        <w:rPr>
          <w:sz w:val="22"/>
          <w:shd w:val="clear" w:color="auto" w:fill="FFFFFF"/>
        </w:rPr>
        <w:t>(1), 1-26.</w:t>
      </w:r>
    </w:p>
    <w:p w:rsidR="00F02C2F" w:rsidRPr="00931024" w:rsidRDefault="00DD1019" w:rsidP="005E7D4B">
      <w:pPr>
        <w:spacing w:line="200" w:lineRule="exact"/>
        <w:jc w:val="left"/>
        <w:rPr>
          <w:sz w:val="22"/>
          <w:shd w:val="clear" w:color="auto" w:fill="FFFFFF"/>
        </w:rPr>
      </w:pPr>
      <w:r w:rsidRPr="00931024">
        <w:rPr>
          <w:sz w:val="22"/>
          <w:shd w:val="clear" w:color="auto" w:fill="FFFFFF"/>
        </w:rPr>
        <w:t xml:space="preserve">Das, T. K., &amp; Teng, B. S. (2000). </w:t>
      </w:r>
      <w:r w:rsidRPr="00931024">
        <w:rPr>
          <w:sz w:val="22"/>
          <w:shd w:val="clear" w:color="auto" w:fill="FFFFFF"/>
          <w:lang w:val="en-US"/>
        </w:rPr>
        <w:t>A resource-based theory of strategic alliances. </w:t>
      </w:r>
      <w:proofErr w:type="spellStart"/>
      <w:r w:rsidRPr="00931024">
        <w:rPr>
          <w:i/>
          <w:iCs/>
          <w:sz w:val="22"/>
          <w:shd w:val="clear" w:color="auto" w:fill="FFFFFF"/>
        </w:rPr>
        <w:t>Journal</w:t>
      </w:r>
      <w:proofErr w:type="spellEnd"/>
      <w:r w:rsidRPr="00931024">
        <w:rPr>
          <w:i/>
          <w:iCs/>
          <w:sz w:val="22"/>
          <w:shd w:val="clear" w:color="auto" w:fill="FFFFFF"/>
        </w:rPr>
        <w:t xml:space="preserve"> </w:t>
      </w:r>
      <w:proofErr w:type="spellStart"/>
      <w:r w:rsidRPr="00931024">
        <w:rPr>
          <w:i/>
          <w:iCs/>
          <w:sz w:val="22"/>
          <w:shd w:val="clear" w:color="auto" w:fill="FFFFFF"/>
        </w:rPr>
        <w:t>of</w:t>
      </w:r>
      <w:proofErr w:type="spellEnd"/>
      <w:r w:rsidRPr="00931024">
        <w:rPr>
          <w:i/>
          <w:iCs/>
          <w:sz w:val="22"/>
          <w:shd w:val="clear" w:color="auto" w:fill="FFFFFF"/>
        </w:rPr>
        <w:t xml:space="preserve"> management</w:t>
      </w:r>
      <w:r w:rsidRPr="00931024">
        <w:rPr>
          <w:sz w:val="22"/>
          <w:shd w:val="clear" w:color="auto" w:fill="FFFFFF"/>
        </w:rPr>
        <w:t>, </w:t>
      </w:r>
      <w:r w:rsidRPr="00931024">
        <w:rPr>
          <w:i/>
          <w:iCs/>
          <w:sz w:val="22"/>
          <w:shd w:val="clear" w:color="auto" w:fill="FFFFFF"/>
        </w:rPr>
        <w:t>26</w:t>
      </w:r>
      <w:r w:rsidRPr="00931024">
        <w:rPr>
          <w:sz w:val="22"/>
          <w:shd w:val="clear" w:color="auto" w:fill="FFFFFF"/>
        </w:rPr>
        <w:t>(1), 31-61.</w:t>
      </w:r>
    </w:p>
    <w:p w:rsidR="008E4127" w:rsidRPr="00931024" w:rsidRDefault="00AA443F" w:rsidP="005E7D4B">
      <w:pPr>
        <w:autoSpaceDE w:val="0"/>
        <w:autoSpaceDN w:val="0"/>
        <w:adjustRightInd w:val="0"/>
        <w:spacing w:line="200" w:lineRule="exact"/>
        <w:jc w:val="left"/>
        <w:rPr>
          <w:sz w:val="22"/>
        </w:rPr>
      </w:pPr>
      <w:proofErr w:type="spellStart"/>
      <w:r w:rsidRPr="00931024">
        <w:rPr>
          <w:sz w:val="22"/>
        </w:rPr>
        <w:t>Doz</w:t>
      </w:r>
      <w:proofErr w:type="spellEnd"/>
      <w:r w:rsidRPr="00931024">
        <w:rPr>
          <w:sz w:val="22"/>
        </w:rPr>
        <w:t>, Y. L., &amp;</w:t>
      </w:r>
      <w:r w:rsidR="008E4127" w:rsidRPr="00931024">
        <w:rPr>
          <w:sz w:val="22"/>
        </w:rPr>
        <w:t xml:space="preserve"> </w:t>
      </w:r>
      <w:proofErr w:type="spellStart"/>
      <w:r w:rsidR="008E4127" w:rsidRPr="00931024">
        <w:rPr>
          <w:sz w:val="22"/>
        </w:rPr>
        <w:t>H</w:t>
      </w:r>
      <w:r w:rsidRPr="00931024">
        <w:rPr>
          <w:sz w:val="22"/>
        </w:rPr>
        <w:t>amel</w:t>
      </w:r>
      <w:proofErr w:type="spellEnd"/>
      <w:r w:rsidR="008E4127" w:rsidRPr="00931024">
        <w:rPr>
          <w:sz w:val="22"/>
        </w:rPr>
        <w:t xml:space="preserve">, G. </w:t>
      </w:r>
      <w:r w:rsidR="008E4127" w:rsidRPr="00931024">
        <w:rPr>
          <w:bCs/>
          <w:sz w:val="22"/>
        </w:rPr>
        <w:t xml:space="preserve">A vantagem das alianças: </w:t>
      </w:r>
      <w:r w:rsidR="008E4127" w:rsidRPr="00931024">
        <w:rPr>
          <w:sz w:val="22"/>
        </w:rPr>
        <w:t>a arte de criar valor através das</w:t>
      </w:r>
      <w:r w:rsidR="00E568DF" w:rsidRPr="00931024">
        <w:rPr>
          <w:sz w:val="22"/>
        </w:rPr>
        <w:t xml:space="preserve"> </w:t>
      </w:r>
      <w:r w:rsidR="008E4127" w:rsidRPr="00931024">
        <w:rPr>
          <w:sz w:val="22"/>
        </w:rPr>
        <w:t xml:space="preserve">parcerias. </w:t>
      </w:r>
      <w:proofErr w:type="spellStart"/>
      <w:r w:rsidR="008E4127" w:rsidRPr="00931024">
        <w:rPr>
          <w:i/>
          <w:sz w:val="22"/>
        </w:rPr>
        <w:t>Qualitymark</w:t>
      </w:r>
      <w:proofErr w:type="spellEnd"/>
      <w:r w:rsidR="008E4127" w:rsidRPr="00931024">
        <w:rPr>
          <w:i/>
          <w:sz w:val="22"/>
        </w:rPr>
        <w:t xml:space="preserve"> Editora </w:t>
      </w:r>
      <w:proofErr w:type="spellStart"/>
      <w:r w:rsidR="008E4127" w:rsidRPr="00931024">
        <w:rPr>
          <w:i/>
          <w:sz w:val="22"/>
        </w:rPr>
        <w:t>Ltda</w:t>
      </w:r>
      <w:proofErr w:type="spellEnd"/>
      <w:r w:rsidR="008E4127" w:rsidRPr="00931024">
        <w:rPr>
          <w:sz w:val="22"/>
        </w:rPr>
        <w:t>, 2000.</w:t>
      </w:r>
    </w:p>
    <w:p w:rsidR="00D77476" w:rsidRPr="00931024" w:rsidRDefault="004F3431" w:rsidP="005E7D4B">
      <w:pPr>
        <w:autoSpaceDE w:val="0"/>
        <w:autoSpaceDN w:val="0"/>
        <w:adjustRightInd w:val="0"/>
        <w:spacing w:line="200" w:lineRule="exact"/>
        <w:jc w:val="left"/>
        <w:rPr>
          <w:sz w:val="22"/>
          <w:shd w:val="clear" w:color="auto" w:fill="FFFFFF"/>
        </w:rPr>
      </w:pPr>
      <w:r w:rsidRPr="00931024">
        <w:rPr>
          <w:sz w:val="22"/>
          <w:shd w:val="clear" w:color="auto" w:fill="FFFFFF"/>
          <w:lang w:val="en-US"/>
        </w:rPr>
        <w:t xml:space="preserve">Dyer, J. H., &amp; Singh, H. (1998). The relational view: Cooperative strategy and sources of </w:t>
      </w:r>
      <w:proofErr w:type="spellStart"/>
      <w:r w:rsidRPr="00931024">
        <w:rPr>
          <w:sz w:val="22"/>
          <w:shd w:val="clear" w:color="auto" w:fill="FFFFFF"/>
          <w:lang w:val="en-US"/>
        </w:rPr>
        <w:t>interorganizational</w:t>
      </w:r>
      <w:proofErr w:type="spellEnd"/>
      <w:r w:rsidRPr="00931024">
        <w:rPr>
          <w:sz w:val="22"/>
          <w:shd w:val="clear" w:color="auto" w:fill="FFFFFF"/>
          <w:lang w:val="en-US"/>
        </w:rPr>
        <w:t xml:space="preserve"> competitive advantage. </w:t>
      </w:r>
      <w:proofErr w:type="spellStart"/>
      <w:r w:rsidRPr="00931024">
        <w:rPr>
          <w:i/>
          <w:iCs/>
          <w:sz w:val="22"/>
          <w:shd w:val="clear" w:color="auto" w:fill="FFFFFF"/>
        </w:rPr>
        <w:t>Academy</w:t>
      </w:r>
      <w:proofErr w:type="spellEnd"/>
      <w:r w:rsidRPr="00931024">
        <w:rPr>
          <w:i/>
          <w:iCs/>
          <w:sz w:val="22"/>
          <w:shd w:val="clear" w:color="auto" w:fill="FFFFFF"/>
        </w:rPr>
        <w:t xml:space="preserve"> </w:t>
      </w:r>
      <w:proofErr w:type="spellStart"/>
      <w:r w:rsidRPr="00931024">
        <w:rPr>
          <w:i/>
          <w:iCs/>
          <w:sz w:val="22"/>
          <w:shd w:val="clear" w:color="auto" w:fill="FFFFFF"/>
        </w:rPr>
        <w:t>of</w:t>
      </w:r>
      <w:proofErr w:type="spellEnd"/>
      <w:r w:rsidRPr="00931024">
        <w:rPr>
          <w:i/>
          <w:iCs/>
          <w:sz w:val="22"/>
          <w:shd w:val="clear" w:color="auto" w:fill="FFFFFF"/>
        </w:rPr>
        <w:t xml:space="preserve"> management </w:t>
      </w:r>
      <w:proofErr w:type="spellStart"/>
      <w:r w:rsidRPr="00931024">
        <w:rPr>
          <w:i/>
          <w:iCs/>
          <w:sz w:val="22"/>
          <w:shd w:val="clear" w:color="auto" w:fill="FFFFFF"/>
        </w:rPr>
        <w:t>review</w:t>
      </w:r>
      <w:proofErr w:type="spellEnd"/>
      <w:r w:rsidRPr="00931024">
        <w:rPr>
          <w:sz w:val="22"/>
          <w:shd w:val="clear" w:color="auto" w:fill="FFFFFF"/>
        </w:rPr>
        <w:t>, </w:t>
      </w:r>
      <w:r w:rsidRPr="00931024">
        <w:rPr>
          <w:i/>
          <w:iCs/>
          <w:sz w:val="22"/>
          <w:shd w:val="clear" w:color="auto" w:fill="FFFFFF"/>
        </w:rPr>
        <w:t>23</w:t>
      </w:r>
      <w:r w:rsidRPr="00931024">
        <w:rPr>
          <w:sz w:val="22"/>
          <w:shd w:val="clear" w:color="auto" w:fill="FFFFFF"/>
        </w:rPr>
        <w:t>(4), 660-679.</w:t>
      </w:r>
    </w:p>
    <w:p w:rsidR="00E2728B" w:rsidRPr="00931024" w:rsidRDefault="00293B9D" w:rsidP="005E7D4B">
      <w:pPr>
        <w:spacing w:line="200" w:lineRule="exact"/>
        <w:jc w:val="left"/>
        <w:rPr>
          <w:sz w:val="22"/>
          <w:shd w:val="clear" w:color="auto" w:fill="FFFFFF"/>
        </w:rPr>
      </w:pPr>
      <w:proofErr w:type="spellStart"/>
      <w:r w:rsidRPr="00931024">
        <w:rPr>
          <w:sz w:val="22"/>
          <w:shd w:val="clear" w:color="auto" w:fill="FFFFFF"/>
          <w:lang w:val="en-US"/>
        </w:rPr>
        <w:t>Elbashir</w:t>
      </w:r>
      <w:proofErr w:type="spellEnd"/>
      <w:r w:rsidRPr="00931024">
        <w:rPr>
          <w:sz w:val="22"/>
          <w:shd w:val="clear" w:color="auto" w:fill="FFFFFF"/>
          <w:lang w:val="en-US"/>
        </w:rPr>
        <w:t>, M. Z., Collier, P. A., &amp; Sutton, S. G. (2011). The role of organizational absorptive capacity in strategic use of business intelligence to support integrated management control systems. </w:t>
      </w:r>
      <w:r w:rsidRPr="00931024">
        <w:rPr>
          <w:i/>
          <w:iCs/>
          <w:sz w:val="22"/>
          <w:shd w:val="clear" w:color="auto" w:fill="FFFFFF"/>
        </w:rPr>
        <w:t xml:space="preserve">The </w:t>
      </w:r>
      <w:proofErr w:type="spellStart"/>
      <w:r w:rsidRPr="00931024">
        <w:rPr>
          <w:i/>
          <w:iCs/>
          <w:sz w:val="22"/>
          <w:shd w:val="clear" w:color="auto" w:fill="FFFFFF"/>
        </w:rPr>
        <w:t>Accounting</w:t>
      </w:r>
      <w:proofErr w:type="spellEnd"/>
      <w:r w:rsidRPr="00931024">
        <w:rPr>
          <w:i/>
          <w:iCs/>
          <w:sz w:val="22"/>
          <w:shd w:val="clear" w:color="auto" w:fill="FFFFFF"/>
        </w:rPr>
        <w:t xml:space="preserve"> </w:t>
      </w:r>
      <w:proofErr w:type="spellStart"/>
      <w:r w:rsidRPr="00931024">
        <w:rPr>
          <w:i/>
          <w:iCs/>
          <w:sz w:val="22"/>
          <w:shd w:val="clear" w:color="auto" w:fill="FFFFFF"/>
        </w:rPr>
        <w:t>Review</w:t>
      </w:r>
      <w:proofErr w:type="spellEnd"/>
      <w:r w:rsidRPr="00931024">
        <w:rPr>
          <w:sz w:val="22"/>
          <w:shd w:val="clear" w:color="auto" w:fill="FFFFFF"/>
        </w:rPr>
        <w:t>, </w:t>
      </w:r>
      <w:r w:rsidRPr="00931024">
        <w:rPr>
          <w:i/>
          <w:iCs/>
          <w:sz w:val="22"/>
          <w:shd w:val="clear" w:color="auto" w:fill="FFFFFF"/>
        </w:rPr>
        <w:t>86</w:t>
      </w:r>
      <w:r w:rsidRPr="00931024">
        <w:rPr>
          <w:sz w:val="22"/>
          <w:shd w:val="clear" w:color="auto" w:fill="FFFFFF"/>
        </w:rPr>
        <w:t>(1), 155-184.</w:t>
      </w:r>
    </w:p>
    <w:p w:rsidR="00C326A0" w:rsidRPr="00931024" w:rsidRDefault="00C326A0" w:rsidP="005E7D4B">
      <w:pPr>
        <w:spacing w:line="200" w:lineRule="exact"/>
        <w:jc w:val="left"/>
        <w:rPr>
          <w:sz w:val="22"/>
          <w:shd w:val="clear" w:color="auto" w:fill="FFFFFF"/>
          <w:lang w:val="en-US"/>
        </w:rPr>
      </w:pPr>
      <w:r w:rsidRPr="00931024">
        <w:rPr>
          <w:sz w:val="22"/>
          <w:shd w:val="clear" w:color="auto" w:fill="FFFFFF"/>
        </w:rPr>
        <w:t xml:space="preserve">Ellram, LM, &amp; </w:t>
      </w:r>
      <w:proofErr w:type="spellStart"/>
      <w:r w:rsidRPr="00931024">
        <w:rPr>
          <w:sz w:val="22"/>
          <w:shd w:val="clear" w:color="auto" w:fill="FFFFFF"/>
        </w:rPr>
        <w:t>Zsidisin</w:t>
      </w:r>
      <w:proofErr w:type="spellEnd"/>
      <w:r w:rsidRPr="00931024">
        <w:rPr>
          <w:sz w:val="22"/>
          <w:shd w:val="clear" w:color="auto" w:fill="FFFFFF"/>
        </w:rPr>
        <w:t>, GA (2002). Fatores que impulsionam o uso da tecnologia da informação pela compra e fornecimento de gerenciamento. </w:t>
      </w:r>
      <w:r w:rsidRPr="00931024">
        <w:rPr>
          <w:i/>
          <w:iCs/>
          <w:sz w:val="22"/>
          <w:shd w:val="clear" w:color="auto" w:fill="FFFFFF"/>
          <w:lang w:val="en-US"/>
        </w:rPr>
        <w:t xml:space="preserve">IEEE Transactions on Engineering </w:t>
      </w:r>
      <w:proofErr w:type="gramStart"/>
      <w:r w:rsidRPr="00931024">
        <w:rPr>
          <w:i/>
          <w:iCs/>
          <w:sz w:val="22"/>
          <w:shd w:val="clear" w:color="auto" w:fill="FFFFFF"/>
          <w:lang w:val="en-US"/>
        </w:rPr>
        <w:t>Management</w:t>
      </w:r>
      <w:r w:rsidRPr="00931024">
        <w:rPr>
          <w:sz w:val="22"/>
          <w:shd w:val="clear" w:color="auto" w:fill="FFFFFF"/>
          <w:lang w:val="en-US"/>
        </w:rPr>
        <w:t> ,</w:t>
      </w:r>
      <w:proofErr w:type="gramEnd"/>
      <w:r w:rsidRPr="00931024">
        <w:rPr>
          <w:sz w:val="22"/>
          <w:shd w:val="clear" w:color="auto" w:fill="FFFFFF"/>
          <w:lang w:val="en-US"/>
        </w:rPr>
        <w:t> </w:t>
      </w:r>
      <w:r w:rsidRPr="00931024">
        <w:rPr>
          <w:i/>
          <w:iCs/>
          <w:sz w:val="22"/>
          <w:shd w:val="clear" w:color="auto" w:fill="FFFFFF"/>
          <w:lang w:val="en-US"/>
        </w:rPr>
        <w:t>49</w:t>
      </w:r>
      <w:r w:rsidRPr="00931024">
        <w:rPr>
          <w:sz w:val="22"/>
          <w:shd w:val="clear" w:color="auto" w:fill="FFFFFF"/>
          <w:lang w:val="en-US"/>
        </w:rPr>
        <w:t> (3), 269-281.</w:t>
      </w:r>
    </w:p>
    <w:p w:rsidR="00476D73" w:rsidRPr="00931024" w:rsidRDefault="00D0317C" w:rsidP="005E7D4B">
      <w:pPr>
        <w:spacing w:line="200" w:lineRule="exact"/>
        <w:jc w:val="left"/>
        <w:rPr>
          <w:sz w:val="22"/>
          <w:shd w:val="clear" w:color="auto" w:fill="FFFFFF"/>
        </w:rPr>
      </w:pPr>
      <w:r w:rsidRPr="00931024">
        <w:rPr>
          <w:sz w:val="22"/>
          <w:shd w:val="clear" w:color="auto" w:fill="FFFFFF"/>
          <w:lang w:val="en-US"/>
        </w:rPr>
        <w:t xml:space="preserve">Eriksson, K., &amp; </w:t>
      </w:r>
      <w:proofErr w:type="spellStart"/>
      <w:r w:rsidRPr="00931024">
        <w:rPr>
          <w:sz w:val="22"/>
          <w:shd w:val="clear" w:color="auto" w:fill="FFFFFF"/>
          <w:lang w:val="en-US"/>
        </w:rPr>
        <w:t>Chetty</w:t>
      </w:r>
      <w:proofErr w:type="spellEnd"/>
      <w:r w:rsidRPr="00931024">
        <w:rPr>
          <w:sz w:val="22"/>
          <w:shd w:val="clear" w:color="auto" w:fill="FFFFFF"/>
          <w:lang w:val="en-US"/>
        </w:rPr>
        <w:t>, S. (2003). The effect of experience and absorptive capacity on foreign market knowledge. </w:t>
      </w:r>
      <w:proofErr w:type="spellStart"/>
      <w:r w:rsidRPr="00931024">
        <w:rPr>
          <w:i/>
          <w:iCs/>
          <w:sz w:val="22"/>
          <w:shd w:val="clear" w:color="auto" w:fill="FFFFFF"/>
        </w:rPr>
        <w:t>International</w:t>
      </w:r>
      <w:proofErr w:type="spellEnd"/>
      <w:r w:rsidRPr="00931024">
        <w:rPr>
          <w:i/>
          <w:iCs/>
          <w:sz w:val="22"/>
          <w:shd w:val="clear" w:color="auto" w:fill="FFFFFF"/>
        </w:rPr>
        <w:t xml:space="preserve"> Business </w:t>
      </w:r>
      <w:proofErr w:type="spellStart"/>
      <w:r w:rsidRPr="00931024">
        <w:rPr>
          <w:i/>
          <w:iCs/>
          <w:sz w:val="22"/>
          <w:shd w:val="clear" w:color="auto" w:fill="FFFFFF"/>
        </w:rPr>
        <w:t>Review</w:t>
      </w:r>
      <w:proofErr w:type="spellEnd"/>
      <w:r w:rsidRPr="00931024">
        <w:rPr>
          <w:sz w:val="22"/>
          <w:shd w:val="clear" w:color="auto" w:fill="FFFFFF"/>
        </w:rPr>
        <w:t>, </w:t>
      </w:r>
      <w:r w:rsidRPr="00931024">
        <w:rPr>
          <w:i/>
          <w:iCs/>
          <w:sz w:val="22"/>
          <w:shd w:val="clear" w:color="auto" w:fill="FFFFFF"/>
        </w:rPr>
        <w:t>12</w:t>
      </w:r>
      <w:r w:rsidRPr="00931024">
        <w:rPr>
          <w:sz w:val="22"/>
          <w:shd w:val="clear" w:color="auto" w:fill="FFFFFF"/>
        </w:rPr>
        <w:t>(6), 673-695.</w:t>
      </w:r>
    </w:p>
    <w:p w:rsidR="00CF0F97" w:rsidRPr="00931024" w:rsidRDefault="00885520" w:rsidP="005E7D4B">
      <w:pPr>
        <w:autoSpaceDE w:val="0"/>
        <w:autoSpaceDN w:val="0"/>
        <w:adjustRightInd w:val="0"/>
        <w:spacing w:line="200" w:lineRule="exact"/>
        <w:jc w:val="left"/>
        <w:rPr>
          <w:sz w:val="22"/>
        </w:rPr>
      </w:pPr>
      <w:proofErr w:type="spellStart"/>
      <w:r w:rsidRPr="00931024">
        <w:rPr>
          <w:sz w:val="22"/>
        </w:rPr>
        <w:t>Facci</w:t>
      </w:r>
      <w:proofErr w:type="spellEnd"/>
      <w:r w:rsidR="00CF0F97" w:rsidRPr="00931024">
        <w:rPr>
          <w:sz w:val="22"/>
        </w:rPr>
        <w:t>, N.</w:t>
      </w:r>
      <w:r w:rsidR="00EF12DE" w:rsidRPr="00931024">
        <w:rPr>
          <w:sz w:val="22"/>
        </w:rPr>
        <w:t xml:space="preserve"> (2011</w:t>
      </w:r>
      <w:proofErr w:type="gramStart"/>
      <w:r w:rsidR="00EF12DE" w:rsidRPr="00931024">
        <w:rPr>
          <w:sz w:val="22"/>
        </w:rPr>
        <w:t>)</w:t>
      </w:r>
      <w:r w:rsidR="00CF0F97" w:rsidRPr="00931024">
        <w:rPr>
          <w:sz w:val="22"/>
        </w:rPr>
        <w:t xml:space="preserve"> </w:t>
      </w:r>
      <w:r w:rsidR="00CF0F97" w:rsidRPr="00931024">
        <w:rPr>
          <w:bCs/>
          <w:i/>
          <w:sz w:val="22"/>
        </w:rPr>
        <w:t>Um</w:t>
      </w:r>
      <w:proofErr w:type="gramEnd"/>
      <w:r w:rsidR="00CF0F97" w:rsidRPr="00931024">
        <w:rPr>
          <w:bCs/>
          <w:i/>
          <w:sz w:val="22"/>
        </w:rPr>
        <w:t xml:space="preserve"> estudo sobre características dos fatores contingenciais na gestão de custos</w:t>
      </w:r>
      <w:r w:rsidR="007239E2" w:rsidRPr="00931024">
        <w:rPr>
          <w:bCs/>
          <w:i/>
          <w:sz w:val="22"/>
        </w:rPr>
        <w:t xml:space="preserve"> </w:t>
      </w:r>
      <w:r w:rsidR="00CF0F97" w:rsidRPr="00931024">
        <w:rPr>
          <w:bCs/>
          <w:i/>
          <w:sz w:val="22"/>
        </w:rPr>
        <w:t>interorganizacionais em um arranjo produtivo local do setor de tecnologia da</w:t>
      </w:r>
      <w:r w:rsidR="007239E2" w:rsidRPr="00931024">
        <w:rPr>
          <w:bCs/>
          <w:i/>
          <w:sz w:val="22"/>
        </w:rPr>
        <w:t xml:space="preserve"> </w:t>
      </w:r>
      <w:r w:rsidR="00CF0F97" w:rsidRPr="00931024">
        <w:rPr>
          <w:bCs/>
          <w:i/>
          <w:sz w:val="22"/>
        </w:rPr>
        <w:t>informação na região noroeste do Paraná</w:t>
      </w:r>
      <w:r w:rsidR="00CF0F97" w:rsidRPr="00931024">
        <w:rPr>
          <w:i/>
          <w:sz w:val="22"/>
        </w:rPr>
        <w:t>.</w:t>
      </w:r>
      <w:r w:rsidR="00CF0F97" w:rsidRPr="00931024">
        <w:rPr>
          <w:sz w:val="22"/>
        </w:rPr>
        <w:t xml:space="preserve"> 2011. 106 f. </w:t>
      </w:r>
      <w:r w:rsidR="007C7226" w:rsidRPr="00931024">
        <w:rPr>
          <w:sz w:val="22"/>
        </w:rPr>
        <w:t>Dissertação</w:t>
      </w:r>
      <w:r w:rsidR="00CF0F97" w:rsidRPr="00931024">
        <w:rPr>
          <w:sz w:val="22"/>
        </w:rPr>
        <w:t xml:space="preserve"> (Mestrado em</w:t>
      </w:r>
      <w:r w:rsidR="007239E2" w:rsidRPr="00931024">
        <w:rPr>
          <w:sz w:val="22"/>
        </w:rPr>
        <w:t xml:space="preserve"> </w:t>
      </w:r>
      <w:r w:rsidR="00CF0F97" w:rsidRPr="00931024">
        <w:rPr>
          <w:sz w:val="22"/>
        </w:rPr>
        <w:t>Contabilidade) –Universid</w:t>
      </w:r>
      <w:r w:rsidR="00CB062E" w:rsidRPr="00931024">
        <w:rPr>
          <w:sz w:val="22"/>
        </w:rPr>
        <w:t>ade Federal do Paraná</w:t>
      </w:r>
      <w:r w:rsidR="00EF12DE" w:rsidRPr="00931024">
        <w:rPr>
          <w:sz w:val="22"/>
        </w:rPr>
        <w:t>, Curitiba</w:t>
      </w:r>
      <w:r w:rsidR="00CF0F97" w:rsidRPr="00931024">
        <w:rPr>
          <w:sz w:val="22"/>
        </w:rPr>
        <w:t>.</w:t>
      </w:r>
    </w:p>
    <w:p w:rsidR="00BE2CC8" w:rsidRPr="00931024" w:rsidRDefault="000A143E" w:rsidP="005E7D4B">
      <w:pPr>
        <w:autoSpaceDE w:val="0"/>
        <w:autoSpaceDN w:val="0"/>
        <w:adjustRightInd w:val="0"/>
        <w:spacing w:line="200" w:lineRule="exact"/>
        <w:jc w:val="left"/>
        <w:rPr>
          <w:sz w:val="22"/>
        </w:rPr>
      </w:pPr>
      <w:r w:rsidRPr="00931024">
        <w:rPr>
          <w:sz w:val="22"/>
        </w:rPr>
        <w:t>Faria</w:t>
      </w:r>
      <w:r w:rsidR="00BE2CC8" w:rsidRPr="00931024">
        <w:rPr>
          <w:sz w:val="22"/>
        </w:rPr>
        <w:t>, A. C.</w:t>
      </w:r>
      <w:r w:rsidRPr="00931024">
        <w:rPr>
          <w:sz w:val="22"/>
        </w:rPr>
        <w:t>,</w:t>
      </w:r>
      <w:r w:rsidR="00BE2CC8" w:rsidRPr="00931024">
        <w:rPr>
          <w:sz w:val="22"/>
        </w:rPr>
        <w:t xml:space="preserve"> S</w:t>
      </w:r>
      <w:r w:rsidRPr="00931024">
        <w:rPr>
          <w:sz w:val="22"/>
        </w:rPr>
        <w:t>oares, I. C.,</w:t>
      </w:r>
      <w:r w:rsidR="00BE2CC8" w:rsidRPr="00931024">
        <w:rPr>
          <w:sz w:val="22"/>
        </w:rPr>
        <w:t xml:space="preserve"> R</w:t>
      </w:r>
      <w:r w:rsidRPr="00931024">
        <w:rPr>
          <w:sz w:val="22"/>
        </w:rPr>
        <w:t>ocha, W &amp;</w:t>
      </w:r>
      <w:r w:rsidR="00BE2CC8" w:rsidRPr="00931024">
        <w:rPr>
          <w:sz w:val="22"/>
        </w:rPr>
        <w:t xml:space="preserve"> R</w:t>
      </w:r>
      <w:r w:rsidR="00824740" w:rsidRPr="00931024">
        <w:rPr>
          <w:sz w:val="22"/>
        </w:rPr>
        <w:t>ossi</w:t>
      </w:r>
      <w:r w:rsidR="00BE2CC8" w:rsidRPr="00931024">
        <w:rPr>
          <w:sz w:val="22"/>
        </w:rPr>
        <w:t>, G.B.</w:t>
      </w:r>
      <w:r w:rsidR="00BF440F" w:rsidRPr="00931024">
        <w:rPr>
          <w:sz w:val="22"/>
        </w:rPr>
        <w:t xml:space="preserve"> (2013).</w:t>
      </w:r>
      <w:r w:rsidR="00BE2CC8" w:rsidRPr="00931024">
        <w:rPr>
          <w:sz w:val="22"/>
        </w:rPr>
        <w:t xml:space="preserve"> A Prática da Gestão de Custos</w:t>
      </w:r>
      <w:r w:rsidR="00920AF0" w:rsidRPr="00931024">
        <w:rPr>
          <w:sz w:val="22"/>
        </w:rPr>
        <w:t xml:space="preserve"> </w:t>
      </w:r>
      <w:r w:rsidR="00BE2CC8" w:rsidRPr="00931024">
        <w:rPr>
          <w:sz w:val="22"/>
        </w:rPr>
        <w:t xml:space="preserve">Interorganizacionais em uma Montadora de Veículos na Região do Grande ABC. </w:t>
      </w:r>
      <w:r w:rsidR="00BE2CC8" w:rsidRPr="00931024">
        <w:rPr>
          <w:bCs/>
          <w:i/>
          <w:sz w:val="22"/>
        </w:rPr>
        <w:t>Revista</w:t>
      </w:r>
      <w:r w:rsidR="00920AF0" w:rsidRPr="00931024">
        <w:rPr>
          <w:bCs/>
          <w:i/>
          <w:sz w:val="22"/>
        </w:rPr>
        <w:t xml:space="preserve"> </w:t>
      </w:r>
      <w:r w:rsidR="00BE2CC8" w:rsidRPr="00931024">
        <w:rPr>
          <w:bCs/>
          <w:i/>
          <w:sz w:val="22"/>
        </w:rPr>
        <w:t>Brasileira de Gestão de Negócios</w:t>
      </w:r>
      <w:r w:rsidR="003B7E85" w:rsidRPr="00931024">
        <w:rPr>
          <w:sz w:val="22"/>
        </w:rPr>
        <w:t>, 15 (49), p. 617</w:t>
      </w:r>
      <w:r w:rsidR="00BE2CC8" w:rsidRPr="00931024">
        <w:rPr>
          <w:sz w:val="22"/>
        </w:rPr>
        <w:t>.</w:t>
      </w:r>
    </w:p>
    <w:p w:rsidR="009848F5" w:rsidRPr="00931024" w:rsidRDefault="009848F5" w:rsidP="005E7D4B">
      <w:pPr>
        <w:spacing w:line="200" w:lineRule="exact"/>
        <w:jc w:val="left"/>
        <w:rPr>
          <w:rFonts w:eastAsia="Times New Roman"/>
          <w:sz w:val="22"/>
          <w:lang w:val="en-US" w:eastAsia="pt-BR"/>
        </w:rPr>
      </w:pPr>
      <w:r w:rsidRPr="009848F5">
        <w:rPr>
          <w:rFonts w:eastAsia="Times New Roman"/>
          <w:sz w:val="22"/>
          <w:lang w:eastAsia="pt-BR"/>
        </w:rPr>
        <w:t xml:space="preserve">Fayard, D., Lee, L. S., </w:t>
      </w:r>
      <w:proofErr w:type="spellStart"/>
      <w:r w:rsidRPr="009848F5">
        <w:rPr>
          <w:rFonts w:eastAsia="Times New Roman"/>
          <w:sz w:val="22"/>
          <w:lang w:eastAsia="pt-BR"/>
        </w:rPr>
        <w:t>Leitch</w:t>
      </w:r>
      <w:proofErr w:type="spellEnd"/>
      <w:r w:rsidRPr="009848F5">
        <w:rPr>
          <w:rFonts w:eastAsia="Times New Roman"/>
          <w:sz w:val="22"/>
          <w:lang w:eastAsia="pt-BR"/>
        </w:rPr>
        <w:t xml:space="preserve">, R. A., &amp; </w:t>
      </w:r>
      <w:proofErr w:type="spellStart"/>
      <w:r w:rsidRPr="009848F5">
        <w:rPr>
          <w:rFonts w:eastAsia="Times New Roman"/>
          <w:sz w:val="22"/>
          <w:lang w:eastAsia="pt-BR"/>
        </w:rPr>
        <w:t>Kettinger</w:t>
      </w:r>
      <w:proofErr w:type="spellEnd"/>
      <w:r w:rsidRPr="009848F5">
        <w:rPr>
          <w:rFonts w:eastAsia="Times New Roman"/>
          <w:sz w:val="22"/>
          <w:lang w:eastAsia="pt-BR"/>
        </w:rPr>
        <w:t xml:space="preserve">, W. J. (2012). </w:t>
      </w:r>
      <w:r w:rsidRPr="009848F5">
        <w:rPr>
          <w:rFonts w:eastAsia="Times New Roman"/>
          <w:sz w:val="22"/>
          <w:lang w:val="en-US" w:eastAsia="pt-BR"/>
        </w:rPr>
        <w:t>Effect of internal cost management, information systems integration, and absorptive capacity on inter-organizational cost management in supply chains. </w:t>
      </w:r>
      <w:r w:rsidRPr="009848F5">
        <w:rPr>
          <w:rFonts w:eastAsia="Times New Roman"/>
          <w:i/>
          <w:iCs/>
          <w:sz w:val="22"/>
          <w:lang w:val="en-US" w:eastAsia="pt-BR"/>
        </w:rPr>
        <w:t>Accounting, Organizations and Society</w:t>
      </w:r>
      <w:r w:rsidRPr="009848F5">
        <w:rPr>
          <w:rFonts w:eastAsia="Times New Roman"/>
          <w:sz w:val="22"/>
          <w:lang w:val="en-US" w:eastAsia="pt-BR"/>
        </w:rPr>
        <w:t>, </w:t>
      </w:r>
      <w:r w:rsidRPr="009848F5">
        <w:rPr>
          <w:rFonts w:eastAsia="Times New Roman"/>
          <w:i/>
          <w:iCs/>
          <w:sz w:val="22"/>
          <w:lang w:val="en-US" w:eastAsia="pt-BR"/>
        </w:rPr>
        <w:t>37</w:t>
      </w:r>
      <w:r w:rsidRPr="009848F5">
        <w:rPr>
          <w:rFonts w:eastAsia="Times New Roman"/>
          <w:sz w:val="22"/>
          <w:lang w:val="en-US" w:eastAsia="pt-BR"/>
        </w:rPr>
        <w:t>(3), 168-187.</w:t>
      </w:r>
    </w:p>
    <w:p w:rsidR="00CB7589" w:rsidRPr="00931024" w:rsidRDefault="00FF5DFD" w:rsidP="005E7D4B">
      <w:pPr>
        <w:spacing w:line="200" w:lineRule="exact"/>
        <w:jc w:val="left"/>
        <w:rPr>
          <w:sz w:val="22"/>
          <w:shd w:val="clear" w:color="auto" w:fill="FFFFFF"/>
        </w:rPr>
      </w:pPr>
      <w:r w:rsidRPr="00931024">
        <w:rPr>
          <w:sz w:val="22"/>
          <w:shd w:val="clear" w:color="auto" w:fill="FFFFFF"/>
          <w:lang w:val="en-US"/>
        </w:rPr>
        <w:t xml:space="preserve">Flynn, B. B., </w:t>
      </w:r>
      <w:proofErr w:type="spellStart"/>
      <w:r w:rsidRPr="00931024">
        <w:rPr>
          <w:sz w:val="22"/>
          <w:shd w:val="clear" w:color="auto" w:fill="FFFFFF"/>
          <w:lang w:val="en-US"/>
        </w:rPr>
        <w:t>Huo</w:t>
      </w:r>
      <w:proofErr w:type="spellEnd"/>
      <w:r w:rsidRPr="00931024">
        <w:rPr>
          <w:sz w:val="22"/>
          <w:shd w:val="clear" w:color="auto" w:fill="FFFFFF"/>
          <w:lang w:val="en-US"/>
        </w:rPr>
        <w:t>, B., &amp; Zhao, X. (2010). The impact of supply chain integration on performance: A contingency and configuration approach. </w:t>
      </w:r>
      <w:proofErr w:type="spellStart"/>
      <w:r w:rsidRPr="00931024">
        <w:rPr>
          <w:i/>
          <w:iCs/>
          <w:sz w:val="22"/>
          <w:shd w:val="clear" w:color="auto" w:fill="FFFFFF"/>
        </w:rPr>
        <w:t>Journal</w:t>
      </w:r>
      <w:proofErr w:type="spellEnd"/>
      <w:r w:rsidRPr="00931024">
        <w:rPr>
          <w:i/>
          <w:iCs/>
          <w:sz w:val="22"/>
          <w:shd w:val="clear" w:color="auto" w:fill="FFFFFF"/>
        </w:rPr>
        <w:t xml:space="preserve"> </w:t>
      </w:r>
      <w:proofErr w:type="spellStart"/>
      <w:r w:rsidRPr="00931024">
        <w:rPr>
          <w:i/>
          <w:iCs/>
          <w:sz w:val="22"/>
          <w:shd w:val="clear" w:color="auto" w:fill="FFFFFF"/>
        </w:rPr>
        <w:t>of</w:t>
      </w:r>
      <w:proofErr w:type="spellEnd"/>
      <w:r w:rsidRPr="00931024">
        <w:rPr>
          <w:i/>
          <w:iCs/>
          <w:sz w:val="22"/>
          <w:shd w:val="clear" w:color="auto" w:fill="FFFFFF"/>
        </w:rPr>
        <w:t xml:space="preserve"> </w:t>
      </w:r>
      <w:proofErr w:type="spellStart"/>
      <w:r w:rsidRPr="00931024">
        <w:rPr>
          <w:i/>
          <w:iCs/>
          <w:sz w:val="22"/>
          <w:shd w:val="clear" w:color="auto" w:fill="FFFFFF"/>
        </w:rPr>
        <w:t>operations</w:t>
      </w:r>
      <w:proofErr w:type="spellEnd"/>
      <w:r w:rsidRPr="00931024">
        <w:rPr>
          <w:i/>
          <w:iCs/>
          <w:sz w:val="22"/>
          <w:shd w:val="clear" w:color="auto" w:fill="FFFFFF"/>
        </w:rPr>
        <w:t xml:space="preserve"> management</w:t>
      </w:r>
      <w:r w:rsidRPr="00931024">
        <w:rPr>
          <w:sz w:val="22"/>
          <w:shd w:val="clear" w:color="auto" w:fill="FFFFFF"/>
        </w:rPr>
        <w:t>, </w:t>
      </w:r>
      <w:r w:rsidRPr="00931024">
        <w:rPr>
          <w:i/>
          <w:iCs/>
          <w:sz w:val="22"/>
          <w:shd w:val="clear" w:color="auto" w:fill="FFFFFF"/>
        </w:rPr>
        <w:t>28</w:t>
      </w:r>
      <w:r w:rsidRPr="00931024">
        <w:rPr>
          <w:sz w:val="22"/>
          <w:shd w:val="clear" w:color="auto" w:fill="FFFFFF"/>
        </w:rPr>
        <w:t>(1), 58-71.</w:t>
      </w:r>
    </w:p>
    <w:p w:rsidR="00882FA3" w:rsidRPr="00931024" w:rsidRDefault="00C46C8C" w:rsidP="005E7D4B">
      <w:pPr>
        <w:spacing w:line="200" w:lineRule="exact"/>
        <w:jc w:val="left"/>
        <w:rPr>
          <w:sz w:val="22"/>
          <w:shd w:val="clear" w:color="auto" w:fill="FFFFFF"/>
        </w:rPr>
      </w:pPr>
      <w:proofErr w:type="spellStart"/>
      <w:r w:rsidRPr="00931024">
        <w:rPr>
          <w:sz w:val="22"/>
          <w:shd w:val="clear" w:color="auto" w:fill="FFFFFF"/>
          <w:lang w:val="en-US"/>
        </w:rPr>
        <w:t>Frohlich</w:t>
      </w:r>
      <w:proofErr w:type="spellEnd"/>
      <w:r w:rsidRPr="00931024">
        <w:rPr>
          <w:sz w:val="22"/>
          <w:shd w:val="clear" w:color="auto" w:fill="FFFFFF"/>
          <w:lang w:val="en-US"/>
        </w:rPr>
        <w:t>, M. T., &amp; Westbrook, R. (2001). Arcs of integration: an international study of supply chain strategies. </w:t>
      </w:r>
      <w:proofErr w:type="spellStart"/>
      <w:r w:rsidRPr="00931024">
        <w:rPr>
          <w:i/>
          <w:iCs/>
          <w:sz w:val="22"/>
          <w:shd w:val="clear" w:color="auto" w:fill="FFFFFF"/>
        </w:rPr>
        <w:t>Journal</w:t>
      </w:r>
      <w:proofErr w:type="spellEnd"/>
      <w:r w:rsidRPr="00931024">
        <w:rPr>
          <w:i/>
          <w:iCs/>
          <w:sz w:val="22"/>
          <w:shd w:val="clear" w:color="auto" w:fill="FFFFFF"/>
        </w:rPr>
        <w:t xml:space="preserve"> </w:t>
      </w:r>
      <w:proofErr w:type="spellStart"/>
      <w:r w:rsidRPr="00931024">
        <w:rPr>
          <w:i/>
          <w:iCs/>
          <w:sz w:val="22"/>
          <w:shd w:val="clear" w:color="auto" w:fill="FFFFFF"/>
        </w:rPr>
        <w:t>of</w:t>
      </w:r>
      <w:proofErr w:type="spellEnd"/>
      <w:r w:rsidRPr="00931024">
        <w:rPr>
          <w:i/>
          <w:iCs/>
          <w:sz w:val="22"/>
          <w:shd w:val="clear" w:color="auto" w:fill="FFFFFF"/>
        </w:rPr>
        <w:t xml:space="preserve"> </w:t>
      </w:r>
      <w:proofErr w:type="spellStart"/>
      <w:r w:rsidRPr="00931024">
        <w:rPr>
          <w:i/>
          <w:iCs/>
          <w:sz w:val="22"/>
          <w:shd w:val="clear" w:color="auto" w:fill="FFFFFF"/>
        </w:rPr>
        <w:t>operations</w:t>
      </w:r>
      <w:proofErr w:type="spellEnd"/>
      <w:r w:rsidRPr="00931024">
        <w:rPr>
          <w:i/>
          <w:iCs/>
          <w:sz w:val="22"/>
          <w:shd w:val="clear" w:color="auto" w:fill="FFFFFF"/>
        </w:rPr>
        <w:t xml:space="preserve"> management</w:t>
      </w:r>
      <w:r w:rsidRPr="00931024">
        <w:rPr>
          <w:sz w:val="22"/>
          <w:shd w:val="clear" w:color="auto" w:fill="FFFFFF"/>
        </w:rPr>
        <w:t>, </w:t>
      </w:r>
      <w:r w:rsidRPr="00931024">
        <w:rPr>
          <w:i/>
          <w:iCs/>
          <w:sz w:val="22"/>
          <w:shd w:val="clear" w:color="auto" w:fill="FFFFFF"/>
        </w:rPr>
        <w:t>19</w:t>
      </w:r>
      <w:r w:rsidRPr="00931024">
        <w:rPr>
          <w:sz w:val="22"/>
          <w:shd w:val="clear" w:color="auto" w:fill="FFFFFF"/>
        </w:rPr>
        <w:t>(2), 185-200.</w:t>
      </w:r>
    </w:p>
    <w:p w:rsidR="00827DEA" w:rsidRPr="00931024" w:rsidRDefault="00386DD5" w:rsidP="005E7D4B">
      <w:pPr>
        <w:spacing w:line="200" w:lineRule="exact"/>
        <w:jc w:val="left"/>
        <w:rPr>
          <w:sz w:val="22"/>
          <w:shd w:val="clear" w:color="auto" w:fill="FFFFFF"/>
        </w:rPr>
      </w:pPr>
      <w:r w:rsidRPr="00931024">
        <w:rPr>
          <w:sz w:val="22"/>
          <w:shd w:val="clear" w:color="auto" w:fill="FFFFFF"/>
          <w:lang w:val="en-US"/>
        </w:rPr>
        <w:t xml:space="preserve">Gulati, R., &amp; </w:t>
      </w:r>
      <w:proofErr w:type="spellStart"/>
      <w:r w:rsidRPr="00931024">
        <w:rPr>
          <w:sz w:val="22"/>
          <w:shd w:val="clear" w:color="auto" w:fill="FFFFFF"/>
          <w:lang w:val="en-US"/>
        </w:rPr>
        <w:t>Gargiulo</w:t>
      </w:r>
      <w:proofErr w:type="spellEnd"/>
      <w:r w:rsidRPr="00931024">
        <w:rPr>
          <w:sz w:val="22"/>
          <w:shd w:val="clear" w:color="auto" w:fill="FFFFFF"/>
          <w:lang w:val="en-US"/>
        </w:rPr>
        <w:t xml:space="preserve">, M. (1999). Where do </w:t>
      </w:r>
      <w:proofErr w:type="spellStart"/>
      <w:r w:rsidRPr="00931024">
        <w:rPr>
          <w:sz w:val="22"/>
          <w:shd w:val="clear" w:color="auto" w:fill="FFFFFF"/>
          <w:lang w:val="en-US"/>
        </w:rPr>
        <w:t>interorganizational</w:t>
      </w:r>
      <w:proofErr w:type="spellEnd"/>
      <w:r w:rsidRPr="00931024">
        <w:rPr>
          <w:sz w:val="22"/>
          <w:shd w:val="clear" w:color="auto" w:fill="FFFFFF"/>
          <w:lang w:val="en-US"/>
        </w:rPr>
        <w:t xml:space="preserve"> networks come </w:t>
      </w:r>
      <w:proofErr w:type="gramStart"/>
      <w:r w:rsidRPr="00931024">
        <w:rPr>
          <w:sz w:val="22"/>
          <w:shd w:val="clear" w:color="auto" w:fill="FFFFFF"/>
          <w:lang w:val="en-US"/>
        </w:rPr>
        <w:t>from?.</w:t>
      </w:r>
      <w:proofErr w:type="gramEnd"/>
      <w:r w:rsidRPr="00931024">
        <w:rPr>
          <w:sz w:val="22"/>
          <w:shd w:val="clear" w:color="auto" w:fill="FFFFFF"/>
          <w:lang w:val="en-US"/>
        </w:rPr>
        <w:t> </w:t>
      </w:r>
      <w:r w:rsidRPr="00931024">
        <w:rPr>
          <w:i/>
          <w:iCs/>
          <w:sz w:val="22"/>
          <w:shd w:val="clear" w:color="auto" w:fill="FFFFFF"/>
        </w:rPr>
        <w:t xml:space="preserve">American </w:t>
      </w:r>
      <w:proofErr w:type="spellStart"/>
      <w:r w:rsidRPr="00931024">
        <w:rPr>
          <w:i/>
          <w:iCs/>
          <w:sz w:val="22"/>
          <w:shd w:val="clear" w:color="auto" w:fill="FFFFFF"/>
        </w:rPr>
        <w:t>journal</w:t>
      </w:r>
      <w:proofErr w:type="spellEnd"/>
      <w:r w:rsidRPr="00931024">
        <w:rPr>
          <w:i/>
          <w:iCs/>
          <w:sz w:val="22"/>
          <w:shd w:val="clear" w:color="auto" w:fill="FFFFFF"/>
        </w:rPr>
        <w:t xml:space="preserve"> </w:t>
      </w:r>
      <w:proofErr w:type="spellStart"/>
      <w:r w:rsidRPr="00931024">
        <w:rPr>
          <w:i/>
          <w:iCs/>
          <w:sz w:val="22"/>
          <w:shd w:val="clear" w:color="auto" w:fill="FFFFFF"/>
        </w:rPr>
        <w:t>of</w:t>
      </w:r>
      <w:proofErr w:type="spellEnd"/>
      <w:r w:rsidRPr="00931024">
        <w:rPr>
          <w:i/>
          <w:iCs/>
          <w:sz w:val="22"/>
          <w:shd w:val="clear" w:color="auto" w:fill="FFFFFF"/>
        </w:rPr>
        <w:t xml:space="preserve"> </w:t>
      </w:r>
      <w:proofErr w:type="spellStart"/>
      <w:r w:rsidRPr="00931024">
        <w:rPr>
          <w:i/>
          <w:iCs/>
          <w:sz w:val="22"/>
          <w:shd w:val="clear" w:color="auto" w:fill="FFFFFF"/>
        </w:rPr>
        <w:t>sociology</w:t>
      </w:r>
      <w:proofErr w:type="spellEnd"/>
      <w:r w:rsidRPr="00931024">
        <w:rPr>
          <w:sz w:val="22"/>
          <w:shd w:val="clear" w:color="auto" w:fill="FFFFFF"/>
        </w:rPr>
        <w:t>, </w:t>
      </w:r>
      <w:r w:rsidRPr="00931024">
        <w:rPr>
          <w:i/>
          <w:iCs/>
          <w:sz w:val="22"/>
          <w:shd w:val="clear" w:color="auto" w:fill="FFFFFF"/>
        </w:rPr>
        <w:t>104</w:t>
      </w:r>
      <w:r w:rsidRPr="00931024">
        <w:rPr>
          <w:sz w:val="22"/>
          <w:shd w:val="clear" w:color="auto" w:fill="FFFFFF"/>
        </w:rPr>
        <w:t>(5), 1439-1493.</w:t>
      </w:r>
    </w:p>
    <w:p w:rsidR="000073ED" w:rsidRPr="00931024" w:rsidRDefault="002C0761" w:rsidP="005E7D4B">
      <w:pPr>
        <w:spacing w:line="200" w:lineRule="exact"/>
        <w:jc w:val="left"/>
        <w:rPr>
          <w:sz w:val="22"/>
          <w:shd w:val="clear" w:color="auto" w:fill="FFFFFF"/>
        </w:rPr>
      </w:pPr>
      <w:proofErr w:type="spellStart"/>
      <w:r w:rsidRPr="00931024">
        <w:rPr>
          <w:sz w:val="22"/>
          <w:shd w:val="clear" w:color="auto" w:fill="FFFFFF"/>
          <w:lang w:val="en-US"/>
        </w:rPr>
        <w:t>Gunawan</w:t>
      </w:r>
      <w:proofErr w:type="spellEnd"/>
      <w:r w:rsidRPr="00931024">
        <w:rPr>
          <w:sz w:val="22"/>
          <w:shd w:val="clear" w:color="auto" w:fill="FFFFFF"/>
          <w:lang w:val="en-US"/>
        </w:rPr>
        <w:t xml:space="preserve">, J., &amp; Rose, E. L. (2014). Absorptive capacity development in Indonesian exporting firms: How do institutions </w:t>
      </w:r>
      <w:proofErr w:type="gramStart"/>
      <w:r w:rsidRPr="00931024">
        <w:rPr>
          <w:sz w:val="22"/>
          <w:shd w:val="clear" w:color="auto" w:fill="FFFFFF"/>
          <w:lang w:val="en-US"/>
        </w:rPr>
        <w:t>matter?.</w:t>
      </w:r>
      <w:proofErr w:type="gramEnd"/>
      <w:r w:rsidRPr="00931024">
        <w:rPr>
          <w:sz w:val="22"/>
          <w:shd w:val="clear" w:color="auto" w:fill="FFFFFF"/>
          <w:lang w:val="en-US"/>
        </w:rPr>
        <w:t> </w:t>
      </w:r>
      <w:proofErr w:type="spellStart"/>
      <w:r w:rsidRPr="00931024">
        <w:rPr>
          <w:i/>
          <w:iCs/>
          <w:sz w:val="22"/>
          <w:shd w:val="clear" w:color="auto" w:fill="FFFFFF"/>
        </w:rPr>
        <w:t>International</w:t>
      </w:r>
      <w:proofErr w:type="spellEnd"/>
      <w:r w:rsidRPr="00931024">
        <w:rPr>
          <w:i/>
          <w:iCs/>
          <w:sz w:val="22"/>
          <w:shd w:val="clear" w:color="auto" w:fill="FFFFFF"/>
        </w:rPr>
        <w:t xml:space="preserve"> Business </w:t>
      </w:r>
      <w:proofErr w:type="spellStart"/>
      <w:r w:rsidRPr="00931024">
        <w:rPr>
          <w:i/>
          <w:iCs/>
          <w:sz w:val="22"/>
          <w:shd w:val="clear" w:color="auto" w:fill="FFFFFF"/>
        </w:rPr>
        <w:t>Review</w:t>
      </w:r>
      <w:proofErr w:type="spellEnd"/>
      <w:r w:rsidRPr="00931024">
        <w:rPr>
          <w:sz w:val="22"/>
          <w:shd w:val="clear" w:color="auto" w:fill="FFFFFF"/>
        </w:rPr>
        <w:t>, </w:t>
      </w:r>
      <w:r w:rsidRPr="00931024">
        <w:rPr>
          <w:i/>
          <w:iCs/>
          <w:sz w:val="22"/>
          <w:shd w:val="clear" w:color="auto" w:fill="FFFFFF"/>
        </w:rPr>
        <w:t>23</w:t>
      </w:r>
      <w:r w:rsidRPr="00931024">
        <w:rPr>
          <w:sz w:val="22"/>
          <w:shd w:val="clear" w:color="auto" w:fill="FFFFFF"/>
        </w:rPr>
        <w:t>(1), 45-54.</w:t>
      </w:r>
    </w:p>
    <w:p w:rsidR="00873654" w:rsidRPr="00931024" w:rsidRDefault="00507F38" w:rsidP="005E7D4B">
      <w:pPr>
        <w:spacing w:line="200" w:lineRule="exact"/>
        <w:jc w:val="left"/>
        <w:rPr>
          <w:sz w:val="22"/>
          <w:shd w:val="clear" w:color="auto" w:fill="FFFFFF"/>
        </w:rPr>
      </w:pPr>
      <w:proofErr w:type="spellStart"/>
      <w:r w:rsidRPr="00931024">
        <w:rPr>
          <w:sz w:val="22"/>
          <w:shd w:val="clear" w:color="auto" w:fill="FFFFFF"/>
          <w:lang w:val="en-US"/>
        </w:rPr>
        <w:t>Håkansson</w:t>
      </w:r>
      <w:proofErr w:type="spellEnd"/>
      <w:r w:rsidRPr="00931024">
        <w:rPr>
          <w:sz w:val="22"/>
          <w:shd w:val="clear" w:color="auto" w:fill="FFFFFF"/>
          <w:lang w:val="en-US"/>
        </w:rPr>
        <w:t xml:space="preserve">, H., &amp; Lind, J. (2006). Accounting in an </w:t>
      </w:r>
      <w:proofErr w:type="spellStart"/>
      <w:r w:rsidRPr="00931024">
        <w:rPr>
          <w:sz w:val="22"/>
          <w:shd w:val="clear" w:color="auto" w:fill="FFFFFF"/>
          <w:lang w:val="en-US"/>
        </w:rPr>
        <w:t>interorganizational</w:t>
      </w:r>
      <w:proofErr w:type="spellEnd"/>
      <w:r w:rsidRPr="00931024">
        <w:rPr>
          <w:sz w:val="22"/>
          <w:shd w:val="clear" w:color="auto" w:fill="FFFFFF"/>
          <w:lang w:val="en-US"/>
        </w:rPr>
        <w:t xml:space="preserve"> setting. </w:t>
      </w:r>
      <w:proofErr w:type="spellStart"/>
      <w:r w:rsidRPr="00931024">
        <w:rPr>
          <w:i/>
          <w:iCs/>
          <w:sz w:val="22"/>
          <w:shd w:val="clear" w:color="auto" w:fill="FFFFFF"/>
        </w:rPr>
        <w:t>Handbooks</w:t>
      </w:r>
      <w:proofErr w:type="spellEnd"/>
      <w:r w:rsidRPr="00931024">
        <w:rPr>
          <w:i/>
          <w:iCs/>
          <w:sz w:val="22"/>
          <w:shd w:val="clear" w:color="auto" w:fill="FFFFFF"/>
        </w:rPr>
        <w:t xml:space="preserve"> </w:t>
      </w:r>
      <w:proofErr w:type="spellStart"/>
      <w:r w:rsidRPr="00931024">
        <w:rPr>
          <w:i/>
          <w:iCs/>
          <w:sz w:val="22"/>
          <w:shd w:val="clear" w:color="auto" w:fill="FFFFFF"/>
        </w:rPr>
        <w:t>of</w:t>
      </w:r>
      <w:proofErr w:type="spellEnd"/>
      <w:r w:rsidRPr="00931024">
        <w:rPr>
          <w:i/>
          <w:iCs/>
          <w:sz w:val="22"/>
          <w:shd w:val="clear" w:color="auto" w:fill="FFFFFF"/>
        </w:rPr>
        <w:t xml:space="preserve"> management </w:t>
      </w:r>
      <w:proofErr w:type="spellStart"/>
      <w:r w:rsidRPr="00931024">
        <w:rPr>
          <w:i/>
          <w:iCs/>
          <w:sz w:val="22"/>
          <w:shd w:val="clear" w:color="auto" w:fill="FFFFFF"/>
        </w:rPr>
        <w:t>accounting</w:t>
      </w:r>
      <w:proofErr w:type="spellEnd"/>
      <w:r w:rsidRPr="00931024">
        <w:rPr>
          <w:i/>
          <w:iCs/>
          <w:sz w:val="22"/>
          <w:shd w:val="clear" w:color="auto" w:fill="FFFFFF"/>
        </w:rPr>
        <w:t xml:space="preserve"> </w:t>
      </w:r>
      <w:proofErr w:type="spellStart"/>
      <w:r w:rsidRPr="00931024">
        <w:rPr>
          <w:i/>
          <w:iCs/>
          <w:sz w:val="22"/>
          <w:shd w:val="clear" w:color="auto" w:fill="FFFFFF"/>
        </w:rPr>
        <w:t>research</w:t>
      </w:r>
      <w:proofErr w:type="spellEnd"/>
      <w:r w:rsidRPr="00931024">
        <w:rPr>
          <w:sz w:val="22"/>
          <w:shd w:val="clear" w:color="auto" w:fill="FFFFFF"/>
        </w:rPr>
        <w:t>, </w:t>
      </w:r>
      <w:r w:rsidRPr="00931024">
        <w:rPr>
          <w:i/>
          <w:iCs/>
          <w:sz w:val="22"/>
          <w:shd w:val="clear" w:color="auto" w:fill="FFFFFF"/>
        </w:rPr>
        <w:t>2</w:t>
      </w:r>
      <w:r w:rsidRPr="00931024">
        <w:rPr>
          <w:sz w:val="22"/>
          <w:shd w:val="clear" w:color="auto" w:fill="FFFFFF"/>
        </w:rPr>
        <w:t>, 885-902.</w:t>
      </w:r>
    </w:p>
    <w:p w:rsidR="00BD134C" w:rsidRPr="00931024" w:rsidRDefault="009A2CCA" w:rsidP="005E7D4B">
      <w:pPr>
        <w:spacing w:line="200" w:lineRule="exact"/>
        <w:jc w:val="left"/>
        <w:rPr>
          <w:sz w:val="22"/>
          <w:shd w:val="clear" w:color="auto" w:fill="FFFFFF"/>
        </w:rPr>
      </w:pPr>
      <w:r w:rsidRPr="00931024">
        <w:rPr>
          <w:sz w:val="22"/>
          <w:shd w:val="clear" w:color="auto" w:fill="FFFFFF"/>
          <w:lang w:val="en-US"/>
        </w:rPr>
        <w:t xml:space="preserve">Harrison, J. S., </w:t>
      </w:r>
      <w:proofErr w:type="spellStart"/>
      <w:r w:rsidRPr="00931024">
        <w:rPr>
          <w:sz w:val="22"/>
          <w:shd w:val="clear" w:color="auto" w:fill="FFFFFF"/>
          <w:lang w:val="en-US"/>
        </w:rPr>
        <w:t>Hitt</w:t>
      </w:r>
      <w:proofErr w:type="spellEnd"/>
      <w:r w:rsidRPr="00931024">
        <w:rPr>
          <w:sz w:val="22"/>
          <w:shd w:val="clear" w:color="auto" w:fill="FFFFFF"/>
          <w:lang w:val="en-US"/>
        </w:rPr>
        <w:t xml:space="preserve">, M. A., </w:t>
      </w:r>
      <w:proofErr w:type="spellStart"/>
      <w:r w:rsidRPr="00931024">
        <w:rPr>
          <w:sz w:val="22"/>
          <w:shd w:val="clear" w:color="auto" w:fill="FFFFFF"/>
          <w:lang w:val="en-US"/>
        </w:rPr>
        <w:t>Hoskisson</w:t>
      </w:r>
      <w:proofErr w:type="spellEnd"/>
      <w:r w:rsidRPr="00931024">
        <w:rPr>
          <w:sz w:val="22"/>
          <w:shd w:val="clear" w:color="auto" w:fill="FFFFFF"/>
          <w:lang w:val="en-US"/>
        </w:rPr>
        <w:t>, R. E., &amp; Ireland, R. D. (2001). Resource complementarity in business combinations: Extending the logic to organizational alliances. </w:t>
      </w:r>
      <w:proofErr w:type="spellStart"/>
      <w:r w:rsidRPr="00931024">
        <w:rPr>
          <w:i/>
          <w:iCs/>
          <w:sz w:val="22"/>
          <w:shd w:val="clear" w:color="auto" w:fill="FFFFFF"/>
        </w:rPr>
        <w:t>Journal</w:t>
      </w:r>
      <w:proofErr w:type="spellEnd"/>
      <w:r w:rsidRPr="00931024">
        <w:rPr>
          <w:i/>
          <w:iCs/>
          <w:sz w:val="22"/>
          <w:shd w:val="clear" w:color="auto" w:fill="FFFFFF"/>
        </w:rPr>
        <w:t xml:space="preserve"> </w:t>
      </w:r>
      <w:proofErr w:type="spellStart"/>
      <w:r w:rsidRPr="00931024">
        <w:rPr>
          <w:i/>
          <w:iCs/>
          <w:sz w:val="22"/>
          <w:shd w:val="clear" w:color="auto" w:fill="FFFFFF"/>
        </w:rPr>
        <w:t>of</w:t>
      </w:r>
      <w:proofErr w:type="spellEnd"/>
      <w:r w:rsidRPr="00931024">
        <w:rPr>
          <w:i/>
          <w:iCs/>
          <w:sz w:val="22"/>
          <w:shd w:val="clear" w:color="auto" w:fill="FFFFFF"/>
        </w:rPr>
        <w:t xml:space="preserve"> management</w:t>
      </w:r>
      <w:r w:rsidRPr="00931024">
        <w:rPr>
          <w:sz w:val="22"/>
          <w:shd w:val="clear" w:color="auto" w:fill="FFFFFF"/>
        </w:rPr>
        <w:t>, </w:t>
      </w:r>
      <w:r w:rsidRPr="00931024">
        <w:rPr>
          <w:i/>
          <w:iCs/>
          <w:sz w:val="22"/>
          <w:shd w:val="clear" w:color="auto" w:fill="FFFFFF"/>
        </w:rPr>
        <w:t>27</w:t>
      </w:r>
      <w:r w:rsidRPr="00931024">
        <w:rPr>
          <w:sz w:val="22"/>
          <w:shd w:val="clear" w:color="auto" w:fill="FFFFFF"/>
        </w:rPr>
        <w:t>(6), 679-690.</w:t>
      </w:r>
    </w:p>
    <w:p w:rsidR="000761FA" w:rsidRPr="00931024" w:rsidRDefault="000761FA" w:rsidP="005E7D4B">
      <w:pPr>
        <w:spacing w:line="200" w:lineRule="exact"/>
        <w:jc w:val="left"/>
        <w:rPr>
          <w:sz w:val="20"/>
          <w:szCs w:val="20"/>
          <w:shd w:val="clear" w:color="auto" w:fill="FFFFFF"/>
          <w:lang w:val="en-US"/>
        </w:rPr>
      </w:pPr>
      <w:proofErr w:type="spellStart"/>
      <w:r w:rsidRPr="00931024">
        <w:rPr>
          <w:sz w:val="20"/>
          <w:szCs w:val="20"/>
          <w:shd w:val="clear" w:color="auto" w:fill="FFFFFF"/>
          <w:lang w:val="en-US"/>
        </w:rPr>
        <w:t>Helfat</w:t>
      </w:r>
      <w:proofErr w:type="spellEnd"/>
      <w:r w:rsidRPr="00931024">
        <w:rPr>
          <w:sz w:val="20"/>
          <w:szCs w:val="20"/>
          <w:shd w:val="clear" w:color="auto" w:fill="FFFFFF"/>
          <w:lang w:val="en-US"/>
        </w:rPr>
        <w:t>, C. E. (2003). Stylized facts regarding the evolution of organizational resources and capabilities. </w:t>
      </w:r>
      <w:r w:rsidRPr="00931024">
        <w:rPr>
          <w:i/>
          <w:iCs/>
          <w:sz w:val="20"/>
          <w:szCs w:val="20"/>
          <w:shd w:val="clear" w:color="auto" w:fill="FFFFFF"/>
          <w:lang w:val="en-US"/>
        </w:rPr>
        <w:t>The SMS Blackwell handbook of organizational capabilities: Emergence, development, and change</w:t>
      </w:r>
      <w:r w:rsidRPr="00931024">
        <w:rPr>
          <w:sz w:val="20"/>
          <w:szCs w:val="20"/>
          <w:shd w:val="clear" w:color="auto" w:fill="FFFFFF"/>
          <w:lang w:val="en-US"/>
        </w:rPr>
        <w:t>, </w:t>
      </w:r>
      <w:r w:rsidRPr="00931024">
        <w:rPr>
          <w:i/>
          <w:iCs/>
          <w:sz w:val="20"/>
          <w:szCs w:val="20"/>
          <w:shd w:val="clear" w:color="auto" w:fill="FFFFFF"/>
          <w:lang w:val="en-US"/>
        </w:rPr>
        <w:t>1</w:t>
      </w:r>
      <w:r w:rsidRPr="00931024">
        <w:rPr>
          <w:sz w:val="20"/>
          <w:szCs w:val="20"/>
          <w:shd w:val="clear" w:color="auto" w:fill="FFFFFF"/>
          <w:lang w:val="en-US"/>
        </w:rPr>
        <w:t>(11).</w:t>
      </w:r>
    </w:p>
    <w:p w:rsidR="00DD1E6E" w:rsidRPr="00931024" w:rsidRDefault="00D4622C" w:rsidP="005E7D4B">
      <w:pPr>
        <w:spacing w:line="200" w:lineRule="exact"/>
        <w:jc w:val="left"/>
        <w:rPr>
          <w:sz w:val="22"/>
          <w:shd w:val="clear" w:color="auto" w:fill="FFFFFF"/>
        </w:rPr>
      </w:pPr>
      <w:proofErr w:type="spellStart"/>
      <w:r w:rsidRPr="00931024">
        <w:rPr>
          <w:sz w:val="22"/>
          <w:shd w:val="clear" w:color="auto" w:fill="FFFFFF"/>
          <w:lang w:val="en-US"/>
        </w:rPr>
        <w:t>Hoffjan</w:t>
      </w:r>
      <w:proofErr w:type="spellEnd"/>
      <w:r w:rsidRPr="00931024">
        <w:rPr>
          <w:sz w:val="22"/>
          <w:shd w:val="clear" w:color="auto" w:fill="FFFFFF"/>
          <w:lang w:val="en-US"/>
        </w:rPr>
        <w:t xml:space="preserve">, A., &amp; Kruse, H. (2006). Open book accounting </w:t>
      </w:r>
      <w:proofErr w:type="spellStart"/>
      <w:r w:rsidRPr="00931024">
        <w:rPr>
          <w:sz w:val="22"/>
          <w:shd w:val="clear" w:color="auto" w:fill="FFFFFF"/>
          <w:lang w:val="en-US"/>
        </w:rPr>
        <w:t>als</w:t>
      </w:r>
      <w:proofErr w:type="spellEnd"/>
      <w:r w:rsidRPr="00931024">
        <w:rPr>
          <w:sz w:val="22"/>
          <w:shd w:val="clear" w:color="auto" w:fill="FFFFFF"/>
          <w:lang w:val="en-US"/>
        </w:rPr>
        <w:t xml:space="preserve"> Instrument </w:t>
      </w:r>
      <w:proofErr w:type="spellStart"/>
      <w:r w:rsidRPr="00931024">
        <w:rPr>
          <w:sz w:val="22"/>
          <w:shd w:val="clear" w:color="auto" w:fill="FFFFFF"/>
          <w:lang w:val="en-US"/>
        </w:rPr>
        <w:t>im</w:t>
      </w:r>
      <w:proofErr w:type="spellEnd"/>
      <w:r w:rsidRPr="00931024">
        <w:rPr>
          <w:sz w:val="22"/>
          <w:shd w:val="clear" w:color="auto" w:fill="FFFFFF"/>
          <w:lang w:val="en-US"/>
        </w:rPr>
        <w:t xml:space="preserve"> </w:t>
      </w:r>
      <w:proofErr w:type="spellStart"/>
      <w:r w:rsidRPr="00931024">
        <w:rPr>
          <w:sz w:val="22"/>
          <w:shd w:val="clear" w:color="auto" w:fill="FFFFFF"/>
          <w:lang w:val="en-US"/>
        </w:rPr>
        <w:t>Rahmen</w:t>
      </w:r>
      <w:proofErr w:type="spellEnd"/>
      <w:r w:rsidRPr="00931024">
        <w:rPr>
          <w:sz w:val="22"/>
          <w:shd w:val="clear" w:color="auto" w:fill="FFFFFF"/>
          <w:lang w:val="en-US"/>
        </w:rPr>
        <w:t xml:space="preserve"> von Supply Chains–</w:t>
      </w:r>
      <w:proofErr w:type="spellStart"/>
      <w:r w:rsidRPr="00931024">
        <w:rPr>
          <w:sz w:val="22"/>
          <w:shd w:val="clear" w:color="auto" w:fill="FFFFFF"/>
          <w:lang w:val="en-US"/>
        </w:rPr>
        <w:t>Begriff</w:t>
      </w:r>
      <w:proofErr w:type="spellEnd"/>
      <w:r w:rsidRPr="00931024">
        <w:rPr>
          <w:sz w:val="22"/>
          <w:shd w:val="clear" w:color="auto" w:fill="FFFFFF"/>
          <w:lang w:val="en-US"/>
        </w:rPr>
        <w:t xml:space="preserve"> und </w:t>
      </w:r>
      <w:proofErr w:type="spellStart"/>
      <w:r w:rsidRPr="00931024">
        <w:rPr>
          <w:sz w:val="22"/>
          <w:shd w:val="clear" w:color="auto" w:fill="FFFFFF"/>
          <w:lang w:val="en-US"/>
        </w:rPr>
        <w:t>praktische</w:t>
      </w:r>
      <w:proofErr w:type="spellEnd"/>
      <w:r w:rsidRPr="00931024">
        <w:rPr>
          <w:sz w:val="22"/>
          <w:shd w:val="clear" w:color="auto" w:fill="FFFFFF"/>
          <w:lang w:val="en-US"/>
        </w:rPr>
        <w:t xml:space="preserve"> </w:t>
      </w:r>
      <w:proofErr w:type="spellStart"/>
      <w:r w:rsidRPr="00931024">
        <w:rPr>
          <w:sz w:val="22"/>
          <w:shd w:val="clear" w:color="auto" w:fill="FFFFFF"/>
          <w:lang w:val="en-US"/>
        </w:rPr>
        <w:t>Relevanz</w:t>
      </w:r>
      <w:proofErr w:type="spellEnd"/>
      <w:r w:rsidRPr="00931024">
        <w:rPr>
          <w:sz w:val="22"/>
          <w:shd w:val="clear" w:color="auto" w:fill="FFFFFF"/>
          <w:lang w:val="en-US"/>
        </w:rPr>
        <w:t>. </w:t>
      </w:r>
      <w:proofErr w:type="spellStart"/>
      <w:r w:rsidRPr="00931024">
        <w:rPr>
          <w:i/>
          <w:iCs/>
          <w:sz w:val="22"/>
          <w:shd w:val="clear" w:color="auto" w:fill="FFFFFF"/>
        </w:rPr>
        <w:t>Controlling</w:t>
      </w:r>
      <w:proofErr w:type="spellEnd"/>
      <w:r w:rsidRPr="00931024">
        <w:rPr>
          <w:i/>
          <w:iCs/>
          <w:sz w:val="22"/>
          <w:shd w:val="clear" w:color="auto" w:fill="FFFFFF"/>
        </w:rPr>
        <w:t xml:space="preserve"> &amp; Management </w:t>
      </w:r>
      <w:proofErr w:type="spellStart"/>
      <w:r w:rsidRPr="00931024">
        <w:rPr>
          <w:i/>
          <w:iCs/>
          <w:sz w:val="22"/>
          <w:shd w:val="clear" w:color="auto" w:fill="FFFFFF"/>
        </w:rPr>
        <w:t>Review</w:t>
      </w:r>
      <w:proofErr w:type="spellEnd"/>
      <w:r w:rsidRPr="00931024">
        <w:rPr>
          <w:sz w:val="22"/>
          <w:shd w:val="clear" w:color="auto" w:fill="FFFFFF"/>
        </w:rPr>
        <w:t>, </w:t>
      </w:r>
      <w:r w:rsidRPr="00931024">
        <w:rPr>
          <w:i/>
          <w:iCs/>
          <w:sz w:val="22"/>
          <w:shd w:val="clear" w:color="auto" w:fill="FFFFFF"/>
        </w:rPr>
        <w:t>50</w:t>
      </w:r>
      <w:r w:rsidRPr="00931024">
        <w:rPr>
          <w:sz w:val="22"/>
          <w:shd w:val="clear" w:color="auto" w:fill="FFFFFF"/>
        </w:rPr>
        <w:t>(2), 94-99.</w:t>
      </w:r>
    </w:p>
    <w:p w:rsidR="00C92803" w:rsidRPr="00931024" w:rsidRDefault="00112D78" w:rsidP="005E7D4B">
      <w:pPr>
        <w:spacing w:line="200" w:lineRule="exact"/>
        <w:jc w:val="left"/>
        <w:rPr>
          <w:sz w:val="22"/>
          <w:shd w:val="clear" w:color="auto" w:fill="FFFFFF"/>
        </w:rPr>
      </w:pPr>
      <w:proofErr w:type="spellStart"/>
      <w:r w:rsidRPr="00931024">
        <w:rPr>
          <w:sz w:val="22"/>
          <w:shd w:val="clear" w:color="auto" w:fill="FFFFFF"/>
          <w:lang w:val="en-US"/>
        </w:rPr>
        <w:t>Holweg</w:t>
      </w:r>
      <w:proofErr w:type="spellEnd"/>
      <w:r w:rsidRPr="00931024">
        <w:rPr>
          <w:sz w:val="22"/>
          <w:shd w:val="clear" w:color="auto" w:fill="FFFFFF"/>
          <w:lang w:val="en-US"/>
        </w:rPr>
        <w:t xml:space="preserve">, M., &amp; </w:t>
      </w:r>
      <w:proofErr w:type="spellStart"/>
      <w:r w:rsidRPr="00931024">
        <w:rPr>
          <w:sz w:val="22"/>
          <w:shd w:val="clear" w:color="auto" w:fill="FFFFFF"/>
          <w:lang w:val="en-US"/>
        </w:rPr>
        <w:t>Pil</w:t>
      </w:r>
      <w:proofErr w:type="spellEnd"/>
      <w:r w:rsidRPr="00931024">
        <w:rPr>
          <w:sz w:val="22"/>
          <w:shd w:val="clear" w:color="auto" w:fill="FFFFFF"/>
          <w:lang w:val="en-US"/>
        </w:rPr>
        <w:t>, F. K. (2008). Theoretical perspectives on the coordination of supply chains. </w:t>
      </w:r>
      <w:proofErr w:type="spellStart"/>
      <w:r w:rsidRPr="00931024">
        <w:rPr>
          <w:i/>
          <w:iCs/>
          <w:sz w:val="22"/>
          <w:shd w:val="clear" w:color="auto" w:fill="FFFFFF"/>
        </w:rPr>
        <w:t>Journal</w:t>
      </w:r>
      <w:proofErr w:type="spellEnd"/>
      <w:r w:rsidRPr="00931024">
        <w:rPr>
          <w:i/>
          <w:iCs/>
          <w:sz w:val="22"/>
          <w:shd w:val="clear" w:color="auto" w:fill="FFFFFF"/>
        </w:rPr>
        <w:t xml:space="preserve"> </w:t>
      </w:r>
      <w:proofErr w:type="spellStart"/>
      <w:r w:rsidRPr="00931024">
        <w:rPr>
          <w:i/>
          <w:iCs/>
          <w:sz w:val="22"/>
          <w:shd w:val="clear" w:color="auto" w:fill="FFFFFF"/>
        </w:rPr>
        <w:t>of</w:t>
      </w:r>
      <w:proofErr w:type="spellEnd"/>
      <w:r w:rsidRPr="00931024">
        <w:rPr>
          <w:i/>
          <w:iCs/>
          <w:sz w:val="22"/>
          <w:shd w:val="clear" w:color="auto" w:fill="FFFFFF"/>
        </w:rPr>
        <w:t xml:space="preserve"> </w:t>
      </w:r>
      <w:proofErr w:type="spellStart"/>
      <w:r w:rsidRPr="00931024">
        <w:rPr>
          <w:i/>
          <w:iCs/>
          <w:sz w:val="22"/>
          <w:shd w:val="clear" w:color="auto" w:fill="FFFFFF"/>
        </w:rPr>
        <w:t>operations</w:t>
      </w:r>
      <w:proofErr w:type="spellEnd"/>
      <w:r w:rsidRPr="00931024">
        <w:rPr>
          <w:i/>
          <w:iCs/>
          <w:sz w:val="22"/>
          <w:shd w:val="clear" w:color="auto" w:fill="FFFFFF"/>
        </w:rPr>
        <w:t xml:space="preserve"> management</w:t>
      </w:r>
      <w:r w:rsidRPr="00931024">
        <w:rPr>
          <w:sz w:val="22"/>
          <w:shd w:val="clear" w:color="auto" w:fill="FFFFFF"/>
        </w:rPr>
        <w:t>, </w:t>
      </w:r>
      <w:r w:rsidRPr="00931024">
        <w:rPr>
          <w:i/>
          <w:iCs/>
          <w:sz w:val="22"/>
          <w:shd w:val="clear" w:color="auto" w:fill="FFFFFF"/>
        </w:rPr>
        <w:t>26</w:t>
      </w:r>
      <w:r w:rsidRPr="00931024">
        <w:rPr>
          <w:sz w:val="22"/>
          <w:shd w:val="clear" w:color="auto" w:fill="FFFFFF"/>
        </w:rPr>
        <w:t>(3), 389-406.</w:t>
      </w:r>
    </w:p>
    <w:p w:rsidR="00331784" w:rsidRPr="00931024" w:rsidRDefault="008F4992" w:rsidP="005E7D4B">
      <w:pPr>
        <w:spacing w:line="200" w:lineRule="exact"/>
        <w:jc w:val="left"/>
        <w:rPr>
          <w:sz w:val="22"/>
          <w:shd w:val="clear" w:color="auto" w:fill="FFFFFF"/>
        </w:rPr>
      </w:pPr>
      <w:r w:rsidRPr="00931024">
        <w:rPr>
          <w:sz w:val="22"/>
          <w:shd w:val="clear" w:color="auto" w:fill="FFFFFF"/>
          <w:lang w:val="en-US"/>
        </w:rPr>
        <w:t>Hopwood, A. G. (1996). Looking across rather than up and down: on the need to explore the lateral processing of information. </w:t>
      </w:r>
      <w:proofErr w:type="spellStart"/>
      <w:r w:rsidRPr="00931024">
        <w:rPr>
          <w:i/>
          <w:iCs/>
          <w:sz w:val="22"/>
          <w:shd w:val="clear" w:color="auto" w:fill="FFFFFF"/>
        </w:rPr>
        <w:t>Accounting</w:t>
      </w:r>
      <w:proofErr w:type="spellEnd"/>
      <w:r w:rsidRPr="00931024">
        <w:rPr>
          <w:i/>
          <w:iCs/>
          <w:sz w:val="22"/>
          <w:shd w:val="clear" w:color="auto" w:fill="FFFFFF"/>
        </w:rPr>
        <w:t xml:space="preserve">, </w:t>
      </w:r>
      <w:proofErr w:type="spellStart"/>
      <w:r w:rsidRPr="00931024">
        <w:rPr>
          <w:i/>
          <w:iCs/>
          <w:sz w:val="22"/>
          <w:shd w:val="clear" w:color="auto" w:fill="FFFFFF"/>
        </w:rPr>
        <w:t>Organizations</w:t>
      </w:r>
      <w:proofErr w:type="spellEnd"/>
      <w:r w:rsidRPr="00931024">
        <w:rPr>
          <w:i/>
          <w:iCs/>
          <w:sz w:val="22"/>
          <w:shd w:val="clear" w:color="auto" w:fill="FFFFFF"/>
        </w:rPr>
        <w:t xml:space="preserve"> </w:t>
      </w:r>
      <w:proofErr w:type="spellStart"/>
      <w:r w:rsidRPr="00931024">
        <w:rPr>
          <w:i/>
          <w:iCs/>
          <w:sz w:val="22"/>
          <w:shd w:val="clear" w:color="auto" w:fill="FFFFFF"/>
        </w:rPr>
        <w:t>and</w:t>
      </w:r>
      <w:proofErr w:type="spellEnd"/>
      <w:r w:rsidRPr="00931024">
        <w:rPr>
          <w:i/>
          <w:iCs/>
          <w:sz w:val="22"/>
          <w:shd w:val="clear" w:color="auto" w:fill="FFFFFF"/>
        </w:rPr>
        <w:t xml:space="preserve"> </w:t>
      </w:r>
      <w:proofErr w:type="spellStart"/>
      <w:r w:rsidRPr="00931024">
        <w:rPr>
          <w:i/>
          <w:iCs/>
          <w:sz w:val="22"/>
          <w:shd w:val="clear" w:color="auto" w:fill="FFFFFF"/>
        </w:rPr>
        <w:t>Society</w:t>
      </w:r>
      <w:proofErr w:type="spellEnd"/>
      <w:r w:rsidRPr="00931024">
        <w:rPr>
          <w:sz w:val="22"/>
          <w:shd w:val="clear" w:color="auto" w:fill="FFFFFF"/>
        </w:rPr>
        <w:t>, </w:t>
      </w:r>
      <w:r w:rsidRPr="00931024">
        <w:rPr>
          <w:i/>
          <w:iCs/>
          <w:sz w:val="22"/>
          <w:shd w:val="clear" w:color="auto" w:fill="FFFFFF"/>
        </w:rPr>
        <w:t>21</w:t>
      </w:r>
      <w:r w:rsidRPr="00931024">
        <w:rPr>
          <w:sz w:val="22"/>
          <w:shd w:val="clear" w:color="auto" w:fill="FFFFFF"/>
        </w:rPr>
        <w:t>(6), 589-590.</w:t>
      </w:r>
    </w:p>
    <w:p w:rsidR="00BA59F4" w:rsidRPr="00931024" w:rsidRDefault="00D63CBF" w:rsidP="005E7D4B">
      <w:pPr>
        <w:spacing w:line="200" w:lineRule="exact"/>
        <w:jc w:val="left"/>
        <w:rPr>
          <w:sz w:val="22"/>
          <w:shd w:val="clear" w:color="auto" w:fill="FFFFFF"/>
          <w:lang w:val="en-US"/>
        </w:rPr>
      </w:pPr>
      <w:proofErr w:type="spellStart"/>
      <w:r w:rsidRPr="00931024">
        <w:rPr>
          <w:sz w:val="22"/>
          <w:shd w:val="clear" w:color="auto" w:fill="FFFFFF"/>
          <w:lang w:val="en-US"/>
        </w:rPr>
        <w:lastRenderedPageBreak/>
        <w:t>Ittner</w:t>
      </w:r>
      <w:proofErr w:type="spellEnd"/>
      <w:r w:rsidRPr="00931024">
        <w:rPr>
          <w:sz w:val="22"/>
          <w:shd w:val="clear" w:color="auto" w:fill="FFFFFF"/>
          <w:lang w:val="en-US"/>
        </w:rPr>
        <w:t xml:space="preserve">, C. D., </w:t>
      </w:r>
      <w:proofErr w:type="spellStart"/>
      <w:r w:rsidRPr="00931024">
        <w:rPr>
          <w:sz w:val="22"/>
          <w:shd w:val="clear" w:color="auto" w:fill="FFFFFF"/>
          <w:lang w:val="en-US"/>
        </w:rPr>
        <w:t>Larcker</w:t>
      </w:r>
      <w:proofErr w:type="spellEnd"/>
      <w:r w:rsidRPr="00931024">
        <w:rPr>
          <w:sz w:val="22"/>
          <w:shd w:val="clear" w:color="auto" w:fill="FFFFFF"/>
          <w:lang w:val="en-US"/>
        </w:rPr>
        <w:t xml:space="preserve">, D. F., Nagar, V., &amp; </w:t>
      </w:r>
      <w:proofErr w:type="spellStart"/>
      <w:r w:rsidRPr="00931024">
        <w:rPr>
          <w:sz w:val="22"/>
          <w:shd w:val="clear" w:color="auto" w:fill="FFFFFF"/>
          <w:lang w:val="en-US"/>
        </w:rPr>
        <w:t>Rajan</w:t>
      </w:r>
      <w:proofErr w:type="spellEnd"/>
      <w:r w:rsidRPr="00931024">
        <w:rPr>
          <w:sz w:val="22"/>
          <w:shd w:val="clear" w:color="auto" w:fill="FFFFFF"/>
          <w:lang w:val="en-US"/>
        </w:rPr>
        <w:t>, M. V. (1999). Supplier selection, monitoring practices, and firm performance. </w:t>
      </w:r>
      <w:r w:rsidRPr="00931024">
        <w:rPr>
          <w:i/>
          <w:iCs/>
          <w:sz w:val="22"/>
          <w:shd w:val="clear" w:color="auto" w:fill="FFFFFF"/>
          <w:lang w:val="en-US"/>
        </w:rPr>
        <w:t>Journal of Accounting and Public Policy</w:t>
      </w:r>
      <w:r w:rsidRPr="00931024">
        <w:rPr>
          <w:sz w:val="22"/>
          <w:shd w:val="clear" w:color="auto" w:fill="FFFFFF"/>
          <w:lang w:val="en-US"/>
        </w:rPr>
        <w:t>, </w:t>
      </w:r>
      <w:r w:rsidRPr="00931024">
        <w:rPr>
          <w:i/>
          <w:iCs/>
          <w:sz w:val="22"/>
          <w:shd w:val="clear" w:color="auto" w:fill="FFFFFF"/>
          <w:lang w:val="en-US"/>
        </w:rPr>
        <w:t>18</w:t>
      </w:r>
      <w:r w:rsidRPr="00931024">
        <w:rPr>
          <w:sz w:val="22"/>
          <w:shd w:val="clear" w:color="auto" w:fill="FFFFFF"/>
          <w:lang w:val="en-US"/>
        </w:rPr>
        <w:t>(3), 253-281.</w:t>
      </w:r>
    </w:p>
    <w:p w:rsidR="00111D90" w:rsidRPr="00931024" w:rsidRDefault="00873950" w:rsidP="005E7D4B">
      <w:pPr>
        <w:spacing w:line="200" w:lineRule="exact"/>
        <w:jc w:val="left"/>
        <w:rPr>
          <w:sz w:val="22"/>
          <w:shd w:val="clear" w:color="auto" w:fill="FFFFFF"/>
          <w:lang w:val="en-US"/>
        </w:rPr>
      </w:pPr>
      <w:proofErr w:type="spellStart"/>
      <w:r w:rsidRPr="00931024">
        <w:rPr>
          <w:sz w:val="22"/>
          <w:shd w:val="clear" w:color="auto" w:fill="FFFFFF"/>
          <w:lang w:val="en-US"/>
        </w:rPr>
        <w:t>Kauremaa</w:t>
      </w:r>
      <w:proofErr w:type="spellEnd"/>
      <w:r w:rsidRPr="00931024">
        <w:rPr>
          <w:sz w:val="22"/>
          <w:shd w:val="clear" w:color="auto" w:fill="FFFFFF"/>
          <w:lang w:val="en-US"/>
        </w:rPr>
        <w:t xml:space="preserve">, J., &amp; </w:t>
      </w:r>
      <w:proofErr w:type="spellStart"/>
      <w:r w:rsidRPr="00931024">
        <w:rPr>
          <w:sz w:val="22"/>
          <w:shd w:val="clear" w:color="auto" w:fill="FFFFFF"/>
          <w:lang w:val="en-US"/>
        </w:rPr>
        <w:t>Tanskanen</w:t>
      </w:r>
      <w:proofErr w:type="spellEnd"/>
      <w:r w:rsidRPr="00931024">
        <w:rPr>
          <w:sz w:val="22"/>
          <w:shd w:val="clear" w:color="auto" w:fill="FFFFFF"/>
          <w:lang w:val="en-US"/>
        </w:rPr>
        <w:t xml:space="preserve">, K. (2016). Designing </w:t>
      </w:r>
      <w:proofErr w:type="spellStart"/>
      <w:r w:rsidRPr="00931024">
        <w:rPr>
          <w:sz w:val="22"/>
          <w:shd w:val="clear" w:color="auto" w:fill="FFFFFF"/>
          <w:lang w:val="en-US"/>
        </w:rPr>
        <w:t>interorganizational</w:t>
      </w:r>
      <w:proofErr w:type="spellEnd"/>
      <w:r w:rsidRPr="00931024">
        <w:rPr>
          <w:sz w:val="22"/>
          <w:shd w:val="clear" w:color="auto" w:fill="FFFFFF"/>
          <w:lang w:val="en-US"/>
        </w:rPr>
        <w:t xml:space="preserve"> information systems for supply chain integration: a framework. </w:t>
      </w:r>
      <w:r w:rsidRPr="00931024">
        <w:rPr>
          <w:i/>
          <w:iCs/>
          <w:sz w:val="22"/>
          <w:shd w:val="clear" w:color="auto" w:fill="FFFFFF"/>
          <w:lang w:val="en-US"/>
        </w:rPr>
        <w:t>The International Journal of Logistics Management</w:t>
      </w:r>
      <w:r w:rsidRPr="00931024">
        <w:rPr>
          <w:sz w:val="22"/>
          <w:shd w:val="clear" w:color="auto" w:fill="FFFFFF"/>
          <w:lang w:val="en-US"/>
        </w:rPr>
        <w:t>, </w:t>
      </w:r>
      <w:r w:rsidRPr="00931024">
        <w:rPr>
          <w:i/>
          <w:iCs/>
          <w:sz w:val="22"/>
          <w:shd w:val="clear" w:color="auto" w:fill="FFFFFF"/>
          <w:lang w:val="en-US"/>
        </w:rPr>
        <w:t>27</w:t>
      </w:r>
      <w:r w:rsidRPr="00931024">
        <w:rPr>
          <w:sz w:val="22"/>
          <w:shd w:val="clear" w:color="auto" w:fill="FFFFFF"/>
          <w:lang w:val="en-US"/>
        </w:rPr>
        <w:t>(1), 71-94.</w:t>
      </w:r>
    </w:p>
    <w:p w:rsidR="00D26462" w:rsidRPr="00931024" w:rsidRDefault="004F5FDA" w:rsidP="005E7D4B">
      <w:pPr>
        <w:spacing w:line="200" w:lineRule="exact"/>
        <w:jc w:val="left"/>
        <w:rPr>
          <w:sz w:val="22"/>
          <w:shd w:val="clear" w:color="auto" w:fill="FFFFFF"/>
          <w:lang w:val="en-US"/>
        </w:rPr>
      </w:pPr>
      <w:r w:rsidRPr="00931024">
        <w:rPr>
          <w:sz w:val="22"/>
          <w:shd w:val="clear" w:color="auto" w:fill="FFFFFF"/>
          <w:lang w:val="en-US"/>
        </w:rPr>
        <w:t>Kumar, V. (2014). Impact of information technology on supply chain of Indian industries. </w:t>
      </w:r>
      <w:r w:rsidRPr="00931024">
        <w:rPr>
          <w:i/>
          <w:iCs/>
          <w:sz w:val="22"/>
          <w:shd w:val="clear" w:color="auto" w:fill="FFFFFF"/>
          <w:lang w:val="en-US"/>
        </w:rPr>
        <w:t>International Journal of Engineering Research and Technology</w:t>
      </w:r>
      <w:r w:rsidRPr="00931024">
        <w:rPr>
          <w:sz w:val="22"/>
          <w:shd w:val="clear" w:color="auto" w:fill="FFFFFF"/>
          <w:lang w:val="en-US"/>
        </w:rPr>
        <w:t>, </w:t>
      </w:r>
      <w:r w:rsidRPr="00931024">
        <w:rPr>
          <w:i/>
          <w:iCs/>
          <w:sz w:val="22"/>
          <w:shd w:val="clear" w:color="auto" w:fill="FFFFFF"/>
          <w:lang w:val="en-US"/>
        </w:rPr>
        <w:t>7</w:t>
      </w:r>
      <w:r w:rsidRPr="00931024">
        <w:rPr>
          <w:sz w:val="22"/>
          <w:shd w:val="clear" w:color="auto" w:fill="FFFFFF"/>
          <w:lang w:val="en-US"/>
        </w:rPr>
        <w:t>(1), 41-48.</w:t>
      </w:r>
    </w:p>
    <w:p w:rsidR="00553B02" w:rsidRPr="00931024" w:rsidRDefault="00E03B35" w:rsidP="005E7D4B">
      <w:pPr>
        <w:autoSpaceDE w:val="0"/>
        <w:autoSpaceDN w:val="0"/>
        <w:adjustRightInd w:val="0"/>
        <w:spacing w:line="200" w:lineRule="exact"/>
        <w:jc w:val="left"/>
        <w:rPr>
          <w:sz w:val="22"/>
          <w:shd w:val="clear" w:color="auto" w:fill="FFFFFF"/>
        </w:rPr>
      </w:pPr>
      <w:r w:rsidRPr="00931024">
        <w:rPr>
          <w:sz w:val="22"/>
          <w:shd w:val="clear" w:color="auto" w:fill="FFFFFF"/>
          <w:lang w:val="en-US"/>
        </w:rPr>
        <w:t>Lewis, J. D. (1992). </w:t>
      </w:r>
      <w:r w:rsidRPr="00931024">
        <w:rPr>
          <w:i/>
          <w:iCs/>
          <w:sz w:val="22"/>
          <w:shd w:val="clear" w:color="auto" w:fill="FFFFFF"/>
        </w:rPr>
        <w:t>Alianças estratégicas: estruturando e administrando parcerias para o aumento da lucratividade</w:t>
      </w:r>
      <w:r w:rsidRPr="00931024">
        <w:rPr>
          <w:sz w:val="22"/>
          <w:shd w:val="clear" w:color="auto" w:fill="FFFFFF"/>
        </w:rPr>
        <w:t>. Pioneira.</w:t>
      </w:r>
    </w:p>
    <w:p w:rsidR="00857B3F" w:rsidRPr="00931024" w:rsidRDefault="00E22765" w:rsidP="005E7D4B">
      <w:pPr>
        <w:autoSpaceDE w:val="0"/>
        <w:autoSpaceDN w:val="0"/>
        <w:adjustRightInd w:val="0"/>
        <w:spacing w:line="200" w:lineRule="exact"/>
        <w:jc w:val="left"/>
        <w:rPr>
          <w:sz w:val="22"/>
          <w:shd w:val="clear" w:color="auto" w:fill="FFFFFF"/>
        </w:rPr>
      </w:pPr>
      <w:r w:rsidRPr="00931024">
        <w:rPr>
          <w:sz w:val="22"/>
          <w:shd w:val="clear" w:color="auto" w:fill="FFFFFF"/>
          <w:lang w:val="en-US"/>
        </w:rPr>
        <w:t>Li, S., Rao, S. S., Ragu-Nathan, T. S., &amp; Ragu-Nathan, B. (2005). Development and validation of a measurement instrument for studying supply chain management practices. </w:t>
      </w:r>
      <w:proofErr w:type="spellStart"/>
      <w:r w:rsidRPr="00931024">
        <w:rPr>
          <w:i/>
          <w:iCs/>
          <w:sz w:val="22"/>
          <w:shd w:val="clear" w:color="auto" w:fill="FFFFFF"/>
        </w:rPr>
        <w:t>Journal</w:t>
      </w:r>
      <w:proofErr w:type="spellEnd"/>
      <w:r w:rsidRPr="00931024">
        <w:rPr>
          <w:i/>
          <w:iCs/>
          <w:sz w:val="22"/>
          <w:shd w:val="clear" w:color="auto" w:fill="FFFFFF"/>
        </w:rPr>
        <w:t xml:space="preserve"> </w:t>
      </w:r>
      <w:proofErr w:type="spellStart"/>
      <w:r w:rsidRPr="00931024">
        <w:rPr>
          <w:i/>
          <w:iCs/>
          <w:sz w:val="22"/>
          <w:shd w:val="clear" w:color="auto" w:fill="FFFFFF"/>
        </w:rPr>
        <w:t>of</w:t>
      </w:r>
      <w:proofErr w:type="spellEnd"/>
      <w:r w:rsidRPr="00931024">
        <w:rPr>
          <w:i/>
          <w:iCs/>
          <w:sz w:val="22"/>
          <w:shd w:val="clear" w:color="auto" w:fill="FFFFFF"/>
        </w:rPr>
        <w:t xml:space="preserve"> </w:t>
      </w:r>
      <w:proofErr w:type="spellStart"/>
      <w:r w:rsidRPr="00931024">
        <w:rPr>
          <w:i/>
          <w:iCs/>
          <w:sz w:val="22"/>
          <w:shd w:val="clear" w:color="auto" w:fill="FFFFFF"/>
        </w:rPr>
        <w:t>operations</w:t>
      </w:r>
      <w:proofErr w:type="spellEnd"/>
      <w:r w:rsidRPr="00931024">
        <w:rPr>
          <w:i/>
          <w:iCs/>
          <w:sz w:val="22"/>
          <w:shd w:val="clear" w:color="auto" w:fill="FFFFFF"/>
        </w:rPr>
        <w:t xml:space="preserve"> management</w:t>
      </w:r>
      <w:r w:rsidRPr="00931024">
        <w:rPr>
          <w:sz w:val="22"/>
          <w:shd w:val="clear" w:color="auto" w:fill="FFFFFF"/>
        </w:rPr>
        <w:t>, </w:t>
      </w:r>
      <w:r w:rsidRPr="00931024">
        <w:rPr>
          <w:i/>
          <w:iCs/>
          <w:sz w:val="22"/>
          <w:shd w:val="clear" w:color="auto" w:fill="FFFFFF"/>
        </w:rPr>
        <w:t>23</w:t>
      </w:r>
      <w:r w:rsidRPr="00931024">
        <w:rPr>
          <w:sz w:val="22"/>
          <w:shd w:val="clear" w:color="auto" w:fill="FFFFFF"/>
        </w:rPr>
        <w:t>(6), 618-641.</w:t>
      </w:r>
    </w:p>
    <w:p w:rsidR="00905057" w:rsidRPr="00931024" w:rsidRDefault="00905057" w:rsidP="005E7D4B">
      <w:pPr>
        <w:autoSpaceDE w:val="0"/>
        <w:autoSpaceDN w:val="0"/>
        <w:adjustRightInd w:val="0"/>
        <w:spacing w:line="200" w:lineRule="exact"/>
        <w:jc w:val="left"/>
        <w:rPr>
          <w:sz w:val="22"/>
          <w:shd w:val="clear" w:color="auto" w:fill="FFFFFF"/>
        </w:rPr>
      </w:pPr>
      <w:r w:rsidRPr="00931024">
        <w:rPr>
          <w:sz w:val="22"/>
          <w:shd w:val="clear" w:color="auto" w:fill="FFFFFF"/>
          <w:lang w:val="en-US"/>
        </w:rPr>
        <w:t>Lin, C., Wu, Y. J., Chang, C., Wang, W., &amp; Lee, C. Y. (2012). The alliance innovation performance of R&amp;D alliances—the absorptive capacity perspective. </w:t>
      </w:r>
      <w:proofErr w:type="spellStart"/>
      <w:r w:rsidRPr="00931024">
        <w:rPr>
          <w:i/>
          <w:iCs/>
          <w:sz w:val="22"/>
          <w:shd w:val="clear" w:color="auto" w:fill="FFFFFF"/>
        </w:rPr>
        <w:t>Technovation</w:t>
      </w:r>
      <w:proofErr w:type="spellEnd"/>
      <w:r w:rsidRPr="00931024">
        <w:rPr>
          <w:sz w:val="22"/>
          <w:shd w:val="clear" w:color="auto" w:fill="FFFFFF"/>
        </w:rPr>
        <w:t>, </w:t>
      </w:r>
      <w:r w:rsidRPr="00931024">
        <w:rPr>
          <w:i/>
          <w:iCs/>
          <w:sz w:val="22"/>
          <w:shd w:val="clear" w:color="auto" w:fill="FFFFFF"/>
        </w:rPr>
        <w:t>32</w:t>
      </w:r>
      <w:r w:rsidRPr="00931024">
        <w:rPr>
          <w:sz w:val="22"/>
          <w:shd w:val="clear" w:color="auto" w:fill="FFFFFF"/>
        </w:rPr>
        <w:t>(5), 282-292.</w:t>
      </w:r>
    </w:p>
    <w:p w:rsidR="00CB7589" w:rsidRPr="00931024" w:rsidRDefault="00AE2779" w:rsidP="005E7D4B">
      <w:pPr>
        <w:spacing w:line="200" w:lineRule="exact"/>
        <w:jc w:val="left"/>
        <w:rPr>
          <w:sz w:val="22"/>
          <w:shd w:val="clear" w:color="auto" w:fill="FFFFFF"/>
        </w:rPr>
      </w:pPr>
      <w:r w:rsidRPr="00931024">
        <w:rPr>
          <w:sz w:val="22"/>
          <w:shd w:val="clear" w:color="auto" w:fill="FFFFFF"/>
        </w:rPr>
        <w:t>Lisboa, J., Coelho, A., Coelho, F., &amp; Almeida, F. (2011). </w:t>
      </w:r>
      <w:r w:rsidRPr="00931024">
        <w:rPr>
          <w:i/>
          <w:iCs/>
          <w:sz w:val="22"/>
          <w:shd w:val="clear" w:color="auto" w:fill="FFFFFF"/>
        </w:rPr>
        <w:t>Introdução à Gestão de Organizações-3ª Edição</w:t>
      </w:r>
      <w:r w:rsidRPr="00931024">
        <w:rPr>
          <w:sz w:val="22"/>
          <w:shd w:val="clear" w:color="auto" w:fill="FFFFFF"/>
        </w:rPr>
        <w:t xml:space="preserve">. Vida </w:t>
      </w:r>
      <w:proofErr w:type="spellStart"/>
      <w:r w:rsidRPr="00931024">
        <w:rPr>
          <w:sz w:val="22"/>
          <w:shd w:val="clear" w:color="auto" w:fill="FFFFFF"/>
        </w:rPr>
        <w:t>Economica</w:t>
      </w:r>
      <w:proofErr w:type="spellEnd"/>
      <w:r w:rsidRPr="00931024">
        <w:rPr>
          <w:sz w:val="22"/>
          <w:shd w:val="clear" w:color="auto" w:fill="FFFFFF"/>
        </w:rPr>
        <w:t xml:space="preserve"> Editorial.</w:t>
      </w:r>
    </w:p>
    <w:p w:rsidR="000868F4" w:rsidRPr="00931024" w:rsidRDefault="00404AC4" w:rsidP="005E7D4B">
      <w:pPr>
        <w:autoSpaceDE w:val="0"/>
        <w:autoSpaceDN w:val="0"/>
        <w:adjustRightInd w:val="0"/>
        <w:spacing w:line="200" w:lineRule="exact"/>
        <w:jc w:val="left"/>
        <w:rPr>
          <w:sz w:val="22"/>
          <w:shd w:val="clear" w:color="auto" w:fill="FFFFFF"/>
        </w:rPr>
      </w:pPr>
      <w:proofErr w:type="spellStart"/>
      <w:r w:rsidRPr="00931024">
        <w:rPr>
          <w:sz w:val="22"/>
          <w:shd w:val="clear" w:color="auto" w:fill="FFFFFF"/>
        </w:rPr>
        <w:t>Nicolini</w:t>
      </w:r>
      <w:proofErr w:type="spellEnd"/>
      <w:r w:rsidRPr="00931024">
        <w:rPr>
          <w:sz w:val="22"/>
          <w:shd w:val="clear" w:color="auto" w:fill="FFFFFF"/>
        </w:rPr>
        <w:t xml:space="preserve">, D., &amp; </w:t>
      </w:r>
      <w:proofErr w:type="spellStart"/>
      <w:r w:rsidRPr="00931024">
        <w:rPr>
          <w:sz w:val="22"/>
          <w:shd w:val="clear" w:color="auto" w:fill="FFFFFF"/>
        </w:rPr>
        <w:t>Meznar</w:t>
      </w:r>
      <w:proofErr w:type="spellEnd"/>
      <w:r w:rsidRPr="00931024">
        <w:rPr>
          <w:sz w:val="22"/>
          <w:shd w:val="clear" w:color="auto" w:fill="FFFFFF"/>
        </w:rPr>
        <w:t xml:space="preserve">, M. B. (1995). </w:t>
      </w:r>
      <w:r w:rsidRPr="00931024">
        <w:rPr>
          <w:sz w:val="22"/>
          <w:shd w:val="clear" w:color="auto" w:fill="FFFFFF"/>
          <w:lang w:val="en-US"/>
        </w:rPr>
        <w:t>The social construction of organizational learning: conceptual and practical issues in the field. </w:t>
      </w:r>
      <w:proofErr w:type="spellStart"/>
      <w:r w:rsidRPr="00931024">
        <w:rPr>
          <w:i/>
          <w:iCs/>
          <w:sz w:val="22"/>
          <w:shd w:val="clear" w:color="auto" w:fill="FFFFFF"/>
        </w:rPr>
        <w:t>Human</w:t>
      </w:r>
      <w:proofErr w:type="spellEnd"/>
      <w:r w:rsidRPr="00931024">
        <w:rPr>
          <w:i/>
          <w:iCs/>
          <w:sz w:val="22"/>
          <w:shd w:val="clear" w:color="auto" w:fill="FFFFFF"/>
        </w:rPr>
        <w:t xml:space="preserve"> </w:t>
      </w:r>
      <w:proofErr w:type="spellStart"/>
      <w:r w:rsidRPr="00931024">
        <w:rPr>
          <w:i/>
          <w:iCs/>
          <w:sz w:val="22"/>
          <w:shd w:val="clear" w:color="auto" w:fill="FFFFFF"/>
        </w:rPr>
        <w:t>relations</w:t>
      </w:r>
      <w:proofErr w:type="spellEnd"/>
      <w:r w:rsidRPr="00931024">
        <w:rPr>
          <w:sz w:val="22"/>
          <w:shd w:val="clear" w:color="auto" w:fill="FFFFFF"/>
        </w:rPr>
        <w:t>, </w:t>
      </w:r>
      <w:r w:rsidRPr="00931024">
        <w:rPr>
          <w:i/>
          <w:iCs/>
          <w:sz w:val="22"/>
          <w:shd w:val="clear" w:color="auto" w:fill="FFFFFF"/>
        </w:rPr>
        <w:t>48</w:t>
      </w:r>
      <w:r w:rsidRPr="00931024">
        <w:rPr>
          <w:sz w:val="22"/>
          <w:shd w:val="clear" w:color="auto" w:fill="FFFFFF"/>
        </w:rPr>
        <w:t>(7), 727-746.</w:t>
      </w:r>
    </w:p>
    <w:p w:rsidR="00692934" w:rsidRPr="00931024" w:rsidRDefault="005674B3" w:rsidP="005E7D4B">
      <w:pPr>
        <w:spacing w:line="200" w:lineRule="exact"/>
        <w:jc w:val="left"/>
        <w:rPr>
          <w:sz w:val="22"/>
          <w:shd w:val="clear" w:color="auto" w:fill="FFFFFF"/>
        </w:rPr>
      </w:pPr>
      <w:r w:rsidRPr="00931024">
        <w:rPr>
          <w:sz w:val="22"/>
          <w:shd w:val="clear" w:color="auto" w:fill="FFFFFF"/>
          <w:lang w:val="en-US"/>
        </w:rPr>
        <w:t>Peteraf, M. A. (1993). The cornerstones of competitive advantage: A resource</w:t>
      </w:r>
      <w:r w:rsidRPr="00931024">
        <w:rPr>
          <w:rFonts w:ascii="Cambria Math" w:hAnsi="Cambria Math" w:cs="Cambria Math"/>
          <w:sz w:val="22"/>
          <w:shd w:val="clear" w:color="auto" w:fill="FFFFFF"/>
          <w:lang w:val="en-US"/>
        </w:rPr>
        <w:t>‐</w:t>
      </w:r>
      <w:r w:rsidRPr="00931024">
        <w:rPr>
          <w:sz w:val="22"/>
          <w:shd w:val="clear" w:color="auto" w:fill="FFFFFF"/>
          <w:lang w:val="en-US"/>
        </w:rPr>
        <w:t>based view. </w:t>
      </w:r>
      <w:proofErr w:type="spellStart"/>
      <w:r w:rsidRPr="00931024">
        <w:rPr>
          <w:i/>
          <w:iCs/>
          <w:sz w:val="22"/>
          <w:shd w:val="clear" w:color="auto" w:fill="FFFFFF"/>
        </w:rPr>
        <w:t>Strategic</w:t>
      </w:r>
      <w:proofErr w:type="spellEnd"/>
      <w:r w:rsidRPr="00931024">
        <w:rPr>
          <w:i/>
          <w:iCs/>
          <w:sz w:val="22"/>
          <w:shd w:val="clear" w:color="auto" w:fill="FFFFFF"/>
        </w:rPr>
        <w:t xml:space="preserve"> management </w:t>
      </w:r>
      <w:proofErr w:type="spellStart"/>
      <w:r w:rsidRPr="00931024">
        <w:rPr>
          <w:i/>
          <w:iCs/>
          <w:sz w:val="22"/>
          <w:shd w:val="clear" w:color="auto" w:fill="FFFFFF"/>
        </w:rPr>
        <w:t>journal</w:t>
      </w:r>
      <w:proofErr w:type="spellEnd"/>
      <w:r w:rsidRPr="00931024">
        <w:rPr>
          <w:sz w:val="22"/>
          <w:shd w:val="clear" w:color="auto" w:fill="FFFFFF"/>
        </w:rPr>
        <w:t>, </w:t>
      </w:r>
      <w:r w:rsidRPr="00931024">
        <w:rPr>
          <w:i/>
          <w:iCs/>
          <w:sz w:val="22"/>
          <w:shd w:val="clear" w:color="auto" w:fill="FFFFFF"/>
        </w:rPr>
        <w:t>14</w:t>
      </w:r>
      <w:r w:rsidRPr="00931024">
        <w:rPr>
          <w:sz w:val="22"/>
          <w:shd w:val="clear" w:color="auto" w:fill="FFFFFF"/>
        </w:rPr>
        <w:t>(3), 179-191.</w:t>
      </w:r>
    </w:p>
    <w:p w:rsidR="00C11F4B" w:rsidRPr="00931024" w:rsidRDefault="00EA4678" w:rsidP="005E7D4B">
      <w:pPr>
        <w:spacing w:line="200" w:lineRule="exact"/>
        <w:jc w:val="left"/>
        <w:rPr>
          <w:sz w:val="22"/>
          <w:shd w:val="clear" w:color="auto" w:fill="FFFFFF"/>
        </w:rPr>
      </w:pPr>
      <w:r w:rsidRPr="00931024">
        <w:rPr>
          <w:sz w:val="22"/>
          <w:shd w:val="clear" w:color="auto" w:fill="FFFFFF"/>
        </w:rPr>
        <w:t>Porter, M. E. (1999). </w:t>
      </w:r>
      <w:r w:rsidRPr="00931024">
        <w:rPr>
          <w:i/>
          <w:iCs/>
          <w:sz w:val="22"/>
          <w:shd w:val="clear" w:color="auto" w:fill="FFFFFF"/>
        </w:rPr>
        <w:t>Competição: estratégias competitivas essenciais</w:t>
      </w:r>
      <w:r w:rsidRPr="00931024">
        <w:rPr>
          <w:sz w:val="22"/>
          <w:shd w:val="clear" w:color="auto" w:fill="FFFFFF"/>
        </w:rPr>
        <w:t xml:space="preserve">. </w:t>
      </w:r>
      <w:proofErr w:type="spellStart"/>
      <w:r w:rsidRPr="00931024">
        <w:rPr>
          <w:sz w:val="22"/>
          <w:shd w:val="clear" w:color="auto" w:fill="FFFFFF"/>
        </w:rPr>
        <w:t>Gulf</w:t>
      </w:r>
      <w:proofErr w:type="spellEnd"/>
      <w:r w:rsidRPr="00931024">
        <w:rPr>
          <w:sz w:val="22"/>
          <w:shd w:val="clear" w:color="auto" w:fill="FFFFFF"/>
        </w:rPr>
        <w:t xml:space="preserve"> Professional </w:t>
      </w:r>
      <w:proofErr w:type="spellStart"/>
      <w:r w:rsidRPr="00931024">
        <w:rPr>
          <w:sz w:val="22"/>
          <w:shd w:val="clear" w:color="auto" w:fill="FFFFFF"/>
        </w:rPr>
        <w:t>Publishing</w:t>
      </w:r>
      <w:proofErr w:type="spellEnd"/>
      <w:r w:rsidRPr="00931024">
        <w:rPr>
          <w:sz w:val="22"/>
          <w:shd w:val="clear" w:color="auto" w:fill="FFFFFF"/>
        </w:rPr>
        <w:t>.</w:t>
      </w:r>
    </w:p>
    <w:p w:rsidR="00AD1456" w:rsidRPr="00931024" w:rsidRDefault="00C5093B" w:rsidP="005E7D4B">
      <w:pPr>
        <w:spacing w:line="200" w:lineRule="exact"/>
        <w:jc w:val="left"/>
        <w:rPr>
          <w:sz w:val="22"/>
          <w:shd w:val="clear" w:color="auto" w:fill="FFFFFF"/>
        </w:rPr>
      </w:pPr>
      <w:r w:rsidRPr="00931024">
        <w:rPr>
          <w:sz w:val="22"/>
          <w:shd w:val="clear" w:color="auto" w:fill="FFFFFF"/>
          <w:lang w:val="en-US"/>
        </w:rPr>
        <w:t xml:space="preserve">Shah, R. H., &amp; </w:t>
      </w:r>
      <w:proofErr w:type="spellStart"/>
      <w:r w:rsidRPr="00931024">
        <w:rPr>
          <w:sz w:val="22"/>
          <w:shd w:val="clear" w:color="auto" w:fill="FFFFFF"/>
          <w:lang w:val="en-US"/>
        </w:rPr>
        <w:t>Swaminathan</w:t>
      </w:r>
      <w:proofErr w:type="spellEnd"/>
      <w:r w:rsidRPr="00931024">
        <w:rPr>
          <w:sz w:val="22"/>
          <w:shd w:val="clear" w:color="auto" w:fill="FFFFFF"/>
          <w:lang w:val="en-US"/>
        </w:rPr>
        <w:t>, V. (2008). Factors influencing partner selection in strategic alliances: The moderating role of alliance context. </w:t>
      </w:r>
      <w:proofErr w:type="spellStart"/>
      <w:r w:rsidRPr="00931024">
        <w:rPr>
          <w:i/>
          <w:iCs/>
          <w:sz w:val="22"/>
          <w:shd w:val="clear" w:color="auto" w:fill="FFFFFF"/>
        </w:rPr>
        <w:t>Strategic</w:t>
      </w:r>
      <w:proofErr w:type="spellEnd"/>
      <w:r w:rsidRPr="00931024">
        <w:rPr>
          <w:i/>
          <w:iCs/>
          <w:sz w:val="22"/>
          <w:shd w:val="clear" w:color="auto" w:fill="FFFFFF"/>
        </w:rPr>
        <w:t xml:space="preserve"> Management </w:t>
      </w:r>
      <w:proofErr w:type="spellStart"/>
      <w:r w:rsidRPr="00931024">
        <w:rPr>
          <w:i/>
          <w:iCs/>
          <w:sz w:val="22"/>
          <w:shd w:val="clear" w:color="auto" w:fill="FFFFFF"/>
        </w:rPr>
        <w:t>Journal</w:t>
      </w:r>
      <w:proofErr w:type="spellEnd"/>
      <w:r w:rsidRPr="00931024">
        <w:rPr>
          <w:sz w:val="22"/>
          <w:shd w:val="clear" w:color="auto" w:fill="FFFFFF"/>
        </w:rPr>
        <w:t>, </w:t>
      </w:r>
      <w:r w:rsidRPr="00931024">
        <w:rPr>
          <w:i/>
          <w:iCs/>
          <w:sz w:val="22"/>
          <w:shd w:val="clear" w:color="auto" w:fill="FFFFFF"/>
        </w:rPr>
        <w:t>29</w:t>
      </w:r>
      <w:r w:rsidRPr="00931024">
        <w:rPr>
          <w:sz w:val="22"/>
          <w:shd w:val="clear" w:color="auto" w:fill="FFFFFF"/>
        </w:rPr>
        <w:t>(5), 471-494.</w:t>
      </w:r>
    </w:p>
    <w:p w:rsidR="003E4A52" w:rsidRPr="00931024" w:rsidRDefault="00FE3D61" w:rsidP="005E7D4B">
      <w:pPr>
        <w:spacing w:line="200" w:lineRule="exact"/>
        <w:jc w:val="left"/>
        <w:rPr>
          <w:sz w:val="22"/>
          <w:shd w:val="clear" w:color="auto" w:fill="FFFFFF"/>
        </w:rPr>
      </w:pPr>
      <w:r w:rsidRPr="00931024">
        <w:rPr>
          <w:sz w:val="22"/>
          <w:shd w:val="clear" w:color="auto" w:fill="FFFFFF"/>
          <w:lang w:val="en-US"/>
        </w:rPr>
        <w:t xml:space="preserve">Levi, D. S., </w:t>
      </w:r>
      <w:proofErr w:type="spellStart"/>
      <w:r w:rsidRPr="00931024">
        <w:rPr>
          <w:sz w:val="22"/>
          <w:shd w:val="clear" w:color="auto" w:fill="FFFFFF"/>
          <w:lang w:val="en-US"/>
        </w:rPr>
        <w:t>Kaminsky</w:t>
      </w:r>
      <w:proofErr w:type="spellEnd"/>
      <w:r w:rsidRPr="00931024">
        <w:rPr>
          <w:sz w:val="22"/>
          <w:shd w:val="clear" w:color="auto" w:fill="FFFFFF"/>
          <w:lang w:val="en-US"/>
        </w:rPr>
        <w:t>, P., &amp; Levi, E. S. (2003). </w:t>
      </w:r>
      <w:r w:rsidRPr="00931024">
        <w:rPr>
          <w:i/>
          <w:iCs/>
          <w:sz w:val="22"/>
          <w:shd w:val="clear" w:color="auto" w:fill="FFFFFF"/>
          <w:lang w:val="en-US"/>
        </w:rPr>
        <w:t>Designing and managing the supply chain: Concepts, strategies, and case studies</w:t>
      </w:r>
      <w:r w:rsidRPr="00931024">
        <w:rPr>
          <w:sz w:val="22"/>
          <w:shd w:val="clear" w:color="auto" w:fill="FFFFFF"/>
          <w:lang w:val="en-US"/>
        </w:rPr>
        <w:t xml:space="preserve">. </w:t>
      </w:r>
      <w:r w:rsidRPr="00931024">
        <w:rPr>
          <w:sz w:val="22"/>
          <w:shd w:val="clear" w:color="auto" w:fill="FFFFFF"/>
        </w:rPr>
        <w:t>McGraw-Hill.</w:t>
      </w:r>
    </w:p>
    <w:p w:rsidR="00AD1456" w:rsidRPr="00931024" w:rsidRDefault="002C7DF1" w:rsidP="005E7D4B">
      <w:pPr>
        <w:spacing w:line="200" w:lineRule="exact"/>
        <w:jc w:val="left"/>
        <w:rPr>
          <w:sz w:val="22"/>
          <w:shd w:val="clear" w:color="auto" w:fill="FFFFFF"/>
        </w:rPr>
      </w:pPr>
      <w:r w:rsidRPr="00931024">
        <w:rPr>
          <w:sz w:val="22"/>
          <w:shd w:val="clear" w:color="auto" w:fill="FFFFFF"/>
          <w:lang w:val="en-US"/>
        </w:rPr>
        <w:t xml:space="preserve">Stank, T. P., Keller, S. B., &amp; </w:t>
      </w:r>
      <w:proofErr w:type="spellStart"/>
      <w:r w:rsidRPr="00931024">
        <w:rPr>
          <w:sz w:val="22"/>
          <w:shd w:val="clear" w:color="auto" w:fill="FFFFFF"/>
          <w:lang w:val="en-US"/>
        </w:rPr>
        <w:t>Closs</w:t>
      </w:r>
      <w:proofErr w:type="spellEnd"/>
      <w:r w:rsidRPr="00931024">
        <w:rPr>
          <w:sz w:val="22"/>
          <w:shd w:val="clear" w:color="auto" w:fill="FFFFFF"/>
          <w:lang w:val="en-US"/>
        </w:rPr>
        <w:t>, D. J. (2001). Performance benefits of supply chain logistical integration. </w:t>
      </w:r>
      <w:proofErr w:type="spellStart"/>
      <w:r w:rsidRPr="00931024">
        <w:rPr>
          <w:i/>
          <w:iCs/>
          <w:sz w:val="22"/>
          <w:shd w:val="clear" w:color="auto" w:fill="FFFFFF"/>
        </w:rPr>
        <w:t>Transportation</w:t>
      </w:r>
      <w:proofErr w:type="spellEnd"/>
      <w:r w:rsidRPr="00931024">
        <w:rPr>
          <w:i/>
          <w:iCs/>
          <w:sz w:val="22"/>
          <w:shd w:val="clear" w:color="auto" w:fill="FFFFFF"/>
        </w:rPr>
        <w:t xml:space="preserve"> </w:t>
      </w:r>
      <w:proofErr w:type="spellStart"/>
      <w:r w:rsidRPr="00931024">
        <w:rPr>
          <w:i/>
          <w:iCs/>
          <w:sz w:val="22"/>
          <w:shd w:val="clear" w:color="auto" w:fill="FFFFFF"/>
        </w:rPr>
        <w:t>Journal</w:t>
      </w:r>
      <w:proofErr w:type="spellEnd"/>
      <w:r w:rsidRPr="00931024">
        <w:rPr>
          <w:sz w:val="22"/>
          <w:shd w:val="clear" w:color="auto" w:fill="FFFFFF"/>
        </w:rPr>
        <w:t>, 32-46.</w:t>
      </w:r>
    </w:p>
    <w:p w:rsidR="00071EE2" w:rsidRPr="00931024" w:rsidRDefault="00B56347" w:rsidP="005E7D4B">
      <w:pPr>
        <w:spacing w:line="200" w:lineRule="exact"/>
        <w:jc w:val="left"/>
        <w:rPr>
          <w:sz w:val="22"/>
          <w:shd w:val="clear" w:color="auto" w:fill="FFFFFF"/>
        </w:rPr>
      </w:pPr>
      <w:r w:rsidRPr="00931024">
        <w:rPr>
          <w:sz w:val="22"/>
          <w:shd w:val="clear" w:color="auto" w:fill="FFFFFF"/>
        </w:rPr>
        <w:t>SOUZA, B. D., &amp; ROCHA, W. (2009). GCI-Gestão de Custos Interorganizacionais: Gerenciamento de resultados entre organizações distintas por meio de ações coordenadas. </w:t>
      </w:r>
      <w:r w:rsidRPr="00931024">
        <w:rPr>
          <w:i/>
          <w:iCs/>
          <w:sz w:val="22"/>
          <w:shd w:val="clear" w:color="auto" w:fill="FFFFFF"/>
        </w:rPr>
        <w:t>São Paulo: Atlas</w:t>
      </w:r>
      <w:r w:rsidRPr="00931024">
        <w:rPr>
          <w:sz w:val="22"/>
          <w:shd w:val="clear" w:color="auto" w:fill="FFFFFF"/>
        </w:rPr>
        <w:t>.</w:t>
      </w:r>
    </w:p>
    <w:p w:rsidR="007B6535" w:rsidRPr="00931024" w:rsidRDefault="004561A5" w:rsidP="005E7D4B">
      <w:pPr>
        <w:spacing w:line="200" w:lineRule="exact"/>
        <w:jc w:val="left"/>
        <w:rPr>
          <w:sz w:val="22"/>
          <w:shd w:val="clear" w:color="auto" w:fill="FFFFFF"/>
        </w:rPr>
      </w:pPr>
      <w:r w:rsidRPr="00931024">
        <w:rPr>
          <w:sz w:val="22"/>
          <w:shd w:val="clear" w:color="auto" w:fill="FFFFFF"/>
        </w:rPr>
        <w:t xml:space="preserve">Souza, M. A., Braga, A. V., &amp; </w:t>
      </w:r>
      <w:proofErr w:type="spellStart"/>
      <w:r w:rsidRPr="00931024">
        <w:rPr>
          <w:sz w:val="22"/>
          <w:shd w:val="clear" w:color="auto" w:fill="FFFFFF"/>
        </w:rPr>
        <w:t>Krombauer</w:t>
      </w:r>
      <w:proofErr w:type="spellEnd"/>
      <w:r w:rsidRPr="00931024">
        <w:rPr>
          <w:sz w:val="22"/>
          <w:shd w:val="clear" w:color="auto" w:fill="FFFFFF"/>
        </w:rPr>
        <w:t>, C. A. (2014). Mapeamento da gestão de custos interorganizacionais: uma meta-análise envolvendo pesquisadores, métodos e discussões. </w:t>
      </w:r>
      <w:proofErr w:type="spellStart"/>
      <w:r w:rsidRPr="00931024">
        <w:rPr>
          <w:i/>
          <w:iCs/>
          <w:sz w:val="22"/>
          <w:shd w:val="clear" w:color="auto" w:fill="FFFFFF"/>
        </w:rPr>
        <w:t>ConTexto</w:t>
      </w:r>
      <w:proofErr w:type="spellEnd"/>
      <w:r w:rsidRPr="00931024">
        <w:rPr>
          <w:sz w:val="22"/>
          <w:shd w:val="clear" w:color="auto" w:fill="FFFFFF"/>
        </w:rPr>
        <w:t>, </w:t>
      </w:r>
      <w:r w:rsidRPr="00931024">
        <w:rPr>
          <w:i/>
          <w:iCs/>
          <w:sz w:val="22"/>
          <w:shd w:val="clear" w:color="auto" w:fill="FFFFFF"/>
        </w:rPr>
        <w:t>14</w:t>
      </w:r>
      <w:r w:rsidRPr="00931024">
        <w:rPr>
          <w:sz w:val="22"/>
          <w:shd w:val="clear" w:color="auto" w:fill="FFFFFF"/>
        </w:rPr>
        <w:t>(28).</w:t>
      </w:r>
    </w:p>
    <w:p w:rsidR="00B22487" w:rsidRPr="00931024" w:rsidRDefault="004F3846" w:rsidP="005E7D4B">
      <w:pPr>
        <w:spacing w:line="200" w:lineRule="exact"/>
        <w:jc w:val="left"/>
        <w:rPr>
          <w:sz w:val="22"/>
          <w:shd w:val="clear" w:color="auto" w:fill="FFFFFF"/>
        </w:rPr>
      </w:pPr>
      <w:proofErr w:type="spellStart"/>
      <w:r w:rsidRPr="00931024">
        <w:rPr>
          <w:sz w:val="22"/>
          <w:shd w:val="clear" w:color="auto" w:fill="FFFFFF"/>
        </w:rPr>
        <w:t>Teece</w:t>
      </w:r>
      <w:proofErr w:type="spellEnd"/>
      <w:r w:rsidRPr="00931024">
        <w:rPr>
          <w:sz w:val="22"/>
          <w:shd w:val="clear" w:color="auto" w:fill="FFFFFF"/>
        </w:rPr>
        <w:t xml:space="preserve">, D. J., </w:t>
      </w:r>
      <w:proofErr w:type="spellStart"/>
      <w:r w:rsidRPr="00931024">
        <w:rPr>
          <w:sz w:val="22"/>
          <w:shd w:val="clear" w:color="auto" w:fill="FFFFFF"/>
        </w:rPr>
        <w:t>Pisano</w:t>
      </w:r>
      <w:proofErr w:type="spellEnd"/>
      <w:r w:rsidRPr="00931024">
        <w:rPr>
          <w:sz w:val="22"/>
          <w:shd w:val="clear" w:color="auto" w:fill="FFFFFF"/>
        </w:rPr>
        <w:t xml:space="preserve">, G., &amp; </w:t>
      </w:r>
      <w:proofErr w:type="spellStart"/>
      <w:r w:rsidRPr="00931024">
        <w:rPr>
          <w:sz w:val="22"/>
          <w:shd w:val="clear" w:color="auto" w:fill="FFFFFF"/>
        </w:rPr>
        <w:t>Shuen</w:t>
      </w:r>
      <w:proofErr w:type="spellEnd"/>
      <w:r w:rsidRPr="00931024">
        <w:rPr>
          <w:sz w:val="22"/>
          <w:shd w:val="clear" w:color="auto" w:fill="FFFFFF"/>
        </w:rPr>
        <w:t xml:space="preserve">, A. (1997). </w:t>
      </w:r>
      <w:r w:rsidRPr="00931024">
        <w:rPr>
          <w:sz w:val="22"/>
          <w:shd w:val="clear" w:color="auto" w:fill="FFFFFF"/>
          <w:lang w:val="en-US"/>
        </w:rPr>
        <w:t>Dynamic capabilities and strategic management. </w:t>
      </w:r>
      <w:proofErr w:type="spellStart"/>
      <w:r w:rsidRPr="00931024">
        <w:rPr>
          <w:i/>
          <w:iCs/>
          <w:sz w:val="22"/>
          <w:shd w:val="clear" w:color="auto" w:fill="FFFFFF"/>
        </w:rPr>
        <w:t>Strategic</w:t>
      </w:r>
      <w:proofErr w:type="spellEnd"/>
      <w:r w:rsidRPr="00931024">
        <w:rPr>
          <w:i/>
          <w:iCs/>
          <w:sz w:val="22"/>
          <w:shd w:val="clear" w:color="auto" w:fill="FFFFFF"/>
        </w:rPr>
        <w:t xml:space="preserve"> management </w:t>
      </w:r>
      <w:proofErr w:type="spellStart"/>
      <w:r w:rsidRPr="00931024">
        <w:rPr>
          <w:i/>
          <w:iCs/>
          <w:sz w:val="22"/>
          <w:shd w:val="clear" w:color="auto" w:fill="FFFFFF"/>
        </w:rPr>
        <w:t>journal</w:t>
      </w:r>
      <w:proofErr w:type="spellEnd"/>
      <w:r w:rsidRPr="00931024">
        <w:rPr>
          <w:sz w:val="22"/>
          <w:shd w:val="clear" w:color="auto" w:fill="FFFFFF"/>
        </w:rPr>
        <w:t>, 509-533.</w:t>
      </w:r>
    </w:p>
    <w:p w:rsidR="004F3846" w:rsidRPr="00931024" w:rsidRDefault="0030438D" w:rsidP="005E7D4B">
      <w:pPr>
        <w:autoSpaceDE w:val="0"/>
        <w:autoSpaceDN w:val="0"/>
        <w:adjustRightInd w:val="0"/>
        <w:spacing w:line="200" w:lineRule="exact"/>
        <w:jc w:val="left"/>
        <w:rPr>
          <w:sz w:val="22"/>
          <w:shd w:val="clear" w:color="auto" w:fill="FFFFFF"/>
          <w:lang w:val="en-US"/>
        </w:rPr>
      </w:pPr>
      <w:r w:rsidRPr="00931024">
        <w:rPr>
          <w:sz w:val="22"/>
          <w:shd w:val="clear" w:color="auto" w:fill="FFFFFF"/>
          <w:lang w:val="en-US"/>
        </w:rPr>
        <w:t xml:space="preserve">Tsai, W. (2001). Knowledge transfer in </w:t>
      </w:r>
      <w:proofErr w:type="spellStart"/>
      <w:r w:rsidRPr="00931024">
        <w:rPr>
          <w:sz w:val="22"/>
          <w:shd w:val="clear" w:color="auto" w:fill="FFFFFF"/>
          <w:lang w:val="en-US"/>
        </w:rPr>
        <w:t>intraorganizational</w:t>
      </w:r>
      <w:proofErr w:type="spellEnd"/>
      <w:r w:rsidRPr="00931024">
        <w:rPr>
          <w:sz w:val="22"/>
          <w:shd w:val="clear" w:color="auto" w:fill="FFFFFF"/>
          <w:lang w:val="en-US"/>
        </w:rPr>
        <w:t xml:space="preserve"> networks: Effects of network position and absorptive capacity on business unit innovation and performance. </w:t>
      </w:r>
      <w:r w:rsidRPr="00931024">
        <w:rPr>
          <w:i/>
          <w:iCs/>
          <w:sz w:val="22"/>
          <w:shd w:val="clear" w:color="auto" w:fill="FFFFFF"/>
          <w:lang w:val="en-US"/>
        </w:rPr>
        <w:t>Academy of management journal</w:t>
      </w:r>
      <w:r w:rsidRPr="00931024">
        <w:rPr>
          <w:sz w:val="22"/>
          <w:shd w:val="clear" w:color="auto" w:fill="FFFFFF"/>
          <w:lang w:val="en-US"/>
        </w:rPr>
        <w:t>, </w:t>
      </w:r>
      <w:r w:rsidRPr="00931024">
        <w:rPr>
          <w:i/>
          <w:iCs/>
          <w:sz w:val="22"/>
          <w:shd w:val="clear" w:color="auto" w:fill="FFFFFF"/>
          <w:lang w:val="en-US"/>
        </w:rPr>
        <w:t>44</w:t>
      </w:r>
      <w:r w:rsidRPr="00931024">
        <w:rPr>
          <w:sz w:val="22"/>
          <w:shd w:val="clear" w:color="auto" w:fill="FFFFFF"/>
          <w:lang w:val="en-US"/>
        </w:rPr>
        <w:t>(5), 996-1004.</w:t>
      </w:r>
    </w:p>
    <w:p w:rsidR="00DF69E7" w:rsidRPr="00931024" w:rsidRDefault="00C400B3" w:rsidP="005E7D4B">
      <w:pPr>
        <w:autoSpaceDE w:val="0"/>
        <w:autoSpaceDN w:val="0"/>
        <w:adjustRightInd w:val="0"/>
        <w:spacing w:line="200" w:lineRule="exact"/>
        <w:jc w:val="left"/>
        <w:rPr>
          <w:sz w:val="22"/>
          <w:shd w:val="clear" w:color="auto" w:fill="FFFFFF"/>
        </w:rPr>
      </w:pPr>
      <w:proofErr w:type="spellStart"/>
      <w:r w:rsidRPr="00931024">
        <w:rPr>
          <w:sz w:val="22"/>
          <w:shd w:val="clear" w:color="auto" w:fill="FFFFFF"/>
          <w:lang w:val="en-US"/>
        </w:rPr>
        <w:t>Tu</w:t>
      </w:r>
      <w:proofErr w:type="spellEnd"/>
      <w:r w:rsidRPr="00931024">
        <w:rPr>
          <w:sz w:val="22"/>
          <w:shd w:val="clear" w:color="auto" w:fill="FFFFFF"/>
          <w:lang w:val="en-US"/>
        </w:rPr>
        <w:t>, Q., Vonderembse, M. A., Ragu-Nathan, T. S., &amp; Sharkey, T. W. (2006). Absorptive capacity: Enhancing the assimilation of time-based manufacturing practices. </w:t>
      </w:r>
      <w:proofErr w:type="spellStart"/>
      <w:r w:rsidRPr="00931024">
        <w:rPr>
          <w:i/>
          <w:iCs/>
          <w:sz w:val="22"/>
          <w:shd w:val="clear" w:color="auto" w:fill="FFFFFF"/>
        </w:rPr>
        <w:t>Journal</w:t>
      </w:r>
      <w:proofErr w:type="spellEnd"/>
      <w:r w:rsidRPr="00931024">
        <w:rPr>
          <w:i/>
          <w:iCs/>
          <w:sz w:val="22"/>
          <w:shd w:val="clear" w:color="auto" w:fill="FFFFFF"/>
        </w:rPr>
        <w:t xml:space="preserve"> </w:t>
      </w:r>
      <w:proofErr w:type="spellStart"/>
      <w:r w:rsidRPr="00931024">
        <w:rPr>
          <w:i/>
          <w:iCs/>
          <w:sz w:val="22"/>
          <w:shd w:val="clear" w:color="auto" w:fill="FFFFFF"/>
        </w:rPr>
        <w:t>of</w:t>
      </w:r>
      <w:proofErr w:type="spellEnd"/>
      <w:r w:rsidRPr="00931024">
        <w:rPr>
          <w:i/>
          <w:iCs/>
          <w:sz w:val="22"/>
          <w:shd w:val="clear" w:color="auto" w:fill="FFFFFF"/>
        </w:rPr>
        <w:t xml:space="preserve"> </w:t>
      </w:r>
      <w:proofErr w:type="spellStart"/>
      <w:r w:rsidRPr="00931024">
        <w:rPr>
          <w:i/>
          <w:iCs/>
          <w:sz w:val="22"/>
          <w:shd w:val="clear" w:color="auto" w:fill="FFFFFF"/>
        </w:rPr>
        <w:t>operations</w:t>
      </w:r>
      <w:proofErr w:type="spellEnd"/>
      <w:r w:rsidRPr="00931024">
        <w:rPr>
          <w:i/>
          <w:iCs/>
          <w:sz w:val="22"/>
          <w:shd w:val="clear" w:color="auto" w:fill="FFFFFF"/>
        </w:rPr>
        <w:t xml:space="preserve"> management</w:t>
      </w:r>
      <w:r w:rsidRPr="00931024">
        <w:rPr>
          <w:sz w:val="22"/>
          <w:shd w:val="clear" w:color="auto" w:fill="FFFFFF"/>
        </w:rPr>
        <w:t>, </w:t>
      </w:r>
      <w:r w:rsidRPr="00931024">
        <w:rPr>
          <w:i/>
          <w:iCs/>
          <w:sz w:val="22"/>
          <w:shd w:val="clear" w:color="auto" w:fill="FFFFFF"/>
        </w:rPr>
        <w:t>24</w:t>
      </w:r>
      <w:r w:rsidRPr="00931024">
        <w:rPr>
          <w:sz w:val="22"/>
          <w:shd w:val="clear" w:color="auto" w:fill="FFFFFF"/>
        </w:rPr>
        <w:t>(5), 692-710.</w:t>
      </w:r>
    </w:p>
    <w:p w:rsidR="002131F4" w:rsidRPr="00931024" w:rsidRDefault="007362BD" w:rsidP="005E7D4B">
      <w:pPr>
        <w:autoSpaceDE w:val="0"/>
        <w:autoSpaceDN w:val="0"/>
        <w:adjustRightInd w:val="0"/>
        <w:spacing w:line="200" w:lineRule="exact"/>
        <w:jc w:val="left"/>
        <w:rPr>
          <w:sz w:val="22"/>
          <w:shd w:val="clear" w:color="auto" w:fill="FFFFFF"/>
          <w:lang w:val="en-US"/>
        </w:rPr>
      </w:pPr>
      <w:r w:rsidRPr="00931024">
        <w:rPr>
          <w:sz w:val="22"/>
          <w:shd w:val="clear" w:color="auto" w:fill="FFFFFF"/>
          <w:lang w:val="en-US"/>
        </w:rPr>
        <w:t xml:space="preserve">Vickery, S. K., </w:t>
      </w:r>
      <w:proofErr w:type="spellStart"/>
      <w:r w:rsidRPr="00931024">
        <w:rPr>
          <w:sz w:val="22"/>
          <w:shd w:val="clear" w:color="auto" w:fill="FFFFFF"/>
          <w:lang w:val="en-US"/>
        </w:rPr>
        <w:t>Jayaram</w:t>
      </w:r>
      <w:proofErr w:type="spellEnd"/>
      <w:r w:rsidRPr="00931024">
        <w:rPr>
          <w:sz w:val="22"/>
          <w:shd w:val="clear" w:color="auto" w:fill="FFFFFF"/>
          <w:lang w:val="en-US"/>
        </w:rPr>
        <w:t xml:space="preserve">, J., </w:t>
      </w:r>
      <w:proofErr w:type="spellStart"/>
      <w:r w:rsidRPr="00931024">
        <w:rPr>
          <w:sz w:val="22"/>
          <w:shd w:val="clear" w:color="auto" w:fill="FFFFFF"/>
          <w:lang w:val="en-US"/>
        </w:rPr>
        <w:t>Droge</w:t>
      </w:r>
      <w:proofErr w:type="spellEnd"/>
      <w:r w:rsidRPr="00931024">
        <w:rPr>
          <w:sz w:val="22"/>
          <w:shd w:val="clear" w:color="auto" w:fill="FFFFFF"/>
          <w:lang w:val="en-US"/>
        </w:rPr>
        <w:t xml:space="preserve">, C., &amp; </w:t>
      </w:r>
      <w:proofErr w:type="spellStart"/>
      <w:r w:rsidRPr="00931024">
        <w:rPr>
          <w:sz w:val="22"/>
          <w:shd w:val="clear" w:color="auto" w:fill="FFFFFF"/>
          <w:lang w:val="en-US"/>
        </w:rPr>
        <w:t>Calantone</w:t>
      </w:r>
      <w:proofErr w:type="spellEnd"/>
      <w:r w:rsidRPr="00931024">
        <w:rPr>
          <w:sz w:val="22"/>
          <w:shd w:val="clear" w:color="auto" w:fill="FFFFFF"/>
          <w:lang w:val="en-US"/>
        </w:rPr>
        <w:t>, R. (2003). The effects of an integrative supply chain strategy on customer service and financial performance: an analysis of direct versus indirect relationships. </w:t>
      </w:r>
      <w:r w:rsidRPr="00931024">
        <w:rPr>
          <w:i/>
          <w:iCs/>
          <w:sz w:val="22"/>
          <w:shd w:val="clear" w:color="auto" w:fill="FFFFFF"/>
          <w:lang w:val="en-US"/>
        </w:rPr>
        <w:t>Journal of operations management</w:t>
      </w:r>
      <w:r w:rsidRPr="00931024">
        <w:rPr>
          <w:sz w:val="22"/>
          <w:shd w:val="clear" w:color="auto" w:fill="FFFFFF"/>
          <w:lang w:val="en-US"/>
        </w:rPr>
        <w:t>, </w:t>
      </w:r>
      <w:r w:rsidRPr="00931024">
        <w:rPr>
          <w:i/>
          <w:iCs/>
          <w:sz w:val="22"/>
          <w:shd w:val="clear" w:color="auto" w:fill="FFFFFF"/>
          <w:lang w:val="en-US"/>
        </w:rPr>
        <w:t>21</w:t>
      </w:r>
      <w:r w:rsidRPr="00931024">
        <w:rPr>
          <w:sz w:val="22"/>
          <w:shd w:val="clear" w:color="auto" w:fill="FFFFFF"/>
          <w:lang w:val="en-US"/>
        </w:rPr>
        <w:t>(5), 523-539.</w:t>
      </w:r>
    </w:p>
    <w:p w:rsidR="00382797" w:rsidRPr="00931024" w:rsidRDefault="00BB4E33" w:rsidP="005E7D4B">
      <w:pPr>
        <w:autoSpaceDE w:val="0"/>
        <w:autoSpaceDN w:val="0"/>
        <w:adjustRightInd w:val="0"/>
        <w:spacing w:line="200" w:lineRule="exact"/>
        <w:jc w:val="left"/>
        <w:rPr>
          <w:sz w:val="22"/>
          <w:shd w:val="clear" w:color="auto" w:fill="FFFFFF"/>
        </w:rPr>
      </w:pPr>
      <w:r w:rsidRPr="00931024">
        <w:rPr>
          <w:sz w:val="22"/>
          <w:shd w:val="clear" w:color="auto" w:fill="FFFFFF"/>
          <w:lang w:val="en-US"/>
        </w:rPr>
        <w:t>Ward, P., &amp; Zhou, H. (2006). Impact of information technology integration and lean/just</w:t>
      </w:r>
      <w:r w:rsidRPr="00931024">
        <w:rPr>
          <w:rFonts w:ascii="Cambria Math" w:hAnsi="Cambria Math" w:cs="Cambria Math"/>
          <w:sz w:val="22"/>
          <w:shd w:val="clear" w:color="auto" w:fill="FFFFFF"/>
          <w:lang w:val="en-US"/>
        </w:rPr>
        <w:t>‐</w:t>
      </w:r>
      <w:r w:rsidRPr="00931024">
        <w:rPr>
          <w:sz w:val="22"/>
          <w:shd w:val="clear" w:color="auto" w:fill="FFFFFF"/>
          <w:lang w:val="en-US"/>
        </w:rPr>
        <w:t>in</w:t>
      </w:r>
      <w:r w:rsidRPr="00931024">
        <w:rPr>
          <w:rFonts w:ascii="Cambria Math" w:hAnsi="Cambria Math" w:cs="Cambria Math"/>
          <w:sz w:val="22"/>
          <w:shd w:val="clear" w:color="auto" w:fill="FFFFFF"/>
          <w:lang w:val="en-US"/>
        </w:rPr>
        <w:t>‐</w:t>
      </w:r>
      <w:r w:rsidRPr="00931024">
        <w:rPr>
          <w:sz w:val="22"/>
          <w:shd w:val="clear" w:color="auto" w:fill="FFFFFF"/>
          <w:lang w:val="en-US"/>
        </w:rPr>
        <w:t>time practices on lead</w:t>
      </w:r>
      <w:r w:rsidRPr="00931024">
        <w:rPr>
          <w:rFonts w:ascii="Cambria Math" w:hAnsi="Cambria Math" w:cs="Cambria Math"/>
          <w:sz w:val="22"/>
          <w:shd w:val="clear" w:color="auto" w:fill="FFFFFF"/>
          <w:lang w:val="en-US"/>
        </w:rPr>
        <w:t>‐</w:t>
      </w:r>
      <w:r w:rsidRPr="00931024">
        <w:rPr>
          <w:sz w:val="22"/>
          <w:shd w:val="clear" w:color="auto" w:fill="FFFFFF"/>
          <w:lang w:val="en-US"/>
        </w:rPr>
        <w:t>time performance. </w:t>
      </w:r>
      <w:proofErr w:type="spellStart"/>
      <w:r w:rsidRPr="00931024">
        <w:rPr>
          <w:i/>
          <w:iCs/>
          <w:sz w:val="22"/>
          <w:shd w:val="clear" w:color="auto" w:fill="FFFFFF"/>
        </w:rPr>
        <w:t>Decision</w:t>
      </w:r>
      <w:proofErr w:type="spellEnd"/>
      <w:r w:rsidRPr="00931024">
        <w:rPr>
          <w:i/>
          <w:iCs/>
          <w:sz w:val="22"/>
          <w:shd w:val="clear" w:color="auto" w:fill="FFFFFF"/>
        </w:rPr>
        <w:t xml:space="preserve"> </w:t>
      </w:r>
      <w:proofErr w:type="spellStart"/>
      <w:r w:rsidRPr="00931024">
        <w:rPr>
          <w:i/>
          <w:iCs/>
          <w:sz w:val="22"/>
          <w:shd w:val="clear" w:color="auto" w:fill="FFFFFF"/>
        </w:rPr>
        <w:t>Sciences</w:t>
      </w:r>
      <w:proofErr w:type="spellEnd"/>
      <w:r w:rsidRPr="00931024">
        <w:rPr>
          <w:sz w:val="22"/>
          <w:shd w:val="clear" w:color="auto" w:fill="FFFFFF"/>
        </w:rPr>
        <w:t>, </w:t>
      </w:r>
      <w:r w:rsidRPr="00931024">
        <w:rPr>
          <w:i/>
          <w:iCs/>
          <w:sz w:val="22"/>
          <w:shd w:val="clear" w:color="auto" w:fill="FFFFFF"/>
        </w:rPr>
        <w:t>37</w:t>
      </w:r>
      <w:r w:rsidRPr="00931024">
        <w:rPr>
          <w:sz w:val="22"/>
          <w:shd w:val="clear" w:color="auto" w:fill="FFFFFF"/>
        </w:rPr>
        <w:t>(2), 177-203.</w:t>
      </w:r>
    </w:p>
    <w:p w:rsidR="007A4465" w:rsidRPr="00931024" w:rsidRDefault="00D36383" w:rsidP="005E7D4B">
      <w:pPr>
        <w:autoSpaceDE w:val="0"/>
        <w:autoSpaceDN w:val="0"/>
        <w:adjustRightInd w:val="0"/>
        <w:spacing w:line="200" w:lineRule="exact"/>
        <w:jc w:val="left"/>
        <w:rPr>
          <w:sz w:val="22"/>
          <w:shd w:val="clear" w:color="auto" w:fill="FFFFFF"/>
        </w:rPr>
      </w:pPr>
      <w:r w:rsidRPr="00931024">
        <w:rPr>
          <w:sz w:val="22"/>
          <w:shd w:val="clear" w:color="auto" w:fill="FFFFFF"/>
          <w:lang w:val="en-US"/>
        </w:rPr>
        <w:t xml:space="preserve">Wei, C. P., Yang, C. S., Peng, C. H., Wang, H. F., &amp; Chang, C. M. (2015, July). Applying Technological Resource-Based View for Strategic Alliance Formation Prediction. </w:t>
      </w:r>
      <w:r w:rsidRPr="00931024">
        <w:rPr>
          <w:sz w:val="22"/>
          <w:shd w:val="clear" w:color="auto" w:fill="FFFFFF"/>
        </w:rPr>
        <w:t>In </w:t>
      </w:r>
      <w:r w:rsidRPr="00931024">
        <w:rPr>
          <w:i/>
          <w:iCs/>
          <w:sz w:val="22"/>
          <w:shd w:val="clear" w:color="auto" w:fill="FFFFFF"/>
        </w:rPr>
        <w:t>PACIS</w:t>
      </w:r>
      <w:r w:rsidRPr="00931024">
        <w:rPr>
          <w:sz w:val="22"/>
          <w:shd w:val="clear" w:color="auto" w:fill="FFFFFF"/>
        </w:rPr>
        <w:t> (p. 166).</w:t>
      </w:r>
    </w:p>
    <w:p w:rsidR="00F1388C" w:rsidRPr="00931024" w:rsidRDefault="003B6C58" w:rsidP="005E7D4B">
      <w:pPr>
        <w:autoSpaceDE w:val="0"/>
        <w:autoSpaceDN w:val="0"/>
        <w:adjustRightInd w:val="0"/>
        <w:spacing w:line="200" w:lineRule="exact"/>
        <w:jc w:val="left"/>
        <w:rPr>
          <w:sz w:val="22"/>
          <w:shd w:val="clear" w:color="auto" w:fill="FFFFFF"/>
          <w:lang w:val="en-US"/>
        </w:rPr>
      </w:pPr>
      <w:r w:rsidRPr="00931024">
        <w:rPr>
          <w:sz w:val="22"/>
          <w:shd w:val="clear" w:color="auto" w:fill="FFFFFF"/>
          <w:lang w:val="en-US"/>
        </w:rPr>
        <w:t>Williamson, O. E. (1985). </w:t>
      </w:r>
      <w:r w:rsidRPr="00931024">
        <w:rPr>
          <w:i/>
          <w:iCs/>
          <w:sz w:val="22"/>
          <w:shd w:val="clear" w:color="auto" w:fill="FFFFFF"/>
          <w:lang w:val="en-US"/>
        </w:rPr>
        <w:t>The economic institutions of capitalism: firms, markets, relational contracting</w:t>
      </w:r>
      <w:r w:rsidRPr="00931024">
        <w:rPr>
          <w:sz w:val="22"/>
          <w:shd w:val="clear" w:color="auto" w:fill="FFFFFF"/>
          <w:lang w:val="en-US"/>
        </w:rPr>
        <w:t>. New York: The Free Press.</w:t>
      </w:r>
    </w:p>
    <w:p w:rsidR="00AA08F7" w:rsidRPr="00931024" w:rsidRDefault="0079080F" w:rsidP="005E7D4B">
      <w:pPr>
        <w:autoSpaceDE w:val="0"/>
        <w:autoSpaceDN w:val="0"/>
        <w:adjustRightInd w:val="0"/>
        <w:spacing w:line="200" w:lineRule="exact"/>
        <w:jc w:val="left"/>
        <w:rPr>
          <w:sz w:val="22"/>
          <w:shd w:val="clear" w:color="auto" w:fill="FFFFFF"/>
        </w:rPr>
      </w:pPr>
      <w:proofErr w:type="spellStart"/>
      <w:r w:rsidRPr="00931024">
        <w:rPr>
          <w:sz w:val="22"/>
          <w:shd w:val="clear" w:color="auto" w:fill="FFFFFF"/>
          <w:lang w:val="en-US"/>
        </w:rPr>
        <w:t>Winkelbach</w:t>
      </w:r>
      <w:proofErr w:type="spellEnd"/>
      <w:r w:rsidRPr="00931024">
        <w:rPr>
          <w:sz w:val="22"/>
          <w:shd w:val="clear" w:color="auto" w:fill="FFFFFF"/>
          <w:lang w:val="en-US"/>
        </w:rPr>
        <w:t>, A., &amp; Walter, A. (2015). Complex technological knowledge and value creation in science-to-industry technology transfer projects: The moderating effect of absorptive capacity. </w:t>
      </w:r>
      <w:r w:rsidRPr="00931024">
        <w:rPr>
          <w:i/>
          <w:iCs/>
          <w:sz w:val="22"/>
          <w:shd w:val="clear" w:color="auto" w:fill="FFFFFF"/>
        </w:rPr>
        <w:t>Industrial Marketing Management</w:t>
      </w:r>
      <w:r w:rsidRPr="00931024">
        <w:rPr>
          <w:sz w:val="22"/>
          <w:shd w:val="clear" w:color="auto" w:fill="FFFFFF"/>
        </w:rPr>
        <w:t>, </w:t>
      </w:r>
      <w:r w:rsidRPr="00931024">
        <w:rPr>
          <w:i/>
          <w:iCs/>
          <w:sz w:val="22"/>
          <w:shd w:val="clear" w:color="auto" w:fill="FFFFFF"/>
        </w:rPr>
        <w:t>47</w:t>
      </w:r>
      <w:r w:rsidRPr="00931024">
        <w:rPr>
          <w:sz w:val="22"/>
          <w:shd w:val="clear" w:color="auto" w:fill="FFFFFF"/>
        </w:rPr>
        <w:t>, 98-108.</w:t>
      </w:r>
    </w:p>
    <w:p w:rsidR="00610CE9" w:rsidRPr="00931024" w:rsidRDefault="00D103D4" w:rsidP="005E7D4B">
      <w:pPr>
        <w:autoSpaceDE w:val="0"/>
        <w:autoSpaceDN w:val="0"/>
        <w:adjustRightInd w:val="0"/>
        <w:spacing w:line="200" w:lineRule="exact"/>
        <w:jc w:val="left"/>
        <w:rPr>
          <w:sz w:val="22"/>
          <w:shd w:val="clear" w:color="auto" w:fill="FFFFFF"/>
        </w:rPr>
      </w:pPr>
      <w:proofErr w:type="spellStart"/>
      <w:r w:rsidRPr="00931024">
        <w:rPr>
          <w:sz w:val="22"/>
          <w:shd w:val="clear" w:color="auto" w:fill="FFFFFF"/>
        </w:rPr>
        <w:t>Zancan</w:t>
      </w:r>
      <w:proofErr w:type="spellEnd"/>
      <w:r w:rsidRPr="00931024">
        <w:rPr>
          <w:sz w:val="22"/>
          <w:shd w:val="clear" w:color="auto" w:fill="FFFFFF"/>
        </w:rPr>
        <w:t>, C., da Cruz Freire dos Santos, P., Silva Costa, A. C., &amp; Tavares da Cruz, N. J. (2013). Condicionantes de consolidação de redes de cooperação interorganizacional: um estudo de caso sobre o Rio Grande do Sul. </w:t>
      </w:r>
      <w:r w:rsidRPr="00931024">
        <w:rPr>
          <w:i/>
          <w:iCs/>
          <w:sz w:val="22"/>
          <w:shd w:val="clear" w:color="auto" w:fill="FFFFFF"/>
        </w:rPr>
        <w:t>Revista de Administração Pública-RAP</w:t>
      </w:r>
      <w:r w:rsidRPr="00931024">
        <w:rPr>
          <w:sz w:val="22"/>
          <w:shd w:val="clear" w:color="auto" w:fill="FFFFFF"/>
        </w:rPr>
        <w:t>, </w:t>
      </w:r>
      <w:r w:rsidRPr="00931024">
        <w:rPr>
          <w:i/>
          <w:iCs/>
          <w:sz w:val="22"/>
          <w:shd w:val="clear" w:color="auto" w:fill="FFFFFF"/>
        </w:rPr>
        <w:t>47</w:t>
      </w:r>
      <w:r w:rsidRPr="00931024">
        <w:rPr>
          <w:sz w:val="22"/>
          <w:shd w:val="clear" w:color="auto" w:fill="FFFFFF"/>
        </w:rPr>
        <w:t>(3).</w:t>
      </w:r>
    </w:p>
    <w:p w:rsidR="00D53BF9" w:rsidRPr="00931024" w:rsidRDefault="00D103D4" w:rsidP="005E7D4B">
      <w:pPr>
        <w:spacing w:line="200" w:lineRule="exact"/>
        <w:jc w:val="left"/>
        <w:rPr>
          <w:rFonts w:eastAsia="Times New Roman"/>
          <w:sz w:val="22"/>
          <w:lang w:eastAsia="pt-BR"/>
        </w:rPr>
      </w:pPr>
      <w:r w:rsidRPr="00931024">
        <w:rPr>
          <w:sz w:val="22"/>
          <w:shd w:val="clear" w:color="auto" w:fill="FFFFFF"/>
          <w:lang w:val="en-US"/>
        </w:rPr>
        <w:t xml:space="preserve"> </w:t>
      </w:r>
      <w:r w:rsidR="00D53BF9" w:rsidRPr="00D53BF9">
        <w:rPr>
          <w:rFonts w:eastAsia="Times New Roman"/>
          <w:sz w:val="22"/>
          <w:lang w:val="en-US" w:eastAsia="pt-BR"/>
        </w:rPr>
        <w:t>Zahra, S. A., &amp; George, G. (2002). Absorptive capacity: A review, reconceptualization, and extension. </w:t>
      </w:r>
      <w:proofErr w:type="spellStart"/>
      <w:r w:rsidR="00D53BF9" w:rsidRPr="00D53BF9">
        <w:rPr>
          <w:rFonts w:eastAsia="Times New Roman"/>
          <w:i/>
          <w:iCs/>
          <w:sz w:val="22"/>
          <w:lang w:eastAsia="pt-BR"/>
        </w:rPr>
        <w:t>Academy</w:t>
      </w:r>
      <w:proofErr w:type="spellEnd"/>
      <w:r w:rsidR="00D53BF9" w:rsidRPr="00D53BF9">
        <w:rPr>
          <w:rFonts w:eastAsia="Times New Roman"/>
          <w:i/>
          <w:iCs/>
          <w:sz w:val="22"/>
          <w:lang w:eastAsia="pt-BR"/>
        </w:rPr>
        <w:t xml:space="preserve"> </w:t>
      </w:r>
      <w:proofErr w:type="spellStart"/>
      <w:r w:rsidR="00D53BF9" w:rsidRPr="00D53BF9">
        <w:rPr>
          <w:rFonts w:eastAsia="Times New Roman"/>
          <w:i/>
          <w:iCs/>
          <w:sz w:val="22"/>
          <w:lang w:eastAsia="pt-BR"/>
        </w:rPr>
        <w:t>of</w:t>
      </w:r>
      <w:proofErr w:type="spellEnd"/>
      <w:r w:rsidR="00D53BF9" w:rsidRPr="00D53BF9">
        <w:rPr>
          <w:rFonts w:eastAsia="Times New Roman"/>
          <w:i/>
          <w:iCs/>
          <w:sz w:val="22"/>
          <w:lang w:eastAsia="pt-BR"/>
        </w:rPr>
        <w:t xml:space="preserve"> management </w:t>
      </w:r>
      <w:proofErr w:type="spellStart"/>
      <w:r w:rsidR="00D53BF9" w:rsidRPr="00D53BF9">
        <w:rPr>
          <w:rFonts w:eastAsia="Times New Roman"/>
          <w:i/>
          <w:iCs/>
          <w:sz w:val="22"/>
          <w:lang w:eastAsia="pt-BR"/>
        </w:rPr>
        <w:t>review</w:t>
      </w:r>
      <w:proofErr w:type="spellEnd"/>
      <w:r w:rsidR="00D53BF9" w:rsidRPr="00D53BF9">
        <w:rPr>
          <w:rFonts w:eastAsia="Times New Roman"/>
          <w:sz w:val="22"/>
          <w:lang w:eastAsia="pt-BR"/>
        </w:rPr>
        <w:t>, </w:t>
      </w:r>
      <w:r w:rsidR="00D53BF9" w:rsidRPr="00D53BF9">
        <w:rPr>
          <w:rFonts w:eastAsia="Times New Roman"/>
          <w:i/>
          <w:iCs/>
          <w:sz w:val="22"/>
          <w:lang w:eastAsia="pt-BR"/>
        </w:rPr>
        <w:t>27</w:t>
      </w:r>
      <w:r w:rsidR="00D53BF9" w:rsidRPr="00D53BF9">
        <w:rPr>
          <w:rFonts w:eastAsia="Times New Roman"/>
          <w:sz w:val="22"/>
          <w:lang w:eastAsia="pt-BR"/>
        </w:rPr>
        <w:t>(2), 185-203.</w:t>
      </w:r>
    </w:p>
    <w:p w:rsidR="00C420D0" w:rsidRPr="00931024" w:rsidRDefault="005330E9" w:rsidP="005E7D4B">
      <w:pPr>
        <w:autoSpaceDE w:val="0"/>
        <w:autoSpaceDN w:val="0"/>
        <w:adjustRightInd w:val="0"/>
        <w:spacing w:line="200" w:lineRule="exact"/>
        <w:jc w:val="left"/>
        <w:rPr>
          <w:sz w:val="22"/>
          <w:shd w:val="clear" w:color="auto" w:fill="FFFFFF"/>
        </w:rPr>
      </w:pPr>
      <w:r w:rsidRPr="00931024">
        <w:rPr>
          <w:sz w:val="22"/>
          <w:shd w:val="clear" w:color="auto" w:fill="FFFFFF"/>
          <w:lang w:val="en-US"/>
        </w:rPr>
        <w:t xml:space="preserve">Zen, A. C., </w:t>
      </w:r>
      <w:proofErr w:type="spellStart"/>
      <w:r w:rsidRPr="00931024">
        <w:rPr>
          <w:sz w:val="22"/>
          <w:shd w:val="clear" w:color="auto" w:fill="FFFFFF"/>
          <w:lang w:val="en-US"/>
        </w:rPr>
        <w:t>Dalmoro</w:t>
      </w:r>
      <w:proofErr w:type="spellEnd"/>
      <w:r w:rsidRPr="00931024">
        <w:rPr>
          <w:sz w:val="22"/>
          <w:shd w:val="clear" w:color="auto" w:fill="FFFFFF"/>
          <w:lang w:val="en-US"/>
        </w:rPr>
        <w:t xml:space="preserve">, M., </w:t>
      </w:r>
      <w:proofErr w:type="spellStart"/>
      <w:r w:rsidRPr="00931024">
        <w:rPr>
          <w:sz w:val="22"/>
          <w:shd w:val="clear" w:color="auto" w:fill="FFFFFF"/>
          <w:lang w:val="en-US"/>
        </w:rPr>
        <w:t>Fensterseifer</w:t>
      </w:r>
      <w:proofErr w:type="spellEnd"/>
      <w:r w:rsidRPr="00931024">
        <w:rPr>
          <w:sz w:val="22"/>
          <w:shd w:val="clear" w:color="auto" w:fill="FFFFFF"/>
          <w:lang w:val="en-US"/>
        </w:rPr>
        <w:t xml:space="preserve">, J. E., &amp; Wegner, D. (2013). </w:t>
      </w:r>
      <w:r w:rsidRPr="00931024">
        <w:rPr>
          <w:sz w:val="22"/>
          <w:shd w:val="clear" w:color="auto" w:fill="FFFFFF"/>
        </w:rPr>
        <w:t xml:space="preserve">O desenvolvimento de recursos em redes interorganizacionais e o processo de internacionalização: o caso </w:t>
      </w:r>
      <w:proofErr w:type="spellStart"/>
      <w:r w:rsidRPr="00931024">
        <w:rPr>
          <w:sz w:val="22"/>
          <w:shd w:val="clear" w:color="auto" w:fill="FFFFFF"/>
        </w:rPr>
        <w:t>Wines</w:t>
      </w:r>
      <w:proofErr w:type="spellEnd"/>
      <w:r w:rsidRPr="00931024">
        <w:rPr>
          <w:sz w:val="22"/>
          <w:shd w:val="clear" w:color="auto" w:fill="FFFFFF"/>
        </w:rPr>
        <w:t xml:space="preserve"> </w:t>
      </w:r>
      <w:proofErr w:type="spellStart"/>
      <w:r w:rsidRPr="00931024">
        <w:rPr>
          <w:sz w:val="22"/>
          <w:shd w:val="clear" w:color="auto" w:fill="FFFFFF"/>
        </w:rPr>
        <w:t>of</w:t>
      </w:r>
      <w:proofErr w:type="spellEnd"/>
      <w:r w:rsidRPr="00931024">
        <w:rPr>
          <w:sz w:val="22"/>
          <w:shd w:val="clear" w:color="auto" w:fill="FFFFFF"/>
        </w:rPr>
        <w:t xml:space="preserve"> Brasil. </w:t>
      </w:r>
      <w:r w:rsidRPr="00931024">
        <w:rPr>
          <w:i/>
          <w:iCs/>
          <w:sz w:val="22"/>
          <w:shd w:val="clear" w:color="auto" w:fill="FFFFFF"/>
        </w:rPr>
        <w:t>Revista Ibero-Americana de Estratégia</w:t>
      </w:r>
      <w:r w:rsidRPr="00931024">
        <w:rPr>
          <w:sz w:val="22"/>
          <w:shd w:val="clear" w:color="auto" w:fill="FFFFFF"/>
        </w:rPr>
        <w:t>, </w:t>
      </w:r>
      <w:r w:rsidRPr="00931024">
        <w:rPr>
          <w:i/>
          <w:iCs/>
          <w:sz w:val="22"/>
          <w:shd w:val="clear" w:color="auto" w:fill="FFFFFF"/>
        </w:rPr>
        <w:t>12</w:t>
      </w:r>
      <w:r w:rsidRPr="00931024">
        <w:rPr>
          <w:sz w:val="22"/>
          <w:shd w:val="clear" w:color="auto" w:fill="FFFFFF"/>
        </w:rPr>
        <w:t>(1), 107.</w:t>
      </w:r>
    </w:p>
    <w:p w:rsidR="002F17FE" w:rsidRPr="0085232E" w:rsidRDefault="002F17FE" w:rsidP="001560CA">
      <w:pPr>
        <w:spacing w:line="200" w:lineRule="exact"/>
        <w:jc w:val="left"/>
        <w:rPr>
          <w:rFonts w:eastAsia="Times New Roman"/>
          <w:sz w:val="22"/>
          <w:lang w:eastAsia="pt-BR"/>
        </w:rPr>
      </w:pPr>
      <w:proofErr w:type="spellStart"/>
      <w:r w:rsidRPr="002F17FE">
        <w:rPr>
          <w:rFonts w:eastAsia="Times New Roman"/>
          <w:sz w:val="22"/>
          <w:lang w:eastAsia="pt-BR"/>
        </w:rPr>
        <w:t>Zhou</w:t>
      </w:r>
      <w:proofErr w:type="spellEnd"/>
      <w:r w:rsidRPr="002F17FE">
        <w:rPr>
          <w:rFonts w:eastAsia="Times New Roman"/>
          <w:sz w:val="22"/>
          <w:lang w:eastAsia="pt-BR"/>
        </w:rPr>
        <w:t xml:space="preserve">, H., &amp; </w:t>
      </w:r>
      <w:proofErr w:type="spellStart"/>
      <w:r w:rsidRPr="002F17FE">
        <w:rPr>
          <w:rFonts w:eastAsia="Times New Roman"/>
          <w:sz w:val="22"/>
          <w:lang w:eastAsia="pt-BR"/>
        </w:rPr>
        <w:t>Benton</w:t>
      </w:r>
      <w:proofErr w:type="spellEnd"/>
      <w:r w:rsidRPr="002F17FE">
        <w:rPr>
          <w:rFonts w:eastAsia="Times New Roman"/>
          <w:sz w:val="22"/>
          <w:lang w:eastAsia="pt-BR"/>
        </w:rPr>
        <w:t xml:space="preserve">, W. C. (2007). </w:t>
      </w:r>
      <w:r w:rsidRPr="002F17FE">
        <w:rPr>
          <w:rFonts w:eastAsia="Times New Roman"/>
          <w:sz w:val="22"/>
          <w:lang w:val="en-US" w:eastAsia="pt-BR"/>
        </w:rPr>
        <w:t>Supply chain practice and information sharing. </w:t>
      </w:r>
      <w:proofErr w:type="spellStart"/>
      <w:r w:rsidR="001560CA">
        <w:rPr>
          <w:rFonts w:eastAsia="Times New Roman"/>
          <w:i/>
          <w:iCs/>
          <w:sz w:val="22"/>
          <w:lang w:eastAsia="pt-BR"/>
        </w:rPr>
        <w:t>Journal</w:t>
      </w:r>
      <w:proofErr w:type="spellEnd"/>
      <w:r w:rsidR="001560CA">
        <w:rPr>
          <w:rFonts w:eastAsia="Times New Roman"/>
          <w:i/>
          <w:iCs/>
          <w:sz w:val="22"/>
          <w:lang w:eastAsia="pt-BR"/>
        </w:rPr>
        <w:t xml:space="preserve"> </w:t>
      </w:r>
      <w:proofErr w:type="spellStart"/>
      <w:r w:rsidR="001560CA">
        <w:rPr>
          <w:rFonts w:eastAsia="Times New Roman"/>
          <w:i/>
          <w:iCs/>
          <w:sz w:val="22"/>
          <w:lang w:eastAsia="pt-BR"/>
        </w:rPr>
        <w:t>of</w:t>
      </w:r>
      <w:proofErr w:type="spellEnd"/>
      <w:r w:rsidR="001560CA">
        <w:rPr>
          <w:rFonts w:eastAsia="Times New Roman"/>
          <w:i/>
          <w:iCs/>
          <w:sz w:val="22"/>
          <w:lang w:eastAsia="pt-BR"/>
        </w:rPr>
        <w:t xml:space="preserve"> </w:t>
      </w:r>
      <w:proofErr w:type="spellStart"/>
      <w:r w:rsidRPr="002F17FE">
        <w:rPr>
          <w:rFonts w:eastAsia="Times New Roman"/>
          <w:i/>
          <w:iCs/>
          <w:sz w:val="22"/>
          <w:lang w:eastAsia="pt-BR"/>
        </w:rPr>
        <w:t>Operations</w:t>
      </w:r>
      <w:proofErr w:type="spellEnd"/>
      <w:r w:rsidRPr="002F17FE">
        <w:rPr>
          <w:rFonts w:eastAsia="Times New Roman"/>
          <w:i/>
          <w:iCs/>
          <w:sz w:val="22"/>
          <w:lang w:eastAsia="pt-BR"/>
        </w:rPr>
        <w:t xml:space="preserve"> management</w:t>
      </w:r>
      <w:r w:rsidRPr="002F17FE">
        <w:rPr>
          <w:rFonts w:eastAsia="Times New Roman"/>
          <w:sz w:val="22"/>
          <w:lang w:eastAsia="pt-BR"/>
        </w:rPr>
        <w:t>, </w:t>
      </w:r>
      <w:r w:rsidRPr="002F17FE">
        <w:rPr>
          <w:rFonts w:eastAsia="Times New Roman"/>
          <w:i/>
          <w:iCs/>
          <w:sz w:val="22"/>
          <w:lang w:eastAsia="pt-BR"/>
        </w:rPr>
        <w:t>25</w:t>
      </w:r>
      <w:r w:rsidRPr="002F17FE">
        <w:rPr>
          <w:rFonts w:eastAsia="Times New Roman"/>
          <w:sz w:val="22"/>
          <w:lang w:eastAsia="pt-BR"/>
        </w:rPr>
        <w:t>(6), 1348-1365.</w:t>
      </w:r>
    </w:p>
    <w:sectPr w:rsidR="002F17FE" w:rsidRPr="0085232E" w:rsidSect="008D4BF8">
      <w:headerReference w:type="default" r:id="rId9"/>
      <w:footerReference w:type="default" r:id="rId10"/>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61B6" w:rsidRDefault="000E61B6" w:rsidP="004D3BFF">
      <w:r>
        <w:separator/>
      </w:r>
    </w:p>
  </w:endnote>
  <w:endnote w:type="continuationSeparator" w:id="0">
    <w:p w:rsidR="000E61B6" w:rsidRDefault="000E61B6" w:rsidP="004D3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9B2" w:rsidRDefault="003559B2">
    <w:pPr>
      <w:pStyle w:val="Rodap"/>
    </w:pPr>
    <w:r>
      <w:rPr>
        <w:noProof/>
        <w:lang w:eastAsia="pt-BR"/>
      </w:rPr>
      <w:drawing>
        <wp:anchor distT="0" distB="0" distL="114300" distR="114300" simplePos="0" relativeHeight="251659264" behindDoc="1" locked="0" layoutInCell="1" allowOverlap="1" wp14:anchorId="12D79963" wp14:editId="742415BF">
          <wp:simplePos x="0" y="0"/>
          <wp:positionH relativeFrom="margin">
            <wp:posOffset>310515</wp:posOffset>
          </wp:positionH>
          <wp:positionV relativeFrom="paragraph">
            <wp:posOffset>134620</wp:posOffset>
          </wp:positionV>
          <wp:extent cx="5257800" cy="419100"/>
          <wp:effectExtent l="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396440" cy="430151"/>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61B6" w:rsidRDefault="000E61B6" w:rsidP="004D3BFF">
      <w:r>
        <w:separator/>
      </w:r>
    </w:p>
  </w:footnote>
  <w:footnote w:type="continuationSeparator" w:id="0">
    <w:p w:rsidR="000E61B6" w:rsidRDefault="000E61B6" w:rsidP="004D3B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9772790"/>
      <w:docPartObj>
        <w:docPartGallery w:val="Page Numbers (Top of Page)"/>
        <w:docPartUnique/>
      </w:docPartObj>
    </w:sdtPr>
    <w:sdtEndPr/>
    <w:sdtContent>
      <w:p w:rsidR="003559B2" w:rsidRDefault="003559B2">
        <w:pPr>
          <w:pStyle w:val="Cabealho"/>
          <w:jc w:val="right"/>
        </w:pPr>
        <w:r>
          <w:rPr>
            <w:noProof/>
            <w:lang w:eastAsia="pt-BR"/>
          </w:rPr>
          <w:drawing>
            <wp:inline distT="0" distB="0" distL="0" distR="0" wp14:anchorId="305E0FA4" wp14:editId="238AE48A">
              <wp:extent cx="5881355" cy="653415"/>
              <wp:effectExtent l="0" t="0" r="571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6054559" cy="672658"/>
                      </a:xfrm>
                      <a:prstGeom prst="rect">
                        <a:avLst/>
                      </a:prstGeom>
                    </pic:spPr>
                  </pic:pic>
                </a:graphicData>
              </a:graphic>
            </wp:inline>
          </w:drawing>
        </w:r>
      </w:p>
    </w:sdtContent>
  </w:sdt>
  <w:p w:rsidR="003559B2" w:rsidRDefault="003559B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C76EB"/>
    <w:multiLevelType w:val="hybridMultilevel"/>
    <w:tmpl w:val="1B3AF6AA"/>
    <w:lvl w:ilvl="0" w:tplc="5D4CCB00">
      <w:start w:val="1"/>
      <w:numFmt w:val="decimal"/>
      <w:pStyle w:val="Ttulo3"/>
      <w:lvlText w:val="%1.1.1"/>
      <w:lvlJc w:val="left"/>
      <w:pPr>
        <w:ind w:left="720" w:hanging="360"/>
      </w:pPr>
      <w:rPr>
        <w:rFonts w:ascii="Times New Roman" w:hAnsi="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192AA6"/>
    <w:multiLevelType w:val="multilevel"/>
    <w:tmpl w:val="D326133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58472A6"/>
    <w:multiLevelType w:val="hybridMultilevel"/>
    <w:tmpl w:val="21087DD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5260B2C"/>
    <w:multiLevelType w:val="hybridMultilevel"/>
    <w:tmpl w:val="11067366"/>
    <w:lvl w:ilvl="0" w:tplc="336AE9CA">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132"/>
    <w:rsid w:val="00002D62"/>
    <w:rsid w:val="000039AB"/>
    <w:rsid w:val="000041D3"/>
    <w:rsid w:val="000072E3"/>
    <w:rsid w:val="000073ED"/>
    <w:rsid w:val="0002127A"/>
    <w:rsid w:val="00026FFF"/>
    <w:rsid w:val="00031CF7"/>
    <w:rsid w:val="000326D4"/>
    <w:rsid w:val="00037361"/>
    <w:rsid w:val="00044B9E"/>
    <w:rsid w:val="000474E0"/>
    <w:rsid w:val="00054E2A"/>
    <w:rsid w:val="0005730A"/>
    <w:rsid w:val="00057764"/>
    <w:rsid w:val="00064130"/>
    <w:rsid w:val="00071EE2"/>
    <w:rsid w:val="000720C4"/>
    <w:rsid w:val="00073A4A"/>
    <w:rsid w:val="00075299"/>
    <w:rsid w:val="0007569A"/>
    <w:rsid w:val="00075E18"/>
    <w:rsid w:val="000761FA"/>
    <w:rsid w:val="00076E94"/>
    <w:rsid w:val="000868F4"/>
    <w:rsid w:val="00087299"/>
    <w:rsid w:val="0009032C"/>
    <w:rsid w:val="000A0FC0"/>
    <w:rsid w:val="000A143E"/>
    <w:rsid w:val="000A3EEF"/>
    <w:rsid w:val="000A7CAB"/>
    <w:rsid w:val="000B08FA"/>
    <w:rsid w:val="000B1CB4"/>
    <w:rsid w:val="000B295A"/>
    <w:rsid w:val="000B4F38"/>
    <w:rsid w:val="000B6EE0"/>
    <w:rsid w:val="000C1154"/>
    <w:rsid w:val="000C3F2B"/>
    <w:rsid w:val="000D041C"/>
    <w:rsid w:val="000D2798"/>
    <w:rsid w:val="000E1295"/>
    <w:rsid w:val="000E4385"/>
    <w:rsid w:val="000E4B7F"/>
    <w:rsid w:val="000E61B6"/>
    <w:rsid w:val="000F2D1E"/>
    <w:rsid w:val="000F4B6C"/>
    <w:rsid w:val="000F621D"/>
    <w:rsid w:val="001002B3"/>
    <w:rsid w:val="00102FCF"/>
    <w:rsid w:val="00103113"/>
    <w:rsid w:val="0010594D"/>
    <w:rsid w:val="00106EB7"/>
    <w:rsid w:val="00111D90"/>
    <w:rsid w:val="00112D78"/>
    <w:rsid w:val="00113218"/>
    <w:rsid w:val="001168E6"/>
    <w:rsid w:val="001311D4"/>
    <w:rsid w:val="00133373"/>
    <w:rsid w:val="00136DF6"/>
    <w:rsid w:val="001404F2"/>
    <w:rsid w:val="00144601"/>
    <w:rsid w:val="001560CA"/>
    <w:rsid w:val="0015672A"/>
    <w:rsid w:val="00156BA3"/>
    <w:rsid w:val="001641D1"/>
    <w:rsid w:val="0016656F"/>
    <w:rsid w:val="001722BD"/>
    <w:rsid w:val="0017351D"/>
    <w:rsid w:val="00174589"/>
    <w:rsid w:val="0017554B"/>
    <w:rsid w:val="001777B8"/>
    <w:rsid w:val="001908DC"/>
    <w:rsid w:val="00190A95"/>
    <w:rsid w:val="00192480"/>
    <w:rsid w:val="00195CCE"/>
    <w:rsid w:val="001A2A4C"/>
    <w:rsid w:val="001A6879"/>
    <w:rsid w:val="001A73E0"/>
    <w:rsid w:val="001B35F2"/>
    <w:rsid w:val="001B7ECE"/>
    <w:rsid w:val="001C3B60"/>
    <w:rsid w:val="001D007F"/>
    <w:rsid w:val="001D25D9"/>
    <w:rsid w:val="001D79E2"/>
    <w:rsid w:val="001E35BA"/>
    <w:rsid w:val="001E36DD"/>
    <w:rsid w:val="001E45F3"/>
    <w:rsid w:val="001E56A0"/>
    <w:rsid w:val="001E5A69"/>
    <w:rsid w:val="001F422A"/>
    <w:rsid w:val="001F58CD"/>
    <w:rsid w:val="001F7F8E"/>
    <w:rsid w:val="00202C14"/>
    <w:rsid w:val="00203C6C"/>
    <w:rsid w:val="0020565B"/>
    <w:rsid w:val="002131F4"/>
    <w:rsid w:val="00220967"/>
    <w:rsid w:val="00226CDE"/>
    <w:rsid w:val="00226D7E"/>
    <w:rsid w:val="002412AB"/>
    <w:rsid w:val="00246963"/>
    <w:rsid w:val="002520C9"/>
    <w:rsid w:val="0025608B"/>
    <w:rsid w:val="00257585"/>
    <w:rsid w:val="00264345"/>
    <w:rsid w:val="00265904"/>
    <w:rsid w:val="002721B8"/>
    <w:rsid w:val="00276FA3"/>
    <w:rsid w:val="00286E1E"/>
    <w:rsid w:val="00291DD4"/>
    <w:rsid w:val="00292581"/>
    <w:rsid w:val="00292BAC"/>
    <w:rsid w:val="00293B9D"/>
    <w:rsid w:val="002A34F0"/>
    <w:rsid w:val="002A39E6"/>
    <w:rsid w:val="002A52F0"/>
    <w:rsid w:val="002A64E0"/>
    <w:rsid w:val="002B30CA"/>
    <w:rsid w:val="002B36F0"/>
    <w:rsid w:val="002B3BD2"/>
    <w:rsid w:val="002B3EBD"/>
    <w:rsid w:val="002B4196"/>
    <w:rsid w:val="002C0761"/>
    <w:rsid w:val="002C3622"/>
    <w:rsid w:val="002C3AEC"/>
    <w:rsid w:val="002C51A6"/>
    <w:rsid w:val="002C62B8"/>
    <w:rsid w:val="002C7DF1"/>
    <w:rsid w:val="002E36A8"/>
    <w:rsid w:val="002F17FE"/>
    <w:rsid w:val="002F2AA7"/>
    <w:rsid w:val="002F48F9"/>
    <w:rsid w:val="002F5C48"/>
    <w:rsid w:val="002F622E"/>
    <w:rsid w:val="002F780D"/>
    <w:rsid w:val="00302EA4"/>
    <w:rsid w:val="00303317"/>
    <w:rsid w:val="00303C8B"/>
    <w:rsid w:val="0030438D"/>
    <w:rsid w:val="00304ED6"/>
    <w:rsid w:val="00316520"/>
    <w:rsid w:val="00316622"/>
    <w:rsid w:val="003228EE"/>
    <w:rsid w:val="00322A32"/>
    <w:rsid w:val="00330BEC"/>
    <w:rsid w:val="00331784"/>
    <w:rsid w:val="003317E5"/>
    <w:rsid w:val="003403C6"/>
    <w:rsid w:val="00340452"/>
    <w:rsid w:val="00341E7D"/>
    <w:rsid w:val="003439AC"/>
    <w:rsid w:val="003559B2"/>
    <w:rsid w:val="003574D8"/>
    <w:rsid w:val="00357BAF"/>
    <w:rsid w:val="00364D8C"/>
    <w:rsid w:val="00367E04"/>
    <w:rsid w:val="00373C12"/>
    <w:rsid w:val="00374E95"/>
    <w:rsid w:val="003807DF"/>
    <w:rsid w:val="0038163A"/>
    <w:rsid w:val="00382797"/>
    <w:rsid w:val="00385055"/>
    <w:rsid w:val="00386DD5"/>
    <w:rsid w:val="0039182E"/>
    <w:rsid w:val="00392393"/>
    <w:rsid w:val="00392BA6"/>
    <w:rsid w:val="00396AD3"/>
    <w:rsid w:val="003A50DF"/>
    <w:rsid w:val="003B0381"/>
    <w:rsid w:val="003B1E89"/>
    <w:rsid w:val="003B5F68"/>
    <w:rsid w:val="003B679F"/>
    <w:rsid w:val="003B6C58"/>
    <w:rsid w:val="003B7E85"/>
    <w:rsid w:val="003C023D"/>
    <w:rsid w:val="003C425A"/>
    <w:rsid w:val="003D10C8"/>
    <w:rsid w:val="003D4A09"/>
    <w:rsid w:val="003D5DBB"/>
    <w:rsid w:val="003E0D05"/>
    <w:rsid w:val="003E2177"/>
    <w:rsid w:val="003E4576"/>
    <w:rsid w:val="003E4A52"/>
    <w:rsid w:val="003E60C1"/>
    <w:rsid w:val="003E7834"/>
    <w:rsid w:val="003F0248"/>
    <w:rsid w:val="003F44F5"/>
    <w:rsid w:val="00401F88"/>
    <w:rsid w:val="00404AC4"/>
    <w:rsid w:val="00416F69"/>
    <w:rsid w:val="004174CC"/>
    <w:rsid w:val="0042260E"/>
    <w:rsid w:val="00423B05"/>
    <w:rsid w:val="00424A77"/>
    <w:rsid w:val="0042502E"/>
    <w:rsid w:val="00425C11"/>
    <w:rsid w:val="004268DC"/>
    <w:rsid w:val="0044326B"/>
    <w:rsid w:val="00445C65"/>
    <w:rsid w:val="00446499"/>
    <w:rsid w:val="004466A0"/>
    <w:rsid w:val="004561A5"/>
    <w:rsid w:val="004620E5"/>
    <w:rsid w:val="00467B0F"/>
    <w:rsid w:val="00476D73"/>
    <w:rsid w:val="004804FF"/>
    <w:rsid w:val="00480BF0"/>
    <w:rsid w:val="0048288B"/>
    <w:rsid w:val="004849DF"/>
    <w:rsid w:val="00486950"/>
    <w:rsid w:val="004878C6"/>
    <w:rsid w:val="00492088"/>
    <w:rsid w:val="004A09F9"/>
    <w:rsid w:val="004A40B6"/>
    <w:rsid w:val="004A534D"/>
    <w:rsid w:val="004A73E4"/>
    <w:rsid w:val="004B14D5"/>
    <w:rsid w:val="004B2D81"/>
    <w:rsid w:val="004B55EB"/>
    <w:rsid w:val="004B6B40"/>
    <w:rsid w:val="004B7742"/>
    <w:rsid w:val="004C0902"/>
    <w:rsid w:val="004C11D4"/>
    <w:rsid w:val="004C497E"/>
    <w:rsid w:val="004C4FCA"/>
    <w:rsid w:val="004D30DA"/>
    <w:rsid w:val="004D385C"/>
    <w:rsid w:val="004D3BFF"/>
    <w:rsid w:val="004D3D44"/>
    <w:rsid w:val="004D5697"/>
    <w:rsid w:val="004D5CED"/>
    <w:rsid w:val="004E0050"/>
    <w:rsid w:val="004E0764"/>
    <w:rsid w:val="004E1A1F"/>
    <w:rsid w:val="004F3431"/>
    <w:rsid w:val="004F3846"/>
    <w:rsid w:val="004F423A"/>
    <w:rsid w:val="004F5FDA"/>
    <w:rsid w:val="004F78CA"/>
    <w:rsid w:val="005036E7"/>
    <w:rsid w:val="00503C8C"/>
    <w:rsid w:val="00507F38"/>
    <w:rsid w:val="00511410"/>
    <w:rsid w:val="005122EA"/>
    <w:rsid w:val="00514767"/>
    <w:rsid w:val="00515EE0"/>
    <w:rsid w:val="00516062"/>
    <w:rsid w:val="0051668D"/>
    <w:rsid w:val="005224DA"/>
    <w:rsid w:val="00525DD8"/>
    <w:rsid w:val="005274C4"/>
    <w:rsid w:val="00530DD7"/>
    <w:rsid w:val="005330E9"/>
    <w:rsid w:val="0053350E"/>
    <w:rsid w:val="00533694"/>
    <w:rsid w:val="00536EF7"/>
    <w:rsid w:val="005401D2"/>
    <w:rsid w:val="00541E13"/>
    <w:rsid w:val="00541E6E"/>
    <w:rsid w:val="00553B02"/>
    <w:rsid w:val="00553F4B"/>
    <w:rsid w:val="00555A0E"/>
    <w:rsid w:val="0056205E"/>
    <w:rsid w:val="00563A4C"/>
    <w:rsid w:val="00564128"/>
    <w:rsid w:val="00566FD1"/>
    <w:rsid w:val="005674B3"/>
    <w:rsid w:val="00567BB0"/>
    <w:rsid w:val="005826AB"/>
    <w:rsid w:val="005828C8"/>
    <w:rsid w:val="00584479"/>
    <w:rsid w:val="00586DA9"/>
    <w:rsid w:val="00590109"/>
    <w:rsid w:val="0059030A"/>
    <w:rsid w:val="00591DB9"/>
    <w:rsid w:val="005955A3"/>
    <w:rsid w:val="005A0DA6"/>
    <w:rsid w:val="005A132B"/>
    <w:rsid w:val="005A2ED5"/>
    <w:rsid w:val="005A4906"/>
    <w:rsid w:val="005B12CE"/>
    <w:rsid w:val="005B1AA3"/>
    <w:rsid w:val="005C270E"/>
    <w:rsid w:val="005C6157"/>
    <w:rsid w:val="005D5C64"/>
    <w:rsid w:val="005E6303"/>
    <w:rsid w:val="005E7D4B"/>
    <w:rsid w:val="005F0047"/>
    <w:rsid w:val="005F52E0"/>
    <w:rsid w:val="00602735"/>
    <w:rsid w:val="006033C4"/>
    <w:rsid w:val="0060376C"/>
    <w:rsid w:val="006056DE"/>
    <w:rsid w:val="00610CE9"/>
    <w:rsid w:val="006114E9"/>
    <w:rsid w:val="00614940"/>
    <w:rsid w:val="0061564C"/>
    <w:rsid w:val="00616DB7"/>
    <w:rsid w:val="00617471"/>
    <w:rsid w:val="00621C5E"/>
    <w:rsid w:val="00622183"/>
    <w:rsid w:val="00622203"/>
    <w:rsid w:val="00622315"/>
    <w:rsid w:val="006269A6"/>
    <w:rsid w:val="00627E3D"/>
    <w:rsid w:val="00631044"/>
    <w:rsid w:val="00634E7C"/>
    <w:rsid w:val="00641922"/>
    <w:rsid w:val="0064395A"/>
    <w:rsid w:val="00645DD6"/>
    <w:rsid w:val="00646A10"/>
    <w:rsid w:val="00660691"/>
    <w:rsid w:val="00660A84"/>
    <w:rsid w:val="00661607"/>
    <w:rsid w:val="006703A9"/>
    <w:rsid w:val="00671DC1"/>
    <w:rsid w:val="0067275F"/>
    <w:rsid w:val="00674135"/>
    <w:rsid w:val="00683AF8"/>
    <w:rsid w:val="00692934"/>
    <w:rsid w:val="00692DB3"/>
    <w:rsid w:val="006A3FFB"/>
    <w:rsid w:val="006B100F"/>
    <w:rsid w:val="006B135E"/>
    <w:rsid w:val="006C10E7"/>
    <w:rsid w:val="006C25AC"/>
    <w:rsid w:val="006C419F"/>
    <w:rsid w:val="006C499C"/>
    <w:rsid w:val="006C6DC1"/>
    <w:rsid w:val="006D2BC1"/>
    <w:rsid w:val="006D3BF8"/>
    <w:rsid w:val="006F01C4"/>
    <w:rsid w:val="006F4007"/>
    <w:rsid w:val="006F5D2D"/>
    <w:rsid w:val="006F68F2"/>
    <w:rsid w:val="006F75B4"/>
    <w:rsid w:val="007048B8"/>
    <w:rsid w:val="00706093"/>
    <w:rsid w:val="007119D7"/>
    <w:rsid w:val="00712C50"/>
    <w:rsid w:val="00722FCE"/>
    <w:rsid w:val="007239E2"/>
    <w:rsid w:val="0072425B"/>
    <w:rsid w:val="007312EC"/>
    <w:rsid w:val="00732342"/>
    <w:rsid w:val="00732F1A"/>
    <w:rsid w:val="00733A02"/>
    <w:rsid w:val="00735829"/>
    <w:rsid w:val="007362BD"/>
    <w:rsid w:val="00741F84"/>
    <w:rsid w:val="007430D9"/>
    <w:rsid w:val="0074380A"/>
    <w:rsid w:val="00744E14"/>
    <w:rsid w:val="00745837"/>
    <w:rsid w:val="0074749F"/>
    <w:rsid w:val="00747557"/>
    <w:rsid w:val="00747C8D"/>
    <w:rsid w:val="00756292"/>
    <w:rsid w:val="007622A0"/>
    <w:rsid w:val="00766F59"/>
    <w:rsid w:val="0076711C"/>
    <w:rsid w:val="00771465"/>
    <w:rsid w:val="00774295"/>
    <w:rsid w:val="007756A3"/>
    <w:rsid w:val="007768E2"/>
    <w:rsid w:val="00782E0D"/>
    <w:rsid w:val="0078475F"/>
    <w:rsid w:val="00785CB3"/>
    <w:rsid w:val="00786ED2"/>
    <w:rsid w:val="0079080F"/>
    <w:rsid w:val="00790FFD"/>
    <w:rsid w:val="007A3385"/>
    <w:rsid w:val="007A4465"/>
    <w:rsid w:val="007A6F75"/>
    <w:rsid w:val="007A78BB"/>
    <w:rsid w:val="007B0A5D"/>
    <w:rsid w:val="007B6535"/>
    <w:rsid w:val="007B798C"/>
    <w:rsid w:val="007C7226"/>
    <w:rsid w:val="007D011C"/>
    <w:rsid w:val="007D08A4"/>
    <w:rsid w:val="007D2E57"/>
    <w:rsid w:val="007D3F1F"/>
    <w:rsid w:val="007D457B"/>
    <w:rsid w:val="007E0189"/>
    <w:rsid w:val="007E3F13"/>
    <w:rsid w:val="007E79E1"/>
    <w:rsid w:val="007F0645"/>
    <w:rsid w:val="007F38FD"/>
    <w:rsid w:val="007F62BA"/>
    <w:rsid w:val="007F66DC"/>
    <w:rsid w:val="007F6786"/>
    <w:rsid w:val="00801133"/>
    <w:rsid w:val="00801DED"/>
    <w:rsid w:val="00803427"/>
    <w:rsid w:val="00803550"/>
    <w:rsid w:val="00803B1B"/>
    <w:rsid w:val="0080547E"/>
    <w:rsid w:val="008161C7"/>
    <w:rsid w:val="008215A8"/>
    <w:rsid w:val="008244E5"/>
    <w:rsid w:val="00824740"/>
    <w:rsid w:val="00827DEA"/>
    <w:rsid w:val="0085034F"/>
    <w:rsid w:val="0085232E"/>
    <w:rsid w:val="00853A66"/>
    <w:rsid w:val="00857B3F"/>
    <w:rsid w:val="00860CCC"/>
    <w:rsid w:val="00863AB4"/>
    <w:rsid w:val="0086498B"/>
    <w:rsid w:val="00866A33"/>
    <w:rsid w:val="00871D21"/>
    <w:rsid w:val="00872069"/>
    <w:rsid w:val="00873654"/>
    <w:rsid w:val="008737DC"/>
    <w:rsid w:val="00873950"/>
    <w:rsid w:val="008778CD"/>
    <w:rsid w:val="00882FA3"/>
    <w:rsid w:val="00885520"/>
    <w:rsid w:val="00887889"/>
    <w:rsid w:val="00891F40"/>
    <w:rsid w:val="00893D79"/>
    <w:rsid w:val="008942EE"/>
    <w:rsid w:val="008975F4"/>
    <w:rsid w:val="008A3071"/>
    <w:rsid w:val="008A5D3A"/>
    <w:rsid w:val="008A69FA"/>
    <w:rsid w:val="008B22E9"/>
    <w:rsid w:val="008C1D86"/>
    <w:rsid w:val="008C535A"/>
    <w:rsid w:val="008C623E"/>
    <w:rsid w:val="008C6EAF"/>
    <w:rsid w:val="008D1BE7"/>
    <w:rsid w:val="008D2AB8"/>
    <w:rsid w:val="008D34BE"/>
    <w:rsid w:val="008D45D1"/>
    <w:rsid w:val="008D4B79"/>
    <w:rsid w:val="008D4BF8"/>
    <w:rsid w:val="008D5AF7"/>
    <w:rsid w:val="008D6DE4"/>
    <w:rsid w:val="008D72F9"/>
    <w:rsid w:val="008D7D26"/>
    <w:rsid w:val="008E0C2D"/>
    <w:rsid w:val="008E1B1A"/>
    <w:rsid w:val="008E261C"/>
    <w:rsid w:val="008E3654"/>
    <w:rsid w:val="008E4127"/>
    <w:rsid w:val="008E5286"/>
    <w:rsid w:val="008F0365"/>
    <w:rsid w:val="008F0E2A"/>
    <w:rsid w:val="008F4992"/>
    <w:rsid w:val="008F5D62"/>
    <w:rsid w:val="0090012C"/>
    <w:rsid w:val="009013EC"/>
    <w:rsid w:val="00905057"/>
    <w:rsid w:val="0090564E"/>
    <w:rsid w:val="00906C2A"/>
    <w:rsid w:val="00913430"/>
    <w:rsid w:val="00913557"/>
    <w:rsid w:val="00917E9C"/>
    <w:rsid w:val="00917F68"/>
    <w:rsid w:val="00920AF0"/>
    <w:rsid w:val="00931024"/>
    <w:rsid w:val="0094244D"/>
    <w:rsid w:val="00951167"/>
    <w:rsid w:val="0095132A"/>
    <w:rsid w:val="0096346B"/>
    <w:rsid w:val="009662F1"/>
    <w:rsid w:val="00972D11"/>
    <w:rsid w:val="00974B3C"/>
    <w:rsid w:val="0097554A"/>
    <w:rsid w:val="00976472"/>
    <w:rsid w:val="0097734D"/>
    <w:rsid w:val="009848F5"/>
    <w:rsid w:val="009939B0"/>
    <w:rsid w:val="0099620B"/>
    <w:rsid w:val="00996E16"/>
    <w:rsid w:val="009A0668"/>
    <w:rsid w:val="009A2CCA"/>
    <w:rsid w:val="009A36A6"/>
    <w:rsid w:val="009B1ABE"/>
    <w:rsid w:val="009B2E77"/>
    <w:rsid w:val="009B5C7E"/>
    <w:rsid w:val="009C0CD9"/>
    <w:rsid w:val="009C3255"/>
    <w:rsid w:val="009C5CD5"/>
    <w:rsid w:val="009C6B41"/>
    <w:rsid w:val="009E08C1"/>
    <w:rsid w:val="009E0937"/>
    <w:rsid w:val="009E3DE9"/>
    <w:rsid w:val="009F30DE"/>
    <w:rsid w:val="009F3F75"/>
    <w:rsid w:val="009F5D04"/>
    <w:rsid w:val="009F676D"/>
    <w:rsid w:val="009F6A37"/>
    <w:rsid w:val="009F75AC"/>
    <w:rsid w:val="009F7C91"/>
    <w:rsid w:val="00A01125"/>
    <w:rsid w:val="00A04FAA"/>
    <w:rsid w:val="00A05F9C"/>
    <w:rsid w:val="00A06C84"/>
    <w:rsid w:val="00A154CC"/>
    <w:rsid w:val="00A229CB"/>
    <w:rsid w:val="00A23A2D"/>
    <w:rsid w:val="00A2511D"/>
    <w:rsid w:val="00A25D7A"/>
    <w:rsid w:val="00A2687B"/>
    <w:rsid w:val="00A272D2"/>
    <w:rsid w:val="00A307D2"/>
    <w:rsid w:val="00A346EA"/>
    <w:rsid w:val="00A42862"/>
    <w:rsid w:val="00A45C9D"/>
    <w:rsid w:val="00A46755"/>
    <w:rsid w:val="00A472D3"/>
    <w:rsid w:val="00A535F9"/>
    <w:rsid w:val="00A55111"/>
    <w:rsid w:val="00A5673B"/>
    <w:rsid w:val="00A608CE"/>
    <w:rsid w:val="00A60B83"/>
    <w:rsid w:val="00A6147D"/>
    <w:rsid w:val="00A646CE"/>
    <w:rsid w:val="00A6734D"/>
    <w:rsid w:val="00A67B22"/>
    <w:rsid w:val="00A70DFF"/>
    <w:rsid w:val="00A73252"/>
    <w:rsid w:val="00A81F51"/>
    <w:rsid w:val="00A92246"/>
    <w:rsid w:val="00A95B64"/>
    <w:rsid w:val="00A95EED"/>
    <w:rsid w:val="00A97FD7"/>
    <w:rsid w:val="00AA08F7"/>
    <w:rsid w:val="00AA2BD4"/>
    <w:rsid w:val="00AA443F"/>
    <w:rsid w:val="00AB377E"/>
    <w:rsid w:val="00AB5764"/>
    <w:rsid w:val="00AB5F58"/>
    <w:rsid w:val="00AB64DF"/>
    <w:rsid w:val="00AD1456"/>
    <w:rsid w:val="00AD5D0C"/>
    <w:rsid w:val="00AD7CDF"/>
    <w:rsid w:val="00AE2779"/>
    <w:rsid w:val="00AE40AF"/>
    <w:rsid w:val="00AE560E"/>
    <w:rsid w:val="00AF11BF"/>
    <w:rsid w:val="00AF2EC1"/>
    <w:rsid w:val="00AF46C5"/>
    <w:rsid w:val="00AF50B6"/>
    <w:rsid w:val="00AF5FE8"/>
    <w:rsid w:val="00B00A4A"/>
    <w:rsid w:val="00B056A7"/>
    <w:rsid w:val="00B056D3"/>
    <w:rsid w:val="00B10054"/>
    <w:rsid w:val="00B113B3"/>
    <w:rsid w:val="00B16458"/>
    <w:rsid w:val="00B170AF"/>
    <w:rsid w:val="00B21313"/>
    <w:rsid w:val="00B21B2A"/>
    <w:rsid w:val="00B22487"/>
    <w:rsid w:val="00B311DB"/>
    <w:rsid w:val="00B32E2C"/>
    <w:rsid w:val="00B333DC"/>
    <w:rsid w:val="00B35902"/>
    <w:rsid w:val="00B374AA"/>
    <w:rsid w:val="00B41B79"/>
    <w:rsid w:val="00B444A8"/>
    <w:rsid w:val="00B50E51"/>
    <w:rsid w:val="00B51253"/>
    <w:rsid w:val="00B56347"/>
    <w:rsid w:val="00B643B8"/>
    <w:rsid w:val="00B7097E"/>
    <w:rsid w:val="00B71279"/>
    <w:rsid w:val="00B7790D"/>
    <w:rsid w:val="00B81B78"/>
    <w:rsid w:val="00B83B95"/>
    <w:rsid w:val="00B93885"/>
    <w:rsid w:val="00B94CEA"/>
    <w:rsid w:val="00B957DF"/>
    <w:rsid w:val="00BA01F4"/>
    <w:rsid w:val="00BA0424"/>
    <w:rsid w:val="00BA5527"/>
    <w:rsid w:val="00BA59F4"/>
    <w:rsid w:val="00BB4E33"/>
    <w:rsid w:val="00BB6865"/>
    <w:rsid w:val="00BC1084"/>
    <w:rsid w:val="00BC3EAE"/>
    <w:rsid w:val="00BD134C"/>
    <w:rsid w:val="00BD67C1"/>
    <w:rsid w:val="00BD6DE3"/>
    <w:rsid w:val="00BE1447"/>
    <w:rsid w:val="00BE2CC8"/>
    <w:rsid w:val="00BE56EA"/>
    <w:rsid w:val="00BE7158"/>
    <w:rsid w:val="00BF06BB"/>
    <w:rsid w:val="00BF22E4"/>
    <w:rsid w:val="00BF440F"/>
    <w:rsid w:val="00BF4461"/>
    <w:rsid w:val="00BF4652"/>
    <w:rsid w:val="00BF6026"/>
    <w:rsid w:val="00C00EA2"/>
    <w:rsid w:val="00C02111"/>
    <w:rsid w:val="00C07132"/>
    <w:rsid w:val="00C11C7D"/>
    <w:rsid w:val="00C11F4B"/>
    <w:rsid w:val="00C3119A"/>
    <w:rsid w:val="00C326A0"/>
    <w:rsid w:val="00C352C7"/>
    <w:rsid w:val="00C400B3"/>
    <w:rsid w:val="00C420D0"/>
    <w:rsid w:val="00C42231"/>
    <w:rsid w:val="00C425D7"/>
    <w:rsid w:val="00C44BA4"/>
    <w:rsid w:val="00C453A9"/>
    <w:rsid w:val="00C46C8C"/>
    <w:rsid w:val="00C5093B"/>
    <w:rsid w:val="00C52028"/>
    <w:rsid w:val="00C529E7"/>
    <w:rsid w:val="00C609DD"/>
    <w:rsid w:val="00C62B29"/>
    <w:rsid w:val="00C65256"/>
    <w:rsid w:val="00C652A5"/>
    <w:rsid w:val="00C65F0D"/>
    <w:rsid w:val="00C67B2E"/>
    <w:rsid w:val="00C70C3E"/>
    <w:rsid w:val="00C74E54"/>
    <w:rsid w:val="00C76BD6"/>
    <w:rsid w:val="00C82DCC"/>
    <w:rsid w:val="00C83C51"/>
    <w:rsid w:val="00C90AF0"/>
    <w:rsid w:val="00C90B25"/>
    <w:rsid w:val="00C9162C"/>
    <w:rsid w:val="00C92803"/>
    <w:rsid w:val="00C944BA"/>
    <w:rsid w:val="00C94F45"/>
    <w:rsid w:val="00C967AE"/>
    <w:rsid w:val="00C9744C"/>
    <w:rsid w:val="00CA373D"/>
    <w:rsid w:val="00CA4DA1"/>
    <w:rsid w:val="00CA6BA6"/>
    <w:rsid w:val="00CB008F"/>
    <w:rsid w:val="00CB062E"/>
    <w:rsid w:val="00CB4B0F"/>
    <w:rsid w:val="00CB7589"/>
    <w:rsid w:val="00CB7D95"/>
    <w:rsid w:val="00CC6694"/>
    <w:rsid w:val="00CD131A"/>
    <w:rsid w:val="00CD2F95"/>
    <w:rsid w:val="00CD4205"/>
    <w:rsid w:val="00CD5BAB"/>
    <w:rsid w:val="00CE3278"/>
    <w:rsid w:val="00CE3B6F"/>
    <w:rsid w:val="00CE7464"/>
    <w:rsid w:val="00CE7AA1"/>
    <w:rsid w:val="00CF0321"/>
    <w:rsid w:val="00CF0F97"/>
    <w:rsid w:val="00CF1479"/>
    <w:rsid w:val="00CF3264"/>
    <w:rsid w:val="00CF3E6F"/>
    <w:rsid w:val="00CF77EE"/>
    <w:rsid w:val="00D0317C"/>
    <w:rsid w:val="00D057FA"/>
    <w:rsid w:val="00D07A2E"/>
    <w:rsid w:val="00D103D4"/>
    <w:rsid w:val="00D11733"/>
    <w:rsid w:val="00D2080F"/>
    <w:rsid w:val="00D214FC"/>
    <w:rsid w:val="00D23709"/>
    <w:rsid w:val="00D24B73"/>
    <w:rsid w:val="00D25619"/>
    <w:rsid w:val="00D26462"/>
    <w:rsid w:val="00D2679B"/>
    <w:rsid w:val="00D31E3D"/>
    <w:rsid w:val="00D34461"/>
    <w:rsid w:val="00D36383"/>
    <w:rsid w:val="00D366DC"/>
    <w:rsid w:val="00D43099"/>
    <w:rsid w:val="00D4622C"/>
    <w:rsid w:val="00D51985"/>
    <w:rsid w:val="00D53BF9"/>
    <w:rsid w:val="00D551E5"/>
    <w:rsid w:val="00D56B2A"/>
    <w:rsid w:val="00D62C99"/>
    <w:rsid w:val="00D62E2C"/>
    <w:rsid w:val="00D639A3"/>
    <w:rsid w:val="00D63BBA"/>
    <w:rsid w:val="00D63CBF"/>
    <w:rsid w:val="00D64988"/>
    <w:rsid w:val="00D71BBA"/>
    <w:rsid w:val="00D72F48"/>
    <w:rsid w:val="00D73EB0"/>
    <w:rsid w:val="00D763E5"/>
    <w:rsid w:val="00D77476"/>
    <w:rsid w:val="00D95F99"/>
    <w:rsid w:val="00DA24A3"/>
    <w:rsid w:val="00DA25B3"/>
    <w:rsid w:val="00DA5647"/>
    <w:rsid w:val="00DA6E74"/>
    <w:rsid w:val="00DB1E4E"/>
    <w:rsid w:val="00DB281C"/>
    <w:rsid w:val="00DB7E2E"/>
    <w:rsid w:val="00DC0B73"/>
    <w:rsid w:val="00DC1132"/>
    <w:rsid w:val="00DC2031"/>
    <w:rsid w:val="00DC600E"/>
    <w:rsid w:val="00DD0B9B"/>
    <w:rsid w:val="00DD1019"/>
    <w:rsid w:val="00DD1E6E"/>
    <w:rsid w:val="00DD285E"/>
    <w:rsid w:val="00DD36ED"/>
    <w:rsid w:val="00DE7ECD"/>
    <w:rsid w:val="00DF0434"/>
    <w:rsid w:val="00DF5F7F"/>
    <w:rsid w:val="00DF6539"/>
    <w:rsid w:val="00DF69E7"/>
    <w:rsid w:val="00DF7C17"/>
    <w:rsid w:val="00E03B35"/>
    <w:rsid w:val="00E03EFD"/>
    <w:rsid w:val="00E07E38"/>
    <w:rsid w:val="00E16470"/>
    <w:rsid w:val="00E16A93"/>
    <w:rsid w:val="00E22765"/>
    <w:rsid w:val="00E23EC4"/>
    <w:rsid w:val="00E26B80"/>
    <w:rsid w:val="00E26F83"/>
    <w:rsid w:val="00E2728B"/>
    <w:rsid w:val="00E3264F"/>
    <w:rsid w:val="00E35E8B"/>
    <w:rsid w:val="00E4025F"/>
    <w:rsid w:val="00E568DF"/>
    <w:rsid w:val="00E57C90"/>
    <w:rsid w:val="00E626E1"/>
    <w:rsid w:val="00E73ABC"/>
    <w:rsid w:val="00E747D3"/>
    <w:rsid w:val="00E81E9E"/>
    <w:rsid w:val="00E84919"/>
    <w:rsid w:val="00E85F03"/>
    <w:rsid w:val="00E8702D"/>
    <w:rsid w:val="00E92BD2"/>
    <w:rsid w:val="00E95BBD"/>
    <w:rsid w:val="00E95D40"/>
    <w:rsid w:val="00E95F1F"/>
    <w:rsid w:val="00E97640"/>
    <w:rsid w:val="00EA12A7"/>
    <w:rsid w:val="00EA1AB7"/>
    <w:rsid w:val="00EA4678"/>
    <w:rsid w:val="00EB27B7"/>
    <w:rsid w:val="00EB3484"/>
    <w:rsid w:val="00EB473C"/>
    <w:rsid w:val="00EB5DB8"/>
    <w:rsid w:val="00EB6382"/>
    <w:rsid w:val="00EB746C"/>
    <w:rsid w:val="00ED4CAD"/>
    <w:rsid w:val="00ED573D"/>
    <w:rsid w:val="00ED71CA"/>
    <w:rsid w:val="00ED7BEA"/>
    <w:rsid w:val="00EE1F90"/>
    <w:rsid w:val="00EE6C23"/>
    <w:rsid w:val="00EF058B"/>
    <w:rsid w:val="00EF12DE"/>
    <w:rsid w:val="00EF37CF"/>
    <w:rsid w:val="00EF3EBC"/>
    <w:rsid w:val="00EF5B97"/>
    <w:rsid w:val="00F02C2F"/>
    <w:rsid w:val="00F03BBB"/>
    <w:rsid w:val="00F07CA5"/>
    <w:rsid w:val="00F1388C"/>
    <w:rsid w:val="00F236F5"/>
    <w:rsid w:val="00F24C4C"/>
    <w:rsid w:val="00F279DB"/>
    <w:rsid w:val="00F35529"/>
    <w:rsid w:val="00F371BB"/>
    <w:rsid w:val="00F3767F"/>
    <w:rsid w:val="00F376FE"/>
    <w:rsid w:val="00F37ADE"/>
    <w:rsid w:val="00F439AB"/>
    <w:rsid w:val="00F441E6"/>
    <w:rsid w:val="00F4611C"/>
    <w:rsid w:val="00F5194F"/>
    <w:rsid w:val="00F72EF9"/>
    <w:rsid w:val="00F73A0B"/>
    <w:rsid w:val="00F74FB7"/>
    <w:rsid w:val="00F75094"/>
    <w:rsid w:val="00F80096"/>
    <w:rsid w:val="00F82413"/>
    <w:rsid w:val="00F85114"/>
    <w:rsid w:val="00F87331"/>
    <w:rsid w:val="00F95269"/>
    <w:rsid w:val="00F969F1"/>
    <w:rsid w:val="00FA01B2"/>
    <w:rsid w:val="00FA4280"/>
    <w:rsid w:val="00FA42AE"/>
    <w:rsid w:val="00FA58D7"/>
    <w:rsid w:val="00FA66ED"/>
    <w:rsid w:val="00FA7000"/>
    <w:rsid w:val="00FB2BCD"/>
    <w:rsid w:val="00FB2C52"/>
    <w:rsid w:val="00FC1BD1"/>
    <w:rsid w:val="00FC4CA6"/>
    <w:rsid w:val="00FC61E7"/>
    <w:rsid w:val="00FD2C45"/>
    <w:rsid w:val="00FD3751"/>
    <w:rsid w:val="00FD73FC"/>
    <w:rsid w:val="00FE1DEB"/>
    <w:rsid w:val="00FE35DF"/>
    <w:rsid w:val="00FE3B6F"/>
    <w:rsid w:val="00FE3D61"/>
    <w:rsid w:val="00FE6031"/>
    <w:rsid w:val="00FF289E"/>
    <w:rsid w:val="00FF580C"/>
    <w:rsid w:val="00FF5DFD"/>
    <w:rsid w:val="00FF7F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EF2D6"/>
  <w15:chartTrackingRefBased/>
  <w15:docId w15:val="{2CEA4433-F5B8-4A25-92FE-58ED0D599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pt-BR"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C76BD6"/>
    <w:pPr>
      <w:keepNext/>
      <w:keepLines/>
      <w:outlineLvl w:val="0"/>
    </w:pPr>
    <w:rPr>
      <w:rFonts w:eastAsiaTheme="majorEastAsia" w:cstheme="majorBidi"/>
      <w:b/>
      <w:smallCaps/>
      <w:szCs w:val="32"/>
    </w:rPr>
  </w:style>
  <w:style w:type="paragraph" w:styleId="Ttulo2">
    <w:name w:val="heading 2"/>
    <w:basedOn w:val="Normal"/>
    <w:next w:val="Normal"/>
    <w:link w:val="Ttulo2Char"/>
    <w:uiPriority w:val="9"/>
    <w:unhideWhenUsed/>
    <w:qFormat/>
    <w:rsid w:val="00C76BD6"/>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B957DF"/>
    <w:pPr>
      <w:keepNext/>
      <w:keepLines/>
      <w:numPr>
        <w:numId w:val="1"/>
      </w:numPr>
      <w:spacing w:line="360" w:lineRule="auto"/>
      <w:ind w:left="0" w:firstLine="0"/>
      <w:outlineLvl w:val="2"/>
    </w:pPr>
    <w:rPr>
      <w:rFonts w:eastAsiaTheme="majorEastAsia" w:cstheme="majorBidi"/>
      <w:b/>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B957DF"/>
    <w:rPr>
      <w:rFonts w:eastAsiaTheme="majorEastAsia" w:cstheme="majorBidi"/>
      <w:b/>
      <w:szCs w:val="24"/>
      <w:lang w:eastAsia="pt-BR"/>
    </w:rPr>
  </w:style>
  <w:style w:type="paragraph" w:styleId="Legenda">
    <w:name w:val="caption"/>
    <w:basedOn w:val="Normal"/>
    <w:next w:val="Normal"/>
    <w:uiPriority w:val="35"/>
    <w:unhideWhenUsed/>
    <w:qFormat/>
    <w:rsid w:val="00B957DF"/>
    <w:pPr>
      <w:spacing w:after="200"/>
      <w:ind w:firstLine="709"/>
    </w:pPr>
    <w:rPr>
      <w:rFonts w:cstheme="minorBidi"/>
      <w:i/>
      <w:iCs/>
      <w:color w:val="44546A" w:themeColor="text2"/>
      <w:sz w:val="18"/>
      <w:szCs w:val="18"/>
    </w:rPr>
  </w:style>
  <w:style w:type="character" w:customStyle="1" w:styleId="Ttulo1Char">
    <w:name w:val="Título 1 Char"/>
    <w:basedOn w:val="Fontepargpadro"/>
    <w:link w:val="Ttulo1"/>
    <w:uiPriority w:val="9"/>
    <w:rsid w:val="00C76BD6"/>
    <w:rPr>
      <w:rFonts w:eastAsiaTheme="majorEastAsia" w:cstheme="majorBidi"/>
      <w:b/>
      <w:smallCaps/>
      <w:szCs w:val="32"/>
    </w:rPr>
  </w:style>
  <w:style w:type="paragraph" w:styleId="PargrafodaLista">
    <w:name w:val="List Paragraph"/>
    <w:basedOn w:val="Normal"/>
    <w:uiPriority w:val="34"/>
    <w:qFormat/>
    <w:rsid w:val="00CD4205"/>
    <w:pPr>
      <w:ind w:left="720"/>
      <w:contextualSpacing/>
    </w:pPr>
  </w:style>
  <w:style w:type="character" w:customStyle="1" w:styleId="Ttulo2Char">
    <w:name w:val="Título 2 Char"/>
    <w:basedOn w:val="Fontepargpadro"/>
    <w:link w:val="Ttulo2"/>
    <w:uiPriority w:val="9"/>
    <w:rsid w:val="00C76BD6"/>
    <w:rPr>
      <w:rFonts w:eastAsiaTheme="majorEastAsia" w:cstheme="majorBidi"/>
      <w:caps/>
      <w:szCs w:val="26"/>
    </w:rPr>
  </w:style>
  <w:style w:type="paragraph" w:styleId="Cabealho">
    <w:name w:val="header"/>
    <w:basedOn w:val="Normal"/>
    <w:link w:val="CabealhoChar"/>
    <w:uiPriority w:val="99"/>
    <w:unhideWhenUsed/>
    <w:rsid w:val="004D3BFF"/>
    <w:pPr>
      <w:tabs>
        <w:tab w:val="center" w:pos="4252"/>
        <w:tab w:val="right" w:pos="8504"/>
      </w:tabs>
    </w:pPr>
  </w:style>
  <w:style w:type="character" w:customStyle="1" w:styleId="CabealhoChar">
    <w:name w:val="Cabeçalho Char"/>
    <w:basedOn w:val="Fontepargpadro"/>
    <w:link w:val="Cabealho"/>
    <w:uiPriority w:val="99"/>
    <w:rsid w:val="004D3BFF"/>
  </w:style>
  <w:style w:type="paragraph" w:styleId="Rodap">
    <w:name w:val="footer"/>
    <w:basedOn w:val="Normal"/>
    <w:link w:val="RodapChar"/>
    <w:uiPriority w:val="99"/>
    <w:unhideWhenUsed/>
    <w:rsid w:val="004D3BFF"/>
    <w:pPr>
      <w:tabs>
        <w:tab w:val="center" w:pos="4252"/>
        <w:tab w:val="right" w:pos="8504"/>
      </w:tabs>
    </w:pPr>
  </w:style>
  <w:style w:type="character" w:customStyle="1" w:styleId="RodapChar">
    <w:name w:val="Rodapé Char"/>
    <w:basedOn w:val="Fontepargpadro"/>
    <w:link w:val="Rodap"/>
    <w:uiPriority w:val="99"/>
    <w:rsid w:val="004D3BFF"/>
  </w:style>
  <w:style w:type="character" w:customStyle="1" w:styleId="Textodocorpo2">
    <w:name w:val="Texto do corpo (2)"/>
    <w:basedOn w:val="Fontepargpadro"/>
    <w:rsid w:val="00174589"/>
    <w:rPr>
      <w:rFonts w:ascii="Book Antiqua" w:eastAsia="Book Antiqua" w:hAnsi="Book Antiqua" w:cs="Book Antiqua"/>
      <w:b w:val="0"/>
      <w:bCs w:val="0"/>
      <w:i w:val="0"/>
      <w:iCs w:val="0"/>
      <w:smallCaps w:val="0"/>
      <w:strike w:val="0"/>
      <w:color w:val="000000"/>
      <w:spacing w:val="0"/>
      <w:w w:val="100"/>
      <w:position w:val="0"/>
      <w:sz w:val="16"/>
      <w:szCs w:val="16"/>
      <w:u w:val="none"/>
      <w:lang w:val="en-US" w:eastAsia="en-US" w:bidi="en-US"/>
    </w:rPr>
  </w:style>
  <w:style w:type="paragraph" w:customStyle="1" w:styleId="Default">
    <w:name w:val="Default"/>
    <w:rsid w:val="00BF4652"/>
    <w:pPr>
      <w:autoSpaceDE w:val="0"/>
      <w:autoSpaceDN w:val="0"/>
      <w:adjustRightInd w:val="0"/>
      <w:jc w:val="left"/>
    </w:pPr>
    <w:rPr>
      <w:color w:val="000000"/>
      <w:szCs w:val="24"/>
    </w:rPr>
  </w:style>
  <w:style w:type="table" w:styleId="Tabelacomgrade">
    <w:name w:val="Table Grid"/>
    <w:basedOn w:val="Tabelanormal"/>
    <w:uiPriority w:val="39"/>
    <w:rsid w:val="00EF37CF"/>
    <w:pPr>
      <w:jc w:val="left"/>
    </w:pPr>
    <w:rPr>
      <w:rFonts w:asciiTheme="minorHAnsi" w:hAnsiTheme="minorHAnsi" w:cstheme="minorBid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25608B"/>
    <w:rPr>
      <w:color w:val="0563C1" w:themeColor="hyperlink"/>
      <w:u w:val="single"/>
    </w:rPr>
  </w:style>
  <w:style w:type="paragraph" w:styleId="Textodebalo">
    <w:name w:val="Balloon Text"/>
    <w:basedOn w:val="Normal"/>
    <w:link w:val="TextodebaloChar"/>
    <w:uiPriority w:val="99"/>
    <w:semiHidden/>
    <w:unhideWhenUsed/>
    <w:rsid w:val="00A2511D"/>
    <w:rPr>
      <w:rFonts w:ascii="Segoe UI" w:hAnsi="Segoe UI" w:cs="Segoe UI"/>
      <w:sz w:val="18"/>
      <w:szCs w:val="18"/>
    </w:rPr>
  </w:style>
  <w:style w:type="character" w:customStyle="1" w:styleId="TextodebaloChar">
    <w:name w:val="Texto de balão Char"/>
    <w:basedOn w:val="Fontepargpadro"/>
    <w:link w:val="Textodebalo"/>
    <w:uiPriority w:val="99"/>
    <w:semiHidden/>
    <w:rsid w:val="00A251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9618">
      <w:bodyDiv w:val="1"/>
      <w:marLeft w:val="0"/>
      <w:marRight w:val="0"/>
      <w:marTop w:val="0"/>
      <w:marBottom w:val="0"/>
      <w:divBdr>
        <w:top w:val="none" w:sz="0" w:space="0" w:color="auto"/>
        <w:left w:val="none" w:sz="0" w:space="0" w:color="auto"/>
        <w:bottom w:val="none" w:sz="0" w:space="0" w:color="auto"/>
        <w:right w:val="none" w:sz="0" w:space="0" w:color="auto"/>
      </w:divBdr>
    </w:div>
    <w:div w:id="438910887">
      <w:bodyDiv w:val="1"/>
      <w:marLeft w:val="0"/>
      <w:marRight w:val="0"/>
      <w:marTop w:val="0"/>
      <w:marBottom w:val="0"/>
      <w:divBdr>
        <w:top w:val="none" w:sz="0" w:space="0" w:color="auto"/>
        <w:left w:val="none" w:sz="0" w:space="0" w:color="auto"/>
        <w:bottom w:val="none" w:sz="0" w:space="0" w:color="auto"/>
        <w:right w:val="none" w:sz="0" w:space="0" w:color="auto"/>
      </w:divBdr>
    </w:div>
    <w:div w:id="465591751">
      <w:bodyDiv w:val="1"/>
      <w:marLeft w:val="0"/>
      <w:marRight w:val="0"/>
      <w:marTop w:val="0"/>
      <w:marBottom w:val="0"/>
      <w:divBdr>
        <w:top w:val="none" w:sz="0" w:space="0" w:color="auto"/>
        <w:left w:val="none" w:sz="0" w:space="0" w:color="auto"/>
        <w:bottom w:val="none" w:sz="0" w:space="0" w:color="auto"/>
        <w:right w:val="none" w:sz="0" w:space="0" w:color="auto"/>
      </w:divBdr>
    </w:div>
    <w:div w:id="970943904">
      <w:bodyDiv w:val="1"/>
      <w:marLeft w:val="0"/>
      <w:marRight w:val="0"/>
      <w:marTop w:val="0"/>
      <w:marBottom w:val="0"/>
      <w:divBdr>
        <w:top w:val="none" w:sz="0" w:space="0" w:color="auto"/>
        <w:left w:val="none" w:sz="0" w:space="0" w:color="auto"/>
        <w:bottom w:val="none" w:sz="0" w:space="0" w:color="auto"/>
        <w:right w:val="none" w:sz="0" w:space="0" w:color="auto"/>
      </w:divBdr>
      <w:divsChild>
        <w:div w:id="1242762593">
          <w:marLeft w:val="0"/>
          <w:marRight w:val="0"/>
          <w:marTop w:val="0"/>
          <w:marBottom w:val="0"/>
          <w:divBdr>
            <w:top w:val="none" w:sz="0" w:space="0" w:color="auto"/>
            <w:left w:val="none" w:sz="0" w:space="0" w:color="auto"/>
            <w:bottom w:val="none" w:sz="0" w:space="0" w:color="auto"/>
            <w:right w:val="none" w:sz="0" w:space="0" w:color="auto"/>
          </w:divBdr>
        </w:div>
      </w:divsChild>
    </w:div>
    <w:div w:id="1124739097">
      <w:bodyDiv w:val="1"/>
      <w:marLeft w:val="0"/>
      <w:marRight w:val="0"/>
      <w:marTop w:val="0"/>
      <w:marBottom w:val="0"/>
      <w:divBdr>
        <w:top w:val="none" w:sz="0" w:space="0" w:color="auto"/>
        <w:left w:val="none" w:sz="0" w:space="0" w:color="auto"/>
        <w:bottom w:val="none" w:sz="0" w:space="0" w:color="auto"/>
        <w:right w:val="none" w:sz="0" w:space="0" w:color="auto"/>
      </w:divBdr>
      <w:divsChild>
        <w:div w:id="689457116">
          <w:marLeft w:val="0"/>
          <w:marRight w:val="0"/>
          <w:marTop w:val="0"/>
          <w:marBottom w:val="0"/>
          <w:divBdr>
            <w:top w:val="none" w:sz="0" w:space="0" w:color="auto"/>
            <w:left w:val="none" w:sz="0" w:space="0" w:color="auto"/>
            <w:bottom w:val="none" w:sz="0" w:space="0" w:color="auto"/>
            <w:right w:val="none" w:sz="0" w:space="0" w:color="auto"/>
          </w:divBdr>
        </w:div>
      </w:divsChild>
    </w:div>
    <w:div w:id="1353145776">
      <w:bodyDiv w:val="1"/>
      <w:marLeft w:val="0"/>
      <w:marRight w:val="0"/>
      <w:marTop w:val="0"/>
      <w:marBottom w:val="0"/>
      <w:divBdr>
        <w:top w:val="none" w:sz="0" w:space="0" w:color="auto"/>
        <w:left w:val="none" w:sz="0" w:space="0" w:color="auto"/>
        <w:bottom w:val="none" w:sz="0" w:space="0" w:color="auto"/>
        <w:right w:val="none" w:sz="0" w:space="0" w:color="auto"/>
      </w:divBdr>
    </w:div>
    <w:div w:id="1710959263">
      <w:bodyDiv w:val="1"/>
      <w:marLeft w:val="0"/>
      <w:marRight w:val="0"/>
      <w:marTop w:val="0"/>
      <w:marBottom w:val="0"/>
      <w:divBdr>
        <w:top w:val="none" w:sz="0" w:space="0" w:color="auto"/>
        <w:left w:val="none" w:sz="0" w:space="0" w:color="auto"/>
        <w:bottom w:val="none" w:sz="0" w:space="0" w:color="auto"/>
        <w:right w:val="none" w:sz="0" w:space="0" w:color="auto"/>
      </w:divBdr>
    </w:div>
    <w:div w:id="1749038729">
      <w:bodyDiv w:val="1"/>
      <w:marLeft w:val="0"/>
      <w:marRight w:val="0"/>
      <w:marTop w:val="0"/>
      <w:marBottom w:val="0"/>
      <w:divBdr>
        <w:top w:val="none" w:sz="0" w:space="0" w:color="auto"/>
        <w:left w:val="none" w:sz="0" w:space="0" w:color="auto"/>
        <w:bottom w:val="none" w:sz="0" w:space="0" w:color="auto"/>
        <w:right w:val="none" w:sz="0" w:space="0" w:color="auto"/>
      </w:divBdr>
      <w:divsChild>
        <w:div w:id="122382058">
          <w:marLeft w:val="0"/>
          <w:marRight w:val="0"/>
          <w:marTop w:val="0"/>
          <w:marBottom w:val="0"/>
          <w:divBdr>
            <w:top w:val="none" w:sz="0" w:space="0" w:color="auto"/>
            <w:left w:val="none" w:sz="0" w:space="0" w:color="auto"/>
            <w:bottom w:val="none" w:sz="0" w:space="0" w:color="auto"/>
            <w:right w:val="none" w:sz="0" w:space="0" w:color="auto"/>
          </w:divBdr>
        </w:div>
      </w:divsChild>
    </w:div>
    <w:div w:id="1910261827">
      <w:bodyDiv w:val="1"/>
      <w:marLeft w:val="0"/>
      <w:marRight w:val="0"/>
      <w:marTop w:val="0"/>
      <w:marBottom w:val="0"/>
      <w:divBdr>
        <w:top w:val="none" w:sz="0" w:space="0" w:color="auto"/>
        <w:left w:val="none" w:sz="0" w:space="0" w:color="auto"/>
        <w:bottom w:val="none" w:sz="0" w:space="0" w:color="auto"/>
        <w:right w:val="none" w:sz="0" w:space="0" w:color="auto"/>
      </w:divBdr>
      <w:divsChild>
        <w:div w:id="588395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The12</b:Tag>
    <b:SourceType>JournalArticle</b:SourceType>
    <b:Guid>{3D336570-382B-461C-8FC0-1D78911D619D}</b:Guid>
    <b:LCID>en-US</b:LCID>
    <b:Title>The alliance innovation performance of R&amp;D alliances- the absortive capacity perspective</b:Title>
    <b:JournalName>Technovation</b:JournalName>
    <b:Year>2012</b:Year>
    <b:Pages>282-292</b:Pages>
    <b:Volume>32</b:Volume>
    <b:Issue>5</b:Issue>
    <b:RefOrder>1</b:RefOrder>
  </b:Source>
</b:Sources>
</file>

<file path=customXml/itemProps1.xml><?xml version="1.0" encoding="utf-8"?>
<ds:datastoreItem xmlns:ds="http://schemas.openxmlformats.org/officeDocument/2006/customXml" ds:itemID="{4C4ABA97-0BD9-4323-B64B-A07F70F7F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17</Pages>
  <Words>10435</Words>
  <Characters>56349</Characters>
  <Application>Microsoft Office Word</Application>
  <DocSecurity>0</DocSecurity>
  <Lines>469</Lines>
  <Paragraphs>133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AndressA Michels</dc:creator>
  <cp:keywords/>
  <dc:description/>
  <cp:lastModifiedBy>AndressA Michels</cp:lastModifiedBy>
  <cp:revision>5</cp:revision>
  <cp:lastPrinted>2018-05-08T02:34:00Z</cp:lastPrinted>
  <dcterms:created xsi:type="dcterms:W3CDTF">2018-05-08T02:33:00Z</dcterms:created>
  <dcterms:modified xsi:type="dcterms:W3CDTF">2018-05-08T02:48:00Z</dcterms:modified>
</cp:coreProperties>
</file>