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27" w:rsidRDefault="00DB0AFB" w:rsidP="00A82C78">
      <w:pPr>
        <w:spacing w:line="240" w:lineRule="auto"/>
        <w:ind w:firstLine="0"/>
        <w:jc w:val="center"/>
        <w:rPr>
          <w:b/>
        </w:rPr>
      </w:pPr>
      <w:r>
        <w:rPr>
          <w:b/>
        </w:rPr>
        <w:t>ANÁLISE DOS ITENS APRESENTADOS NAS</w:t>
      </w:r>
      <w:r w:rsidR="006C1F55">
        <w:rPr>
          <w:b/>
        </w:rPr>
        <w:t xml:space="preserve"> </w:t>
      </w:r>
      <w:r w:rsidR="00760D7C">
        <w:rPr>
          <w:b/>
        </w:rPr>
        <w:t>NOTAS EXPLICATIVAS</w:t>
      </w:r>
      <w:r w:rsidR="00AB2EAF">
        <w:rPr>
          <w:b/>
        </w:rPr>
        <w:t xml:space="preserve">: </w:t>
      </w:r>
      <w:r w:rsidR="006567B0">
        <w:rPr>
          <w:b/>
        </w:rPr>
        <w:t>Um estudo</w:t>
      </w:r>
      <w:r>
        <w:rPr>
          <w:b/>
        </w:rPr>
        <w:t xml:space="preserve"> </w:t>
      </w:r>
      <w:r w:rsidR="006567B0">
        <w:rPr>
          <w:b/>
        </w:rPr>
        <w:t>em companhias abertas brasileiras do setor elétrico</w:t>
      </w:r>
    </w:p>
    <w:p w:rsidR="00B25466" w:rsidRDefault="00B25466" w:rsidP="00A82C78">
      <w:pPr>
        <w:spacing w:line="240" w:lineRule="auto"/>
        <w:ind w:firstLine="0"/>
        <w:rPr>
          <w:b/>
        </w:rPr>
      </w:pPr>
    </w:p>
    <w:p w:rsidR="00B25466" w:rsidRDefault="00B25466" w:rsidP="00A82C78">
      <w:pPr>
        <w:spacing w:line="240" w:lineRule="auto"/>
        <w:ind w:firstLine="0"/>
        <w:jc w:val="right"/>
      </w:pPr>
      <w:r>
        <w:t>Denise de Souza Ottani</w:t>
      </w:r>
    </w:p>
    <w:p w:rsidR="006567B0" w:rsidRDefault="006567B0" w:rsidP="00A82C78">
      <w:pPr>
        <w:spacing w:line="240" w:lineRule="auto"/>
        <w:ind w:firstLine="0"/>
        <w:jc w:val="right"/>
      </w:pPr>
      <w:r>
        <w:t>Centro Universitário Municipal de São José (USJ)</w:t>
      </w:r>
    </w:p>
    <w:p w:rsidR="006567B0" w:rsidRPr="00A82C78" w:rsidRDefault="006567B0" w:rsidP="00A82C78">
      <w:pPr>
        <w:spacing w:line="240" w:lineRule="auto"/>
        <w:ind w:firstLine="0"/>
        <w:jc w:val="right"/>
        <w:rPr>
          <w:i/>
        </w:rPr>
      </w:pPr>
      <w:r w:rsidRPr="00A82C78">
        <w:rPr>
          <w:i/>
        </w:rPr>
        <w:t>deniseottani@gmail.com</w:t>
      </w:r>
    </w:p>
    <w:p w:rsidR="006567B0" w:rsidRPr="00B25466" w:rsidRDefault="006567B0" w:rsidP="00A82C78">
      <w:pPr>
        <w:spacing w:line="240" w:lineRule="auto"/>
        <w:ind w:firstLine="0"/>
        <w:jc w:val="right"/>
      </w:pPr>
    </w:p>
    <w:p w:rsidR="00B25466" w:rsidRDefault="006567B0" w:rsidP="00A82C78">
      <w:pPr>
        <w:spacing w:line="240" w:lineRule="auto"/>
        <w:ind w:firstLine="0"/>
        <w:jc w:val="right"/>
      </w:pPr>
      <w:r>
        <w:t xml:space="preserve">Fernando </w:t>
      </w:r>
      <w:proofErr w:type="spellStart"/>
      <w:r>
        <w:t>Nitz</w:t>
      </w:r>
      <w:proofErr w:type="spellEnd"/>
      <w:r>
        <w:t xml:space="preserve"> de Carvalho</w:t>
      </w:r>
    </w:p>
    <w:p w:rsidR="006567B0" w:rsidRDefault="006567B0" w:rsidP="00A82C78">
      <w:pPr>
        <w:spacing w:line="240" w:lineRule="auto"/>
        <w:ind w:firstLine="0"/>
        <w:jc w:val="right"/>
      </w:pPr>
      <w:r>
        <w:t>Universidade Federal de Santa Catarina (UFSC)</w:t>
      </w:r>
    </w:p>
    <w:p w:rsidR="006567B0" w:rsidRPr="00A82C78" w:rsidRDefault="006567B0" w:rsidP="00A82C78">
      <w:pPr>
        <w:spacing w:line="240" w:lineRule="auto"/>
        <w:ind w:firstLine="0"/>
        <w:jc w:val="right"/>
        <w:rPr>
          <w:i/>
        </w:rPr>
      </w:pPr>
      <w:r w:rsidRPr="00A82C78">
        <w:rPr>
          <w:i/>
        </w:rPr>
        <w:t>fncarvalho@yahoo.com.br</w:t>
      </w:r>
    </w:p>
    <w:p w:rsidR="00B25466" w:rsidRDefault="00B25466" w:rsidP="00A82C78">
      <w:pPr>
        <w:spacing w:line="240" w:lineRule="auto"/>
        <w:ind w:firstLine="0"/>
      </w:pPr>
    </w:p>
    <w:p w:rsidR="009F3B3B" w:rsidRDefault="00B228CD" w:rsidP="00A82C78">
      <w:pPr>
        <w:spacing w:line="240" w:lineRule="auto"/>
        <w:ind w:firstLine="0"/>
      </w:pPr>
      <w:r>
        <w:rPr>
          <w:b/>
        </w:rPr>
        <w:t>Resumo</w:t>
      </w:r>
      <w:r w:rsidR="008958A8">
        <w:rPr>
          <w:b/>
        </w:rPr>
        <w:t>:</w:t>
      </w:r>
      <w:r w:rsidR="00D64851">
        <w:rPr>
          <w:b/>
        </w:rPr>
        <w:t xml:space="preserve"> </w:t>
      </w:r>
      <w:r w:rsidR="00D64851" w:rsidRPr="00D64851">
        <w:t>As notas explicativas são</w:t>
      </w:r>
      <w:r w:rsidR="00D64851">
        <w:t xml:space="preserve"> essenciais para</w:t>
      </w:r>
      <w:r w:rsidR="007A12A5">
        <w:t xml:space="preserve"> a</w:t>
      </w:r>
      <w:r w:rsidR="00D64851">
        <w:t xml:space="preserve"> análise das demonstrações contábeis, sendo capazes de for</w:t>
      </w:r>
      <w:r w:rsidR="007A12A5">
        <w:t>necer informações que atendem às</w:t>
      </w:r>
      <w:r w:rsidR="00D64851">
        <w:t xml:space="preserve"> necessidades dos usuários externos e internos da contabilidade. O presente estudo tem como objetivo analisar a aplicação dos itens exigidos pelo CPC 26 (R1), pela Lei 6.404/76 e pela Instrução Normativa da CVM pelas companhias abertas brasileiras do setor elétrico. O trabalho consiste em uma pesquisa descritiva e exploratória, com abordagens qualitativa e quantitativa, contendo como procedimento técnico a pesquisa documental.</w:t>
      </w:r>
      <w:r w:rsidR="008145E7">
        <w:t xml:space="preserve"> Para a coleta de dados foram utilizadas as demonstrações contábeis do exercício de 2016 e rastreados os itens exigidos pelos órgãos reguladores. Os resultados demonstraram </w:t>
      </w:r>
      <w:r>
        <w:t>que as empresas de capital aberto do setor elétrico divulgaram em sua maioria os itens sugeridos pelo CPC 26 (R1) e</w:t>
      </w:r>
      <w:r w:rsidR="004E1830">
        <w:t xml:space="preserve"> pela Lei 6.404/76. Em relação à</w:t>
      </w:r>
      <w:r>
        <w:t xml:space="preserve"> Instrução Normativa da CVM, as empresas não atenderam plenamente </w:t>
      </w:r>
      <w:r w:rsidR="004E1830">
        <w:t>a</w:t>
      </w:r>
      <w:r>
        <w:t>os itens sugeridos.</w:t>
      </w:r>
      <w:r w:rsidR="009F3B3B">
        <w:t xml:space="preserve"> Considerou-se que as companhias pesquisadas contribuíram de forma favorável para a interpretação de suas demonstrações contábeis, facilitando para o correto uso das informações contábeis. Por outro lado, a falta de divulgação de alguns itens exigidos pela Instrução Normativa da CVM impossibilita os usuários explorar os dados que não foram informados, podendo prejudicar sua análise e interpretação.</w:t>
      </w:r>
    </w:p>
    <w:p w:rsidR="00B25466" w:rsidRPr="00D64851" w:rsidRDefault="00B25466" w:rsidP="00A82C78">
      <w:pPr>
        <w:spacing w:line="240" w:lineRule="auto"/>
        <w:ind w:firstLine="0"/>
      </w:pPr>
    </w:p>
    <w:p w:rsidR="006567B0" w:rsidRDefault="009145DA" w:rsidP="00A82C78">
      <w:pPr>
        <w:spacing w:line="240" w:lineRule="auto"/>
        <w:ind w:firstLine="0"/>
      </w:pPr>
      <w:r w:rsidRPr="009145DA">
        <w:rPr>
          <w:b/>
        </w:rPr>
        <w:t>Palavras-chaves:</w:t>
      </w:r>
      <w:r w:rsidR="000B1CD9">
        <w:rPr>
          <w:b/>
        </w:rPr>
        <w:t xml:space="preserve"> </w:t>
      </w:r>
      <w:r w:rsidR="004E1830">
        <w:t>Notas explicativas. Demonstrações financeiras.</w:t>
      </w:r>
      <w:r w:rsidR="000B1CD9" w:rsidRPr="00D64851">
        <w:t xml:space="preserve"> </w:t>
      </w:r>
      <w:r w:rsidR="004E1830">
        <w:t>S</w:t>
      </w:r>
      <w:r w:rsidR="00D64851" w:rsidRPr="00D64851">
        <w:t>etor elétrico</w:t>
      </w:r>
      <w:r w:rsidR="004E1830">
        <w:t>.</w:t>
      </w:r>
    </w:p>
    <w:p w:rsidR="00A82C78" w:rsidRDefault="00A82C78" w:rsidP="00A82C78">
      <w:pPr>
        <w:spacing w:line="240" w:lineRule="auto"/>
        <w:ind w:firstLine="0"/>
      </w:pPr>
    </w:p>
    <w:p w:rsidR="006567B0" w:rsidRPr="00D64851" w:rsidRDefault="006567B0" w:rsidP="00A82C78">
      <w:pPr>
        <w:spacing w:line="240" w:lineRule="auto"/>
        <w:ind w:firstLine="0"/>
      </w:pPr>
      <w:r w:rsidRPr="00A82C78">
        <w:rPr>
          <w:b/>
        </w:rPr>
        <w:t>Linha temática:</w:t>
      </w:r>
      <w:r>
        <w:t xml:space="preserve"> Contabilidade Financeira</w:t>
      </w:r>
    </w:p>
    <w:p w:rsidR="00B25466" w:rsidRDefault="00B25466" w:rsidP="00A82C78">
      <w:pPr>
        <w:spacing w:line="240" w:lineRule="auto"/>
        <w:rPr>
          <w:b/>
        </w:rPr>
      </w:pPr>
      <w:r>
        <w:rPr>
          <w:b/>
        </w:rPr>
        <w:br w:type="page"/>
      </w:r>
      <w:r w:rsidR="002366F1">
        <w:rPr>
          <w:b/>
        </w:rPr>
        <w:lastRenderedPageBreak/>
        <w:tab/>
      </w:r>
    </w:p>
    <w:p w:rsidR="00B25466" w:rsidRPr="0069514B" w:rsidRDefault="00B25466" w:rsidP="00C9294F">
      <w:pPr>
        <w:pStyle w:val="Pargrafoda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 w:rsidRPr="0069514B">
        <w:rPr>
          <w:b/>
        </w:rPr>
        <w:t>INTRODUÇÃO</w:t>
      </w:r>
    </w:p>
    <w:p w:rsidR="00083ECA" w:rsidRDefault="00083ECA" w:rsidP="00A82C78">
      <w:pPr>
        <w:spacing w:line="240" w:lineRule="auto"/>
        <w:ind w:firstLine="0"/>
        <w:rPr>
          <w:b/>
        </w:rPr>
      </w:pPr>
    </w:p>
    <w:p w:rsidR="0013050E" w:rsidRDefault="00083ECA" w:rsidP="00A82C78">
      <w:pPr>
        <w:spacing w:line="240" w:lineRule="auto"/>
      </w:pPr>
      <w:r w:rsidRPr="00083ECA">
        <w:t xml:space="preserve">Com a </w:t>
      </w:r>
      <w:r>
        <w:t xml:space="preserve">adoção das normas internacionais de contabilidade, as notas explicativas </w:t>
      </w:r>
      <w:r w:rsidR="008C0C41">
        <w:t>ampliaram a relevância para</w:t>
      </w:r>
      <w:r>
        <w:t xml:space="preserve"> as entidades</w:t>
      </w:r>
      <w:r w:rsidR="008C0C41">
        <w:t xml:space="preserve"> constituídas na forma de sociedade anônimas</w:t>
      </w:r>
      <w:r>
        <w:t xml:space="preserve">. São informações complementares capazes de </w:t>
      </w:r>
      <w:r w:rsidR="00052F7E">
        <w:t>atender às necessidades dos</w:t>
      </w:r>
      <w:r w:rsidR="0069514B">
        <w:t xml:space="preserve"> diversos</w:t>
      </w:r>
      <w:r w:rsidR="00052F7E">
        <w:t xml:space="preserve"> usuários da contabilidade, principalmente os externos. </w:t>
      </w:r>
      <w:r w:rsidR="0069514B">
        <w:t>Por meio delas</w:t>
      </w:r>
      <w:r w:rsidR="004E1830">
        <w:t>,</w:t>
      </w:r>
      <w:r w:rsidR="0069514B">
        <w:t xml:space="preserve"> possibilita-se</w:t>
      </w:r>
      <w:r w:rsidR="00C4282B">
        <w:t xml:space="preserve"> descrever </w:t>
      </w:r>
      <w:r w:rsidR="0069514B">
        <w:t xml:space="preserve">as </w:t>
      </w:r>
      <w:r w:rsidR="00C4282B">
        <w:t>práticas contábeis utilizadas pela companhia,</w:t>
      </w:r>
      <w:r w:rsidR="004E1830">
        <w:t xml:space="preserve"> as</w:t>
      </w:r>
      <w:r w:rsidR="00C4282B">
        <w:t xml:space="preserve"> explicações adicionais sobre determinadas contas ou operações específicas e ainda </w:t>
      </w:r>
      <w:r w:rsidR="006A7324">
        <w:t>a</w:t>
      </w:r>
      <w:r w:rsidR="00C4282B">
        <w:t xml:space="preserve"> composição e detalhes de certas contas (IUDÍCIBUS</w:t>
      </w:r>
      <w:r w:rsidR="00C329A0">
        <w:t xml:space="preserve"> et al</w:t>
      </w:r>
      <w:r w:rsidR="004E1830">
        <w:t>.</w:t>
      </w:r>
      <w:r w:rsidR="00C4282B">
        <w:t>,</w:t>
      </w:r>
      <w:r w:rsidR="008C0C41">
        <w:t xml:space="preserve"> 2010</w:t>
      </w:r>
      <w:r w:rsidR="00D83D26">
        <w:t>).</w:t>
      </w:r>
    </w:p>
    <w:p w:rsidR="0071414A" w:rsidRDefault="008C0C41" w:rsidP="00A82C78">
      <w:pPr>
        <w:spacing w:line="240" w:lineRule="auto"/>
      </w:pPr>
      <w:r>
        <w:t>Diante do exposto, c</w:t>
      </w:r>
      <w:r w:rsidR="00807091">
        <w:t xml:space="preserve">ompreender as demonstrações financeiras, esclarecer dúvidas a respeito da origem de recursos e conhecer </w:t>
      </w:r>
      <w:r w:rsidR="00060289">
        <w:t>as principais práticas contábeis utilizadas pela</w:t>
      </w:r>
      <w:r w:rsidR="00807091">
        <w:t xml:space="preserve"> entidade </w:t>
      </w:r>
      <w:r>
        <w:t>torna-se possível</w:t>
      </w:r>
      <w:r w:rsidR="00807091">
        <w:t xml:space="preserve"> analisando as notas explicativas. </w:t>
      </w:r>
      <w:r>
        <w:t xml:space="preserve">O </w:t>
      </w:r>
      <w:r w:rsidR="0069514B">
        <w:t>escopo</w:t>
      </w:r>
      <w:r>
        <w:t xml:space="preserve"> consiste em</w:t>
      </w:r>
      <w:r w:rsidR="008652AF">
        <w:t xml:space="preserve"> demonstrar as informações que não estão explícitas nas demonstrações contábeis e auxiliar na análise dos dados. </w:t>
      </w:r>
      <w:r>
        <w:t>Segundo Ferreira (2008</w:t>
      </w:r>
      <w:r w:rsidR="00EF0456">
        <w:t>)</w:t>
      </w:r>
      <w:r w:rsidR="004E1830">
        <w:t>,</w:t>
      </w:r>
      <w:r w:rsidR="00EF0456">
        <w:t xml:space="preserve"> as notas explicativas não são uma demonstração, mas são observações necessárias ao melhor entendimento das demonstrações contábeis, as quais funcionam como uma espécie de acessório. Portanto,</w:t>
      </w:r>
      <w:r w:rsidR="008652AF">
        <w:t xml:space="preserve"> devem ser elaboradas de forma que contribuam para avaliação do usuário com informações relevantes e adicionais</w:t>
      </w:r>
      <w:r w:rsidR="008D149D">
        <w:t>,</w:t>
      </w:r>
      <w:r w:rsidR="008652AF">
        <w:t xml:space="preserve"> atingindo o o</w:t>
      </w:r>
      <w:r w:rsidR="0069514B">
        <w:t xml:space="preserve">bjetivo das demonstrações que consiste em </w:t>
      </w:r>
      <w:r w:rsidR="008652AF">
        <w:t xml:space="preserve">auxiliar no processo de tomada de decisão. </w:t>
      </w:r>
    </w:p>
    <w:p w:rsidR="00C82C7A" w:rsidRDefault="008860E0" w:rsidP="00A82C78">
      <w:pPr>
        <w:spacing w:line="240" w:lineRule="auto"/>
      </w:pPr>
      <w:r>
        <w:t xml:space="preserve">Contudo, a divulgação das notas explicativas </w:t>
      </w:r>
      <w:r w:rsidR="008C0C41">
        <w:t>por vezes tem se tornado</w:t>
      </w:r>
      <w:r>
        <w:t xml:space="preserve"> uma </w:t>
      </w:r>
      <w:r w:rsidR="008C0C41">
        <w:t>dificuldade</w:t>
      </w:r>
      <w:r>
        <w:t xml:space="preserve"> para os usuários, visto que</w:t>
      </w:r>
      <w:r w:rsidR="004E1830">
        <w:t xml:space="preserve"> elas</w:t>
      </w:r>
      <w:r>
        <w:t xml:space="preserve"> </w:t>
      </w:r>
      <w:r w:rsidR="008C0C41">
        <w:t>são</w:t>
      </w:r>
      <w:r>
        <w:t xml:space="preserve"> extensas, dificultando a identificação de informações úteis.</w:t>
      </w:r>
      <w:r w:rsidR="009D4F8D">
        <w:t xml:space="preserve"> Conforme explica</w:t>
      </w:r>
      <w:r w:rsidR="004E1830">
        <w:t>m</w:t>
      </w:r>
      <w:r w:rsidR="009D4F8D">
        <w:t xml:space="preserve"> Silva e Tristão (2000, p. 225)</w:t>
      </w:r>
      <w:r w:rsidR="004E1830">
        <w:t>,</w:t>
      </w:r>
      <w:r w:rsidR="009D4F8D">
        <w:t xml:space="preserve"> </w:t>
      </w:r>
      <w:r w:rsidR="00380CC8">
        <w:t>na prática, encontra</w:t>
      </w:r>
      <w:r w:rsidR="008C0C41">
        <w:t>m</w:t>
      </w:r>
      <w:r w:rsidR="00380CC8">
        <w:t xml:space="preserve">-se dois extremos acerca da divulgação das notas explicativas: </w:t>
      </w:r>
      <w:r w:rsidR="008C0C41">
        <w:t>“</w:t>
      </w:r>
      <w:r w:rsidR="0069514B">
        <w:t>D</w:t>
      </w:r>
      <w:r w:rsidR="00380CC8">
        <w:t>e um lado, as entidades que não apresentam notas explicativas alguma e, de outro, aquelas que apresentam notas em excesso, tornando difícil separar o essencial do acessório</w:t>
      </w:r>
      <w:r w:rsidR="008C0C41">
        <w:t>”</w:t>
      </w:r>
      <w:r w:rsidR="00380CC8">
        <w:t xml:space="preserve">. </w:t>
      </w:r>
      <w:r w:rsidR="00B82158">
        <w:t>As informações apresentadas em notas explicativas devem ser e</w:t>
      </w:r>
      <w:r w:rsidR="008C0C41">
        <w:t>ssenciais para o entendimento d</w:t>
      </w:r>
      <w:r w:rsidR="00B82158">
        <w:t xml:space="preserve">os usuários. </w:t>
      </w:r>
      <w:r w:rsidR="0069514B">
        <w:t xml:space="preserve">Assim, </w:t>
      </w:r>
      <w:r w:rsidR="008C0C41">
        <w:t>consiste em</w:t>
      </w:r>
      <w:r w:rsidR="00CD004C">
        <w:t xml:space="preserve"> </w:t>
      </w:r>
      <w:r w:rsidR="008C0C41">
        <w:t>“</w:t>
      </w:r>
      <w:r w:rsidR="00CD004C">
        <w:t>um aprimoramento importante do processo de informação, pois tem resultado numa divulgação mais ampla de eventos e dados financeiros relevantes</w:t>
      </w:r>
      <w:r w:rsidR="008C0C41">
        <w:t>”</w:t>
      </w:r>
      <w:r w:rsidR="00CD004C">
        <w:t xml:space="preserve"> (HENDRIKSEN; BREDA, 2009, p. 525). Ainda segundo os autores, seu uso generalizado tem dificultado o desenvolvimento </w:t>
      </w:r>
      <w:r w:rsidR="008C0C41">
        <w:t xml:space="preserve">adequado </w:t>
      </w:r>
      <w:r w:rsidR="00CD004C">
        <w:t xml:space="preserve">das demonstrações, resultando na substituição da melhor informação no corpo da demonstração por notas explicativas. </w:t>
      </w:r>
      <w:r w:rsidR="004E1830">
        <w:t xml:space="preserve">Nota-se que é relevante focar </w:t>
      </w:r>
      <w:r w:rsidR="00B82158">
        <w:t>a qualidade das notas explicativas, devendo</w:t>
      </w:r>
      <w:r w:rsidR="004E1830">
        <w:t>, elas,</w:t>
      </w:r>
      <w:r w:rsidR="00B82158">
        <w:t xml:space="preserve"> ter uma lingu</w:t>
      </w:r>
      <w:r w:rsidR="0081043A">
        <w:t xml:space="preserve">agem clara e precisa, </w:t>
      </w:r>
      <w:r w:rsidR="008C0C41">
        <w:t xml:space="preserve">assim </w:t>
      </w:r>
      <w:r w:rsidR="004E1830">
        <w:t>provendo</w:t>
      </w:r>
      <w:r w:rsidR="0081043A">
        <w:t xml:space="preserve"> </w:t>
      </w:r>
      <w:r w:rsidR="00B82158">
        <w:t>informações complementares que seja</w:t>
      </w:r>
      <w:r w:rsidR="008C0C41">
        <w:t>m</w:t>
      </w:r>
      <w:r w:rsidR="00B82158">
        <w:t xml:space="preserve"> relevante</w:t>
      </w:r>
      <w:r w:rsidR="008C0C41">
        <w:t>s</w:t>
      </w:r>
      <w:r w:rsidR="00B82158">
        <w:t xml:space="preserve"> para a compreensão das demonstrações.</w:t>
      </w:r>
    </w:p>
    <w:p w:rsidR="00934051" w:rsidRDefault="0069514B" w:rsidP="00A82C78">
      <w:pPr>
        <w:spacing w:line="240" w:lineRule="auto"/>
      </w:pPr>
      <w:r>
        <w:t>Portanto, t</w:t>
      </w:r>
      <w:r w:rsidR="0081043A">
        <w:t xml:space="preserve">orna-se relevante </w:t>
      </w:r>
      <w:r w:rsidR="00964D5B">
        <w:t>n</w:t>
      </w:r>
      <w:r w:rsidR="0081043A">
        <w:t>es</w:t>
      </w:r>
      <w:r w:rsidR="00964D5B">
        <w:t>te estudo</w:t>
      </w:r>
      <w:r w:rsidR="0081043A">
        <w:t xml:space="preserve"> </w:t>
      </w:r>
      <w:r w:rsidR="004E1830">
        <w:t>o fato de que se tratam</w:t>
      </w:r>
      <w:r w:rsidR="0081043A">
        <w:t xml:space="preserve"> de </w:t>
      </w:r>
      <w:r w:rsidR="007E171F">
        <w:t xml:space="preserve">um </w:t>
      </w:r>
      <w:r w:rsidR="0081043A">
        <w:t xml:space="preserve">componente </w:t>
      </w:r>
      <w:r w:rsidR="007E171F">
        <w:t>fundamental</w:t>
      </w:r>
      <w:r w:rsidR="0081043A">
        <w:t xml:space="preserve"> para o entendimento das demonstrações contábeis</w:t>
      </w:r>
      <w:r w:rsidR="00964D5B">
        <w:t>, pois se caracteriza</w:t>
      </w:r>
      <w:r w:rsidR="004E1830">
        <w:t>m</w:t>
      </w:r>
      <w:r w:rsidR="007E171F">
        <w:t xml:space="preserve"> um processo de aprimorament</w:t>
      </w:r>
      <w:r w:rsidR="00964D5B">
        <w:t>o importante da informação,</w:t>
      </w:r>
      <w:r w:rsidR="007E171F">
        <w:t xml:space="preserve"> resulta</w:t>
      </w:r>
      <w:r w:rsidR="00964D5B">
        <w:t>ndo</w:t>
      </w:r>
      <w:r w:rsidR="007E171F">
        <w:t xml:space="preserve"> em complementos relevantes para a tomada de decisão. </w:t>
      </w:r>
      <w:r w:rsidR="00934051">
        <w:t xml:space="preserve">De acordo com </w:t>
      </w:r>
      <w:proofErr w:type="spellStart"/>
      <w:r w:rsidR="00934051">
        <w:t>Padoveze</w:t>
      </w:r>
      <w:proofErr w:type="spellEnd"/>
      <w:r w:rsidR="00934051">
        <w:t xml:space="preserve"> (2007, p. 388):</w:t>
      </w:r>
    </w:p>
    <w:p w:rsidR="00934051" w:rsidRDefault="00934051" w:rsidP="00A82C78">
      <w:pPr>
        <w:spacing w:line="240" w:lineRule="auto"/>
        <w:ind w:firstLine="0"/>
      </w:pPr>
    </w:p>
    <w:p w:rsidR="002E4823" w:rsidRDefault="00934051" w:rsidP="00A82C78">
      <w:pPr>
        <w:spacing w:line="240" w:lineRule="auto"/>
        <w:ind w:left="2268" w:firstLine="0"/>
        <w:rPr>
          <w:sz w:val="20"/>
        </w:rPr>
      </w:pPr>
      <w:r>
        <w:rPr>
          <w:sz w:val="20"/>
        </w:rPr>
        <w:t>A</w:t>
      </w:r>
      <w:r w:rsidRPr="00934051">
        <w:rPr>
          <w:sz w:val="20"/>
        </w:rPr>
        <w:t xml:space="preserve"> finalidade das notas explicativas é proporcionar aos usuários perfeito entendimento dos relatórios básicos numéricos já apresentados, com informações de caráter descritivo, informando os principais critérios e eventuais modificações, que foram utilizados na elaboração dos relatórios contábeis.</w:t>
      </w:r>
    </w:p>
    <w:p w:rsidR="00C20F60" w:rsidRDefault="00C20F60" w:rsidP="00A82C78">
      <w:pPr>
        <w:spacing w:line="240" w:lineRule="auto"/>
        <w:ind w:firstLine="0"/>
        <w:rPr>
          <w:sz w:val="20"/>
        </w:rPr>
      </w:pPr>
    </w:p>
    <w:p w:rsidR="00C20F60" w:rsidRDefault="00C20F60" w:rsidP="00A82C78">
      <w:pPr>
        <w:spacing w:line="240" w:lineRule="auto"/>
        <w:ind w:firstLine="0"/>
        <w:rPr>
          <w:sz w:val="20"/>
        </w:rPr>
      </w:pPr>
    </w:p>
    <w:p w:rsidR="009D65A2" w:rsidRDefault="007E171F" w:rsidP="00A82C78">
      <w:pPr>
        <w:spacing w:line="240" w:lineRule="auto"/>
      </w:pPr>
      <w:r>
        <w:lastRenderedPageBreak/>
        <w:t xml:space="preserve">As notas explicativas são partes integrantes das demonstrações contábeis, capazes de proporcionar um melhor entendimento e análise das </w:t>
      </w:r>
      <w:r w:rsidR="00964D5B">
        <w:t>informações</w:t>
      </w:r>
      <w:r>
        <w:t xml:space="preserve">, aplicáveis nos casos pertinentes. </w:t>
      </w:r>
      <w:r w:rsidR="004E1830">
        <w:t>Estão</w:t>
      </w:r>
      <w:r w:rsidR="009D65A2">
        <w:t xml:space="preserve"> prevista</w:t>
      </w:r>
      <w:r w:rsidR="004E1830">
        <w:t>s</w:t>
      </w:r>
      <w:r w:rsidR="009D65A2">
        <w:t xml:space="preserve"> na Lei das Sociedades por Ações e sua obrigatoriedade </w:t>
      </w:r>
      <w:r w:rsidR="00964D5B">
        <w:t xml:space="preserve">também </w:t>
      </w:r>
      <w:r w:rsidR="004E1830">
        <w:t>se aplica à</w:t>
      </w:r>
      <w:r w:rsidR="009D65A2">
        <w:t>s demais sociedades.</w:t>
      </w:r>
      <w:r w:rsidR="006A32A1">
        <w:t xml:space="preserve"> </w:t>
      </w:r>
      <w:r w:rsidR="00DB57AE">
        <w:t xml:space="preserve">O CPC 26 </w:t>
      </w:r>
      <w:r w:rsidR="00B91C76">
        <w:t>(</w:t>
      </w:r>
      <w:r w:rsidR="00DB57AE">
        <w:t>R1</w:t>
      </w:r>
      <w:r w:rsidR="00B91C76">
        <w:t>)</w:t>
      </w:r>
      <w:r w:rsidR="00DB57AE">
        <w:t xml:space="preserve">, com base nas </w:t>
      </w:r>
      <w:r w:rsidR="005801AF">
        <w:t>Normas Internacionais de Contabilidade</w:t>
      </w:r>
      <w:r w:rsidR="00DB57AE">
        <w:t>, estabelece a estrutura das notas explicativas, devendo ser apresentadas de f</w:t>
      </w:r>
      <w:r w:rsidR="00DA333C">
        <w:t>orma sistemática, ou seja, seguindo</w:t>
      </w:r>
      <w:r w:rsidR="00DB57AE">
        <w:t xml:space="preserve"> a ordem das contas das demonstrações contábeis.</w:t>
      </w:r>
      <w:r w:rsidR="00DA333C">
        <w:t xml:space="preserve"> </w:t>
      </w:r>
      <w:r w:rsidR="00FA3A66">
        <w:t>Almeida (2014) acrescenta que as exigências de divulgação em not</w:t>
      </w:r>
      <w:r w:rsidR="004E1830">
        <w:t>as explicativas constam também d</w:t>
      </w:r>
      <w:r w:rsidR="00FA3A66">
        <w:t xml:space="preserve">a parte final </w:t>
      </w:r>
      <w:r w:rsidR="0069514B">
        <w:t>dos pronunciamentos</w:t>
      </w:r>
      <w:r w:rsidR="00FA3A66">
        <w:t>.</w:t>
      </w:r>
      <w:r w:rsidR="00BB12CC">
        <w:t xml:space="preserve"> Nesse sentindo, as entidades </w:t>
      </w:r>
      <w:r w:rsidR="004E1830">
        <w:t>são obrigadas a atender também à</w:t>
      </w:r>
      <w:r w:rsidR="00BB12CC">
        <w:t>s exigências requeridas pelos Pronunciamentos Técnicos que trata</w:t>
      </w:r>
      <w:r w:rsidR="004E1830">
        <w:t>m das informações divulgadas as quais</w:t>
      </w:r>
      <w:r w:rsidR="00BB12CC">
        <w:t xml:space="preserve"> não estão abrangidas pelo CPC 26 </w:t>
      </w:r>
      <w:r w:rsidR="00B91C76">
        <w:t>(</w:t>
      </w:r>
      <w:r w:rsidR="00BB12CC">
        <w:t>R1</w:t>
      </w:r>
      <w:r w:rsidR="00B91C76">
        <w:t>)</w:t>
      </w:r>
      <w:r w:rsidR="00BB12CC">
        <w:t>.</w:t>
      </w:r>
    </w:p>
    <w:p w:rsidR="00BF7B22" w:rsidRDefault="009D65A2" w:rsidP="00A82C78">
      <w:pPr>
        <w:spacing w:line="240" w:lineRule="auto"/>
      </w:pPr>
      <w:r>
        <w:t xml:space="preserve">A </w:t>
      </w:r>
      <w:r w:rsidR="00DB0AFB">
        <w:t xml:space="preserve">presente pesquisa </w:t>
      </w:r>
      <w:r>
        <w:t>te</w:t>
      </w:r>
      <w:r w:rsidR="00DB0AFB">
        <w:t>m</w:t>
      </w:r>
      <w:r>
        <w:t xml:space="preserve"> </w:t>
      </w:r>
      <w:r w:rsidR="0069514B">
        <w:t xml:space="preserve">como </w:t>
      </w:r>
      <w:r w:rsidR="00FD6961">
        <w:t>objetivo geral</w:t>
      </w:r>
      <w:r>
        <w:t xml:space="preserve"> </w:t>
      </w:r>
      <w:r w:rsidR="004E1830">
        <w:t xml:space="preserve">a </w:t>
      </w:r>
      <w:r>
        <w:t>análise do conteúdo das notas explicativas apresentadas pelas companhias abertas brasileiras do setor</w:t>
      </w:r>
      <w:r w:rsidR="00DB0AFB">
        <w:t xml:space="preserve"> elétrico</w:t>
      </w:r>
      <w:r>
        <w:t xml:space="preserve">. </w:t>
      </w:r>
      <w:r w:rsidR="0069514B">
        <w:t>Adicionalmente, c</w:t>
      </w:r>
      <w:r>
        <w:t>om a adoção das normas internacionais de contabilidade</w:t>
      </w:r>
      <w:r w:rsidR="004E1830">
        <w:t>,</w:t>
      </w:r>
      <w:r>
        <w:t xml:space="preserve"> surge o </w:t>
      </w:r>
      <w:r w:rsidR="00964D5B">
        <w:t xml:space="preserve">seguinte </w:t>
      </w:r>
      <w:r>
        <w:t xml:space="preserve">questionamento: “As companhias de capital aberto </w:t>
      </w:r>
      <w:r w:rsidR="00F11536">
        <w:t>do setor elétrico</w:t>
      </w:r>
      <w:r w:rsidR="00964D5B">
        <w:t xml:space="preserve"> </w:t>
      </w:r>
      <w:r w:rsidR="004E1830">
        <w:t>atendem às</w:t>
      </w:r>
      <w:r>
        <w:t xml:space="preserve"> exigências do CPC 26 </w:t>
      </w:r>
      <w:r w:rsidR="00B91C76">
        <w:t>(</w:t>
      </w:r>
      <w:r>
        <w:t>R1</w:t>
      </w:r>
      <w:r w:rsidR="00B91C76">
        <w:t>)</w:t>
      </w:r>
      <w:r w:rsidR="00913DEA">
        <w:t>, da Lei 6.404/76 e da Instrução da CVM</w:t>
      </w:r>
      <w:r>
        <w:t xml:space="preserve"> que trata</w:t>
      </w:r>
      <w:r w:rsidR="00913DEA">
        <w:t>m</w:t>
      </w:r>
      <w:r>
        <w:t xml:space="preserve"> da </w:t>
      </w:r>
      <w:r w:rsidR="00FD6961">
        <w:t>elaboração</w:t>
      </w:r>
      <w:r>
        <w:t xml:space="preserve"> das notas </w:t>
      </w:r>
      <w:proofErr w:type="gramStart"/>
      <w:r w:rsidR="004E1830">
        <w:t>explicativas?”</w:t>
      </w:r>
      <w:proofErr w:type="gramEnd"/>
      <w:r w:rsidR="00FD6961">
        <w:t>. Para atingir o objetivo geral aplicou-se como objetivos específicos: a) estabelecer um método de análise das notas explicativas</w:t>
      </w:r>
      <w:r w:rsidR="00DA333C">
        <w:t>, por intermédio de pesquisas bibliográfica</w:t>
      </w:r>
      <w:r w:rsidR="0069514B">
        <w:t>s</w:t>
      </w:r>
      <w:r w:rsidR="00FD6961">
        <w:t>; b) coletar as demonstrações contábeis</w:t>
      </w:r>
      <w:r w:rsidR="0069514B">
        <w:t xml:space="preserve"> e as notas explicativas </w:t>
      </w:r>
      <w:r w:rsidR="00FD6961">
        <w:t>das companhias do setor</w:t>
      </w:r>
      <w:r w:rsidR="009B5458">
        <w:t xml:space="preserve"> </w:t>
      </w:r>
      <w:r w:rsidR="00F11536">
        <w:t>elétrico</w:t>
      </w:r>
      <w:r w:rsidR="00FD6961">
        <w:t>; c) verificar se as notas explicativas possuem relevância quantitativa e qualitativa.</w:t>
      </w:r>
    </w:p>
    <w:p w:rsidR="00BF7B22" w:rsidRDefault="00BF7B22" w:rsidP="00A82C78">
      <w:pPr>
        <w:spacing w:line="240" w:lineRule="auto"/>
        <w:ind w:firstLine="0"/>
      </w:pPr>
    </w:p>
    <w:p w:rsidR="00000B6E" w:rsidRPr="0069514B" w:rsidRDefault="00964D5B" w:rsidP="00C9294F">
      <w:pPr>
        <w:pStyle w:val="Pargrafoda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 w:rsidRPr="0069514B">
        <w:rPr>
          <w:b/>
        </w:rPr>
        <w:t>NOTAS EXPLICATIVAS</w:t>
      </w:r>
      <w:r w:rsidR="00DB0AFB">
        <w:rPr>
          <w:b/>
        </w:rPr>
        <w:t xml:space="preserve"> NO SETOR ELÉTRICO</w:t>
      </w:r>
    </w:p>
    <w:p w:rsidR="00000B6E" w:rsidRDefault="00000B6E" w:rsidP="00A82C78">
      <w:pPr>
        <w:spacing w:line="240" w:lineRule="auto"/>
        <w:ind w:firstLine="0"/>
      </w:pPr>
    </w:p>
    <w:p w:rsidR="00297B1D" w:rsidRDefault="004E1830" w:rsidP="00A82C78">
      <w:pPr>
        <w:pStyle w:val="PargrafodaLista"/>
        <w:spacing w:line="240" w:lineRule="auto"/>
        <w:ind w:left="0"/>
      </w:pPr>
      <w:r>
        <w:t>Para atender à</w:t>
      </w:r>
      <w:r w:rsidR="002618BA">
        <w:t xml:space="preserve">s necessidades dos usuários, as entidades devem </w:t>
      </w:r>
      <w:r w:rsidR="00964D5B">
        <w:t>evidenciar</w:t>
      </w:r>
      <w:r w:rsidR="002618BA">
        <w:t xml:space="preserve"> as demonstrações contábeis. As notas explicativas, que também fazem parte das demonstrações contábeis, </w:t>
      </w:r>
      <w:r w:rsidR="00297B1D">
        <w:t xml:space="preserve">permitem interpretar e compreender melhor as informações contábeis, por meio de informações complementares. </w:t>
      </w:r>
      <w:r w:rsidR="001D6E82">
        <w:t>As informações contidas nas notas explicativas devem ser relevantes, complementares e/ou suplementares àquelas não suficientemente evidenciadas ou não constantes nas demonstrações contábeis (CFC, 2009, p. 326).</w:t>
      </w:r>
      <w:r w:rsidR="000E43C5">
        <w:t xml:space="preserve"> Portando,</w:t>
      </w:r>
      <w:r w:rsidR="0069514B">
        <w:t xml:space="preserve"> devem ter uma linguagem clara,</w:t>
      </w:r>
      <w:r w:rsidR="000E43C5">
        <w:t xml:space="preserve"> precisa e fornecer informações </w:t>
      </w:r>
      <w:r w:rsidR="0093225A">
        <w:t xml:space="preserve">de maneira ordenada </w:t>
      </w:r>
      <w:r w:rsidR="000E43C5">
        <w:t xml:space="preserve">que </w:t>
      </w:r>
      <w:r w:rsidR="003C4224">
        <w:t>contribuam para a interpretação das demonstrações contábeis.</w:t>
      </w:r>
      <w:r w:rsidR="007666E2">
        <w:t xml:space="preserve"> </w:t>
      </w:r>
    </w:p>
    <w:p w:rsidR="007666E2" w:rsidRDefault="005E7EF4" w:rsidP="00A82C78">
      <w:pPr>
        <w:pStyle w:val="PargrafodaLista"/>
        <w:spacing w:line="240" w:lineRule="auto"/>
        <w:ind w:left="0"/>
      </w:pPr>
      <w:r>
        <w:t xml:space="preserve">A obrigatoriedade de divulgação das notas explicativas está prevista no </w:t>
      </w:r>
      <w:r>
        <w:rPr>
          <w:rFonts w:cs="Times New Roman"/>
        </w:rPr>
        <w:t>§</w:t>
      </w:r>
      <w:r>
        <w:t xml:space="preserve"> 4º do artigo 176 da Lei </w:t>
      </w:r>
      <w:r w:rsidR="00853A1C">
        <w:t>n 6.404/</w:t>
      </w:r>
      <w:r w:rsidR="00B0619E">
        <w:t>19</w:t>
      </w:r>
      <w:r w:rsidR="00853A1C">
        <w:t xml:space="preserve">76, que dispõe: “as demonstrações serão complementadas por notas explicativas e outros quadros analíticos ou </w:t>
      </w:r>
      <w:r w:rsidR="005F25A4">
        <w:t>demonstrações contábeis necessárias</w:t>
      </w:r>
      <w:r w:rsidR="00853A1C">
        <w:t xml:space="preserve"> para esclarecimento da situação patrimonial e dos resultados do </w:t>
      </w:r>
      <w:r w:rsidR="004E1830">
        <w:t>exercício”</w:t>
      </w:r>
      <w:r w:rsidR="00853A1C">
        <w:t>. Conforme estabelecido na Lei das Sociedades por Ações, devem constar em notas explicativas as informações que foram utilizadas como base para a elaboração das demonstrações, além das práticas contá</w:t>
      </w:r>
      <w:r w:rsidR="00B0619E">
        <w:t xml:space="preserve">beis adotadas. </w:t>
      </w:r>
      <w:r w:rsidR="00760D7C">
        <w:t xml:space="preserve">Observa-se </w:t>
      </w:r>
      <w:r w:rsidR="00964D5B">
        <w:t>a possibilidade de</w:t>
      </w:r>
      <w:r w:rsidR="00760D7C">
        <w:t xml:space="preserve"> apresentar, por meio das notas explicativas, </w:t>
      </w:r>
      <w:bookmarkStart w:id="0" w:name="_GoBack"/>
      <w:r w:rsidR="00760D7C">
        <w:t>quadro</w:t>
      </w:r>
      <w:bookmarkEnd w:id="0"/>
      <w:r w:rsidR="00760D7C">
        <w:t>s analíticos ou demonstrações contábeis que sejam relevantes</w:t>
      </w:r>
      <w:r w:rsidR="00964D5B">
        <w:t xml:space="preserve">, mas que não são obrigatórios. </w:t>
      </w:r>
      <w:r w:rsidR="00B0619E">
        <w:t>A</w:t>
      </w:r>
      <w:r w:rsidR="00853A1C">
        <w:t xml:space="preserve"> est</w:t>
      </w:r>
      <w:r w:rsidR="00B0619E">
        <w:t>rutura das notas explicativas está exposta pela Resolução CFC 1.185/2009 – NBC TG 26 (R1) e determina que “as notas explicativas devem ser apresentadas, tanto quanto seja p</w:t>
      </w:r>
      <w:r w:rsidR="004E1830">
        <w:t>raticável, de forma sistemática</w:t>
      </w:r>
      <w:r w:rsidR="00B0619E">
        <w:t>”.</w:t>
      </w:r>
      <w:r w:rsidR="00760D7C">
        <w:t xml:space="preserve"> Para a definição da forma sistemática, deve-se considerar os efeitos sobre a compreensibil</w:t>
      </w:r>
      <w:r w:rsidR="00964D5B">
        <w:t>idade e comparabilidade das</w:t>
      </w:r>
      <w:r w:rsidR="00760D7C">
        <w:t xml:space="preserve"> demonstrações contábeis. Dessa </w:t>
      </w:r>
      <w:r w:rsidR="00760D7C">
        <w:lastRenderedPageBreak/>
        <w:t>forma, as notas explicativas devem ser elaboradas conforme foram apresentadas as demonstrações contábeis, de referência cruzada com cada item das demonstrações.</w:t>
      </w:r>
    </w:p>
    <w:p w:rsidR="004B6452" w:rsidRDefault="007977C1" w:rsidP="00A82C78">
      <w:pPr>
        <w:spacing w:line="240" w:lineRule="auto"/>
        <w:ind w:firstLine="708"/>
      </w:pPr>
      <w:r>
        <w:t xml:space="preserve">Em conformidade com </w:t>
      </w:r>
      <w:r w:rsidR="0093225A">
        <w:t>Hendriksen e Breda (2009</w:t>
      </w:r>
      <w:r>
        <w:t>)</w:t>
      </w:r>
      <w:r w:rsidR="004E1830">
        <w:t>,</w:t>
      </w:r>
      <w:r w:rsidR="00BF7B22">
        <w:t xml:space="preserve"> o</w:t>
      </w:r>
      <w:r w:rsidR="00297B1D">
        <w:t xml:space="preserve"> objetivo</w:t>
      </w:r>
      <w:r w:rsidR="0093225A">
        <w:t xml:space="preserve"> das</w:t>
      </w:r>
      <w:r w:rsidR="00297B1D">
        <w:t xml:space="preserve"> notas explicativas deve ser o fornecimento de informação que não pode ser apresentada adequadamente no corpo de uma demonstração sem red</w:t>
      </w:r>
      <w:r>
        <w:t>uzir a</w:t>
      </w:r>
      <w:r w:rsidR="004E1830">
        <w:t xml:space="preserve"> sua clareza</w:t>
      </w:r>
      <w:r w:rsidR="00297B1D">
        <w:t>.</w:t>
      </w:r>
      <w:r w:rsidR="004E1830">
        <w:t xml:space="preserve"> Corroborando</w:t>
      </w:r>
      <w:r>
        <w:t xml:space="preserve"> essa ideia</w:t>
      </w:r>
      <w:r w:rsidR="004E1830">
        <w:t>,</w:t>
      </w:r>
      <w:r>
        <w:t xml:space="preserve"> </w:t>
      </w:r>
      <w:r w:rsidR="00C329A0">
        <w:t>Iudícibus et al</w:t>
      </w:r>
      <w:r w:rsidR="004E1830">
        <w:t>.</w:t>
      </w:r>
      <w:r w:rsidR="00C329A0">
        <w:t xml:space="preserve"> (2010</w:t>
      </w:r>
      <w:r>
        <w:t xml:space="preserve">) </w:t>
      </w:r>
      <w:r w:rsidR="00C329A0">
        <w:t>explica</w:t>
      </w:r>
      <w:r w:rsidR="004E1830">
        <w:t>m</w:t>
      </w:r>
      <w:r w:rsidR="00C329A0">
        <w:t xml:space="preserve"> que a elaboração das notas explicativas vem ao encontro do pressuposto básico da contabilidade</w:t>
      </w:r>
      <w:r w:rsidR="004E1830">
        <w:t>,</w:t>
      </w:r>
      <w:r w:rsidR="00C329A0">
        <w:t xml:space="preserve"> que é a evidenciação, garantindo aos usuários informações completas e confiáveis sobre a situação financeira e os resultados da companhia. </w:t>
      </w:r>
      <w:r w:rsidR="003A2E49">
        <w:t>A</w:t>
      </w:r>
      <w:r w:rsidR="004B6452">
        <w:t>ssim sendo, a</w:t>
      </w:r>
      <w:r w:rsidR="003A2E49">
        <w:t>s informações apresentadas em notas explicativas devem ser sufici</w:t>
      </w:r>
      <w:r w:rsidR="004B6452">
        <w:t>entes para os inter</w:t>
      </w:r>
      <w:r w:rsidR="006E1140">
        <w:t>esses dos usuários e devem ser</w:t>
      </w:r>
      <w:r w:rsidR="004E1830">
        <w:t xml:space="preserve"> compreensíveis</w:t>
      </w:r>
      <w:r w:rsidR="004B6452">
        <w:t xml:space="preserve"> para aqueles que não são </w:t>
      </w:r>
      <w:r w:rsidR="00DB0AFB">
        <w:t>especialistas</w:t>
      </w:r>
      <w:r w:rsidR="004B6452">
        <w:t xml:space="preserve"> </w:t>
      </w:r>
      <w:r w:rsidR="00DB0AFB">
        <w:t>em</w:t>
      </w:r>
      <w:r w:rsidR="004B6452">
        <w:t xml:space="preserve"> contabilidade.</w:t>
      </w:r>
    </w:p>
    <w:p w:rsidR="00EB3AC0" w:rsidRDefault="003A2E49" w:rsidP="00A82C78">
      <w:pPr>
        <w:spacing w:line="240" w:lineRule="auto"/>
        <w:ind w:firstLine="708"/>
      </w:pPr>
      <w:r>
        <w:t>Desse modo</w:t>
      </w:r>
      <w:r w:rsidR="008A38DD">
        <w:t>,</w:t>
      </w:r>
      <w:r>
        <w:t xml:space="preserve"> entende-se que as informações contidas em notas explicativas devem acrescentar e valorizar as demonstrações financeiras. Portanto, não devem ser usadas como substitutas dos relatórios contábeis e nem usadas para corrigir informações inadequadas apresentadas nesses relatórios.</w:t>
      </w:r>
      <w:r w:rsidR="00993A01">
        <w:t xml:space="preserve"> Tam</w:t>
      </w:r>
      <w:r w:rsidR="00F8196D">
        <w:t>bém nã</w:t>
      </w:r>
      <w:r w:rsidR="00993A01">
        <w:t>o devem contradizer ou repetir informações já contidas nas demonstrações</w:t>
      </w:r>
      <w:r w:rsidR="00F8196D">
        <w:t xml:space="preserve"> (HENDRIK</w:t>
      </w:r>
      <w:r w:rsidR="00867D77">
        <w:t>S</w:t>
      </w:r>
      <w:r w:rsidR="00F8196D">
        <w:t>EN; BREDA, 2009). Há que se considerar, portanto, que sua finalidade é complementar as demonstrações contábeis, de forma que esclareça</w:t>
      </w:r>
      <w:r w:rsidR="008A38DD">
        <w:t>m</w:t>
      </w:r>
      <w:r w:rsidR="00F8196D">
        <w:t xml:space="preserve"> os eventos que ficaram </w:t>
      </w:r>
      <w:r w:rsidR="00F24847">
        <w:t>obscuros.</w:t>
      </w:r>
      <w:r w:rsidR="00F8196D">
        <w:t xml:space="preserve"> </w:t>
      </w:r>
    </w:p>
    <w:p w:rsidR="008B768B" w:rsidRDefault="008B768B" w:rsidP="00A82C78">
      <w:pPr>
        <w:spacing w:line="240" w:lineRule="auto"/>
        <w:ind w:firstLine="708"/>
      </w:pPr>
      <w:r>
        <w:t>A evidenciação das notas explicativas por vezes pode não proporcionar aos usuários o seu perfeito entendimento. Os autores Hendrik</w:t>
      </w:r>
      <w:r w:rsidR="00867D77">
        <w:t>s</w:t>
      </w:r>
      <w:r>
        <w:t xml:space="preserve">en e Breda (2009, p. 525) relacionaram as principais vantagens e desvantagens </w:t>
      </w:r>
      <w:r w:rsidR="005A4C85">
        <w:t>das notas explicativas</w:t>
      </w:r>
      <w:r>
        <w:t>:</w:t>
      </w:r>
    </w:p>
    <w:p w:rsidR="005A4C85" w:rsidRDefault="005A4C85" w:rsidP="00A82C78">
      <w:pPr>
        <w:spacing w:line="240" w:lineRule="auto"/>
        <w:ind w:firstLine="708"/>
      </w:pPr>
    </w:p>
    <w:p w:rsidR="00A82C78" w:rsidRDefault="005A4C85" w:rsidP="005A4C85">
      <w:pPr>
        <w:spacing w:line="240" w:lineRule="auto"/>
        <w:ind w:firstLine="0"/>
      </w:pPr>
      <w:r>
        <w:t>Tabela 1. Principais vantagens e desvantagens das notas explicativas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768B" w:rsidTr="00BE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B768B" w:rsidRPr="00DB0AFB" w:rsidRDefault="00BE12E0" w:rsidP="00A82C78">
            <w:pPr>
              <w:ind w:firstLine="0"/>
              <w:jc w:val="center"/>
              <w:rPr>
                <w:sz w:val="20"/>
              </w:rPr>
            </w:pPr>
            <w:r w:rsidRPr="00DB0AFB">
              <w:rPr>
                <w:sz w:val="20"/>
              </w:rPr>
              <w:t>VANTAGENS</w:t>
            </w:r>
          </w:p>
        </w:tc>
        <w:tc>
          <w:tcPr>
            <w:tcW w:w="4247" w:type="dxa"/>
            <w:vAlign w:val="center"/>
          </w:tcPr>
          <w:p w:rsidR="008B768B" w:rsidRPr="00DB0AFB" w:rsidRDefault="00BE12E0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0AFB">
              <w:rPr>
                <w:sz w:val="20"/>
              </w:rPr>
              <w:t>DESVANTAGENS</w:t>
            </w:r>
          </w:p>
        </w:tc>
      </w:tr>
      <w:tr w:rsidR="008B768B" w:rsidTr="008A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B768B" w:rsidRPr="00DB0AFB" w:rsidRDefault="008B768B" w:rsidP="00A82C78">
            <w:pPr>
              <w:ind w:firstLine="0"/>
              <w:rPr>
                <w:b w:val="0"/>
                <w:sz w:val="20"/>
              </w:rPr>
            </w:pPr>
            <w:r w:rsidRPr="00DB0AFB">
              <w:rPr>
                <w:b w:val="0"/>
                <w:sz w:val="20"/>
              </w:rPr>
              <w:t>Apresentar informação não quantitativa como parte do relatório financeiro.</w:t>
            </w:r>
          </w:p>
        </w:tc>
        <w:tc>
          <w:tcPr>
            <w:tcW w:w="4247" w:type="dxa"/>
            <w:vAlign w:val="center"/>
          </w:tcPr>
          <w:p w:rsidR="008B768B" w:rsidRPr="00DB0AFB" w:rsidRDefault="008B768B" w:rsidP="00A82C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0AFB">
              <w:rPr>
                <w:sz w:val="20"/>
              </w:rPr>
              <w:t>Tendem a ser de difícil leitura e entendimento sem estudo considerável e</w:t>
            </w:r>
            <w:r w:rsidR="008A38DD">
              <w:rPr>
                <w:sz w:val="20"/>
              </w:rPr>
              <w:t>,</w:t>
            </w:r>
            <w:r w:rsidRPr="00DB0AFB">
              <w:rPr>
                <w:sz w:val="20"/>
              </w:rPr>
              <w:t xml:space="preserve"> portanto, podem vir a ser ignoradas</w:t>
            </w:r>
            <w:r w:rsidR="008A38DD">
              <w:rPr>
                <w:sz w:val="20"/>
              </w:rPr>
              <w:t>.</w:t>
            </w:r>
          </w:p>
        </w:tc>
      </w:tr>
      <w:tr w:rsidR="008B768B" w:rsidTr="008A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B768B" w:rsidRPr="00DB0AFB" w:rsidRDefault="008B768B" w:rsidP="00A82C78">
            <w:pPr>
              <w:ind w:firstLine="0"/>
              <w:rPr>
                <w:b w:val="0"/>
                <w:sz w:val="20"/>
              </w:rPr>
            </w:pPr>
            <w:r w:rsidRPr="00DB0AFB">
              <w:rPr>
                <w:b w:val="0"/>
                <w:sz w:val="20"/>
              </w:rPr>
              <w:t>Divulgar ressalvas e restrições a itens contidos nas demonstrações.</w:t>
            </w:r>
          </w:p>
        </w:tc>
        <w:tc>
          <w:tcPr>
            <w:tcW w:w="4247" w:type="dxa"/>
            <w:vAlign w:val="center"/>
          </w:tcPr>
          <w:p w:rsidR="008B768B" w:rsidRPr="00DB0AFB" w:rsidRDefault="008B768B" w:rsidP="00A82C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0AFB">
              <w:rPr>
                <w:sz w:val="20"/>
              </w:rPr>
              <w:t>As descrições textuais são mais difíceis em termos de utilização para tomada de decisões do que resumos de dados quantitativos nas demonstrações.</w:t>
            </w:r>
          </w:p>
        </w:tc>
      </w:tr>
      <w:tr w:rsidR="008B768B" w:rsidTr="008A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B768B" w:rsidRPr="00DB0AFB" w:rsidRDefault="008B768B" w:rsidP="00A82C78">
            <w:pPr>
              <w:ind w:firstLine="0"/>
              <w:rPr>
                <w:b w:val="0"/>
                <w:sz w:val="20"/>
              </w:rPr>
            </w:pPr>
            <w:r w:rsidRPr="00DB0AFB">
              <w:rPr>
                <w:b w:val="0"/>
                <w:sz w:val="20"/>
              </w:rPr>
              <w:t>Apresentar mais detalhes do que é possível nas demonstrações.</w:t>
            </w:r>
          </w:p>
        </w:tc>
        <w:tc>
          <w:tcPr>
            <w:tcW w:w="4247" w:type="dxa"/>
            <w:vMerge w:val="restart"/>
            <w:vAlign w:val="center"/>
          </w:tcPr>
          <w:p w:rsidR="008B768B" w:rsidRPr="00DB0AFB" w:rsidRDefault="008B768B" w:rsidP="00A82C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0AFB">
              <w:rPr>
                <w:sz w:val="20"/>
              </w:rPr>
              <w:t>Por causa da crescente complexidade das empresas, há o risco de abuso das notas explicativas, em lugar do desenvolvimento apropriado de princípios visando à incorporação de novas relações e novos eventos nas demonstrações propriamente ditas.</w:t>
            </w:r>
          </w:p>
        </w:tc>
      </w:tr>
      <w:tr w:rsidR="008B768B" w:rsidRPr="00BE12E0" w:rsidTr="008A3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B768B" w:rsidRPr="008A38DD" w:rsidRDefault="008B768B" w:rsidP="00A82C78">
            <w:pPr>
              <w:ind w:firstLine="0"/>
              <w:rPr>
                <w:b w:val="0"/>
                <w:sz w:val="20"/>
              </w:rPr>
            </w:pPr>
            <w:r w:rsidRPr="008A38DD">
              <w:rPr>
                <w:b w:val="0"/>
                <w:sz w:val="20"/>
              </w:rPr>
              <w:t>Apresentar material quantitativo ou descritivo de importância secundária.</w:t>
            </w:r>
          </w:p>
        </w:tc>
        <w:tc>
          <w:tcPr>
            <w:tcW w:w="4247" w:type="dxa"/>
            <w:vMerge/>
          </w:tcPr>
          <w:p w:rsidR="008B768B" w:rsidRPr="00BE12E0" w:rsidRDefault="008B768B" w:rsidP="00A82C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72B0" w:rsidRDefault="00BE12E0" w:rsidP="005A4C85">
      <w:pPr>
        <w:spacing w:line="240" w:lineRule="auto"/>
        <w:ind w:firstLine="0"/>
        <w:jc w:val="left"/>
        <w:rPr>
          <w:sz w:val="20"/>
        </w:rPr>
      </w:pPr>
      <w:r w:rsidRPr="00BE12E0">
        <w:rPr>
          <w:sz w:val="20"/>
        </w:rPr>
        <w:t>Fonte: Hendrik</w:t>
      </w:r>
      <w:r w:rsidR="00867D77">
        <w:rPr>
          <w:sz w:val="20"/>
        </w:rPr>
        <w:t>s</w:t>
      </w:r>
      <w:r w:rsidRPr="00BE12E0">
        <w:rPr>
          <w:sz w:val="20"/>
        </w:rPr>
        <w:t>en e Brenda (2009, p. 525)</w:t>
      </w:r>
    </w:p>
    <w:p w:rsidR="009572B0" w:rsidRDefault="009572B0" w:rsidP="00A82C78">
      <w:pPr>
        <w:spacing w:line="240" w:lineRule="auto"/>
        <w:ind w:firstLine="0"/>
        <w:jc w:val="center"/>
        <w:rPr>
          <w:sz w:val="20"/>
        </w:rPr>
      </w:pPr>
    </w:p>
    <w:p w:rsidR="002239D3" w:rsidRDefault="00610919" w:rsidP="00A82C78">
      <w:pPr>
        <w:spacing w:line="240" w:lineRule="auto"/>
        <w:ind w:firstLine="0"/>
      </w:pPr>
      <w:r>
        <w:tab/>
      </w:r>
      <w:r w:rsidR="0069514B">
        <w:t>Diante do evidenciado</w:t>
      </w:r>
      <w:r w:rsidR="00FF4557">
        <w:t>, observa-se que</w:t>
      </w:r>
      <w:r w:rsidR="008A38DD">
        <w:t>,</w:t>
      </w:r>
      <w:r w:rsidR="00FF4557">
        <w:t xml:space="preserve"> ao elaborar as notas explicativas</w:t>
      </w:r>
      <w:r w:rsidR="008A38DD">
        <w:t>,</w:t>
      </w:r>
      <w:r w:rsidR="00FF4557">
        <w:t xml:space="preserve"> a entidade deve analisar aspectos relevantes para conseguir alcançar o objetivo </w:t>
      </w:r>
      <w:r w:rsidR="0069514B">
        <w:t>da divulgação</w:t>
      </w:r>
      <w:r w:rsidR="00FF4557">
        <w:t>.</w:t>
      </w:r>
      <w:r w:rsidR="002239D3">
        <w:t xml:space="preserve"> Torna-se necessário que as informações contidas em notas explicativas devem ter: relevância, compreensibilidade, confiabilidade e comparabilidade.</w:t>
      </w:r>
    </w:p>
    <w:p w:rsidR="00E15154" w:rsidRDefault="00262E3A" w:rsidP="00A82C78">
      <w:pPr>
        <w:spacing w:line="240" w:lineRule="auto"/>
      </w:pPr>
      <w:r>
        <w:t>As notas explicativas fornecem descrições e detalhamentos acerca da elaboração das de</w:t>
      </w:r>
      <w:r w:rsidR="00E15154">
        <w:t>monstrações contábeis. Além de ofere</w:t>
      </w:r>
      <w:r>
        <w:t xml:space="preserve">cer informações que esclarecem dúvidas a respeito das </w:t>
      </w:r>
      <w:r>
        <w:lastRenderedPageBreak/>
        <w:t xml:space="preserve">operações da entidade, </w:t>
      </w:r>
      <w:r w:rsidR="00E15154">
        <w:t>apresentam</w:t>
      </w:r>
      <w:r>
        <w:t xml:space="preserve"> critérios das práticas contábeis adotadas pela empresa.</w:t>
      </w:r>
      <w:r w:rsidR="00E15154">
        <w:t xml:space="preserve"> </w:t>
      </w:r>
      <w:r w:rsidR="000E617A">
        <w:t>Nesse sentido</w:t>
      </w:r>
      <w:r w:rsidR="00E15154">
        <w:t>, conforme apresentado por Almeida (2014, p.162)</w:t>
      </w:r>
      <w:r w:rsidR="008A38DD">
        <w:t>,</w:t>
      </w:r>
      <w:r w:rsidR="00E15154">
        <w:t xml:space="preserve"> as notas explicativas devem: </w:t>
      </w:r>
    </w:p>
    <w:p w:rsidR="00CA74C5" w:rsidRDefault="00CA74C5" w:rsidP="00A82C78">
      <w:pPr>
        <w:spacing w:line="240" w:lineRule="auto"/>
      </w:pPr>
    </w:p>
    <w:p w:rsidR="00CA74C5" w:rsidRDefault="00CA74C5" w:rsidP="00CA74C5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 w:rsidRPr="00E15154">
        <w:rPr>
          <w:sz w:val="20"/>
        </w:rPr>
        <w:t xml:space="preserve">Apresentar informação acerca da </w:t>
      </w:r>
      <w:r w:rsidRPr="00E15154">
        <w:rPr>
          <w:i/>
          <w:sz w:val="20"/>
        </w:rPr>
        <w:t>base para a elaboração</w:t>
      </w:r>
      <w:r w:rsidRPr="00E15154">
        <w:rPr>
          <w:sz w:val="20"/>
        </w:rPr>
        <w:t xml:space="preserve"> das demonstrações contábeis e das políticas contábeis</w:t>
      </w:r>
      <w:r>
        <w:rPr>
          <w:sz w:val="20"/>
        </w:rPr>
        <w:t xml:space="preserve"> específicas utilizadas;</w:t>
      </w:r>
    </w:p>
    <w:p w:rsidR="00CA74C5" w:rsidRDefault="00CA74C5" w:rsidP="00CA74C5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D</w:t>
      </w:r>
      <w:r w:rsidRPr="00E15154">
        <w:rPr>
          <w:sz w:val="20"/>
        </w:rPr>
        <w:t xml:space="preserve">ivulgar </w:t>
      </w:r>
      <w:r w:rsidRPr="00E15154">
        <w:rPr>
          <w:i/>
          <w:sz w:val="20"/>
        </w:rPr>
        <w:t>a informação requerida</w:t>
      </w:r>
      <w:r w:rsidRPr="00E15154">
        <w:rPr>
          <w:sz w:val="20"/>
        </w:rPr>
        <w:t xml:space="preserve"> </w:t>
      </w:r>
      <w:r w:rsidRPr="00E15154">
        <w:rPr>
          <w:i/>
          <w:sz w:val="20"/>
        </w:rPr>
        <w:t>pelos Pronunciamentos Técnicos, Orientações e Interpretações do CPC</w:t>
      </w:r>
      <w:r w:rsidRPr="00E15154">
        <w:rPr>
          <w:sz w:val="20"/>
        </w:rPr>
        <w:t xml:space="preserve"> que não tenha sido apresentada nas demonstrações</w:t>
      </w:r>
      <w:r>
        <w:rPr>
          <w:sz w:val="20"/>
        </w:rPr>
        <w:t>.</w:t>
      </w:r>
    </w:p>
    <w:p w:rsidR="00CA74C5" w:rsidRPr="00E15154" w:rsidRDefault="00CA74C5" w:rsidP="00CA74C5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Prover</w:t>
      </w:r>
      <w:r w:rsidRPr="00E15154">
        <w:rPr>
          <w:sz w:val="20"/>
        </w:rPr>
        <w:t xml:space="preserve"> </w:t>
      </w:r>
      <w:r w:rsidRPr="00E15154">
        <w:rPr>
          <w:i/>
          <w:sz w:val="20"/>
        </w:rPr>
        <w:t>informação adicional</w:t>
      </w:r>
      <w:r w:rsidRPr="00E15154">
        <w:rPr>
          <w:sz w:val="20"/>
        </w:rPr>
        <w:t xml:space="preserve"> que não tenha sido apresentada nas demonstrações contábeis, mas que seja relevante para sua compreensão.</w:t>
      </w:r>
    </w:p>
    <w:p w:rsidR="00E15154" w:rsidRPr="00E15154" w:rsidRDefault="00E15154" w:rsidP="00A82C78">
      <w:pPr>
        <w:spacing w:line="240" w:lineRule="auto"/>
        <w:ind w:firstLine="0"/>
        <w:rPr>
          <w:sz w:val="20"/>
        </w:rPr>
      </w:pPr>
    </w:p>
    <w:p w:rsidR="000E617A" w:rsidRDefault="000E617A" w:rsidP="00A82C78">
      <w:pPr>
        <w:spacing w:line="240" w:lineRule="auto"/>
      </w:pPr>
      <w:r>
        <w:t>Ao divulgar a base para a elaboração, as informações requeridas pelos Pronunciamentos Técnic</w:t>
      </w:r>
      <w:r w:rsidR="008A38DD">
        <w:t>os e as informações adicionais à</w:t>
      </w:r>
      <w:r>
        <w:t>s notas explicativas facilitam a interpretação das informações contidas nas demonstrações contábeis.</w:t>
      </w:r>
    </w:p>
    <w:p w:rsidR="00794437" w:rsidRDefault="00794437" w:rsidP="00A82C78">
      <w:pPr>
        <w:spacing w:line="240" w:lineRule="auto"/>
      </w:pPr>
      <w:r>
        <w:t>Com o propósito de assessorar os usuários na compreensão das demonstrações contábeis</w:t>
      </w:r>
      <w:r w:rsidR="008A38DD">
        <w:t>,</w:t>
      </w:r>
      <w:r>
        <w:t xml:space="preserve"> o CPC 26 (R1) sugere a seguinte ordem de apresentação:</w:t>
      </w:r>
    </w:p>
    <w:p w:rsidR="005A4C85" w:rsidRDefault="005A4C85" w:rsidP="00A82C78">
      <w:pPr>
        <w:spacing w:line="240" w:lineRule="auto"/>
      </w:pPr>
    </w:p>
    <w:p w:rsidR="00CA74C5" w:rsidRDefault="002C560A" w:rsidP="005A4C85">
      <w:pPr>
        <w:spacing w:line="240" w:lineRule="auto"/>
        <w:ind w:firstLine="0"/>
      </w:pPr>
      <w:r>
        <w:t>Tabela 2.</w:t>
      </w:r>
      <w:r w:rsidR="005A4C85">
        <w:t xml:space="preserve"> Estrutura das notas explicativas</w:t>
      </w:r>
    </w:p>
    <w:tbl>
      <w:tblPr>
        <w:tblW w:w="874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5"/>
      </w:tblGrid>
      <w:tr w:rsidR="00794437" w:rsidRPr="00F15C22" w:rsidTr="00F849AA">
        <w:trPr>
          <w:trHeight w:val="1995"/>
        </w:trPr>
        <w:tc>
          <w:tcPr>
            <w:tcW w:w="87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eladeGrade5Escura-nfase3"/>
              <w:tblW w:w="0" w:type="auto"/>
              <w:tblLook w:val="04A0" w:firstRow="1" w:lastRow="0" w:firstColumn="1" w:lastColumn="0" w:noHBand="0" w:noVBand="1"/>
            </w:tblPr>
            <w:tblGrid>
              <w:gridCol w:w="3753"/>
              <w:gridCol w:w="4698"/>
            </w:tblGrid>
            <w:tr w:rsidR="00794437" w:rsidTr="00F849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3" w:type="dxa"/>
                  <w:vAlign w:val="center"/>
                </w:tcPr>
                <w:p w:rsidR="00794437" w:rsidRPr="00DB0AFB" w:rsidRDefault="00794437" w:rsidP="00A82C78">
                  <w:pPr>
                    <w:ind w:firstLine="0"/>
                    <w:jc w:val="center"/>
                    <w:rPr>
                      <w:color w:val="auto"/>
                      <w:sz w:val="20"/>
                    </w:rPr>
                  </w:pPr>
                  <w:r w:rsidRPr="00DB0AFB">
                    <w:rPr>
                      <w:color w:val="auto"/>
                      <w:sz w:val="20"/>
                    </w:rPr>
                    <w:t>INFORMAÇÕES GERAIS</w:t>
                  </w:r>
                </w:p>
              </w:tc>
              <w:tc>
                <w:tcPr>
                  <w:tcW w:w="4698" w:type="dxa"/>
                  <w:shd w:val="clear" w:color="auto" w:fill="F2F2F2" w:themeFill="background1" w:themeFillShade="F2"/>
                </w:tcPr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</w:rPr>
                  </w:pPr>
                  <w:r w:rsidRPr="00DB0AFB">
                    <w:rPr>
                      <w:b w:val="0"/>
                      <w:bCs w:val="0"/>
                      <w:color w:val="auto"/>
                      <w:sz w:val="20"/>
                    </w:rPr>
                    <w:t>Natureza jurídica e domicílio da entidade;</w:t>
                  </w:r>
                </w:p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</w:rPr>
                  </w:pPr>
                  <w:r w:rsidRPr="00DB0AFB">
                    <w:rPr>
                      <w:b w:val="0"/>
                      <w:bCs w:val="0"/>
                      <w:color w:val="auto"/>
                      <w:sz w:val="20"/>
                    </w:rPr>
                    <w:t>Dar destaque para as áreas de atividades que a entidade considera mais relevantes;</w:t>
                  </w:r>
                </w:p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</w:rPr>
                  </w:pPr>
                  <w:r w:rsidRPr="00DB0AFB">
                    <w:rPr>
                      <w:b w:val="0"/>
                      <w:bCs w:val="0"/>
                      <w:color w:val="auto"/>
                      <w:sz w:val="20"/>
                    </w:rPr>
                    <w:t>Declaração de conformidade com os Pronunciamentos Técnicos, Orientações e Interpretações do CPC;</w:t>
                  </w:r>
                </w:p>
                <w:p w:rsidR="00794437" w:rsidRPr="00DB0AFB" w:rsidRDefault="00794437" w:rsidP="00A82C78">
                  <w:pPr>
                    <w:ind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0"/>
                    </w:rPr>
                  </w:pPr>
                </w:p>
              </w:tc>
            </w:tr>
            <w:tr w:rsidR="00794437" w:rsidTr="00F84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3" w:type="dxa"/>
                  <w:vAlign w:val="center"/>
                </w:tcPr>
                <w:p w:rsidR="00794437" w:rsidRPr="00DB0AFB" w:rsidRDefault="00794437" w:rsidP="00A82C78">
                  <w:pPr>
                    <w:ind w:firstLine="0"/>
                    <w:jc w:val="center"/>
                    <w:rPr>
                      <w:color w:val="auto"/>
                      <w:sz w:val="20"/>
                    </w:rPr>
                  </w:pPr>
                  <w:r w:rsidRPr="00DB0AFB">
                    <w:rPr>
                      <w:color w:val="auto"/>
                      <w:sz w:val="20"/>
                    </w:rPr>
                    <w:t>RESUMO DAS POLÍTICAS CONTÁBEIS SIGNIFICATIVAS APLICADAS</w:t>
                  </w:r>
                </w:p>
              </w:tc>
              <w:tc>
                <w:tcPr>
                  <w:tcW w:w="4698" w:type="dxa"/>
                </w:tcPr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6"/>
                    </w:num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 xml:space="preserve">Base de </w:t>
                  </w:r>
                  <w:r w:rsidR="008A38DD">
                    <w:rPr>
                      <w:sz w:val="20"/>
                    </w:rPr>
                    <w:t>mensuração utilizada</w:t>
                  </w:r>
                  <w:r w:rsidRPr="00DB0AFB">
                    <w:rPr>
                      <w:sz w:val="20"/>
                    </w:rPr>
                    <w:t>;</w:t>
                  </w:r>
                </w:p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6"/>
                    </w:num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>Novas normas e políticas contábeis alteradas;</w:t>
                  </w:r>
                </w:p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6"/>
                    </w:num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>Outras políticas utilizadas que sejam relevantes;</w:t>
                  </w:r>
                </w:p>
              </w:tc>
            </w:tr>
            <w:tr w:rsidR="00794437" w:rsidTr="00F849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3" w:type="dxa"/>
                  <w:vAlign w:val="center"/>
                </w:tcPr>
                <w:p w:rsidR="00794437" w:rsidRPr="00DB0AFB" w:rsidRDefault="00794437" w:rsidP="00A82C78">
                  <w:pPr>
                    <w:ind w:firstLine="0"/>
                    <w:jc w:val="center"/>
                    <w:rPr>
                      <w:color w:val="auto"/>
                      <w:sz w:val="20"/>
                    </w:rPr>
                  </w:pPr>
                  <w:r w:rsidRPr="00DB0AFB">
                    <w:rPr>
                      <w:color w:val="auto"/>
                      <w:sz w:val="20"/>
                    </w:rPr>
                    <w:t>INFORMAÇÃO DE SUPORTE E DETALHAMENTO</w:t>
                  </w:r>
                </w:p>
              </w:tc>
              <w:tc>
                <w:tcPr>
                  <w:tcW w:w="4698" w:type="dxa"/>
                </w:tcPr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>Apresentação dos itens pela ordem em que cada demonstração e cada rubrica sejam apresentadas;</w:t>
                  </w:r>
                </w:p>
              </w:tc>
            </w:tr>
            <w:tr w:rsidR="00794437" w:rsidTr="00F84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3" w:type="dxa"/>
                  <w:vAlign w:val="center"/>
                </w:tcPr>
                <w:p w:rsidR="00794437" w:rsidRPr="00DB0AFB" w:rsidRDefault="00794437" w:rsidP="00A82C78">
                  <w:pPr>
                    <w:ind w:firstLine="0"/>
                    <w:jc w:val="center"/>
                    <w:rPr>
                      <w:color w:val="auto"/>
                      <w:sz w:val="20"/>
                    </w:rPr>
                  </w:pPr>
                  <w:r w:rsidRPr="00DB0AFB">
                    <w:rPr>
                      <w:color w:val="auto"/>
                      <w:sz w:val="20"/>
                    </w:rPr>
                    <w:t>OUTRAS DIVULGAÇÕES RELEVANTES</w:t>
                  </w:r>
                </w:p>
              </w:tc>
              <w:tc>
                <w:tcPr>
                  <w:tcW w:w="4698" w:type="dxa"/>
                </w:tcPr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>Passivos contingentes e compromissos contratuais não reconhecidos;</w:t>
                  </w:r>
                </w:p>
                <w:p w:rsidR="00794437" w:rsidRPr="00DB0AFB" w:rsidRDefault="00794437" w:rsidP="00A82C78">
                  <w:pPr>
                    <w:pStyle w:val="PargrafodaLista"/>
                    <w:numPr>
                      <w:ilvl w:val="0"/>
                      <w:numId w:val="17"/>
                    </w:numPr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 w:rsidRPr="00DB0AFB">
                    <w:rPr>
                      <w:sz w:val="20"/>
                    </w:rPr>
                    <w:t>Objetivos e políticas de gestão de risco financeiro da entidade;</w:t>
                  </w:r>
                </w:p>
              </w:tc>
            </w:tr>
          </w:tbl>
          <w:p w:rsidR="00794437" w:rsidRPr="00F15C22" w:rsidRDefault="00794437" w:rsidP="00A82C78">
            <w:pPr>
              <w:spacing w:line="240" w:lineRule="auto"/>
              <w:ind w:firstLine="0"/>
              <w:rPr>
                <w:sz w:val="20"/>
              </w:rPr>
            </w:pPr>
          </w:p>
        </w:tc>
      </w:tr>
      <w:tr w:rsidR="00794437" w:rsidRPr="00F15C22" w:rsidTr="00F849AA">
        <w:trPr>
          <w:trHeight w:val="1485"/>
        </w:trPr>
        <w:tc>
          <w:tcPr>
            <w:tcW w:w="87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94437" w:rsidRDefault="00794437" w:rsidP="005A4C85">
            <w:pPr>
              <w:spacing w:line="240" w:lineRule="auto"/>
              <w:ind w:firstLine="0"/>
              <w:jc w:val="left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Fonte: elaborado pel</w:t>
            </w:r>
            <w:r w:rsidR="00D72AA8">
              <w:rPr>
                <w:noProof/>
                <w:sz w:val="20"/>
              </w:rPr>
              <w:t>os autores</w:t>
            </w:r>
            <w:r>
              <w:rPr>
                <w:noProof/>
                <w:sz w:val="20"/>
              </w:rPr>
              <w:t>, 2017.</w:t>
            </w:r>
          </w:p>
          <w:p w:rsidR="00794437" w:rsidRDefault="00794437" w:rsidP="00A82C78">
            <w:pPr>
              <w:spacing w:line="240" w:lineRule="auto"/>
              <w:ind w:firstLine="0"/>
              <w:jc w:val="center"/>
              <w:rPr>
                <w:noProof/>
                <w:sz w:val="20"/>
              </w:rPr>
            </w:pPr>
          </w:p>
          <w:p w:rsidR="00794437" w:rsidRPr="00B804BF" w:rsidRDefault="00794437" w:rsidP="00A82C78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Apresentar as informações em notas explicativas de forma ordenada e sistemática faz com que o usuário possa compará-las com as demonstrações contábeis. Porém, em algumas circunstâncias a forma de apresentação pode ser alterada desde que facilite a leitura das notas explicativas. Contudo, como determina o CPC 26 (R1)</w:t>
            </w:r>
            <w:r w:rsidR="008A38DD">
              <w:rPr>
                <w:noProof/>
              </w:rPr>
              <w:t>,</w:t>
            </w:r>
            <w:r>
              <w:rPr>
                <w:noProof/>
              </w:rPr>
              <w:t xml:space="preserve"> deve ser mantida uma estrutura sistemática até onde </w:t>
            </w:r>
            <w:r w:rsidR="00DB0AFB">
              <w:rPr>
                <w:noProof/>
              </w:rPr>
              <w:t xml:space="preserve">for </w:t>
            </w:r>
            <w:r>
              <w:rPr>
                <w:noProof/>
              </w:rPr>
              <w:t>praticável.</w:t>
            </w:r>
          </w:p>
        </w:tc>
      </w:tr>
    </w:tbl>
    <w:p w:rsidR="0006591D" w:rsidRDefault="000A1A7E" w:rsidP="00A82C78">
      <w:pPr>
        <w:spacing w:line="240" w:lineRule="auto"/>
      </w:pPr>
      <w:r>
        <w:t xml:space="preserve">Segundo o artigo 37 da Lei nº 11.941/09 que alterou o </w:t>
      </w:r>
      <w:r w:rsidR="0006591D">
        <w:rPr>
          <w:rFonts w:cs="Times New Roman"/>
        </w:rPr>
        <w:t>§</w:t>
      </w:r>
      <w:r w:rsidR="0006591D">
        <w:t xml:space="preserve">5º do </w:t>
      </w:r>
      <w:r>
        <w:t>artigo 17</w:t>
      </w:r>
      <w:r w:rsidR="0006591D">
        <w:t>6</w:t>
      </w:r>
      <w:r>
        <w:t xml:space="preserve"> da Lei nº 6.404/76, </w:t>
      </w:r>
      <w:r w:rsidR="000268E1">
        <w:t>devem ser indicados em notas explicativas</w:t>
      </w:r>
      <w:r>
        <w:t>:</w:t>
      </w:r>
    </w:p>
    <w:p w:rsidR="005A4C85" w:rsidRDefault="005A4C85" w:rsidP="005A4C85">
      <w:pPr>
        <w:spacing w:line="240" w:lineRule="auto"/>
        <w:ind w:firstLine="0"/>
      </w:pPr>
    </w:p>
    <w:p w:rsidR="005A4C85" w:rsidRDefault="005A4C85" w:rsidP="005A4C85">
      <w:pPr>
        <w:spacing w:line="240" w:lineRule="auto"/>
        <w:ind w:firstLine="0"/>
      </w:pPr>
      <w:r>
        <w:t>Tabela 3</w:t>
      </w:r>
      <w:r w:rsidR="002C560A">
        <w:t>.</w:t>
      </w:r>
      <w:r>
        <w:t xml:space="preserve"> Exigências na divulgação das notas explicativas propostas pela Lei 6.404/76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591D" w:rsidTr="0006591D">
        <w:tc>
          <w:tcPr>
            <w:tcW w:w="8494" w:type="dxa"/>
          </w:tcPr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Os</w:t>
            </w:r>
            <w:r w:rsidR="0006591D" w:rsidRPr="00DB0AFB">
              <w:rPr>
                <w:sz w:val="20"/>
              </w:rPr>
              <w:t xml:space="preserve"> principais critérios de avaliação dos elementos patrimoniais, especialmente estoques, dos cálculos de depreciação, amortização e exaustão, de constituição de provisões para encargos ou riscos, e dos ajustes para atender a perdas prováveis na realização de elementos do ativo;</w:t>
            </w:r>
          </w:p>
          <w:p w:rsidR="00BD01B9" w:rsidRPr="00DB0AFB" w:rsidRDefault="00BD01B9" w:rsidP="00A82C78">
            <w:pPr>
              <w:ind w:firstLine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lastRenderedPageBreak/>
              <w:t>Os</w:t>
            </w:r>
            <w:r w:rsidR="0006591D" w:rsidRPr="00DB0AFB">
              <w:rPr>
                <w:sz w:val="20"/>
              </w:rPr>
              <w:t xml:space="preserve"> investimentos em outras sociedades, quando relevantes (art. 247, parágrafo único);</w:t>
            </w:r>
          </w:p>
          <w:p w:rsidR="00BD01B9" w:rsidRPr="00DB0AFB" w:rsidRDefault="00BD01B9" w:rsidP="00A82C78">
            <w:pPr>
              <w:pStyle w:val="PargrafodaLista"/>
              <w:ind w:left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O</w:t>
            </w:r>
            <w:r w:rsidR="0006591D" w:rsidRPr="00DB0AFB">
              <w:rPr>
                <w:sz w:val="20"/>
              </w:rPr>
              <w:t xml:space="preserve"> aumento de valor de elementos do ativo resultante de novas avaliações (art. 182, § 3</w:t>
            </w:r>
            <w:r w:rsidR="008A38DD">
              <w:rPr>
                <w:rFonts w:cs="Times New Roman"/>
                <w:sz w:val="20"/>
              </w:rPr>
              <w:t>°</w:t>
            </w:r>
            <w:r w:rsidR="0006591D" w:rsidRPr="00DB0AFB">
              <w:rPr>
                <w:sz w:val="20"/>
              </w:rPr>
              <w:t>);</w:t>
            </w:r>
          </w:p>
          <w:p w:rsidR="00BD01B9" w:rsidRPr="00DB0AFB" w:rsidRDefault="00BD01B9" w:rsidP="00A82C78">
            <w:pPr>
              <w:ind w:firstLine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Os</w:t>
            </w:r>
            <w:r w:rsidR="0006591D" w:rsidRPr="00DB0AFB">
              <w:rPr>
                <w:sz w:val="20"/>
              </w:rPr>
              <w:t xml:space="preserve"> ônus reais constituídos sobre elementos do ativo, as garantias prestadas a terceiros e </w:t>
            </w:r>
            <w:r w:rsidRPr="00DB0AFB">
              <w:rPr>
                <w:sz w:val="20"/>
              </w:rPr>
              <w:t xml:space="preserve">outras </w:t>
            </w:r>
            <w:r w:rsidR="0006591D" w:rsidRPr="00DB0AFB">
              <w:rPr>
                <w:sz w:val="20"/>
              </w:rPr>
              <w:t>responsabilidades eventuais ou contingentes;</w:t>
            </w:r>
          </w:p>
          <w:p w:rsidR="00BD01B9" w:rsidRPr="00DB0AFB" w:rsidRDefault="00BD01B9" w:rsidP="00A82C78">
            <w:pPr>
              <w:ind w:firstLine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A</w:t>
            </w:r>
            <w:r w:rsidR="0006591D" w:rsidRPr="00DB0AFB">
              <w:rPr>
                <w:sz w:val="20"/>
              </w:rPr>
              <w:t xml:space="preserve"> taxa de juros, as datas de vencimento</w:t>
            </w:r>
            <w:r w:rsidR="008A38DD">
              <w:rPr>
                <w:sz w:val="20"/>
              </w:rPr>
              <w:t xml:space="preserve"> e as garantias das obrigações em</w:t>
            </w:r>
            <w:r w:rsidR="0006591D" w:rsidRPr="00DB0AFB">
              <w:rPr>
                <w:sz w:val="20"/>
              </w:rPr>
              <w:t xml:space="preserve"> longo prazo;</w:t>
            </w:r>
          </w:p>
          <w:p w:rsidR="00BD01B9" w:rsidRPr="00DB0AFB" w:rsidRDefault="00BD01B9" w:rsidP="00A82C78">
            <w:pPr>
              <w:pStyle w:val="PargrafodaLista"/>
              <w:ind w:left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O</w:t>
            </w:r>
            <w:r w:rsidR="0006591D" w:rsidRPr="00DB0AFB">
              <w:rPr>
                <w:sz w:val="20"/>
              </w:rPr>
              <w:t xml:space="preserve"> número, espécies e classes das ações do capital social;</w:t>
            </w:r>
          </w:p>
          <w:p w:rsidR="00BD01B9" w:rsidRPr="00DB0AFB" w:rsidRDefault="00BD01B9" w:rsidP="00A82C78">
            <w:pPr>
              <w:ind w:firstLine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As</w:t>
            </w:r>
            <w:r w:rsidR="0006591D" w:rsidRPr="00DB0AFB">
              <w:rPr>
                <w:sz w:val="20"/>
              </w:rPr>
              <w:t xml:space="preserve"> opções de compra de ações outorgadas e exercidas no exercício;</w:t>
            </w:r>
          </w:p>
          <w:p w:rsidR="00BD01B9" w:rsidRPr="00DB0AFB" w:rsidRDefault="00BD01B9" w:rsidP="00A82C78">
            <w:pPr>
              <w:pStyle w:val="PargrafodaLista"/>
              <w:ind w:left="0"/>
              <w:rPr>
                <w:sz w:val="20"/>
              </w:rPr>
            </w:pPr>
          </w:p>
          <w:p w:rsidR="00BD01B9" w:rsidRPr="00DB0AFB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0"/>
              </w:rPr>
            </w:pPr>
            <w:r w:rsidRPr="00DB0AFB">
              <w:rPr>
                <w:sz w:val="20"/>
              </w:rPr>
              <w:t>Os</w:t>
            </w:r>
            <w:r w:rsidR="0006591D" w:rsidRPr="00DB0AFB">
              <w:rPr>
                <w:sz w:val="20"/>
              </w:rPr>
              <w:t xml:space="preserve"> ajustes de exerc</w:t>
            </w:r>
            <w:r w:rsidR="008A38DD">
              <w:rPr>
                <w:sz w:val="20"/>
              </w:rPr>
              <w:t>ícios anteriores (art. 186, § 1</w:t>
            </w:r>
            <w:r w:rsidR="008A38DD">
              <w:rPr>
                <w:rFonts w:cs="Times New Roman"/>
                <w:sz w:val="20"/>
              </w:rPr>
              <w:t>°</w:t>
            </w:r>
            <w:r w:rsidR="0006591D" w:rsidRPr="00DB0AFB">
              <w:rPr>
                <w:sz w:val="20"/>
              </w:rPr>
              <w:t>); e</w:t>
            </w:r>
          </w:p>
          <w:p w:rsidR="00BD01B9" w:rsidRPr="00DB0AFB" w:rsidRDefault="00BD01B9" w:rsidP="00A82C78">
            <w:pPr>
              <w:ind w:firstLine="0"/>
              <w:rPr>
                <w:sz w:val="20"/>
              </w:rPr>
            </w:pPr>
          </w:p>
          <w:p w:rsidR="0006591D" w:rsidRPr="00BD01B9" w:rsidRDefault="00BD01B9" w:rsidP="00A82C78">
            <w:pPr>
              <w:pStyle w:val="PargrafodaLista"/>
              <w:numPr>
                <w:ilvl w:val="1"/>
                <w:numId w:val="11"/>
              </w:numPr>
              <w:ind w:left="0"/>
              <w:rPr>
                <w:sz w:val="22"/>
              </w:rPr>
            </w:pPr>
            <w:r w:rsidRPr="00DB0AFB">
              <w:rPr>
                <w:sz w:val="20"/>
              </w:rPr>
              <w:t>Os</w:t>
            </w:r>
            <w:r w:rsidR="0006591D" w:rsidRPr="00DB0AFB">
              <w:rPr>
                <w:sz w:val="20"/>
              </w:rPr>
              <w:t xml:space="preserve"> eventos subsequentes à data de encerramento do exercício que tenham, ou possam vir a ter, efeito relevante sobre a situação financeira e os resultados futuros da companhia</w:t>
            </w:r>
            <w:r w:rsidR="0006591D" w:rsidRPr="00BD01B9">
              <w:rPr>
                <w:sz w:val="22"/>
              </w:rPr>
              <w:t>.</w:t>
            </w:r>
          </w:p>
        </w:tc>
      </w:tr>
    </w:tbl>
    <w:p w:rsidR="0006591D" w:rsidRPr="0006591D" w:rsidRDefault="0006591D" w:rsidP="005A4C85">
      <w:pPr>
        <w:spacing w:line="240" w:lineRule="auto"/>
        <w:ind w:firstLine="0"/>
        <w:jc w:val="left"/>
        <w:rPr>
          <w:sz w:val="20"/>
        </w:rPr>
      </w:pPr>
      <w:r w:rsidRPr="0006591D">
        <w:rPr>
          <w:sz w:val="20"/>
        </w:rPr>
        <w:lastRenderedPageBreak/>
        <w:t xml:space="preserve">Fonte: </w:t>
      </w:r>
      <w:r w:rsidR="00980AB3">
        <w:rPr>
          <w:sz w:val="20"/>
        </w:rPr>
        <w:t>elaborada pela autora com base na Lei nº 6.404 de 1976</w:t>
      </w:r>
      <w:r w:rsidR="008A38DD">
        <w:rPr>
          <w:sz w:val="20"/>
        </w:rPr>
        <w:t>.</w:t>
      </w:r>
    </w:p>
    <w:p w:rsidR="00BD01B9" w:rsidRDefault="00BD01B9" w:rsidP="00A82C78">
      <w:pPr>
        <w:spacing w:line="240" w:lineRule="auto"/>
      </w:pPr>
    </w:p>
    <w:p w:rsidR="000A1A7E" w:rsidRDefault="00BD01B9" w:rsidP="00A82C78">
      <w:pPr>
        <w:spacing w:line="240" w:lineRule="auto"/>
      </w:pPr>
      <w:r>
        <w:t xml:space="preserve">A </w:t>
      </w:r>
      <w:r w:rsidR="007703EC">
        <w:t xml:space="preserve">legislação menciona nove itens que devem constar nas notas explicativas, porém não os limita. </w:t>
      </w:r>
      <w:r w:rsidR="003F090F">
        <w:t xml:space="preserve">Desse modo, não há necessidade de fazer menção a todos esses itens em notas explicativas, pois, em alguns casos, a informação não </w:t>
      </w:r>
      <w:r w:rsidR="0069514B">
        <w:t>se torna</w:t>
      </w:r>
      <w:r w:rsidR="003F090F">
        <w:t xml:space="preserve"> relevante. Contudo, a entidade poderá divulgar as informações que </w:t>
      </w:r>
      <w:r w:rsidR="008A38DD">
        <w:t>se farão necessárias</w:t>
      </w:r>
      <w:r w:rsidR="003F090F">
        <w:t xml:space="preserve"> para a compreensibilidade das demonstrações contábeis.</w:t>
      </w:r>
    </w:p>
    <w:p w:rsidR="00980AB3" w:rsidRDefault="00F17047" w:rsidP="00A82C78">
      <w:pPr>
        <w:spacing w:line="240" w:lineRule="auto"/>
      </w:pPr>
      <w:r>
        <w:t>Para compreender os dados contidos nas demonstrações contábeis é essencial que se conheça</w:t>
      </w:r>
      <w:r w:rsidR="008A38DD">
        <w:t>m</w:t>
      </w:r>
      <w:r>
        <w:t xml:space="preserve"> os principais critérios de avaliação dos elementos, pois</w:t>
      </w:r>
      <w:r w:rsidR="008A38DD">
        <w:t>,</w:t>
      </w:r>
      <w:r>
        <w:t xml:space="preserve"> dependendo dos critérios utilizados, os resultados podem sofrer alterações. Segundo o</w:t>
      </w:r>
      <w:r w:rsidR="008A38DD">
        <w:t>s</w:t>
      </w:r>
      <w:r>
        <w:t xml:space="preserve"> autor</w:t>
      </w:r>
      <w:r w:rsidR="008A38DD">
        <w:t>es</w:t>
      </w:r>
      <w:r>
        <w:t xml:space="preserve"> Iudícibus et al</w:t>
      </w:r>
      <w:r w:rsidR="008A38DD">
        <w:t>.</w:t>
      </w:r>
      <w:r>
        <w:t xml:space="preserve"> (2010), os principais critérios de avaliação podem ser chamados “Sumário das Práticas Contábeis”,</w:t>
      </w:r>
      <w:r w:rsidR="00732DE7">
        <w:t xml:space="preserve"> visto que o objetivo de </w:t>
      </w:r>
      <w:proofErr w:type="gramStart"/>
      <w:r w:rsidR="00732DE7">
        <w:t>divulgá</w:t>
      </w:r>
      <w:r>
        <w:t>-lo</w:t>
      </w:r>
      <w:r w:rsidR="008A38DD">
        <w:t>s</w:t>
      </w:r>
      <w:proofErr w:type="gramEnd"/>
      <w:r>
        <w:t xml:space="preserve"> é permitir aos usuários melhor compreensão da situação patrimonial e financeira </w:t>
      </w:r>
      <w:r w:rsidR="000E382D">
        <w:t>da empresa e de suas operações. Portanto, deve-se informar as práticas contábeis adotadas para as principais operações da c</w:t>
      </w:r>
      <w:r w:rsidR="007E10C4">
        <w:t xml:space="preserve">ompanhia. </w:t>
      </w:r>
    </w:p>
    <w:p w:rsidR="00980AB3" w:rsidRDefault="00980AB3" w:rsidP="00A82C78">
      <w:pPr>
        <w:spacing w:line="240" w:lineRule="auto"/>
      </w:pPr>
      <w:r>
        <w:t>A Comissão de Valores Mobiliários (CVM), com o propósito de complementar as exigências previstas pela legislação, apresenta diversos itens relevantes para divulgar nas notas explicativas, conforme apresentado por Iudícibus et al</w:t>
      </w:r>
      <w:r w:rsidR="008A38DD">
        <w:t>.</w:t>
      </w:r>
      <w:r>
        <w:t xml:space="preserve"> (2010, p.680):</w:t>
      </w:r>
    </w:p>
    <w:p w:rsidR="005A4C85" w:rsidRDefault="005A4C85" w:rsidP="00A82C78">
      <w:pPr>
        <w:spacing w:line="240" w:lineRule="auto"/>
      </w:pPr>
    </w:p>
    <w:p w:rsidR="005A4C85" w:rsidRDefault="005A4C85" w:rsidP="002C560A">
      <w:r>
        <w:br w:type="page"/>
      </w:r>
      <w:r w:rsidR="001614EE">
        <w:lastRenderedPageBreak/>
        <w:t>Tabela</w:t>
      </w:r>
      <w:r>
        <w:t xml:space="preserve"> 4</w:t>
      </w:r>
      <w:r w:rsidR="001614EE">
        <w:t>.</w:t>
      </w:r>
      <w:r>
        <w:t xml:space="preserve"> Itens relevantes na divulgação das notas explicativas, de acordo com instrução da CVM</w:t>
      </w:r>
    </w:p>
    <w:tbl>
      <w:tblPr>
        <w:tblW w:w="9585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0"/>
        <w:gridCol w:w="4965"/>
      </w:tblGrid>
      <w:tr w:rsidR="00980AB3" w:rsidTr="00F849AA">
        <w:trPr>
          <w:trHeight w:val="8130"/>
        </w:trPr>
        <w:tc>
          <w:tcPr>
            <w:tcW w:w="4620" w:type="dxa"/>
          </w:tcPr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Ações em tesouraria;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Adoção de nova prática contábil e mudança de política contábil;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Ágio/deságio;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Ajuste a valor presente;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Arrendamento mercantil (</w:t>
            </w:r>
            <w:r w:rsidRPr="003D62CC">
              <w:rPr>
                <w:rFonts w:cs="Times New Roman"/>
                <w:i/>
                <w:iCs/>
                <w:color w:val="171717"/>
                <w:sz w:val="20"/>
                <w:szCs w:val="20"/>
              </w:rPr>
              <w:t>leasing</w:t>
            </w:r>
            <w:r w:rsidRPr="003D62CC">
              <w:rPr>
                <w:rFonts w:cs="Times New Roman"/>
                <w:color w:val="171717"/>
                <w:sz w:val="20"/>
                <w:szCs w:val="20"/>
              </w:rPr>
              <w:t>);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Ativo biológico e produto agrícola;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Ativo imobilizado;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Ativo intangível;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Ativo não circulante mantido para venda e operação descontinuada;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Benefícios a empregados;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Capacidade ociosa;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Capital social autorizado;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Combinação de negócios;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Continuidade normal dos negócios;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Contratos de construção;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Contratos de seguro;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Correção de erros de períodos anteriores;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 xml:space="preserve">Créditos </w:t>
            </w:r>
            <w:r w:rsidR="00DB0AFB" w:rsidRPr="002071DB">
              <w:rPr>
                <w:rFonts w:cs="Times New Roman"/>
                <w:color w:val="171717"/>
                <w:sz w:val="20"/>
                <w:szCs w:val="20"/>
              </w:rPr>
              <w:t>Eletrobrás</w:t>
            </w:r>
            <w:r w:rsidRPr="002071DB">
              <w:rPr>
                <w:rFonts w:cs="Times New Roman"/>
                <w:color w:val="171717"/>
                <w:sz w:val="20"/>
                <w:szCs w:val="20"/>
              </w:rPr>
              <w:t>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Custos de transação e prêmios na emissão</w:t>
            </w:r>
            <w:r w:rsidRPr="003D62CC">
              <w:rPr>
                <w:rFonts w:cs="Times New Roman"/>
                <w:color w:val="171717"/>
                <w:sz w:val="20"/>
                <w:szCs w:val="20"/>
              </w:rPr>
              <w:t xml:space="preserve"> de papéis;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Debêntures;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Demonstração intermediária;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Demonstrações condensadas;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Demonstrações em moeda de capacidade aquisitiva constante;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Demonstrações contábeis consolidadas;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Demonstrações separadas;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Destinação de lucros constantes nos Acordos com Acionistas;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Dividendo por ação;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Dividendos propostos;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Empreendimentos em fase de implantação;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Entidades de propósito</w:t>
            </w:r>
            <w:r w:rsidR="00DB0AFB">
              <w:rPr>
                <w:rFonts w:cs="Times New Roman"/>
                <w:color w:val="171717"/>
                <w:sz w:val="20"/>
                <w:szCs w:val="20"/>
              </w:rPr>
              <w:t>s específico</w:t>
            </w:r>
            <w:r w:rsidR="008A38DD">
              <w:rPr>
                <w:rFonts w:cs="Times New Roman"/>
                <w:color w:val="171717"/>
                <w:sz w:val="20"/>
                <w:szCs w:val="20"/>
              </w:rPr>
              <w:t xml:space="preserve">s </w:t>
            </w:r>
            <w:r w:rsidR="00DB0AFB">
              <w:rPr>
                <w:rFonts w:cs="Times New Roman"/>
                <w:color w:val="171717"/>
                <w:sz w:val="20"/>
                <w:szCs w:val="20"/>
              </w:rPr>
              <w:t>(EPE</w:t>
            </w:r>
            <w:r w:rsidRPr="003D62CC">
              <w:rPr>
                <w:rFonts w:cs="Times New Roman"/>
                <w:color w:val="171717"/>
                <w:sz w:val="20"/>
                <w:szCs w:val="20"/>
              </w:rPr>
              <w:t>);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Equivalência patrimonial;</w:t>
            </w:r>
          </w:p>
          <w:p w:rsidR="00980AB3" w:rsidRPr="003D62CC" w:rsidRDefault="00980AB3" w:rsidP="00A82C78">
            <w:pPr>
              <w:spacing w:line="240" w:lineRule="auto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br w:type="page"/>
            </w:r>
          </w:p>
        </w:tc>
        <w:tc>
          <w:tcPr>
            <w:tcW w:w="4965" w:type="dxa"/>
          </w:tcPr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Estoques;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Evento subsequente;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Incorporação, fusão e cisão;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Informações por segmento de negócio;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Informações sobre concessões;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Instrumentos financeiros;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Investimento em coligada e em controlada;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Investimentos societários no exterior;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Juros sobre capital próprio;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Lucro ou prejuízo por ação;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Mudanças em estimativas contábeis;</w:t>
            </w:r>
          </w:p>
          <w:p w:rsidR="00980AB3" w:rsidRPr="002071DB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2071DB">
              <w:rPr>
                <w:rFonts w:cs="Times New Roman"/>
                <w:color w:val="171717"/>
                <w:sz w:val="20"/>
                <w:szCs w:val="20"/>
              </w:rPr>
              <w:t>Paradas programadas;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Perdas estimadas em créditos de liquidação duvidosa</w:t>
            </w:r>
            <w:r w:rsidR="008A38DD">
              <w:rPr>
                <w:rFonts w:cs="Times New Roman"/>
                <w:color w:val="171717"/>
                <w:sz w:val="20"/>
                <w:szCs w:val="20"/>
              </w:rPr>
              <w:t>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Programa de desestatização;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Programa de recuperação fiscal (Refis);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Propriedade para investimento;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Provisões, passivos contingentes e ativos contingentes;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Receitas;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Redução ao valor recuperável de ativos;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Remuneração dos administradores;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Reserva de lucros a realizar;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Reservas – detalhamento;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Retenção de lucros;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Seguros;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Subvenção e assistência governamentais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Transações entre partes relacionadas;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Tributos sobre o lucro;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Variações cambiais e conversão de demonstrações contábeis;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color w:val="171717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Vendas ou serviços a realizar;</w:t>
            </w:r>
          </w:p>
          <w:p w:rsidR="00980AB3" w:rsidRPr="003D62CC" w:rsidRDefault="00980AB3" w:rsidP="00A82C78">
            <w:pPr>
              <w:pStyle w:val="PargrafodaLista"/>
              <w:numPr>
                <w:ilvl w:val="0"/>
                <w:numId w:val="22"/>
              </w:numPr>
              <w:spacing w:line="240" w:lineRule="auto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3D62CC">
              <w:rPr>
                <w:rFonts w:cs="Times New Roman"/>
                <w:color w:val="171717"/>
                <w:sz w:val="20"/>
                <w:szCs w:val="20"/>
              </w:rPr>
              <w:t>Voto múltiplo.</w:t>
            </w:r>
          </w:p>
          <w:p w:rsidR="00980AB3" w:rsidRPr="003D62CC" w:rsidRDefault="00980AB3" w:rsidP="00A82C78">
            <w:pPr>
              <w:spacing w:line="240" w:lineRule="auto"/>
              <w:rPr>
                <w:rFonts w:cs="Times New Roman"/>
                <w:color w:val="171717"/>
                <w:sz w:val="20"/>
                <w:szCs w:val="20"/>
              </w:rPr>
            </w:pPr>
          </w:p>
        </w:tc>
      </w:tr>
    </w:tbl>
    <w:p w:rsidR="00A82A39" w:rsidRPr="00A82A39" w:rsidRDefault="00A82A39" w:rsidP="005A4C85">
      <w:pPr>
        <w:spacing w:line="240" w:lineRule="auto"/>
        <w:ind w:firstLine="0"/>
        <w:jc w:val="left"/>
        <w:rPr>
          <w:sz w:val="20"/>
        </w:rPr>
      </w:pPr>
      <w:r w:rsidRPr="00A82A39">
        <w:rPr>
          <w:sz w:val="20"/>
        </w:rPr>
        <w:t>Fonte: Iudíci</w:t>
      </w:r>
      <w:r w:rsidR="00DB0AFB">
        <w:rPr>
          <w:sz w:val="20"/>
        </w:rPr>
        <w:t>b</w:t>
      </w:r>
      <w:r w:rsidRPr="00A82A39">
        <w:rPr>
          <w:sz w:val="20"/>
        </w:rPr>
        <w:t>us et al</w:t>
      </w:r>
      <w:r w:rsidR="008A38DD">
        <w:rPr>
          <w:sz w:val="20"/>
        </w:rPr>
        <w:t>.</w:t>
      </w:r>
      <w:r w:rsidRPr="00A82A39">
        <w:rPr>
          <w:sz w:val="20"/>
        </w:rPr>
        <w:t xml:space="preserve"> (2010, p.680)</w:t>
      </w:r>
    </w:p>
    <w:p w:rsidR="00A82A39" w:rsidRDefault="00A82A39" w:rsidP="00A82C78">
      <w:pPr>
        <w:spacing w:line="240" w:lineRule="auto"/>
      </w:pPr>
    </w:p>
    <w:p w:rsidR="00B474A1" w:rsidRPr="00DB0AFB" w:rsidRDefault="0057769A" w:rsidP="00A82C78">
      <w:pPr>
        <w:spacing w:line="240" w:lineRule="auto"/>
        <w:ind w:firstLine="0"/>
      </w:pPr>
      <w:r>
        <w:tab/>
        <w:t>Observa-se que tanto a Lei das Sociedades Anônimas como a CVM estabeleceram itens relevantes que deverão ser indicados em notas explicativas. Todavia, essas situações expostas representam uma base para elaboração das notas explicativas. Dessa forma, pode haver situaç</w:t>
      </w:r>
      <w:r w:rsidR="008A38DD">
        <w:t>ões em que deverão ser divulgada</w:t>
      </w:r>
      <w:r>
        <w:t xml:space="preserve">s informações além das previstas, da mesma </w:t>
      </w:r>
      <w:r w:rsidR="008A38DD">
        <w:t>maneira</w:t>
      </w:r>
      <w:r>
        <w:t xml:space="preserve"> que, em alguns casos, </w:t>
      </w:r>
      <w:r w:rsidR="00156486">
        <w:t>as menções dos itens previstos em legislação não sejam</w:t>
      </w:r>
      <w:r>
        <w:t xml:space="preserve"> relevantes para </w:t>
      </w:r>
      <w:r w:rsidR="00156486">
        <w:t xml:space="preserve">sua </w:t>
      </w:r>
      <w:r w:rsidR="00AE4AF8">
        <w:t>publicação (IUDÍCIUS</w:t>
      </w:r>
      <w:r>
        <w:t xml:space="preserve"> et al</w:t>
      </w:r>
      <w:r w:rsidR="00AE4AF8">
        <w:t>.</w:t>
      </w:r>
      <w:r>
        <w:t>, 2010).</w:t>
      </w:r>
      <w:r w:rsidR="00156486">
        <w:t xml:space="preserve"> </w:t>
      </w:r>
      <w:r>
        <w:t>Logo, nem todos os itens são obrigatórios, devendo ser analisado se essas informações serão relevantes para esclarecimento das demonstrações financeiras.</w:t>
      </w:r>
    </w:p>
    <w:p w:rsidR="00266B51" w:rsidRDefault="00F11536" w:rsidP="00A82C78">
      <w:pPr>
        <w:spacing w:line="240" w:lineRule="auto"/>
      </w:pPr>
      <w:r>
        <w:lastRenderedPageBreak/>
        <w:t xml:space="preserve">O setor elétrico é regulamentado pela Agência Nacional de Energia Elétrica </w:t>
      </w:r>
      <w:r w:rsidR="00DB0AFB">
        <w:t>(ANEEL)</w:t>
      </w:r>
      <w:r w:rsidR="00AE4AF8">
        <w:t>,</w:t>
      </w:r>
      <w:r w:rsidR="00DB0AFB">
        <w:t xml:space="preserve"> criada</w:t>
      </w:r>
      <w:r w:rsidR="00940E55">
        <w:t xml:space="preserve"> pela Lei nº 9.427/199</w:t>
      </w:r>
      <w:r w:rsidR="001461C7">
        <w:t>6 e pelo Decreto nº 2.335/1997</w:t>
      </w:r>
      <w:r w:rsidR="00AE4AF8">
        <w:t>,</w:t>
      </w:r>
      <w:r w:rsidR="001461C7">
        <w:t xml:space="preserve"> </w:t>
      </w:r>
      <w:r w:rsidR="00C85992">
        <w:t xml:space="preserve">sendo uma </w:t>
      </w:r>
      <w:r w:rsidR="00DB0AFB">
        <w:t>autarquia em</w:t>
      </w:r>
      <w:r w:rsidR="00C85992">
        <w:t xml:space="preserve"> regime e</w:t>
      </w:r>
      <w:r w:rsidR="00F56CDC">
        <w:t xml:space="preserve">special. </w:t>
      </w:r>
      <w:r w:rsidR="00266B51">
        <w:t>“</w:t>
      </w:r>
      <w:r w:rsidR="00F56CDC">
        <w:t xml:space="preserve">Tem por </w:t>
      </w:r>
      <w:r w:rsidR="00C85992">
        <w:t xml:space="preserve">finalidade </w:t>
      </w:r>
      <w:r w:rsidR="00266B51" w:rsidRPr="00266B51">
        <w:t>regular e fiscalizar a produção, transmissão, distribuição e comercialização de energia elétrica</w:t>
      </w:r>
      <w:r w:rsidR="00266B51">
        <w:t xml:space="preserve">” (art. 2º da Lei 9.427/96). Dessa forma, a ANEEL também dispõe das instruções para assessorar na escrituração contábil das empresas concessionárias de energia elétrica. </w:t>
      </w:r>
    </w:p>
    <w:p w:rsidR="00997F0A" w:rsidRDefault="00E80EC2" w:rsidP="00A82C78">
      <w:pPr>
        <w:spacing w:line="240" w:lineRule="auto"/>
      </w:pPr>
      <w:r>
        <w:t xml:space="preserve">Por meio da </w:t>
      </w:r>
      <w:r w:rsidR="00C85992">
        <w:t>Resolução Normativa nº 605 de 11/03/2014</w:t>
      </w:r>
      <w:r w:rsidR="00AE4AF8">
        <w:t>,</w:t>
      </w:r>
      <w:r w:rsidR="00C85992">
        <w:t xml:space="preserve"> </w:t>
      </w:r>
      <w:r>
        <w:t>a ANEEL estabelece o</w:t>
      </w:r>
      <w:r w:rsidR="00C85992">
        <w:t xml:space="preserve"> Manual de Contabilidade do Setor Elétrico</w:t>
      </w:r>
      <w:r>
        <w:t xml:space="preserve">. </w:t>
      </w:r>
      <w:r w:rsidR="00997F0A">
        <w:t xml:space="preserve">Este manual tem o intuito de contribuir na elaboração das demonstrações contábeis contemplando as normas e </w:t>
      </w:r>
      <w:r w:rsidR="00AE4AF8">
        <w:t xml:space="preserve">os </w:t>
      </w:r>
      <w:r w:rsidR="00997F0A">
        <w:t>procedimentos considerados adequados para serem utilizados pelo setor. Entre os principais objetivos apresentados no manual, encontra-se o seguinte:</w:t>
      </w:r>
    </w:p>
    <w:p w:rsidR="00DB0AFB" w:rsidRDefault="00DB0AFB" w:rsidP="00A82C78">
      <w:pPr>
        <w:spacing w:line="240" w:lineRule="auto"/>
      </w:pPr>
    </w:p>
    <w:p w:rsidR="00C85992" w:rsidRDefault="00997F0A" w:rsidP="005A4C85">
      <w:pPr>
        <w:spacing w:line="240" w:lineRule="auto"/>
        <w:ind w:left="2268" w:firstLine="0"/>
        <w:rPr>
          <w:sz w:val="20"/>
        </w:rPr>
      </w:pPr>
      <w:r w:rsidRPr="00997F0A">
        <w:rPr>
          <w:sz w:val="20"/>
        </w:rPr>
        <w:t xml:space="preserve">Permitir a elaboração das Demonstrações Contábeis regulatórias e correspondentes </w:t>
      </w:r>
      <w:r w:rsidRPr="00997F0A">
        <w:rPr>
          <w:b/>
          <w:sz w:val="20"/>
        </w:rPr>
        <w:t>notas explicativas</w:t>
      </w:r>
      <w:r w:rsidRPr="00997F0A">
        <w:rPr>
          <w:sz w:val="20"/>
        </w:rPr>
        <w:t xml:space="preserve"> e das informações complementares que necessitem de divulgação para atendimento de dispositivos da legislação aplicáv</w:t>
      </w:r>
      <w:r>
        <w:rPr>
          <w:sz w:val="20"/>
        </w:rPr>
        <w:t>el ao setor de energia elétrica. (ANEEL, 2015, p. 13)</w:t>
      </w:r>
    </w:p>
    <w:p w:rsidR="00997F0A" w:rsidRPr="00DB0AFB" w:rsidRDefault="00997F0A" w:rsidP="00A82C78">
      <w:pPr>
        <w:spacing w:line="240" w:lineRule="auto"/>
        <w:ind w:firstLine="0"/>
      </w:pPr>
    </w:p>
    <w:p w:rsidR="000223E0" w:rsidRDefault="00997F0A" w:rsidP="00A82C78">
      <w:pPr>
        <w:spacing w:line="240" w:lineRule="auto"/>
        <w:ind w:firstLine="0"/>
      </w:pPr>
      <w:r>
        <w:tab/>
      </w:r>
      <w:r w:rsidR="00B72D60">
        <w:t>As alterações ocorridas com a convergência das normas contábeis brasileiras às normas internacionais de c</w:t>
      </w:r>
      <w:r w:rsidR="00AE4AF8">
        <w:t xml:space="preserve">ontabilidade impactaram também </w:t>
      </w:r>
      <w:r w:rsidR="00B72D60">
        <w:t>o entendimento das notas explicativas.</w:t>
      </w:r>
      <w:r w:rsidR="004A67D6">
        <w:t xml:space="preserve"> Segundo a ANEEL (2015, p. 562)</w:t>
      </w:r>
      <w:r w:rsidR="00AE4AF8">
        <w:t>,</w:t>
      </w:r>
      <w:r w:rsidR="004A67D6">
        <w:t xml:space="preserve"> essa mudança trouxe um impacto considerável para a formulação das notas explicativas devido ao aumento da complexidade </w:t>
      </w:r>
      <w:r w:rsidR="00AE4AF8">
        <w:t>nas estimativas contábeis e à</w:t>
      </w:r>
      <w:r w:rsidR="004A67D6">
        <w:t xml:space="preserve"> necessidade de atender aos requisitos dos novos pronunciamentos.</w:t>
      </w:r>
      <w:r w:rsidR="00F246F2">
        <w:t xml:space="preserve"> Desse modo, para as empresas do setor elétrico, o manual disponibilizado pela ANEEL possibilita o entendimento dessas mudanças e </w:t>
      </w:r>
      <w:r w:rsidR="00AE4AF8">
        <w:t xml:space="preserve">de </w:t>
      </w:r>
      <w:r w:rsidR="00DB0AFB">
        <w:t>como aplicá</w:t>
      </w:r>
      <w:r w:rsidR="002C1BA3">
        <w:t>-las na elaboração das demonstrações contábeis.</w:t>
      </w:r>
    </w:p>
    <w:p w:rsidR="000223E0" w:rsidRDefault="000223E0" w:rsidP="00A82C78">
      <w:pPr>
        <w:pStyle w:val="PargrafodaLista"/>
        <w:spacing w:line="240" w:lineRule="auto"/>
        <w:ind w:left="0" w:firstLine="0"/>
        <w:rPr>
          <w:b/>
        </w:rPr>
      </w:pPr>
    </w:p>
    <w:p w:rsidR="000223E0" w:rsidRDefault="000223E0" w:rsidP="00A82C78">
      <w:pPr>
        <w:pStyle w:val="PargrafodaLista"/>
        <w:numPr>
          <w:ilvl w:val="0"/>
          <w:numId w:val="19"/>
        </w:numPr>
        <w:spacing w:line="240" w:lineRule="auto"/>
        <w:ind w:left="0" w:hanging="357"/>
        <w:rPr>
          <w:b/>
        </w:rPr>
      </w:pPr>
      <w:r w:rsidRPr="000223E0">
        <w:rPr>
          <w:b/>
        </w:rPr>
        <w:t>METODOLOGIA</w:t>
      </w:r>
    </w:p>
    <w:p w:rsidR="000223E0" w:rsidRDefault="000223E0" w:rsidP="00A82C78">
      <w:pPr>
        <w:spacing w:line="240" w:lineRule="auto"/>
        <w:rPr>
          <w:b/>
        </w:rPr>
      </w:pPr>
    </w:p>
    <w:p w:rsidR="000223E0" w:rsidRDefault="000223E0" w:rsidP="005A4C85">
      <w:pPr>
        <w:spacing w:line="240" w:lineRule="auto"/>
      </w:pPr>
      <w:r>
        <w:t>O presente estudo caracterizou-se como uma pesquisa aplicada por ter o objetivo de gerar conhecimentos para</w:t>
      </w:r>
      <w:r w:rsidR="00B84228">
        <w:t xml:space="preserve"> aplicação na prática para solucionar problemas. Quanto à abordagem</w:t>
      </w:r>
      <w:r w:rsidR="00AE4AF8">
        <w:t>,</w:t>
      </w:r>
      <w:r w:rsidR="00B84228">
        <w:t xml:space="preserve"> a pesquisa apresentou</w:t>
      </w:r>
      <w:r w:rsidR="00AE4AF8">
        <w:t>-se como</w:t>
      </w:r>
      <w:r w:rsidR="00B84228">
        <w:t xml:space="preserve"> quantitativa</w:t>
      </w:r>
      <w:r w:rsidR="00672436">
        <w:t>, por demonstrar em números as informações a serem analisadas</w:t>
      </w:r>
      <w:r w:rsidR="00B84228">
        <w:t xml:space="preserve"> e qualitativa</w:t>
      </w:r>
      <w:r w:rsidR="00672436">
        <w:t>, por analisar aspectos relevantes para o meio de pesquisa</w:t>
      </w:r>
      <w:r w:rsidR="00B84228">
        <w:t>.</w:t>
      </w:r>
      <w:r w:rsidR="00672436">
        <w:t xml:space="preserve"> O objetivo da pesquisa clas</w:t>
      </w:r>
      <w:r w:rsidR="003878AE">
        <w:t xml:space="preserve">sifica-se como exploratório, por proporcionar compreensão do assunto tratado por meio de levantamentos bibliográficos </w:t>
      </w:r>
      <w:r w:rsidR="009F5C83">
        <w:t>e documentais. Classifica-se também como pesquisa descritiva</w:t>
      </w:r>
      <w:r w:rsidR="00AE4AF8">
        <w:t>,</w:t>
      </w:r>
      <w:r w:rsidR="009F5C83">
        <w:t xml:space="preserve"> p</w:t>
      </w:r>
      <w:r w:rsidR="009F5C83" w:rsidRPr="009F5C83">
        <w:t>or ter o objetivo de descrever e registrar o</w:t>
      </w:r>
      <w:r w:rsidR="00AE4AF8">
        <w:t xml:space="preserve">s fatos </w:t>
      </w:r>
      <w:r w:rsidR="00867D77">
        <w:t>observados sem que sofram interfer</w:t>
      </w:r>
      <w:r w:rsidR="00AE4AF8">
        <w:t>ências</w:t>
      </w:r>
      <w:r w:rsidR="009F5C83" w:rsidRPr="009F5C83">
        <w:t xml:space="preserve"> (SILVA et al</w:t>
      </w:r>
      <w:r w:rsidR="00AE4AF8">
        <w:t>.</w:t>
      </w:r>
      <w:r w:rsidR="009F5C83" w:rsidRPr="009F5C83">
        <w:t>, 2013 apud PRODANOV, 2013).</w:t>
      </w:r>
      <w:r w:rsidR="00282DEB">
        <w:t xml:space="preserve"> Dentro dos procedimentos técnicos</w:t>
      </w:r>
      <w:r w:rsidR="00AE4AF8">
        <w:t>,</w:t>
      </w:r>
      <w:r w:rsidR="00282DEB">
        <w:t xml:space="preserve"> a pesquisa documental é o que melhor se adaptou ao problema proposto, por ter o objetivo de fazer o levantamento das demonstrações contábeis e notas explicativas das companhias listadas na Bovespa.</w:t>
      </w:r>
    </w:p>
    <w:p w:rsidR="00F31E9F" w:rsidRDefault="006C2199" w:rsidP="00A82C78">
      <w:pPr>
        <w:spacing w:line="240" w:lineRule="auto"/>
      </w:pPr>
      <w:r>
        <w:t xml:space="preserve">O universo da pesquisa compreende as companhias de capital aberto do setor elétrico. </w:t>
      </w:r>
      <w:r w:rsidR="00F31E9F">
        <w:t>Foram encontradas 57 empresas no setor de energia elétrica. Do total das empresas, cinco foram utilizadas como amostra</w:t>
      </w:r>
      <w:r w:rsidR="00DB0AFB">
        <w:t>gem</w:t>
      </w:r>
      <w:r w:rsidR="00F31E9F">
        <w:t>. Dessa forma, as companhias que compõe</w:t>
      </w:r>
      <w:r w:rsidR="00AE4AF8">
        <w:t xml:space="preserve">m </w:t>
      </w:r>
      <w:r w:rsidR="00F31E9F">
        <w:t>o universo da pesquisa foram numeradas sendo definidas por sorteio.</w:t>
      </w:r>
      <w:r w:rsidR="00DB0AFB">
        <w:t xml:space="preserve"> A amostra foi compo</w:t>
      </w:r>
      <w:r w:rsidR="00AB2EAF">
        <w:t xml:space="preserve">sta pelas seguintes empresas: </w:t>
      </w:r>
      <w:proofErr w:type="spellStart"/>
      <w:r w:rsidR="00AB2EAF">
        <w:t>Bonaire</w:t>
      </w:r>
      <w:proofErr w:type="spellEnd"/>
      <w:r w:rsidR="00AB2EAF">
        <w:t xml:space="preserve"> Participações S/A</w:t>
      </w:r>
      <w:r w:rsidR="00DB0AFB">
        <w:t>,</w:t>
      </w:r>
      <w:r w:rsidR="00AB2EAF">
        <w:t xml:space="preserve"> Companhia Paranaense de Energia, Eletropaulo </w:t>
      </w:r>
      <w:r w:rsidR="00AB2EAF" w:rsidRPr="00AB2EAF">
        <w:lastRenderedPageBreak/>
        <w:t>Metropolitan</w:t>
      </w:r>
      <w:r w:rsidR="00AB2EAF">
        <w:t xml:space="preserve">a Eletricidade de São Paulo S/A, </w:t>
      </w:r>
      <w:proofErr w:type="spellStart"/>
      <w:r w:rsidR="00AB2EAF">
        <w:t>Energisa</w:t>
      </w:r>
      <w:proofErr w:type="spellEnd"/>
      <w:r w:rsidR="00AB2EAF">
        <w:t xml:space="preserve"> S/A, RGE Sul Distribuidora de Energia S/</w:t>
      </w:r>
      <w:r w:rsidR="00AB2EAF" w:rsidRPr="00AB2EAF">
        <w:t>A.</w:t>
      </w:r>
      <w:r w:rsidR="00AB2EAF">
        <w:t xml:space="preserve"> </w:t>
      </w:r>
      <w:r w:rsidR="00DB0AFB">
        <w:t>A amostragem não estatística aplicada não permite inferir generalizações sobre o setor, apenas sobre as empresas pertencentes da amostra.</w:t>
      </w:r>
    </w:p>
    <w:p w:rsidR="00D31ED7" w:rsidRDefault="00D31ED7" w:rsidP="00A82C78">
      <w:pPr>
        <w:spacing w:line="240" w:lineRule="auto"/>
      </w:pPr>
      <w:r>
        <w:t>Os seguintes passos foram realizados para desenvolver a pesquisa: a) estruturar as empresas do se</w:t>
      </w:r>
      <w:r w:rsidR="00AE4AF8">
        <w:t>tor elétrico, utilizando o sítio eletrônico</w:t>
      </w:r>
      <w:r>
        <w:t xml:space="preserve"> da BOVESPA; b) selecionar as demonstrações contábeis do exercício de 2016 para aplicar a pesquisa;</w:t>
      </w:r>
      <w:r w:rsidR="00AE4AF8">
        <w:t xml:space="preserve"> e</w:t>
      </w:r>
      <w:r>
        <w:t xml:space="preserve"> c) rastrear os itens objeto</w:t>
      </w:r>
      <w:r w:rsidR="00D27715">
        <w:t>s de notas explicativas sugerida</w:t>
      </w:r>
      <w:r>
        <w:t>s pelos CPC 26</w:t>
      </w:r>
      <w:r w:rsidR="00B91C76">
        <w:t xml:space="preserve"> (R1)</w:t>
      </w:r>
      <w:r>
        <w:t>, pela Lei 6.404/76 e pel</w:t>
      </w:r>
      <w:r w:rsidR="000D7D74">
        <w:t xml:space="preserve">a Instrução Normativa da CVM com auxílio da ferramenta localizar. </w:t>
      </w:r>
    </w:p>
    <w:p w:rsidR="000D7D74" w:rsidRDefault="000D7D74" w:rsidP="00A82C78">
      <w:pPr>
        <w:spacing w:line="240" w:lineRule="auto"/>
      </w:pPr>
      <w:r>
        <w:t>Dessa forma, todos os itens foram tabulados possibilitando a análise comparativa dos d</w:t>
      </w:r>
      <w:r w:rsidR="00AE4AF8">
        <w:t>ados, identificando se atendem às</w:t>
      </w:r>
      <w:r>
        <w:t xml:space="preserve"> legislações. Posteriormente</w:t>
      </w:r>
      <w:r w:rsidR="00D27715">
        <w:t>,</w:t>
      </w:r>
      <w:r>
        <w:t xml:space="preserve"> os dados foram interpretados para </w:t>
      </w:r>
      <w:r w:rsidR="00D27715">
        <w:t>obterem-se conclusões. Portanto, o estudo delimita-se ao exercício de 2016 e as inferências restringem</w:t>
      </w:r>
      <w:r w:rsidR="00AE4AF8">
        <w:t>-se à</w:t>
      </w:r>
      <w:r w:rsidR="00D27715">
        <w:t>s empresas que compõe</w:t>
      </w:r>
      <w:r w:rsidR="00AE4AF8">
        <w:t>m</w:t>
      </w:r>
      <w:r w:rsidR="00D27715">
        <w:t xml:space="preserve"> a amostra.</w:t>
      </w:r>
    </w:p>
    <w:p w:rsidR="000D7D74" w:rsidRDefault="000D7D74" w:rsidP="00A82C78">
      <w:pPr>
        <w:spacing w:line="240" w:lineRule="auto"/>
        <w:ind w:firstLine="0"/>
      </w:pPr>
    </w:p>
    <w:p w:rsidR="000D7D74" w:rsidRDefault="000D7D74" w:rsidP="00A82C78">
      <w:pPr>
        <w:pStyle w:val="PargrafodaLista"/>
        <w:numPr>
          <w:ilvl w:val="0"/>
          <w:numId w:val="19"/>
        </w:numPr>
        <w:spacing w:line="240" w:lineRule="auto"/>
        <w:ind w:left="0" w:hanging="425"/>
        <w:rPr>
          <w:b/>
        </w:rPr>
      </w:pPr>
      <w:r w:rsidRPr="000D7D74">
        <w:rPr>
          <w:b/>
        </w:rPr>
        <w:t xml:space="preserve">ANÁLISE DOS </w:t>
      </w:r>
      <w:r>
        <w:rPr>
          <w:b/>
        </w:rPr>
        <w:t>RESULTADOS</w:t>
      </w:r>
    </w:p>
    <w:p w:rsidR="000D7D74" w:rsidRDefault="000D7D74" w:rsidP="00A82C78">
      <w:pPr>
        <w:spacing w:line="240" w:lineRule="auto"/>
        <w:ind w:firstLine="0"/>
        <w:rPr>
          <w:b/>
        </w:rPr>
      </w:pPr>
    </w:p>
    <w:p w:rsidR="00CA1145" w:rsidRDefault="000D7D74" w:rsidP="00A82C78">
      <w:pPr>
        <w:spacing w:line="240" w:lineRule="auto"/>
      </w:pPr>
      <w:r w:rsidRPr="000D7D74">
        <w:t>Inicialmente</w:t>
      </w:r>
      <w:r>
        <w:t xml:space="preserve"> buscou-se analisar as exigências do CPC 26</w:t>
      </w:r>
      <w:r w:rsidR="00B91C76">
        <w:t xml:space="preserve"> (R1)</w:t>
      </w:r>
      <w:r w:rsidR="00AE4AF8">
        <w:t>,</w:t>
      </w:r>
      <w:r>
        <w:t xml:space="preserve"> que tratam de informações</w:t>
      </w:r>
      <w:r w:rsidR="00CA1145">
        <w:t xml:space="preserve"> essenciais para compreensão das demonstrações contábeis.</w:t>
      </w:r>
    </w:p>
    <w:p w:rsidR="005A4C85" w:rsidRDefault="005A4C85" w:rsidP="00A82C78">
      <w:pPr>
        <w:spacing w:line="240" w:lineRule="auto"/>
      </w:pPr>
    </w:p>
    <w:p w:rsidR="005A4C85" w:rsidRDefault="005A4C85" w:rsidP="00A82C78">
      <w:pPr>
        <w:spacing w:line="240" w:lineRule="auto"/>
      </w:pPr>
    </w:p>
    <w:p w:rsidR="00CA1145" w:rsidRPr="005A4C85" w:rsidRDefault="002C560A" w:rsidP="005A4C85">
      <w:pPr>
        <w:spacing w:line="240" w:lineRule="auto"/>
        <w:ind w:firstLine="0"/>
        <w:jc w:val="left"/>
        <w:rPr>
          <w:sz w:val="20"/>
        </w:rPr>
      </w:pPr>
      <w:r>
        <w:t>Tabela 5.</w:t>
      </w:r>
      <w:r w:rsidR="005A4C85">
        <w:t xml:space="preserve"> Divulgação dos itens recomendados pelo CPC 26 (R1)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098"/>
        <w:gridCol w:w="1701"/>
        <w:gridCol w:w="1695"/>
      </w:tblGrid>
      <w:tr w:rsidR="00CA1145" w:rsidTr="00CA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A1145" w:rsidRPr="00D27715" w:rsidRDefault="00CA1145" w:rsidP="00A82C78">
            <w:pPr>
              <w:ind w:firstLine="0"/>
              <w:jc w:val="center"/>
              <w:rPr>
                <w:sz w:val="20"/>
              </w:rPr>
            </w:pPr>
            <w:r w:rsidRPr="00D27715">
              <w:rPr>
                <w:sz w:val="20"/>
              </w:rPr>
              <w:t>Item sugerido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:rsidR="00CA1145" w:rsidRPr="00D27715" w:rsidRDefault="00CA1145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Nº de empresas que divulgaram</w:t>
            </w:r>
          </w:p>
        </w:tc>
        <w:tc>
          <w:tcPr>
            <w:tcW w:w="1695" w:type="dxa"/>
            <w:tcBorders>
              <w:bottom w:val="single" w:sz="4" w:space="0" w:color="000000" w:themeColor="text1"/>
            </w:tcBorders>
            <w:vAlign w:val="center"/>
          </w:tcPr>
          <w:p w:rsidR="00CA1145" w:rsidRPr="00D27715" w:rsidRDefault="00CA1145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Percentual de empresas que divulgaram</w:t>
            </w:r>
          </w:p>
        </w:tc>
      </w:tr>
      <w:tr w:rsidR="00CA1145" w:rsidTr="00C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Natureza jurídica e domicílio da entidade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CA1145" w:rsidTr="00C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Dar destaque para as áreas de atividades que a entidade considera mais relevantes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40%</w:t>
            </w:r>
          </w:p>
        </w:tc>
      </w:tr>
      <w:tr w:rsidR="00CA1145" w:rsidTr="00C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Declaração de conformidade com os Pronunciamentos Técnicos, Orientações e Interpretações do CPC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CA1145" w:rsidTr="00C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Base de mensuração utilizadas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CA1145" w:rsidTr="00C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Novas normas e políticas contábeis alteradas</w:t>
            </w:r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695" w:type="dxa"/>
            <w:tcBorders>
              <w:top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CA1145" w:rsidTr="00C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Outras políticas utilizadas que sejam relevantes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CA1145" w:rsidTr="00C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Apresentação dos itens pela ordem em que cada demonstração e cada rubrica sejam apresentadas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3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60%</w:t>
            </w:r>
          </w:p>
        </w:tc>
      </w:tr>
      <w:tr w:rsidR="00CA1145" w:rsidTr="00C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Passivos contingentes e compromissos contratuais não reconhecidos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CA1145" w:rsidTr="00C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left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Objetivos e políticas de gestão de risco financeiro da entidade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145" w:rsidRPr="00D27715" w:rsidRDefault="00CA114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6D154E" w:rsidTr="00C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D154E" w:rsidRPr="00D27715" w:rsidRDefault="006D154E" w:rsidP="00A82C78">
            <w:pPr>
              <w:ind w:firstLine="0"/>
              <w:jc w:val="left"/>
              <w:rPr>
                <w:sz w:val="20"/>
              </w:rPr>
            </w:pPr>
            <w:r w:rsidRPr="00D27715">
              <w:rPr>
                <w:sz w:val="20"/>
              </w:rPr>
              <w:t>Resultados médios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D154E" w:rsidRPr="00D27715" w:rsidRDefault="006D154E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D27715">
              <w:rPr>
                <w:b/>
                <w:sz w:val="20"/>
              </w:rPr>
              <w:t>4,2</w:t>
            </w:r>
          </w:p>
        </w:tc>
        <w:tc>
          <w:tcPr>
            <w:tcW w:w="16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D154E" w:rsidRPr="00D27715" w:rsidRDefault="006D154E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D27715">
              <w:rPr>
                <w:b/>
                <w:sz w:val="20"/>
              </w:rPr>
              <w:t>84%</w:t>
            </w:r>
          </w:p>
        </w:tc>
      </w:tr>
    </w:tbl>
    <w:p w:rsidR="00CA1145" w:rsidRDefault="00D27715" w:rsidP="005A4C85">
      <w:pPr>
        <w:spacing w:line="240" w:lineRule="auto"/>
        <w:ind w:firstLine="0"/>
        <w:jc w:val="left"/>
        <w:rPr>
          <w:sz w:val="20"/>
        </w:rPr>
      </w:pPr>
      <w:r>
        <w:rPr>
          <w:sz w:val="20"/>
        </w:rPr>
        <w:t>Fonte: elaborado pelos autores</w:t>
      </w:r>
      <w:r w:rsidR="00CA1145" w:rsidRPr="00CA1145">
        <w:rPr>
          <w:sz w:val="20"/>
        </w:rPr>
        <w:t>, 2018.</w:t>
      </w:r>
    </w:p>
    <w:p w:rsidR="00CA1145" w:rsidRDefault="00CA1145" w:rsidP="00A82C78">
      <w:pPr>
        <w:spacing w:line="240" w:lineRule="auto"/>
        <w:jc w:val="center"/>
        <w:rPr>
          <w:sz w:val="20"/>
        </w:rPr>
      </w:pPr>
    </w:p>
    <w:p w:rsidR="00D126A4" w:rsidRDefault="0020099B" w:rsidP="00A82C78">
      <w:pPr>
        <w:spacing w:line="240" w:lineRule="auto"/>
      </w:pPr>
      <w:r>
        <w:t>A</w:t>
      </w:r>
      <w:r w:rsidR="006D154E">
        <w:t>pós</w:t>
      </w:r>
      <w:r>
        <w:t xml:space="preserve"> analisar as notas explicativas das companhias</w:t>
      </w:r>
      <w:r w:rsidR="00AE4AF8">
        <w:t>,</w:t>
      </w:r>
      <w:r>
        <w:t xml:space="preserve"> 100% das empresas divulgaram a natureza jurídica e endereço, a declaração de conformidade,</w:t>
      </w:r>
      <w:r w:rsidR="00AE4AF8">
        <w:t xml:space="preserve"> a</w:t>
      </w:r>
      <w:r>
        <w:t xml:space="preserve"> base de mensuração utilizadas, novas normas e políticas contábeis alteradas e outras políticas relevantes. Essas informações são essenciais para interpretação das demonstrações e para que possam ser comparadas com ou</w:t>
      </w:r>
      <w:r w:rsidR="00AE4AF8">
        <w:t>tras demonstrações. Em relação à</w:t>
      </w:r>
      <w:r>
        <w:t xml:space="preserve"> divulgação das áreas de atividade que a entidade considera </w:t>
      </w:r>
      <w:r>
        <w:lastRenderedPageBreak/>
        <w:t xml:space="preserve">mais relevante, somente </w:t>
      </w:r>
      <w:r w:rsidR="00B0293E">
        <w:t>40% divulgaram essa informação.</w:t>
      </w:r>
      <w:r>
        <w:t xml:space="preserve"> </w:t>
      </w:r>
      <w:r w:rsidR="00D126A4">
        <w:t>No resulta</w:t>
      </w:r>
      <w:r w:rsidR="00D27715">
        <w:t>do geral</w:t>
      </w:r>
      <w:r w:rsidR="00AE4AF8">
        <w:t>,</w:t>
      </w:r>
      <w:r w:rsidR="00D126A4">
        <w:t xml:space="preserve"> 84% das empresas pesquisadas divulgaram em notas explicativas os itens sugeridos pelo CPC 26</w:t>
      </w:r>
      <w:r w:rsidR="00B91C76">
        <w:t xml:space="preserve"> (R1)</w:t>
      </w:r>
      <w:r w:rsidR="00D126A4">
        <w:t>.</w:t>
      </w:r>
    </w:p>
    <w:p w:rsidR="005A4C85" w:rsidRDefault="005A4C85" w:rsidP="005A4C85">
      <w:pPr>
        <w:spacing w:line="240" w:lineRule="auto"/>
        <w:ind w:firstLine="0"/>
      </w:pPr>
    </w:p>
    <w:p w:rsidR="00D126A4" w:rsidRPr="005A4C85" w:rsidRDefault="005A4C85" w:rsidP="005A4C85">
      <w:pPr>
        <w:spacing w:line="240" w:lineRule="auto"/>
        <w:ind w:firstLine="0"/>
        <w:rPr>
          <w:sz w:val="20"/>
        </w:rPr>
      </w:pPr>
      <w:r>
        <w:t>Tabela 6</w:t>
      </w:r>
      <w:r w:rsidR="002C560A">
        <w:t>.</w:t>
      </w:r>
      <w:r>
        <w:t xml:space="preserve"> Divulgação dos itens recomendados pelo </w:t>
      </w:r>
      <w:r>
        <w:rPr>
          <w:rFonts w:cs="Times New Roman"/>
        </w:rPr>
        <w:t>§</w:t>
      </w:r>
      <w:r>
        <w:t>5º do artigo 176 da Lei nº 6.404/76.</w:t>
      </w:r>
    </w:p>
    <w:tbl>
      <w:tblPr>
        <w:tblStyle w:val="TabelaSimples2"/>
        <w:tblW w:w="8730" w:type="dxa"/>
        <w:tblLook w:val="04A0" w:firstRow="1" w:lastRow="0" w:firstColumn="1" w:lastColumn="0" w:noHBand="0" w:noVBand="1"/>
      </w:tblPr>
      <w:tblGrid>
        <w:gridCol w:w="4962"/>
        <w:gridCol w:w="2357"/>
        <w:gridCol w:w="1411"/>
      </w:tblGrid>
      <w:tr w:rsidR="00D126A4" w:rsidRPr="00D27715" w:rsidTr="0024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rPr>
                <w:sz w:val="20"/>
              </w:rPr>
            </w:pPr>
            <w:r w:rsidRPr="00D27715">
              <w:rPr>
                <w:sz w:val="20"/>
              </w:rPr>
              <w:t>Item sugerido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Nº de empresas que divulgaram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Percentual de empresas que divulgaram</w:t>
            </w:r>
          </w:p>
        </w:tc>
      </w:tr>
      <w:tr w:rsidR="00D126A4" w:rsidRPr="00D27715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Os principais critérios de avaliação dos elementos patrimoniais, especialmente estoques, dos cálculos de depreciação, amortização e exaustão, de constituição de provisões para encargos ou riscos, e dos ajustes para atender a perdas prováveis na realização de elementos do ativo;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5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100%</w:t>
            </w:r>
          </w:p>
        </w:tc>
      </w:tr>
      <w:tr w:rsidR="00D126A4" w:rsidRPr="00D27715" w:rsidTr="002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Os investimentos em outras sociedades, quando relevantes;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D126A4" w:rsidRPr="00D27715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 aumento de valor de elementos do ativo resultante de novas avaliações;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D126A4" w:rsidRPr="00D27715" w:rsidTr="002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Os ônus reais constituídos sobre elementos do ativo, as garantias prestadas a terceiros e outras responsabilidades eventuais ou contingentes;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3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60%</w:t>
            </w:r>
          </w:p>
        </w:tc>
      </w:tr>
      <w:tr w:rsidR="00D126A4" w:rsidRPr="00D27715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A taxa de juros, as datas de vencimento e as garantias das obrigações a longo prazo;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D126A4" w:rsidRPr="00D27715" w:rsidTr="002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 número, espécies e classes das ações do capital social;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D126A4" w:rsidRPr="00D27715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As opções de compra de ações outorgadas e exercidas no exercício;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1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20%</w:t>
            </w:r>
          </w:p>
        </w:tc>
      </w:tr>
      <w:tr w:rsidR="00D126A4" w:rsidRPr="00D27715" w:rsidTr="002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Os ajustes de exercícios anteriores;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4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80%</w:t>
            </w:r>
          </w:p>
        </w:tc>
      </w:tr>
      <w:tr w:rsidR="00D126A4" w:rsidRPr="00D27715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b w:val="0"/>
                <w:sz w:val="20"/>
              </w:rPr>
            </w:pPr>
            <w:r w:rsidRPr="00D27715">
              <w:rPr>
                <w:b w:val="0"/>
                <w:sz w:val="20"/>
              </w:rPr>
              <w:t>Os eventos subsequentes à data de encerramento do exercício que tenham, ou possam vir a ter, efeito relevante sobre a situação financeira e os resultados futuros da companhia;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3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7715">
              <w:rPr>
                <w:sz w:val="20"/>
              </w:rPr>
              <w:t>60%</w:t>
            </w:r>
          </w:p>
        </w:tc>
      </w:tr>
      <w:tr w:rsidR="00D126A4" w:rsidRPr="00D27715" w:rsidTr="002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126A4" w:rsidRPr="00D27715" w:rsidRDefault="00D126A4" w:rsidP="00A82C78">
            <w:pPr>
              <w:ind w:firstLine="0"/>
              <w:rPr>
                <w:sz w:val="20"/>
              </w:rPr>
            </w:pPr>
            <w:r w:rsidRPr="00D27715">
              <w:rPr>
                <w:sz w:val="20"/>
              </w:rPr>
              <w:t>Resultados médios</w:t>
            </w:r>
          </w:p>
        </w:tc>
        <w:tc>
          <w:tcPr>
            <w:tcW w:w="2357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D27715">
              <w:rPr>
                <w:b/>
                <w:sz w:val="20"/>
              </w:rPr>
              <w:t>3,5</w:t>
            </w:r>
          </w:p>
        </w:tc>
        <w:tc>
          <w:tcPr>
            <w:tcW w:w="1411" w:type="dxa"/>
            <w:vAlign w:val="center"/>
          </w:tcPr>
          <w:p w:rsidR="00D126A4" w:rsidRPr="00D27715" w:rsidRDefault="00D126A4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D27715">
              <w:rPr>
                <w:b/>
                <w:sz w:val="20"/>
              </w:rPr>
              <w:t>71%</w:t>
            </w:r>
          </w:p>
        </w:tc>
      </w:tr>
    </w:tbl>
    <w:p w:rsidR="00BA389F" w:rsidRDefault="00D27715" w:rsidP="005A4C85">
      <w:pPr>
        <w:spacing w:line="240" w:lineRule="auto"/>
        <w:ind w:firstLine="0"/>
        <w:jc w:val="left"/>
      </w:pPr>
      <w:r>
        <w:rPr>
          <w:sz w:val="20"/>
        </w:rPr>
        <w:t>Fonte: elaborado pelos autores</w:t>
      </w:r>
      <w:r w:rsidR="00BA389F" w:rsidRPr="00BA389F">
        <w:rPr>
          <w:sz w:val="20"/>
        </w:rPr>
        <w:t>, 2018.</w:t>
      </w:r>
    </w:p>
    <w:p w:rsidR="00BA389F" w:rsidRDefault="00BA389F" w:rsidP="00A82C78">
      <w:pPr>
        <w:spacing w:line="240" w:lineRule="auto"/>
        <w:ind w:firstLine="0"/>
        <w:jc w:val="center"/>
      </w:pPr>
    </w:p>
    <w:p w:rsidR="002A0D1D" w:rsidRDefault="001614EE" w:rsidP="00A82C78">
      <w:pPr>
        <w:spacing w:line="240" w:lineRule="auto"/>
        <w:rPr>
          <w:szCs w:val="24"/>
        </w:rPr>
      </w:pPr>
      <w:r>
        <w:rPr>
          <w:szCs w:val="24"/>
        </w:rPr>
        <w:t>Conforme observado a Tabela</w:t>
      </w:r>
      <w:r w:rsidR="00AE4AF8">
        <w:rPr>
          <w:szCs w:val="24"/>
        </w:rPr>
        <w:t xml:space="preserve"> 6,</w:t>
      </w:r>
      <w:r w:rsidR="00BA389F">
        <w:rPr>
          <w:szCs w:val="24"/>
        </w:rPr>
        <w:t xml:space="preserve"> os principais critérios de avaliação dos elementos patrimoniais são divulgados por 100% </w:t>
      </w:r>
      <w:r w:rsidR="00AE4AF8">
        <w:rPr>
          <w:szCs w:val="24"/>
        </w:rPr>
        <w:t>das empresas pesquisadas. Trata</w:t>
      </w:r>
      <w:r w:rsidR="00BA389F">
        <w:rPr>
          <w:szCs w:val="24"/>
        </w:rPr>
        <w:t xml:space="preserve">-se de operações que devem ser prestadas também para entidades públicas. </w:t>
      </w:r>
      <w:r w:rsidR="002A0D1D">
        <w:rPr>
          <w:szCs w:val="24"/>
        </w:rPr>
        <w:t xml:space="preserve">Com relação </w:t>
      </w:r>
      <w:r w:rsidR="00AE4AF8">
        <w:rPr>
          <w:szCs w:val="24"/>
        </w:rPr>
        <w:t>à</w:t>
      </w:r>
      <w:r w:rsidR="002A0D1D">
        <w:rPr>
          <w:szCs w:val="24"/>
        </w:rPr>
        <w:t>s opções de compra de ações outorgadas</w:t>
      </w:r>
      <w:r w:rsidR="00AE4AF8">
        <w:rPr>
          <w:szCs w:val="24"/>
        </w:rPr>
        <w:t>,</w:t>
      </w:r>
      <w:r w:rsidR="002A0D1D">
        <w:rPr>
          <w:szCs w:val="24"/>
        </w:rPr>
        <w:t xml:space="preserve"> somente 20% divulgaram essa informação em notas explicativas. Os itens que tratam dos ajustes de exercícios anteriores e o número, espécie e classe das ações do capital social foram divulgados por 80% das empresas pesquisadas. No resul</w:t>
      </w:r>
      <w:r w:rsidR="00D27715">
        <w:rPr>
          <w:szCs w:val="24"/>
        </w:rPr>
        <w:t>tado global</w:t>
      </w:r>
      <w:r w:rsidR="00AE4AF8">
        <w:rPr>
          <w:szCs w:val="24"/>
        </w:rPr>
        <w:t>,</w:t>
      </w:r>
      <w:r w:rsidR="002A0D1D">
        <w:rPr>
          <w:szCs w:val="24"/>
        </w:rPr>
        <w:t xml:space="preserve"> observou-se que 71% das empresas pesquisadas divulgaram os itens apresentados em</w:t>
      </w:r>
      <w:r w:rsidR="002B5E42">
        <w:rPr>
          <w:szCs w:val="24"/>
        </w:rPr>
        <w:t xml:space="preserve"> notas explicativas, atendendo à</w:t>
      </w:r>
      <w:r w:rsidR="002A0D1D">
        <w:rPr>
          <w:szCs w:val="24"/>
        </w:rPr>
        <w:t xml:space="preserve"> Lei 6.404/76.</w:t>
      </w:r>
    </w:p>
    <w:p w:rsidR="005A4C85" w:rsidRDefault="005A4C85" w:rsidP="005A4C85">
      <w:pPr>
        <w:spacing w:line="240" w:lineRule="auto"/>
        <w:ind w:firstLine="0"/>
        <w:rPr>
          <w:szCs w:val="24"/>
        </w:rPr>
      </w:pPr>
    </w:p>
    <w:p w:rsidR="002433F0" w:rsidRDefault="005A4C85" w:rsidP="00A82C78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Tabela </w:t>
      </w:r>
      <w:r w:rsidR="001614EE">
        <w:rPr>
          <w:szCs w:val="24"/>
        </w:rPr>
        <w:t>7</w:t>
      </w:r>
      <w:r w:rsidR="002C560A">
        <w:rPr>
          <w:szCs w:val="24"/>
        </w:rPr>
        <w:t>.</w:t>
      </w:r>
      <w:r w:rsidR="001614EE">
        <w:rPr>
          <w:szCs w:val="24"/>
        </w:rPr>
        <w:t xml:space="preserve"> Divulgação dos itens recomendados pela instrução da CVM.</w:t>
      </w:r>
    </w:p>
    <w:tbl>
      <w:tblPr>
        <w:tblStyle w:val="TabelaSimples2"/>
        <w:tblW w:w="8494" w:type="dxa"/>
        <w:tblLook w:val="04A0" w:firstRow="1" w:lastRow="0" w:firstColumn="1" w:lastColumn="0" w:noHBand="0" w:noVBand="1"/>
      </w:tblPr>
      <w:tblGrid>
        <w:gridCol w:w="5098"/>
        <w:gridCol w:w="1843"/>
        <w:gridCol w:w="1553"/>
      </w:tblGrid>
      <w:tr w:rsidR="002433F0" w:rsidRPr="002433F0" w:rsidTr="0024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2433F0" w:rsidRPr="00D27715" w:rsidRDefault="002433F0" w:rsidP="00A82C78">
            <w:pPr>
              <w:ind w:firstLine="0"/>
              <w:jc w:val="center"/>
              <w:rPr>
                <w:rFonts w:eastAsia="Times New Roman" w:cs="Times New Roman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color w:val="171717"/>
                <w:sz w:val="20"/>
                <w:szCs w:val="20"/>
                <w:lang w:eastAsia="pt-BR"/>
              </w:rPr>
              <w:t>Item Sugerido</w:t>
            </w:r>
          </w:p>
        </w:tc>
        <w:tc>
          <w:tcPr>
            <w:tcW w:w="1843" w:type="dxa"/>
            <w:vAlign w:val="center"/>
          </w:tcPr>
          <w:p w:rsidR="002433F0" w:rsidRPr="00D27715" w:rsidRDefault="002433F0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27715">
              <w:rPr>
                <w:rFonts w:cs="Times New Roman"/>
                <w:sz w:val="20"/>
                <w:szCs w:val="20"/>
              </w:rPr>
              <w:t>Nº de empresas que divulgaram</w:t>
            </w:r>
          </w:p>
        </w:tc>
        <w:tc>
          <w:tcPr>
            <w:tcW w:w="1553" w:type="dxa"/>
            <w:vAlign w:val="center"/>
          </w:tcPr>
          <w:p w:rsidR="002433F0" w:rsidRPr="00D27715" w:rsidRDefault="002433F0" w:rsidP="00A82C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27715">
              <w:rPr>
                <w:rFonts w:cs="Times New Roman"/>
                <w:sz w:val="20"/>
                <w:szCs w:val="20"/>
              </w:rPr>
              <w:t>Percentual de empresas que divulgaram</w:t>
            </w:r>
          </w:p>
        </w:tc>
      </w:tr>
      <w:tr w:rsidR="009B1925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9B1925" w:rsidRPr="00D27715" w:rsidRDefault="009B1925" w:rsidP="00A82C78">
            <w:pPr>
              <w:ind w:firstLine="0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1. Ações em tesouraria;</w:t>
            </w:r>
          </w:p>
        </w:tc>
        <w:tc>
          <w:tcPr>
            <w:tcW w:w="1843" w:type="dxa"/>
            <w:vAlign w:val="center"/>
          </w:tcPr>
          <w:p w:rsidR="009B1925" w:rsidRPr="00D27715" w:rsidRDefault="009B192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27715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9B1925" w:rsidRPr="00D27715" w:rsidRDefault="009B1925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27715">
              <w:rPr>
                <w:rFonts w:cs="Times New Roman"/>
                <w:sz w:val="20"/>
                <w:szCs w:val="20"/>
              </w:rPr>
              <w:t>20%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9B1925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2. </w:t>
            </w:r>
            <w:r w:rsidR="002433F0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Adoção de nova prática contábil e mudança de política contábil;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lastRenderedPageBreak/>
              <w:t>3. Ágio/deságio;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9B1925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B1925" w:rsidRPr="00D27715" w:rsidRDefault="009B1925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4. Ajuste a valor presente</w:t>
            </w:r>
          </w:p>
        </w:tc>
        <w:tc>
          <w:tcPr>
            <w:tcW w:w="1843" w:type="dxa"/>
          </w:tcPr>
          <w:p w:rsidR="009B1925" w:rsidRPr="00D27715" w:rsidRDefault="009B192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9B1925" w:rsidRPr="00D27715" w:rsidRDefault="009B1925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Arrendamento mercantil (</w:t>
            </w:r>
            <w:r w:rsidRPr="00D27715">
              <w:rPr>
                <w:rFonts w:eastAsia="Times New Roman" w:cs="Times New Roman"/>
                <w:b w:val="0"/>
                <w:i/>
                <w:iCs/>
                <w:color w:val="171717"/>
                <w:sz w:val="20"/>
                <w:szCs w:val="20"/>
                <w:lang w:eastAsia="pt-BR"/>
              </w:rPr>
              <w:t>leasing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);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7.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 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Ativo imobilizado;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8.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Ativo intangível;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10.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 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Benefícios a empregados;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12. Capital social autorizado;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F849AA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13. Combinação de negócios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14.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Continuidade normal dos negócios;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16.Contratos de seguro;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17.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 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Correção de erros de períodos anteriores;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F849AA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18. Créditos </w:t>
            </w:r>
            <w:proofErr w:type="spellStart"/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eletrobrás</w:t>
            </w:r>
            <w:proofErr w:type="spellEnd"/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F849AA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19. Custos de transação e prêmios na emissão de papéis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20.Debêntures;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24.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 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Demonstrações contábeis consolidadas;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25.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Demonstrações separadas;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26.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Destinação de lucros constantes nos Acordos com Acionistas;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F849AA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27. Dividendo por ação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28.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 xml:space="preserve"> Dividendos propostos;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31. Equivalência patrimonial;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32.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Estoques;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F849AA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33. Evento subsequente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34.</w:t>
            </w:r>
            <w:r w:rsidR="009B1925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Incorporação, fusão e cisão;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36. Informações sobre concessões;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9B1925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37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.</w:t>
            </w:r>
            <w:r w:rsidR="002433F0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 Instrumentos financeiros;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38.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Investimento em coligada e em controlada;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40. Juros sobre capital próprio;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41.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Lucro ou prejuízo por ação;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42.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Mudanças em estimativas contábeis;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44.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Perdas estimadas em créditos de liquidação duvidosa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F849AA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46. Programa de recuperação fiscal (refis)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F849AA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47. Propriedade de investimento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48.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Provisões, passivos contingentes e ativos contingentes;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49.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Receitas;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50.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Redução ao valor recuperável de ativos;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51.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Remuneração dos administradores;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F849AA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52. Reserva de lucros a realizar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53.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Reservas – detalhamento;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F849AA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F849AA" w:rsidRPr="00D27715" w:rsidRDefault="00F849AA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lastRenderedPageBreak/>
              <w:t>54. Retenção de lucros</w:t>
            </w:r>
          </w:p>
        </w:tc>
        <w:tc>
          <w:tcPr>
            <w:tcW w:w="184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:rsidR="00F849AA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55. Seguros;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56. Subvenção e assistência governamentais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57.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Transações entre partes relacionadas;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58.</w:t>
            </w:r>
            <w:r w:rsidR="00F849AA"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 </w:t>
            </w: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Tributos sobre o lucro;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80%</w:t>
            </w:r>
          </w:p>
        </w:tc>
      </w:tr>
      <w:tr w:rsidR="002433F0" w:rsidRPr="002433F0" w:rsidTr="00243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b w:val="0"/>
                <w:color w:val="171717"/>
                <w:sz w:val="20"/>
                <w:szCs w:val="20"/>
                <w:lang w:eastAsia="pt-BR"/>
              </w:rPr>
              <w:t>59. Variações cambiais e conversão de demonstrações contábeis;</w:t>
            </w:r>
          </w:p>
        </w:tc>
        <w:tc>
          <w:tcPr>
            <w:tcW w:w="184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p w:rsidR="002433F0" w:rsidRPr="00D27715" w:rsidRDefault="002433F0" w:rsidP="00A82C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color w:val="000000"/>
                <w:sz w:val="20"/>
                <w:szCs w:val="20"/>
              </w:rPr>
              <w:t>60%</w:t>
            </w:r>
          </w:p>
        </w:tc>
      </w:tr>
      <w:tr w:rsidR="002433F0" w:rsidRPr="002433F0" w:rsidTr="002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2433F0" w:rsidRPr="00D27715" w:rsidRDefault="002433F0" w:rsidP="00A82C78">
            <w:pPr>
              <w:ind w:firstLine="0"/>
              <w:jc w:val="left"/>
              <w:rPr>
                <w:rFonts w:eastAsia="Times New Roman" w:cs="Times New Roman"/>
                <w:color w:val="171717"/>
                <w:sz w:val="20"/>
                <w:szCs w:val="20"/>
                <w:lang w:eastAsia="pt-BR"/>
              </w:rPr>
            </w:pPr>
            <w:r w:rsidRPr="00D27715">
              <w:rPr>
                <w:rFonts w:eastAsia="Times New Roman" w:cs="Times New Roman"/>
                <w:color w:val="171717"/>
                <w:sz w:val="20"/>
                <w:szCs w:val="20"/>
                <w:lang w:eastAsia="pt-BR"/>
              </w:rPr>
              <w:t>Resultado médio</w:t>
            </w:r>
          </w:p>
        </w:tc>
        <w:tc>
          <w:tcPr>
            <w:tcW w:w="1843" w:type="dxa"/>
          </w:tcPr>
          <w:p w:rsidR="002433F0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b/>
                <w:color w:val="000000"/>
                <w:sz w:val="20"/>
                <w:szCs w:val="20"/>
              </w:rPr>
              <w:t>2,6</w:t>
            </w:r>
          </w:p>
        </w:tc>
        <w:tc>
          <w:tcPr>
            <w:tcW w:w="1553" w:type="dxa"/>
          </w:tcPr>
          <w:p w:rsidR="002433F0" w:rsidRPr="00D27715" w:rsidRDefault="00F849AA" w:rsidP="00A82C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D27715">
              <w:rPr>
                <w:rFonts w:cs="Times New Roman"/>
                <w:b/>
                <w:color w:val="000000"/>
                <w:sz w:val="20"/>
                <w:szCs w:val="20"/>
              </w:rPr>
              <w:t>53</w:t>
            </w:r>
            <w:r w:rsidR="002433F0" w:rsidRPr="00D27715">
              <w:rPr>
                <w:rFonts w:cs="Times New Roman"/>
                <w:b/>
                <w:color w:val="000000"/>
                <w:sz w:val="20"/>
                <w:szCs w:val="20"/>
              </w:rPr>
              <w:t>%</w:t>
            </w:r>
          </w:p>
        </w:tc>
      </w:tr>
    </w:tbl>
    <w:p w:rsidR="002433F0" w:rsidRDefault="00D27715" w:rsidP="001C416E">
      <w:pPr>
        <w:spacing w:line="240" w:lineRule="auto"/>
        <w:ind w:firstLine="0"/>
        <w:jc w:val="left"/>
        <w:rPr>
          <w:sz w:val="20"/>
        </w:rPr>
      </w:pPr>
      <w:r>
        <w:rPr>
          <w:sz w:val="20"/>
        </w:rPr>
        <w:t>Fonte: elaborado pelos autores</w:t>
      </w:r>
      <w:r w:rsidR="002433F0" w:rsidRPr="002433F0">
        <w:rPr>
          <w:sz w:val="20"/>
        </w:rPr>
        <w:t>, 2018.</w:t>
      </w:r>
    </w:p>
    <w:p w:rsidR="002433F0" w:rsidRDefault="002433F0" w:rsidP="00A82C78">
      <w:pPr>
        <w:spacing w:line="240" w:lineRule="auto"/>
        <w:ind w:firstLine="0"/>
        <w:jc w:val="center"/>
        <w:rPr>
          <w:sz w:val="20"/>
        </w:rPr>
      </w:pPr>
    </w:p>
    <w:p w:rsidR="00D27715" w:rsidRDefault="001614EE" w:rsidP="00A82C78">
      <w:pPr>
        <w:spacing w:line="240" w:lineRule="auto"/>
      </w:pPr>
      <w:r>
        <w:t>Na Tabela</w:t>
      </w:r>
      <w:r w:rsidR="002B5E42">
        <w:t xml:space="preserve"> 7 foi apresentado</w:t>
      </w:r>
      <w:r w:rsidR="002433F0">
        <w:t xml:space="preserve"> </w:t>
      </w:r>
      <w:r w:rsidR="00F849AA">
        <w:t>o atendimento d</w:t>
      </w:r>
      <w:r w:rsidR="002433F0">
        <w:t xml:space="preserve">os itens </w:t>
      </w:r>
      <w:r w:rsidR="00F849AA">
        <w:t>sugeridos pela Instrução Normativa da CVM.</w:t>
      </w:r>
      <w:r w:rsidR="009B1925">
        <w:t xml:space="preserve"> Os itens da instrução </w:t>
      </w:r>
      <w:r w:rsidR="00CB6FA6">
        <w:t xml:space="preserve">20, 28, 37, 41, 48, 49 e 53 foram </w:t>
      </w:r>
      <w:r w:rsidR="009B1925">
        <w:t xml:space="preserve">divulgados por </w:t>
      </w:r>
      <w:r w:rsidR="00CB6FA6">
        <w:t>100% d</w:t>
      </w:r>
      <w:r w:rsidR="009B1925">
        <w:t>a</w:t>
      </w:r>
      <w:r w:rsidR="00CB6FA6">
        <w:t>s empresas</w:t>
      </w:r>
      <w:r w:rsidR="002B5E42">
        <w:t>. Trata</w:t>
      </w:r>
      <w:r w:rsidR="009B1925">
        <w:t>-se de itens relevantes nas operações das empresas, como é o caso dos instrumentos financeiros que permite</w:t>
      </w:r>
      <w:r w:rsidR="002B5E42">
        <w:t>m</w:t>
      </w:r>
      <w:r w:rsidR="009B1925">
        <w:t xml:space="preserve"> aos usuários a avaliação da significância desses instrumentos para a posição patrimonial/financeira e para o de</w:t>
      </w:r>
      <w:r w:rsidR="002B5E42">
        <w:t>sempenho da entidade (IUDÍCIBUS</w:t>
      </w:r>
      <w:r w:rsidR="009B1925">
        <w:t xml:space="preserve"> et al</w:t>
      </w:r>
      <w:r w:rsidR="002B5E42">
        <w:t>.</w:t>
      </w:r>
      <w:r w:rsidR="009B1925">
        <w:t>, 2010).</w:t>
      </w:r>
      <w:r w:rsidR="00F849AA">
        <w:t xml:space="preserve"> Observa-se que o item 27 e o item 41 devem ser mencionados em notas explicativas da mesma forma, porém o item 27 foi divulgado apenas por 40% das empresas pesquisadas.</w:t>
      </w:r>
      <w:r w:rsidR="002B5E42">
        <w:t xml:space="preserve"> Somente três</w:t>
      </w:r>
      <w:r w:rsidR="006E31BF">
        <w:t xml:space="preserve"> empresas divulgaram os itens 14 e 26, sendo informações relevantes para avaliação do usuário da conta</w:t>
      </w:r>
      <w:r w:rsidR="002B5E42">
        <w:t>bilidade, uma vez que implica</w:t>
      </w:r>
      <w:r w:rsidR="006E31BF">
        <w:t xml:space="preserve"> critérios para a continuidade dos negócios.</w:t>
      </w:r>
      <w:r w:rsidR="00D27715">
        <w:t xml:space="preserve"> No resultado global</w:t>
      </w:r>
      <w:r w:rsidR="002B5E42">
        <w:t>,</w:t>
      </w:r>
      <w:r w:rsidR="00D27715">
        <w:t xml:space="preserve"> notou-se que 53% das empresas pesquisadas divulgaram os itens apresentados em</w:t>
      </w:r>
      <w:r w:rsidR="002B5E42">
        <w:t xml:space="preserve"> notas explicativas, atendendo à</w:t>
      </w:r>
      <w:r w:rsidR="00D27715">
        <w:t xml:space="preserve"> Instrução</w:t>
      </w:r>
      <w:r w:rsidR="002B5E42">
        <w:t xml:space="preserve"> Normativa</w:t>
      </w:r>
      <w:r w:rsidR="00D27715">
        <w:t xml:space="preserve"> da CVM.</w:t>
      </w:r>
    </w:p>
    <w:p w:rsidR="00D27715" w:rsidRDefault="00F700EA" w:rsidP="00A82C78">
      <w:pPr>
        <w:spacing w:line="240" w:lineRule="auto"/>
      </w:pPr>
      <w:r>
        <w:t xml:space="preserve">Os resultados obtidos </w:t>
      </w:r>
      <w:r w:rsidR="00913DEA">
        <w:t>demonstram que as empresas analisadas</w:t>
      </w:r>
      <w:r w:rsidR="00B91C76">
        <w:t xml:space="preserve"> do setor elétrico</w:t>
      </w:r>
      <w:r w:rsidR="00913DEA">
        <w:t xml:space="preserve"> </w:t>
      </w:r>
      <w:r w:rsidR="00E64D79">
        <w:t xml:space="preserve">(84%) </w:t>
      </w:r>
      <w:r w:rsidR="00913DEA">
        <w:t>melhor a</w:t>
      </w:r>
      <w:r w:rsidR="002B5E42">
        <w:t>tenderam à</w:t>
      </w:r>
      <w:r w:rsidR="00913DEA">
        <w:t>s exigências do CPC 26</w:t>
      </w:r>
      <w:r w:rsidR="00B91C76">
        <w:t xml:space="preserve"> (R1). </w:t>
      </w:r>
      <w:r w:rsidR="002B5E42">
        <w:t>Por se tratar</w:t>
      </w:r>
      <w:r w:rsidR="00C240E7">
        <w:t xml:space="preserve"> de descrições e detalhamentos acerca da elaboração das demonstrações contábeis</w:t>
      </w:r>
      <w:r w:rsidR="002B5E42">
        <w:t>,</w:t>
      </w:r>
      <w:r w:rsidR="00C240E7">
        <w:t xml:space="preserve"> essas informações contribuem para </w:t>
      </w:r>
      <w:r w:rsidR="002B5E42">
        <w:t xml:space="preserve">a </w:t>
      </w:r>
      <w:r w:rsidR="00C240E7">
        <w:t>correta interpretação do usuário.</w:t>
      </w:r>
      <w:r w:rsidR="002B5E42">
        <w:t xml:space="preserve"> Com relação à</w:t>
      </w:r>
      <w:r w:rsidR="00E64D79">
        <w:t xml:space="preserve"> Lei 6.404/76</w:t>
      </w:r>
      <w:r w:rsidR="002B5E42">
        <w:t>,</w:t>
      </w:r>
      <w:r w:rsidR="00E64D79">
        <w:t xml:space="preserve"> as empresas estudadas divulgaram 71% dos itens exigidos, sendo que os principais critérios de avaliação foram publicados por 100%.</w:t>
      </w:r>
      <w:r w:rsidR="00285C12">
        <w:t xml:space="preserve"> As empresas divulgaram 53% dos itens sugeridos pela Instrução</w:t>
      </w:r>
      <w:r w:rsidR="002B5E42">
        <w:t xml:space="preserve"> Normativa</w:t>
      </w:r>
      <w:r w:rsidR="00285C12">
        <w:t xml:space="preserve"> da CVM. </w:t>
      </w:r>
      <w:r w:rsidR="00BA3BEB">
        <w:t xml:space="preserve">Portanto, </w:t>
      </w:r>
      <w:r w:rsidR="002B5E42">
        <w:t>esta foi a menos contemplada</w:t>
      </w:r>
      <w:r w:rsidR="00BA3BEB">
        <w:t xml:space="preserve"> pelas companhias.</w:t>
      </w:r>
    </w:p>
    <w:p w:rsidR="00BA3BEB" w:rsidRDefault="00BA3BEB" w:rsidP="00A82C78">
      <w:pPr>
        <w:spacing w:line="240" w:lineRule="auto"/>
      </w:pPr>
      <w:r>
        <w:t xml:space="preserve">Com base nessa pesquisa, foi possível identificar que os itens sugeridos pelo CPC 26 (R1) e pela Lei 6.404/76 tiveram seus itens divulgados em sua maioria. </w:t>
      </w:r>
      <w:r w:rsidR="002E5B41">
        <w:t>As exigências de publicação dos itens em notas explicativas da Instrução da CVM foram parcialmente atendidas pelas empresas do setor elétrico estudadas, sendo alguns itens não di</w:t>
      </w:r>
      <w:r w:rsidR="002B5E42">
        <w:t>vulgados e outros itens possuindo relação, porém não</w:t>
      </w:r>
      <w:r w:rsidR="002E5B41">
        <w:t xml:space="preserve"> divulgados da mesma forma.</w:t>
      </w:r>
    </w:p>
    <w:p w:rsidR="00CA1145" w:rsidRPr="002E5B41" w:rsidRDefault="00CA1145" w:rsidP="00A82C78">
      <w:pPr>
        <w:spacing w:line="240" w:lineRule="auto"/>
        <w:ind w:firstLine="0"/>
      </w:pPr>
    </w:p>
    <w:p w:rsidR="002E5B41" w:rsidRDefault="002E5B41" w:rsidP="00A82C78">
      <w:pPr>
        <w:pStyle w:val="PargrafodaLista"/>
        <w:numPr>
          <w:ilvl w:val="0"/>
          <w:numId w:val="19"/>
        </w:numPr>
        <w:spacing w:line="240" w:lineRule="auto"/>
        <w:ind w:left="0" w:hanging="425"/>
        <w:rPr>
          <w:b/>
        </w:rPr>
      </w:pPr>
      <w:r>
        <w:rPr>
          <w:b/>
        </w:rPr>
        <w:t>CON</w:t>
      </w:r>
      <w:r w:rsidR="00B4080C">
        <w:rPr>
          <w:b/>
        </w:rPr>
        <w:t>SIDERAÇÕES FINAIS</w:t>
      </w:r>
    </w:p>
    <w:p w:rsidR="002E5B41" w:rsidRDefault="002E5B41" w:rsidP="00A82C78">
      <w:pPr>
        <w:spacing w:line="240" w:lineRule="auto"/>
        <w:rPr>
          <w:b/>
        </w:rPr>
      </w:pPr>
    </w:p>
    <w:p w:rsidR="002E5B41" w:rsidRDefault="002E5B41" w:rsidP="00A82C78">
      <w:pPr>
        <w:spacing w:line="240" w:lineRule="auto"/>
      </w:pPr>
      <w:r>
        <w:t>As notas explicativas possuem papel fundamental para a compreensão das demonstrações contábeis. Por intermédio das informações fornecidas em notas explicativas é</w:t>
      </w:r>
      <w:r w:rsidR="002C6D19">
        <w:t xml:space="preserve"> possível </w:t>
      </w:r>
      <w:r>
        <w:t xml:space="preserve">descrever as práticas contábeis pela companhia e os principais critérios de avaliação. São destinadas a atender </w:t>
      </w:r>
      <w:r w:rsidR="002B5E42">
        <w:t>à</w:t>
      </w:r>
      <w:r w:rsidR="00B4080C">
        <w:t xml:space="preserve">s necessidades dos usuários e proporcionar a comparabilidade das informações. </w:t>
      </w:r>
    </w:p>
    <w:p w:rsidR="00B4080C" w:rsidRDefault="00B4080C" w:rsidP="00A82C78">
      <w:pPr>
        <w:spacing w:line="240" w:lineRule="auto"/>
      </w:pPr>
      <w:r>
        <w:lastRenderedPageBreak/>
        <w:t>Dessa forma, no presente trabalho buscou-se analisar o conteúdo das notas explicativas apresentadas pelas companhias abertas brasileiras do setor elétrico. O objetivo geral proposto foi alcançado por meio</w:t>
      </w:r>
      <w:r w:rsidR="002B5E42">
        <w:t xml:space="preserve"> de</w:t>
      </w:r>
      <w:r>
        <w:t xml:space="preserve"> levantamento de dados da amostragem e rastreamento dos itens objetos de notas explicativas sugeridas pelos CPC 26 (R1), pela Lei 6.404/76 e pela Instrução Normativa da CVM. A pesquisa delimitou-se ao exercício de 2016 e as inferências restringem</w:t>
      </w:r>
      <w:r w:rsidR="002B5E42">
        <w:t>-se à</w:t>
      </w:r>
      <w:r>
        <w:t>s empresas que compõe</w:t>
      </w:r>
      <w:r w:rsidR="002B5E42">
        <w:t>m</w:t>
      </w:r>
      <w:r>
        <w:t xml:space="preserve"> a amostra.</w:t>
      </w:r>
    </w:p>
    <w:p w:rsidR="00B4080C" w:rsidRDefault="00B4080C" w:rsidP="00A82C78">
      <w:pPr>
        <w:spacing w:line="240" w:lineRule="auto"/>
      </w:pPr>
      <w:r>
        <w:t>Por meio da pesquisa, os resultados demonstraram que as empresas de capital aberto do setor elétrico divulgaram em sua maioria os itens sugeridos pelo CPC 26 (R1) e pela Lei 6.404/76.</w:t>
      </w:r>
      <w:r w:rsidR="002B5E42">
        <w:t xml:space="preserve"> Em relação à</w:t>
      </w:r>
      <w:r w:rsidR="00732DE7">
        <w:t xml:space="preserve"> Instrução Normativa da CVM, as empresas não atenderam plenamente </w:t>
      </w:r>
      <w:r w:rsidR="002B5E42">
        <w:t>a</w:t>
      </w:r>
      <w:r w:rsidR="00732DE7">
        <w:t>os itens sugeridos. Por meio da fundamentação teórica</w:t>
      </w:r>
      <w:r w:rsidR="002B5E42">
        <w:t>,</w:t>
      </w:r>
      <w:r w:rsidR="00732DE7">
        <w:t xml:space="preserve"> foi possível evidenciar a utilidade das notas explicativas e indicar os itens exigidos para divulgação.</w:t>
      </w:r>
    </w:p>
    <w:p w:rsidR="00862459" w:rsidRDefault="004F6B4D" w:rsidP="00A82C78">
      <w:pPr>
        <w:spacing w:line="240" w:lineRule="auto"/>
      </w:pPr>
      <w:r>
        <w:t>Tornou-se possível constatar que as companhias</w:t>
      </w:r>
      <w:r w:rsidR="00862459">
        <w:t xml:space="preserve"> estudadas</w:t>
      </w:r>
      <w:r w:rsidR="002B5E42">
        <w:t>,</w:t>
      </w:r>
      <w:r w:rsidR="00862459">
        <w:t xml:space="preserve"> ao divulgar as exigências do CPC 26 (R1) e da Lei 6.404/76</w:t>
      </w:r>
      <w:r w:rsidR="002B5E42">
        <w:t>, contribuíram</w:t>
      </w:r>
      <w:r w:rsidR="00862459">
        <w:t xml:space="preserve"> de forma favorável para a interpretação de suas demonstrações contábeis, facilitando para o correto uso das informações contábeis. Por outro lado, a falta de divulgação de alguns itens exigidos pela Instrução Normativa da CVM impossibilita </w:t>
      </w:r>
      <w:r w:rsidR="002B5E42">
        <w:t>a</w:t>
      </w:r>
      <w:r w:rsidR="00862459">
        <w:t>os usuários explorar os dados que não foram informados, podendo prejudicar sua análise e interpretação.</w:t>
      </w:r>
    </w:p>
    <w:p w:rsidR="00862459" w:rsidRDefault="00862459" w:rsidP="00A82C78">
      <w:pPr>
        <w:spacing w:line="240" w:lineRule="auto"/>
      </w:pPr>
      <w:r>
        <w:t xml:space="preserve">Observa-se que a falta de uma estrutura padronizada para divulgação das notas explicativas dificulta </w:t>
      </w:r>
      <w:r w:rsidR="0018507A">
        <w:t>a correta el</w:t>
      </w:r>
      <w:r w:rsidR="00D93D2D">
        <w:t>aboração das notas explicativas</w:t>
      </w:r>
      <w:r w:rsidR="0018507A">
        <w:t>. Nota-se ainda que alguns itens abordados na Instrução</w:t>
      </w:r>
      <w:r w:rsidR="002B5E42">
        <w:t xml:space="preserve"> Normativa</w:t>
      </w:r>
      <w:r w:rsidR="0018507A">
        <w:t xml:space="preserve"> da CVM estão informados também na Lei 6.404/76, podendo provocar conflitos no momento da elaboração das notas explicativas.</w:t>
      </w:r>
    </w:p>
    <w:p w:rsidR="0018507A" w:rsidRDefault="0018507A" w:rsidP="00A82C78">
      <w:pPr>
        <w:spacing w:line="240" w:lineRule="auto"/>
      </w:pPr>
      <w:r>
        <w:t>Por fim, sugere-se</w:t>
      </w:r>
      <w:r w:rsidR="002B5E42">
        <w:t>,</w:t>
      </w:r>
      <w:r>
        <w:t xml:space="preserve"> para trabalhos futuros, aprofundar a pesquisa em apenas um dos itens tratados neste trabalho ou utilizar outros itens para realizar a pesquisa. Adicionalmente, pode</w:t>
      </w:r>
      <w:r w:rsidR="00D93D2D">
        <w:t>m</w:t>
      </w:r>
      <w:r>
        <w:t>-se analisar outro</w:t>
      </w:r>
      <w:r w:rsidR="00D93D2D">
        <w:t>s</w:t>
      </w:r>
      <w:r>
        <w:t xml:space="preserve"> setor</w:t>
      </w:r>
      <w:r w:rsidR="00D93D2D">
        <w:t>es</w:t>
      </w:r>
      <w:r>
        <w:t xml:space="preserve"> das companhias de </w:t>
      </w:r>
      <w:r w:rsidR="00D93D2D">
        <w:t>capital aberto e</w:t>
      </w:r>
      <w:r>
        <w:t xml:space="preserve"> comparar resultados obtidos nessa pesquisa.</w:t>
      </w:r>
    </w:p>
    <w:p w:rsidR="002E5B41" w:rsidRDefault="002E5B41" w:rsidP="00A82C78">
      <w:pPr>
        <w:spacing w:line="240" w:lineRule="auto"/>
        <w:ind w:firstLine="0"/>
        <w:rPr>
          <w:b/>
        </w:rPr>
      </w:pPr>
    </w:p>
    <w:p w:rsidR="00B25466" w:rsidRPr="007E10C4" w:rsidRDefault="0013050E" w:rsidP="00A82C78">
      <w:pPr>
        <w:pStyle w:val="PargrafodaLista"/>
        <w:numPr>
          <w:ilvl w:val="0"/>
          <w:numId w:val="19"/>
        </w:numPr>
        <w:spacing w:line="240" w:lineRule="auto"/>
        <w:ind w:left="0" w:hanging="425"/>
        <w:rPr>
          <w:b/>
        </w:rPr>
      </w:pPr>
      <w:r w:rsidRPr="007E10C4">
        <w:rPr>
          <w:b/>
        </w:rPr>
        <w:t>REFERÊNCIAS</w:t>
      </w:r>
    </w:p>
    <w:p w:rsidR="00B25466" w:rsidRDefault="00B25466" w:rsidP="00A82C78">
      <w:pPr>
        <w:spacing w:line="240" w:lineRule="auto"/>
        <w:ind w:firstLine="0"/>
      </w:pPr>
    </w:p>
    <w:p w:rsidR="00FA3A66" w:rsidRDefault="00FA3A66" w:rsidP="00A82C78">
      <w:pPr>
        <w:spacing w:line="240" w:lineRule="auto"/>
        <w:ind w:firstLine="0"/>
      </w:pPr>
      <w:r>
        <w:t xml:space="preserve">ALMEIDA, Marcelo Cavalcanti. </w:t>
      </w:r>
      <w:r w:rsidRPr="002B5E42">
        <w:rPr>
          <w:b/>
        </w:rPr>
        <w:t>Curso de contabilidade avançada em IFRS e CPC.</w:t>
      </w:r>
      <w:r>
        <w:t xml:space="preserve">  São Paulo: Atlas, 2014.</w:t>
      </w:r>
    </w:p>
    <w:p w:rsidR="00CE5B04" w:rsidRPr="00CE5B04" w:rsidRDefault="00CE5B04" w:rsidP="00A82C78">
      <w:pPr>
        <w:spacing w:line="240" w:lineRule="auto"/>
        <w:ind w:firstLine="0"/>
        <w:rPr>
          <w:rFonts w:cs="Times New Roman"/>
          <w:szCs w:val="24"/>
        </w:rPr>
      </w:pPr>
    </w:p>
    <w:p w:rsidR="00CE5B04" w:rsidRDefault="00CE5B04" w:rsidP="00A82C78">
      <w:pPr>
        <w:spacing w:line="240" w:lineRule="auto"/>
        <w:ind w:firstLine="0"/>
        <w:rPr>
          <w:rFonts w:cs="Times New Roman"/>
          <w:szCs w:val="24"/>
        </w:rPr>
      </w:pPr>
      <w:r w:rsidRPr="00CE5B04">
        <w:rPr>
          <w:rFonts w:cs="Times New Roman"/>
          <w:szCs w:val="24"/>
        </w:rPr>
        <w:t xml:space="preserve">BRASIL. Constituição (1976). </w:t>
      </w:r>
      <w:r w:rsidRPr="00CE5B04">
        <w:rPr>
          <w:rFonts w:cs="Times New Roman"/>
          <w:b/>
          <w:szCs w:val="24"/>
        </w:rPr>
        <w:t>Lei nº 6404, de 15 de dezembro de 1976</w:t>
      </w:r>
      <w:r w:rsidRPr="00CE5B04">
        <w:rPr>
          <w:rFonts w:cs="Times New Roman"/>
          <w:szCs w:val="24"/>
        </w:rPr>
        <w:t>. Sociedades Por Ações. Brasília, SANTA CATARINA, 17 dez. 1976. p. 1-94.</w:t>
      </w:r>
    </w:p>
    <w:p w:rsidR="00CE5B04" w:rsidRDefault="00CE5B04" w:rsidP="00A82C78">
      <w:pPr>
        <w:spacing w:line="240" w:lineRule="auto"/>
        <w:ind w:firstLine="0"/>
        <w:rPr>
          <w:rFonts w:cs="Times New Roman"/>
          <w:szCs w:val="24"/>
        </w:rPr>
      </w:pPr>
    </w:p>
    <w:p w:rsidR="00CE5B04" w:rsidRPr="00CE5B04" w:rsidRDefault="00CE5B04" w:rsidP="00CE5B04">
      <w:pPr>
        <w:spacing w:line="240" w:lineRule="auto"/>
        <w:ind w:firstLine="0"/>
        <w:rPr>
          <w:rFonts w:cs="Times New Roman"/>
          <w:szCs w:val="24"/>
        </w:rPr>
      </w:pPr>
      <w:r w:rsidRPr="00CE5B04">
        <w:rPr>
          <w:rFonts w:cs="Times New Roman"/>
          <w:szCs w:val="24"/>
        </w:rPr>
        <w:t xml:space="preserve">COMITÊ DE PRONUNCIAMENTOS CONTÁBEIS. </w:t>
      </w:r>
      <w:r w:rsidRPr="00CE5B04">
        <w:rPr>
          <w:rFonts w:cs="Times New Roman"/>
          <w:b/>
          <w:szCs w:val="24"/>
        </w:rPr>
        <w:t>CPC 26 (R1)</w:t>
      </w:r>
      <w:r w:rsidRPr="00CE5B04">
        <w:rPr>
          <w:rFonts w:cs="Times New Roman"/>
          <w:szCs w:val="24"/>
        </w:rPr>
        <w:t xml:space="preserve">: Apresentação das demonstrações contábeis. 26 ed. Brasília: </w:t>
      </w:r>
      <w:proofErr w:type="spellStart"/>
      <w:r w:rsidRPr="00CE5B04">
        <w:rPr>
          <w:rFonts w:cs="Times New Roman"/>
          <w:szCs w:val="24"/>
        </w:rPr>
        <w:t>Cpc</w:t>
      </w:r>
      <w:proofErr w:type="spellEnd"/>
      <w:r w:rsidRPr="00CE5B04">
        <w:rPr>
          <w:rFonts w:cs="Times New Roman"/>
          <w:szCs w:val="24"/>
        </w:rPr>
        <w:t>, 2011. 46 p. Disponível em: &lt;http://static.cpc.aatb.com.br/Documentos/312_CPC_26_R1_rev 12.pdf&gt;. Acesso em: 03 dez. 2017.</w:t>
      </w:r>
    </w:p>
    <w:p w:rsidR="00FF4557" w:rsidRDefault="00FF4557" w:rsidP="00A82C78">
      <w:pPr>
        <w:spacing w:line="240" w:lineRule="auto"/>
        <w:ind w:firstLine="0"/>
        <w:jc w:val="left"/>
      </w:pPr>
    </w:p>
    <w:p w:rsidR="00975D21" w:rsidRDefault="00975D21" w:rsidP="00A82C78">
      <w:pPr>
        <w:spacing w:line="240" w:lineRule="auto"/>
        <w:ind w:firstLine="0"/>
      </w:pPr>
      <w:r>
        <w:t xml:space="preserve">FERREIRA, Ricardo José. </w:t>
      </w:r>
      <w:r w:rsidRPr="00975D21">
        <w:rPr>
          <w:b/>
        </w:rPr>
        <w:t>Contabilidade básica</w:t>
      </w:r>
      <w:r>
        <w:t>: teoria e questões comentadas. 6. ed. Rio de Janeiro: Ferreira, 2008.</w:t>
      </w:r>
    </w:p>
    <w:p w:rsidR="00975D21" w:rsidRDefault="00975D21" w:rsidP="00A82C78">
      <w:pPr>
        <w:spacing w:line="240" w:lineRule="auto"/>
        <w:ind w:firstLine="0"/>
      </w:pPr>
    </w:p>
    <w:p w:rsidR="00297B1D" w:rsidRDefault="00297B1D" w:rsidP="00A82C78">
      <w:pPr>
        <w:spacing w:line="240" w:lineRule="auto"/>
        <w:ind w:firstLine="0"/>
      </w:pPr>
      <w:r>
        <w:lastRenderedPageBreak/>
        <w:t xml:space="preserve">HENDRIKSEN, </w:t>
      </w:r>
      <w:proofErr w:type="spellStart"/>
      <w:r>
        <w:t>Eldon</w:t>
      </w:r>
      <w:proofErr w:type="spellEnd"/>
      <w:r>
        <w:t xml:space="preserve"> S.; BREDA, Michael E. Van. </w:t>
      </w:r>
      <w:r w:rsidRPr="00297B1D">
        <w:rPr>
          <w:b/>
        </w:rPr>
        <w:t>Teoria da contabilidade.</w:t>
      </w:r>
      <w:r w:rsidR="002B5E42">
        <w:t xml:space="preserve"> 1</w:t>
      </w:r>
      <w:r>
        <w:t>. ed. São Paulo: Atlas, 2009.</w:t>
      </w:r>
    </w:p>
    <w:p w:rsidR="00297B1D" w:rsidRDefault="00297B1D" w:rsidP="00A82C78">
      <w:pPr>
        <w:spacing w:line="240" w:lineRule="auto"/>
        <w:ind w:firstLine="0"/>
      </w:pPr>
    </w:p>
    <w:p w:rsidR="0013050E" w:rsidRDefault="0013050E" w:rsidP="00A82C78">
      <w:pPr>
        <w:spacing w:line="240" w:lineRule="auto"/>
        <w:ind w:firstLine="0"/>
      </w:pPr>
      <w:r w:rsidRPr="0013050E">
        <w:t xml:space="preserve">IUDÍCIBUS, S.; MARTINS, E.; GELBCKE, E. R.; Santos, A. </w:t>
      </w:r>
      <w:r>
        <w:rPr>
          <w:b/>
        </w:rPr>
        <w:t>Manual de contabilidade so</w:t>
      </w:r>
      <w:r w:rsidRPr="0013050E">
        <w:rPr>
          <w:b/>
        </w:rPr>
        <w:t>cietária</w:t>
      </w:r>
      <w:r>
        <w:rPr>
          <w:b/>
        </w:rPr>
        <w:t xml:space="preserve">: </w:t>
      </w:r>
      <w:r w:rsidRPr="0013050E">
        <w:t xml:space="preserve">aplicável a todas as sociedades de acordo com as normas internacionais e do CPC. </w:t>
      </w:r>
      <w:r>
        <w:t xml:space="preserve">São Paulo: </w:t>
      </w:r>
      <w:r w:rsidRPr="0013050E">
        <w:t>Atlas, 2010.</w:t>
      </w:r>
    </w:p>
    <w:p w:rsidR="000C3D59" w:rsidRDefault="000C3D59" w:rsidP="00A82C78">
      <w:pPr>
        <w:spacing w:line="240" w:lineRule="auto"/>
        <w:ind w:firstLine="0"/>
      </w:pPr>
    </w:p>
    <w:p w:rsidR="004A67D6" w:rsidRDefault="004A67D6" w:rsidP="00A82C78">
      <w:pPr>
        <w:spacing w:line="240" w:lineRule="auto"/>
        <w:ind w:firstLine="0"/>
        <w:jc w:val="left"/>
      </w:pPr>
      <w:r>
        <w:t xml:space="preserve">MANUAL de contabilidade do setor elétrico. </w:t>
      </w:r>
      <w:r w:rsidRPr="004A67D6">
        <w:rPr>
          <w:b/>
        </w:rPr>
        <w:t>ANEEL.</w:t>
      </w:r>
      <w:r>
        <w:t xml:space="preserve"> Disponível em: &lt;</w:t>
      </w:r>
      <w:r w:rsidRPr="004A67D6">
        <w:t>http://www2.aneel.gov.br/arquivos/PDF/MCSE_-_Revis%C3%A3o.pdf</w:t>
      </w:r>
      <w:r>
        <w:t>&gt;. Acesso em: 31 jan. 2018.</w:t>
      </w:r>
    </w:p>
    <w:p w:rsidR="004A67D6" w:rsidRDefault="004A67D6" w:rsidP="00A82C78">
      <w:pPr>
        <w:spacing w:line="240" w:lineRule="auto"/>
        <w:ind w:firstLine="0"/>
        <w:jc w:val="left"/>
      </w:pPr>
    </w:p>
    <w:p w:rsidR="000C3D59" w:rsidRDefault="000C3D59" w:rsidP="00A82C78">
      <w:pPr>
        <w:spacing w:line="240" w:lineRule="auto"/>
        <w:ind w:firstLine="0"/>
        <w:jc w:val="left"/>
      </w:pPr>
      <w:r>
        <w:t>MANUAL</w:t>
      </w:r>
      <w:r w:rsidRPr="00FF4557">
        <w:t xml:space="preserve"> de contabilidade do sistema CFC/</w:t>
      </w:r>
      <w:proofErr w:type="spellStart"/>
      <w:r w:rsidRPr="00FF4557">
        <w:t>CRCs</w:t>
      </w:r>
      <w:proofErr w:type="spellEnd"/>
      <w:r>
        <w:t xml:space="preserve">. </w:t>
      </w:r>
      <w:r w:rsidRPr="00FF4557">
        <w:rPr>
          <w:b/>
        </w:rPr>
        <w:t>Portal CFC.</w:t>
      </w:r>
      <w:r>
        <w:t xml:space="preserve"> Disponível em &lt;</w:t>
      </w:r>
      <w:r w:rsidRPr="00610919">
        <w:t>http://portalcfc.org.br/wordpress/wp-content/uploads/2013/01/manual_cont.pdf</w:t>
      </w:r>
      <w:r>
        <w:t xml:space="preserve">&gt;. Acesso em: 03 dez. 2017. </w:t>
      </w:r>
    </w:p>
    <w:p w:rsidR="00934051" w:rsidRDefault="00934051" w:rsidP="00A82C78">
      <w:pPr>
        <w:spacing w:line="240" w:lineRule="auto"/>
        <w:ind w:firstLine="0"/>
      </w:pPr>
    </w:p>
    <w:p w:rsidR="00934051" w:rsidRDefault="00C20F60" w:rsidP="00A82C78">
      <w:pPr>
        <w:spacing w:line="240" w:lineRule="auto"/>
        <w:ind w:firstLine="0"/>
      </w:pPr>
      <w:r>
        <w:t xml:space="preserve">PADOVEZE, Clóvis Luís. </w:t>
      </w:r>
      <w:r w:rsidRPr="00C20F60">
        <w:rPr>
          <w:b/>
        </w:rPr>
        <w:t>Manual de contabilidade básica:</w:t>
      </w:r>
      <w:r>
        <w:t xml:space="preserve"> uma introdução à prática contábil. 5</w:t>
      </w:r>
      <w:r w:rsidR="00297B1D">
        <w:t>ª</w:t>
      </w:r>
      <w:r>
        <w:t>. ed. São Paulo: Atlas, 2007.</w:t>
      </w:r>
    </w:p>
    <w:p w:rsidR="00C20F60" w:rsidRDefault="00C20F60" w:rsidP="00A82C78">
      <w:pPr>
        <w:spacing w:line="240" w:lineRule="auto"/>
        <w:ind w:firstLine="0"/>
      </w:pPr>
    </w:p>
    <w:p w:rsidR="00C20F60" w:rsidRDefault="00C20F60" w:rsidP="00A82C78">
      <w:pPr>
        <w:spacing w:line="240" w:lineRule="auto"/>
        <w:ind w:firstLine="0"/>
      </w:pPr>
      <w:r>
        <w:t xml:space="preserve">SILVA, César Augusto Tibúrcio; TRISTÃO, Gilberto. </w:t>
      </w:r>
      <w:r w:rsidRPr="00975D21">
        <w:rPr>
          <w:b/>
        </w:rPr>
        <w:t>Contabilidade básica.</w:t>
      </w:r>
      <w:r>
        <w:t xml:space="preserve"> 2. ed. São Paulo: Atlas, 2000.</w:t>
      </w:r>
    </w:p>
    <w:p w:rsidR="00C20F60" w:rsidRDefault="00C20F60" w:rsidP="00A82C78">
      <w:pPr>
        <w:spacing w:line="240" w:lineRule="auto"/>
        <w:ind w:firstLine="0"/>
      </w:pPr>
    </w:p>
    <w:p w:rsidR="00297B1D" w:rsidRDefault="009F5C83" w:rsidP="00A82C78">
      <w:pPr>
        <w:spacing w:line="240" w:lineRule="auto"/>
        <w:ind w:firstLine="0"/>
        <w:jc w:val="left"/>
      </w:pPr>
      <w:r w:rsidRPr="009F5C83">
        <w:t xml:space="preserve">SILVA, </w:t>
      </w:r>
      <w:proofErr w:type="spellStart"/>
      <w:r w:rsidRPr="009F5C83">
        <w:t>Josilaini</w:t>
      </w:r>
      <w:proofErr w:type="spellEnd"/>
      <w:r w:rsidRPr="009F5C83">
        <w:t xml:space="preserve"> da; FONSECA, Larissa de Matos; NOGUEIRA, Daniel Ramos. </w:t>
      </w:r>
      <w:r w:rsidRPr="009F5C83">
        <w:rPr>
          <w:b/>
        </w:rPr>
        <w:t>Nível de Conformidade do Pronunciamento CPC 28:</w:t>
      </w:r>
      <w:r w:rsidRPr="009F5C83">
        <w:t xml:space="preserve"> uma análise nas companhias abertas brasileiras. Disponível em: &lt;http://dvl.ccn.ufsc.br/congresso/anais/5CCF/20140428081656.pdf</w:t>
      </w:r>
      <w:r>
        <w:t>&gt;. Acesso em: 07 fev. 2018.</w:t>
      </w:r>
    </w:p>
    <w:sectPr w:rsidR="00297B1D" w:rsidSect="00A82C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E10" w:rsidRDefault="00761E10" w:rsidP="00A04D38">
      <w:pPr>
        <w:spacing w:line="240" w:lineRule="auto"/>
      </w:pPr>
      <w:r>
        <w:separator/>
      </w:r>
    </w:p>
  </w:endnote>
  <w:endnote w:type="continuationSeparator" w:id="0">
    <w:p w:rsidR="00761E10" w:rsidRDefault="00761E10" w:rsidP="00A04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887135"/>
      <w:docPartObj>
        <w:docPartGallery w:val="Page Numbers (Bottom of Page)"/>
        <w:docPartUnique/>
      </w:docPartObj>
    </w:sdtPr>
    <w:sdtEndPr/>
    <w:sdtContent>
      <w:p w:rsidR="0073113C" w:rsidRDefault="007311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60A">
          <w:rPr>
            <w:noProof/>
          </w:rPr>
          <w:t>4</w:t>
        </w:r>
        <w:r>
          <w:fldChar w:fldCharType="end"/>
        </w:r>
      </w:p>
    </w:sdtContent>
  </w:sdt>
  <w:p w:rsidR="0073113C" w:rsidRDefault="0073113C" w:rsidP="00A82C78">
    <w:pPr>
      <w:pStyle w:val="Rodap"/>
      <w:ind w:firstLine="0"/>
    </w:pPr>
    <w:r>
      <w:rPr>
        <w:rFonts w:cs="Times New Roman"/>
        <w:noProof/>
        <w:lang w:eastAsia="pt-BR"/>
      </w:rPr>
      <w:drawing>
        <wp:inline distT="0" distB="0" distL="0" distR="0">
          <wp:extent cx="5562600" cy="728980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0" cy="728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3C" w:rsidRPr="000B7AE3" w:rsidRDefault="0073113C" w:rsidP="000B7AE3">
    <w:pPr>
      <w:pStyle w:val="Rodap"/>
      <w:ind w:firstLine="0"/>
      <w:rPr>
        <w:sz w:val="20"/>
      </w:rPr>
    </w:pPr>
    <w:r>
      <w:rPr>
        <w:noProof/>
        <w:lang w:eastAsia="pt-BR"/>
      </w:rPr>
      <w:drawing>
        <wp:inline distT="0" distB="0" distL="0" distR="0">
          <wp:extent cx="5558118" cy="649148"/>
          <wp:effectExtent l="0" t="0" r="508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8118" cy="6491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E10" w:rsidRDefault="00761E10" w:rsidP="00A04D38">
      <w:pPr>
        <w:spacing w:line="240" w:lineRule="auto"/>
      </w:pPr>
      <w:r>
        <w:separator/>
      </w:r>
    </w:p>
  </w:footnote>
  <w:footnote w:type="continuationSeparator" w:id="0">
    <w:p w:rsidR="00761E10" w:rsidRDefault="00761E10" w:rsidP="00A04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843202"/>
      <w:docPartObj>
        <w:docPartGallery w:val="Page Numbers (Top of Page)"/>
        <w:docPartUnique/>
      </w:docPartObj>
    </w:sdtPr>
    <w:sdtEndPr/>
    <w:sdtContent>
      <w:p w:rsidR="0073113C" w:rsidRDefault="0073113C" w:rsidP="00A82C78">
        <w:pPr>
          <w:pStyle w:val="Cabealho"/>
          <w:ind w:firstLine="0"/>
          <w:jc w:val="center"/>
        </w:pPr>
        <w:r>
          <w:rPr>
            <w:noProof/>
            <w:lang w:eastAsia="pt-BR"/>
          </w:rPr>
          <w:drawing>
            <wp:inline distT="0" distB="0" distL="0" distR="0" wp14:anchorId="717973FC" wp14:editId="5B63820E">
              <wp:extent cx="5756275" cy="1086485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beçalho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6275" cy="1086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73113C" w:rsidRDefault="0073113C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561656"/>
      <w:docPartObj>
        <w:docPartGallery w:val="Page Numbers (Top of Page)"/>
        <w:docPartUnique/>
      </w:docPartObj>
    </w:sdtPr>
    <w:sdtEndPr/>
    <w:sdtContent>
      <w:p w:rsidR="0073113C" w:rsidRDefault="0073113C" w:rsidP="006567B0">
        <w:pPr>
          <w:pStyle w:val="Cabealho"/>
          <w:ind w:firstLine="0"/>
          <w:jc w:val="center"/>
        </w:pPr>
        <w:r>
          <w:rPr>
            <w:noProof/>
            <w:lang w:eastAsia="pt-BR"/>
          </w:rPr>
          <w:drawing>
            <wp:inline distT="0" distB="0" distL="0" distR="0" wp14:anchorId="31CAA164" wp14:editId="459E3DF6">
              <wp:extent cx="5400040" cy="1019246"/>
              <wp:effectExtent l="0" t="0" r="0" b="952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beçalho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0192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73113C" w:rsidRDefault="00731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87C"/>
    <w:multiLevelType w:val="hybridMultilevel"/>
    <w:tmpl w:val="1CF66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3C83"/>
    <w:multiLevelType w:val="multilevel"/>
    <w:tmpl w:val="F2E040DC"/>
    <w:styleLink w:val="TC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5.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5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-32766" w:firstLine="32766"/>
      </w:pPr>
      <w:rPr>
        <w:rFonts w:hint="default"/>
      </w:rPr>
    </w:lvl>
    <w:lvl w:ilvl="7">
      <w:start w:val="1"/>
      <w:numFmt w:val="decimal"/>
      <w:lvlText w:val="%8.7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8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38C5097"/>
    <w:multiLevelType w:val="hybridMultilevel"/>
    <w:tmpl w:val="5E541730"/>
    <w:lvl w:ilvl="0" w:tplc="2E5C0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0DAE"/>
    <w:multiLevelType w:val="hybridMultilevel"/>
    <w:tmpl w:val="DB308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E3302"/>
    <w:multiLevelType w:val="hybridMultilevel"/>
    <w:tmpl w:val="28D61C6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0F557470"/>
    <w:multiLevelType w:val="hybridMultilevel"/>
    <w:tmpl w:val="88F23E62"/>
    <w:lvl w:ilvl="0" w:tplc="FB80F3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71632"/>
    <w:multiLevelType w:val="hybridMultilevel"/>
    <w:tmpl w:val="6EB8FA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12656"/>
    <w:multiLevelType w:val="hybridMultilevel"/>
    <w:tmpl w:val="B1C69B9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D3B85"/>
    <w:multiLevelType w:val="hybridMultilevel"/>
    <w:tmpl w:val="AE405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6D87"/>
    <w:multiLevelType w:val="hybridMultilevel"/>
    <w:tmpl w:val="24647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E1387"/>
    <w:multiLevelType w:val="hybridMultilevel"/>
    <w:tmpl w:val="8842C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1018"/>
    <w:multiLevelType w:val="hybridMultilevel"/>
    <w:tmpl w:val="2EEC7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3A26"/>
    <w:multiLevelType w:val="hybridMultilevel"/>
    <w:tmpl w:val="F702A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4B36"/>
    <w:multiLevelType w:val="hybridMultilevel"/>
    <w:tmpl w:val="5254B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35C6C"/>
    <w:multiLevelType w:val="hybridMultilevel"/>
    <w:tmpl w:val="C6286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A46A2"/>
    <w:multiLevelType w:val="hybridMultilevel"/>
    <w:tmpl w:val="D7882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643B"/>
    <w:multiLevelType w:val="hybridMultilevel"/>
    <w:tmpl w:val="B7802242"/>
    <w:lvl w:ilvl="0" w:tplc="F91C6B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9B8A568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B0038"/>
    <w:multiLevelType w:val="hybridMultilevel"/>
    <w:tmpl w:val="B7802242"/>
    <w:lvl w:ilvl="0" w:tplc="F91C6B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9B8A568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03508"/>
    <w:multiLevelType w:val="hybridMultilevel"/>
    <w:tmpl w:val="CB064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1E0F74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72332"/>
    <w:multiLevelType w:val="hybridMultilevel"/>
    <w:tmpl w:val="BB30A33C"/>
    <w:lvl w:ilvl="0" w:tplc="49B8A568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B5180"/>
    <w:multiLevelType w:val="hybridMultilevel"/>
    <w:tmpl w:val="7CA40976"/>
    <w:lvl w:ilvl="0" w:tplc="2E5C0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320DB"/>
    <w:multiLevelType w:val="hybridMultilevel"/>
    <w:tmpl w:val="5B1EF4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CA0007"/>
    <w:multiLevelType w:val="hybridMultilevel"/>
    <w:tmpl w:val="14C2C7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EAD6B70E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821B1"/>
    <w:multiLevelType w:val="hybridMultilevel"/>
    <w:tmpl w:val="6F5A5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06742"/>
    <w:multiLevelType w:val="multilevel"/>
    <w:tmpl w:val="F2E040DC"/>
    <w:numStyleLink w:val="TCC"/>
  </w:abstractNum>
  <w:abstractNum w:abstractNumId="25" w15:restartNumberingAfterBreak="0">
    <w:nsid w:val="5AB81008"/>
    <w:multiLevelType w:val="hybridMultilevel"/>
    <w:tmpl w:val="8FB48EDC"/>
    <w:lvl w:ilvl="0" w:tplc="2E5C0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60D4A"/>
    <w:multiLevelType w:val="hybridMultilevel"/>
    <w:tmpl w:val="EDC65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06998"/>
    <w:multiLevelType w:val="hybridMultilevel"/>
    <w:tmpl w:val="70921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C5742"/>
    <w:multiLevelType w:val="hybridMultilevel"/>
    <w:tmpl w:val="7916C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25"/>
  </w:num>
  <w:num w:numId="5">
    <w:abstractNumId w:val="5"/>
  </w:num>
  <w:num w:numId="6">
    <w:abstractNumId w:val="19"/>
  </w:num>
  <w:num w:numId="7">
    <w:abstractNumId w:val="9"/>
  </w:num>
  <w:num w:numId="8">
    <w:abstractNumId w:val="28"/>
  </w:num>
  <w:num w:numId="9">
    <w:abstractNumId w:val="16"/>
  </w:num>
  <w:num w:numId="10">
    <w:abstractNumId w:val="18"/>
  </w:num>
  <w:num w:numId="11">
    <w:abstractNumId w:val="22"/>
  </w:num>
  <w:num w:numId="12">
    <w:abstractNumId w:val="4"/>
  </w:num>
  <w:num w:numId="13">
    <w:abstractNumId w:val="8"/>
  </w:num>
  <w:num w:numId="14">
    <w:abstractNumId w:val="13"/>
  </w:num>
  <w:num w:numId="15">
    <w:abstractNumId w:val="12"/>
  </w:num>
  <w:num w:numId="16">
    <w:abstractNumId w:val="11"/>
  </w:num>
  <w:num w:numId="17">
    <w:abstractNumId w:val="7"/>
  </w:num>
  <w:num w:numId="18">
    <w:abstractNumId w:val="15"/>
  </w:num>
  <w:num w:numId="19">
    <w:abstractNumId w:val="20"/>
  </w:num>
  <w:num w:numId="20">
    <w:abstractNumId w:val="0"/>
  </w:num>
  <w:num w:numId="21">
    <w:abstractNumId w:val="2"/>
  </w:num>
  <w:num w:numId="22">
    <w:abstractNumId w:val="27"/>
  </w:num>
  <w:num w:numId="23">
    <w:abstractNumId w:val="14"/>
  </w:num>
  <w:num w:numId="24">
    <w:abstractNumId w:val="3"/>
  </w:num>
  <w:num w:numId="25">
    <w:abstractNumId w:val="10"/>
  </w:num>
  <w:num w:numId="26">
    <w:abstractNumId w:val="21"/>
  </w:num>
  <w:num w:numId="27">
    <w:abstractNumId w:val="23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66"/>
    <w:rsid w:val="0000077A"/>
    <w:rsid w:val="00000B6E"/>
    <w:rsid w:val="000223E0"/>
    <w:rsid w:val="000268E1"/>
    <w:rsid w:val="00052F7E"/>
    <w:rsid w:val="00053E0E"/>
    <w:rsid w:val="00060289"/>
    <w:rsid w:val="0006591D"/>
    <w:rsid w:val="00083ECA"/>
    <w:rsid w:val="000A1A7E"/>
    <w:rsid w:val="000B1CD9"/>
    <w:rsid w:val="000B7AE3"/>
    <w:rsid w:val="000C3D59"/>
    <w:rsid w:val="000D0644"/>
    <w:rsid w:val="000D6414"/>
    <w:rsid w:val="000D7D74"/>
    <w:rsid w:val="000E382D"/>
    <w:rsid w:val="000E43C5"/>
    <w:rsid w:val="000E617A"/>
    <w:rsid w:val="000F1E34"/>
    <w:rsid w:val="000F54E5"/>
    <w:rsid w:val="0011394D"/>
    <w:rsid w:val="00122AC3"/>
    <w:rsid w:val="0013050E"/>
    <w:rsid w:val="00134883"/>
    <w:rsid w:val="001461C7"/>
    <w:rsid w:val="00155CAD"/>
    <w:rsid w:val="00156486"/>
    <w:rsid w:val="001614EE"/>
    <w:rsid w:val="001726D2"/>
    <w:rsid w:val="001839C3"/>
    <w:rsid w:val="0018507A"/>
    <w:rsid w:val="001A0866"/>
    <w:rsid w:val="001A7124"/>
    <w:rsid w:val="001C416E"/>
    <w:rsid w:val="001D6E82"/>
    <w:rsid w:val="0020099B"/>
    <w:rsid w:val="002071DB"/>
    <w:rsid w:val="002239D3"/>
    <w:rsid w:val="002366F1"/>
    <w:rsid w:val="00240F31"/>
    <w:rsid w:val="002433F0"/>
    <w:rsid w:val="00247069"/>
    <w:rsid w:val="002618BA"/>
    <w:rsid w:val="00262E3A"/>
    <w:rsid w:val="00266B51"/>
    <w:rsid w:val="00277312"/>
    <w:rsid w:val="00282DEB"/>
    <w:rsid w:val="00285C12"/>
    <w:rsid w:val="00297B1D"/>
    <w:rsid w:val="002A0D1D"/>
    <w:rsid w:val="002B5E42"/>
    <w:rsid w:val="002B7F77"/>
    <w:rsid w:val="002C1BA3"/>
    <w:rsid w:val="002C560A"/>
    <w:rsid w:val="002C6D19"/>
    <w:rsid w:val="002D1F97"/>
    <w:rsid w:val="002E4823"/>
    <w:rsid w:val="002E49EC"/>
    <w:rsid w:val="002E5B41"/>
    <w:rsid w:val="00331453"/>
    <w:rsid w:val="003363B2"/>
    <w:rsid w:val="00372A6C"/>
    <w:rsid w:val="00373527"/>
    <w:rsid w:val="00380CC8"/>
    <w:rsid w:val="003878AE"/>
    <w:rsid w:val="003A2E49"/>
    <w:rsid w:val="003C4224"/>
    <w:rsid w:val="003F090F"/>
    <w:rsid w:val="0043242C"/>
    <w:rsid w:val="004953CE"/>
    <w:rsid w:val="004A67D6"/>
    <w:rsid w:val="004B6452"/>
    <w:rsid w:val="004E1830"/>
    <w:rsid w:val="004F6B4D"/>
    <w:rsid w:val="0051391E"/>
    <w:rsid w:val="0052418E"/>
    <w:rsid w:val="005246FB"/>
    <w:rsid w:val="0055349F"/>
    <w:rsid w:val="00557A10"/>
    <w:rsid w:val="0056549D"/>
    <w:rsid w:val="0057769A"/>
    <w:rsid w:val="005801AF"/>
    <w:rsid w:val="00580AAC"/>
    <w:rsid w:val="005A4C85"/>
    <w:rsid w:val="005A7AE4"/>
    <w:rsid w:val="005D424E"/>
    <w:rsid w:val="005E73AF"/>
    <w:rsid w:val="005E7EF4"/>
    <w:rsid w:val="005F1525"/>
    <w:rsid w:val="005F25A4"/>
    <w:rsid w:val="00610919"/>
    <w:rsid w:val="00613B59"/>
    <w:rsid w:val="00614532"/>
    <w:rsid w:val="00627C5F"/>
    <w:rsid w:val="00631FE4"/>
    <w:rsid w:val="006567B0"/>
    <w:rsid w:val="00672436"/>
    <w:rsid w:val="0069514B"/>
    <w:rsid w:val="006A32A1"/>
    <w:rsid w:val="006A7324"/>
    <w:rsid w:val="006C1F55"/>
    <w:rsid w:val="006C2199"/>
    <w:rsid w:val="006D154E"/>
    <w:rsid w:val="006E1140"/>
    <w:rsid w:val="006E31BF"/>
    <w:rsid w:val="00705398"/>
    <w:rsid w:val="0071414A"/>
    <w:rsid w:val="00717FA1"/>
    <w:rsid w:val="0073113C"/>
    <w:rsid w:val="00732DE7"/>
    <w:rsid w:val="00746BA2"/>
    <w:rsid w:val="00760D7C"/>
    <w:rsid w:val="00761E10"/>
    <w:rsid w:val="007666E2"/>
    <w:rsid w:val="007703EC"/>
    <w:rsid w:val="00794437"/>
    <w:rsid w:val="007977C1"/>
    <w:rsid w:val="007A12A5"/>
    <w:rsid w:val="007A4463"/>
    <w:rsid w:val="007A4957"/>
    <w:rsid w:val="007D67DD"/>
    <w:rsid w:val="007E10C4"/>
    <w:rsid w:val="007E171F"/>
    <w:rsid w:val="00807091"/>
    <w:rsid w:val="00807745"/>
    <w:rsid w:val="0081043A"/>
    <w:rsid w:val="008145E7"/>
    <w:rsid w:val="00817BCE"/>
    <w:rsid w:val="00826443"/>
    <w:rsid w:val="008316FA"/>
    <w:rsid w:val="00847D29"/>
    <w:rsid w:val="008533E4"/>
    <w:rsid w:val="00853A1C"/>
    <w:rsid w:val="00862459"/>
    <w:rsid w:val="008652AF"/>
    <w:rsid w:val="00867D77"/>
    <w:rsid w:val="008860E0"/>
    <w:rsid w:val="008958A8"/>
    <w:rsid w:val="00897416"/>
    <w:rsid w:val="008A38DD"/>
    <w:rsid w:val="008B15A7"/>
    <w:rsid w:val="008B768B"/>
    <w:rsid w:val="008C0C41"/>
    <w:rsid w:val="008D149D"/>
    <w:rsid w:val="00913DEA"/>
    <w:rsid w:val="009145DA"/>
    <w:rsid w:val="00923868"/>
    <w:rsid w:val="0092757A"/>
    <w:rsid w:val="00932252"/>
    <w:rsid w:val="0093225A"/>
    <w:rsid w:val="00934051"/>
    <w:rsid w:val="00940E55"/>
    <w:rsid w:val="009572B0"/>
    <w:rsid w:val="00964D5B"/>
    <w:rsid w:val="009730A5"/>
    <w:rsid w:val="009739A8"/>
    <w:rsid w:val="00975D21"/>
    <w:rsid w:val="00980AB3"/>
    <w:rsid w:val="00993A01"/>
    <w:rsid w:val="00997F0A"/>
    <w:rsid w:val="009B1925"/>
    <w:rsid w:val="009B5458"/>
    <w:rsid w:val="009D4F8D"/>
    <w:rsid w:val="009D65A2"/>
    <w:rsid w:val="009F3B3B"/>
    <w:rsid w:val="009F5C83"/>
    <w:rsid w:val="00A04D38"/>
    <w:rsid w:val="00A56276"/>
    <w:rsid w:val="00A61A6E"/>
    <w:rsid w:val="00A82A39"/>
    <w:rsid w:val="00A82C78"/>
    <w:rsid w:val="00AB2EAF"/>
    <w:rsid w:val="00AB7B5B"/>
    <w:rsid w:val="00AC4B41"/>
    <w:rsid w:val="00AE4AF8"/>
    <w:rsid w:val="00AF11DD"/>
    <w:rsid w:val="00AF3071"/>
    <w:rsid w:val="00AF4060"/>
    <w:rsid w:val="00AF5927"/>
    <w:rsid w:val="00B0293E"/>
    <w:rsid w:val="00B0619E"/>
    <w:rsid w:val="00B228CD"/>
    <w:rsid w:val="00B25466"/>
    <w:rsid w:val="00B4080C"/>
    <w:rsid w:val="00B474A1"/>
    <w:rsid w:val="00B72D60"/>
    <w:rsid w:val="00B804BF"/>
    <w:rsid w:val="00B82158"/>
    <w:rsid w:val="00B84228"/>
    <w:rsid w:val="00B91C76"/>
    <w:rsid w:val="00BA351A"/>
    <w:rsid w:val="00BA389F"/>
    <w:rsid w:val="00BA3BEB"/>
    <w:rsid w:val="00BB12CC"/>
    <w:rsid w:val="00BB34FD"/>
    <w:rsid w:val="00BD01B9"/>
    <w:rsid w:val="00BE12E0"/>
    <w:rsid w:val="00BF7B22"/>
    <w:rsid w:val="00C20F60"/>
    <w:rsid w:val="00C240E7"/>
    <w:rsid w:val="00C329A0"/>
    <w:rsid w:val="00C4282B"/>
    <w:rsid w:val="00C54F17"/>
    <w:rsid w:val="00C6539F"/>
    <w:rsid w:val="00C82C7A"/>
    <w:rsid w:val="00C85992"/>
    <w:rsid w:val="00C9294F"/>
    <w:rsid w:val="00CA1145"/>
    <w:rsid w:val="00CA74C5"/>
    <w:rsid w:val="00CB6FA6"/>
    <w:rsid w:val="00CD004C"/>
    <w:rsid w:val="00CD1396"/>
    <w:rsid w:val="00CE5B04"/>
    <w:rsid w:val="00D07754"/>
    <w:rsid w:val="00D126A4"/>
    <w:rsid w:val="00D27715"/>
    <w:rsid w:val="00D31ED7"/>
    <w:rsid w:val="00D33934"/>
    <w:rsid w:val="00D43B3A"/>
    <w:rsid w:val="00D64851"/>
    <w:rsid w:val="00D72AA8"/>
    <w:rsid w:val="00D83D26"/>
    <w:rsid w:val="00D93D2D"/>
    <w:rsid w:val="00DA333C"/>
    <w:rsid w:val="00DA57A6"/>
    <w:rsid w:val="00DB0AFB"/>
    <w:rsid w:val="00DB57AE"/>
    <w:rsid w:val="00DB7FDA"/>
    <w:rsid w:val="00DC3125"/>
    <w:rsid w:val="00DF3AF3"/>
    <w:rsid w:val="00E15154"/>
    <w:rsid w:val="00E4086F"/>
    <w:rsid w:val="00E4124D"/>
    <w:rsid w:val="00E64D79"/>
    <w:rsid w:val="00E80EC2"/>
    <w:rsid w:val="00EB3AC0"/>
    <w:rsid w:val="00EE5B44"/>
    <w:rsid w:val="00EF0456"/>
    <w:rsid w:val="00F11536"/>
    <w:rsid w:val="00F15C22"/>
    <w:rsid w:val="00F17047"/>
    <w:rsid w:val="00F246F2"/>
    <w:rsid w:val="00F24847"/>
    <w:rsid w:val="00F31E9F"/>
    <w:rsid w:val="00F56CDC"/>
    <w:rsid w:val="00F62B0D"/>
    <w:rsid w:val="00F700EA"/>
    <w:rsid w:val="00F70533"/>
    <w:rsid w:val="00F752B9"/>
    <w:rsid w:val="00F8196D"/>
    <w:rsid w:val="00F849AA"/>
    <w:rsid w:val="00FA3A66"/>
    <w:rsid w:val="00FD6961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354A8A-ADA2-49B4-9511-E662CBC7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466"/>
    <w:pPr>
      <w:ind w:left="720"/>
      <w:contextualSpacing/>
    </w:pPr>
  </w:style>
  <w:style w:type="numbering" w:customStyle="1" w:styleId="TCC">
    <w:name w:val="TCC"/>
    <w:uiPriority w:val="99"/>
    <w:rsid w:val="00000B6E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A04D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D38"/>
  </w:style>
  <w:style w:type="paragraph" w:styleId="Rodap">
    <w:name w:val="footer"/>
    <w:basedOn w:val="Normal"/>
    <w:link w:val="RodapChar"/>
    <w:uiPriority w:val="99"/>
    <w:unhideWhenUsed/>
    <w:rsid w:val="00A04D3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D38"/>
  </w:style>
  <w:style w:type="table" w:styleId="Tabelacomgrade">
    <w:name w:val="Table Grid"/>
    <w:basedOn w:val="Tabelanormal"/>
    <w:uiPriority w:val="39"/>
    <w:rsid w:val="008B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8B768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">
    <w:name w:val="Grid Table 1 Light"/>
    <w:basedOn w:val="Tabelanormal"/>
    <w:uiPriority w:val="46"/>
    <w:rsid w:val="00BE12E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610919"/>
    <w:rPr>
      <w:color w:val="0563C1" w:themeColor="hyperlink"/>
      <w:u w:val="single"/>
    </w:rPr>
  </w:style>
  <w:style w:type="paragraph" w:customStyle="1" w:styleId="Default">
    <w:name w:val="Default"/>
    <w:rsid w:val="00D43B3A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Cs w:val="24"/>
    </w:rPr>
  </w:style>
  <w:style w:type="table" w:styleId="TabeladeGrade5Escura-nfase3">
    <w:name w:val="Grid Table 5 Dark Accent 3"/>
    <w:basedOn w:val="Tabelanormal"/>
    <w:uiPriority w:val="50"/>
    <w:rsid w:val="002D1F9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D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EAE3D-842C-40E9-9198-880C4BB8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5436</Words>
  <Characters>29359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de Souza Ottani</dc:creator>
  <cp:keywords/>
  <dc:description/>
  <cp:lastModifiedBy>Denise de Souza Ottani</cp:lastModifiedBy>
  <cp:revision>10</cp:revision>
  <cp:lastPrinted>2018-04-05T00:10:00Z</cp:lastPrinted>
  <dcterms:created xsi:type="dcterms:W3CDTF">2018-04-29T20:51:00Z</dcterms:created>
  <dcterms:modified xsi:type="dcterms:W3CDTF">2018-05-08T01:25:00Z</dcterms:modified>
</cp:coreProperties>
</file>